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C27" w:rsidRPr="0037173E" w:rsidRDefault="00964C27" w:rsidP="0037173E">
      <w:pPr>
        <w:tabs>
          <w:tab w:val="num" w:pos="720"/>
        </w:tabs>
        <w:spacing w:after="0" w:line="360" w:lineRule="auto"/>
        <w:jc w:val="center"/>
        <w:outlineLvl w:val="1"/>
        <w:rPr>
          <w:rFonts w:ascii="Times New Roman" w:hAnsi="Times New Roman"/>
          <w:caps/>
          <w:sz w:val="24"/>
          <w:szCs w:val="24"/>
          <w:lang w:eastAsia="pl-PL"/>
        </w:rPr>
      </w:pPr>
      <w:r w:rsidRPr="0037173E">
        <w:rPr>
          <w:rFonts w:ascii="Times New Roman" w:hAnsi="Times New Roman"/>
          <w:caps/>
          <w:sz w:val="24"/>
          <w:szCs w:val="24"/>
          <w:lang w:eastAsia="pl-PL"/>
        </w:rPr>
        <w:t xml:space="preserve">Uzasadnienie </w:t>
      </w:r>
    </w:p>
    <w:p w:rsidR="00964C27" w:rsidRPr="009A3C86" w:rsidRDefault="00964C27" w:rsidP="00D72E74">
      <w:pPr>
        <w:pStyle w:val="Nagwek1"/>
        <w:spacing w:before="120" w:line="360" w:lineRule="auto"/>
        <w:jc w:val="both"/>
        <w:rPr>
          <w:rFonts w:ascii="Times New Roman" w:hAnsi="Times New Roman"/>
          <w:b/>
          <w:color w:val="auto"/>
          <w:sz w:val="24"/>
          <w:szCs w:val="24"/>
        </w:rPr>
      </w:pPr>
      <w:bookmarkStart w:id="0" w:name="_Toc494363212"/>
      <w:r w:rsidRPr="009A3C86">
        <w:rPr>
          <w:rFonts w:ascii="Times New Roman" w:hAnsi="Times New Roman"/>
          <w:b/>
          <w:color w:val="auto"/>
          <w:sz w:val="24"/>
          <w:szCs w:val="24"/>
        </w:rPr>
        <w:t>I. Wprowadzenie</w:t>
      </w:r>
      <w:bookmarkEnd w:id="0"/>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1. Projekt nowej ordynacji podatkowej został opracowany przez Komisję Kodyfikacyjną Ogólnego Prawa Podatkowego (KKOPP). Komisja została powołana rozporządzeniem Rady Ministrów z dnia 21 października 2014 r. w sprawie utworzenia, organizacji i trybu działania Komisji Kodyfikacyjnej Ogólnego Prawa Podatkowego (Dz. U. poz. 1471). Zgodnie z § 8 powołanego rozporządzenia do zadań Komisji należy: opracowanie, nie później niż w terminie 4 miesięcy od dnia pierwszego posiedzenia Komisji, kierunkowych założeń kompleksowej regulacji rangi ustawowej dotyczącej ogólnego prawa podatkowego oraz opracowanie, nie później niż w terminie 2 lat od dnia przyjęcia kierunkowych założeń, projektu ustawy zawierającego kompleksowe regulacje dotyczące ogólnego prawa podatkowego wraz </w:t>
      </w:r>
      <w:r w:rsidR="00730C93">
        <w:rPr>
          <w:rFonts w:ascii="Times New Roman" w:hAnsi="Times New Roman"/>
          <w:sz w:val="24"/>
          <w:szCs w:val="24"/>
        </w:rPr>
        <w:t>z</w:t>
      </w:r>
      <w:r w:rsidRPr="009A3C86">
        <w:rPr>
          <w:rFonts w:ascii="Times New Roman" w:hAnsi="Times New Roman"/>
          <w:sz w:val="24"/>
          <w:szCs w:val="24"/>
        </w:rPr>
        <w:t xml:space="preserve"> przepisami wykonawczymi. Zadania te KKOPP zrealizowała w terminie, przygotowując kierunkowe założenia nowej ordynacji podatkowej i na tej podstawie niniejszy projekt ustawy – Ordynacja podatkowa, projekt ustawy – Przepisy wprowadzające ustawę – Ordynacja podatkowa </w:t>
      </w:r>
      <w:r w:rsidR="00B91972" w:rsidRPr="009A3C86">
        <w:rPr>
          <w:rFonts w:ascii="Times New Roman" w:hAnsi="Times New Roman"/>
          <w:sz w:val="24"/>
          <w:szCs w:val="24"/>
        </w:rPr>
        <w:t xml:space="preserve">i ustawę o Rzeczniku Praw Podatnika </w:t>
      </w:r>
      <w:r w:rsidRPr="009A3C86">
        <w:rPr>
          <w:rFonts w:ascii="Times New Roman" w:hAnsi="Times New Roman"/>
          <w:sz w:val="24"/>
          <w:szCs w:val="24"/>
        </w:rPr>
        <w:t>oraz projekty przepisów wykonawczych.</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Warto zaznaczyć, że przygotowane przez Komisję kierunkowe założenia nowej ordynacji podatkowej zostały poddane 4-miesięcznym szerokim konsultacjom (resortowym</w:t>
      </w:r>
      <w:r w:rsidRPr="009A3C86">
        <w:rPr>
          <w:rStyle w:val="Odwoanieprzypisudolnego"/>
          <w:sz w:val="24"/>
          <w:szCs w:val="24"/>
        </w:rPr>
        <w:footnoteReference w:id="1"/>
      </w:r>
      <w:r w:rsidRPr="009A3C86">
        <w:rPr>
          <w:rFonts w:ascii="Times New Roman" w:hAnsi="Times New Roman"/>
          <w:sz w:val="24"/>
          <w:szCs w:val="24"/>
        </w:rPr>
        <w:t>, międzyresortowym</w:t>
      </w:r>
      <w:r w:rsidRPr="009A3C86">
        <w:rPr>
          <w:rStyle w:val="Odwoanieprzypisudolnego"/>
          <w:sz w:val="24"/>
          <w:szCs w:val="24"/>
        </w:rPr>
        <w:footnoteReference w:id="2"/>
      </w:r>
      <w:r w:rsidRPr="009A3C86">
        <w:rPr>
          <w:rFonts w:ascii="Times New Roman" w:hAnsi="Times New Roman"/>
          <w:sz w:val="24"/>
          <w:szCs w:val="24"/>
        </w:rPr>
        <w:t>, społecznym</w:t>
      </w:r>
      <w:r w:rsidRPr="009A3C86">
        <w:rPr>
          <w:rStyle w:val="Odwoanieprzypisudolnego"/>
          <w:sz w:val="24"/>
          <w:szCs w:val="24"/>
        </w:rPr>
        <w:footnoteReference w:id="3"/>
      </w:r>
      <w:r w:rsidRPr="009A3C86">
        <w:rPr>
          <w:rFonts w:ascii="Times New Roman" w:hAnsi="Times New Roman"/>
          <w:sz w:val="24"/>
          <w:szCs w:val="24"/>
        </w:rPr>
        <w:t xml:space="preserve"> oraz w środowisku akademickim</w:t>
      </w:r>
      <w:r w:rsidRPr="009A3C86">
        <w:rPr>
          <w:rStyle w:val="Odwoanieprzypisudolnego"/>
          <w:sz w:val="24"/>
          <w:szCs w:val="24"/>
        </w:rPr>
        <w:footnoteReference w:id="4"/>
      </w:r>
      <w:r w:rsidRPr="009A3C86">
        <w:rPr>
          <w:rFonts w:ascii="Times New Roman" w:hAnsi="Times New Roman"/>
          <w:sz w:val="24"/>
          <w:szCs w:val="24"/>
        </w:rPr>
        <w:t xml:space="preserve">), w ramach których  zainteresowani mogli wypowiedzieć się co do przyszłego kształtu nowej ordynacji. Proponowane rozwiązania zostały przez zdecydowaną większość podmiotów zgłaszających </w:t>
      </w:r>
      <w:r w:rsidRPr="009A3C86">
        <w:rPr>
          <w:rFonts w:ascii="Times New Roman" w:hAnsi="Times New Roman"/>
          <w:sz w:val="24"/>
          <w:szCs w:val="24"/>
        </w:rPr>
        <w:lastRenderedPageBreak/>
        <w:t>uwagi dobrze ocenione</w:t>
      </w:r>
      <w:r w:rsidRPr="009A3C86">
        <w:rPr>
          <w:rStyle w:val="Odwoanieprzypisudolnego"/>
          <w:sz w:val="24"/>
          <w:szCs w:val="24"/>
        </w:rPr>
        <w:footnoteReference w:id="5"/>
      </w:r>
      <w:r w:rsidRPr="009A3C86">
        <w:rPr>
          <w:rFonts w:ascii="Times New Roman" w:hAnsi="Times New Roman"/>
          <w:sz w:val="24"/>
          <w:szCs w:val="24"/>
        </w:rPr>
        <w:t xml:space="preserve">. Pozytywna ocena kierunkowych założeń i ich akceptacja przez Radę Ministrów umożliwiła przejście do kolejnego etapu prac Komisji – przygotowania przedstawionego projektu nowej ordynacji.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2. Projektowany akt jest formą tzw. kodyfikacji częściowej prawa podatkowego, obejmującą część ogólną prawa podatkowego. Podobne akty obowiązują m.in. w Niemczech, Austrii, Włoszech, Hiszpanii. Obowiązują one także w państwach, które podobnie jak Polska na początku lat 90. ubiegłego wieku tworzyły nowe systemy prawa podatkowego - Węgry</w:t>
      </w:r>
      <w:r w:rsidRPr="009A3C86">
        <w:rPr>
          <w:rStyle w:val="Odwoanieprzypisudolnego"/>
          <w:sz w:val="24"/>
          <w:szCs w:val="24"/>
        </w:rPr>
        <w:footnoteReference w:id="6"/>
      </w:r>
      <w:r w:rsidRPr="009A3C86">
        <w:rPr>
          <w:rFonts w:ascii="Times New Roman" w:hAnsi="Times New Roman"/>
          <w:sz w:val="24"/>
          <w:szCs w:val="24"/>
        </w:rPr>
        <w:t>, Czechy</w:t>
      </w:r>
      <w:r w:rsidRPr="009A3C86">
        <w:rPr>
          <w:rStyle w:val="Odwoanieprzypisudolnego"/>
          <w:sz w:val="24"/>
          <w:szCs w:val="24"/>
        </w:rPr>
        <w:footnoteReference w:id="7"/>
      </w:r>
      <w:r w:rsidRPr="009A3C86">
        <w:rPr>
          <w:rFonts w:ascii="Times New Roman" w:hAnsi="Times New Roman"/>
          <w:sz w:val="24"/>
          <w:szCs w:val="24"/>
        </w:rPr>
        <w:t>, Słowacja</w:t>
      </w:r>
      <w:r w:rsidRPr="009A3C86">
        <w:rPr>
          <w:rStyle w:val="Odwoanieprzypisudolnego"/>
          <w:sz w:val="24"/>
          <w:szCs w:val="24"/>
        </w:rPr>
        <w:footnoteReference w:id="8"/>
      </w:r>
      <w:r w:rsidRPr="009A3C86">
        <w:rPr>
          <w:rFonts w:ascii="Times New Roman" w:hAnsi="Times New Roman"/>
          <w:sz w:val="24"/>
          <w:szCs w:val="24"/>
        </w:rPr>
        <w:t>, Litwa</w:t>
      </w:r>
      <w:r w:rsidRPr="009A3C86">
        <w:rPr>
          <w:rStyle w:val="Odwoanieprzypisudolnego"/>
          <w:sz w:val="24"/>
          <w:szCs w:val="24"/>
        </w:rPr>
        <w:footnoteReference w:id="9"/>
      </w:r>
      <w:r w:rsidRPr="009A3C86">
        <w:rPr>
          <w:rFonts w:ascii="Times New Roman" w:hAnsi="Times New Roman"/>
          <w:sz w:val="24"/>
          <w:szCs w:val="24"/>
        </w:rPr>
        <w:t>. Większość tego typu aktów określa się mianem ordynacji, a nie kodeksu. Tak przyjęto nazywać kodyfikacje częściowe prawa podatkowego. Kodeksy ogólnego prawa podatkowego z założenia nie obejmują przepisów regulujących poszczególne podatki składające się na system podatkowy, tzw. szczegółowej części prawa podatkowego. W Polsce określanie tego rodzaju kodeksu „ordynacją” ma podłoże historyczne. Polska miała już skodyfikowane ogólne prawo podatkowe w 1934 r. w formie aktu zatytułowanego „Ordynacja podatkowa”</w:t>
      </w:r>
      <w:r w:rsidRPr="009A3C86">
        <w:rPr>
          <w:rStyle w:val="Odwoanieprzypisudolnego"/>
          <w:sz w:val="24"/>
          <w:szCs w:val="24"/>
        </w:rPr>
        <w:footnoteReference w:id="10"/>
      </w:r>
      <w:r w:rsidRPr="009A3C86">
        <w:rPr>
          <w:rFonts w:ascii="Times New Roman" w:hAnsi="Times New Roman"/>
          <w:sz w:val="24"/>
          <w:szCs w:val="24"/>
        </w:rPr>
        <w:t>. Był to jeden z pierwszych i najlepszych tego typu aktów w Europie</w:t>
      </w:r>
      <w:r w:rsidRPr="009A3C86">
        <w:rPr>
          <w:rStyle w:val="Odwoanieprzypisudolnego"/>
          <w:sz w:val="24"/>
          <w:szCs w:val="24"/>
        </w:rPr>
        <w:footnoteReference w:id="11"/>
      </w:r>
      <w:r w:rsidRPr="009A3C86">
        <w:rPr>
          <w:rFonts w:ascii="Times New Roman" w:hAnsi="Times New Roman"/>
          <w:sz w:val="24"/>
          <w:szCs w:val="24"/>
        </w:rPr>
        <w:t xml:space="preserve">. Do postanowień tej ordynacji nawiązuje obowiązująca ordynacja z 1997 r. oraz w wielu miejscach projektowana ustawa.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212 artykułach Ordynacji podatkowej z 1934 r. zostały uregulowane najważniejsze instytucje ogólnego prawa podatkowego. Ustawa ta składała się z pięciu części: postanowienia ogólne, postępowanie przy wymiarze podatków, przepisy porządkowe, przepisy karne oraz przepisy przejściowe i końcowe. W tym właśnie akcie po raz pierwszy zostały uregulowane obowiązujące do dziś takie instytucje jak: obowiązek i zobowiązanie podatkowe, przedawnienie, nadpłata, wymiar podatku, ulgi w spłacie zobowiązań podatkowych i wiele innych. W ordynacji była też część poświęcona problematyce prawa karnego podatkowego, co jest obecnie uregulowane w Kodeksie karnym skarbowym. Ten nowoczesny akt prawny nie </w:t>
      </w:r>
      <w:r w:rsidRPr="009A3C86">
        <w:rPr>
          <w:rFonts w:ascii="Times New Roman" w:hAnsi="Times New Roman"/>
          <w:sz w:val="24"/>
          <w:szCs w:val="24"/>
        </w:rPr>
        <w:lastRenderedPageBreak/>
        <w:t>przetrwał jednak długo z uwagi na całkowitą zmianę ustroju społeczno-gospodarczego w Polsce po II wojnie światowej. Ordynacja podatkowa z 1934 roku nie pasowała do nowych realiów gospodarki socjalistycznej i przestała obowiązywać w 1946 r. Od tego roku można mówić o postępującym procesie dekodyfikacji ogólnego prawa podatkowego. Proces ten został rozpoczęty wprowadzeniem trzech dekretów rządowych: z 16 maja 1946 r. o zobowiązaniach podatkowych</w:t>
      </w:r>
      <w:r w:rsidRPr="009A3C86">
        <w:rPr>
          <w:rStyle w:val="Odwoanieprzypisudolnego"/>
          <w:sz w:val="24"/>
          <w:szCs w:val="24"/>
        </w:rPr>
        <w:footnoteReference w:id="12"/>
      </w:r>
      <w:r w:rsidRPr="009A3C86">
        <w:rPr>
          <w:rFonts w:ascii="Times New Roman" w:hAnsi="Times New Roman"/>
          <w:sz w:val="24"/>
          <w:szCs w:val="24"/>
        </w:rPr>
        <w:t>, z 16 maja 1946 r. o postępowaniu podatkowym</w:t>
      </w:r>
      <w:r w:rsidRPr="009A3C86">
        <w:rPr>
          <w:rStyle w:val="Odwoanieprzypisudolnego"/>
          <w:sz w:val="24"/>
          <w:szCs w:val="24"/>
        </w:rPr>
        <w:footnoteReference w:id="13"/>
      </w:r>
      <w:r w:rsidRPr="009A3C86">
        <w:rPr>
          <w:rFonts w:ascii="Times New Roman" w:hAnsi="Times New Roman"/>
          <w:sz w:val="24"/>
          <w:szCs w:val="24"/>
        </w:rPr>
        <w:t xml:space="preserve"> oraz z 11 kwietnia 1947 r. – Prawo karne skarbowe</w:t>
      </w:r>
      <w:r w:rsidRPr="009A3C86">
        <w:rPr>
          <w:rStyle w:val="Odwoanieprzypisudolnego"/>
          <w:sz w:val="24"/>
          <w:szCs w:val="24"/>
        </w:rPr>
        <w:footnoteReference w:id="14"/>
      </w:r>
      <w:r w:rsidRPr="009A3C86">
        <w:rPr>
          <w:rFonts w:ascii="Times New Roman" w:hAnsi="Times New Roman"/>
          <w:sz w:val="24"/>
          <w:szCs w:val="24"/>
        </w:rPr>
        <w:t>. Dekret o zobowiązaniach podatkowych został zastąpiony dekretem z 27 października 1950 r. o takim samym tytule</w:t>
      </w:r>
      <w:r w:rsidRPr="009A3C86">
        <w:rPr>
          <w:rStyle w:val="Odwoanieprzypisudolnego"/>
          <w:sz w:val="24"/>
          <w:szCs w:val="24"/>
        </w:rPr>
        <w:footnoteReference w:id="15"/>
      </w:r>
      <w:r w:rsidRPr="009A3C86">
        <w:rPr>
          <w:rFonts w:ascii="Times New Roman" w:hAnsi="Times New Roman"/>
          <w:sz w:val="24"/>
          <w:szCs w:val="24"/>
        </w:rPr>
        <w:t>, który obowiązywał do wejścia w życie ustawy z 19 grudnia 1980 r. o zobowiązaniach podatkowych</w:t>
      </w:r>
      <w:r w:rsidRPr="009A3C86">
        <w:rPr>
          <w:rStyle w:val="Odwoanieprzypisudolnego"/>
          <w:sz w:val="24"/>
          <w:szCs w:val="24"/>
        </w:rPr>
        <w:footnoteReference w:id="16"/>
      </w:r>
      <w:r w:rsidRPr="009A3C86">
        <w:rPr>
          <w:rFonts w:ascii="Times New Roman" w:hAnsi="Times New Roman"/>
          <w:sz w:val="24"/>
          <w:szCs w:val="24"/>
        </w:rPr>
        <w:t>. Z kolei, dekret o postępowaniu podatkowym utracił moc także w 1980 r., kiedy to postępowanie podatkowe zostało objęte znowelizowanym Kodeksem postępowania administracyjnego. Dekret – Prawo karne skarbowe został zastąpiony ustawą z 13 kwietnia 1960 r – Prawo karne skarbowe, a następnie – po wielu zmianach – problematyka ta został skodyfikowana w ustawie z 10 września 1999 r. – Kodeks karny skarbowy</w:t>
      </w:r>
      <w:r w:rsidRPr="009A3C86">
        <w:rPr>
          <w:rStyle w:val="Odwoanieprzypisudolnego"/>
          <w:sz w:val="24"/>
          <w:szCs w:val="24"/>
        </w:rPr>
        <w:footnoteReference w:id="17"/>
      </w:r>
      <w:r w:rsidRPr="009A3C86">
        <w:rPr>
          <w:rFonts w:ascii="Times New Roman" w:hAnsi="Times New Roman"/>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Ustawa o zobowiązaniach podatkowych z 1980 r., licząca 55 artykułów, stanowiła podstawowy akt prawny regulujący ogólne prawo podatkowe aż do wprowadzenia obowiązującej ordynacji podatkowej. Były w niej uregulowane ogólne zasady powstawania, wykonywania i wygasania zobowiązań podatkowych. Poza zakresem ustawy pozostała m.in. procedura podatkowa, egzekucja oraz kontrola podatkowa. W żadnym razie ustawa ta nie mogła pełnić funkcji aktu całościowo regulującego ogólne prawo podatkowe. I to, w dużej mierze, zadecydowało o podjęciu jesienią 1993 roku prac nad uporządkowaniem i scaleniem przepisów prawa podatkowego w formie zbliżonej do ordynacji podatkowej z 1934 roku</w:t>
      </w:r>
      <w:r w:rsidRPr="009A3C86">
        <w:rPr>
          <w:rStyle w:val="Odwoanieprzypisudolnego"/>
          <w:sz w:val="24"/>
          <w:szCs w:val="24"/>
        </w:rPr>
        <w:footnoteReference w:id="18"/>
      </w:r>
      <w:r w:rsidRPr="009A3C86">
        <w:rPr>
          <w:rFonts w:ascii="Times New Roman" w:hAnsi="Times New Roman"/>
          <w:sz w:val="24"/>
          <w:szCs w:val="24"/>
        </w:rPr>
        <w:t>. Wskazywano, że ustawa o zobowiązaniach podatkowych - wskutek wielokrotnych zmian  - stała się nieczytelna i nie pasuje do nowych rozwiązań wynikających z przeprowadzonych na początku lat 90. reform systemu podatkowego</w:t>
      </w:r>
      <w:r w:rsidRPr="009A3C86">
        <w:rPr>
          <w:rStyle w:val="Odwoanieprzypisudolnego"/>
          <w:sz w:val="24"/>
          <w:szCs w:val="24"/>
        </w:rPr>
        <w:footnoteReference w:id="19"/>
      </w:r>
      <w:r w:rsidRPr="009A3C86">
        <w:rPr>
          <w:rFonts w:ascii="Times New Roman" w:hAnsi="Times New Roman"/>
          <w:sz w:val="24"/>
          <w:szCs w:val="24"/>
        </w:rPr>
        <w:t xml:space="preserve">. Równie krytycznie oceniono przepisy regulujące postępowanie podatkowe zawarte w Kodeksie postępowania administracyjnego. Podnoszono, że przepisy tego kodeksu są dostosowane do decyzji o charakterze konstytutywnym, a </w:t>
      </w:r>
      <w:r w:rsidRPr="009A3C86">
        <w:rPr>
          <w:rFonts w:ascii="Times New Roman" w:hAnsi="Times New Roman"/>
          <w:sz w:val="24"/>
          <w:szCs w:val="24"/>
        </w:rPr>
        <w:lastRenderedPageBreak/>
        <w:t>większość zobowiązań podatkowych powstaje z mocy prawa. W kodeksie postępowania administracyjnego brak było rozwiązań uwzględniających bezdecyzyjny tryb poboru podatków</w:t>
      </w:r>
      <w:r w:rsidRPr="009A3C86">
        <w:rPr>
          <w:rStyle w:val="Odwoanieprzypisudolnego"/>
          <w:sz w:val="24"/>
          <w:szCs w:val="24"/>
        </w:rPr>
        <w:footnoteReference w:id="20"/>
      </w:r>
      <w:r w:rsidRPr="009A3C86">
        <w:rPr>
          <w:rFonts w:ascii="Times New Roman" w:hAnsi="Times New Roman"/>
          <w:sz w:val="24"/>
          <w:szCs w:val="24"/>
        </w:rPr>
        <w:t>.</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Podstawą podjęcia prac nad przygotowaniem projektu nowej ordynacji podatkowej była uchwała Sejmu RP z dnia 5 marca 1994 r. w sprawie zwiększenia dochodów państwa</w:t>
      </w:r>
      <w:r w:rsidRPr="009A3C86">
        <w:rPr>
          <w:rStyle w:val="Odwoanieprzypisudolnego"/>
          <w:sz w:val="24"/>
          <w:szCs w:val="24"/>
        </w:rPr>
        <w:footnoteReference w:id="21"/>
      </w:r>
      <w:r w:rsidRPr="009A3C86">
        <w:rPr>
          <w:rFonts w:ascii="Times New Roman" w:hAnsi="Times New Roman"/>
          <w:sz w:val="24"/>
          <w:szCs w:val="24"/>
        </w:rPr>
        <w:t xml:space="preserve">. Pierwszy projekt ustawy trafił do Sejmu w 1995 r. i był przedmiotem ożywionych dyskusji niemal do jego uchwalenia, co miało miejsce 29 sierpnia 1997 r. Poczynając od 1 stycznia 1998 r., ogólne prawo podatkowe zostało w Polsce na powrót skodyfikowane w formie ustawy zatytułowanej – Ordynacja podatkowa, która obowiązuje do dzisiaj.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3. Ustawa z 1997 r., co podnosi się niemal powszechnie, powinna być zastąpiona nowoczesnym kodeksem podatkowym, dostosowanym do nowych zjawisk zachodzących w relacjach organ podatkowy – podatnik. Akceptując ten postulat, należy zauważyć, że w Polsce kodyfikacja kompleksowa nie jest w tej chwili możliwa i mało prawdopodobnym jest stworzenie, w dającym się przewidzieć okresie, kodeksu podatkowego obejmującego całość prawa podatkowego. Całościowe kodeksy podatkowe obejmujące prawo ogólne i szczegółowe powstały w ostatnim czasie - co charakterystyczne – w państwach, które były republikami Związku Radzieckiego. Nie jest to przypadek. Państwa te po rozpadzie Związku Radzieckiego nie miały własnego systemu podatkowego ani też nie mogły w prosty sposób przejąć regulacji wcześniej obowiązujących, całkowicie niedostosowanych do zmienionych realiów społeczno-gospodarczych</w:t>
      </w:r>
      <w:r w:rsidRPr="009A3C86">
        <w:rPr>
          <w:rStyle w:val="Odwoanieprzypisudolnego"/>
          <w:sz w:val="24"/>
          <w:szCs w:val="24"/>
        </w:rPr>
        <w:footnoteReference w:id="22"/>
      </w:r>
      <w:r w:rsidRPr="009A3C86">
        <w:rPr>
          <w:rFonts w:ascii="Times New Roman" w:hAnsi="Times New Roman"/>
          <w:sz w:val="24"/>
          <w:szCs w:val="24"/>
        </w:rPr>
        <w:t>. W związku z tym musiały stworzyć całkowicie od nowa systemy podatkowe i regulujące je prawo</w:t>
      </w:r>
      <w:r w:rsidRPr="009A3C86">
        <w:rPr>
          <w:rStyle w:val="Odwoanieprzypisudolnego"/>
          <w:sz w:val="24"/>
          <w:szCs w:val="24"/>
        </w:rPr>
        <w:footnoteReference w:id="23"/>
      </w:r>
      <w:r w:rsidRPr="009A3C86">
        <w:rPr>
          <w:rFonts w:ascii="Times New Roman" w:hAnsi="Times New Roman"/>
          <w:sz w:val="24"/>
          <w:szCs w:val="24"/>
        </w:rPr>
        <w:t xml:space="preserve">. W Rosji prace nad kodeksem podatkowym zostały podjęte już w 1992 r., a zakończyły się uchwaleniem 16 czerwca 1998 r. pierwszej części (ogólnej) kodeksu podatkowego Federacji Rosyjskiej. Druga część, co także jest charakterystyczne dla tego typu kodeksów podatkowych, została przyjęta później – 19 czerwca 2000 r. i weszła w życie z dniem 1 stycznia 2001 r. Podobne uwarunkowania towarzyszyły powstawaniu kodeksów podatkowych na Białorusi i Ukrainie. Pierwsza część kodeksu białoruskiego została uchwalona w 2002 r., a druga znacznie później – w 2009 roku. Kodeks ukraiński powstał w 2010 r. jako </w:t>
      </w:r>
      <w:r w:rsidRPr="009A3C86">
        <w:rPr>
          <w:rFonts w:ascii="Times New Roman" w:hAnsi="Times New Roman"/>
          <w:sz w:val="24"/>
          <w:szCs w:val="24"/>
        </w:rPr>
        <w:lastRenderedPageBreak/>
        <w:t>jednoczęściowy, z tym że podobnie jak rosyjski i białoruski, obejmuje zarówno przepisy ogólne, jak i przepisy regulujące poszczególne podatki.</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Zupełnie odmiennie potoczyły się prace nad porządkowaniem prawa podatkowego w państwach Europy Środkowej. W żadnym z tych państw nie zdecydowano się na opracowanie koncepcji kompleksowego kodeksu podatkowego obejmującego całe prawo podatkowe. Przede wszystkim w tych państwach inny był stan prawa podatkowego, niż w byłych republikach Związku Radzieckiego. Na początku lat 90. ubiegłego wieku w Polsce, podobnie zresztą jak w innych państwach tej części Europy, funkcjonowały już w miarę racjonalne systemy opodatkowania obrotu (podatek od wartości dodanej) oraz opodatkowania dochodu. W zasadzie przejęty został z poprzedniego systemu model opodatkowania majątku, którego reforma realizowana jest z dużymi oporami do dzisiaj. W każdym razie państwa te miały już przyjęte regulacje dotyczące głównych elementów systemu podatkowego, wzorowane na funkcjonujących w państwach Europy Zachodniej. W tamtym czasie, z uwagi na dążenie tych państw do wejścia do Unii Europejskiej (UE), rozpoczęty został proces harmonizacji regulacji krajowych z wymogami prawa unijnego, zwłaszcza w zakresie podatku od wartości dodanej i akcyzy. I to był główny kierunek zmian przyjętego na początku lat 90. ubiegłego wieku systemu podatkowego. Kodyfikacja prawa podatkowego nie była w tej sytuacji priorytetem, ponieważ nie wymagała tego UE. Sprawą fundamentalną w tamtym czasie było wprowadzenie przepisów podatkowych zgodnych z prawem unijnym. W tym stanie rzeczy nie było warunków do tworzenia koncepcji całościowych kodeksów podatkowych. Tych warunków nie ma nadal z uwagi na trwający, nie tylko w Polsce, proces przebudowy systemu podatkowego. Nie ma realnych możliwości stworzenia kodeksu podatkowego w sytuacji, gdy nie został do końca zreformowany obowiązujący model opodatkowania dochodu, a zwłaszcza majątku. Zakończenie tych reform jest warunkiem podjęcia ewentualnych prac nad skodyfikowaniem całego prawa podatkowego. Nie ma bowiem sensu tworzenie kodeksu prawa podatkowego, który najprawdopodobniej w krótkim okresie czasu będzie ulegał zasadniczym zmianom. Warto podkreślić, że wśród przedstawicieli doktryny w zasadzie nie ma postulatów uchwalenia kompleksowego kodeksu podatkowego</w:t>
      </w:r>
      <w:r w:rsidRPr="009A3C86">
        <w:rPr>
          <w:rStyle w:val="Odwoanieprzypisudolnego"/>
          <w:sz w:val="24"/>
          <w:szCs w:val="24"/>
        </w:rPr>
        <w:footnoteReference w:id="24"/>
      </w:r>
      <w:r w:rsidRPr="009A3C86">
        <w:rPr>
          <w:rFonts w:ascii="Times New Roman" w:hAnsi="Times New Roman"/>
          <w:sz w:val="24"/>
          <w:szCs w:val="24"/>
        </w:rPr>
        <w:t xml:space="preserve">. Tocząca się dyskusja dotyczy raczej tego, co </w:t>
      </w:r>
      <w:r w:rsidRPr="009A3C86">
        <w:rPr>
          <w:rFonts w:ascii="Times New Roman" w:hAnsi="Times New Roman"/>
          <w:sz w:val="24"/>
          <w:szCs w:val="24"/>
        </w:rPr>
        <w:lastRenderedPageBreak/>
        <w:t>powinno się znaleźć w skodyfikowanej części ogólnego prawa podatkowego. Nie wszystkie bowiem przepisy ogólnego prawa podatkowego mogą być, z uwagi na uwarunkowania wynikające z obowiązującego systemu prawa, ujęte w kodeksie podatkowym. W Polsce na przykład odpowiedzialność za wykroczenia i przestępstwa podatkowe uregulowana jest w Kodeksie karnym skarbowym i nie ma sensu przenoszenia tych przepisów do kodeksu podatkowego, chociaż ma to miejsce w innych państwach. Chcąc to zrobić, trzeba byłoby zdekodyfikować dobrze funkcjonujące prawo karne skarbowe. Nie miałoby to nic wspólnego z ideą kodyfikacji.</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Ten przykład pokazuje, że nie jest możliwe proste przeniesienie założeń obcego kodeksu podatkowego do Polski. Przede wszystkim każdy kraj ma swój, specyficzny system prawa podatkowego, stanowiący element systemu prawnego. Pobieżna nawet analiza tych systemów pozwala to dostrzec, a przez to odrzucić tę drogę „poprawiania” polskiego prawa podatkowego. Warto w tym miejscu dodać, że nie ma też uniwersalnych wzorców kodeksów podatkowych pasujących do każdego systemu krajowego. Próby stworzenia takich rozwiązań modelowych mają miejsce. Można przykładowo wskazać model kodeksu podatkowego przygotowany przez ekspertów Międzynarodowego Funduszu Walutowego, założenia kodeksu podatkowego przygotowane przez organizację zrzeszającą organy podatkowe państw Ameryki Środkowej (CIAT) czy też modelowy kodeks podatkowy członków Wspólnoty Niepodległych Państw</w:t>
      </w:r>
      <w:r w:rsidRPr="009A3C86">
        <w:rPr>
          <w:rStyle w:val="Odwoanieprzypisudolnego"/>
          <w:sz w:val="24"/>
          <w:szCs w:val="24"/>
        </w:rPr>
        <w:footnoteReference w:id="25"/>
      </w:r>
      <w:r w:rsidRPr="009A3C86">
        <w:rPr>
          <w:rFonts w:ascii="Times New Roman" w:hAnsi="Times New Roman"/>
          <w:sz w:val="24"/>
          <w:szCs w:val="24"/>
        </w:rPr>
        <w:t xml:space="preserve">. Te „modele” regulacji podatkowych nie pasują jednak do polskich realiów. Zostały one wykorzystane w pracach nad projektem jedynie w pewnych fragmentach, i to po dodatkowej ich modyfikacji.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4. Projektowany akt zastąpi obowiązującą ustawę z dnia 29 sierpnia 1997 r. – Ordynacja podatkowa. Ustawa ta obowiązuje już 20 lat i w ciągu tego czasu była ponad 100 razy  nowelizowana. Ciągłe zmiany tego aktu świadczą o tym, że ordynacja  nie odpowiada dzisiaj wymogom stawianym tego typu aktom prawnym. Decyduje o tym kilka czynników, które w większości mają charakter obiektywny.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Prawo podatkowe rozwija się bardzo dynamicznie z uwagi na to, że różnego rodzaju zjawiska i procesy będące przedmiotem jego regulacji podlegają ciągłej ewolucji. Ordynacja podatkowa musi za nimi nadążać. W innym przypadku może to prowadzić do negatywnych następstw przede wszystkim dla budżetu. Najlepszym przykładem są coraz to nowsze instrumenty prawne </w:t>
      </w:r>
      <w:r w:rsidRPr="009A3C86">
        <w:rPr>
          <w:rFonts w:ascii="Times New Roman" w:hAnsi="Times New Roman"/>
          <w:sz w:val="24"/>
          <w:szCs w:val="24"/>
        </w:rPr>
        <w:lastRenderedPageBreak/>
        <w:t>wykorzystywane w obrocie gospodarczym nie zawsze po to, aby ten obrót usprawnić. Są one niekiedy kreowane jedynie po to, aby nie płacić podatków. Do niedawna tak rozumiana optymalizacja podatkowa nie była tak powszechnie stosowana jak obecnie. Współcześnie jest to zjawisko, które musi być zwalczane, ponieważ pozbawia budżet coraz to większych wpływów podatkowych. Bez zmian w ordynacji walka z tym negatywnym procederem nie może być skutecznie prowadzona. Problem jest dostrzegany przez Komisję Europejską, która wydaje zalecenia i dyrektywy mające na celu ograniczenie unikania opodatkowania, zwłaszcza w aspekcie międzynarodowym. Realizacja wytycznych UE w zakresie wymiany informacji podatkowych, klauzuli przeciwko unikaniu opodatkowania, uszczelniania systemu podatkowego, transparentności w przyznawaniu preferencji podatkowych, pomocy publicznej itp. skutkuje tym, że do ordynacji muszą być wprowadzone nowe regulacje. Zakres tych zmian nie jest możliwy do wprowadzenia w drodze kolejnych nowelizacji obowiązującej ordynacji.</w:t>
      </w:r>
    </w:p>
    <w:p w:rsidR="00964C27" w:rsidRPr="009A3C86" w:rsidRDefault="00964C27" w:rsidP="00964C27">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Kolejnym zjawiskiem, także o obiektywnym charakterze, wymuszającym uchwalenie nowej ordynacji, jest coraz szybciej postępujący proces cyfryzacji postępowań podatkowych. Wykorzystywanie środków komunikacji elektronicznej w kontaktach z podatnikiem stało się standardem i rozwija się błyskawicznie. Kto jeszcze kilka lat temu myślał o tym, że będzie to jeden z najdogodniejszych i najtańszych sposobów przetwarzania danych podatkowych, przeprowadzania kontroli dokumentacji podatkowej, doręczania decyzji, składania deklaracji czy też udzielania informacji i wyjaśnień? Jest to proces wymagający przebudowy ordynacji nastawionej na papierową formę załatwiania spraw podatkowych.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Zmiany w ordynacji są także coraz częściej postulowane przez samych podatników</w:t>
      </w:r>
      <w:r w:rsidR="00CE4C57" w:rsidRPr="009A3C86">
        <w:rPr>
          <w:rFonts w:ascii="Times New Roman" w:hAnsi="Times New Roman"/>
          <w:sz w:val="24"/>
          <w:szCs w:val="24"/>
        </w:rPr>
        <w:t>.</w:t>
      </w:r>
      <w:r w:rsidRPr="009A3C86">
        <w:rPr>
          <w:rFonts w:ascii="Times New Roman" w:hAnsi="Times New Roman"/>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Zmiany w ordynacji są także konsekwencją bogatego orzecznictwa sądowego. Ogromny dorobek orzeczniczy musi być uwzględniony w obowiązujących przepisach. Sądy bardzo często wyjaśniały istotę poszczególnych regulacji, która była następnie akceptowana przez organy podatkowe i podatników. Można jednak wskazać na wiele kontrowersyjnych rozstrzygnięć, które potęgowały spory interpretacyjne. W tym kontekście należy zwrócić uwagę na orzeczenia Trybunału Konstytucyjnego i Trybunału Sprawiedliwości Unii Europejskiej. Orzeczenia tych trybunałów wymagają reakcji ustawodawcy i zmiany zakwestionowanych w tym trybie przepisów. Uwzględnienie niektórych z tych orzeczeń nie jest możliwe w drodze poprawienia obowiązujących przepisów. Problemy te są do rozwiązania jedynie w napisanej od nowa ustawie.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Coraz większego znaczenia, w praktyce tworzenia i stosowania prawa podatkowego, nabierają zasady ogólne prawa podatkowego. Ich brak w ordynacji albo jedynie częściowe ujęcie skutkuje tym, że nie tylko doktryna (od dawna), ale i podatnicy chcą ich zapisania w ustawie. </w:t>
      </w:r>
      <w:r w:rsidRPr="009A3C86">
        <w:rPr>
          <w:rFonts w:ascii="Times New Roman" w:hAnsi="Times New Roman"/>
          <w:sz w:val="24"/>
          <w:szCs w:val="24"/>
        </w:rPr>
        <w:lastRenderedPageBreak/>
        <w:t xml:space="preserve">Najlepszym przykładem jest zasada rozstrzygania wątpliwości na korzyść podatnika, która była w Polsce przedmiotem ogólnonarodowego referendum. Wokół tej zasady rozgorzała publiczna dyskusja dotycząca potrzeby zapisywania zasad ogólnych w ordynacji podatkowej. Przeciwnicy tej idei wskazywali, że w zupełności wystarczy, aby te zasady funkcjonowały w orzecznictwie sądowym. Nie trzeba ich zapisywać, ponieważ może to wypaczyć ich sens. Jednak ta zasada została zapisana w ordynacji. W chwili obecnej można już mówić o ukształtowaniu się w orzecznictwie i doktrynie kilku podstawowych dyrektyw postępowania, określanych mianem zasad ogólnych. Powinny one być zawarte w ordynacji podatkowej, tym bardziej że są w niej od uchwalenia ordynacji zasady ogólne postępowania podatkowego przeniesione z kodeksu postępowania administracyjnego. Formułowane w orzecznictwie sądowym i literaturze zasady ogólne prawa podatkowego nie stanowią zamkniętego katalogu, ale niektóre z nich są już powszechnie akceptowane i te powinny znaleźć się, co przewiduje projekt, w części ogólnej ordynacji.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Kolejną okolicznością obligującą do zmiany obowiązującej ordynacji jest problem wzrastającej liczby indywidualnych interpretacji przepisów prawa podatkowego. Rocznie minister finansów i gminne organy podatkowe wydają ponad ok.  30 tys. tego typu urzędowych wykładni przepisów prawa podatkowego. Mogą one być zaskarżane do sądu administracyjnego, co doprowadziło do tego, że sądy, a zwłaszcza Naczelny Sąd Administracyjny, nie są w stanie w rozsądnym terminie rozpatrzeć skarg dotyczących interpretacji i na wyrok trzeba czekać ok. 2 lat. Taki sposób udzielania informacji podatkowej jest bardzo drogi i mało efektywny – musi być zmieniony.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Potrzeba generalnej przebudowy obowiązującej ordynacji jest związana także z tym, że nie ma w niej konsensualnych metod załatwiania spraw podatkowych. Mediacja i zawarta w jej ramach umowa czy też procedura konsultacyjna w określonych przypadkach mogą  zwiększyć efektywność postępowań podatkowych. Dopiero niedawno zauważono, że te niewładcze formy działania administracji podatkowej mogą być skutecznie stosowane w procedurach podatkowych i mają szereg zalet. Ich wprowadzenie wymaga interwencji ustawodawcy. Z uwagi na zasady techniki prawodawczej</w:t>
      </w:r>
      <w:r w:rsidRPr="009A3C86">
        <w:rPr>
          <w:rStyle w:val="Odwoanieprzypisudolnego"/>
          <w:sz w:val="24"/>
          <w:szCs w:val="24"/>
        </w:rPr>
        <w:footnoteReference w:id="26"/>
      </w:r>
      <w:r w:rsidRPr="009A3C86">
        <w:rPr>
          <w:rFonts w:ascii="Times New Roman" w:hAnsi="Times New Roman"/>
          <w:sz w:val="24"/>
          <w:szCs w:val="24"/>
        </w:rPr>
        <w:t xml:space="preserve"> nie można tego jednak zrobić,  nowelizując jedynie obowiązujące przepisy.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Wejście Polski do Unii Europejskiej, rozwój technologii, a także zjawisk i procesów będących przedmiotem prawa podatkowego to obiektywne przyczyny dezaktualizacji rozwiązań </w:t>
      </w:r>
      <w:r w:rsidRPr="009A3C86">
        <w:rPr>
          <w:rFonts w:ascii="Times New Roman" w:hAnsi="Times New Roman"/>
          <w:sz w:val="24"/>
          <w:szCs w:val="24"/>
        </w:rPr>
        <w:lastRenderedPageBreak/>
        <w:t xml:space="preserve">przyjętych w ordynacji podatkowej ponad 20 lat temu. Ustawodawca starał się temu zapobiec, sukcesywnie dokonując w tym akcie zmian, niekiedy bardzo obszernych. Ciągłe nowelizacje w większości przypadków miały na celu dostosowanie ordynacji do ujawniających się wciąż nowych potrzeb i problemów związanych ze stosowaniem jej przepisów. Nie było to jednak rekonstruowanie aktu w oparciu o wcześniej wypracowany wzorzec – model docelowej części ogólnej prawa podatkowego. Ciągle poprawiana ordynacja zatraciła swoją pierwotną strukturę, która także nie była wolna od wad. W obowiązującej ordynacji nie ma miejsca na wprowadzanie nowych regulacji, co powoduje, że są one zamieszczane w przypadkowych działach i rozdziałach. W efekcie zakłóca to proces prawidłowej wykładni tych przepisów. Jako przykład można wskazać już wspomnianą zasadę rozstrzygania wątpliwości na korzyść podatnika stanowiącą treść art. 2a ordynacji działu I – Przepisy ogólne, w sytuacji gdy równie ważna zasada legalizmu jest zamieszczona w art. 120 w dziale IV – Postępowanie podatkowe. Nikogo nie trzeba przekonywać, że zasady ogólne prawa podatkowego muszą być w jednym miejscu w pierwszej części ordynacji podatkowej. Jednak „stary” układ ordynacji na to nie pozwala, przez co tworzy się tego typu prowizoryczne regulacje, bo inaczej nie można. To pokazuje, że wyczerpały się możliwości udoskonalania i aktualizowania ordynacji podatkowej w drodze dalszych nowelizacji. Potrzebna jest nowa ustawa, o racjonalnym układzie, klarownych założeniach i przejrzystej treści, która odpowiadałaby nowym wyzwaniom społecznym i gospodarczym. Należy jednak zaznaczyć, że projektując nową ustawę, KKOPP wykorzystała te rozwiązania prawne, które zostały wypracowane przez lata obowiązywania i doskonalenia ordynacji podatkowej z 1997 r. i sprawdziły się. Trzeba wykorzystać to, że były one przez kilkanaście lat testowane w praktyce. Niektóre z nich bez zmian należy wprowadzić do nowego aktu, oczywiście z uwzględnieniem zmian prawa międzynarodowego i unijnego. Pojawiające się głosy nawołujące do wyrzucenia obowiązującej ordynacji „do kosza” i zastąpienie jej całkowicie nowym aktem oderwanym od funkcjonujących przez wiele lat przepisów nie są zasadne. Dobrze funkcjonujące instytucje, których kształt określony został w dużej mierze przez naukę, orzecznictwo i praktykę, znalazły się w projekcie nowej ustawy.   </w:t>
      </w:r>
    </w:p>
    <w:p w:rsidR="00964C27" w:rsidRPr="009A3C86" w:rsidRDefault="00964C27" w:rsidP="00D72E74">
      <w:pPr>
        <w:pStyle w:val="Nagwek1"/>
        <w:spacing w:before="120" w:line="360" w:lineRule="auto"/>
        <w:jc w:val="both"/>
        <w:rPr>
          <w:rFonts w:ascii="Times New Roman" w:hAnsi="Times New Roman"/>
          <w:b/>
          <w:color w:val="auto"/>
          <w:sz w:val="24"/>
          <w:szCs w:val="24"/>
        </w:rPr>
      </w:pPr>
      <w:bookmarkStart w:id="1" w:name="_Toc494363213"/>
      <w:r w:rsidRPr="009A3C86">
        <w:rPr>
          <w:rFonts w:ascii="Times New Roman" w:hAnsi="Times New Roman"/>
          <w:b/>
          <w:color w:val="auto"/>
          <w:sz w:val="24"/>
          <w:szCs w:val="24"/>
        </w:rPr>
        <w:t>II. Cele projektowanej ustawy</w:t>
      </w:r>
      <w:bookmarkEnd w:id="1"/>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Zawarte w projektowanej ustawie regulacje mają służyć realizacji dwóch podstawowych celów:</w:t>
      </w:r>
    </w:p>
    <w:p w:rsidR="00964C27" w:rsidRPr="009A3C86" w:rsidRDefault="00964C27" w:rsidP="00964C27">
      <w:pPr>
        <w:pStyle w:val="Akapitzlist1"/>
        <w:spacing w:after="0" w:line="360" w:lineRule="auto"/>
        <w:ind w:left="0"/>
      </w:pPr>
      <w:r w:rsidRPr="009A3C86">
        <w:t>1) ochrony prawa podatnika w jego relacjach z organami podatkowymi oraz</w:t>
      </w:r>
    </w:p>
    <w:p w:rsidR="00964C27" w:rsidRPr="009A3C86" w:rsidRDefault="00964C27" w:rsidP="00964C27">
      <w:pPr>
        <w:pStyle w:val="Akapitzlist1"/>
        <w:spacing w:after="0" w:line="360" w:lineRule="auto"/>
        <w:ind w:left="0"/>
      </w:pPr>
      <w:r w:rsidRPr="009A3C86">
        <w:t>2) zwiększenia efektywności i skuteczności poboru podatków.</w:t>
      </w:r>
    </w:p>
    <w:p w:rsidR="00964C27" w:rsidRPr="009A3C86" w:rsidRDefault="00964C27" w:rsidP="00964C27">
      <w:pPr>
        <w:pStyle w:val="Akapitzlist1"/>
        <w:spacing w:after="0" w:line="360" w:lineRule="auto"/>
        <w:ind w:left="0"/>
      </w:pPr>
      <w:r w:rsidRPr="009A3C86">
        <w:lastRenderedPageBreak/>
        <w:t>Pierwszy z tych celów będzie realizowany m.in. poprzez złagodzenie nadmiernego rygoryzmu ordynacji podatkowej w odniesieniu do podatników. W nowej ordynacji podatkowej wprowadzono mechanizmy prawne chroniące pozycję podatnika w jego kontaktach z administracją podatkową. Są to m.in.: zasady ogólne prawa podatkowego, konsensualne formy załatwiania spraw podatkowych (umowy podatkowe, mediacja, konsultacje skutków podatkowych transakcji), , regulacje chroniące podatnika w przypadku zastosowania się do informacji organów podatkowych, limit terminu przedawnienia zobowiązania podatkowego, zakaz orzekania na niekorzyść podatnika na etapie postępowania pierwszoinstancyjnego, środki zwalczania przewlekłości postępowania, prawo do skorygowania deklaracji przed zakończeniem postępowania podatkowego, rezygnacja z odwołania od decyzji na rzecz skargi do sądu, umorzenie podatku, dłuższe terminy do wniesienia odwołania i zażalenia, urzędowe informacje dotyczące zmian w prawie podatkowym.</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Drugim podstawowym celem nowej ordynacji podatkowej jest zwiększenie efektywności realizacji zobowiązań podatkowych. Ustawy podatkowe, a w tym również ordynacja podatkowa, mają zapewnić uzyskanie zakładanych wpływów podatkowych. Cel ten wymaga wprowadzenia szeregu mechanizmów i procedur zwiększających możliwości organów podatkowych w egzekwowaniu, wynikających z ustaw, obowiązków podatkowych. Jest to szczególnie ważne w sytuacji, gdy nasila się zjawisko agresywnej optymalizacji podatkowej, w tym o charakterze transgranicznym, skutkujące znaczącym zmniejszeniem wpływów budżetowych z tytułu opodatkowania. Większa skuteczność organów podatkowych nie może jednak prowadzić do naruszenia praw podatnika. Zwiększenie efektywności realizacji zobowiązań ma być osiągnięte m.in. poprzez: doskonalenie przepisów regulujących funkcjonowanie klauzuli przeciwko unikaniu opodatkowania, wprowadzenie przedawnienia wymiaru i poboru zobowiązań podatkowych, możliwość orzekania o nadpłacie w decyzjach cząstkowych i po upływie okresu przedawnienia, wprowadzenie efektywnego modelu postępowania podatkowego (postępowanie uproszczone, postępowanie reprezentatywne, eliminacja postępowań dotyczących bagatelnych kwot podatku), uporządkowanie nadzwyczajnych trybów wzruszania decyzji ostatecznych, wprowadzenie </w:t>
      </w:r>
      <w:r w:rsidR="00211AF9" w:rsidRPr="009A3C86">
        <w:rPr>
          <w:rFonts w:ascii="Times New Roman" w:hAnsi="Times New Roman"/>
          <w:sz w:val="24"/>
          <w:szCs w:val="24"/>
        </w:rPr>
        <w:t xml:space="preserve">zasady </w:t>
      </w:r>
      <w:r w:rsidRPr="009A3C86">
        <w:rPr>
          <w:rFonts w:ascii="Times New Roman" w:hAnsi="Times New Roman"/>
          <w:sz w:val="24"/>
          <w:szCs w:val="24"/>
        </w:rPr>
        <w:t xml:space="preserve">współdziałania podatnika </w:t>
      </w:r>
      <w:r w:rsidR="00211AF9" w:rsidRPr="009A3C86">
        <w:rPr>
          <w:rFonts w:ascii="Times New Roman" w:hAnsi="Times New Roman"/>
          <w:sz w:val="24"/>
          <w:szCs w:val="24"/>
        </w:rPr>
        <w:t>z organ</w:t>
      </w:r>
      <w:r w:rsidR="008B39C5" w:rsidRPr="009A3C86">
        <w:rPr>
          <w:rFonts w:ascii="Times New Roman" w:hAnsi="Times New Roman"/>
          <w:sz w:val="24"/>
          <w:szCs w:val="24"/>
        </w:rPr>
        <w:t>ami</w:t>
      </w:r>
      <w:r w:rsidR="00211AF9" w:rsidRPr="009A3C86">
        <w:rPr>
          <w:rFonts w:ascii="Times New Roman" w:hAnsi="Times New Roman"/>
          <w:sz w:val="24"/>
          <w:szCs w:val="24"/>
        </w:rPr>
        <w:t xml:space="preserve"> podatkowy</w:t>
      </w:r>
      <w:r w:rsidR="008B39C5" w:rsidRPr="009A3C86">
        <w:rPr>
          <w:rFonts w:ascii="Times New Roman" w:hAnsi="Times New Roman"/>
          <w:sz w:val="24"/>
          <w:szCs w:val="24"/>
        </w:rPr>
        <w:t>mi</w:t>
      </w:r>
      <w:r w:rsidR="00211AF9" w:rsidRPr="009A3C86">
        <w:rPr>
          <w:rFonts w:ascii="Times New Roman" w:hAnsi="Times New Roman"/>
          <w:sz w:val="24"/>
          <w:szCs w:val="24"/>
        </w:rPr>
        <w:t xml:space="preserve"> w zakresie wynikającym z przepisów prawa podatkowego</w:t>
      </w:r>
      <w:r w:rsidRPr="009A3C86">
        <w:rPr>
          <w:rFonts w:ascii="Times New Roman" w:hAnsi="Times New Roman"/>
          <w:sz w:val="24"/>
          <w:szCs w:val="24"/>
        </w:rPr>
        <w:t>, upowszechnienie stosowania komunikacji elektronicznej, sprecyzowanie przesłanek stosowania rygoru natychmiastowej wykonalności, uporządkowanie zasad stosowania i miarkowania kar porządkowych, zmodyfikowanie zasad wydawania interpretacji przepisów prawa podatkowego.</w:t>
      </w:r>
    </w:p>
    <w:p w:rsidR="00964C27" w:rsidRPr="009A3C86" w:rsidRDefault="00964C27" w:rsidP="00D72E74">
      <w:pPr>
        <w:pStyle w:val="Nagwek1"/>
        <w:spacing w:before="120" w:line="360" w:lineRule="auto"/>
        <w:jc w:val="both"/>
        <w:rPr>
          <w:rFonts w:ascii="Times New Roman" w:hAnsi="Times New Roman"/>
          <w:b/>
          <w:color w:val="auto"/>
          <w:sz w:val="24"/>
          <w:szCs w:val="24"/>
        </w:rPr>
      </w:pPr>
      <w:bookmarkStart w:id="2" w:name="_Toc494363214"/>
      <w:r w:rsidRPr="009A3C86">
        <w:rPr>
          <w:rFonts w:ascii="Times New Roman" w:hAnsi="Times New Roman"/>
          <w:b/>
          <w:color w:val="auto"/>
          <w:sz w:val="24"/>
          <w:szCs w:val="24"/>
        </w:rPr>
        <w:lastRenderedPageBreak/>
        <w:t>III. Nowe instytucje w projektowanej ustawie</w:t>
      </w:r>
      <w:bookmarkEnd w:id="2"/>
    </w:p>
    <w:p w:rsidR="00964C27" w:rsidRPr="009A3C86" w:rsidRDefault="00964C27" w:rsidP="00964C27">
      <w:pPr>
        <w:pStyle w:val="Nagwek2"/>
        <w:spacing w:before="0" w:line="360" w:lineRule="auto"/>
        <w:jc w:val="both"/>
        <w:rPr>
          <w:rFonts w:ascii="Times New Roman" w:hAnsi="Times New Roman"/>
          <w:b/>
          <w:color w:val="auto"/>
          <w:sz w:val="24"/>
          <w:szCs w:val="24"/>
        </w:rPr>
      </w:pPr>
      <w:bookmarkStart w:id="3" w:name="_Toc494363215"/>
      <w:bookmarkStart w:id="4" w:name="_Toc494363218"/>
      <w:r w:rsidRPr="009A3C86">
        <w:rPr>
          <w:rFonts w:ascii="Times New Roman" w:hAnsi="Times New Roman"/>
          <w:b/>
          <w:color w:val="auto"/>
          <w:sz w:val="24"/>
          <w:szCs w:val="24"/>
        </w:rPr>
        <w:t>1. Uwagi ogólne</w:t>
      </w:r>
      <w:bookmarkEnd w:id="3"/>
      <w:r w:rsidRPr="009A3C86">
        <w:rPr>
          <w:rFonts w:ascii="Times New Roman" w:hAnsi="Times New Roman"/>
          <w:b/>
          <w:color w:val="auto"/>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tej części uzasadnienia są wskazane nowe regulacje zawarte w projekcie nowej ordynacji podatkowej. Są one podzielone na dwie grupy. Pierwsza z nich to instytucje, których nie ma w ordynacji podatkowej z 1997 roku. Potrzeba ich wprowadzenia wynika z przyczyn obiektywnych, związanych z ewolucją prawa podatkowego, regulującego coraz to bardziej skomplikowane i złożone zjawiska gospodarcze i społeczne. Najważniejsze z tych instytucji to: zasady ogólne prawa podatkowego, reprezentacja w prawie podatkowym, przywrócenie terminu materialnoprawnego, umorzenie podatku, korekta deklaracji w ramach postępowania podatkowego, mediacje, umowa podatkowa, środki zwalczania przewlekłości postępowania, postępowanie uproszczone i dotyczące bagatelnych kwot podatku, zawieszenie postępowania z uwagi na „sprawę reprezentatywną”, możliwość rezygnacji z odwołania od decyzji, zakaz orzekania na niekorzyść podatnika przez organ pierwszej instancji, procedura konsultacyjna, umowa o współdziałanie, urzędowe informacje ogólne o istotnych zmianach przepisów prawa podatkowego, ustalanie wartości rzeczy, procedura odtwarzania akt.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drugiej grupie przedstawione zostały instytucje, które są co prawda w obowiązującej ordynacji, ale w projekcie zostały przebudowane. W istocie rzeczy w większości przypadków z istniejącymi unormowaniami łączy je jedynie nazwa. Najważniejsze z tych regulacji dotyczą: podstawowych pojęć i definicji, solidarności w prawie podatkowym, zastosowanie środków komunikacji elektronicznej, decyzji cząstkowych, rozszerzenia możliwości płacenia podatku przez podmioty inne niż zobowiązany, przedawnienia wymiaru i poboru zobowiązań podatkowych, nadpłaty, deklaracji podatkowych, kary porządkowej, urzędowych interpretacji przepisów prawa podatkowego.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Nowości te są prezentowane w kolejności wynikającej z nowego układu projektowanej ordynacji podatkowej.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Taki remanent projektowanych zmian pozwoli wykazać, że projekt nowej ordynacji nie powstał w wyniku „przetasowania” obowiązujących przepisów, ale jest to projekt całkowicie nowego aktu, uwzględniający sprawdzone w praktyce regulacje ogólnego prawa podatkowego. Przedstawienie nowych rozwiązań zawartych w projekcie pokazuje też, czego brakowało w obowiązującej ordynacji, a co uzasadnia potrzebę jej przebudowy. Niektóre z tych rozwiązań zostały już wprowadzone w życie, na co miała wpływ m.in. tocząca się dyskusja nad przygotowanymi przez KKOPP kierunkowymi założeniami nowej ordynacji podatkowej. Przykładem może być klauzula przeciwko unikaniu opodatkowania, wprowadzona do ordynacji w lipcu 2016 roku. Zrealizowany został też popierany przez KKOPP pomysł </w:t>
      </w:r>
      <w:r w:rsidRPr="009A3C86">
        <w:rPr>
          <w:rFonts w:ascii="Times New Roman" w:hAnsi="Times New Roman"/>
          <w:sz w:val="24"/>
          <w:szCs w:val="24"/>
        </w:rPr>
        <w:lastRenderedPageBreak/>
        <w:t>stworzenia dwóch rodzajów kontroli – uregulowanej w ordynacji dla zdecydowanej większości podatników i kontroli o szerszym niż podatki zakresie, uregulowanej w odrębnym akcie</w:t>
      </w:r>
      <w:r w:rsidRPr="009A3C86">
        <w:rPr>
          <w:rStyle w:val="Odwoanieprzypisudolnego"/>
          <w:sz w:val="24"/>
          <w:szCs w:val="24"/>
        </w:rPr>
        <w:footnoteReference w:id="27"/>
      </w:r>
      <w:r w:rsidRPr="009A3C86">
        <w:rPr>
          <w:rFonts w:ascii="Times New Roman" w:hAnsi="Times New Roman"/>
          <w:sz w:val="24"/>
          <w:szCs w:val="24"/>
        </w:rPr>
        <w:t>, umożliwiającej zwalczanie szarej strefy. W dobrym, postulowanym przez KKOPP kierunku, idą zmiany w interpretacjach indywidualnych prawa podatkowego, których jest za dużo. Ich ograniczenie jest możliwe poprzez zwiększenie roli i liczby interpretacji ogólnych, które muszą być obligatoryjnie wydawane w określonych sytuacjach. W zgodnym z założeniami KKOPP kierunku poszły też zmiany w regulacjach dotyczących wymiany informacji podatkowych z innymi państwami. Kwestie te nie powinny być uregulowane w ordynacji podatkowej, ale w odrębnej ustawie. Jest to uzasadnione przede wszystkim tym, że są to przepisy regulujące relacje pomiędzy państwami w zakresie wymiany informacji podatkowych. Nie są to zatem unormowania dotyczące stosunków pomiędzy organami podatkowymi i podatnikami. Nie bez znaczenia jest też duża objętość projektowanych regulacji, przez wzgląd na którą ich ujęcie w ordynacji podatkowej źle wpływałoby na jej strukturę.</w:t>
      </w:r>
    </w:p>
    <w:p w:rsidR="00964C27" w:rsidRPr="009A3C86" w:rsidRDefault="00964C27" w:rsidP="00D72E74">
      <w:pPr>
        <w:pStyle w:val="Nagwek2"/>
        <w:spacing w:before="120" w:line="360" w:lineRule="auto"/>
        <w:jc w:val="both"/>
        <w:rPr>
          <w:rFonts w:ascii="Times New Roman" w:hAnsi="Times New Roman"/>
          <w:b/>
          <w:color w:val="auto"/>
          <w:sz w:val="24"/>
          <w:szCs w:val="24"/>
        </w:rPr>
      </w:pPr>
      <w:bookmarkStart w:id="5" w:name="_Toc494363216"/>
      <w:r w:rsidRPr="009A3C86">
        <w:rPr>
          <w:rFonts w:ascii="Times New Roman" w:hAnsi="Times New Roman"/>
          <w:b/>
          <w:color w:val="auto"/>
          <w:sz w:val="24"/>
          <w:szCs w:val="24"/>
        </w:rPr>
        <w:t>2. Instytucje ogólnego prawa podatkowego, których nie ma w obowiązującej ordynacji podatkowej</w:t>
      </w:r>
      <w:bookmarkEnd w:id="5"/>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Zasady ogólne prawa podatkowego</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 przepisach ogólnych projektowanej ordynacji na samym początku – dział I rozdział 2 – zawarty jest katalog zasad ogólnych prawa podatkowego. Jest to niewątpliwie realizacja chyba najdłużej zgłaszanego postulatu dotyczącego porządkowania ogólnego prawa podatkowego. W chwili obecnej ukształtował się w orzecznictwie i doktrynie katalog kierunkowych dyrektyw postępowania w rozstrzyganiu spraw podatkowych, określanych mianem zasad prawa podatkowego</w:t>
      </w:r>
      <w:r w:rsidRPr="009A3C86">
        <w:rPr>
          <w:rStyle w:val="Odwoanieprzypisudolnego"/>
          <w:sz w:val="24"/>
          <w:szCs w:val="24"/>
        </w:rPr>
        <w:footnoteReference w:id="28"/>
      </w:r>
      <w:r w:rsidRPr="009A3C86">
        <w:rPr>
          <w:rFonts w:ascii="Times New Roman" w:hAnsi="Times New Roman"/>
          <w:sz w:val="24"/>
          <w:szCs w:val="24"/>
        </w:rPr>
        <w:t xml:space="preserve">. Nie wszystkie z tych dyrektyw są zapisane w ordynacji podatkowej. Nie ma np.: zasady ugodowego załatwiania spraw, zasady wyważenia interesu podatnika i interesu publicznego, zasady pragmatyzmu, czy też zasady proporcjonalności i współdziałania podatnika z organami podatkowymi. W projekcie zyskały one rangę zasad normatywnych.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Zasady ogólne prawa podatkowego powinny być zebrane w jednym miejscu, a nie tak jak obecnie w przepisach regulujących postępowanie podatkowe (obecny art. </w:t>
      </w:r>
      <w:r w:rsidR="00B73886" w:rsidRPr="009A3C86">
        <w:rPr>
          <w:rFonts w:ascii="Times New Roman" w:hAnsi="Times New Roman"/>
          <w:sz w:val="24"/>
          <w:szCs w:val="24"/>
        </w:rPr>
        <w:t>120</w:t>
      </w:r>
      <w:r w:rsidRPr="009A3C86">
        <w:rPr>
          <w:rFonts w:ascii="Times New Roman" w:hAnsi="Times New Roman"/>
          <w:sz w:val="24"/>
          <w:szCs w:val="24"/>
        </w:rPr>
        <w:t xml:space="preserve">-129) i przepisach ogólnych (art. 2a). Ich katalog w projektowanej ordynacji nie ma z założenia charakteru </w:t>
      </w:r>
      <w:r w:rsidRPr="009A3C86">
        <w:rPr>
          <w:rFonts w:ascii="Times New Roman" w:hAnsi="Times New Roman"/>
          <w:sz w:val="24"/>
          <w:szCs w:val="24"/>
        </w:rPr>
        <w:lastRenderedPageBreak/>
        <w:t xml:space="preserve">zamkniętego i może być w przyszłości wzbogacany o nowe, wypracowane przez doktrynę i judykaturę.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Reprezentacja w prawie podatkowym</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Obowiązująca ordynacja podatkowa w zasadzie nie reguluje kwestii związanych ze zdolnością do działania osób fizycznych oraz zasad reprezentacji osób prawnych oraz jednostek organizacyjnych niemających osobowości prawnej. W praktyce stosowano przepisy kodeksu cywilnego przez analogię, co zaprzeczało zupełności ogólnego prawa podatkowego. W nowej ordynacji przyjęto, że zdolność do działania we własnym imieniu mają osoby fizyczne posiadające pełną zdolność do czynności prawnych w rozumieniu prawa cywilnego. Osoby, które nie mają tej zdolności, działać mogą tylko przez przedstawiciela ustanowionego na podstawie prawa cywilnego. W zakresie reprezentacji jednostek organizacyjnych przyjęto zasadę, że działają one na gruncie prawa podatkowego poprzez swoje organy w sposób przewidziany w ustawie i w opartym na niej statucie lub umowie.</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Przywrócenie terminu materialnoprawnego</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projektowanej ordynacji wprowadzono możliwość przywrócenia przez organ podatkowy terminu wynikającego z przepisów prawa podatkowego w przypadku jego uchybienia przez zobowiązanego. W praktyce instytucja ta, zbliżona do obowiązującego teraz przywrócenia terminu procesowego, będzie miała zastosowanie m.in. do terminu złożenia deklaracji podatkowych, terminu do złożenia oświadczenia w sprawie wyboru lub rezygnacji z karty podatkowej lub ryczałtu od sprzedaży ewidencjonowanej, terminu do wyboru opodatkowania według stawki liniowej w podatku dochodowym od osób fizycznych. Zgodnie z nowymi przepisami organ podatkowy będzie mógł przywrócić termin, jeżeli podatnik uprawdopodobni, że nastąpiło to bez jego winy i dopełni danej czynności. Praktyka uzasadnia potrzebę wprowadzenia takiej możliwości z uwagi na to, że następstwa uchybienia terminu są bardzo często nieadekwatne do stopnia zawinienia podatnika.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Umorzenie podatku</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obowiązującej ordynacji podatkowej organ podatkowy może umorzyć jedynie zaległość podatkową. Tak więc podatnik, który spełnia kryteria uzyskania tej ulgi, nie może wnioskować o jej zastosowanie, zanim upłynie termin płatności podatku. Musi poczekać, aż podatek przekształci się w zaległość (z czym wiążą się odsetki i ewentualna odpowiedzialność karna skarbowa) i dopiero wówczas może wnioskować o jej umorzenie wraz z odsetkami. W nowych </w:t>
      </w:r>
      <w:r w:rsidRPr="009A3C86">
        <w:rPr>
          <w:rFonts w:ascii="Times New Roman" w:hAnsi="Times New Roman"/>
          <w:sz w:val="24"/>
          <w:szCs w:val="24"/>
        </w:rPr>
        <w:lastRenderedPageBreak/>
        <w:t xml:space="preserve">regulacjach przewidziano możliwość umorzenia kwoty podatku bez czekania na upływ terminu płatności. Jest to korzystne dla podatnika, ponieważ w razie odmowy nie jest on narażony na konieczność zapłacenia odsetek od zaległości podatkowej.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Możliwość skorygowania deklaracji podatkowej przed zakończeniem postępowania podatkowego</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 projekcie utrzymany został zakaz korygowania deklaracji w trakcie toczącego się postępowania podatkowego, ale przewidziano wyjątek, który znajdzie szerokie zastosowanie. Zgodnie z projektowanymi przepisami podatnik może skorygować deklarację w terminie wyznaczonym przez organ podatkowy do wypowiedzenia się w sprawie zebranego materiału dowodowego. O możliwości skorygowania deklaracji organ będzie zobowiązany powiadomić stronę, informując o możliwości zapoznania się z zebranym w postępowaniu materiałem. W efekcie podatnik będzie mógł samodzielnie skorygować deklarację, nie czekając na decyzję organu. Regulacja ta, korzystna dla organu podatkowego i podatnika (odpowiedzialność karna skarbowa, odsetki), przyspieszy tryb załatwiania spraw i zmniejszy koszty prowadzonych postępowań.</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Umowy podatkowe i mediacja</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Jest to jedna z tzw. niewładczych form załatwiania spraw podatkowych, które jeszcze do niedawna uznawane były za nieprzydatne w prawie podatkowym. KKOPP, kierując się doświadczeniami innych państw w tym zakresie, postanowiła uregulować w projektowanej ordynacji koncyliacyjne metody załatwiania spraw podatkowych, które polegają na umownym załatwieniu trudnych kwestii pomiędzy podatnikiem i organem podatkowym. Podatnik i organ podatkowy mogą porozumieć się sami albo z udziałem neutralnej i bezstronnej osoby trzeciej – mediatora. Mediacja może być zainicjowana przez stronę albo przez organ podatkowy i ma charakter dobrowolny. Ten sposób rozwiązywania spraw spornych może być wykorzystywany wszędzie tam, gdzie może być zawarta umowa podatkowa. Mediacja z założenia jest prowadzona właśnie po to, aby strony - organ podatkowy i podatnik – doszły do porozumienia, przez co postępowanie podatkowe może być tańsze i bardzie efektywne.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Nie w każdym przypadku dopuszczalne będzie zawarcie umowy. Nie można się umawiać co do wysokości podatku. Umowy w świetle projektu mogą być natomiast stosowane m.in. w procesie dowodowym, zwłaszcza gdy dotyczy to ustaleń stanu faktycznego sprzed kilku lat, ustalenia wartości transakcji, czynności lub zdarzenia, czy też rodzaju ulg uznaniowych (np. ilość rat albo termin odroczenia podatku). W tych obszarach organ podatkowy i podatnik mogą </w:t>
      </w:r>
      <w:r w:rsidRPr="009A3C86">
        <w:rPr>
          <w:rFonts w:ascii="Times New Roman" w:hAnsi="Times New Roman"/>
          <w:sz w:val="24"/>
          <w:szCs w:val="24"/>
        </w:rPr>
        <w:lastRenderedPageBreak/>
        <w:t xml:space="preserve">np. dojść do porozumienia co do wartości nieruchomości bez powoływania w tym celu biegłego i prowadzenia długotrwałego postępowania podatkowego i sądowego. To się opłaci obu stronom, co jest najlepszą zachętą do zawierania tego typu umów.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Środki zwalczania przewlekłości postępowania</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obowiązujących przepisach, w każdym przypadku niezałatwienia sprawy w terminie, organ podatkowy jest zobowiązany do powiadomienia o tym podatnika i wskazania nowego terminu. Problem w tym, że wskazany termin nie musi być ostateczny i organ może wyznaczyć kolejny raz nowy termin. To między innymi prowadzi do przewlekłości postępowania polegającej na tym, że organ podatkowy bezzasadnie przedłuża postępowanie, nie naruszając formalnie prawa. Podatnikowi przysługuje ponaglenie, ale tylko na niezałatwienie sprawy w terminie (bezczynność organu). W nowej ordynacji również przewlekłość postępowania jest podstawą do złożenia ponaglenia do organu wyższego stopnia. Stwierdzenie przewlekłości lub bezczynności zobowiązuje organ do wyznaczenia ostatecznego terminu załatwienia sprawy.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Postępowanie uproszczone i dotyczące bagatelnych kwot podatku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Obecnie postępowanie dotyczące 50 zł i 500 mln zł prowadzone jest wg tych samych reguł. Obciąża to nadmiernie organy podatkowe i powoduje, że koszty postępowania są bardzo wysokie, często przekraczające kwotę uzyskanego podatku. Chcąc to zmienić, trzeba wprowadzić uproszczony tryb załatwiania spraw, których przedmiotem są zobowiązania o niewielkich, bagatelnych kwotach. Nie ma sensu prowadzenia postępowań w sytuacji, gdy kwota podatku nie przekracza 50 zł. Kwota ta nie pokrywa w wielu przypadkach kosztów związanych z doręczeniami pism. Zgodnie z projektem takich postępowań nie wszczyna się a wszczęte umarza.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Idea postępowania uproszczonego sprowadza się do tego, że jeżeli nie ma potrzeby prowadzenia postępowania dowodowego (stan faktyczny nie budzi wątpliwości) lub kwota podatku nie przekracza 5000 zł, organ podatkowy może, za zgodą strony, od razu wydać decyzję, której nie uzasadnia. Uproszczenie procedury spowoduje, że sprawy będą  załatwiane szybko, w terminie nie dłuższym niż 14 dni. Tryb uproszczony usprawni załatwianie drobnych spraw, zmniejszy nakład pracy organów i koszty z tym związane.</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Zawieszenie postępowania z uwagi na „sprawę reprezentatywną”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projektowanymi regulacjami organ podatkowy, na wniosek strony lub z urzędu, może zawiesić postępowanie, gdy toczy się inne postępowanie, a stan faktyczny tych spraw lub </w:t>
      </w:r>
      <w:r w:rsidRPr="009A3C86">
        <w:rPr>
          <w:rFonts w:ascii="Times New Roman" w:hAnsi="Times New Roman"/>
          <w:sz w:val="24"/>
          <w:szCs w:val="24"/>
        </w:rPr>
        <w:lastRenderedPageBreak/>
        <w:t xml:space="preserve">istniejący w nich problem prawny jest podobny. W ten sposób zamiast prowadzić jednocześnie kilka postępowań wobec podatnika za poszczególne lata, można zaczekać na rozstrzygnięcie np. przez sąd sprawy reprezentatywnej, co umożliwi szybkie załatwienie zawieszonych spraw.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Rezygnacja z odwołania od decyzji</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 nowej ordynacji przyznano podatnikowi prawo do zrezygnowania z odwołania od decyzji organu podatkowego. Należy podkreślić, że jest to prawo podatnika, które może być realizowane tylko z jego inicjatywy. Zgodnie z nowymi regulacjami strona może zrezygnować z odwołania na rzecz skargi do sądu administracyjnego, jeżeli nie podnosi przeciw decyzji zarzutów naruszenia przepisów postępowania oraz nie kwestionuje faktów, które organ uznał za udowodnione, dowodów, którym organ dał wiarę oraz przyczyn, dla których organ innym dowodom odmówił wiarygodności zawartych w uzasadnieniu decyzji. Co podatnik może zyskać, rezygnując z odwołania? Przede wszystkim skrócenie czasu prowadzenia postępowania przez dwie instancje. Jeżeli podatnik nie wierzy w to, że odwołanie cokolwiek przyniesie, to może z niego zrezygnować i od razu skierować sprawę do sądu administracyjnego.</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Zakaz orzekania na niekorzyść podatnika przez organ pierwszej instancji</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projekcie nowej ordynacji podatkowej wprowadzony został zakaz wydawania decyzji pogarszającej sytuację podatnika przez organ pierwszej instancji w przypadku uchylenia jego decyzji i przekazania sprawy do ponownego rozpatrzenia. Zgodnie z nowymi regulacjami organ podatkowy, którego decyzja została uchylona, ponownie rozpatrując sprawę, nie może wydać decyzji na niekorzyść strony, chyba że uchylona decyzja zawierała wady, które skutkują stwierdzeniem nieważności decyzji lub wznowieniem postępowania.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DF7CCC">
      <w:pPr>
        <w:keepNext/>
        <w:keepLines/>
        <w:spacing w:after="0" w:line="360" w:lineRule="auto"/>
        <w:jc w:val="both"/>
        <w:rPr>
          <w:rFonts w:ascii="Times New Roman" w:hAnsi="Times New Roman"/>
          <w:sz w:val="24"/>
          <w:szCs w:val="24"/>
        </w:rPr>
      </w:pPr>
      <w:r w:rsidRPr="009A3C86">
        <w:rPr>
          <w:rFonts w:ascii="Times New Roman" w:hAnsi="Times New Roman"/>
          <w:sz w:val="24"/>
          <w:szCs w:val="24"/>
        </w:rPr>
        <w:t>Urzędowe informacje o istotnych zmianach przepisów prawa podatkowego</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projektowanych przepisach planuje się zobowiązanie ministra właściwego do spraw finansów publicznych do wydawania z urzędu informacji o dokonanych zmianach w przepisach prawa podatkowego i tym, w jaki sposób rzutują one na prawa i obowiązki podatników. Informacje te będą publikowane w Biuletynie Informacji Publicznej. Warto podkreślić, że będzie to ustawowy obowiązek ministra finansów. Zobowiązani, którzy zastosują się do tych informacji, nie będą ponosili negatywnych konsekwencji w przypadku zmiany stanowiska ministra albo jego nieuwzględnienia w postępowaniu podatkowym.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Procedura konsultacyjna</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Wprowadzenie tej procedury jest odpowiedzią na zgłaszane przez podatników postulaty przeprowadzenia przez organ podatkowy kontroli poprawności ich rozliczeń podatkowych na ich wniosek. Dotyczy to zwłaszcza podatników, którzy dokonali skomplikowanych operacji gospodarczych (np. przekształceń) i nie są pewni, czy nie popełnili błędów wywołujących negatywne skutki podatkowe. W takiej sytuacji będą oni mogli wnioskować do organu podatkowego o wydanie decyzji w sprawie skutków podatkowych transakcji, których byli stroną lub uczestnikiem. W decyzji tej organ podatkowy może określić prawidłową kwotę podatku w przypadku, gdy stwierdzi, że podatnik źle określił wysokość podatku w deklaracji. Procedura ta różni się od interpretacji indywidualnych nie tylko możliwością wydania decyzji określającej. W trakcie procedury konsultacyjnej organ podatkowy nie ogranicza się jedynie do analizy danych przedstawionych przez podatnika (tak jest przy interpretacjach), ale faktycznie bada całość dokumentacji u podatnika w celu stwierdzenia poprawności przeprowadzonych przez niego rozliczeń. Jest to więc „kontrola na zamówienie”, która musi wiązać się z uiszczeniem opłaty, podobne jak przy porozumieniach w sprawach cen transakcyjnych. W toku postępowania podatnikowi przysługują liczne prawa, które pozwalają mu lepiej niż w postępowaniu standardowym realizować swój interes.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Umowa o współdziałanie</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Istotą tej umowy jest współdziałanie podatnika z organem podatkowym w zakresie jego zobowiązań podatkowych. Oparta jest ona na całkowitej transparentności działań podatnika, który informuje organ o wszelkich istotnych i kontrowersyjnych kwestiach, mających wpływ na wysokość płaconych przez niego podatków. Organ podatkowy wie, co się dzieje u podatnika, a podatnik w zamian ma pewność poprawności jego rozliczeń podatkowych. Takie współdziałanie nie może z uwagi na jego specyfikę być powszechnie wykorzystywane w relacjach organ – podatnik. Umowa o współdziałanie może zostać zawarta </w:t>
      </w:r>
      <w:r w:rsidR="00EA0493" w:rsidRPr="009A3C86">
        <w:rPr>
          <w:rFonts w:ascii="Times New Roman" w:hAnsi="Times New Roman"/>
          <w:sz w:val="24"/>
          <w:szCs w:val="24"/>
        </w:rPr>
        <w:t xml:space="preserve">przez Szefa Krajowej Administracji Skarbowej </w:t>
      </w:r>
      <w:r w:rsidRPr="009A3C86">
        <w:rPr>
          <w:rFonts w:ascii="Times New Roman" w:hAnsi="Times New Roman"/>
          <w:sz w:val="24"/>
          <w:szCs w:val="24"/>
        </w:rPr>
        <w:t xml:space="preserve">jedynie na wniosek </w:t>
      </w:r>
      <w:r w:rsidR="00EA0493" w:rsidRPr="009A3C86">
        <w:rPr>
          <w:rFonts w:ascii="Times New Roman" w:hAnsi="Times New Roman"/>
          <w:sz w:val="24"/>
          <w:szCs w:val="24"/>
        </w:rPr>
        <w:t xml:space="preserve">największych podmiotów.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Ustalanie wartości rzeczy lub praw majątkowych</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Przepisy ogólnego prawa podatkowego powinny regulować kwestie wspólne dla większości lub wszystkich podatków składających się na polski system podatkowy. Jedną z nich jest procedura ustalania wartości rzeczy lub praw majątkowych na potrzeby ich opodatkowania. Obecnie procedura ta jest regulowana w kilku ustawach podatkowych, w każdej nieco inaczej. Żeby ją ujednolicić, podstawowe reguły ustalania wartości rzeczy postanowiono zapisać w projektowanej ordynacji podatkowej. Nie wyklucza to możliwości wprowadzenia w ustawach </w:t>
      </w:r>
      <w:r w:rsidRPr="009A3C86">
        <w:rPr>
          <w:rFonts w:ascii="Times New Roman" w:hAnsi="Times New Roman"/>
          <w:sz w:val="24"/>
          <w:szCs w:val="24"/>
        </w:rPr>
        <w:lastRenderedPageBreak/>
        <w:t>podatkowych specyficznych regulacji wynikających z konstrukcji danego podatku. W ustawach tych jednak regulowane będą jedynie wyjątki od zasad zawartych w ogólnym prawie podatkowym.</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Procedura odtwarzania akt sprawy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Problematyka odtworzenia zaginionych lub zniszczonych akt sprawy podatkowej nie jest uregulowana w przepisach ordynacji podatkowej, która także nie odsyła w tym zakresie do innych aktów. Problematyka ta nabiera znaczenia w postępującym procesie cyfryzacji postępowań podatkowych i zwiększonych zagrożeń związanych z utratą danych zapisanych na nośnikach elektronicznych. Przypadki takie mają już miejsce i wówczas okazuje się, że nie wiadomo jak ma postępować organ podatkowy, który prowadzi postępowanie np. w sprawie wznowienia postępowania zakończonego decyzją wydaną 5 lat temu. Kwestie te muszą być uregulowane w ordynacji, ponieważ dotyczy to bezpośrednio sytuacji podatnika, udokumentowanej w aktach sprawy.</w:t>
      </w:r>
    </w:p>
    <w:p w:rsidR="00964C27" w:rsidRPr="009A3C86" w:rsidRDefault="00964C27" w:rsidP="00D72E74">
      <w:pPr>
        <w:pStyle w:val="Nagwek2"/>
        <w:spacing w:before="120" w:line="360" w:lineRule="auto"/>
        <w:jc w:val="both"/>
        <w:rPr>
          <w:rFonts w:ascii="Times New Roman" w:hAnsi="Times New Roman"/>
          <w:b/>
          <w:color w:val="auto"/>
          <w:sz w:val="24"/>
          <w:szCs w:val="24"/>
        </w:rPr>
      </w:pPr>
      <w:bookmarkStart w:id="6" w:name="_Toc494363217"/>
      <w:r w:rsidRPr="009A3C86">
        <w:rPr>
          <w:rFonts w:ascii="Times New Roman" w:hAnsi="Times New Roman"/>
          <w:b/>
          <w:color w:val="auto"/>
          <w:sz w:val="24"/>
          <w:szCs w:val="24"/>
        </w:rPr>
        <w:t>3. Instytucje całkowicie przebudowane w projektowanej ordynacji</w:t>
      </w:r>
      <w:bookmarkEnd w:id="6"/>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Nowe definicje</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 projektowanej ordynacji pojawiają się nowe definicje, których celem jest przede wszystkim sprecyzowanie pojęć w niej występujących oraz ich wzajemne uporządkowanie. I tak: sprecyzowano pojęcie podatku, obowiązku podatkowego, zdefiniowano opłatę i niepodatkową należność budżetową, co było od dawna postulowane w literaturze. W słowniczku do ustawy wprowadzono pojęcie zobowiązanego, przez którego rozumie się nie tylko podatnika, ale także płatnika, inkasenta, osoby trzecie ponoszące odpowiedzialność podatkową i następców prawnych. Uzupełnieniem tej definicji jest ustawowe określenie rozumienia osoby trzeciej i następcy prawnego. W słowniczku ustawowym zawarta jest także definicja decyzji wymiarowej skonstruowana w ten sposób, że wyliczone są wszystkie decyzje zaliczane do tej grupy. Wprowadzone zmiany na pewno przyczynią się do lepszego rozumienia przepisów projektowanej ordynacji, ale także umożliwią bardziej syntetyczne ujęcie niektórych instytucji w niej uregulowanych.</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Środki komunikacji elektronicznej</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nowej ordynacji podatkowej w sposób kompleksowy uregulowane zostały kwestie dotyczące wykorzystywania środków komunikacji elektronicznej w prawie podatkowym. Podstawowe zasady z tym związane ujęto – co od dawna postulowano – w odrębnym rozdziale </w:t>
      </w:r>
      <w:r w:rsidRPr="009A3C86">
        <w:rPr>
          <w:rFonts w:ascii="Times New Roman" w:hAnsi="Times New Roman"/>
          <w:sz w:val="24"/>
          <w:szCs w:val="24"/>
        </w:rPr>
        <w:lastRenderedPageBreak/>
        <w:t xml:space="preserve">ordynacji podatkowej. Reguły tam zawarte porządkują wykorzystywanie narzędzi komunikacji elektronicznej nie tylko w kontaktach z podatnikiem, ale również m.in. w procesie tworzenia dokumentacji podatkowej, przekazywania i uzyskiwania informacji podatkowych, kontroli podatkowej, rejestracji podatników. Zasadą jest, że wszelkiego rodzaju dokumenty mogą być </w:t>
      </w:r>
      <w:r w:rsidRPr="009A3C86">
        <w:rPr>
          <w:rFonts w:ascii="Times New Roman" w:hAnsi="Times New Roman"/>
          <w:bCs/>
          <w:sz w:val="24"/>
          <w:szCs w:val="24"/>
        </w:rPr>
        <w:t>składane i przesyłane drogą elektroniczną, jeśli podatnik o to wnosi lub na to się zgadza. Środki elektroniczne</w:t>
      </w:r>
      <w:r w:rsidRPr="009A3C86">
        <w:rPr>
          <w:rFonts w:ascii="Times New Roman" w:hAnsi="Times New Roman"/>
          <w:sz w:val="24"/>
          <w:szCs w:val="24"/>
        </w:rPr>
        <w:t xml:space="preserve"> w nowej ordynacji są traktowane jako podstawowy sposób komunikowania się organu z podatnikiem oraz innymi instytucjami. Wprowadzono przy tym obowiązek komunikowania się z organem podatkowym przy wykorzystaniu środków komunikacji elektronicznej przez przedsiębiorców (z wyjątkiem mikroprzedsiębiorców). Działanie to usprawni kontakt i zmniejszy jego koszty ponoszone przez obie strony. Pozostaje oczywiście możliwość wykorzystywania tradycyjnej, „papierowej” formy przesyłania dokumentów, ale w najbliższej przyszłości forma ta będzie zanikała. Ponadto, zniesiono daleko idące ograniczenia w kontaktach za pomocą środków komunikacji elektronicznej z samorządowymi organami podatkowymi, przez co w istocie zrównano zasady tego sposobu komunikowania się z samorządowymi i państwowymi organami podatkowymi.</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Wyłączenie pracownika i organu podatkowego</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 projekcie nowej ordynacji podatkowej przebudowane zostały kryteria wyłączenia pracownika i organu podatkowego z prowadzenia spraw podatkowych, w sytuacji gdy ich pozycja lub relacje z innymi podmiotami mogą mieć wpływ na ich bezstronność. W obowiązujących przepisach - i to jest ich główny mankament - przewidziane są zróżnicowane przyczyny wyłączenia pracownika lub organu podatkowego oraz kryteria wyłączenia poszczególnych kategorii osób podlegających wyłączeniu. Trudno jest uzasadnić to niepotrzebne zróżnicowanie, stąd też zdecydowano się na przyjęcie jednolitych zasad wyłączenia piastunów organów, ich zastępców, pracowników, funkcjonariuszy, organów, w tym samorządowych organów podatkowych. Wprowadzając nowe rozwiązania, wzorowano się na analogicznych regulacjach zawartych w Kodeksie postępowania administracyjnego, które - w przeciwieństwie do zawartych w obowiązującej ordynacji – nie wywołują niepotrzebnych problemów przy ich stosowaniu w praktyce. </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Deklaracje podatkowe</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W nowej ordynacji w jednym rozdziale uregulowano problematykę składania i korygowania deklaracji podatkowych. Dotychczasowe rozproszenie tych przepisów skutkowało powstawaniem licznych problemów interpretacyjnych. Deklaracje są podstawowym </w:t>
      </w:r>
      <w:r w:rsidRPr="009A3C86">
        <w:rPr>
          <w:rFonts w:ascii="Times New Roman" w:hAnsi="Times New Roman"/>
          <w:bCs/>
          <w:sz w:val="24"/>
          <w:szCs w:val="24"/>
        </w:rPr>
        <w:lastRenderedPageBreak/>
        <w:t>dokumentem zapewniającym organom podatkowym weryfikację działań podatnika i szybkie wychwytywanie nieprawidłowości oraz symptomów ucieczki od podatku. To umożliwia szybkie podjęcie przez organ czynności sprawdzających albo kontroli podatkowej oraz – w razie potrzeby – postępowania podatkowego. I to zostało uwzględnione w nowych przepisach, ale nie tylko. Są tam także przepisy zwiększające uprawnienia podatników w składaniu i korygowaniu deklaracji. Wszystkie deklaracje podatkowe, a w zasadzie dane w nich wykazane, będą objęte zasadą</w:t>
      </w:r>
      <w:r w:rsidRPr="009A3C86">
        <w:rPr>
          <w:rFonts w:ascii="Times New Roman" w:hAnsi="Times New Roman"/>
          <w:sz w:val="24"/>
          <w:szCs w:val="24"/>
        </w:rPr>
        <w:t xml:space="preserve"> domniemania rzetelności. </w:t>
      </w:r>
      <w:r w:rsidRPr="009A3C86">
        <w:rPr>
          <w:rFonts w:ascii="Times New Roman" w:hAnsi="Times New Roman"/>
          <w:bCs/>
          <w:sz w:val="24"/>
          <w:szCs w:val="24"/>
        </w:rPr>
        <w:t xml:space="preserve">Podatnik uzyska także prawo do skorygowania deklaracji </w:t>
      </w:r>
      <w:r w:rsidRPr="009A3C86">
        <w:rPr>
          <w:rFonts w:ascii="Times New Roman" w:hAnsi="Times New Roman"/>
          <w:sz w:val="24"/>
          <w:szCs w:val="24"/>
        </w:rPr>
        <w:t xml:space="preserve">w ostatniej fazie postępowania podatkowego przed wydaniem decyzji. Będzie mógł to zrobić w terminie przewidzianym do wypowiedzenia się strony postępowania w sprawie zebranego materiału dowodowego. Skorygowanie deklaracji będzie skutkowało umorzeniem postępowania, jeżeli będzie zgodne z oczekiwaniami organu podatkowego.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Decyzje cząstkowe</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Są to decyzje, w których określona jest jedynie część zobowiązania podatkowego, wskazana przez podatnika m.in. we wniosku o stwierdzenie nadpłaty lub wynikająca z wniosku o przeprowadzenie procedury konsultacyjnej. Zobowiązanie podatkowe w przypadku wydania decyzji cząstkowej wynika po części z tej decyzji (stąd nazwa), a w pozostałym zakresie ze złożonej przez podatnika deklaracji podatkowej. Możliwość wydania takiej decyzji usprawni przebieg postępowań z wniosku podatnika, gdzie istnieje potrzeba określenia zobowiązania w niewielkim zakresie (np. podatnik wnioskuje o stwierdzenie nadpłaty w wysokości 100 zł w sytuacji, gdy zobowiązanie wynosi 1 mln zł). W takiej sytuacji organ nie musi prowadzić całego postępowania wymiarowego obejmującego całokształt stanu faktycznego mającego wpływ na wysokość zobowiązania podatkowego, tylko ograniczy się do rozstrzygnięcia co do wysokości podatku od przedmiotu wskazanego przez podatnika.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Rozszerzenie możliwości płacenia podatku przez podmioty inne niż zobowiązany</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Jeszcze do niedawana podatku za podatnika nie mógł zapłacić inny podmiot. Od tego zakazu z powodów praktycznych należy wprowadzić wyjątki, dopuszczające możliwość płacenia za podatnika przez inne osoby w szerszym zakresie niż dotychczas. Zgodnie z proponowanymi regulacjami za podatnika inna osoba będzie mogła zapłacić nie tylko podatek (tak jest teraz), ale także zaległość podatkową, odsetki za zwłokę, koszty postępowania podatkowego oraz koszty upomnienia.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Przedawnienie zobowiązań podatkowych</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Obecny model instytucji przedawnienia został w projekcie zmieniony z dwóch zasadniczych powodów. Pierwszy z nich to problem występowania w obowiązującej ordynacji dwóch różnych terminów przedawnienia w zależności od tego, w jaki sposób powstaje zobowiązanie podatkowe. W przypadku podatków, w których zobowiązanie powstaje przez doręczenie decyzji (np. podatku od nieruchomości, rolnego czy leśnego, gdy podatnikami są osoby fizyczne, podatku od spadków i darowizn), organ podatkowy jest uprawniony do ich wymiaru przez okres 3 lub 5 lat (art. 68 o.p.), a następnie po powstaniu zobowiązania ma 5 lat na pobór podatku (art. 70 o.p.). Natomiast w przypadku podatków powstających z mocy ustawy (np. PIT, CIT, VAT, podatek akcyzowy, podatek od nieruchomości, rolny i leśny, gdy podatnikami są osoby prawne i jednostki organizacyjne bez osobowości prawnej) obowiązuje jednolity termin na wymiar i pobór podatku wynoszący 5 lat (art. 70 o.p.).</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Równie kontrowersyjną sprawą okazała się długość terminu przedawnienia zobowiązań podatkowych, o którym mowa w art. 70 obowiązującej ordynacji. Zgodnie z tym przepisem zobowiązanie podatkowe przedawnia się z upływem 5 lat, licząc od końca roku kalendarzowego, w którym upłynął termin płatności podatku. Wskazany termin 5-letni, </w:t>
      </w:r>
      <w:r w:rsidRPr="009A3C86">
        <w:rPr>
          <w:rFonts w:ascii="Times New Roman" w:hAnsi="Times New Roman"/>
          <w:sz w:val="24"/>
          <w:szCs w:val="24"/>
        </w:rPr>
        <w:br/>
        <w:t xml:space="preserve">w następstwie licznych przesłanek zawieszenia jego biegu oraz możliwości jego przerwania, jest wydłużany. Stąd biorą się sytuacje, w których np. zobowiązanie podatkowe może być egzekwowane nawet po kilkunastu latach. Możliwość wielokrotnego stosowania środka egzekucyjnego (przerwa biegu terminu przedawnienia) lub wszczynania postępowania </w:t>
      </w:r>
      <w:r w:rsidRPr="009A3C86">
        <w:rPr>
          <w:rFonts w:ascii="Times New Roman" w:hAnsi="Times New Roman"/>
          <w:sz w:val="24"/>
          <w:szCs w:val="24"/>
        </w:rPr>
        <w:br/>
        <w:t xml:space="preserve">w sprawie o przestępstwo lub wykroczenie skarbowe (zawieszenie biegu terminu przedawnienia) może skutkować tym, że w skrajnych przypadkach zobowiązanie nigdy się nie przedawni. W tym kontekście nie są prawdziwe twierdzenia, że w aktualnym stanie prawnym termin przedawnienia wynosi 5 lat. W istocie rzeczy termin ten może być wydłużany, bez  ograniczeń czasowych. Ten stan rzeczy został zmieniony w projektowanych przepisach.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Nowa konstrukcja prawna instytucji przedawnienia opiera się na założeniu, że zasady przedawnienia zobowiązań podatkowych (zarówno powstających z mocy prawa, jak i po doręczeniu decyzji) powinny być jednolite. W związku z tym proponuje się wprowadzenie terminu przedawnienia wymiaru i terminu przedawnienia poboru podatku. Okres przedawnienia wymiaru wynosi 3 lub 5 lat liczone od dnia upływu terminu płatności lub powstania obowiązku podatkowego. W tym czasie organ podatkowy musiałby doręczyć decyzję ustalającą lub określającą wysokość podatku. Pięcioletni okres przedawnienia wymiaru miałby zastosowanie w odniesieniu do rozliczenia podatków związanych z prowadzoną działalnością gospodarczą, a trzyletni – do podatków pozostałych. Dłuższy okres przedawnienia podatków związanych z prowadzeniem działalności wiąże się z bardziej </w:t>
      </w:r>
      <w:r w:rsidRPr="009A3C86">
        <w:rPr>
          <w:rFonts w:ascii="Times New Roman" w:hAnsi="Times New Roman"/>
          <w:sz w:val="24"/>
          <w:szCs w:val="24"/>
        </w:rPr>
        <w:lastRenderedPageBreak/>
        <w:t>skomplikowanym charakterem tych rozliczeń. Po upływie okresu przedawnienia wymiaru następowałby 5</w:t>
      </w:r>
      <w:r w:rsidRPr="009A3C86">
        <w:rPr>
          <w:rFonts w:ascii="Times New Roman" w:hAnsi="Times New Roman"/>
          <w:sz w:val="24"/>
          <w:szCs w:val="24"/>
        </w:rPr>
        <w:sym w:font="Symbol" w:char="F02D"/>
      </w:r>
      <w:r w:rsidRPr="009A3C86">
        <w:rPr>
          <w:rFonts w:ascii="Times New Roman" w:hAnsi="Times New Roman"/>
          <w:sz w:val="24"/>
          <w:szCs w:val="24"/>
        </w:rPr>
        <w:t xml:space="preserve">letni okres przedawnienia poboru. W tym czasie organy podatkowe mogłyby egzekwować podatki wynikające z deklaracji lub decyzji. </w:t>
      </w:r>
    </w:p>
    <w:p w:rsidR="00964C27" w:rsidRPr="009A3C86" w:rsidRDefault="00964C27" w:rsidP="00964C27">
      <w:pPr>
        <w:spacing w:after="0" w:line="360" w:lineRule="auto"/>
        <w:jc w:val="both"/>
        <w:rPr>
          <w:rFonts w:ascii="Times New Roman" w:hAnsi="Times New Roman"/>
          <w:strike/>
          <w:sz w:val="24"/>
          <w:szCs w:val="24"/>
        </w:rPr>
      </w:pPr>
      <w:r w:rsidRPr="009A3C86">
        <w:rPr>
          <w:rFonts w:ascii="Times New Roman" w:hAnsi="Times New Roman"/>
          <w:sz w:val="24"/>
          <w:szCs w:val="24"/>
        </w:rPr>
        <w:t>Przerywanie i zawieszanie biegu terminu przedawnienia zostało w projekcie mocno ograniczone. W ramach przedawnienia wymiaru wykluczono możliwość przerwania jego biegu, a jego zawieszenie powinno następować tylko z przyczyn obiektywnych, niezależnych od organu podatkowego. Zawieszenie przedawnienia wymiaru nie może prowadzić do jego wydłużenia o więcej niż 5 lat.</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Przesłanki przerwania i zawieszenia biegu terminu poboru także zostały zdecydowanie ograniczone. Termin biegu terminu przedawnienia poboru jest także limitowany okresem 5 lat.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Nadpłata </w:t>
      </w:r>
    </w:p>
    <w:p w:rsidR="00964C27" w:rsidRPr="009A3C86" w:rsidRDefault="00964C27" w:rsidP="00964C27">
      <w:pPr>
        <w:pStyle w:val="Tekstkomentarza"/>
      </w:pPr>
      <w:r w:rsidRPr="009A3C86">
        <w:t xml:space="preserve">Generalnej przebudowie uległy przepisy regulujące nadpłatę podatku. Przede wszystkim wprowadzono regułę, zgodnie z którą nadpłata jest zaliczana lub zwracana bez wydawania decyzji w każdym przypadku, gdy nie budzi to wątpliwości organu podatkowego. Decyzja rozstrzygająca o nadpłacie pojawia się wówczas, gdy organ nie zgadza się z kwotą nadpłaty wyliczoną przez podatnika. Przyjęcie tej reguły umożliwiło rezygnację z decyzji określających nadpłatę (wydawanych z urzędu) i decyzji stwierdzających nadpłatę (wydawanych na wniosek podatnika). W każdym przypadku „zetknięcia” się organu z niewątpliwie nadpłaconym podatkiem powinien on być zaliczany lub zwracany niezwłocznie, bez prowadzenia postępowań i wydawania decyzji stwierdzających. Zmodyfikowano możliwość wydawania tzw. decyzji cząstkowych, stwierdzających nadpłatę w granicach zakreślonych wnioskiem podatnika. W decyzjach takich organ stwierdza kwotę nadpłaty i określa wysokość zobowiązania od przedmiotu opodatkowania wskazanego we wniosku podatnika o nadpłatę. Wysokość zobowiązania w pozostałej części jest określona – co budziło wątpliwości w obowiązującym stanie prawnym – w deklaracji złożonej przez podatnika. W ten sposób wysokość zobowiązania wynika po części z deklaracji, a po części z decyzji organu podatkowego. Wśród innych zmian należy zwrócić uwagę na sprecyzowanie definicji nadpłaty, uwzględnienie elementu bezpodstawnego wzbogacenia jako przesłanki, której zaistnienie eliminuje możliwość jej zwrotu, ujednolicenie terminów zwrotu i oprocentowania nadpłaty oraz jej zaliczania na poczet zaległości podatkowych. Ta trudna instytucja prawa podatkowego w wyniku wprowadzenia tych zmian będzie bardziej czytelna dla podatników i organów podatkowych.  </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lastRenderedPageBreak/>
        <w:t xml:space="preserve">     Wykonywanie zobowiązań solidarnych</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Obecnie obowiązujące w art. 91 o.p. odesłanie do przepisów Kodeksu cywilnego w zakresie odpowiedzialności solidarnej nie rozwiązuje szeregu problemów z tym związanych na gruncie prawa podatkowego. Widać to bardzo wyraźnie w przypadku preferencji podatkowych (ulg, zwolnień, wyłączeń) w odniesieniu do podmiotów, na których ciąży solidarna odpowiedzialność za zobowiązania podatkowe. Kwestie te zostały kompleksowo uregulowane w projektowanych przepisach.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 przypadku wyłączenia z opodatkowania, zwolnienia z obowiązku zapłaty podatku, przedawnienia wymiaru lub poboru podatku oraz zaniechania poboru podatku względem jednego z odpowiedzialnych solidarnie świadczenie podatkowe ulega pomniejszeniu w zakresie przypadającym na tego zobowiązanego i ciąży wyłącznie na pozostałych zobowiązanych.</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Podobnie przy zastosowaniu ulgi w spłacie polegającej na umorzeniu wobec jednego z zobowiązanych solidarnie, zobowiązanie podatkowe wygasa w zakresie nie wyższym niż przypadający na tego zobowiązanego, a świadczenie podatkowe ulega pomniejszeniu o umorzoną kwotę.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Odroczenie terminu przewidzianego w przepisach prawa podatkowego, odroczenie terminu płatności, rozłożenie na raty oraz zawieszenie i przerwanie biegu terminu przedawnienia prawa do wymiaru i poboru podatku wobec jednego z zobowiązanych solidarnie nie wywiera skutku względem pozostałych.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Można oczywiście wywodzić, że reguły te w istocie łamią istotę cywilistycznej odpowiedzialności solidarnej (niepodzielnej), ale praktyka pokazuje, że w prawie podatkowym muszą one być dostosowane do specyfiki odpowiedzialności podatkowej. </w:t>
      </w:r>
    </w:p>
    <w:p w:rsidR="00964C27" w:rsidRPr="009A3C86" w:rsidRDefault="00964C27" w:rsidP="00964C27">
      <w:pPr>
        <w:tabs>
          <w:tab w:val="left" w:pos="0"/>
        </w:tabs>
        <w:autoSpaceDE w:val="0"/>
        <w:autoSpaceDN w:val="0"/>
        <w:adjustRightInd w:val="0"/>
        <w:spacing w:after="0" w:line="360" w:lineRule="auto"/>
        <w:ind w:hanging="360"/>
        <w:jc w:val="both"/>
        <w:rPr>
          <w:rFonts w:ascii="Times New Roman" w:hAnsi="Times New Roman"/>
          <w:sz w:val="24"/>
          <w:szCs w:val="24"/>
        </w:rPr>
      </w:pPr>
      <w:r w:rsidRPr="009A3C86">
        <w:rPr>
          <w:rFonts w:ascii="Times New Roman" w:hAnsi="Times New Roman"/>
          <w:sz w:val="24"/>
          <w:szCs w:val="24"/>
        </w:rPr>
        <w:t xml:space="preserve">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Uporządkowanie kar porządkowych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W nowej ordynacji doprecyzowano i na nowo uregulowano zasady nakładania kar porządkowych. Przede wszystkim wprowadzono kryteria miarkowania tych kar, których wcześniej nie było. Sprecyzowano, za co może być nałożona kara, bo wbrew pozorom w praktyce budziło to wiele wątpliwości, zwłaszcza w zakresie odmowy udziału w „innej czynności”. Skróceniu uległy terminy do wymiaru i poboru kar porządkowych. </w:t>
      </w:r>
    </w:p>
    <w:p w:rsidR="00964C27" w:rsidRPr="009A3C86" w:rsidRDefault="00964C27" w:rsidP="00964C27">
      <w:pPr>
        <w:spacing w:after="0" w:line="360" w:lineRule="auto"/>
        <w:jc w:val="both"/>
        <w:rPr>
          <w:rFonts w:ascii="Times New Roman" w:hAnsi="Times New Roman"/>
          <w:sz w:val="24"/>
          <w:szCs w:val="24"/>
        </w:rPr>
      </w:pPr>
    </w:p>
    <w:p w:rsidR="00964C27" w:rsidRPr="009A3C86" w:rsidRDefault="00964C27" w:rsidP="00964C27">
      <w:pPr>
        <w:spacing w:after="0" w:line="360" w:lineRule="auto"/>
        <w:jc w:val="both"/>
        <w:rPr>
          <w:rFonts w:ascii="Times New Roman" w:hAnsi="Times New Roman"/>
          <w:b/>
          <w:sz w:val="24"/>
          <w:szCs w:val="24"/>
        </w:rPr>
      </w:pPr>
      <w:r w:rsidRPr="009A3C86">
        <w:rPr>
          <w:rFonts w:ascii="Times New Roman" w:hAnsi="Times New Roman"/>
          <w:sz w:val="24"/>
          <w:szCs w:val="24"/>
        </w:rPr>
        <w:t>Interpretacje przepisów prawa podatkowego</w:t>
      </w:r>
    </w:p>
    <w:p w:rsidR="00964C27" w:rsidRPr="009A3C86" w:rsidRDefault="00964C27" w:rsidP="00964C27">
      <w:pPr>
        <w:spacing w:after="0" w:line="360" w:lineRule="auto"/>
        <w:jc w:val="both"/>
        <w:rPr>
          <w:rFonts w:ascii="Times New Roman" w:hAnsi="Times New Roman"/>
          <w:b/>
          <w:sz w:val="24"/>
          <w:szCs w:val="24"/>
        </w:rPr>
      </w:pPr>
      <w:r w:rsidRPr="009A3C86">
        <w:rPr>
          <w:rFonts w:ascii="Times New Roman" w:hAnsi="Times New Roman"/>
          <w:sz w:val="24"/>
          <w:szCs w:val="24"/>
        </w:rPr>
        <w:t xml:space="preserve">Możliwość wystąpienia przez zainteresowanego o interpretację prawa podatkowego została w nowej ordynacji utrzymana, ale zmodyfikowana. Zasadniczym problemem dotyczącym </w:t>
      </w:r>
      <w:r w:rsidRPr="009A3C86">
        <w:rPr>
          <w:rFonts w:ascii="Times New Roman" w:hAnsi="Times New Roman"/>
          <w:sz w:val="24"/>
          <w:szCs w:val="24"/>
        </w:rPr>
        <w:lastRenderedPageBreak/>
        <w:t xml:space="preserve">interpretacji jest to, że za dużo jest interpretacji indywidualnych, a za mało ogólnych, co w efekcie prowadzi do zablokowania sądów, a zwłaszcza Naczelnego Sądu Administracyjnego. Zmiany w zasadach wydawania interpretacji przepisów prawa podatkowego w nowej ordynacji podatkowej idą w kierunku zwiększenia liczby oraz wzmocnienia roli interpretacji ogólnych. Minister właściwy do spraw finansów publicznych jest zobowiązany do wydania bez zbędnej zwłoki interpretacji ogólnej w przypadku wpłynięcia znaczącej liczby wniosków o interpretacje indywidualne, dotyczących takich samych stanów faktycznych lub zdarzeń przyszłych, złożonych w takim samym stanie prawnym. Wydanie takiej interpretacji ogranicza znacznie liczbę interpretacji indywidualnych, co jest celem tych zmian.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Wydawanie interpretacji ogólnych przez ministra musi być skoordynowane z orzecznictwem sądowym dotyczącym zbliżonych problemów prawnych. W związku z tym, w nowych przepisach upoważniono ministra właściwego do spraw finansów publicznych do kierowania pytań prawnych do Naczelnego Sądu Administracyjnego. Będzie mógł to zrobić wówczas, gdy w toku wydawania interpretacji ogólnej wystąpią poważne wątpliwości na tle rozbieżnego orzecznictwa sądów administracyjnych.</w:t>
      </w:r>
    </w:p>
    <w:p w:rsidR="00964C27" w:rsidRPr="009A3C86" w:rsidRDefault="00964C27" w:rsidP="00D72E74">
      <w:pPr>
        <w:pStyle w:val="Nagwek1"/>
        <w:spacing w:line="360" w:lineRule="auto"/>
        <w:jc w:val="both"/>
        <w:rPr>
          <w:rFonts w:ascii="Times New Roman" w:hAnsi="Times New Roman"/>
          <w:b/>
          <w:color w:val="auto"/>
          <w:sz w:val="24"/>
          <w:szCs w:val="24"/>
        </w:rPr>
      </w:pPr>
      <w:r w:rsidRPr="009A3C86">
        <w:rPr>
          <w:rFonts w:ascii="Times New Roman" w:hAnsi="Times New Roman"/>
          <w:b/>
          <w:color w:val="auto"/>
          <w:sz w:val="24"/>
          <w:szCs w:val="24"/>
        </w:rPr>
        <w:t>IV. Systematyka przepisów projektu ordynacji podatkowej</w:t>
      </w:r>
    </w:p>
    <w:bookmarkEnd w:id="4"/>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 xml:space="preserve">Jedną z przyczyn, które zadecydowały o potrzebie przygotowana projektu nowej ordynacji podatkowej, była systematyka przepisów obowiązującego aktu. Duża ilość zmian wprowadzona w ordynacji spowodowała, że struktura grupowania jej przepisów uległa zdeformowaniu. Najlepszym przykładem jest wspomniany już art. 2a zawierający zasadę rozstrzygania wątpliwości na korzyść podatnika, który został umiejscowiony pomiędzy przepisem regulującym świadczenia, do których stosuje się ustawę i słowniczkiem ustawowym. Stało się tak dlatego, ponieważ w obowiązującej ordynacji nie ma miejsca na zasady ogólne, zwłaszcza w sytuacji, gdy część z nich zlokalizowana jest w dziale IV  „Postępowanie podatkowe”. W efekcie, o czym już wspomniano, zasada rozstrzygania wątpliwości na korzyść podatnika jest uregulowana w dziale I „Przepisy ogólne”, a zasada legalizmu w art. 120 działu IV „Postępowanie podatkowe”. Jest to nie tylko niezgodne z zasadami techniki prawodawczej, ale także zakłóca proces wykładni tych zasad. Innego rodzaju przykładem rozpadania się systematyki przepisów obecnej ordynacji podatkowej jest numeracja artykułów, która jest wzbogacana o dodawane litery – np. art. 119zzk.  Akurat to postępowanie jest zgodne z zasadami techniki prawodawczej, ale nie ma nic wspólnego z dobrą legislacją. Komplikuje to bardzo i tak słabo czytelną strukturę przepisów.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W projekcie mankamenty te zostały wyeliminowane poprzez pogrupowanie artykułów w rozdziały, a te z kolei w sześć działów: „Przepisy ogólne”, „Zobowiązania podatkowe”, „Postępowanie podatkowe”, „Postępowania szczególne”, „Przepisy karne” oraz „Przepisy końcowe”. W ramach niektórych rozdziałów wprowadzone zostały oddziały grupujące artykuły normujące zbliżoną przedmiotowo problematykę. Wprowadzenie oddziałów, przewidzianych w § 60 ust. 2 zasad techniki prawodawczej, umożliwiło precyzyjne usystematyzowanie przepisów, zwłaszcza w rozdziałach obszernych, regulujących złożone instytucje, takie jak np.: przedawnienie, nadpłata czy też kontrola podatkowa.     </w:t>
      </w:r>
    </w:p>
    <w:p w:rsidR="00964C27" w:rsidRPr="009A3C86" w:rsidRDefault="00964C27" w:rsidP="00964C27">
      <w:pPr>
        <w:spacing w:after="0" w:line="360" w:lineRule="auto"/>
        <w:jc w:val="both"/>
        <w:rPr>
          <w:rFonts w:ascii="Times New Roman" w:hAnsi="Times New Roman"/>
          <w:sz w:val="24"/>
          <w:szCs w:val="24"/>
        </w:rPr>
      </w:pPr>
      <w:r w:rsidRPr="009A3C86">
        <w:rPr>
          <w:rFonts w:ascii="Times New Roman" w:hAnsi="Times New Roman"/>
          <w:sz w:val="24"/>
          <w:szCs w:val="24"/>
        </w:rPr>
        <w:t>Układ nowej ordynacji podatkowej, zgodny z wymogami określonymi w dziale I rozdziale 4 zasad techniki prawodawczej, oddaje wiernie przedmiot regulacji zawartych w projektowanej ordynacji i poprawnie grupuje jej przepisy.</w:t>
      </w:r>
    </w:p>
    <w:p w:rsidR="00A0038F" w:rsidRPr="009A3C86" w:rsidRDefault="00A0038F" w:rsidP="00D72E74">
      <w:pPr>
        <w:keepNext/>
        <w:keepLines/>
        <w:spacing w:before="240" w:after="0" w:line="360" w:lineRule="auto"/>
        <w:jc w:val="both"/>
        <w:outlineLvl w:val="1"/>
        <w:rPr>
          <w:rFonts w:ascii="Times New Roman" w:eastAsia="Times New Roman" w:hAnsi="Times New Roman"/>
          <w:b/>
          <w:sz w:val="24"/>
          <w:szCs w:val="24"/>
        </w:rPr>
      </w:pPr>
      <w:r w:rsidRPr="009A3C86">
        <w:rPr>
          <w:rFonts w:ascii="Times New Roman" w:eastAsia="Times New Roman" w:hAnsi="Times New Roman"/>
          <w:b/>
          <w:sz w:val="24"/>
          <w:szCs w:val="24"/>
        </w:rPr>
        <w:t xml:space="preserve">Dział I. PRZEPISY OGÓLNE </w:t>
      </w:r>
    </w:p>
    <w:p w:rsidR="00A0038F" w:rsidRPr="009A3C86" w:rsidRDefault="00A0038F" w:rsidP="00A0038F">
      <w:pPr>
        <w:tabs>
          <w:tab w:val="num" w:pos="720"/>
        </w:tabs>
        <w:spacing w:after="0" w:line="360" w:lineRule="auto"/>
        <w:jc w:val="both"/>
        <w:outlineLvl w:val="2"/>
        <w:rPr>
          <w:rFonts w:ascii="Times New Roman" w:hAnsi="Times New Roman"/>
          <w:b/>
          <w:sz w:val="24"/>
          <w:szCs w:val="24"/>
          <w:lang w:eastAsia="pl-PL"/>
        </w:rPr>
      </w:pPr>
      <w:r w:rsidRPr="009A3C86">
        <w:rPr>
          <w:rFonts w:ascii="Times New Roman" w:hAnsi="Times New Roman"/>
          <w:b/>
          <w:sz w:val="24"/>
          <w:szCs w:val="24"/>
          <w:lang w:eastAsia="pl-PL"/>
        </w:rPr>
        <w:t>Rozdział 1. Przepisy wstępne</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1. Sposób normowania przedmiotu i zakresu regulacji prawnej objętej przepisami obowiązującej ordynacji podatkowej jest przyczyną licznych wątpliwości. W nauce prawa podatkowego formułowane są słuszne zarzuty dotyczące wybiórczego, nieobejmującego całej treści ordynacji podatkowej, określenia przedmiotu tej ustawy. W art. 1 obowiązującej ordynacji podatkowej wskazano bowiem, że obejmuje ona zobowiązania podatkowe, informacje podatkowe, postępowanie podatkowe, kontrolę podatkową, czynności sprawdzające oraz tajemnicę skarbową. Tymczasem treść tej ustawy jest dużo szersza. Ta niezgodność zasygnalizowanych w ustawie ram regulacji prawnej z rzeczywistym zakresem unormowania źle świadczy o jakości dotychczasowej regulacji prawnej. Dzieje się tak, ponieważ wprowadza ona w błąd nieświadomego adresata przepisów ustawy, niebędącego specjalistą w dziedzinie prawa podatkowego.</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 Pierwsze dwa artykuły projektu odnoszą się do przedmiotu i zakresu regulacji, czyli zakresu przedmiotowego aktu prawnego. Zgodnie z </w:t>
      </w:r>
      <w:r w:rsidRPr="009A3C86">
        <w:rPr>
          <w:rFonts w:ascii="Times New Roman" w:hAnsi="Times New Roman"/>
          <w:b/>
          <w:sz w:val="24"/>
          <w:szCs w:val="24"/>
        </w:rPr>
        <w:t>art. 1</w:t>
      </w:r>
      <w:r w:rsidRPr="009A3C86">
        <w:rPr>
          <w:rFonts w:ascii="Times New Roman" w:hAnsi="Times New Roman"/>
          <w:sz w:val="24"/>
          <w:szCs w:val="24"/>
        </w:rPr>
        <w:t xml:space="preserve"> </w:t>
      </w:r>
      <w:r w:rsidR="0004201A" w:rsidRPr="009A3C86">
        <w:rPr>
          <w:rFonts w:ascii="Times New Roman" w:hAnsi="Times New Roman"/>
          <w:b/>
          <w:sz w:val="24"/>
          <w:szCs w:val="24"/>
        </w:rPr>
        <w:t>§ 1</w:t>
      </w:r>
      <w:r w:rsidR="0004201A" w:rsidRPr="009A3C86">
        <w:rPr>
          <w:rFonts w:ascii="Times New Roman" w:hAnsi="Times New Roman"/>
          <w:sz w:val="24"/>
          <w:szCs w:val="24"/>
        </w:rPr>
        <w:t xml:space="preserve"> </w:t>
      </w:r>
      <w:r w:rsidRPr="009A3C86">
        <w:rPr>
          <w:rFonts w:ascii="Times New Roman" w:hAnsi="Times New Roman"/>
          <w:sz w:val="24"/>
          <w:szCs w:val="24"/>
        </w:rPr>
        <w:t xml:space="preserve">projektu ordynacja podatkowa zawiera przepisy ogólnego prawa podatkowego regulujące stosunki prawnopodatkowe między zobowiązanymi a organami podatkowymi. Z proponowanego przepisu wynika wprost, że ustawa ta stanowi akt prawny z zakresu ogólnego prawa podatkowego. Ponadto z regulacji tej wynika, że akt ten reguluje stosunki prawnopodatkowe, w tym zarówno materialnoprawne oraz procesowe pomiędzy organami podatkowymi a zobowiązanymi. Oczywiście kompleksowa regulacja wskazanych stosunków wiąże się z uwzględnieniem, oprócz przepisów ordynacji </w:t>
      </w:r>
      <w:r w:rsidRPr="009A3C86">
        <w:rPr>
          <w:rFonts w:ascii="Times New Roman" w:hAnsi="Times New Roman"/>
          <w:sz w:val="24"/>
          <w:szCs w:val="24"/>
        </w:rPr>
        <w:lastRenderedPageBreak/>
        <w:t>podatkowej, przepisów regulujących konkretny podatek (przepisów prawa podatkowego szczegółowego).</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Z art. 1 projektu wynika, że przepisy zawarte w tym akcie prawnym wchodzą w skład (są budulcem)  ogólnego prawa podatkowego.</w:t>
      </w:r>
    </w:p>
    <w:p w:rsidR="0004201A" w:rsidRPr="009A3C86" w:rsidRDefault="0004201A" w:rsidP="0004201A">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Przepisy </w:t>
      </w:r>
      <w:r w:rsidRPr="009A3C86">
        <w:rPr>
          <w:rFonts w:ascii="Times New Roman" w:hAnsi="Times New Roman"/>
          <w:b/>
          <w:bCs/>
          <w:sz w:val="24"/>
          <w:szCs w:val="24"/>
        </w:rPr>
        <w:t>art. 1 § 2–4</w:t>
      </w:r>
      <w:r w:rsidRPr="009A3C86">
        <w:rPr>
          <w:rFonts w:ascii="Times New Roman" w:hAnsi="Times New Roman"/>
          <w:bCs/>
          <w:sz w:val="24"/>
          <w:szCs w:val="24"/>
        </w:rPr>
        <w:t xml:space="preserve"> projektu regulują obowiązki organów podatkowych w zakresie ochrony danych osobowych.</w:t>
      </w:r>
    </w:p>
    <w:p w:rsidR="0004201A" w:rsidRPr="009A3C86" w:rsidRDefault="0004201A" w:rsidP="0004201A">
      <w:pPr>
        <w:spacing w:after="0" w:line="360" w:lineRule="auto"/>
        <w:jc w:val="both"/>
        <w:rPr>
          <w:rFonts w:ascii="Times New Roman" w:hAnsi="Times New Roman"/>
          <w:sz w:val="24"/>
          <w:szCs w:val="24"/>
          <w:u w:val="single"/>
        </w:rPr>
      </w:pPr>
      <w:r w:rsidRPr="009A3C86">
        <w:rPr>
          <w:rFonts w:ascii="Times New Roman" w:hAnsi="Times New Roman"/>
          <w:bCs/>
          <w:sz w:val="24"/>
          <w:szCs w:val="24"/>
        </w:rPr>
        <w:t xml:space="preserve">Dane osobowe zawarte w aktach spraw podatkowych będą przetwarzane w celu wykonywania kompetencji organów podatkowych określonych w art. 69. Wszystkie czynności podejmowane przez organy podatkowe w ramach swoich kompetencji mają oparcie w przepisach prawa podatkowego. Zgodnie z zasadą legalizmu wyrażoną w art. 14 organy podatkowe działają na podstawie przepisów prawa. Istnieje zatem ustawowe umocowanie do przetwarzania danych osobowych przez organy podatkowe. Podejmując czynności w ramach swoich ustawowych kompetencji, organy podatkowe wchodzą w posiadanie danych osobowych. Przetwarzanie danych osobowych przez te organy jest niezbędne do wykonywania zadań realizowanych w interesie publicznym oraz w ramach sprawowania powierzonej im władzy publicznej. </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Dane gromadzone przez organy podatkowe podlegają szczególnej ochronie tajemnicą skarbową. Zakres danych chronionych tajemnicą skarbową określa art. 99. Tajemnicą skarbową objęte są indywidualne dane zawarte w deklaracji oraz innych dokumentach składanych przez podatników, płatników lub inkasentów (art. 99 § 1) oraz dane zawarte w dokumentacji, o której mowa w art. 99 § 2.</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Przepisy art. 100 wymieniają enumeratywnie katalog osób obowiązanych do przestrzegania tajemnicy skarbowej oraz zobowiązuje do przestrzegania tej tajemnicy również inne osoby, którym udostępniono informacje objęte tą tajemnicą. Dane objęte tajemnicą skarbową mogą być udostępniane przez organy podatkowe tylko ściśle określonym podmiotom i w ściśle określonym celu, w przypadkach i na zasadach określonych w Ordynacji podatkowej oraz odrębnych ustawach. </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Ujawnienie informacji objętych tajemnicą skarbową jest penalizowane karą pozbawienia wolności (art. 797 Ordynacji).</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Administratorami danych objętych tajemnicą skarbową są organy podatkowe enumeratywnie wymienione w art. 69.</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Administratorem danych zobowiązanych oraz zainteresowanych korzystających z portalu podatkowego jest minister właściwy do spraw finansów publicznych (art. 40 § 1).</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 xml:space="preserve">Okres przechowywania danych osobowych zawartych w aktach spraw podatkowych wynika z instrukcji kancelaryjnych określanych w przepisach wykonawczych wydanych na podstawie </w:t>
      </w:r>
      <w:r w:rsidRPr="009A3C86">
        <w:rPr>
          <w:rFonts w:ascii="Times New Roman" w:hAnsi="Times New Roman"/>
          <w:sz w:val="24"/>
          <w:szCs w:val="24"/>
        </w:rPr>
        <w:lastRenderedPageBreak/>
        <w:t>art. 6 ustawy z dnia 14 lipca 1983 r. o narodowym zasobie archiwalnym i archiwach. Okres przechowywania akt spraw podatkowych wynosi najczęściej 10 lat i zasadniczo jest liczony od dnia 1 stycznia roku następującego po roku, w którym zakończono sprawę.</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Dane osobowe objęte tajemnicą skarbową dotyczą ogromnej liczby podmiotów (podatników, płatników, inkasentów, kontrahentów podatników, następców prawnych, osób trzecich). Informowanie o przyjętych ograniczeniach każdej osoby, której dane są przetwarzane, byłoby z jednej strony trudne do zrealizowania, a z drugiej strony – niezasadne, skoro wszystkie działania organów podatkowych muszą mieć oparcie w przepisach prawa i są podejmowane w celu wykonywania władztwa daninowego.</w:t>
      </w:r>
    </w:p>
    <w:p w:rsidR="0004201A" w:rsidRPr="009A3C86" w:rsidRDefault="0004201A" w:rsidP="0004201A">
      <w:pPr>
        <w:spacing w:after="0" w:line="360" w:lineRule="auto"/>
        <w:jc w:val="both"/>
        <w:rPr>
          <w:rFonts w:ascii="Times New Roman" w:hAnsi="Times New Roman"/>
          <w:bCs/>
          <w:sz w:val="24"/>
          <w:szCs w:val="24"/>
        </w:rPr>
      </w:pPr>
      <w:r w:rsidRPr="009A3C86">
        <w:rPr>
          <w:rFonts w:ascii="Times New Roman" w:hAnsi="Times New Roman"/>
          <w:b/>
          <w:bCs/>
          <w:sz w:val="24"/>
          <w:szCs w:val="24"/>
        </w:rPr>
        <w:t>Art. 1 § 2</w:t>
      </w:r>
      <w:r w:rsidRPr="009A3C86">
        <w:rPr>
          <w:rFonts w:ascii="Times New Roman" w:hAnsi="Times New Roman"/>
          <w:bCs/>
          <w:sz w:val="24"/>
          <w:szCs w:val="24"/>
        </w:rPr>
        <w:t xml:space="preserve"> służy uzupełnieniu określenia przedmiotu ustawy o sposób wykonywania przez organy podatkowe obowiązku informacyjnego, o którym mowa w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 dalej „RODO”. Przepis </w:t>
      </w:r>
      <w:r w:rsidRPr="009A3C86">
        <w:rPr>
          <w:rFonts w:ascii="Times New Roman" w:hAnsi="Times New Roman"/>
          <w:b/>
          <w:bCs/>
          <w:sz w:val="24"/>
          <w:szCs w:val="24"/>
        </w:rPr>
        <w:t>art. 1 § 3</w:t>
      </w:r>
      <w:r w:rsidRPr="009A3C86">
        <w:rPr>
          <w:rFonts w:ascii="Times New Roman" w:hAnsi="Times New Roman"/>
          <w:bCs/>
          <w:sz w:val="24"/>
          <w:szCs w:val="24"/>
        </w:rPr>
        <w:t xml:space="preserve"> projektu ma na celu wskazanie, że wykonywanie wymienionego obowiązku informacyjnego odbywa się niezależnie od obowiązków organów podatkowych przewidzianych w ustawie oraz nie wpływa na tok i wynik procedur podatkowych. Dodawane przepisy art. 1 § 2–4 projektu stanowią odpowiedniki dotychczasowego art. 1a § 1–3 o.p. Podobne regulacje są zawarte w art. 2a Kodeksu postępowania administracyjnego. </w:t>
      </w:r>
    </w:p>
    <w:p w:rsidR="0004201A" w:rsidRPr="009A3C86" w:rsidRDefault="0004201A" w:rsidP="0004201A">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Zmiany proponowane w przepisach </w:t>
      </w:r>
      <w:r w:rsidRPr="009A3C86">
        <w:rPr>
          <w:rFonts w:ascii="Times New Roman" w:hAnsi="Times New Roman"/>
          <w:b/>
          <w:bCs/>
          <w:sz w:val="24"/>
          <w:szCs w:val="24"/>
        </w:rPr>
        <w:t>art. 355 § 2, art. 357 § 7, art. 359 § 1, art. 368  § 2, art. 369  § 1 zdanie trzecie i art. 758 § 7</w:t>
      </w:r>
      <w:r w:rsidRPr="009A3C86">
        <w:rPr>
          <w:rFonts w:ascii="Times New Roman" w:hAnsi="Times New Roman"/>
          <w:bCs/>
          <w:sz w:val="24"/>
          <w:szCs w:val="24"/>
        </w:rPr>
        <w:t xml:space="preserve">, (odpowiedniki dotychczasowych art. 159 § 1b, art. 165 § 9, art. 165a § 1, art. 170 § 1a, art. 171 § 1 i art. 306aa o.p.) mają na celu określenie sytuacji, w których organy podatkowe będą zobowiązane przekazywać informacje, o których mowa w art. 13 ust. 1 i 2 RODO. Z kolei celem dodania </w:t>
      </w:r>
      <w:r w:rsidRPr="009A3C86">
        <w:rPr>
          <w:rFonts w:ascii="Times New Roman" w:hAnsi="Times New Roman"/>
          <w:b/>
          <w:bCs/>
          <w:sz w:val="24"/>
          <w:szCs w:val="24"/>
        </w:rPr>
        <w:t>art. 378 § 6</w:t>
      </w:r>
      <w:r w:rsidRPr="009A3C86">
        <w:rPr>
          <w:rFonts w:ascii="Times New Roman" w:hAnsi="Times New Roman"/>
          <w:bCs/>
          <w:sz w:val="24"/>
          <w:szCs w:val="24"/>
        </w:rPr>
        <w:t xml:space="preserve"> (odpowiednik art. 179a o.p.) jest wskazanie, że prawo wglądu strony w akta sprawy nie narusza prawa osoby, której dane dotyczą, do skorzystania z uprawnień wynikających z art. 15 RODO. </w:t>
      </w:r>
    </w:p>
    <w:p w:rsidR="0004201A" w:rsidRPr="009A3C86" w:rsidRDefault="0004201A" w:rsidP="0004201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675 § 2 pkt 10</w:t>
      </w:r>
      <w:r w:rsidRPr="009A3C86">
        <w:rPr>
          <w:rFonts w:ascii="Times New Roman" w:hAnsi="Times New Roman"/>
          <w:sz w:val="24"/>
          <w:szCs w:val="24"/>
        </w:rPr>
        <w:t xml:space="preserve"> (odpowiednik pkt 9 w art. 283 § 2 o.p.) wynika z potrzeby określenia sposobu realizacji przez organy podatkowe obowiązku przekazywania informacji, o których mowa w art. 13 ust. 1 i 2 </w:t>
      </w:r>
      <w:r w:rsidRPr="009A3C86">
        <w:rPr>
          <w:rFonts w:ascii="Times New Roman" w:hAnsi="Times New Roman"/>
          <w:bCs/>
          <w:sz w:val="24"/>
          <w:szCs w:val="24"/>
        </w:rPr>
        <w:t>RODO,</w:t>
      </w:r>
      <w:r w:rsidRPr="009A3C86">
        <w:rPr>
          <w:rFonts w:ascii="Times New Roman" w:hAnsi="Times New Roman"/>
          <w:sz w:val="24"/>
          <w:szCs w:val="24"/>
        </w:rPr>
        <w:t xml:space="preserve"> w razie wszczęcia kontroli podatkowej.</w:t>
      </w:r>
    </w:p>
    <w:p w:rsidR="0004201A" w:rsidRPr="009A3C86" w:rsidRDefault="0004201A" w:rsidP="0004201A">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 xml:space="preserve">art. </w:t>
      </w:r>
      <w:r w:rsidR="00BA4699">
        <w:rPr>
          <w:rFonts w:ascii="Times New Roman" w:hAnsi="Times New Roman"/>
          <w:b/>
          <w:sz w:val="24"/>
          <w:szCs w:val="24"/>
        </w:rPr>
        <w:t>708</w:t>
      </w:r>
      <w:r w:rsidRPr="009A3C86">
        <w:rPr>
          <w:rFonts w:ascii="Times New Roman" w:hAnsi="Times New Roman"/>
          <w:b/>
          <w:sz w:val="24"/>
          <w:szCs w:val="24"/>
        </w:rPr>
        <w:t xml:space="preserve"> § 2 i 5</w:t>
      </w:r>
      <w:r w:rsidRPr="009A3C86">
        <w:rPr>
          <w:rFonts w:ascii="Times New Roman" w:hAnsi="Times New Roman"/>
          <w:sz w:val="24"/>
          <w:szCs w:val="24"/>
        </w:rPr>
        <w:t xml:space="preserve"> odpowiadają treści dotychczasowemu art. 119zn § 2 i 5 o.p. W zakresie identyfikacji i ewidencji podatników art. 524 odpowiada treści dotychczasowemu art. 15aa ustawy o zasadach ewidencji i identyfikacji podatników i płatników.</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3. Kodyfikacja jest twórczym, ustawowym unormowaniem prawnym danej dziedziny stosunków życia społecznego w sposób względnie wyczerpujący (całościowy lub zupełny), jednolity, logiczny i wewnętrznie spójny w jednym akcie prawnym</w:t>
      </w:r>
      <w:r w:rsidRPr="009A3C86">
        <w:rPr>
          <w:rFonts w:ascii="Times New Roman" w:hAnsi="Times New Roman"/>
          <w:sz w:val="24"/>
          <w:szCs w:val="24"/>
          <w:vertAlign w:val="superscript"/>
        </w:rPr>
        <w:footnoteReference w:id="29"/>
      </w:r>
      <w:r w:rsidRPr="009A3C86">
        <w:rPr>
          <w:rFonts w:ascii="Times New Roman" w:hAnsi="Times New Roman"/>
          <w:sz w:val="24"/>
          <w:szCs w:val="24"/>
        </w:rPr>
        <w:t>. W związku z powyższym przyjęto zasadę, że nowa ustawa znajdzie zastosowanie do wszystkich należności publicznoprawnych, chyba że ustawy odrębne stanowią inaczej. W konsekwencji projekt ordynacji podatkowej obejmuje swoim zakresem nie tylko podatki, ale i inne określone daniny publiczne, w tym opłaty i niepodatkowe należności publicznoprawne. Przyjęto zasadę stosowania projektowanej ustawy do podatków, do których wymiaru uprawnione są organy podatkowe (</w:t>
      </w:r>
      <w:r w:rsidRPr="009A3C86">
        <w:rPr>
          <w:rFonts w:ascii="Times New Roman" w:hAnsi="Times New Roman"/>
          <w:b/>
          <w:sz w:val="24"/>
          <w:szCs w:val="24"/>
        </w:rPr>
        <w:t>art. 2 § 1</w:t>
      </w:r>
      <w:r w:rsidRPr="009A3C86">
        <w:rPr>
          <w:rFonts w:ascii="Times New Roman" w:hAnsi="Times New Roman"/>
          <w:sz w:val="24"/>
          <w:szCs w:val="24"/>
        </w:rPr>
        <w:t xml:space="preserve"> projektu), przy czym do tej kategorii pojęciowej zaliczono także opłaty, niepodatkowe należności budżetowe, a także raty lub zaliczki na podatki, opłaty oraz na niepodatkowe należności budżetowe (art. 13 pkt 9 projektu). Warto zwrócić uwagę, że w przepisie tym posłużono się pojęciem „wymiar”, które jest szersze znaczeniowo od zwrotu „określanie lub ustalanie”. „Ustalanie” lub „określanie” to pojęcia odnoszące się do sposobu powstawania zobowiązań podatkowych. Natomiast wymiar obejmuje zdecydowanie szerszą aktywność organów podatkowych. Ponadto pojęcie to nawiązuje do zdefiniowanego w art. 13 pkt 3 projektu pojęcia decyzji wymiarowej.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Poza wskazanymi wyżej daninami, do których wymiaru uprawnione są organy podatkowe wymienione w art. 2 § 1 projektowanej ordynacji podatkowej, wybrane regulacje stosuje się odpowiednio do opłat oraz niepodatkowych należności budżetowych, o ile do ich wymiaru uprawnione są organy inne niż organy podatkowe i jeżeli odrębne przepisy nie stanowią inaczej </w:t>
      </w:r>
      <w:r w:rsidRPr="009A3C86">
        <w:rPr>
          <w:rFonts w:ascii="Times New Roman" w:hAnsi="Times New Roman"/>
          <w:b/>
          <w:sz w:val="24"/>
          <w:szCs w:val="24"/>
        </w:rPr>
        <w:t>(art. 2 § 2</w:t>
      </w:r>
      <w:r w:rsidRPr="009A3C86">
        <w:rPr>
          <w:rFonts w:ascii="Times New Roman" w:hAnsi="Times New Roman"/>
          <w:sz w:val="24"/>
          <w:szCs w:val="24"/>
        </w:rPr>
        <w:t>).</w:t>
      </w:r>
    </w:p>
    <w:p w:rsidR="00997AAA" w:rsidRPr="009A3C86" w:rsidRDefault="00997AAA" w:rsidP="00997AAA">
      <w:pPr>
        <w:spacing w:after="0" w:line="360" w:lineRule="auto"/>
        <w:jc w:val="both"/>
        <w:rPr>
          <w:rFonts w:ascii="Times New Roman" w:hAnsi="Times New Roman"/>
          <w:sz w:val="24"/>
          <w:szCs w:val="24"/>
        </w:rPr>
      </w:pPr>
      <w:r w:rsidRPr="009A3C86">
        <w:rPr>
          <w:rFonts w:ascii="Times New Roman" w:hAnsi="Times New Roman"/>
          <w:sz w:val="24"/>
          <w:szCs w:val="24"/>
        </w:rPr>
        <w:t>Jeżeli chodzi o stosowanie przepisów całej projektowanej ustawy do niepodatkowych należności budżetowych (zarówno państwowych jak też samorządowych), projekt w tym zakresie nie wprowadza żadnych daleko idących nowości w stosunku to obowiązującej Ordynacji podatkowej. Aktualnie bowiem za sprawą art. 2 § 1 pkt 1 o.p. przepisy całej Ordynacji podatkowej mają zastosowanie do niepodatkowych należności budżetowych (państwowych jak też samorządowych)</w:t>
      </w:r>
      <w:r w:rsidR="00F42BC1" w:rsidRPr="009A3C86">
        <w:rPr>
          <w:rFonts w:ascii="Times New Roman" w:hAnsi="Times New Roman"/>
          <w:sz w:val="24"/>
          <w:szCs w:val="24"/>
        </w:rPr>
        <w:t>,</w:t>
      </w:r>
      <w:r w:rsidRPr="009A3C86">
        <w:rPr>
          <w:rFonts w:ascii="Times New Roman" w:hAnsi="Times New Roman"/>
          <w:sz w:val="24"/>
          <w:szCs w:val="24"/>
        </w:rPr>
        <w:t xml:space="preserve"> jeżeli tylko do ustalania lub określania tych należności uprawnione są organy podatkowe. W istocie analogiczne rozwiązania przewidziano w art. 2 § 1 w zw. art. 13 pkt 9 </w:t>
      </w:r>
      <w:r w:rsidR="00F42BC1" w:rsidRPr="009A3C86">
        <w:rPr>
          <w:rFonts w:ascii="Times New Roman" w:hAnsi="Times New Roman"/>
          <w:sz w:val="24"/>
          <w:szCs w:val="24"/>
        </w:rPr>
        <w:t>projektu</w:t>
      </w:r>
      <w:r w:rsidRPr="009A3C86">
        <w:rPr>
          <w:rFonts w:ascii="Times New Roman" w:hAnsi="Times New Roman"/>
          <w:sz w:val="24"/>
          <w:szCs w:val="24"/>
        </w:rPr>
        <w:t>.</w:t>
      </w:r>
    </w:p>
    <w:p w:rsidR="007B29CF" w:rsidRPr="009A3C86" w:rsidRDefault="00A812D3" w:rsidP="007B29CF">
      <w:pPr>
        <w:spacing w:after="0" w:line="360" w:lineRule="auto"/>
        <w:jc w:val="both"/>
        <w:rPr>
          <w:rFonts w:ascii="Times New Roman" w:hAnsi="Times New Roman"/>
          <w:sz w:val="24"/>
          <w:szCs w:val="24"/>
        </w:rPr>
      </w:pPr>
      <w:r w:rsidRPr="009A3C86">
        <w:rPr>
          <w:rFonts w:ascii="Times New Roman" w:hAnsi="Times New Roman"/>
          <w:sz w:val="24"/>
          <w:szCs w:val="24"/>
        </w:rPr>
        <w:t>W projekcie,</w:t>
      </w:r>
      <w:r w:rsidR="00997AAA" w:rsidRPr="009A3C86">
        <w:rPr>
          <w:rFonts w:ascii="Times New Roman" w:hAnsi="Times New Roman"/>
          <w:sz w:val="24"/>
          <w:szCs w:val="24"/>
        </w:rPr>
        <w:t xml:space="preserve"> w stosunku do obowiązującej Ordynacji podatkowej</w:t>
      </w:r>
      <w:r w:rsidRPr="009A3C86">
        <w:rPr>
          <w:rFonts w:ascii="Times New Roman" w:hAnsi="Times New Roman"/>
          <w:sz w:val="24"/>
          <w:szCs w:val="24"/>
        </w:rPr>
        <w:t>,</w:t>
      </w:r>
      <w:r w:rsidR="00997AAA" w:rsidRPr="009A3C86">
        <w:rPr>
          <w:rFonts w:ascii="Times New Roman" w:hAnsi="Times New Roman"/>
          <w:sz w:val="24"/>
          <w:szCs w:val="24"/>
        </w:rPr>
        <w:t xml:space="preserve"> rozszerz</w:t>
      </w:r>
      <w:r w:rsidRPr="009A3C86">
        <w:rPr>
          <w:rFonts w:ascii="Times New Roman" w:hAnsi="Times New Roman"/>
          <w:sz w:val="24"/>
          <w:szCs w:val="24"/>
        </w:rPr>
        <w:t>ono</w:t>
      </w:r>
      <w:r w:rsidR="00997AAA" w:rsidRPr="009A3C86">
        <w:rPr>
          <w:rFonts w:ascii="Times New Roman" w:hAnsi="Times New Roman"/>
          <w:sz w:val="24"/>
          <w:szCs w:val="24"/>
        </w:rPr>
        <w:t xml:space="preserve"> natomiast zastosowanie przepisów w części dotyczącej tzw. zobowiązań podatkowych w odniesieniu do niepodatkowych należności budżetowych, do których wymiaru uprawnione są organy inne niż </w:t>
      </w:r>
      <w:r w:rsidR="00997AAA" w:rsidRPr="009A3C86">
        <w:rPr>
          <w:rFonts w:ascii="Times New Roman" w:hAnsi="Times New Roman"/>
          <w:sz w:val="24"/>
          <w:szCs w:val="24"/>
        </w:rPr>
        <w:lastRenderedPageBreak/>
        <w:t xml:space="preserve">organy podatkowe. Zgodnie z art. 2 § 2 o.p. jeżeli odrębne przepisy nie stanowią inaczej, przepisy działu III stosuje się również do opłat, do których ustalenia lub określenia uprawnione są inne niż wymienione w § 1 pkt 1 organy. Regulacja ta nie dotyczy zatem niepodatkowych należności budżetowych. Zgodnie zaś z art. 2 § 2 </w:t>
      </w:r>
      <w:r w:rsidRPr="009A3C86">
        <w:rPr>
          <w:rFonts w:ascii="Times New Roman" w:hAnsi="Times New Roman"/>
          <w:sz w:val="24"/>
          <w:szCs w:val="24"/>
        </w:rPr>
        <w:t>projektu,</w:t>
      </w:r>
      <w:r w:rsidR="00997AAA" w:rsidRPr="009A3C86">
        <w:rPr>
          <w:rFonts w:ascii="Times New Roman" w:hAnsi="Times New Roman"/>
          <w:sz w:val="24"/>
          <w:szCs w:val="24"/>
        </w:rPr>
        <w:t xml:space="preserve"> jeżeli odrębne przepisy nie stanowią inaczej</w:t>
      </w:r>
      <w:r w:rsidR="007B29CF" w:rsidRPr="009A3C86">
        <w:rPr>
          <w:rFonts w:ascii="Times New Roman" w:hAnsi="Times New Roman"/>
          <w:sz w:val="24"/>
          <w:szCs w:val="24"/>
        </w:rPr>
        <w:t xml:space="preserve">: </w:t>
      </w:r>
    </w:p>
    <w:p w:rsidR="007B29CF" w:rsidRPr="009A3C86" w:rsidRDefault="007B29CF" w:rsidP="007B29CF">
      <w:pPr>
        <w:spacing w:after="0" w:line="360" w:lineRule="auto"/>
        <w:jc w:val="both"/>
        <w:rPr>
          <w:rFonts w:ascii="Times New Roman" w:hAnsi="Times New Roman"/>
          <w:sz w:val="24"/>
          <w:szCs w:val="24"/>
        </w:rPr>
      </w:pPr>
      <w:r w:rsidRPr="009A3C86">
        <w:rPr>
          <w:rFonts w:ascii="Times New Roman" w:hAnsi="Times New Roman"/>
          <w:sz w:val="24"/>
          <w:szCs w:val="24"/>
        </w:rPr>
        <w:t>1) art. 125, art. 126, art. 128 § 1, działu II, z wyjątkiem art. 170 pkt 1, oraz działu IV rozdziału 1</w:t>
      </w:r>
      <w:r w:rsidR="00A85516" w:rsidRPr="009A3C86">
        <w:rPr>
          <w:rFonts w:ascii="Times New Roman" w:hAnsi="Times New Roman"/>
          <w:sz w:val="24"/>
          <w:szCs w:val="24"/>
        </w:rPr>
        <w:t>0</w:t>
      </w:r>
      <w:r w:rsidRPr="009A3C86">
        <w:rPr>
          <w:rFonts w:ascii="Times New Roman" w:hAnsi="Times New Roman"/>
          <w:sz w:val="24"/>
          <w:szCs w:val="24"/>
        </w:rPr>
        <w:t xml:space="preserve"> stosuje się odpowiednio do opłat,</w:t>
      </w:r>
    </w:p>
    <w:p w:rsidR="007B29CF" w:rsidRPr="009A3C86" w:rsidRDefault="007B29CF" w:rsidP="007B29CF">
      <w:pPr>
        <w:spacing w:after="0" w:line="360" w:lineRule="auto"/>
        <w:jc w:val="both"/>
        <w:rPr>
          <w:rFonts w:ascii="Times New Roman" w:hAnsi="Times New Roman"/>
          <w:sz w:val="24"/>
          <w:szCs w:val="24"/>
        </w:rPr>
      </w:pPr>
      <w:r w:rsidRPr="009A3C86">
        <w:rPr>
          <w:rFonts w:ascii="Times New Roman" w:hAnsi="Times New Roman"/>
          <w:sz w:val="24"/>
          <w:szCs w:val="24"/>
        </w:rPr>
        <w:t>2) art. 125, art. 126, art. 128 § 1, działu II, z wyjątkiem art. 170 pkt 2, oraz działu IV rozdziału 1</w:t>
      </w:r>
      <w:r w:rsidR="00A85516" w:rsidRPr="009A3C86">
        <w:rPr>
          <w:rFonts w:ascii="Times New Roman" w:hAnsi="Times New Roman"/>
          <w:sz w:val="24"/>
          <w:szCs w:val="24"/>
        </w:rPr>
        <w:t>0</w:t>
      </w:r>
      <w:r w:rsidRPr="009A3C86">
        <w:rPr>
          <w:rFonts w:ascii="Times New Roman" w:hAnsi="Times New Roman"/>
          <w:sz w:val="24"/>
          <w:szCs w:val="24"/>
        </w:rPr>
        <w:t xml:space="preserve"> stosuje się odpowiednio do niepodatkowych należności budżetowych </w:t>
      </w:r>
    </w:p>
    <w:p w:rsidR="00997AAA" w:rsidRPr="009A3C86" w:rsidRDefault="00960223" w:rsidP="00997AAA">
      <w:pPr>
        <w:spacing w:after="0" w:line="360" w:lineRule="auto"/>
        <w:jc w:val="both"/>
        <w:rPr>
          <w:rFonts w:ascii="Times New Roman" w:hAnsi="Times New Roman"/>
          <w:sz w:val="24"/>
          <w:szCs w:val="24"/>
        </w:rPr>
      </w:pPr>
      <w:r w:rsidRPr="009A3C86">
        <w:rPr>
          <w:rFonts w:ascii="Times New Roman" w:hAnsi="Times New Roman"/>
          <w:sz w:val="24"/>
          <w:szCs w:val="24"/>
        </w:rPr>
        <w:t>–</w:t>
      </w:r>
      <w:r w:rsidR="007B29CF" w:rsidRPr="009A3C86">
        <w:rPr>
          <w:rFonts w:ascii="Times New Roman" w:hAnsi="Times New Roman"/>
          <w:sz w:val="24"/>
          <w:szCs w:val="24"/>
        </w:rPr>
        <w:t xml:space="preserve"> do których wymiaru uprawnione są organy inne niż organy podatkowe; w tym zakresie organom tym przysługują uprawnienia organów podatkowych. </w:t>
      </w:r>
      <w:r w:rsidR="00997AAA" w:rsidRPr="009A3C86">
        <w:rPr>
          <w:rFonts w:ascii="Times New Roman" w:hAnsi="Times New Roman"/>
          <w:sz w:val="24"/>
          <w:szCs w:val="24"/>
        </w:rPr>
        <w:t>W tym miejscu należy wskazać na dwie kwestie. Po pierwsze, regulację wprowadzającą obowiązek stosowania przepisów z zakresu zobowiązań podatkowych ujętych w Ordynacji podatkowej przewiduje już od dawna art. 67 ust. 1 ustawy o finansach publicznych, zgodnie z którym do spraw dotyczących należności, o których mowa w art. 60, czyli niepodatkowych należności budżetowych (bez względu na organ ustalający lub określający), nieuregulowanych niniejszą ustawą stosuje się przepisy ustawy z dnia 14 czerwca 1960 r. – Kodeks postępowania administracyjnego (Dz.</w:t>
      </w:r>
      <w:r w:rsidR="00A812D3" w:rsidRPr="009A3C86">
        <w:rPr>
          <w:rFonts w:ascii="Times New Roman" w:hAnsi="Times New Roman"/>
          <w:sz w:val="24"/>
          <w:szCs w:val="24"/>
        </w:rPr>
        <w:t xml:space="preserve"> </w:t>
      </w:r>
      <w:r w:rsidR="00997AAA" w:rsidRPr="009A3C86">
        <w:rPr>
          <w:rFonts w:ascii="Times New Roman" w:hAnsi="Times New Roman"/>
          <w:sz w:val="24"/>
          <w:szCs w:val="24"/>
        </w:rPr>
        <w:t xml:space="preserve">U. z 2017 r. poz. 1257) i odpowiednio przepisy działu III ustawy z dnia 29 sierpnia 1997 r. – Ordynacja podatkowa (Dz. U. z 2017 r. poz. 201, 648, 768, 935, 1428 i 1537). Po drugie, przepisy </w:t>
      </w:r>
      <w:r w:rsidR="006803CA" w:rsidRPr="009A3C86">
        <w:rPr>
          <w:rFonts w:ascii="Times New Roman" w:hAnsi="Times New Roman"/>
          <w:sz w:val="24"/>
          <w:szCs w:val="24"/>
        </w:rPr>
        <w:t xml:space="preserve">wymienione w art. 2 § 2 projektu </w:t>
      </w:r>
      <w:r w:rsidR="00997AAA" w:rsidRPr="009A3C86">
        <w:rPr>
          <w:rFonts w:ascii="Times New Roman" w:hAnsi="Times New Roman"/>
          <w:sz w:val="24"/>
          <w:szCs w:val="24"/>
        </w:rPr>
        <w:t>stosuje się odpowiednio do opłat oraz niepodatkowych należności budżetowych, do których wymiaru uprawnione są organy inne niż organy podatkowe, jeżeli odrębne przepisy nie stanowią inaczej. Jeżeli zatem z odrębnego przepisu wynika inaczej</w:t>
      </w:r>
      <w:r w:rsidR="000802AD" w:rsidRPr="009A3C86">
        <w:rPr>
          <w:rFonts w:ascii="Times New Roman" w:hAnsi="Times New Roman"/>
          <w:sz w:val="24"/>
          <w:szCs w:val="24"/>
        </w:rPr>
        <w:t xml:space="preserve"> (</w:t>
      </w:r>
      <w:r w:rsidR="00997AAA" w:rsidRPr="009A3C86">
        <w:rPr>
          <w:rFonts w:ascii="Times New Roman" w:hAnsi="Times New Roman"/>
          <w:sz w:val="24"/>
          <w:szCs w:val="24"/>
        </w:rPr>
        <w:t xml:space="preserve">czyli, że nie ma zastosowania </w:t>
      </w:r>
      <w:r w:rsidR="000802AD" w:rsidRPr="009A3C86">
        <w:rPr>
          <w:rFonts w:ascii="Times New Roman" w:hAnsi="Times New Roman"/>
          <w:sz w:val="24"/>
          <w:szCs w:val="24"/>
        </w:rPr>
        <w:t>projektowana ustawa</w:t>
      </w:r>
      <w:r w:rsidR="00997AAA" w:rsidRPr="009A3C86">
        <w:rPr>
          <w:rFonts w:ascii="Times New Roman" w:hAnsi="Times New Roman"/>
          <w:sz w:val="24"/>
          <w:szCs w:val="24"/>
        </w:rPr>
        <w:t>, ewentualnie ma zastosowanie innych akt prawny</w:t>
      </w:r>
      <w:r w:rsidR="000802AD" w:rsidRPr="009A3C86">
        <w:rPr>
          <w:rFonts w:ascii="Times New Roman" w:hAnsi="Times New Roman"/>
          <w:sz w:val="24"/>
          <w:szCs w:val="24"/>
        </w:rPr>
        <w:t>)</w:t>
      </w:r>
      <w:r w:rsidR="00997AAA" w:rsidRPr="009A3C86">
        <w:rPr>
          <w:rFonts w:ascii="Times New Roman" w:hAnsi="Times New Roman"/>
          <w:sz w:val="24"/>
          <w:szCs w:val="24"/>
        </w:rPr>
        <w:t xml:space="preserve">, to przepisy </w:t>
      </w:r>
      <w:r w:rsidR="000802AD" w:rsidRPr="009A3C86">
        <w:rPr>
          <w:rFonts w:ascii="Times New Roman" w:hAnsi="Times New Roman"/>
          <w:sz w:val="24"/>
          <w:szCs w:val="24"/>
        </w:rPr>
        <w:t>projektowanej ustawy</w:t>
      </w:r>
      <w:r w:rsidR="00997AAA" w:rsidRPr="009A3C86">
        <w:rPr>
          <w:rFonts w:ascii="Times New Roman" w:hAnsi="Times New Roman"/>
          <w:sz w:val="24"/>
          <w:szCs w:val="24"/>
        </w:rPr>
        <w:t xml:space="preserve"> nie znajdują w tym przypadku zastosowania. Takie elastyczne objęcie niepodatkowych należności budżetowych zakresem obowiązywania przepisów o zobowiązaniach podatkowych uregulowanych w </w:t>
      </w:r>
      <w:r w:rsidR="000802AD" w:rsidRPr="009A3C86">
        <w:rPr>
          <w:rFonts w:ascii="Times New Roman" w:hAnsi="Times New Roman"/>
          <w:sz w:val="24"/>
          <w:szCs w:val="24"/>
        </w:rPr>
        <w:t>projekcie</w:t>
      </w:r>
      <w:r w:rsidR="00997AAA" w:rsidRPr="009A3C86">
        <w:rPr>
          <w:rFonts w:ascii="Times New Roman" w:hAnsi="Times New Roman"/>
          <w:sz w:val="24"/>
          <w:szCs w:val="24"/>
        </w:rPr>
        <w:t xml:space="preserve"> przede wszystkim ujednolici zasady zarządzania tymi należnościami. Ponadto rozwiązanie to stanowi w istocie w swoiste powtórzenie regulacji wynikającej z art. 67 ust. 1 ustawy o finansach publicznych, w zakresie niepodatkowych należności budżetowych, któr</w:t>
      </w:r>
      <w:r w:rsidR="000802AD" w:rsidRPr="009A3C86">
        <w:rPr>
          <w:rFonts w:ascii="Times New Roman" w:hAnsi="Times New Roman"/>
          <w:sz w:val="24"/>
          <w:szCs w:val="24"/>
        </w:rPr>
        <w:t>ych</w:t>
      </w:r>
      <w:r w:rsidR="00997AAA" w:rsidRPr="009A3C86">
        <w:rPr>
          <w:rFonts w:ascii="Times New Roman" w:hAnsi="Times New Roman"/>
          <w:sz w:val="24"/>
          <w:szCs w:val="24"/>
        </w:rPr>
        <w:t xml:space="preserve"> nie</w:t>
      </w:r>
      <w:r w:rsidR="000802AD" w:rsidRPr="009A3C86">
        <w:rPr>
          <w:rFonts w:ascii="Times New Roman" w:hAnsi="Times New Roman"/>
          <w:sz w:val="24"/>
          <w:szCs w:val="24"/>
        </w:rPr>
        <w:t xml:space="preserve"> </w:t>
      </w:r>
      <w:r w:rsidR="00997AAA" w:rsidRPr="009A3C86">
        <w:rPr>
          <w:rFonts w:ascii="Times New Roman" w:hAnsi="Times New Roman"/>
          <w:sz w:val="24"/>
          <w:szCs w:val="24"/>
        </w:rPr>
        <w:t>uregulowano tym aktem prawnym. Ponadto projektowane rozwiązanie eliminuje sytuację, z którą mamy do czynienia w obowiązującym stanie prawnym, gdy zakres obowiązywania przepisów Ordynacji podatkowej reguluje inny akt prawny, a mianowicie ustawa o finansach publicznych.</w:t>
      </w:r>
    </w:p>
    <w:p w:rsidR="00997AAA" w:rsidRPr="009A3C86" w:rsidRDefault="00997AAA" w:rsidP="00997A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Podsumowują</w:t>
      </w:r>
      <w:r w:rsidR="005D4BB3" w:rsidRPr="009A3C86">
        <w:rPr>
          <w:rFonts w:ascii="Times New Roman" w:hAnsi="Times New Roman"/>
          <w:sz w:val="24"/>
          <w:szCs w:val="24"/>
        </w:rPr>
        <w:t>c</w:t>
      </w:r>
      <w:r w:rsidRPr="009A3C86">
        <w:rPr>
          <w:rFonts w:ascii="Times New Roman" w:hAnsi="Times New Roman"/>
          <w:sz w:val="24"/>
          <w:szCs w:val="24"/>
        </w:rPr>
        <w:t xml:space="preserve"> można dojść do wniosku, że przewidziane w art. 2 § 2 </w:t>
      </w:r>
      <w:r w:rsidR="005D4BB3" w:rsidRPr="009A3C86">
        <w:rPr>
          <w:rFonts w:ascii="Times New Roman" w:hAnsi="Times New Roman"/>
          <w:sz w:val="24"/>
          <w:szCs w:val="24"/>
        </w:rPr>
        <w:t>projektu</w:t>
      </w:r>
      <w:r w:rsidRPr="009A3C86">
        <w:rPr>
          <w:rFonts w:ascii="Times New Roman" w:hAnsi="Times New Roman"/>
          <w:sz w:val="24"/>
          <w:szCs w:val="24"/>
        </w:rPr>
        <w:t xml:space="preserve"> rozwiązanie nie stanowi nowości normatywnej, gdyż dzisiaj regulację zbliżoną zawiera art. 67 ust. 1 ustawy o finansach publicznych. Jedyna różnica pomiędzy dwoma wskazanymi regulacjami sprowadza się wyłącznie do tego, że na podstawie ustawy o finansach publicznych przepisy o zobowiązaniach podatkowych w odniesieniu do niepodatkowych należności budżetowych maj</w:t>
      </w:r>
      <w:r w:rsidR="00701A1D" w:rsidRPr="009A3C86">
        <w:rPr>
          <w:rFonts w:ascii="Times New Roman" w:hAnsi="Times New Roman"/>
          <w:sz w:val="24"/>
          <w:szCs w:val="24"/>
        </w:rPr>
        <w:t>ą</w:t>
      </w:r>
      <w:r w:rsidRPr="009A3C86">
        <w:rPr>
          <w:rFonts w:ascii="Times New Roman" w:hAnsi="Times New Roman"/>
          <w:sz w:val="24"/>
          <w:szCs w:val="24"/>
        </w:rPr>
        <w:t xml:space="preserve"> zastosowanie odpowiednio. Natomiast na podstawie art. 2 § 2 </w:t>
      </w:r>
      <w:r w:rsidR="00701A1D" w:rsidRPr="009A3C86">
        <w:rPr>
          <w:rFonts w:ascii="Times New Roman" w:hAnsi="Times New Roman"/>
          <w:sz w:val="24"/>
          <w:szCs w:val="24"/>
        </w:rPr>
        <w:t>projektu</w:t>
      </w:r>
      <w:r w:rsidRPr="009A3C86">
        <w:rPr>
          <w:rFonts w:ascii="Times New Roman" w:hAnsi="Times New Roman"/>
          <w:sz w:val="24"/>
          <w:szCs w:val="24"/>
        </w:rPr>
        <w:t xml:space="preserve"> przepisy o zobowiązaniach podatkowych będą miały zastosowanie wprost, gdyż niepodatkowe należności budżetowe zrównano w tym akcie prawnym z podatkiem. Jednakże ze względu na to, że są one ustalane lub określane przez organy inne niż podatkowe</w:t>
      </w:r>
      <w:r w:rsidR="00701A1D" w:rsidRPr="009A3C86">
        <w:rPr>
          <w:rFonts w:ascii="Times New Roman" w:hAnsi="Times New Roman"/>
          <w:sz w:val="24"/>
          <w:szCs w:val="24"/>
        </w:rPr>
        <w:t>,</w:t>
      </w:r>
      <w:r w:rsidRPr="009A3C86">
        <w:rPr>
          <w:rFonts w:ascii="Times New Roman" w:hAnsi="Times New Roman"/>
          <w:sz w:val="24"/>
          <w:szCs w:val="24"/>
        </w:rPr>
        <w:t xml:space="preserve"> zastosowanie znajdą tu wyłącznie przepisy dotyczące zobowiązań podatkowych. Jeżeli chodzi o procedurę w dalszym ciągu będą tu miały zastosowanie przepisy k.p.a.</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 Wskazane wyżej wybrane regulacje projektu ordynacji podatkowej to przepisy: art. </w:t>
      </w:r>
      <w:r w:rsidR="00C966BF" w:rsidRPr="009A3C86">
        <w:rPr>
          <w:rFonts w:ascii="Times New Roman" w:hAnsi="Times New Roman"/>
          <w:sz w:val="24"/>
          <w:szCs w:val="24"/>
        </w:rPr>
        <w:t xml:space="preserve">125 </w:t>
      </w:r>
      <w:r w:rsidRPr="009A3C86">
        <w:rPr>
          <w:rFonts w:ascii="Times New Roman" w:hAnsi="Times New Roman"/>
          <w:sz w:val="24"/>
          <w:szCs w:val="24"/>
        </w:rPr>
        <w:t xml:space="preserve">(termin płatności podatku), art. </w:t>
      </w:r>
      <w:r w:rsidR="00C966BF" w:rsidRPr="009A3C86">
        <w:rPr>
          <w:rFonts w:ascii="Times New Roman" w:hAnsi="Times New Roman"/>
          <w:sz w:val="24"/>
          <w:szCs w:val="24"/>
        </w:rPr>
        <w:t xml:space="preserve">126 </w:t>
      </w:r>
      <w:r w:rsidRPr="009A3C86">
        <w:rPr>
          <w:rFonts w:ascii="Times New Roman" w:hAnsi="Times New Roman"/>
          <w:sz w:val="24"/>
          <w:szCs w:val="24"/>
        </w:rPr>
        <w:t>(przywrócenie terminu</w:t>
      </w:r>
      <w:r w:rsidRPr="009A3C86">
        <w:rPr>
          <w:rFonts w:ascii="Times New Roman" w:eastAsia="MS ??" w:hAnsi="Times New Roman"/>
          <w:sz w:val="24"/>
          <w:szCs w:val="24"/>
        </w:rPr>
        <w:t xml:space="preserve"> przewidzianego w przepisach prawa podatkowego</w:t>
      </w:r>
      <w:r w:rsidRPr="009A3C86">
        <w:rPr>
          <w:rFonts w:ascii="Times New Roman" w:hAnsi="Times New Roman"/>
          <w:sz w:val="24"/>
          <w:szCs w:val="24"/>
        </w:rPr>
        <w:t xml:space="preserve">), art. </w:t>
      </w:r>
      <w:r w:rsidR="00C966BF" w:rsidRPr="009A3C86">
        <w:rPr>
          <w:rFonts w:ascii="Times New Roman" w:hAnsi="Times New Roman"/>
          <w:sz w:val="24"/>
          <w:szCs w:val="24"/>
        </w:rPr>
        <w:t xml:space="preserve">128 </w:t>
      </w:r>
      <w:r w:rsidRPr="009A3C86">
        <w:rPr>
          <w:rFonts w:ascii="Times New Roman" w:hAnsi="Times New Roman"/>
          <w:sz w:val="24"/>
          <w:szCs w:val="24"/>
        </w:rPr>
        <w:t xml:space="preserve">§ 1 (możliwość odraczania terminów), a także przepisy działu II („Zobowiązania podatkowe”) </w:t>
      </w:r>
      <w:r w:rsidR="00C966BF" w:rsidRPr="009A3C86">
        <w:rPr>
          <w:rFonts w:ascii="Times New Roman" w:hAnsi="Times New Roman"/>
          <w:sz w:val="24"/>
          <w:szCs w:val="24"/>
        </w:rPr>
        <w:t xml:space="preserve">z wyjątkiem art. 170 pkt 1 (w przypadku opłat) i art. 170 pkt 2 (w przypadku niepodatkowych należności budżetowych), regulujących odpowiednio </w:t>
      </w:r>
      <w:r w:rsidR="00452B83" w:rsidRPr="009A3C86">
        <w:rPr>
          <w:rFonts w:ascii="Times New Roman" w:hAnsi="Times New Roman"/>
          <w:sz w:val="24"/>
          <w:szCs w:val="24"/>
        </w:rPr>
        <w:t>3-letni i 5 letni termin</w:t>
      </w:r>
      <w:r w:rsidR="00C966BF" w:rsidRPr="009A3C86">
        <w:rPr>
          <w:rFonts w:ascii="Times New Roman" w:hAnsi="Times New Roman"/>
          <w:sz w:val="24"/>
          <w:szCs w:val="24"/>
        </w:rPr>
        <w:t xml:space="preserve"> przedawnienia </w:t>
      </w:r>
      <w:r w:rsidR="00452B83" w:rsidRPr="009A3C86">
        <w:rPr>
          <w:rFonts w:ascii="Times New Roman" w:hAnsi="Times New Roman"/>
          <w:sz w:val="24"/>
          <w:szCs w:val="24"/>
        </w:rPr>
        <w:t xml:space="preserve">wymiaru, </w:t>
      </w:r>
      <w:r w:rsidRPr="009A3C86">
        <w:rPr>
          <w:rFonts w:ascii="Times New Roman" w:hAnsi="Times New Roman"/>
          <w:sz w:val="24"/>
          <w:szCs w:val="24"/>
        </w:rPr>
        <w:t xml:space="preserve">oraz </w:t>
      </w:r>
      <w:r w:rsidR="00452B83" w:rsidRPr="009A3C86">
        <w:rPr>
          <w:rFonts w:ascii="Times New Roman" w:hAnsi="Times New Roman"/>
          <w:sz w:val="24"/>
          <w:szCs w:val="24"/>
        </w:rPr>
        <w:t xml:space="preserve">przepisy </w:t>
      </w:r>
      <w:r w:rsidRPr="009A3C86">
        <w:rPr>
          <w:rFonts w:ascii="Times New Roman" w:hAnsi="Times New Roman"/>
          <w:sz w:val="24"/>
          <w:szCs w:val="24"/>
        </w:rPr>
        <w:t>rozdziału 1</w:t>
      </w:r>
      <w:r w:rsidR="00A85516" w:rsidRPr="009A3C86">
        <w:rPr>
          <w:rFonts w:ascii="Times New Roman" w:hAnsi="Times New Roman"/>
          <w:sz w:val="24"/>
          <w:szCs w:val="24"/>
        </w:rPr>
        <w:t>0</w:t>
      </w:r>
      <w:r w:rsidRPr="009A3C86">
        <w:rPr>
          <w:rFonts w:ascii="Times New Roman" w:hAnsi="Times New Roman"/>
          <w:sz w:val="24"/>
          <w:szCs w:val="24"/>
        </w:rPr>
        <w:t xml:space="preserve"> działu IV („Zabezpieczenie wykonania zobowiązania podatkowego”). Ponadto przepisy projektowanej ordynacji podatkowej stosuje się również do spraw z zakresu prawa podatkowego innych niż wymienione w § 1, czyli innych niż dotyczące podatków, do których wymiaru uprawnione są organy podatkowe, należące do właściwości organów podatkowych (</w:t>
      </w:r>
      <w:r w:rsidRPr="009A3C86">
        <w:rPr>
          <w:rFonts w:ascii="Times New Roman" w:hAnsi="Times New Roman"/>
          <w:b/>
          <w:sz w:val="24"/>
          <w:szCs w:val="24"/>
        </w:rPr>
        <w:t>art. 2 § 3</w:t>
      </w:r>
      <w:r w:rsidRPr="009A3C86">
        <w:rPr>
          <w:rFonts w:ascii="Times New Roman" w:hAnsi="Times New Roman"/>
          <w:sz w:val="24"/>
          <w:szCs w:val="24"/>
        </w:rPr>
        <w:t xml:space="preserve"> projektu).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Taka regulacja nie wyklucza, rzecz jasna, możliwości rozciągnięcia poszczególnych unormowań zawartych w ordynacji podatkowej na materię „pozapodatkową” (np. na składki na ubezpieczenia społeczne). W takim przypadku, podobnie zresztą jak obecnie, stosowne unormowania pozwalające na posiłkowanie się ordynacją podatkową powinny znaleźć się w aktach prawnych dotyczących należności, do których poszczególne przepisy ogólnego prawa podatkowego miałyby znaleźć zastosowanie.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5. Niewątpliwą zaletą proponowanego unormowania przedmiotu i zakresu regulacji zawartej w projekcie ordynacji podatkowej jest jasne wskazanie katalogu danin publicznych, do których ma ona zastosowanie. W obowiązującej regulacji prawnej ujęcie tych zagadnień budzi liczne wątpliwości. Dotyczą one przede wszystkim stosowania przepisów ogólnego prawa podatkowego do opłat wymierzanych przez inne podmioty niż organy podatkowe, a także do niepodatkowych należności budżetu państwa o charakterze daninowym. Brak jest bowiem </w:t>
      </w:r>
      <w:r w:rsidRPr="009A3C86">
        <w:rPr>
          <w:rFonts w:ascii="Times New Roman" w:hAnsi="Times New Roman"/>
          <w:sz w:val="24"/>
          <w:szCs w:val="24"/>
        </w:rPr>
        <w:lastRenderedPageBreak/>
        <w:t xml:space="preserve">precyzyjnego określenia, które z danin publicznych innych niż podatki są objęte zakresem ordynacji podatkowej. </w:t>
      </w:r>
    </w:p>
    <w:p w:rsidR="00A0038F" w:rsidRPr="009A3C86" w:rsidRDefault="00A0038F" w:rsidP="00A0038F">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Precyzyjne określenie przedmiotu i zakresu regulacji od strony pozytywnej pozwoliło na rezygnację z zamieszczenia w projekcie odpowiednika art. 2 § 4 o.p., zgodnie z którym przepisów ustawy nie stosuje się do świadczeń pieniężnych wynikających ze stosunków cywilnoprawnych.</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6. Tworząc nową ordynację podatkową, odrzucono pomysł realizacji postulatu przyjęcia reguł postępowania z kodeksu postępowania administracyjnego, z uregulowaniem w ordynacji tylko niektórych instytucji specyficznych dla postępowania podatkowego</w:t>
      </w:r>
      <w:r w:rsidRPr="009A3C86">
        <w:rPr>
          <w:rFonts w:ascii="Times New Roman" w:hAnsi="Times New Roman"/>
          <w:sz w:val="24"/>
          <w:szCs w:val="24"/>
          <w:vertAlign w:val="superscript"/>
        </w:rPr>
        <w:footnoteReference w:id="30"/>
      </w:r>
      <w:r w:rsidRPr="009A3C86">
        <w:rPr>
          <w:rFonts w:ascii="Times New Roman" w:hAnsi="Times New Roman"/>
          <w:sz w:val="24"/>
          <w:szCs w:val="24"/>
        </w:rPr>
        <w:t xml:space="preserve">. Po tylu latach obowiązywania odrębnej procedury podatkowej i wykształcenia pewnej jej specyfiki powrót do stanu sprzed 1998 r., kiedy to postępowanie podatkowe było uregulowane głównie we wskazanym kodeksie, nie znajduje uzasadnienia.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Niewątpliwie jurysdykcyjne postępowanie podatkowe jest szczególnym postępowaniem administracyjnym</w:t>
      </w:r>
      <w:r w:rsidRPr="009A3C86">
        <w:rPr>
          <w:rFonts w:ascii="Times New Roman" w:hAnsi="Times New Roman"/>
          <w:sz w:val="24"/>
          <w:szCs w:val="24"/>
          <w:vertAlign w:val="superscript"/>
        </w:rPr>
        <w:footnoteReference w:id="31"/>
      </w:r>
      <w:r w:rsidRPr="009A3C86">
        <w:rPr>
          <w:rFonts w:ascii="Times New Roman" w:hAnsi="Times New Roman"/>
          <w:sz w:val="24"/>
          <w:szCs w:val="24"/>
        </w:rPr>
        <w:t>, niezależnie od przyjętego przez ustawodawcę sposobu jego unormowania oraz przyjętej metody regulacji, czy to w drodze odrębnego aktu, czy szczególnej procedury normowanej przepisami kodeksu postępowania administracyjnego</w:t>
      </w:r>
      <w:r w:rsidRPr="009A3C86">
        <w:rPr>
          <w:rFonts w:ascii="Times New Roman" w:hAnsi="Times New Roman"/>
          <w:sz w:val="24"/>
          <w:szCs w:val="24"/>
          <w:vertAlign w:val="superscript"/>
        </w:rPr>
        <w:footnoteReference w:id="32"/>
      </w:r>
      <w:r w:rsidRPr="009A3C86">
        <w:rPr>
          <w:rFonts w:ascii="Times New Roman" w:hAnsi="Times New Roman"/>
          <w:sz w:val="24"/>
          <w:szCs w:val="24"/>
        </w:rPr>
        <w:t>. W literaturze wskazuje się, iż „wspólne korzenie obu procedur są na tyle wyraziste, że pozwala to na wykorzystywanie doktrynalnych ustaleń dotyczących postępowania administracyjnego dla charakterystyki postępowania podatkowego”</w:t>
      </w:r>
      <w:r w:rsidRPr="009A3C86">
        <w:rPr>
          <w:rFonts w:ascii="Times New Roman" w:hAnsi="Times New Roman"/>
          <w:sz w:val="24"/>
          <w:szCs w:val="24"/>
          <w:vertAlign w:val="superscript"/>
        </w:rPr>
        <w:footnoteReference w:id="33"/>
      </w:r>
      <w:r w:rsidRPr="009A3C86">
        <w:rPr>
          <w:rFonts w:ascii="Times New Roman" w:hAnsi="Times New Roman"/>
          <w:sz w:val="24"/>
          <w:szCs w:val="24"/>
        </w:rPr>
        <w:t>. Niemniej jednak sygnalizuje się, iż specyfika spraw podatkowych wymaga zastosowania szeregu uregulowań odrębnych</w:t>
      </w:r>
      <w:r w:rsidRPr="009A3C86">
        <w:rPr>
          <w:rFonts w:ascii="Times New Roman" w:hAnsi="Times New Roman"/>
          <w:sz w:val="24"/>
          <w:szCs w:val="24"/>
          <w:vertAlign w:val="superscript"/>
        </w:rPr>
        <w:footnoteReference w:id="34"/>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7. W projekcie ordynacji podatkowej zrealizowano postulat włączenia do ordynacji dobrze ukształtowanych przepisów zawartych w ustawie o zasadach ewidencji i identyfikacji </w:t>
      </w:r>
      <w:r w:rsidRPr="009A3C86">
        <w:rPr>
          <w:rFonts w:ascii="Times New Roman" w:hAnsi="Times New Roman"/>
          <w:sz w:val="24"/>
          <w:szCs w:val="24"/>
        </w:rPr>
        <w:lastRenderedPageBreak/>
        <w:t>podatników i płatników</w:t>
      </w:r>
      <w:r w:rsidRPr="009A3C86">
        <w:rPr>
          <w:rFonts w:ascii="Times New Roman" w:hAnsi="Times New Roman"/>
          <w:sz w:val="24"/>
          <w:szCs w:val="24"/>
          <w:vertAlign w:val="superscript"/>
        </w:rPr>
        <w:footnoteReference w:id="35"/>
      </w:r>
      <w:r w:rsidRPr="009A3C86">
        <w:rPr>
          <w:rFonts w:ascii="Times New Roman" w:hAnsi="Times New Roman"/>
          <w:sz w:val="24"/>
          <w:szCs w:val="24"/>
        </w:rPr>
        <w:t>. Są to bowiem przepisy ogólnego prawa podatkowego i powinny być zawarte w projekcie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8. W projekcie ordynacji podatkowej nie ujęto regulacji dotyczących egzekucji należności podatkowych. Nie było to dostatecznie uzasadnione na tym etapie porządkowania ogólnego prawa podatkowego</w:t>
      </w:r>
      <w:r w:rsidRPr="009A3C86">
        <w:rPr>
          <w:rFonts w:ascii="Times New Roman" w:hAnsi="Times New Roman"/>
          <w:sz w:val="24"/>
          <w:szCs w:val="24"/>
          <w:vertAlign w:val="superscript"/>
        </w:rPr>
        <w:footnoteReference w:id="36"/>
      </w:r>
      <w:r w:rsidRPr="009A3C86">
        <w:rPr>
          <w:rFonts w:ascii="Times New Roman" w:hAnsi="Times New Roman"/>
          <w:sz w:val="24"/>
          <w:szCs w:val="24"/>
        </w:rPr>
        <w:t>. Nie widać przede wszystkim żadnych realnych korzyści z podzielenia obecnej materii ustawy z dnia 17 czerwca 1966 r. o postępowaniu egzekucyjnym w administracji</w:t>
      </w:r>
      <w:r w:rsidRPr="009A3C86">
        <w:rPr>
          <w:rFonts w:ascii="Times New Roman" w:hAnsi="Times New Roman"/>
          <w:sz w:val="24"/>
          <w:szCs w:val="24"/>
          <w:vertAlign w:val="superscript"/>
        </w:rPr>
        <w:footnoteReference w:id="37"/>
      </w:r>
      <w:r w:rsidRPr="009A3C86">
        <w:rPr>
          <w:rFonts w:ascii="Times New Roman" w:hAnsi="Times New Roman"/>
          <w:sz w:val="24"/>
          <w:szCs w:val="24"/>
        </w:rPr>
        <w:t xml:space="preserve"> na dwie części, a mianowicie przepisy regulujące egzekucję należności podatkowych oraz przepisy regulujące egzekucję pozostałych należności pieniężnych i obowiązków niepieniężnych. Przeniesienie do ordynacji przepisów dotyczących egzekucji należności podatkowych w żaden sposób nie zwiększy jej efektywności. Poza tym, byłby to kolejny przypadek rozrostu regulacji prawnych i niepotrzebnego dublowania się identycznych przepisów w ordynacji i ustawie o postępowaniu egzekucyjnym</w:t>
      </w:r>
      <w:r w:rsidRPr="009A3C86">
        <w:rPr>
          <w:rFonts w:ascii="Times New Roman" w:hAnsi="Times New Roman"/>
          <w:sz w:val="24"/>
          <w:szCs w:val="24"/>
          <w:vertAlign w:val="superscript"/>
        </w:rPr>
        <w:footnoteReference w:id="38"/>
      </w:r>
      <w:r w:rsidRPr="009A3C86">
        <w:rPr>
          <w:rFonts w:ascii="Times New Roman" w:hAnsi="Times New Roman"/>
          <w:sz w:val="24"/>
          <w:szCs w:val="24"/>
        </w:rPr>
        <w:t>. Stanowisko to nie powinno być rozumiane jako postulat pozostawienia bez zmian ustawy o postępowaniu egzekucyjnym w administracji – są one konieczne, ponieważ nierozwiązany pozostaje problem zwiększenia skuteczności egzekwowania należności publicznoprawnych, w tym podatków. Problem ten powinien być jednak rozpatrywany nie tylko w odniesieniu do podatków i nie w ramach prac nad projektem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9. W dyskusjach nad kształtem przyszłej ordynacji niekiedy wskazuje się także, że ustawa ta powinna swoim zakresem objąć odpowiedzialność karną za popełnienie przestępstw i wykroczeń podatkowych</w:t>
      </w:r>
      <w:r w:rsidRPr="009A3C86">
        <w:rPr>
          <w:rFonts w:ascii="Times New Roman" w:hAnsi="Times New Roman"/>
          <w:sz w:val="24"/>
          <w:szCs w:val="24"/>
          <w:vertAlign w:val="superscript"/>
        </w:rPr>
        <w:footnoteReference w:id="39"/>
      </w:r>
      <w:r w:rsidRPr="009A3C86">
        <w:rPr>
          <w:rFonts w:ascii="Times New Roman" w:hAnsi="Times New Roman"/>
          <w:sz w:val="24"/>
          <w:szCs w:val="24"/>
        </w:rPr>
        <w:t>. Jest to rzeczywiście przedmiot niektórych kodeksów podatkowych</w:t>
      </w:r>
      <w:r w:rsidRPr="009A3C86">
        <w:rPr>
          <w:rFonts w:ascii="Times New Roman" w:hAnsi="Times New Roman"/>
          <w:sz w:val="24"/>
          <w:szCs w:val="24"/>
          <w:vertAlign w:val="superscript"/>
        </w:rPr>
        <w:footnoteReference w:id="40"/>
      </w:r>
      <w:r w:rsidRPr="009A3C86">
        <w:rPr>
          <w:rFonts w:ascii="Times New Roman" w:hAnsi="Times New Roman"/>
          <w:sz w:val="24"/>
          <w:szCs w:val="24"/>
        </w:rPr>
        <w:t xml:space="preserve">. Przyjąć jednak należy, że odpowiedzialność karna to domena prawa karnego i </w:t>
      </w:r>
      <w:r w:rsidRPr="009A3C86">
        <w:rPr>
          <w:rFonts w:ascii="Times New Roman" w:hAnsi="Times New Roman"/>
          <w:sz w:val="24"/>
          <w:szCs w:val="24"/>
        </w:rPr>
        <w:lastRenderedPageBreak/>
        <w:t>nie ma sensu przenoszenie jej do ordynacji podatkowej. W chwili obecnej jest ona kompleksowo uregulowana w ustawie z dnia 10 września 1999 r. - Kodeks karny skarbowy</w:t>
      </w:r>
      <w:r w:rsidRPr="009A3C86">
        <w:rPr>
          <w:rFonts w:ascii="Times New Roman" w:hAnsi="Times New Roman"/>
          <w:sz w:val="24"/>
          <w:szCs w:val="24"/>
          <w:vertAlign w:val="superscript"/>
        </w:rPr>
        <w:footnoteReference w:id="41"/>
      </w:r>
      <w:r w:rsidRPr="009A3C86">
        <w:rPr>
          <w:rFonts w:ascii="Times New Roman" w:hAnsi="Times New Roman"/>
          <w:sz w:val="24"/>
          <w:szCs w:val="24"/>
        </w:rPr>
        <w:t xml:space="preserve">. W konsekwencji ewentualna dekodyfikacja tej materii, analogicznie jak w przypadku postępowania egzekucyjnego, nie jest uzasadniona; tym samym materia ta nie została ujęta w projekcie ordynacji podatkowej.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10. Do projektu ordynacji podatkowej także nie przeniesiono przepisów ustrojowych kształtujących funkcjonowanie organów podatkowych. Nowa ordynacja powinna regulować stosunki pomiędzy podatnikiem i organami podatkowymi, z pominięciem przepisów ustrojowych, uregulowanych w innych aktach. Koncepcja taka pozytywnie wpłynie na przejrzystość i stabilność projektowanej ustawy.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11. W projekcie ordynacji podatkowej nie zrealizowano również postulatu uregulowania instytucji „autoryzowanego podatnika” lub „rzetelnego podatnika”</w:t>
      </w:r>
      <w:r w:rsidRPr="009A3C86">
        <w:rPr>
          <w:rFonts w:ascii="Times New Roman" w:hAnsi="Times New Roman"/>
          <w:sz w:val="24"/>
          <w:szCs w:val="24"/>
          <w:vertAlign w:val="superscript"/>
        </w:rPr>
        <w:footnoteReference w:id="42"/>
      </w:r>
      <w:r w:rsidRPr="009A3C86">
        <w:rPr>
          <w:rFonts w:ascii="Times New Roman" w:hAnsi="Times New Roman"/>
          <w:sz w:val="24"/>
          <w:szCs w:val="24"/>
        </w:rPr>
        <w:t xml:space="preserve">. Jej funkcjonowanie musiałoby wiązać się z przyznaniem szczególnych przywilejów określonej kategorii podatników, co mogłoby doprowadzić do naruszenia konstytucyjnej zasady równości i w konsekwencji doprowadzić do podziału podatników na „rzetelnych” i resztę, tzn. „nierzetelnych”. Projekt zakłada, że każdy podatnik powinien być traktowany jako rzetelny i domniemywa się dobrą wiarę zobowiązanego. Ponadto wprowadzenie tego typu preferencji podatkowych wiąże się z ryzykiem naruszenia zakazu ingerencji państwa w konkurencyjność podmiotów gospodarczych, co może naruszać przepisy regulujące dopuszczalność pomocy publicznej. Może to także prowadzić do naruszenia zasad swobody prowadzenia działalności gospodarczej, w szczególności zasady równości, zgodnie z którą podejmowanie, wykonywanie i zakończenie działalności gospodarczej jest wolne dla każdego na równych prawach (art. 2 </w:t>
      </w:r>
      <w:r w:rsidRPr="009A3C86">
        <w:rPr>
          <w:rFonts w:ascii="Times New Roman" w:hAnsi="Times New Roman"/>
          <w:sz w:val="24"/>
          <w:szCs w:val="24"/>
          <w:lang w:eastAsia="pl-PL"/>
        </w:rPr>
        <w:t xml:space="preserve">ustawy z dnia 6 marca 2018 r. – Prawo przedsiębiorców). </w:t>
      </w:r>
      <w:r w:rsidRPr="009A3C86">
        <w:rPr>
          <w:rFonts w:ascii="Times New Roman" w:hAnsi="Times New Roman"/>
          <w:sz w:val="24"/>
          <w:szCs w:val="24"/>
        </w:rPr>
        <w:t xml:space="preserve">Większość z proponowanych przywilejów, wymienianych w propozycjach odnoszących się do instytucji „autoryzowanego podatnika”, powinna dotyczyć - zdaniem autorów projektu - każdego podatnika.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12. W projekcie ordynacji podatkowej odstąpiono od zaprezentowania katalogu uprawnień i obowiązków organów podatkowych. Uprawnienia i obowiązki tychże wyznaczane są ich kompetencjami. W odniesieniu do organów podatkowych pierwszorzędne znaczenie ma zatem </w:t>
      </w:r>
      <w:r w:rsidRPr="009A3C86">
        <w:rPr>
          <w:rFonts w:ascii="Times New Roman" w:hAnsi="Times New Roman"/>
          <w:sz w:val="24"/>
          <w:szCs w:val="24"/>
        </w:rPr>
        <w:lastRenderedPageBreak/>
        <w:t>określenie ich kompetencji, a nie praw i obowiązków. To kompetencja organu stanowi możliwość (uprawnienie) i jednocześnie obowiązek korzystania z określonej formy lub form działania, zaliczanych do działań administracyjnych. Kompetencja organu podatkowego jest zatem swoistym połączeniem praw i obowiązków tego podmiotu. Bez własnych kompetencji dany podmiot nie może być określany mianem organu podatkowego.</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13. Poza zakresem regulacji ordynacji podatkowej znalazły się przepisy dotyczące kontroli celno-skarbowej uregulowane w ustawie z dnia 16 listopada 2016 r. o Krajowej Administracji Skarbowej (Dz. U. z </w:t>
      </w:r>
      <w:r w:rsidR="004759C5" w:rsidRPr="009A3C86">
        <w:rPr>
          <w:rFonts w:ascii="Times New Roman" w:hAnsi="Times New Roman"/>
          <w:sz w:val="24"/>
          <w:szCs w:val="24"/>
        </w:rPr>
        <w:t xml:space="preserve">2018 </w:t>
      </w:r>
      <w:r w:rsidRPr="009A3C86">
        <w:rPr>
          <w:rFonts w:ascii="Times New Roman" w:hAnsi="Times New Roman"/>
          <w:sz w:val="24"/>
          <w:szCs w:val="24"/>
        </w:rPr>
        <w:t xml:space="preserve">r. poz. </w:t>
      </w:r>
      <w:r w:rsidR="004759C5" w:rsidRPr="009A3C86">
        <w:rPr>
          <w:rFonts w:ascii="Times New Roman" w:hAnsi="Times New Roman"/>
          <w:sz w:val="24"/>
          <w:szCs w:val="24"/>
        </w:rPr>
        <w:t xml:space="preserve">508, </w:t>
      </w:r>
      <w:r w:rsidRPr="009A3C86">
        <w:rPr>
          <w:rFonts w:ascii="Times New Roman" w:hAnsi="Times New Roman"/>
          <w:sz w:val="24"/>
          <w:szCs w:val="24"/>
        </w:rPr>
        <w:t xml:space="preserve">z późn. zm.).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14. Ponadto w projekcie ordynacji podatkowej nie zawarto materii związanej z wymianą informacji podatkowych z innymi państwami. Problematykę tę reguluje ustawa z dnia 9 marca 2017 r. o wymianie informacji podatkowych z innymi państwami (Dz. U. poz. 648</w:t>
      </w:r>
      <w:r w:rsidR="004759C5" w:rsidRPr="009A3C86">
        <w:rPr>
          <w:rFonts w:ascii="Times New Roman" w:hAnsi="Times New Roman"/>
          <w:sz w:val="24"/>
          <w:szCs w:val="24"/>
        </w:rPr>
        <w:t>, z późn. zm.</w:t>
      </w:r>
      <w:r w:rsidRPr="009A3C86">
        <w:rPr>
          <w:rFonts w:ascii="Times New Roman" w:hAnsi="Times New Roman"/>
          <w:sz w:val="24"/>
          <w:szCs w:val="24"/>
        </w:rPr>
        <w:t>). W szczególności akt ten normuje zasady i tryb wymiany informacji podatkowych z innymi państwami, obowiązki instytucji finansowych w zakresie wymiany informacji podatkowych na wniosek właściwego organu, obowiązki instytucji finansowych w zakresie automatycznej wymiany informacji podatkowych oraz kontrolę ich wykonywania.</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15. W projekcie nowej ordynacji podatkowej nie wprowadzono obowiązującej na gruncie Kodeksu postępowania administracyjnego instytucji milczącego załatwienia sprawy. Jest to podyktowane specyfiką spraw podatkowych. Ponadto wskazuje się, że milczące załatwienie sprawy znajduje zastosowanie zwłaszcza w sprawach o charakterze rejestrowym lub regulacyjnym, w których przepisy prawa wymagają spełnienia określonych wymogów, które stronie postępowania są znane, a organ może je łatwo i szybko zweryfikować</w:t>
      </w:r>
      <w:r w:rsidRPr="009A3C86">
        <w:rPr>
          <w:rFonts w:ascii="Times New Roman" w:hAnsi="Times New Roman"/>
          <w:sz w:val="24"/>
          <w:szCs w:val="24"/>
          <w:vertAlign w:val="superscript"/>
        </w:rPr>
        <w:footnoteReference w:id="43"/>
      </w:r>
      <w:r w:rsidRPr="009A3C86">
        <w:rPr>
          <w:rFonts w:ascii="Times New Roman" w:hAnsi="Times New Roman"/>
          <w:sz w:val="24"/>
          <w:szCs w:val="24"/>
        </w:rPr>
        <w:t>. Niezależnie od powyższego należy zwrócić uwagę, że w obowiązującej ordynacji podatkowej regulacje, w których wykorzystano instytucję milczącego załatwienia sprawy, zawarto w przepisach dotyczących interpretacji indywidualnych. Rozwiązanie to zastosowano również w projekcie nowej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16. Polskie prawo podatkowe - w tym ogólne prawo podatkowe - od dziesięcioleci posługuje się tą samą siatką podstawowych pojęć, wśród których na plan pierwszy wysuwają się: podatnik, obowiązek podatkowy, zobowiązanie podatkowe. Stanowią one rdzeń instytucjonalny i zarazem pojęciowy polskiego prawa podatkowego. Są budulcem normatywnym, wykorzystywanym przez ustawodawcę przy konstruowaniu instytucji prawnych i rozwiązań zarówno ogólnego, jak i szczegółowego prawa podatkowego. Należy </w:t>
      </w:r>
      <w:r w:rsidRPr="009A3C86">
        <w:rPr>
          <w:rFonts w:ascii="Times New Roman" w:hAnsi="Times New Roman"/>
          <w:sz w:val="24"/>
          <w:szCs w:val="24"/>
        </w:rPr>
        <w:lastRenderedPageBreak/>
        <w:t>uznać, że zadowalająco spełniają swoją rolę, o czym świadczy brak w orzecznictwie i doktrynie zasadniczych wątpliwości i kontrowersji co do ich znaczenia. Ustalona treść i udowodniona użyteczność skłaniają zatem do dalszego ich stosowania w takim znaczeniu i zakresie, jakie utrwaliło się w dotychczasowej praktyce legislacyjnej i orzecznictwie. Ustawowe dookreślenia takich pojęć są i nadal powinny być zawarte w ordynacji podatkowej. Dostrzegalna jest jednak konieczność dokonania w tym obszarze pewnych korekt</w:t>
      </w:r>
      <w:r w:rsidRPr="009A3C86">
        <w:rPr>
          <w:rFonts w:ascii="Times New Roman" w:hAnsi="Times New Roman"/>
          <w:sz w:val="24"/>
          <w:szCs w:val="24"/>
          <w:vertAlign w:val="superscript"/>
        </w:rPr>
        <w:footnoteReference w:id="44"/>
      </w:r>
      <w:r w:rsidRPr="009A3C86">
        <w:rPr>
          <w:rFonts w:ascii="Times New Roman" w:hAnsi="Times New Roman"/>
          <w:sz w:val="24"/>
          <w:szCs w:val="24"/>
        </w:rPr>
        <w:t xml:space="preserve">. Czynnikiem determinującym jest zauważalna ewolucja sposobu konstruowania przez ustawodawcę instytucji szczegółowego prawa podatkowego. Uwzględniając to zjawisko, należy nieco zmodyfikować definicje podstawowych pojęć. Ogólne prawo podatkowe z jednej strony stanowi bowiem ramy dla konstrukcji należących do szczegółowego prawa podatkowego, z drugiej jednak - w obliczu zaistniałych już przemian tego ostatniego - ogólne prawo podatkowe nie może stwarzać barier i sztucznie wymuszać skostnienia struktur wykazujących wyraźne tendencje rozwojowe zmierzające w możliwym już do określenia kierunku.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17. Tworzenie definicji jest jednym ze sposobów precyzowania znaczenia wyrażeń i zwrotów używanych w tekstach prawnych</w:t>
      </w:r>
      <w:r w:rsidRPr="009A3C86">
        <w:rPr>
          <w:rFonts w:ascii="Times New Roman" w:hAnsi="Times New Roman"/>
          <w:sz w:val="24"/>
          <w:szCs w:val="24"/>
          <w:vertAlign w:val="superscript"/>
        </w:rPr>
        <w:footnoteReference w:id="45"/>
      </w:r>
      <w:r w:rsidRPr="009A3C86">
        <w:rPr>
          <w:rFonts w:ascii="Times New Roman" w:hAnsi="Times New Roman"/>
          <w:sz w:val="24"/>
          <w:szCs w:val="24"/>
        </w:rPr>
        <w:t>. Celem definiowania prawniczego jest uzyskanie jasności przepisów prawa. Za pomocą definicji ustala się znaczenie wyrażeń zawartych w tekście prawnym</w:t>
      </w:r>
      <w:r w:rsidRPr="009A3C86">
        <w:rPr>
          <w:rFonts w:ascii="Times New Roman" w:hAnsi="Times New Roman"/>
          <w:sz w:val="24"/>
          <w:szCs w:val="24"/>
          <w:vertAlign w:val="superscript"/>
        </w:rPr>
        <w:footnoteReference w:id="46"/>
      </w:r>
      <w:r w:rsidRPr="009A3C86">
        <w:rPr>
          <w:rFonts w:ascii="Times New Roman" w:hAnsi="Times New Roman"/>
          <w:sz w:val="24"/>
          <w:szCs w:val="24"/>
        </w:rPr>
        <w:t>. Przy interpretacji aktu normatywnego zawierającego definicję legalną należy przyjmować znaczenie danego zwrotu w sensie nadanym mu tą definicją. Nie jest więc możliwe argumentowanie, że wyrażenie ma znaczenie inne, niż wynikałoby to z treści definicji</w:t>
      </w:r>
      <w:r w:rsidRPr="009A3C86">
        <w:rPr>
          <w:rFonts w:ascii="Times New Roman" w:hAnsi="Times New Roman"/>
          <w:sz w:val="24"/>
          <w:szCs w:val="24"/>
          <w:vertAlign w:val="superscript"/>
        </w:rPr>
        <w:footnoteReference w:id="47"/>
      </w:r>
      <w:r w:rsidRPr="009A3C86">
        <w:rPr>
          <w:rFonts w:ascii="Times New Roman" w:hAnsi="Times New Roman"/>
          <w:sz w:val="24"/>
          <w:szCs w:val="24"/>
        </w:rPr>
        <w:t xml:space="preserve">; prowadziłoby to bowiem do interpretacji </w:t>
      </w:r>
      <w:r w:rsidRPr="009A3C86">
        <w:rPr>
          <w:rFonts w:ascii="Times New Roman" w:hAnsi="Times New Roman"/>
          <w:i/>
          <w:iCs/>
          <w:sz w:val="24"/>
          <w:szCs w:val="24"/>
        </w:rPr>
        <w:t>contra legem</w:t>
      </w:r>
      <w:r w:rsidRPr="009A3C86">
        <w:rPr>
          <w:rFonts w:ascii="Times New Roman" w:hAnsi="Times New Roman"/>
          <w:sz w:val="24"/>
          <w:szCs w:val="24"/>
        </w:rPr>
        <w:t>.</w:t>
      </w:r>
      <w:r w:rsidRPr="009A3C86">
        <w:rPr>
          <w:rFonts w:ascii="Times New Roman" w:hAnsi="Times New Roman"/>
          <w:sz w:val="24"/>
          <w:szCs w:val="24"/>
          <w:vertAlign w:val="superscript"/>
        </w:rPr>
        <w:footnoteReference w:id="48"/>
      </w:r>
      <w:r w:rsidRPr="009A3C86">
        <w:rPr>
          <w:rFonts w:ascii="Times New Roman" w:hAnsi="Times New Roman"/>
          <w:sz w:val="24"/>
          <w:szCs w:val="24"/>
        </w:rPr>
        <w:t xml:space="preserv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18. W projekcie ordynacji podatkowej utrzymano słowniczek pojęć używanych w tym akcie prawnym - taki, którego zasięg i znaczenie będzie ograniczone wyłącznie do tego aktu prawnego. Chodzi w tym wypadku o pojęcia zbiorcze, generalizujące, które są budulcem </w:t>
      </w:r>
      <w:r w:rsidRPr="009A3C86">
        <w:rPr>
          <w:rFonts w:ascii="Times New Roman" w:hAnsi="Times New Roman"/>
          <w:sz w:val="24"/>
          <w:szCs w:val="24"/>
        </w:rPr>
        <w:lastRenderedPageBreak/>
        <w:t>przepisów celem wyeliminowania kazuistyki i rozległych, powtarzających się wyliczeń. Zabieg taki uprości budowę jednostek redakcyjnych tekstu prawnego i zwiększy jego przystępność. W szczególności chodzi o pojęcia, które w projektowanej ordynacji podatkowej używane są dla zbiorczego określenia wszystkich należności, do których ma ona zastosowanie; wszystkich kategorii podmiotów zobowiązanych do spełnienia świadczeń, o których mowa w tym akcie itp.</w:t>
      </w:r>
      <w:r w:rsidRPr="009A3C86">
        <w:rPr>
          <w:rFonts w:ascii="Times New Roman" w:hAnsi="Times New Roman"/>
          <w:sz w:val="24"/>
          <w:szCs w:val="24"/>
          <w:vertAlign w:val="superscript"/>
        </w:rPr>
        <w:footnoteReference w:id="49"/>
      </w:r>
      <w:r w:rsidRPr="009A3C86">
        <w:rPr>
          <w:rFonts w:ascii="Times New Roman" w:hAnsi="Times New Roman"/>
          <w:sz w:val="24"/>
          <w:szCs w:val="24"/>
        </w:rPr>
        <w:t xml:space="preserve"> Wskazane potrzeby definicyjne pojawiły się przede wszystkim w toku prac nad tekstem prawnym. </w:t>
      </w:r>
    </w:p>
    <w:p w:rsidR="00A0038F" w:rsidRPr="009A3C86" w:rsidRDefault="00A0038F" w:rsidP="00A0038F">
      <w:pPr>
        <w:spacing w:after="0" w:line="360" w:lineRule="auto"/>
        <w:jc w:val="both"/>
        <w:rPr>
          <w:rFonts w:ascii="Times New Roman" w:hAnsi="Times New Roman"/>
          <w:spacing w:val="4"/>
          <w:sz w:val="24"/>
          <w:szCs w:val="24"/>
        </w:rPr>
      </w:pPr>
      <w:r w:rsidRPr="009A3C86">
        <w:rPr>
          <w:rFonts w:ascii="Times New Roman" w:hAnsi="Times New Roman"/>
          <w:sz w:val="24"/>
          <w:szCs w:val="24"/>
        </w:rPr>
        <w:t>19. W zakresie nieobjętym słowniczkiem, o którym wyżej mowa, w prawie podatkowym zasadne jest respektowanie treści pojęć przejętych z innych dziedzin prawa. Wyrażenia mające ustalone znaczenie w innych gałęziach prawa powinny bowiem co do zasady zachowywać to znaczenie w prawie podatkowym. Wskazane założenie stanowi jedno z narzędzi realizacji postulatu ustanawiania „precyzyjnego i zrozumiałego dla wszystkich prawa”.</w:t>
      </w:r>
      <w:r w:rsidRPr="009A3C86">
        <w:rPr>
          <w:rFonts w:ascii="Times New Roman" w:hAnsi="Times New Roman"/>
          <w:sz w:val="24"/>
          <w:szCs w:val="24"/>
          <w:vertAlign w:val="superscript"/>
        </w:rPr>
        <w:footnoteReference w:id="50"/>
      </w:r>
      <w:r w:rsidRPr="009A3C86">
        <w:rPr>
          <w:rFonts w:ascii="Times New Roman" w:hAnsi="Times New Roman"/>
          <w:sz w:val="24"/>
          <w:szCs w:val="24"/>
        </w:rPr>
        <w:t xml:space="preserve"> Tożsamość terminów stwarza silne domniemanie </w:t>
      </w:r>
      <w:r w:rsidRPr="009A3C86">
        <w:rPr>
          <w:rFonts w:ascii="Times New Roman" w:hAnsi="Times New Roman"/>
          <w:spacing w:val="1"/>
          <w:sz w:val="24"/>
          <w:szCs w:val="24"/>
        </w:rPr>
        <w:t xml:space="preserve">tożsamości ich znaczenia, nawet jeśli są tworzone na potrzeby różnych gałęzi prawa. </w:t>
      </w:r>
      <w:r w:rsidRPr="009A3C86">
        <w:rPr>
          <w:rFonts w:ascii="Times New Roman" w:hAnsi="Times New Roman"/>
          <w:sz w:val="24"/>
          <w:szCs w:val="24"/>
        </w:rPr>
        <w:t>Prawo jest traktowane jako system, a interpretator przyjmuje założenie o jego spójności.</w:t>
      </w:r>
      <w:r w:rsidRPr="009A3C86">
        <w:rPr>
          <w:rFonts w:ascii="Times New Roman" w:hAnsi="Times New Roman"/>
          <w:sz w:val="24"/>
          <w:szCs w:val="24"/>
          <w:vertAlign w:val="superscript"/>
        </w:rPr>
        <w:footnoteReference w:id="51"/>
      </w:r>
      <w:r w:rsidRPr="009A3C86">
        <w:rPr>
          <w:rFonts w:ascii="Times New Roman" w:hAnsi="Times New Roman"/>
          <w:sz w:val="24"/>
          <w:szCs w:val="24"/>
        </w:rPr>
        <w:t xml:space="preserve"> </w:t>
      </w:r>
      <w:r w:rsidRPr="009A3C86">
        <w:rPr>
          <w:rFonts w:ascii="Times New Roman" w:hAnsi="Times New Roman"/>
          <w:spacing w:val="1"/>
          <w:sz w:val="24"/>
          <w:szCs w:val="24"/>
        </w:rPr>
        <w:t>Podatnik ma prawo k</w:t>
      </w:r>
      <w:r w:rsidRPr="009A3C86">
        <w:rPr>
          <w:rFonts w:ascii="Times New Roman" w:hAnsi="Times New Roman"/>
          <w:spacing w:val="4"/>
          <w:sz w:val="24"/>
          <w:szCs w:val="24"/>
        </w:rPr>
        <w:t xml:space="preserve">ierować się zaufaniem do ustawodawcy. Jednym z przejawów takiego zaufania jest uzasadnione oczekiwanie, że prawodawca stanowi </w:t>
      </w:r>
      <w:r w:rsidRPr="009A3C86">
        <w:rPr>
          <w:rFonts w:ascii="Times New Roman" w:hAnsi="Times New Roman"/>
          <w:sz w:val="24"/>
          <w:szCs w:val="24"/>
        </w:rPr>
        <w:t xml:space="preserve">system prawa spójny i racjonalny. Działając w tym zaufaniu, podatnik powinien mieć normatywne podstawy do przyjęcia, że w zakresie </w:t>
      </w:r>
      <w:r w:rsidRPr="009A3C86">
        <w:rPr>
          <w:rFonts w:ascii="Times New Roman" w:hAnsi="Times New Roman"/>
          <w:spacing w:val="-1"/>
          <w:sz w:val="24"/>
          <w:szCs w:val="24"/>
        </w:rPr>
        <w:t xml:space="preserve">pojęć zaczerpniętych z innych dziedzin prawa, gdzie ich </w:t>
      </w:r>
      <w:r w:rsidRPr="009A3C86">
        <w:rPr>
          <w:rFonts w:ascii="Times New Roman" w:hAnsi="Times New Roman"/>
          <w:spacing w:val="3"/>
          <w:sz w:val="24"/>
          <w:szCs w:val="24"/>
        </w:rPr>
        <w:t xml:space="preserve">znaczenie </w:t>
      </w:r>
      <w:r w:rsidRPr="009A3C86">
        <w:rPr>
          <w:rFonts w:ascii="Times New Roman" w:hAnsi="Times New Roman"/>
          <w:spacing w:val="-1"/>
          <w:sz w:val="24"/>
          <w:szCs w:val="24"/>
        </w:rPr>
        <w:t xml:space="preserve">wprost wynika z przepisów, </w:t>
      </w:r>
      <w:r w:rsidRPr="009A3C86">
        <w:rPr>
          <w:rFonts w:ascii="Times New Roman" w:hAnsi="Times New Roman"/>
          <w:sz w:val="24"/>
          <w:szCs w:val="24"/>
        </w:rPr>
        <w:t xml:space="preserve">te same znaczenia </w:t>
      </w:r>
      <w:r w:rsidRPr="009A3C86">
        <w:rPr>
          <w:rFonts w:ascii="Times New Roman" w:hAnsi="Times New Roman"/>
          <w:spacing w:val="4"/>
          <w:sz w:val="24"/>
          <w:szCs w:val="24"/>
        </w:rPr>
        <w:t>obowiązują w prawie podatkowym. Z drugiej strony, wskazuje się także na wadliwość techniki</w:t>
      </w:r>
      <w:r w:rsidRPr="009A3C86">
        <w:rPr>
          <w:rFonts w:ascii="Times New Roman" w:hAnsi="Times New Roman"/>
          <w:sz w:val="24"/>
          <w:szCs w:val="24"/>
        </w:rPr>
        <w:t xml:space="preserve"> legislacyjnej w związku z objaśnianiem w ustawie określeń, które zostały zdefiniowane w innej ustawie o fundamentalnym znaczeniu</w:t>
      </w:r>
      <w:r w:rsidRPr="009A3C86">
        <w:rPr>
          <w:rFonts w:ascii="Times New Roman" w:hAnsi="Times New Roman"/>
          <w:sz w:val="24"/>
          <w:szCs w:val="24"/>
          <w:vertAlign w:val="superscript"/>
        </w:rPr>
        <w:footnoteReference w:id="52"/>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pacing w:val="4"/>
          <w:sz w:val="24"/>
          <w:szCs w:val="24"/>
        </w:rPr>
        <w:t xml:space="preserve">20. Przykładem realizacji wskazanej wyżej reguły w projektowanej ordynacji podatkowej jest akceptacja definicji pojęć technicznych związanych z zastosowaniem środków komunikacji elektronicznej w kontaktach organów podatkowych z zobowiązanymi, zdefiniowanych w ustawie </w:t>
      </w:r>
      <w:r w:rsidRPr="009A3C86">
        <w:rPr>
          <w:rFonts w:ascii="Times New Roman" w:hAnsi="Times New Roman"/>
          <w:sz w:val="24"/>
          <w:szCs w:val="24"/>
        </w:rPr>
        <w:t xml:space="preserve">z dnia 17 lutego 2005 r. o informatyzacji działalności podmiotów </w:t>
      </w:r>
      <w:r w:rsidRPr="009A3C86">
        <w:rPr>
          <w:rFonts w:ascii="Times New Roman" w:hAnsi="Times New Roman"/>
          <w:sz w:val="24"/>
          <w:szCs w:val="24"/>
        </w:rPr>
        <w:lastRenderedPageBreak/>
        <w:t>realizujących zadania publiczne (Dz. U. z 2017 r. poz. 570</w:t>
      </w:r>
      <w:r w:rsidR="009F2869" w:rsidRPr="009A3C86">
        <w:rPr>
          <w:rFonts w:ascii="Times New Roman" w:hAnsi="Times New Roman"/>
          <w:sz w:val="24"/>
          <w:szCs w:val="24"/>
        </w:rPr>
        <w:t>, z późn. zm.</w:t>
      </w:r>
      <w:r w:rsidRPr="009A3C86">
        <w:rPr>
          <w:rFonts w:ascii="Times New Roman" w:hAnsi="Times New Roman"/>
          <w:sz w:val="24"/>
          <w:szCs w:val="24"/>
        </w:rPr>
        <w:t>) oraz w rozporządzeniu Parlamentu Europejskiego i Rady (UE) nr 910/2014 w sprawie identyfikacji elektronicznej i usług zaufania publicznego w odniesieniu do transakcji elektronicznych na rynku wewnętrznym oraz uchylającego dyrektywę 1999/93/WE (Dz. U. UE L 257 z 28.08.2014 r., str. 73).</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21. Przechodząc do uzasadnienia poszczególnych regulacji ujętych w katalogu podstawowych pojęć oraz w definicjach, na pierwszym miejscu zdefiniowano pojęcie obowiązku podatkowego. Zgodnie z </w:t>
      </w:r>
      <w:r w:rsidRPr="009A3C86">
        <w:rPr>
          <w:rFonts w:ascii="Times New Roman" w:hAnsi="Times New Roman"/>
          <w:b/>
          <w:sz w:val="24"/>
          <w:szCs w:val="24"/>
        </w:rPr>
        <w:t>art. 3</w:t>
      </w:r>
      <w:r w:rsidRPr="009A3C86">
        <w:rPr>
          <w:rFonts w:ascii="Times New Roman" w:hAnsi="Times New Roman"/>
          <w:sz w:val="24"/>
          <w:szCs w:val="24"/>
        </w:rPr>
        <w:t xml:space="preserve"> projektu ordynacji podatkowej obowiązek podatkowy wynika z ustaw podatkowych i powstaje w związku z zaistnieniem zdarzenia określonego w tych ustawach. Proponowane rozwiązanie odbiega zatem od definicji zawartej w art. 4 o.p., zgodnie z którą obowiązkiem podatkowym jest wynikająca z ustaw podatkowych nieskonkretyzowana powinność przymusowego świadczenia pieniężnego w związku z zaistnieniem zdarzenia określonego w tych ustawach.</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Pojęcie obowiązku podatkowego po raz pierwszy wprowadziła do polskiego ogólnego prawa podatkowego ordynacja podatkowa z 1934 r., która w art. 43 stanowiła: „Poszczególne ustawy podatkowe określają, kiedy powstaje obowiązek podatkowy i odpowiadające mu prawo Państwa do wymiaru podatku”. Jednak już w 1935 r. S. Rozmaryn</w:t>
      </w:r>
      <w:r w:rsidRPr="009A3C86">
        <w:rPr>
          <w:rFonts w:ascii="Times New Roman" w:hAnsi="Times New Roman"/>
          <w:sz w:val="24"/>
          <w:szCs w:val="24"/>
          <w:vertAlign w:val="superscript"/>
        </w:rPr>
        <w:footnoteReference w:id="53"/>
      </w:r>
      <w:r w:rsidRPr="009A3C86">
        <w:rPr>
          <w:rFonts w:ascii="Times New Roman" w:hAnsi="Times New Roman"/>
          <w:sz w:val="24"/>
          <w:szCs w:val="24"/>
        </w:rPr>
        <w:t xml:space="preserve"> stwierdził, że obowiązek podatkowy jest konstrukcją czysto teoretyczną, pozbawioną jakiejkolwiek treści normatywnej, zbędną polskiemu prawu podatkowemu i - co za tym idzie - pojęcie to niepotrzebnie zostało wprowadzone do ordynacji podatkowej.</w:t>
      </w:r>
      <w:r w:rsidRPr="009A3C86">
        <w:rPr>
          <w:rFonts w:ascii="Times New Roman" w:hAnsi="Times New Roman"/>
          <w:sz w:val="24"/>
          <w:szCs w:val="24"/>
          <w:vertAlign w:val="superscript"/>
        </w:rPr>
        <w:footnoteReference w:id="54"/>
      </w:r>
      <w:r w:rsidRPr="009A3C86">
        <w:rPr>
          <w:rFonts w:ascii="Times New Roman" w:hAnsi="Times New Roman"/>
          <w:sz w:val="24"/>
          <w:szCs w:val="24"/>
        </w:rPr>
        <w:t xml:space="preserve"> Także dziś zasadność posługiwania się nim w treści przepisów ogólnego prawa podatkowego bywa niekiedy kwestionowana. Mimo że twierdzeniom takim nie można odmówić pewnej słuszności, to jednak eliminowanie pojęcia obowiązku podatkowego z przepisów ogólnego prawa podatkowego w chwili obecnej byłoby błędem. Posługiwanie się w przepisach ogólnego prawa podatkowego pojęciem „obowiązek podatkowy” jest - i będzie - zasadne tak długo, jak długo jest ono obecne w regulacjach należących do szczegółowego prawa podatkowego. Mimo teoretycznego rodowodu przez dziesięciolecia obecności w polskim ogólnym i szczegółowym prawie podatkowym pojęcie to nabrało waloru normatywnego. Potwierdziła się jego użyteczność jako swoistego budulca szczegółowych rozwiązań podatkowoprawnych. Usunięcie tego pojęcia z katalogu podstawowych pojęć w projekcie ordynacji podatkowej pozbawiłoby ten akt niezbędnego </w:t>
      </w:r>
      <w:r w:rsidRPr="009A3C86">
        <w:rPr>
          <w:rFonts w:ascii="Times New Roman" w:hAnsi="Times New Roman"/>
          <w:sz w:val="24"/>
          <w:szCs w:val="24"/>
        </w:rPr>
        <w:lastRenderedPageBreak/>
        <w:t xml:space="preserve">normatywnego zakotwiczenia i postawiłoby pod znakiem zapytania dopuszczalność posługiwania się nim przez ustawodawcę przy konstruowaniu szczegółowych regulacji z zakresu poszczególnych podatków, co mogłoby wymagać daleko idących zmian w tych przepisach.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Sposób, w jaki pojęcie to jest używane współcześnie przez ustawodawcę, a w konsekwencji rozumiane w procesie stosowania prawa podatkowego, odbiega jednak od definicji zawartej w art. 4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Definicja ta korespondowała z tradycyjnym, utrwalonym przez dziesięciolecia, a ukształtowanym w literaturze jeszcze pod rządami ordynacji podatkowej z 1934 r. rozumieniem obowiązku podatkowego jako pewnego stanu, następującego po zajściu zdarzenia uregulowanego w hipotezie normy podatkowoprawnej, które pociągało za sobą powstanie po stronie państwa kompetencji do wymiaru podatku.</w:t>
      </w:r>
      <w:r w:rsidRPr="009A3C86">
        <w:rPr>
          <w:rFonts w:ascii="Times New Roman" w:hAnsi="Times New Roman"/>
          <w:sz w:val="24"/>
          <w:szCs w:val="24"/>
          <w:vertAlign w:val="superscript"/>
        </w:rPr>
        <w:footnoteReference w:id="55"/>
      </w:r>
      <w:r w:rsidRPr="009A3C86">
        <w:rPr>
          <w:rFonts w:ascii="Times New Roman" w:hAnsi="Times New Roman"/>
          <w:sz w:val="24"/>
          <w:szCs w:val="24"/>
        </w:rPr>
        <w:t xml:space="preserve"> Jednak analiza kontekstów, w jakich współcześnie pojęcie obowiązku podatkowego występuje w treści ustaw podatkowych, pozwala dostrzec częściowe, lecz wyraźne odejście od tego tradycyjnego rozumienia, przez co definicja z art. 4 o.p. stała się - przynajmniej w pewnej mierze - nieadekwatna do obecnych realiów polskiego systemu podatkowego.</w:t>
      </w:r>
      <w:r w:rsidRPr="009A3C86">
        <w:rPr>
          <w:rFonts w:ascii="Times New Roman" w:hAnsi="Times New Roman"/>
          <w:sz w:val="24"/>
          <w:szCs w:val="24"/>
          <w:vertAlign w:val="superscript"/>
        </w:rPr>
        <w:footnoteReference w:id="56"/>
      </w:r>
      <w:r w:rsidRPr="009A3C86">
        <w:rPr>
          <w:rFonts w:ascii="Times New Roman" w:hAnsi="Times New Roman"/>
          <w:sz w:val="24"/>
          <w:szCs w:val="24"/>
        </w:rPr>
        <w:t xml:space="preserv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Pojęcie obowiązku podatkowego w konstrukcji niektórych podatków odpowiada nadal temu tradycyjnemu rozumieniu (m.in. podatek od spadków i darowizn, podatek od nieruchomości, podatek rolny i podatek leśny). W polskim systemie prawnym funkcjonują jednak obecnie i takie podatki, w których konstrukcji brak jest jakiegokolwiek normatywnego odwołania się do pojęcia obowiązku podatkowego (podatek tonażowy). W innych konstrukcjach z kolei, nawet jeśli obowiązek podatkowy (jako kategoria pojęciowa) występuje, to jest używana w bardzo ograniczonym zakresie, gdyż przepisy nie wskazują ani kiedy, ani na skutek jakich zdarzeń on powstaje. Taka sytuacja ma miejsce np. w ustawach regulujących podatki dochodowe, które wiele uwagi poświęcają określeniu daty powstania przychodu, marginalizując zagadnienie obowiązku podatkowego (oprócz obowiązku nieograniczonego i ograniczonego). Wreszcie, w niektórych przepisach odnoszących się do konstrukcji prawnej podatków (w tym zwłaszcza podatku od towarów i usług) pojęcie obowiązku podatkowego występuje w znaczeniu swoistym, odbiegającym od tego, jakie nadaje mu dzisiejsza definicja zawarta w art. 4 o.p. </w:t>
      </w:r>
      <w:r w:rsidRPr="009A3C86">
        <w:rPr>
          <w:rFonts w:ascii="Times New Roman" w:hAnsi="Times New Roman"/>
          <w:sz w:val="24"/>
          <w:szCs w:val="24"/>
        </w:rPr>
        <w:lastRenderedPageBreak/>
        <w:t xml:space="preserve">Istnieją ponadto takie konstrukcje, w których obowiązek podatkowy jest wyraźnie przez ustawodawcę wyodrębniany, jednak wbrew dzisiejszej definicji nie sposób uznać go za „nieskonkretyzowaną powinność” (jak chce tego art. 4 o.p.), gdyż już od momentu powstania jest w pełni skonkretyzowany (np. podatek od czynności cywilnoprawnych).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W doktrynie wskazuje się, że obowiązująca definicja obowiązku podatkowego ma znikomy walor normatywny, a na dodatek nie odpowiada realiom normatywnym systemu podatkowego i w rezultacie - w swym dzisiejszym kształcie - stanowi w ustawie zbędny element.</w:t>
      </w:r>
      <w:r w:rsidRPr="009A3C86">
        <w:rPr>
          <w:rFonts w:ascii="Times New Roman" w:hAnsi="Times New Roman"/>
          <w:sz w:val="24"/>
          <w:szCs w:val="24"/>
          <w:vertAlign w:val="superscript"/>
        </w:rPr>
        <w:footnoteReference w:id="57"/>
      </w:r>
      <w:r w:rsidRPr="009A3C86">
        <w:rPr>
          <w:rFonts w:ascii="Times New Roman" w:hAnsi="Times New Roman"/>
          <w:sz w:val="24"/>
          <w:szCs w:val="24"/>
        </w:rPr>
        <w:t xml:space="preserve"> Wyrażono również stanowisko, że należy zrezygnować z definiowania obowiązku podatkowego, a zamiast tego ograniczyć się do stwierdzenia, że określają go ustawy lub że wynika on z ustaw podatkowych.</w:t>
      </w:r>
      <w:r w:rsidRPr="009A3C86">
        <w:rPr>
          <w:rFonts w:ascii="Times New Roman" w:hAnsi="Times New Roman"/>
          <w:sz w:val="24"/>
          <w:szCs w:val="24"/>
          <w:vertAlign w:val="superscript"/>
        </w:rPr>
        <w:footnoteReference w:id="58"/>
      </w:r>
      <w:r w:rsidRPr="009A3C86">
        <w:rPr>
          <w:rFonts w:ascii="Times New Roman" w:hAnsi="Times New Roman"/>
          <w:sz w:val="24"/>
          <w:szCs w:val="24"/>
        </w:rPr>
        <w:t xml:space="preserve"> Wskazuje się ponadto na trudności z racjonalnym interpretowaniem art. 4 o.p.</w:t>
      </w:r>
      <w:r w:rsidRPr="009A3C86">
        <w:rPr>
          <w:rFonts w:ascii="Times New Roman" w:hAnsi="Times New Roman"/>
          <w:sz w:val="24"/>
          <w:szCs w:val="24"/>
          <w:vertAlign w:val="superscript"/>
        </w:rPr>
        <w:footnoteReference w:id="59"/>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Mając na uwadze powyższe spostrzeżenia, nie zrezygnowano z normatywnego ujęcia obowiązku podatkowego. Niemniej jednak, definiując to pojęcie, zrezygnowano z ustawowego określenia cechy, jaką jest dzisiaj nieskonkretyzowana powinność przymusowego świadczenia pieniężnego. Ograniczono się natomiast do wskazania dwóch jego cech. Po pierwsze, obowiązek podatkowy wynika z ustaw podatkowych. W tym zakresie projektowany przepis nawiązuje do standardów art. 84 i art. 217 Konstytucji RP. Zasygnalizować przy tym należy, że projekt ordynacji podatkowej definiuje również pojęcie ustaw podatkowych. Zgodnie z art. 13 pkt </w:t>
      </w:r>
      <w:r w:rsidR="00121F89" w:rsidRPr="009A3C86">
        <w:rPr>
          <w:rFonts w:ascii="Times New Roman" w:hAnsi="Times New Roman"/>
          <w:sz w:val="24"/>
          <w:szCs w:val="24"/>
        </w:rPr>
        <w:t xml:space="preserve">21 </w:t>
      </w:r>
      <w:r w:rsidRPr="009A3C86">
        <w:rPr>
          <w:rFonts w:ascii="Times New Roman" w:hAnsi="Times New Roman"/>
          <w:sz w:val="24"/>
          <w:szCs w:val="24"/>
        </w:rPr>
        <w:t>projektu pod pojęciem ustaw podatkowych rozumie się ustawy dotyczące podatków, określające podmiot, przedmiot opodatkowania, obowiązek podatkowy, podstawę opodatkowania, stawki podatkowe, tryb i warunki płatności oraz regulujące prawa i obowiązki zobowiązanych, a także kompetencje organów podatkowych.</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Po drugie, obowiązek podatkowy powstaje w związku z zaistnieniem zdarzeń określonych w ustawach podatkowych. Zaproponowana konstrukcja obowiązku podatkowego ściśle </w:t>
      </w:r>
      <w:r w:rsidRPr="009A3C86">
        <w:rPr>
          <w:rFonts w:ascii="Times New Roman" w:hAnsi="Times New Roman"/>
          <w:sz w:val="24"/>
          <w:szCs w:val="24"/>
        </w:rPr>
        <w:lastRenderedPageBreak/>
        <w:t>nawiązuje zatem do przedmiotu opodatkowania, który także powinien być uregulowany w akcie rangi ustawowej, co wynika z powołanych przepisów Konstytucji RP.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Propozycja definicji ustawowej obowiązku podatkowego prowadzi do wniosku, że obowiązek ten powstaje i istnieje także w podatkach, których regulacje prawne w ogóle nie posługują się pojęciem obowiązku podatkowego albo też posługując się nim, nie określają momentu jego powstania. Jeżeli bowiem tylko wystąpi przedmiot opodatkowania, a przecież każdy podatek ma taki element konstrukcyjny, to jednocześnie z wystąpieniem przedmiotu opodatkowania pojawia się obowiązek podatkowy.</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Nie można tracić z pola widzenia tego, że konstrukcja obowiązku podatkowego wiąże się z powstaniem materialnoprawnego stosunku podatkowoprawnego</w:t>
      </w:r>
      <w:r w:rsidRPr="009A3C86">
        <w:rPr>
          <w:rFonts w:ascii="Times New Roman" w:hAnsi="Times New Roman"/>
          <w:sz w:val="24"/>
          <w:szCs w:val="24"/>
          <w:vertAlign w:val="superscript"/>
        </w:rPr>
        <w:footnoteReference w:id="60"/>
      </w:r>
      <w:r w:rsidRPr="009A3C86">
        <w:rPr>
          <w:rFonts w:ascii="Times New Roman" w:hAnsi="Times New Roman"/>
          <w:sz w:val="24"/>
          <w:szCs w:val="24"/>
        </w:rPr>
        <w:t xml:space="preserve">. Treścią zaś tego stosunku jest co do zasady świadczenie pieniężne podatnika, co z kolei wynika z definicji zobowiązania podatkowego. Wyznaczenie momentu powstania tego stosunku, a zatem momentu powstania obowiązku podatkowego, jest istotne z punktu widzenia innych instytucji prawa podatkowego, a w szczególności ma wpływ na określenie statusu podmiotu jako podatnika, budowę definicji zobowiązania podatkowego, czy też na początek biegu terminu przedawnienia wymiaru zobowiązania podatkowego ustalanego decyzją. Wskazane zależności pomiędzy obowiązkiem podatkowym a definicją podatnika, zobowiązania podatkowego oraz przedawnieniem wymiaru podatku funkcjonują również na gruncie projektu ordynacji podatkowej (zob. np. art. 4, art. 8 oraz art. </w:t>
      </w:r>
      <w:r w:rsidR="003A35ED" w:rsidRPr="009A3C86">
        <w:rPr>
          <w:rFonts w:ascii="Times New Roman" w:hAnsi="Times New Roman"/>
          <w:sz w:val="24"/>
          <w:szCs w:val="24"/>
        </w:rPr>
        <w:t xml:space="preserve">173 </w:t>
      </w:r>
      <w:r w:rsidRPr="009A3C86">
        <w:rPr>
          <w:rFonts w:ascii="Times New Roman" w:hAnsi="Times New Roman"/>
          <w:sz w:val="24"/>
          <w:szCs w:val="24"/>
        </w:rPr>
        <w:t>§ 1 pkt 2 projektu).</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mallCaps/>
          <w:sz w:val="24"/>
          <w:szCs w:val="24"/>
        </w:rPr>
        <w:t xml:space="preserve">22. W </w:t>
      </w:r>
      <w:r w:rsidRPr="009A3C86">
        <w:rPr>
          <w:rFonts w:ascii="Times New Roman" w:hAnsi="Times New Roman"/>
          <w:b/>
          <w:sz w:val="24"/>
          <w:szCs w:val="24"/>
        </w:rPr>
        <w:t>art. 4</w:t>
      </w:r>
      <w:r w:rsidRPr="009A3C86">
        <w:rPr>
          <w:rFonts w:ascii="Times New Roman" w:hAnsi="Times New Roman"/>
          <w:sz w:val="24"/>
          <w:szCs w:val="24"/>
        </w:rPr>
        <w:t xml:space="preserve"> projektu zawarto definicję zobowiązania podatkowego. W myśl tego przepisu zobowiązaniem podatkowym jest wynikający z obowiązku podatkowego, ciążący na podatniku, obowiązek zapłacenia na rzecz państwa, województwa, powiatu lub gminy podatku na zasadach określonych w przepisach prawa podatkowego. Pewnej weryfikacji poddano zatem pojęcie zobowiązania podatkowego, które aktualnie definiowane jest w art. 5 o.p. jako wynikające z obowiązku podatkowego zobowiązanie podatnika do zapłacenia na rzecz Skarbu Państwa, województwa, powiatu albo gminy podatku w wysokości, w terminie oraz w miejscu określonych w przepisach prawa podatkowego.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projektowanej definicji zobowiązania podatkowego przyjęto obowiązującą zasadę wynikania tego zobowiązania z obowiązku podatkowego. Fakt, że dana ustawa podatkowa nie posługuje się pojęciem obowiązku podatkowego, jak już wskazano w uzasadnieniu do art. 3 projektu ordynacji podatkowej, nie oznacza, że obowiązek podatkowy jest konstrukcją obcą dla podatku uregulowanego w takiej ustawie. Jeżeli dana ustawa podatkowa nie posługuje się </w:t>
      </w:r>
      <w:r w:rsidRPr="009A3C86">
        <w:rPr>
          <w:rFonts w:ascii="Times New Roman" w:hAnsi="Times New Roman"/>
          <w:sz w:val="24"/>
          <w:szCs w:val="24"/>
        </w:rPr>
        <w:lastRenderedPageBreak/>
        <w:t>pojęciem obowiązku podatkowego, nie oznacza to, że obowiązek podatkowy w procesie interpretacji przepisów tej ustawy jest konstrukcją wyłącznie teoretyczną, a nie normatywną. Normatywność konstrukcji obowiązku podatkowego, chociaż w wąskim zakresie, zapewnia bowiem art. 3 projektu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Zobowiązanie podatkowe - co powinno być oczywiste w świetle jego definicji - powinno wynikać tylko z takiego obowiązku podatkowego, który ma umocowanie ustawowe i powstaje w związku z zaistnieniem zdarzeń określonych w ustawie. Wszak zobowiązanie podatkowe nie może powstać, jeżeli nie zaistnieje materialnoprawny stosunek podatkowoprawny. Stosunek ten jest natomiast determinowany powstaniem obowiązku podatkowego. Kluczowe znaczenie ma zatem związek zobowiązania podatkowego z obowiązkiem podatkowym</w:t>
      </w:r>
      <w:r w:rsidRPr="009A3C86">
        <w:rPr>
          <w:rFonts w:ascii="Times New Roman" w:hAnsi="Times New Roman"/>
          <w:sz w:val="24"/>
          <w:szCs w:val="24"/>
          <w:vertAlign w:val="superscript"/>
        </w:rPr>
        <w:footnoteReference w:id="61"/>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Odnosząc się w dalszej kolejności do ustawowej definicji zobowiązania podatkowego należy podkreślić, że w zaproponowanym rozwiązaniu usunięto z niej dookreślenia wskazujące na termin i miejsce zapłaty podatku; zamiast tego za wystarczające uznano wskazanie, na czyją rzecz podatek ma być zapłacony. W tym obszarze z kolei jako beneficjenta podatku wskazano m.in. państwo, a nie jego cywilnoprawne ucieleśnienie, tj. Skarb Państwa, jak to obecnie ma miejsce.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W odniesieniu do podatków samorządowych w projekcie nie zrezygnowano ze wskazania, jako beneficjentów podatków, wszystkich jednostek samorządu terytorialnego. Niezwykle szeroki katalog opłat i niepodatkowych należności budżetowych, z których część przysługuje gminom, powiatom oraz województwom samorządowym, przesądziła o konieczności pozostawienia w projekcie wskazanych trzech beneficjentów na szczeblu samorządowym.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23. Zgodnie z </w:t>
      </w:r>
      <w:r w:rsidRPr="009A3C86">
        <w:rPr>
          <w:rFonts w:ascii="Times New Roman" w:hAnsi="Times New Roman"/>
          <w:b/>
          <w:sz w:val="24"/>
          <w:szCs w:val="24"/>
        </w:rPr>
        <w:t>art. 5</w:t>
      </w:r>
      <w:r w:rsidRPr="009A3C86">
        <w:rPr>
          <w:rFonts w:ascii="Times New Roman" w:hAnsi="Times New Roman"/>
          <w:sz w:val="24"/>
          <w:szCs w:val="24"/>
        </w:rPr>
        <w:t xml:space="preserve"> projektu ordynacji podatkowej podatkiem jest publicznoprawne, nieodpłatne, przymusowe oraz bezzwrotne świadczenie pieniężne na rzecz państwa, województwa, powiatu lub gminy, wynikające z ustaw podatkowych. Przepis ten jest odpowiednikiem obowiązującego art. 6 o.p. z pewną modyfikacją. Zgodnie z tym ostatnim przepisem podatkiem jest publicznoprawne, nieodpłatne, przymusowe oraz bezzwrotne świadczenie pieniężne na rzecz Skarbu Państwa, województwa, powiatu lub gminy, wynikające z ustawy podatkowej. Modyfikacja zasadniczo sprowadza się do tego, podobnie jak w przypadku definicji zobowiązania podatkowego, że jako beneficjenta podatku wskazano m.in. państwo, a nie jego cywilnoprawne ucieleśnienie, tj. Skarb Państwa, jak to obecnie ma miejsce.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Podkreślenia wymaga, że w art. 5 projektu zawarto tzw. definicję treściową (materialną) podatku, którą należy odróżnić od tzw. definicji zakresowej (technicznej) ujętej w art. 13 pkt 9 projektu ordynacji podatkowej. W doktrynie poddano krytyce taki sposób definiowania podatku (zob. szerzej uzasadnienie do art. 13 pkt 9 projektu).</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24. W </w:t>
      </w:r>
      <w:r w:rsidRPr="009A3C86">
        <w:rPr>
          <w:rFonts w:ascii="Times New Roman" w:hAnsi="Times New Roman"/>
          <w:b/>
          <w:sz w:val="24"/>
          <w:szCs w:val="24"/>
        </w:rPr>
        <w:t>art. 6</w:t>
      </w:r>
      <w:r w:rsidRPr="009A3C86">
        <w:rPr>
          <w:rFonts w:ascii="Times New Roman" w:hAnsi="Times New Roman"/>
          <w:sz w:val="24"/>
          <w:szCs w:val="24"/>
        </w:rPr>
        <w:t xml:space="preserve"> projektu zawarto definicję opłaty. Zgodnie z tym przepisem opłatą jest publicznoprawne, odpłatne, przymusowe oraz bezzwrotne świadczenie pieniężne na rzecz państwa, województwa, powiatu lub gminy, wynikające z ustaw. Konieczność uregulowania ustawowej definicji opłaty podyktowana była postanowieniami art. 2 § 2 projektu ordynacji podatkowej, regulującego zakres przedmiotowy obowiązywania ustawy, zgodnie z którym wskazane przepisy tej ustawy stosuje się odpowiednio w szczególności do opłat, do których wymiaru uprawnione są organy inne niż organy podatkowe. Budując definicję opłaty, oparto się na definicjach wypracowanych w nauce</w:t>
      </w:r>
      <w:r w:rsidRPr="009A3C86">
        <w:rPr>
          <w:rFonts w:ascii="Times New Roman" w:hAnsi="Times New Roman"/>
          <w:sz w:val="24"/>
          <w:szCs w:val="24"/>
          <w:vertAlign w:val="superscript"/>
        </w:rPr>
        <w:footnoteReference w:id="62"/>
      </w:r>
      <w:r w:rsidRPr="009A3C86">
        <w:rPr>
          <w:rFonts w:ascii="Times New Roman" w:hAnsi="Times New Roman"/>
          <w:sz w:val="24"/>
          <w:szCs w:val="24"/>
        </w:rPr>
        <w:t>. Definicja ustawowa opłaty wykazuje dwie różnice w porównaniu do definicji ustawowej podatku. Pierwsza wiąże się z tym, że podatek jest świadczeniem nieodpłatnym, natomiast opłata jest świadczeniem odpłatnym. Druga natomiast wiąże się z tym, że podatek wynika z ustawy podatkowej, natomiast opłata wynika z aktu prawnego rangi ustawowej. Dla tak skonstruowanej definicji opłaty, która nie musi wynikać z ustawy podatkowej, nie ma znaczenia definicja zakresowa podatku ujęta w słowniczku art. 13 pkt 9 projektu ordynacji podatkowej, zgodnie z którym pod pojęciem podatku rozumie się również opłaty, niepodatkowe należności budżetowe, a także raty lub zaliczki na podatki, opłaty oraz na niepodatkowe należności budżetowe. Wskazana definicja stanowi jedynie zbiorcze określenia wszystkich należności. W konsekwencji, ilekroć projekt ordynacji podatkowej posługuje się pojęciem podatku, należy pod tym pojęciem rozumieć również opłatę. W żadnym natomiast razie nie oznacza to, że opłata musi wynikać z ustawy podatkowej. Zachowanie ustawowej regulacji opłaty podyktowane jest standardami konstytucyjnymi wynikającymi z art. 84 i 217 Konstytucji RP.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Dodać należy, że nie do każdej opłaty ma zastosowanie nowa ordynacja podatkowa. Otóż ordynacja podatkowa będzie miała zastosowanie w całości tylko do opłat, do których wymiaru uprawnione są organy podatkowe (art. 2 § 1 w związku z art. 13 pkt 3 projektu). Natomiast jeżeli odrębne przepisy nie stanowią inaczej, przepisy art. </w:t>
      </w:r>
      <w:r w:rsidR="00CA6001" w:rsidRPr="009A3C86">
        <w:rPr>
          <w:rFonts w:ascii="Times New Roman" w:hAnsi="Times New Roman"/>
          <w:sz w:val="24"/>
          <w:szCs w:val="24"/>
        </w:rPr>
        <w:t>125</w:t>
      </w:r>
      <w:r w:rsidRPr="009A3C86">
        <w:rPr>
          <w:rFonts w:ascii="Times New Roman" w:hAnsi="Times New Roman"/>
          <w:sz w:val="24"/>
          <w:szCs w:val="24"/>
        </w:rPr>
        <w:t xml:space="preserve">, art. </w:t>
      </w:r>
      <w:r w:rsidR="00CA6001" w:rsidRPr="009A3C86">
        <w:rPr>
          <w:rFonts w:ascii="Times New Roman" w:hAnsi="Times New Roman"/>
          <w:sz w:val="24"/>
          <w:szCs w:val="24"/>
        </w:rPr>
        <w:t>126</w:t>
      </w:r>
      <w:r w:rsidRPr="009A3C86">
        <w:rPr>
          <w:rFonts w:ascii="Times New Roman" w:hAnsi="Times New Roman"/>
          <w:sz w:val="24"/>
          <w:szCs w:val="24"/>
        </w:rPr>
        <w:t xml:space="preserve">, art. </w:t>
      </w:r>
      <w:r w:rsidR="00CA6001" w:rsidRPr="009A3C86">
        <w:rPr>
          <w:rFonts w:ascii="Times New Roman" w:hAnsi="Times New Roman"/>
          <w:sz w:val="24"/>
          <w:szCs w:val="24"/>
        </w:rPr>
        <w:t xml:space="preserve">128 </w:t>
      </w:r>
      <w:r w:rsidRPr="009A3C86">
        <w:rPr>
          <w:rFonts w:ascii="Times New Roman" w:hAnsi="Times New Roman"/>
          <w:sz w:val="24"/>
          <w:szCs w:val="24"/>
        </w:rPr>
        <w:t>§ 1</w:t>
      </w:r>
      <w:r w:rsidR="00C15F11" w:rsidRPr="009A3C86">
        <w:rPr>
          <w:rFonts w:ascii="Times New Roman" w:hAnsi="Times New Roman"/>
          <w:sz w:val="24"/>
          <w:szCs w:val="24"/>
        </w:rPr>
        <w:t xml:space="preserve">, działu II, </w:t>
      </w:r>
      <w:r w:rsidR="00C15F11" w:rsidRPr="009A3C86">
        <w:rPr>
          <w:rFonts w:ascii="Times New Roman" w:hAnsi="Times New Roman"/>
          <w:sz w:val="24"/>
          <w:szCs w:val="24"/>
        </w:rPr>
        <w:lastRenderedPageBreak/>
        <w:t>z wyjątkiem art. 170 pkt 1, oraz działu IV rozdziału 1</w:t>
      </w:r>
      <w:r w:rsidR="005A2E85" w:rsidRPr="009A3C86">
        <w:rPr>
          <w:rFonts w:ascii="Times New Roman" w:hAnsi="Times New Roman"/>
          <w:sz w:val="24"/>
          <w:szCs w:val="24"/>
        </w:rPr>
        <w:t>0</w:t>
      </w:r>
      <w:r w:rsidR="00C15F11" w:rsidRPr="009A3C86">
        <w:rPr>
          <w:rFonts w:ascii="Times New Roman" w:hAnsi="Times New Roman"/>
          <w:sz w:val="24"/>
          <w:szCs w:val="24"/>
        </w:rPr>
        <w:t xml:space="preserve"> stosuje się odpowiednio do opłat</w:t>
      </w:r>
      <w:r w:rsidRPr="009A3C86">
        <w:rPr>
          <w:rFonts w:ascii="Times New Roman" w:hAnsi="Times New Roman"/>
          <w:sz w:val="24"/>
          <w:szCs w:val="24"/>
        </w:rPr>
        <w:t xml:space="preserve">, do których wymiaru uprawnione są organy inne niż organy podatkowe.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25. Zgodnie z </w:t>
      </w:r>
      <w:r w:rsidRPr="009A3C86">
        <w:rPr>
          <w:rFonts w:ascii="Times New Roman" w:hAnsi="Times New Roman"/>
          <w:b/>
          <w:sz w:val="24"/>
          <w:szCs w:val="24"/>
        </w:rPr>
        <w:t>art. 7</w:t>
      </w:r>
      <w:r w:rsidRPr="009A3C86">
        <w:rPr>
          <w:rFonts w:ascii="Times New Roman" w:hAnsi="Times New Roman"/>
          <w:sz w:val="24"/>
          <w:szCs w:val="24"/>
        </w:rPr>
        <w:t xml:space="preserve"> projektowanego aktu prawnego niepodatkową należnością budżetową jest </w:t>
      </w:r>
      <w:r w:rsidR="00DD2E33" w:rsidRPr="009A3C86">
        <w:rPr>
          <w:rFonts w:ascii="Times New Roman" w:hAnsi="Times New Roman"/>
          <w:sz w:val="24"/>
          <w:szCs w:val="24"/>
        </w:rPr>
        <w:t>publicznoprawne świadczenie pieniężne, niebędące podatkiem ani opłatą, na rzecz państwa, województwa, powiatu albo gminy, wynikające z ustaw, w szczególności należność wynikająca z odpowiedzialności płatnika, inkasenta lub osoby trzeciej</w:t>
      </w:r>
      <w:r w:rsidRPr="009A3C86">
        <w:rPr>
          <w:rFonts w:ascii="Times New Roman" w:hAnsi="Times New Roman"/>
          <w:sz w:val="24"/>
          <w:szCs w:val="24"/>
        </w:rPr>
        <w:t xml:space="preserve">. Zauważyć bowiem należy, że </w:t>
      </w:r>
      <w:r w:rsidRPr="009A3C86">
        <w:rPr>
          <w:rFonts w:ascii="Times New Roman" w:hAnsi="Times New Roman"/>
          <w:bCs/>
          <w:sz w:val="24"/>
          <w:szCs w:val="24"/>
        </w:rPr>
        <w:t>podatek pobrany od podatnika przez płatnika jest podatkiem, jednakże tylko w przypadku, gdy patrzymy z perspektywy podatnika i w relacjach podatnik – wierzyciel publicznoprawny. Z perspektywy płatnika, który takie świadczenie już pobrał należność ta, która powinna być wpłacona wierzycielowi publicznoprawnemu nie jest podatkiem. W relacjach płatnik – wierzyciel publicznoprawny to, co było wcześniej podatkiem staje się niepodatkową należnością publicznoprawną. Podobnie jest w przypadku inkasenta i osoby trzeciej.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Budując definicję niepodatkowej należności budżetowej, oparto się na definicji wynikającej z obowiązującego art. 3 pkt 8 o.p. Zgodnie z tym przepisem pod pojęciem niepodatkowych należności budżetowych rozumie się niebędące podatkami i opłatami należności stanowiące dochód budżetu państwa lub budżetu jednostki samorządu terytorialnego, wynikające ze stosunków publicznoprawnych. W celu wyeliminowania ewentualnych wątpliwości w art. 7 projektu wskazano, że do katalogu niepodatkowych należności budżetowych zaliczyć należy w szczególności należności, za które odpowiada płatnik, inkasent czy osoba trzecia. Konstruując definicję niepodatkowej należności budżetowej, przede wszystkim wykorzystano negatywną charakterystykę definicji niepodatkowej należności budżetowej, która z założenia jest należnością niebędącą podatkiem ani też opłatą. Jednocześnie wskazano na cechy wspólne podatku, opłaty i niepodatkowej należności budżetowej, a mianowicie wynikanie z aktu prawnego rangi ustawowej oraz tożsamości beneficjentów, którymi w przypadku wszystkich tych świadczeń są: państwo, województwo, powiat albo gmina. Zachowanie ustawowej regulacji niepodatkowej należności budżetowej podyktowane jest standardami konstytucyjnymi wynikającymi z art. 84 i 217 Konstytucji RP. Konieczność przeniesienia definicji niepodatkowej należności budżetowej z regulacji zawierającej słowniczek pojęć do części przepisów zawierających definicje systemowe podyktowana była zachowaniem jednolitości rozwiązań przyjętych w projekcie ordynacji podatkowej. Otóż w tej części przepisów zawarto definicje trzech rodzajów świadczeń, do których mają zastosowanie (w całości lub w części) przepisy ordynacji podatkowej, a mianowicie podatku, opłaty oraz niepodatkowej należności budżetowej.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Dodać należy, że nie do każdej niepodatkowej należności budżetowej ma zastosowanie nowa ordynacja podatkowa. Otóż ordynacja podatkowa będzie miała zastosowanie w całości tylko do niepodatkowych należności budżetowych, do których wymiaru uprawnione są organy podatkowe (art. 2 § 1 w związku z art. 13 pkt 3 projektu). Natomiast jeżeli odrębne przepisy nie stanowią inaczej, </w:t>
      </w:r>
      <w:r w:rsidR="00C069DC" w:rsidRPr="009A3C86">
        <w:rPr>
          <w:rFonts w:ascii="Times New Roman" w:hAnsi="Times New Roman"/>
          <w:sz w:val="24"/>
          <w:szCs w:val="24"/>
        </w:rPr>
        <w:t>przepisy art. 125, art. 126, art. 128 § 1, działu II, z wyjątkiem art. 170 pkt 2, oraz działu IV rozdziału 1</w:t>
      </w:r>
      <w:r w:rsidR="005A2E85" w:rsidRPr="009A3C86">
        <w:rPr>
          <w:rFonts w:ascii="Times New Roman" w:hAnsi="Times New Roman"/>
          <w:sz w:val="24"/>
          <w:szCs w:val="24"/>
        </w:rPr>
        <w:t>0</w:t>
      </w:r>
      <w:r w:rsidR="00C069DC" w:rsidRPr="009A3C86">
        <w:rPr>
          <w:rFonts w:ascii="Times New Roman" w:hAnsi="Times New Roman"/>
          <w:sz w:val="24"/>
          <w:szCs w:val="24"/>
        </w:rPr>
        <w:t xml:space="preserve"> </w:t>
      </w:r>
      <w:r w:rsidRPr="009A3C86">
        <w:rPr>
          <w:rFonts w:ascii="Times New Roman" w:hAnsi="Times New Roman"/>
          <w:sz w:val="24"/>
          <w:szCs w:val="24"/>
        </w:rPr>
        <w:t>stosuje się odpowiednio do niepodatkowych należności budżetowych, do których wymiaru uprawnione są organy inne niż organy podatkowe.</w:t>
      </w:r>
    </w:p>
    <w:p w:rsidR="005351F0" w:rsidRPr="009A3C86" w:rsidRDefault="005351F0" w:rsidP="005351F0">
      <w:pPr>
        <w:spacing w:after="0" w:line="360" w:lineRule="auto"/>
        <w:jc w:val="both"/>
        <w:rPr>
          <w:rFonts w:ascii="Times New Roman" w:hAnsi="Times New Roman"/>
          <w:sz w:val="24"/>
          <w:szCs w:val="24"/>
        </w:rPr>
      </w:pPr>
      <w:r w:rsidRPr="009A3C86">
        <w:rPr>
          <w:rFonts w:ascii="Times New Roman" w:hAnsi="Times New Roman"/>
          <w:sz w:val="24"/>
          <w:szCs w:val="24"/>
        </w:rPr>
        <w:t>Zgodnie z art. 9 projektu płatnikiem jest ten, na kim ciąży wynikający z ustaw podatkowych obowiązek obliczenia i pobrania od podatnika podatku i wpłacenia go we właściwym terminie organowi podatkowemu. Zgodnie z art. 10 projektu inkasentem jest ten, na kim ciąży wynikający z przepisów prawa podatkowego obowiązek pobrania od podatnika podatku i wpłacenia go we właściwym terminie organowi podatkowemu. Natomiast zgodnie z art. 12 projektu osobą trzecią jest ten, kto na zasadach wynikających z ustawy odpowiada za zaległości podatkowe podatnika, płatnika, inkasenta lub za zaległości podatkowe przejęte przez następcę prawnego. Z powołanych wyżej definicji wynika, że płatnik oraz inkasent odpowiadają za podatki innych podmiotów (podatników), natomiast osoba trzecia odpowiada za zaległości podatkowe, również podatnika.</w:t>
      </w:r>
    </w:p>
    <w:p w:rsidR="005351F0" w:rsidRPr="009A3C86" w:rsidRDefault="005351F0" w:rsidP="005351F0">
      <w:pPr>
        <w:spacing w:after="0" w:line="360" w:lineRule="auto"/>
        <w:jc w:val="both"/>
        <w:rPr>
          <w:rFonts w:ascii="Times New Roman" w:hAnsi="Times New Roman"/>
          <w:sz w:val="24"/>
          <w:szCs w:val="24"/>
        </w:rPr>
      </w:pPr>
      <w:r w:rsidRPr="009A3C86">
        <w:rPr>
          <w:rFonts w:ascii="Times New Roman" w:hAnsi="Times New Roman"/>
          <w:sz w:val="24"/>
          <w:szCs w:val="24"/>
        </w:rPr>
        <w:t>Zauważyć jednak należy, że płatnika, inkasenta oraz osobę trzecia łączy z wierzycielem publicznoprawnym odrębny stosunek prawny od stosunku pomiędzy podatnikiem, a tym wierzycielem. Podatek w rozumieniu art. 5 projektu, czyli publicznoprawne, nieodpłatne, przymusowe oraz bezzwrotne świadczenie pieniężne na rzecz państwa, województwa, powiatu lub gminy, wynikające z ustaw podatkowych (zaległość podatkowa) jest natomiast świadczeniem w ramach stosunku podatnik – wierzyciel podatkowy. Tak rozumiany podatek nie jest natomiast przedmiotem świadczenia w ramach stosunku prawnego łączącego płatnika, inkasenta, osobę trzecią z wierzycielem publicznoprawnym. Podmioty te, owszem odpowiadają za podatki (zaległości podatkowe) podatników, ale ich świadczenie na rzecz wierzyciela publicznoprawnego podatkiem w rozumieniu art. 5 projektu nie jest. Jest to natomiast niepodatkowa należność budżetowa. Celem wyeliminowania wątpliwości w tym zakresie zaproponowano brzmienie art. 7 projektu, zgodnie z którym niepodatkową należnością budżetową jest publicznoprawne świadczenie pieniężne, niebędące podatkiem ani opłatą, na rzecz państwa, województwa, powiatu albo gminy, wynikające z ustaw, w szczególności należność, wynikającą z odpowiedzialności płatnika, inkasenta, osoby trzeciej.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26. Zgodnie z </w:t>
      </w:r>
      <w:r w:rsidRPr="009A3C86">
        <w:rPr>
          <w:rFonts w:ascii="Times New Roman" w:hAnsi="Times New Roman"/>
          <w:b/>
          <w:sz w:val="24"/>
          <w:szCs w:val="24"/>
        </w:rPr>
        <w:t>art. 8</w:t>
      </w:r>
      <w:r w:rsidRPr="009A3C86">
        <w:rPr>
          <w:rFonts w:ascii="Times New Roman" w:hAnsi="Times New Roman"/>
          <w:sz w:val="24"/>
          <w:szCs w:val="24"/>
        </w:rPr>
        <w:t xml:space="preserve"> projektu podatnikiem jest ten, na kim ciąży obowiązek podatkowy. Zmodyfikowano zatem obowiązującą definicję podatnika, zawartą w art. 7 § 1 o.p., zgodnie z </w:t>
      </w:r>
      <w:r w:rsidRPr="009A3C86">
        <w:rPr>
          <w:rFonts w:ascii="Times New Roman" w:hAnsi="Times New Roman"/>
          <w:sz w:val="24"/>
          <w:szCs w:val="24"/>
        </w:rPr>
        <w:lastRenderedPageBreak/>
        <w:t>którym podatnikiem jest osoba fizyczna, osoba prawna lub jednostka organizacyjna niemająca osobowości prawnej, podlegająca na mocy ustaw podatkowych obowiązkowi podatkowemu. W nowej definicji zachowano podstawową cechę podatnika. Otóż uzyskanie statusu podatnika zależy od obowiązku podatkowego. Bez obowiązku podatkowego ciążącego na danym podmiocie nie ma mowy o uznaniu go za podatnika. Zrezygnowano natomiast z ustawowego wyliczenia podmiotów, które mogą być podatnikami. Z rozwiązaniem tym wiąże się również rezygnacja z rozwiązania przewidzianego w obowiązującym art. 7 § 2 o.p., zgodnie z którym ustawy podatkowe mogą ustanawiać podatnikami inne podmioty niż wymienione w § 1. Wskazana modyfikacja możliwa była dzięki zastosowaniu rozwiązania legislacyjnego związanego z wykorzystaniem zwrotu „jest ten, na kim ciąży obowiązek”. Każdy zatem podmiot niezależnie od cech charakterystycznych oraz formy prawnej może być podatnikiem, o ile ustawy podatkowe nakładają na ten podmiot obowiązek podatkowy. Rozwiązanie to jest związane z niekwestionowaną autonomią prawa podatkowego w zakresie przyznawania przez ustawodawcę podmiotowości podatkowoprawnej niezależnie od tego, czy prawo prywatne przyznaje danemu podmiotowi osobowość prawną</w:t>
      </w:r>
      <w:r w:rsidRPr="009A3C86">
        <w:rPr>
          <w:rFonts w:ascii="Times New Roman" w:hAnsi="Times New Roman"/>
          <w:sz w:val="24"/>
          <w:szCs w:val="24"/>
          <w:vertAlign w:val="superscript"/>
        </w:rPr>
        <w:footnoteReference w:id="63"/>
      </w:r>
      <w:r w:rsidRPr="009A3C86">
        <w:rPr>
          <w:rFonts w:ascii="Times New Roman" w:hAnsi="Times New Roman"/>
          <w:sz w:val="24"/>
          <w:szCs w:val="24"/>
        </w:rPr>
        <w:t xml:space="preserv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W zaproponowanej definicji podatnika zrezygnowano również z wyeksponowania cechy, zgodnie z którą podatnikiem jest podmiot podlegający na mocy ustaw podatkowych obowiązkowi podatkowemu. Wystarczające okazało się wskazanie w definicji na ciążący na nim obowiązek podatkowy. Zgodnie bowiem z art. 3 projektu ordynacji podatkowej sam obowiązek podatkowy wynika z ustaw podatkowych i powstaje w związku z zaistnieniem zdarzeń określonych w tych ustawach, co wystarcza do realizacji wytycznych zawartych w art. 84 i 217 Konstytucji RP.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27. Zgodnie z </w:t>
      </w:r>
      <w:r w:rsidRPr="009A3C86">
        <w:rPr>
          <w:rFonts w:ascii="Times New Roman" w:hAnsi="Times New Roman"/>
          <w:b/>
          <w:sz w:val="24"/>
          <w:szCs w:val="24"/>
        </w:rPr>
        <w:t>art. 9</w:t>
      </w:r>
      <w:r w:rsidRPr="009A3C86">
        <w:rPr>
          <w:rFonts w:ascii="Times New Roman" w:hAnsi="Times New Roman"/>
          <w:sz w:val="24"/>
          <w:szCs w:val="24"/>
        </w:rPr>
        <w:t xml:space="preserve"> projektu płatnikiem jest ten, na kim ciąży wynikający z ustaw podatkowych obowiązek obliczenia i pobrania od podatnika podatku i wpłacenia go we właściwym terminie organowi podatkowemu. Definicja płatnika została zbudowana na podstawie obowiązującej definicji wynikającej z art. 8 o.p., zgodnie z którym płatnikiem jest osoba fizyczna, osoba prawna lub jednostka organizacyjna niemająca osobowości prawnej, obowiązana na podstawie przepisów prawa podatkowego do obliczenia i pobrania od podatnika podatku i wpłacenia go we właściwym terminie organowi podatkowemu. Podobnie jak w przypadku proponowanej definicji podatnika w art. 9 projektu ordynacji podatkowej zrezygnowano z ustawowego wskazania katalogu podmiotów, które mogą być płatnikami. Wskazana modyfikacja możliwa była dzięki zastosowaniu rozwiązania legislacyjnego związanego z wykorzystaniem zwrotu </w:t>
      </w:r>
      <w:r w:rsidRPr="009A3C86">
        <w:rPr>
          <w:rFonts w:ascii="Times New Roman" w:hAnsi="Times New Roman"/>
          <w:sz w:val="24"/>
          <w:szCs w:val="24"/>
        </w:rPr>
        <w:lastRenderedPageBreak/>
        <w:t>„jest ten, na kim ciąży obowiązek”. Odmiennie niż w obowiązującym stanie prawnym wskazano na wynikający z ustaw podatkowych, a nie z przepisów prawa podatkowego, obowiązek określonego zachowania się przez płatnika. W doktrynie zwraca się uwagę na to, że elementem regulowanym wyłącznie w drodze ustawy powinny być także obowiązki innych niż podatnik podmiotów, czyli w szczególności płatników. Dlatego też określenie podmiotów, na których ciążą obowiązki płatnika, powinno następować wyłącznie w drodze ustawy</w:t>
      </w:r>
      <w:r w:rsidRPr="009A3C86">
        <w:rPr>
          <w:rFonts w:ascii="Times New Roman" w:hAnsi="Times New Roman"/>
          <w:sz w:val="24"/>
          <w:szCs w:val="24"/>
          <w:vertAlign w:val="superscript"/>
        </w:rPr>
        <w:footnoteReference w:id="64"/>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28. Zgodnie z </w:t>
      </w:r>
      <w:r w:rsidRPr="009A3C86">
        <w:rPr>
          <w:rFonts w:ascii="Times New Roman" w:hAnsi="Times New Roman"/>
          <w:b/>
          <w:sz w:val="24"/>
          <w:szCs w:val="24"/>
        </w:rPr>
        <w:t>art. 10</w:t>
      </w:r>
      <w:r w:rsidRPr="009A3C86">
        <w:rPr>
          <w:rFonts w:ascii="Times New Roman" w:hAnsi="Times New Roman"/>
          <w:sz w:val="24"/>
          <w:szCs w:val="24"/>
        </w:rPr>
        <w:t xml:space="preserve"> projektu ordynacji podatkowej inkasentem jest ten, na kim ciąży wynikający z przepisów prawa podatkowego obowiązek pobrania od podatnika podatku i wpłacenia go we właściwym terminie organowi podatkowemu. Definicja inkasenta została zbudowana na podstawie obowiązującej definicji wynikającej z art. 9 o.p., zgodnie z którym inkasentem jest osoba fizyczna, osoba prawna lub jednostka organizacyjna niemająca osobowości prawnej, obowiązana do pobrania od podatnika podatku i wpłacenia go we właściwym terminie organowi podatkowemu. Podobnie jak w przypadku nowej definicji podatnika i płatnika w art. 10 projektu ordynacji podatkowej zrezygnowano z katalogu podmiotów, które mogą być inkasentami. Wskazana modyfikacja możliwa była dzięki zastosowaniu rozwiązania legislacyjnego związanego z wykorzystaniem zwrotu „jest ten, na kim ciąży obowiązek”. Ponadto w zaproponowanej definicji inkasenta wyraźnie wskazano, że źródłem obowiązku pobrania od podatnika podatku i wpłacenia go we właściwym terminie organowi podatkowemu musi być przepis prawa podatkowego. Powodem przyjęcia jako źródła wskazanego obowiązku inkasenta przepisu prawa podatkowego, a nie ustawy podatkowej jest fakt, że podstawą prawną obowiązku pobrania od podatnika podatku i wpłacenia go we właściwym terminie organowi podatkowemu może być także akt prawa miejscowego. Niemniej jednak wyłączną podstawą prawną ustanowienia inkasenta, w tym w aktach prawa miejscowego, może być tylko przepis ustawy</w:t>
      </w:r>
      <w:r w:rsidRPr="009A3C86">
        <w:rPr>
          <w:rFonts w:ascii="Times New Roman" w:hAnsi="Times New Roman"/>
          <w:sz w:val="24"/>
          <w:szCs w:val="24"/>
          <w:vertAlign w:val="superscript"/>
        </w:rPr>
        <w:footnoteReference w:id="65"/>
      </w:r>
      <w:r w:rsidRPr="009A3C86">
        <w:rPr>
          <w:rFonts w:ascii="Times New Roman" w:hAnsi="Times New Roman"/>
          <w:sz w:val="24"/>
          <w:szCs w:val="24"/>
        </w:rPr>
        <w:t xml:space="preserve">.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29. Zgodnie z </w:t>
      </w:r>
      <w:r w:rsidRPr="009A3C86">
        <w:rPr>
          <w:rFonts w:ascii="Times New Roman" w:hAnsi="Times New Roman"/>
          <w:b/>
          <w:sz w:val="24"/>
          <w:szCs w:val="24"/>
        </w:rPr>
        <w:t>art. 11</w:t>
      </w:r>
      <w:r w:rsidRPr="009A3C86">
        <w:rPr>
          <w:rFonts w:ascii="Times New Roman" w:hAnsi="Times New Roman"/>
          <w:sz w:val="24"/>
          <w:szCs w:val="24"/>
        </w:rPr>
        <w:t xml:space="preserve"> projektu ordynacji podatkowej następcą prawnym jest ten, kto na zasadach wynikających z ordynacji podatkowej wstępuje w przewidziane w przepisach prawa podatkowego prawa i obowiązki. Przepis ten stanowi nowe rozwiązanie w ordynacji podatkowej. Stworzenie definicji następcy prawnego podyktowane było koniecznością normatywnego ujęcia następcy prawnego jako jednej z kategorii podmiotów biernych stosunku podatkowoprawnego, a jednocześnie jako jednego z elementów szerszego znaczeniowo pojęcia </w:t>
      </w:r>
      <w:r w:rsidRPr="009A3C86">
        <w:rPr>
          <w:rFonts w:ascii="Times New Roman" w:hAnsi="Times New Roman"/>
          <w:sz w:val="24"/>
          <w:szCs w:val="24"/>
        </w:rPr>
        <w:lastRenderedPageBreak/>
        <w:t>- także zdefiniowanego w projekcie ordynacji podatkowej - zobowiązanego (zob. art. 13 pkt 23 projektu). Istotną cechą następcy prawnego jest to, że wstępuje on w przewidziane w przepisach prawa podatkowego prawa i obowiązki określonych podmiotów, co wynika zresztą z już obowiązujących regulacji prawnych. W definicji następcy prawnego zastrzeżono jednak, że wstąpienie w przewidziane w przepisach prawa podatkowego prawa i obowiązki następuje na zasadach wynikających z ordynacji podatkowej. Ponadto, jak już zasygnalizowano w doktrynie, zwraca się uwagę na to, że elementem regulowanym wyłącznie w drodze ustawy powinny być także obowiązki innych niż podatnik podmiotów</w:t>
      </w:r>
      <w:r w:rsidRPr="009A3C86">
        <w:rPr>
          <w:rFonts w:ascii="Times New Roman" w:hAnsi="Times New Roman"/>
          <w:sz w:val="24"/>
          <w:szCs w:val="24"/>
          <w:vertAlign w:val="superscript"/>
        </w:rPr>
        <w:footnoteReference w:id="66"/>
      </w:r>
      <w:r w:rsidRPr="009A3C86">
        <w:rPr>
          <w:rFonts w:ascii="Times New Roman" w:hAnsi="Times New Roman"/>
          <w:sz w:val="24"/>
          <w:szCs w:val="24"/>
        </w:rPr>
        <w:t>. Spostrzeżenie to jest aktualne także w odniesieniu do następców prawnych w zakresie zasad wstąpienia przez te podmioty w przewidziane w przepisach prawa podatkowego prawa i obowiązki. Podobnie jak w przypadku definicji podatnika, płatnika i inkasenta, w art. 11 projektu ordynacji podatkowej zrezygnowano z ustawowego wskazania cech charakterystycznych oraz form prawnych podmiotów, które mogą być następcami prawnymi.</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30. Zgodnie z </w:t>
      </w:r>
      <w:r w:rsidRPr="009A3C86">
        <w:rPr>
          <w:rFonts w:ascii="Times New Roman" w:hAnsi="Times New Roman"/>
          <w:b/>
          <w:sz w:val="24"/>
          <w:szCs w:val="24"/>
        </w:rPr>
        <w:t>art. 12</w:t>
      </w:r>
      <w:r w:rsidRPr="009A3C86">
        <w:rPr>
          <w:rFonts w:ascii="Times New Roman" w:hAnsi="Times New Roman"/>
          <w:sz w:val="24"/>
          <w:szCs w:val="24"/>
        </w:rPr>
        <w:t xml:space="preserve"> projektu ordynacji podatkowej osobą trzecią jest ten, kto na zasadach wynikających z ordynacji podatkowej odpowiada za zaległości podatkowe podatnika, płatnika, inkasenta lub za zaległości podatkowe przejęte przez następcę prawnego. Przepis ten stanowi nowe rozwiązanie w ordynacji podatkowej. Niemniej jednak konstrukcja przepisu opiera się w pewnym zakresie na rozwiązaniach przewidzianych w art. 107 o.p. Stworzenie definicji osoby trzeciej, podobnie jak w przypadku definicji następcy prawnego, podyktowane było koniecznością normatywnego ujęcia osoby trzeciej jako jednej z kategorii podmiotów biernych stosunku prawnopodatkowego, a jednocześnie jako jednego z elementów szerszego znaczeniowo pojęcia – także zdefiniowanego w projekcie ordynacji podatkowej – zobowiązanego (zob. art. 13 pkt 23 projektu). Istotną cechą osoby trzeciej jest odpowiedzialność za zaległości podatkowe podatnika, płatnika, inkasenta i za zaległości podatkowe przejęte przez następcę prawnego. W definicji osoby trzeciej zastrzeżono również, że odpowiedzialność za zaległości podatkowe regulowana jest zasadami wynikającymi z ordynacji podatkowej. Jak już zasygnalizowano, w doktrynie zwraca się uwagę na to, że elementem regulowanym wyłącznie w drodze ustawy powinny być także obowiązki innych niż podatnik podmiotów</w:t>
      </w:r>
      <w:r w:rsidRPr="009A3C86">
        <w:rPr>
          <w:rFonts w:ascii="Times New Roman" w:hAnsi="Times New Roman"/>
          <w:sz w:val="24"/>
          <w:szCs w:val="24"/>
          <w:vertAlign w:val="superscript"/>
        </w:rPr>
        <w:footnoteReference w:id="67"/>
      </w:r>
      <w:r w:rsidRPr="009A3C86">
        <w:rPr>
          <w:rFonts w:ascii="Times New Roman" w:hAnsi="Times New Roman"/>
          <w:sz w:val="24"/>
          <w:szCs w:val="24"/>
        </w:rPr>
        <w:t xml:space="preserve">. Spostrzeżenie to jest aktualne także w odniesieniu do osób trzecich w zakresie zasad ich odpowiedzialności za zaległości podatkowe innych podmiotów.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31. Projekt</w:t>
      </w:r>
      <w:r w:rsidR="000E1F42" w:rsidRPr="009A3C86">
        <w:rPr>
          <w:rFonts w:ascii="Times New Roman" w:hAnsi="Times New Roman"/>
          <w:sz w:val="24"/>
          <w:szCs w:val="24"/>
        </w:rPr>
        <w:t>owany</w:t>
      </w:r>
      <w:r w:rsidRPr="009A3C86">
        <w:rPr>
          <w:rFonts w:ascii="Times New Roman" w:hAnsi="Times New Roman"/>
          <w:sz w:val="24"/>
          <w:szCs w:val="24"/>
        </w:rPr>
        <w:t xml:space="preserve"> </w:t>
      </w:r>
      <w:r w:rsidRPr="009A3C86">
        <w:rPr>
          <w:rFonts w:ascii="Times New Roman" w:hAnsi="Times New Roman"/>
          <w:b/>
          <w:sz w:val="24"/>
          <w:szCs w:val="24"/>
        </w:rPr>
        <w:t>art. 13</w:t>
      </w:r>
      <w:r w:rsidRPr="009A3C86">
        <w:rPr>
          <w:rFonts w:ascii="Times New Roman" w:hAnsi="Times New Roman"/>
          <w:sz w:val="24"/>
          <w:szCs w:val="24"/>
        </w:rPr>
        <w:t xml:space="preserve"> ordynacji podatkowej zawiera tzw. słowniczek pojęć.</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32. Zgodnie z </w:t>
      </w:r>
      <w:r w:rsidRPr="009A3C86">
        <w:rPr>
          <w:rFonts w:ascii="Times New Roman" w:hAnsi="Times New Roman"/>
          <w:b/>
          <w:sz w:val="24"/>
          <w:szCs w:val="24"/>
        </w:rPr>
        <w:t>art. 13 pkt 1</w:t>
      </w:r>
      <w:r w:rsidRPr="009A3C86">
        <w:rPr>
          <w:rFonts w:ascii="Times New Roman" w:hAnsi="Times New Roman"/>
          <w:sz w:val="24"/>
          <w:szCs w:val="24"/>
        </w:rPr>
        <w:t xml:space="preserve"> projektu ordynacji podatkowej, ilekroć w ustawie jest mowa o adresie elektronicznym, rozumie się przez to adres umożliwiający doręczenie dokumentu elektronicznego przy użyciu portalu podatkowego albo systemu teleinformatycznego służącego do obsługi doręczeń wykorzystywanego przez organ podatkowy.</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Zgodnie z art. 2 pkt 1 ustawy o świadczeniu usług drogą elektroniczną adres elektroniczny to oznaczenie systemu teleinformatycznego umożliwiające porozumiewanie się za pomocą środków komunikacji elektronicznej, w szczególności poczty elektronicznej. Wskazana definicja dla celów podatkowych wymagała stosownej korekty. W proponowanym art. 13 pkt 1 nie chodzi bowiem o jakiekolwiek oznaczenie systemu teleinformatycznego umożliwiające porozumiewanie się za pomocą środków komunikacji elektronicznej. Istotne jest natomiast, ażeby był to adres umożliwiający porozumiewanie się za pomocą środków komunikacji elektronicznej przez elektroniczną skrzynkę podawczą organu podatkowego lub portal podatkowy, czyli wyłącznie na zasadach przewidzianych w projektowanych przepisach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33. Zgodnie z </w:t>
      </w:r>
      <w:r w:rsidRPr="009A3C86">
        <w:rPr>
          <w:rFonts w:ascii="Times New Roman" w:hAnsi="Times New Roman"/>
          <w:b/>
          <w:sz w:val="24"/>
          <w:szCs w:val="24"/>
        </w:rPr>
        <w:t>art. 13 pkt 2</w:t>
      </w:r>
      <w:r w:rsidRPr="009A3C86">
        <w:rPr>
          <w:rFonts w:ascii="Times New Roman" w:hAnsi="Times New Roman"/>
          <w:sz w:val="24"/>
          <w:szCs w:val="24"/>
        </w:rPr>
        <w:t xml:space="preserve"> projektu ordynacji podatkowej ilekroć w ustawie jest mowa o cenie transferowej, rozumie się przez to cenę transferową w rozumieniu art. 23m ust. 1 pkt 1 ustawy z dnia 26 lipca 1991 r. o podatku dochodowym od osób fizycznych (Dz. U. z 2018 r. poz. 1509, </w:t>
      </w:r>
      <w:r w:rsidR="00E620A2" w:rsidRPr="009A3C86">
        <w:rPr>
          <w:rFonts w:ascii="Times New Roman" w:hAnsi="Times New Roman"/>
          <w:sz w:val="24"/>
          <w:szCs w:val="24"/>
        </w:rPr>
        <w:t>z późn. zm.</w:t>
      </w:r>
      <w:r w:rsidRPr="009A3C86">
        <w:rPr>
          <w:rFonts w:ascii="Times New Roman" w:hAnsi="Times New Roman"/>
          <w:sz w:val="24"/>
          <w:szCs w:val="24"/>
        </w:rPr>
        <w:t xml:space="preserve">) oraz art. 11a ust. 1 pkt 1 ustawy z dnia 15 lutego 1992 r. o podatku dochodowym od osób prawnych (Dz. U. z 2018 r. poz. 1036, </w:t>
      </w:r>
      <w:r w:rsidR="00E620A2" w:rsidRPr="009A3C86">
        <w:rPr>
          <w:rFonts w:ascii="Times New Roman" w:hAnsi="Times New Roman"/>
          <w:sz w:val="24"/>
          <w:szCs w:val="24"/>
        </w:rPr>
        <w:t>z późn. zm.</w:t>
      </w:r>
      <w:r w:rsidRPr="009A3C86">
        <w:rPr>
          <w:rFonts w:ascii="Times New Roman" w:hAnsi="Times New Roman"/>
          <w:sz w:val="24"/>
          <w:szCs w:val="24"/>
        </w:rPr>
        <w:t>). Przepis ten stanowi odwzorowanie obowiązującego art. 3 pkt 10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34. Zgodnie z </w:t>
      </w:r>
      <w:r w:rsidRPr="009A3C86">
        <w:rPr>
          <w:rFonts w:ascii="Times New Roman" w:hAnsi="Times New Roman"/>
          <w:b/>
          <w:sz w:val="24"/>
          <w:szCs w:val="24"/>
        </w:rPr>
        <w:t>art. 13 pkt 3</w:t>
      </w:r>
      <w:r w:rsidRPr="009A3C86">
        <w:rPr>
          <w:rFonts w:ascii="Times New Roman" w:hAnsi="Times New Roman"/>
          <w:sz w:val="24"/>
          <w:szCs w:val="24"/>
        </w:rPr>
        <w:t xml:space="preserve"> projektu ordynacji podatkowej ilekroć w ustawie jest mowa o decyzji wymiarowej, rozumie się przez to decyzję:</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ustalającą wysokość zobowiązania podatkowego, o której mowa w art. </w:t>
      </w:r>
      <w:r w:rsidR="00B709EE" w:rsidRPr="009A3C86">
        <w:rPr>
          <w:rFonts w:ascii="Times New Roman" w:hAnsi="Times New Roman"/>
          <w:sz w:val="24"/>
          <w:szCs w:val="24"/>
        </w:rPr>
        <w:t xml:space="preserve">129 </w:t>
      </w:r>
      <w:r w:rsidRPr="009A3C86">
        <w:rPr>
          <w:rFonts w:ascii="Times New Roman" w:hAnsi="Times New Roman"/>
          <w:sz w:val="24"/>
          <w:szCs w:val="24"/>
        </w:rPr>
        <w:t>pkt 2;</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określającą wysokość zobowiązania podatkowego lub orzekającą o braku zobowiązania, o których mowa w art. </w:t>
      </w:r>
      <w:r w:rsidR="00EA3C86" w:rsidRPr="009A3C86">
        <w:rPr>
          <w:rFonts w:ascii="Times New Roman" w:hAnsi="Times New Roman"/>
          <w:sz w:val="24"/>
          <w:szCs w:val="24"/>
        </w:rPr>
        <w:t xml:space="preserve">130 </w:t>
      </w:r>
      <w:r w:rsidRPr="009A3C86">
        <w:rPr>
          <w:rFonts w:ascii="Times New Roman" w:hAnsi="Times New Roman"/>
          <w:sz w:val="24"/>
          <w:szCs w:val="24"/>
        </w:rPr>
        <w:t>§ 2;</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r w:rsidRPr="009A3C86">
        <w:rPr>
          <w:rFonts w:ascii="Times New Roman" w:hAnsi="Times New Roman"/>
          <w:sz w:val="24"/>
          <w:szCs w:val="24"/>
          <w:lang w:eastAsia="pl-PL"/>
        </w:rPr>
        <w:t>orzekającą o braku zobowiązania oraz określającą wysokość dochodu, przychodu lub zysku</w:t>
      </w:r>
      <w:r w:rsidRPr="009A3C86">
        <w:rPr>
          <w:rFonts w:ascii="Times New Roman" w:hAnsi="Times New Roman"/>
          <w:sz w:val="24"/>
          <w:szCs w:val="24"/>
        </w:rPr>
        <w:t xml:space="preserve">, o której mowa w art. </w:t>
      </w:r>
      <w:r w:rsidR="00EF40E0" w:rsidRPr="009A3C86">
        <w:rPr>
          <w:rFonts w:ascii="Times New Roman" w:hAnsi="Times New Roman"/>
          <w:sz w:val="24"/>
          <w:szCs w:val="24"/>
        </w:rPr>
        <w:t xml:space="preserve">130 </w:t>
      </w:r>
      <w:r w:rsidRPr="009A3C86">
        <w:rPr>
          <w:rFonts w:ascii="Times New Roman" w:hAnsi="Times New Roman"/>
          <w:sz w:val="24"/>
          <w:szCs w:val="24"/>
        </w:rPr>
        <w:t>§ 4 pkt 1;</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określającą kwotę podatku, np. w art. 33 ust. 2 u.p.t.u.;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określającą wysokość straty, o której mowa w art. </w:t>
      </w:r>
      <w:r w:rsidR="00EF40E0" w:rsidRPr="009A3C86">
        <w:rPr>
          <w:rFonts w:ascii="Times New Roman" w:hAnsi="Times New Roman"/>
          <w:sz w:val="24"/>
          <w:szCs w:val="24"/>
        </w:rPr>
        <w:t xml:space="preserve">130 </w:t>
      </w:r>
      <w:r w:rsidRPr="009A3C86">
        <w:rPr>
          <w:rFonts w:ascii="Times New Roman" w:hAnsi="Times New Roman"/>
          <w:sz w:val="24"/>
          <w:szCs w:val="24"/>
        </w:rPr>
        <w:t>§ 4 pkt 2;</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określającą prawidłową wysokość kwoty zwrotu podatku, kwoty podatku naliczonego przeniesionego do rozliczenia, kwoty nadwyżki wpłat do rozliczenia lub kwoty nadwyżki podatku naliczonego nad należnym w rozumieniu przepisów o podatku od towarów i usług do odliczenia w następnych okresach rozliczeniowych, o której mowa w art. </w:t>
      </w:r>
      <w:r w:rsidR="00333F70" w:rsidRPr="009A3C86">
        <w:rPr>
          <w:rFonts w:ascii="Times New Roman" w:hAnsi="Times New Roman"/>
          <w:sz w:val="24"/>
          <w:szCs w:val="24"/>
        </w:rPr>
        <w:t xml:space="preserve">130 </w:t>
      </w:r>
      <w:r w:rsidRPr="009A3C86">
        <w:rPr>
          <w:rFonts w:ascii="Times New Roman" w:hAnsi="Times New Roman"/>
          <w:sz w:val="24"/>
          <w:szCs w:val="24"/>
        </w:rPr>
        <w:t>§ 4 pkt 3;</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określającą wysokość zaległości podatkowej, o której mowa w art. </w:t>
      </w:r>
      <w:r w:rsidR="00BC1FBD" w:rsidRPr="009A3C86">
        <w:rPr>
          <w:rFonts w:ascii="Times New Roman" w:hAnsi="Times New Roman"/>
          <w:sz w:val="24"/>
          <w:szCs w:val="24"/>
        </w:rPr>
        <w:t xml:space="preserve">161 </w:t>
      </w:r>
      <w:r w:rsidRPr="009A3C86">
        <w:rPr>
          <w:rFonts w:ascii="Times New Roman" w:hAnsi="Times New Roman"/>
          <w:sz w:val="24"/>
          <w:szCs w:val="24"/>
        </w:rPr>
        <w:t xml:space="preserve">§ 3 i art. </w:t>
      </w:r>
      <w:r w:rsidR="00532B51" w:rsidRPr="009A3C86">
        <w:rPr>
          <w:rFonts w:ascii="Times New Roman" w:hAnsi="Times New Roman"/>
          <w:sz w:val="24"/>
          <w:szCs w:val="24"/>
        </w:rPr>
        <w:t>16</w:t>
      </w:r>
      <w:r w:rsidR="00BC1FBD" w:rsidRPr="009A3C86">
        <w:rPr>
          <w:rFonts w:ascii="Times New Roman" w:hAnsi="Times New Roman"/>
          <w:sz w:val="24"/>
          <w:szCs w:val="24"/>
        </w:rPr>
        <w:t>2</w:t>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 określającą wysokość odsetek za zwłokę, o której mowa w art. </w:t>
      </w:r>
      <w:r w:rsidR="006F2A32" w:rsidRPr="009A3C86">
        <w:rPr>
          <w:rFonts w:ascii="Times New Roman" w:hAnsi="Times New Roman"/>
          <w:sz w:val="24"/>
          <w:szCs w:val="24"/>
        </w:rPr>
        <w:t>164</w:t>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o odpowiedzialności podatkowej płatnika lub inkasenta, o której mowa w art. </w:t>
      </w:r>
      <w:r w:rsidR="00B7488E" w:rsidRPr="009A3C86">
        <w:rPr>
          <w:rFonts w:ascii="Times New Roman" w:hAnsi="Times New Roman"/>
          <w:sz w:val="24"/>
          <w:szCs w:val="24"/>
        </w:rPr>
        <w:t xml:space="preserve">245 </w:t>
      </w:r>
      <w:r w:rsidR="00525291" w:rsidRPr="009A3C86">
        <w:rPr>
          <w:rFonts w:ascii="Times New Roman" w:hAnsi="Times New Roman"/>
          <w:sz w:val="24"/>
          <w:szCs w:val="24"/>
        </w:rPr>
        <w:t xml:space="preserve">pkt </w:t>
      </w:r>
      <w:r w:rsidRPr="009A3C86">
        <w:rPr>
          <w:rFonts w:ascii="Times New Roman" w:hAnsi="Times New Roman"/>
          <w:sz w:val="24"/>
          <w:szCs w:val="24"/>
        </w:rPr>
        <w:t xml:space="preserve">1 i art. </w:t>
      </w:r>
      <w:r w:rsidR="00B7488E" w:rsidRPr="009A3C86">
        <w:rPr>
          <w:rFonts w:ascii="Times New Roman" w:hAnsi="Times New Roman"/>
          <w:sz w:val="24"/>
          <w:szCs w:val="24"/>
        </w:rPr>
        <w:t>246</w:t>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decyzję określającą wysokość zobowiązania podatkowego ze wskazaniem kwoty, za którą odpowiada podatnik, o której mowa w art. </w:t>
      </w:r>
      <w:r w:rsidR="00B93F1D" w:rsidRPr="009A3C86">
        <w:rPr>
          <w:rFonts w:ascii="Times New Roman" w:hAnsi="Times New Roman"/>
          <w:sz w:val="24"/>
          <w:szCs w:val="24"/>
        </w:rPr>
        <w:t xml:space="preserve">245 </w:t>
      </w:r>
      <w:r w:rsidR="00A7574D" w:rsidRPr="009A3C86">
        <w:rPr>
          <w:rFonts w:ascii="Times New Roman" w:hAnsi="Times New Roman"/>
          <w:sz w:val="24"/>
          <w:szCs w:val="24"/>
        </w:rPr>
        <w:t xml:space="preserve">pkt </w:t>
      </w:r>
      <w:r w:rsidRPr="009A3C86">
        <w:rPr>
          <w:rFonts w:ascii="Times New Roman" w:hAnsi="Times New Roman"/>
          <w:sz w:val="24"/>
          <w:szCs w:val="24"/>
        </w:rPr>
        <w:t xml:space="preserve">2;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decyzję o odpowiedzialności podatkowej osoby trzeciej, o której mowa w art. </w:t>
      </w:r>
      <w:r w:rsidR="00A10944" w:rsidRPr="009A3C86">
        <w:rPr>
          <w:rFonts w:ascii="Times New Roman" w:hAnsi="Times New Roman"/>
          <w:sz w:val="24"/>
          <w:szCs w:val="24"/>
        </w:rPr>
        <w:t xml:space="preserve">251 </w:t>
      </w:r>
      <w:r w:rsidRPr="009A3C86">
        <w:rPr>
          <w:rFonts w:ascii="Times New Roman" w:hAnsi="Times New Roman"/>
          <w:sz w:val="24"/>
          <w:szCs w:val="24"/>
        </w:rPr>
        <w:t>§ 1;</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decyzję o zakresie odpowiedzialności lub uprawnień spadkobiercy lub zapisobiercy windykacyjnego, o której mowa w art. </w:t>
      </w:r>
      <w:r w:rsidR="00853EA1" w:rsidRPr="009A3C86">
        <w:rPr>
          <w:rFonts w:ascii="Times New Roman" w:hAnsi="Times New Roman"/>
          <w:sz w:val="24"/>
          <w:szCs w:val="24"/>
        </w:rPr>
        <w:t xml:space="preserve">288 </w:t>
      </w:r>
      <w:r w:rsidRPr="009A3C86">
        <w:rPr>
          <w:rFonts w:ascii="Times New Roman" w:hAnsi="Times New Roman"/>
          <w:sz w:val="24"/>
          <w:szCs w:val="24"/>
        </w:rPr>
        <w:t>§ 1;</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 dotyczącą zobowiązań podatkowych związanych ze stosowaniem art. </w:t>
      </w:r>
      <w:r w:rsidR="00442D60" w:rsidRPr="009A3C86">
        <w:rPr>
          <w:rFonts w:ascii="Times New Roman" w:hAnsi="Times New Roman"/>
          <w:sz w:val="24"/>
          <w:szCs w:val="24"/>
        </w:rPr>
        <w:t xml:space="preserve">33 </w:t>
      </w:r>
      <w:r w:rsidRPr="009A3C86">
        <w:rPr>
          <w:rFonts w:ascii="Times New Roman" w:hAnsi="Times New Roman"/>
          <w:sz w:val="24"/>
          <w:szCs w:val="24"/>
        </w:rPr>
        <w:t>lub środków ograniczających umowne korzyści;</w:t>
      </w:r>
    </w:p>
    <w:p w:rsidR="00A0038F" w:rsidRPr="009A3C86" w:rsidRDefault="00A0038F" w:rsidP="00A0038F">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inną, przewidzianą w przepisach prawa podatkowego, dotyczącą wysokości zobowiązania podatkowego lub kwoty podatku.</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Celem stworzenia definicji decyzji wymiarowej było zbiorcze określenie wszystkich wyżej wymienionych rodzajowo kategorii decyzji, charakteryzujących się jedną istotną i wspólną cechą. Otóż decyzje te rozstrzygają o tzw. wyniku podatkowym zaistniałym w ramach stosunku prawnopodatkowego. Wynik ten może oznaczać konieczność świadczenia przez zobowiązanego na rzecz wierzyciela publicznoprawnego lub też odwrotnie - konieczność świadczenia przez wierzyciela publicznoprawnego na rzecz zobowiązanego. Ponadto wynik ten może wiązać się z brakiem jakiegokolwiek świadczenia. W konsekwencji, ilekroć projekt ordynacji podatkowej posługuje się pojęciem decyzji wymiarowej, należy pod tym pojęciem rozumieć wskazane wyżej kategorie decyzji podatkowych. Stworzenie definicji decyzji wymiarowej wyklucza konieczność każdorazowego wymieniania szeregu przedmiotowo odmiennych decyzji podatkowych.</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Konstrukcja decyzji wymiarowej ściśle wiąże się z używanym w projekcie ordynacji podatkowej pojęciem wymiaru podatku. Wymiar podatku może być bowiem następstwem doręczenia decyzji wymiarowej.</w:t>
      </w:r>
    </w:p>
    <w:p w:rsidR="00A0038F" w:rsidRPr="009A3C86" w:rsidRDefault="00A0038F" w:rsidP="00A0038F">
      <w:pPr>
        <w:spacing w:after="0" w:line="360" w:lineRule="auto"/>
        <w:jc w:val="both"/>
        <w:rPr>
          <w:rFonts w:ascii="Times New Roman" w:hAnsi="Times New Roman"/>
          <w:sz w:val="24"/>
          <w:szCs w:val="24"/>
          <w:lang w:eastAsia="pl-PL"/>
        </w:rPr>
      </w:pPr>
      <w:r w:rsidRPr="009A3C86">
        <w:rPr>
          <w:rFonts w:ascii="Times New Roman" w:hAnsi="Times New Roman"/>
          <w:sz w:val="24"/>
          <w:szCs w:val="24"/>
        </w:rPr>
        <w:t xml:space="preserve">35. Postanowienia </w:t>
      </w:r>
      <w:r w:rsidRPr="009A3C86">
        <w:rPr>
          <w:rFonts w:ascii="Times New Roman" w:hAnsi="Times New Roman"/>
          <w:b/>
          <w:sz w:val="24"/>
          <w:szCs w:val="24"/>
        </w:rPr>
        <w:t>art. 13 pkt 4</w:t>
      </w:r>
      <w:r w:rsidRPr="009A3C86">
        <w:rPr>
          <w:rFonts w:ascii="Times New Roman" w:hAnsi="Times New Roman"/>
          <w:sz w:val="24"/>
          <w:szCs w:val="24"/>
        </w:rPr>
        <w:t xml:space="preserve"> projektu ordynacji podatkowej zawiera definicję deklaracji. Przepis ten jest zmodyfikowanym odpowiednikiem obowiązującego art. 3 pkt 5 o.p. Modyfikacja wiąże się z zaliczeniem do katalogu deklaracji również </w:t>
      </w:r>
      <w:r w:rsidRPr="009A3C86">
        <w:rPr>
          <w:rFonts w:ascii="Times New Roman" w:hAnsi="Times New Roman"/>
          <w:sz w:val="24"/>
          <w:szCs w:val="24"/>
          <w:lang w:eastAsia="pl-PL"/>
        </w:rPr>
        <w:t xml:space="preserve">zeznań, wykazów, zestawień, zgłoszeń, oświadczeń, zawiadomień oraz informacji, </w:t>
      </w:r>
      <w:r w:rsidR="00710C09" w:rsidRPr="009A3C86">
        <w:rPr>
          <w:rFonts w:ascii="Times New Roman" w:hAnsi="Times New Roman"/>
          <w:sz w:val="24"/>
          <w:szCs w:val="24"/>
          <w:lang w:eastAsia="pl-PL"/>
        </w:rPr>
        <w:t xml:space="preserve">w tym informacji zastępczych, </w:t>
      </w:r>
      <w:r w:rsidRPr="009A3C86">
        <w:rPr>
          <w:rFonts w:ascii="Times New Roman" w:hAnsi="Times New Roman"/>
          <w:sz w:val="24"/>
          <w:szCs w:val="24"/>
          <w:lang w:eastAsia="pl-PL"/>
        </w:rPr>
        <w:t>do których składania obowiązani są, na podstawie przepisów prawa podatkowego, podatnicy, lub inne podmioty.</w:t>
      </w:r>
      <w:r w:rsidR="0064707C" w:rsidRPr="009A3C86">
        <w:rPr>
          <w:rFonts w:ascii="Times New Roman" w:hAnsi="Times New Roman"/>
          <w:sz w:val="24"/>
          <w:szCs w:val="24"/>
          <w:lang w:eastAsia="pl-PL"/>
        </w:rPr>
        <w:t xml:space="preserve"> </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 xml:space="preserve">Definicja deklaracji zawarta w art. 13 pkt 4 projektu jest szersza od definicji deklaracji obowiązującej w aktualnym stanie prawnym. Zgodnie bowiem z art. 3 pkt 5 o.p. pod pojęciem </w:t>
      </w:r>
      <w:r w:rsidRPr="009A3C86">
        <w:rPr>
          <w:rFonts w:ascii="Times New Roman" w:hAnsi="Times New Roman"/>
          <w:sz w:val="24"/>
          <w:szCs w:val="24"/>
        </w:rPr>
        <w:lastRenderedPageBreak/>
        <w:t>deklaracji rozumie się również zeznania, wykazy, zestawienia oraz informacje, do których składania obowiązani są, na podstawie przepisów prawa podatkowego, podatnicy, płatnicy i inkasenci.</w:t>
      </w:r>
    </w:p>
    <w:p w:rsidR="002B5B13" w:rsidRPr="009A3C86" w:rsidRDefault="002B5B13" w:rsidP="002B5B13">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170 </w:t>
      </w:r>
      <w:r w:rsidRPr="009A3C86">
        <w:rPr>
          <w:rFonts w:ascii="Times New Roman" w:hAnsi="Times New Roman"/>
          <w:sz w:val="24"/>
          <w:szCs w:val="24"/>
        </w:rPr>
        <w:t xml:space="preserve">doręczenie decyzji wymiarowej organu podatkowego pierwszej instancji nie wywołuje skutków prawnych (przedawnienie wymiaru) po upływie </w:t>
      </w:r>
      <w:r w:rsidR="00BF7084" w:rsidRPr="009A3C86">
        <w:rPr>
          <w:rFonts w:ascii="Times New Roman" w:hAnsi="Times New Roman"/>
          <w:sz w:val="24"/>
          <w:szCs w:val="24"/>
        </w:rPr>
        <w:t xml:space="preserve">3 lub </w:t>
      </w:r>
      <w:r w:rsidRPr="009A3C86">
        <w:rPr>
          <w:rFonts w:ascii="Times New Roman" w:hAnsi="Times New Roman"/>
          <w:sz w:val="24"/>
          <w:szCs w:val="24"/>
        </w:rPr>
        <w:t>5 lat.</w:t>
      </w:r>
    </w:p>
    <w:p w:rsidR="0064707C" w:rsidRPr="009A3C86" w:rsidRDefault="0064707C" w:rsidP="00D15277">
      <w:pPr>
        <w:spacing w:after="0" w:line="360" w:lineRule="auto"/>
        <w:jc w:val="both"/>
        <w:rPr>
          <w:rFonts w:ascii="Times New Roman" w:hAnsi="Times New Roman"/>
          <w:sz w:val="24"/>
          <w:szCs w:val="24"/>
        </w:rPr>
      </w:pPr>
      <w:r w:rsidRPr="009A3C86">
        <w:rPr>
          <w:rFonts w:ascii="Times New Roman" w:hAnsi="Times New Roman"/>
          <w:sz w:val="24"/>
          <w:szCs w:val="24"/>
        </w:rPr>
        <w:t xml:space="preserve">Zauważyć należy, że zgodnie z art. 53 § 30 </w:t>
      </w:r>
      <w:r w:rsidR="00D15277" w:rsidRPr="009A3C86">
        <w:rPr>
          <w:rFonts w:ascii="Times New Roman" w:hAnsi="Times New Roman"/>
          <w:sz w:val="24"/>
          <w:szCs w:val="24"/>
        </w:rPr>
        <w:t>ustawy z dnia 10 września 1999 r. - Kodeks karny skarbowy</w:t>
      </w:r>
      <w:r w:rsidRPr="009A3C86">
        <w:rPr>
          <w:rFonts w:ascii="Times New Roman" w:hAnsi="Times New Roman"/>
          <w:sz w:val="24"/>
          <w:szCs w:val="24"/>
        </w:rPr>
        <w:t xml:space="preserve"> użyte w rozdziale 6 kodeksu określenia, a w szczególności: "czynności sprawdzające", "deklaracja", "informacja podatkowa", "inkasent", "kontrola podatkowa", "obowiązek podatkowy", "podatek", "podatnik", "płatnik", "zwrot podatku" "schemat podatkowy", "schemat podatkowy standaryzowany", "NSP", mają znaczenie nadane im w ustawie z dnia 29 sierpnia 1997 r. - Ordynacja podatkowa (Dz. U. z 2018 r. poz. 800, z późn. zm.).</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W tym miejscu należy przywołać przepisy k.k.s. penalizujące określone zachowania związan</w:t>
      </w:r>
      <w:r w:rsidR="00DF6B8A" w:rsidRPr="009A3C86">
        <w:rPr>
          <w:rFonts w:ascii="Times New Roman" w:hAnsi="Times New Roman"/>
          <w:sz w:val="24"/>
          <w:szCs w:val="24"/>
        </w:rPr>
        <w:t xml:space="preserve">e z deklaracjami podatkowymi. </w:t>
      </w:r>
      <w:r w:rsidRPr="009A3C86">
        <w:rPr>
          <w:rFonts w:ascii="Times New Roman" w:hAnsi="Times New Roman"/>
          <w:sz w:val="24"/>
          <w:szCs w:val="24"/>
        </w:rPr>
        <w:t>Zgodnie z art. 54 § 1 k.k.s. podatnik, który uchylając się od opodatkowania, nie ujawnia właściwemu organowi przedmiotu lub podstawy opodatkowania lub nie składa deklaracji, przez co naraża podatek na uszczuplenie, podlega karze grzywny do 720 stawek dziennych albo karze pozbawienia wolności, albo obu tym karom łącznie.</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Zgodnie z art. 56 § 1 k.k.s. podatnik, który składając organowi podatkowemu, innemu uprawnionemu organowi lub płatnikowi deklarację lub oświadczenie, podaje nieprawdę lub zataja prawdę albo nie dopełnia obowiązku zawiadomienia o zmianie objętych nimi danych, przez co naraża podatek na uszczuplenie, podlega karze grzywny do 720 stawek dziennych albo karze pozbawienia wolności, albo obu tym karom łącznie.</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Zgodnie z art. 56 § 4 k.k.s. karze określonej w § 3 podlega także ten podatnik, który mimo ujawnienia przedmiotu lub podstawy opodatkowania nie składa w terminie organowi podatkowemu lub płatnikowi deklaracji lub oświadczenia lub wbrew obowiązkowi nie składa ich za pomocą środków komunikacji elektronicznej.</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Zgodnie z art. 79 § 1 k.k.s. płatnik lub inkasent, który nie wyznacza w wymaganym terminie osoby, do której obowiązków należy obliczanie i pobieranie podatków oraz terminowe wpłacanie organowi podatkowemu pobranych kwot, lub nie zgłasza właściwemu miejscowo organowi podatkowemu wymaganych danych takiej osoby, podlega karze grzywny za wykroczenie skarbowe. Zgodnie zaś z art. 79 § 2 k.k.s. Tej samej karze podlega płatnik, który nie składa w terminie deklaracji.</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 xml:space="preserve">Analiza zaproponowanego brzmienia art. 3 pkt 4 </w:t>
      </w:r>
      <w:r w:rsidR="00A661F4" w:rsidRPr="009A3C86">
        <w:rPr>
          <w:rFonts w:ascii="Times New Roman" w:hAnsi="Times New Roman"/>
          <w:sz w:val="24"/>
          <w:szCs w:val="24"/>
        </w:rPr>
        <w:t>projektu</w:t>
      </w:r>
      <w:r w:rsidRPr="009A3C86">
        <w:rPr>
          <w:rFonts w:ascii="Times New Roman" w:hAnsi="Times New Roman"/>
          <w:sz w:val="24"/>
          <w:szCs w:val="24"/>
        </w:rPr>
        <w:t xml:space="preserve"> oraz przepisów k.k.s.  penalizujących określone zachowania dotyczące deklaracji prowadzą do następujących wniosków.</w:t>
      </w:r>
    </w:p>
    <w:p w:rsidR="0064707C" w:rsidRPr="009A3C86" w:rsidRDefault="004B1E04" w:rsidP="0064707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J</w:t>
      </w:r>
      <w:r w:rsidR="0064707C" w:rsidRPr="009A3C86">
        <w:rPr>
          <w:rFonts w:ascii="Times New Roman" w:hAnsi="Times New Roman"/>
          <w:sz w:val="24"/>
          <w:szCs w:val="24"/>
        </w:rPr>
        <w:t>eżeli chodzi o art. 54 § 1 k.k.s. oraz art. 56 § 1 k.k.s., to czynności dotyczące bezpośrednio deklaracji (nie składa deklaracji, podaje nieprawdę lub zataja prawdę albo nie dopełnia obowiązku zawiadomienia o zmianie objętych nimi danych) w każdym przypadku musi wiązać się, co należy szczególnie podkreślić, z narażeniem podatku na uszczuplenie. W związku z powyższym</w:t>
      </w:r>
      <w:r w:rsidRPr="009A3C86">
        <w:rPr>
          <w:rFonts w:ascii="Times New Roman" w:hAnsi="Times New Roman"/>
          <w:sz w:val="24"/>
          <w:szCs w:val="24"/>
        </w:rPr>
        <w:t>,</w:t>
      </w:r>
      <w:r w:rsidR="0064707C" w:rsidRPr="009A3C86">
        <w:rPr>
          <w:rFonts w:ascii="Times New Roman" w:hAnsi="Times New Roman"/>
          <w:sz w:val="24"/>
          <w:szCs w:val="24"/>
        </w:rPr>
        <w:t xml:space="preserve"> każde wskazane powyżej działanie dotyczące deklaracji podatkowej, w tym także w rozumieniu art. 3 pkt 4 </w:t>
      </w:r>
      <w:r w:rsidR="00D15277" w:rsidRPr="009A3C86">
        <w:rPr>
          <w:rFonts w:ascii="Times New Roman" w:hAnsi="Times New Roman"/>
          <w:sz w:val="24"/>
          <w:szCs w:val="24"/>
        </w:rPr>
        <w:t>projektu</w:t>
      </w:r>
      <w:r w:rsidR="0064707C" w:rsidRPr="009A3C86">
        <w:rPr>
          <w:rFonts w:ascii="Times New Roman" w:hAnsi="Times New Roman"/>
          <w:sz w:val="24"/>
          <w:szCs w:val="24"/>
        </w:rPr>
        <w:t xml:space="preserve">, jeżeli tylko skutkuje narażeniem podatku na uszczuplenie zasługuje na odpowiedzialność karnoskarbową. W tym zakresie można dojść do wniosku, że modyfikacja definicji deklaracji podatkowej i związane z tym skutki na gruncie k.k.s. uszczelniają system podatkowy. Z drugiej jednak strony należy mieć na uwadze, że nie każde działanie wskazane w wyżej powołanych przepisach dotyczące deklaracji podatkowej w rozumieniu art. 3 pkt 4 </w:t>
      </w:r>
      <w:r w:rsidR="00D15277" w:rsidRPr="009A3C86">
        <w:rPr>
          <w:rFonts w:ascii="Times New Roman" w:hAnsi="Times New Roman"/>
          <w:sz w:val="24"/>
          <w:szCs w:val="24"/>
        </w:rPr>
        <w:t>projektu</w:t>
      </w:r>
      <w:r w:rsidR="0064707C" w:rsidRPr="009A3C86">
        <w:rPr>
          <w:rFonts w:ascii="Times New Roman" w:hAnsi="Times New Roman"/>
          <w:sz w:val="24"/>
          <w:szCs w:val="24"/>
        </w:rPr>
        <w:t xml:space="preserve"> sankcjonowane będzie na gruncie art. 54 k.k.s. oraz art. 56 k.k.s. Jeżeli bowiem działanie takie nie spowoduje narażenia podatku na uszczuplenie, nie można mówić w ogóle o odpowiedzialności karnoskarbowej. Jako przykład należy wskazać art. 4a ust. 1 ustawy o podatku od spadków i darowizn, zgodnie z którym zwalnia się od podatku nabycie własności rzeczy lub praw majątkowych przez małżonka, zstępnych, wstępnych, pasierba, rodzeństwo, ojczyma i macochę, jeżeli: 1) zgłoszą nabycie własności rzeczy lub praw majątkowych właściwemu naczelnikowi urzędu skarbowego w terminie 6 miesięcy od dnia powstania obowiązku podatkowego powstałego na podstawie art. 6 ust. 1 pkt 2-5, 7 i 8 oraz ust. 2, a w przypadku nabycia w drodze dziedziczenia - w terminie 6 miesięcy od dnia uprawomocnienia się orzeczenia sądu stwierdzającego nabycie spadku, z zastrzeżeniem ust. 2 i 4, oraz 2) w przypadku gdy przedmiotem nabycia tytułem darowizny lub polecenia darczyńcy są środki pieniężne, a wartość majątku nabytego łącznie od tej samej osoby w okresie 5 lat poprzedzających rok, w którym nastąpiło ostatnie nabycie, doliczona do wartości rzeczy i praw majątkowych ostatnio nabytych, przekracza kwotę określoną w art. 9 ust. 1 pkt 1 - udokumentują ich otrzymanie dowodem przekazania na rachunek płatniczy nabywcy, na jego rachunek, inny niż płatniczy, w banku lub spółdzielczej kasie oszczędnościowo-kredytowej lub przekazem pocztowym. Niezłożenie zgłoszenia, o którym mowa w art. 4 ust. 1 pkt 1 ustawy o podatku od spadków i darowizn, które należy zaliczyć do deklaracji w rozumieniu art. 3 pkt 4 NOP, nie powoduje skutku w postaci narażenia podatku na uszczuplenie.</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 xml:space="preserve">Odnosząc się do art. 56 § 4 k.k.s. należy wskazać, że przepis ten sankcjonuje nieskładanie w terminie organowi podatkowemu lub płatnikowi deklaracji lub oświadczenia lub naruszenie obowiązku składania ich za pomocą środków komunikacji elektronicznej. W tym przepisie już wyłącznie określone działanie związane z deklaracją stanowi przesłankę umożliwiającą nałożenie odpowiedzialności karnej skarbowej. Zauważyć jednak należy, że skoro </w:t>
      </w:r>
      <w:r w:rsidRPr="009A3C86">
        <w:rPr>
          <w:rFonts w:ascii="Times New Roman" w:hAnsi="Times New Roman"/>
          <w:sz w:val="24"/>
          <w:szCs w:val="24"/>
        </w:rPr>
        <w:lastRenderedPageBreak/>
        <w:t>ustawodawca wprowadza określone obowiązki o charakterze instrumentalnym, w tym obowiązki związane ze składaniem różnego rodzaju zeznań, wykazów, zestawień, zgłoszeń, oświadczeń, zawiadomień oraz informacji, w tym informacji zastępczych, to prawem ustawodawcy jest usankcjonowanie naruszenia tych obowiązków. Celem realizacji tych obowiązków jest wykonanie obowiązku głównego jakim jest zapłata podatku. Dodać również należy, że przepis ten nie będzie miał zastosowania do określonych obowiązków związanych z deklaracjami, których powinność realizacji wiąże się ze skorzystaniem z ulgi podatkowej, odliczeniem lub obniżeniem podstawy opodatkowania lub wysokości podatku lub też z inną sytuacją prowadzącą do zmniejszenia obciążenia podatkowego.</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 xml:space="preserve">Odnosząc się do art. 79 § 2 k.k.s. z którego wynika, że czynem karalnym jest zaniechanie składania deklaracji przez płatnika, wskazać należy, że chodzi tu wyłącznie o deklaracje, do których składania zobowiązany został płatnik, w związku z pełnioną funkcją płatnika. W związku z powyższym zamiana zakresu pojęcia deklaracji w </w:t>
      </w:r>
      <w:r w:rsidR="002A78F3" w:rsidRPr="009A3C86">
        <w:rPr>
          <w:rFonts w:ascii="Times New Roman" w:hAnsi="Times New Roman"/>
          <w:sz w:val="24"/>
          <w:szCs w:val="24"/>
        </w:rPr>
        <w:t>projekcie</w:t>
      </w:r>
      <w:r w:rsidRPr="009A3C86">
        <w:rPr>
          <w:rFonts w:ascii="Times New Roman" w:hAnsi="Times New Roman"/>
          <w:sz w:val="24"/>
          <w:szCs w:val="24"/>
        </w:rPr>
        <w:t xml:space="preserve"> nie ma wpływu na zastosowanie art. 79 § 2 k.k.s.</w:t>
      </w:r>
    </w:p>
    <w:p w:rsidR="0064707C" w:rsidRPr="009A3C86" w:rsidRDefault="0064707C" w:rsidP="0064707C">
      <w:pPr>
        <w:spacing w:after="0" w:line="360" w:lineRule="auto"/>
        <w:jc w:val="both"/>
        <w:rPr>
          <w:rFonts w:ascii="Times New Roman" w:hAnsi="Times New Roman"/>
          <w:sz w:val="24"/>
          <w:szCs w:val="24"/>
        </w:rPr>
      </w:pPr>
      <w:r w:rsidRPr="009A3C86">
        <w:rPr>
          <w:rFonts w:ascii="Times New Roman" w:hAnsi="Times New Roman"/>
          <w:sz w:val="24"/>
          <w:szCs w:val="24"/>
        </w:rPr>
        <w:t>Mając na uwadze powyższe</w:t>
      </w:r>
      <w:r w:rsidR="002A78F3" w:rsidRPr="009A3C86">
        <w:rPr>
          <w:rFonts w:ascii="Times New Roman" w:hAnsi="Times New Roman"/>
          <w:sz w:val="24"/>
          <w:szCs w:val="24"/>
        </w:rPr>
        <w:t>,</w:t>
      </w:r>
      <w:r w:rsidRPr="009A3C86">
        <w:rPr>
          <w:rFonts w:ascii="Times New Roman" w:hAnsi="Times New Roman"/>
          <w:sz w:val="24"/>
          <w:szCs w:val="24"/>
        </w:rPr>
        <w:t xml:space="preserve"> należy dojść do wniosku, że zmiana definicji deklaracji podatkowej w </w:t>
      </w:r>
      <w:r w:rsidR="002A78F3" w:rsidRPr="009A3C86">
        <w:rPr>
          <w:rFonts w:ascii="Times New Roman" w:hAnsi="Times New Roman"/>
          <w:sz w:val="24"/>
          <w:szCs w:val="24"/>
        </w:rPr>
        <w:t>projekcie</w:t>
      </w:r>
      <w:r w:rsidRPr="009A3C86">
        <w:rPr>
          <w:rFonts w:ascii="Times New Roman" w:hAnsi="Times New Roman"/>
          <w:sz w:val="24"/>
          <w:szCs w:val="24"/>
        </w:rPr>
        <w:t xml:space="preserve"> niewątpliwie spowoduje rozszerzenie zakresu penalizowanych zachowań. Skutek taki jest jednak pożądany i adekwatny do przestrzegania obowiązku składania deklaracji. Skoro bowiem ustawodawca nakłada na określone podmioty obowiązek składania deklaracji należy oczekiwać, że podmioty te będą taki obowiązek realizować. Naruszenie realizacji takiego obowiązku może natomiast spotkać się z reakcją w postaci sankcji przewidzianej w k.k.s.</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36. Zgodnie z </w:t>
      </w:r>
      <w:r w:rsidRPr="009A3C86">
        <w:rPr>
          <w:rFonts w:ascii="Times New Roman" w:hAnsi="Times New Roman"/>
          <w:b/>
          <w:sz w:val="24"/>
          <w:szCs w:val="24"/>
        </w:rPr>
        <w:t>art. 13 pkt 5</w:t>
      </w:r>
      <w:r w:rsidRPr="009A3C86">
        <w:rPr>
          <w:rFonts w:ascii="Times New Roman" w:hAnsi="Times New Roman"/>
          <w:sz w:val="24"/>
          <w:szCs w:val="24"/>
        </w:rPr>
        <w:t xml:space="preserve"> projektu ordynacji podatkowej ilekroć w ustawie jest mowa o dokumencie elektronicznym, rozumie się przez to dokument elektroniczny, o którym mowa w art. 3 pkt 35 rozporządzenia Parlamentu Europejskiego i Rady (UE) nr 910/2014 z </w:t>
      </w:r>
      <w:r w:rsidRPr="009A3C86">
        <w:rPr>
          <w:rFonts w:ascii="Times New Roman" w:hAnsi="Times New Roman"/>
          <w:sz w:val="24"/>
          <w:szCs w:val="24"/>
          <w:lang w:eastAsia="pl-PL"/>
        </w:rPr>
        <w:t>dnia 23 lipca 2014 r.</w:t>
      </w:r>
      <w:r w:rsidRPr="009A3C86">
        <w:rPr>
          <w:rFonts w:ascii="Times New Roman" w:hAnsi="Times New Roman"/>
          <w:sz w:val="24"/>
          <w:szCs w:val="24"/>
        </w:rPr>
        <w:t xml:space="preserve"> w sprawie identyfikacji elektronicznej i usług zaufania w odniesieniu do transakcji elektronicznych na rynku wewnętrznym oraz uchylającego dyrektywę 1999/93/WE (Dz. U. UE L 257 z 28.08.2014 r., str. 73). Zgodnie zaś z tym ostatnim przepisem „dokument elektroniczny” oznacza każdą treść przechowywaną w postaci elektronicznej, w szczególności tekst lub nagranie dźwiękowe, wizualne lub audiowizualne. W obowiązującym art. 3 pkt</w:t>
      </w:r>
      <w:r w:rsidRPr="009A3C86">
        <w:rPr>
          <w:rFonts w:ascii="Times New Roman" w:hAnsi="Times New Roman"/>
          <w:spacing w:val="4"/>
          <w:sz w:val="24"/>
          <w:szCs w:val="24"/>
        </w:rPr>
        <w:t xml:space="preserve"> </w:t>
      </w:r>
      <w:r w:rsidRPr="009A3C86">
        <w:rPr>
          <w:rFonts w:ascii="Times New Roman" w:hAnsi="Times New Roman"/>
          <w:sz w:val="24"/>
          <w:szCs w:val="24"/>
        </w:rPr>
        <w:t>13 o.p. pod pojęciem dokumentu elektronicznego rozumie się dokument elektroniczny, o którym mowa w art. 3 pkt 2 ustawy z dnia 17 lutego 2005 r. o informatyzacji działalności podmiotów realizujących zadania publiczne (Dz. U. z 2017 r. poz. 570</w:t>
      </w:r>
      <w:r w:rsidR="00795D35" w:rsidRPr="009A3C86">
        <w:rPr>
          <w:rFonts w:ascii="Times New Roman" w:hAnsi="Times New Roman"/>
          <w:sz w:val="24"/>
          <w:szCs w:val="24"/>
        </w:rPr>
        <w:t>, z późn. zm.</w:t>
      </w:r>
      <w:r w:rsidRPr="009A3C86">
        <w:rPr>
          <w:rFonts w:ascii="Times New Roman" w:hAnsi="Times New Roman"/>
          <w:sz w:val="24"/>
          <w:szCs w:val="24"/>
        </w:rPr>
        <w:t>). Zgodnie z tym ostatnim przepisem</w:t>
      </w:r>
      <w:r w:rsidRPr="009A3C86">
        <w:rPr>
          <w:rFonts w:ascii="Times New Roman" w:hAnsi="Times New Roman"/>
          <w:spacing w:val="4"/>
          <w:sz w:val="24"/>
          <w:szCs w:val="24"/>
        </w:rPr>
        <w:t xml:space="preserve"> </w:t>
      </w:r>
      <w:r w:rsidRPr="009A3C86">
        <w:rPr>
          <w:rFonts w:ascii="Times New Roman" w:hAnsi="Times New Roman"/>
          <w:sz w:val="24"/>
          <w:szCs w:val="24"/>
        </w:rPr>
        <w:t xml:space="preserve">dokument elektroniczny to stanowiący odrębną całość znaczeniową zbiór danych uporządkowanych w określonej strukturze wewnętrznej i zapisany na informatycznym </w:t>
      </w:r>
      <w:r w:rsidRPr="009A3C86">
        <w:rPr>
          <w:rFonts w:ascii="Times New Roman" w:hAnsi="Times New Roman"/>
          <w:sz w:val="24"/>
          <w:szCs w:val="24"/>
        </w:rPr>
        <w:lastRenderedPageBreak/>
        <w:t>nośniku danych. Uwzględniając zasadę pierwszeństwa prawa unijnego, zasadne było odniesienie się w projekcie ordynacji podatkowej do definicji dokumentu elektronicznego wynikającego z rozporządzenia eIDAS.</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37. Postanowienia </w:t>
      </w:r>
      <w:r w:rsidRPr="009A3C86">
        <w:rPr>
          <w:rFonts w:ascii="Times New Roman" w:hAnsi="Times New Roman"/>
          <w:b/>
          <w:sz w:val="24"/>
          <w:szCs w:val="24"/>
        </w:rPr>
        <w:t>art. 13 pkt 6</w:t>
      </w:r>
      <w:r w:rsidRPr="009A3C86">
        <w:rPr>
          <w:rFonts w:ascii="Times New Roman" w:hAnsi="Times New Roman"/>
          <w:sz w:val="24"/>
          <w:szCs w:val="24"/>
        </w:rPr>
        <w:t xml:space="preserve"> projektu ordynacji podatkowej zawierają definicję działalności gospodarczej. Zgodnie z tym przepisem pod pojęciem działalności gospodarczej rozumie się działalność</w:t>
      </w:r>
      <w:r w:rsidR="00743E54" w:rsidRPr="009A3C86">
        <w:rPr>
          <w:rFonts w:ascii="Times New Roman" w:hAnsi="Times New Roman"/>
          <w:sz w:val="24"/>
          <w:szCs w:val="24"/>
        </w:rPr>
        <w:t>,</w:t>
      </w:r>
      <w:r w:rsidR="0010533B" w:rsidRPr="009A3C86">
        <w:rPr>
          <w:rFonts w:ascii="Times New Roman" w:hAnsi="Times New Roman"/>
          <w:sz w:val="24"/>
          <w:szCs w:val="24"/>
        </w:rPr>
        <w:t xml:space="preserve"> </w:t>
      </w:r>
      <w:r w:rsidR="00E43792" w:rsidRPr="009A3C86">
        <w:rPr>
          <w:rFonts w:ascii="Times New Roman" w:hAnsi="Times New Roman"/>
          <w:sz w:val="24"/>
          <w:szCs w:val="24"/>
        </w:rPr>
        <w:t xml:space="preserve"> </w:t>
      </w:r>
      <w:r w:rsidRPr="009A3C86">
        <w:rPr>
          <w:rFonts w:ascii="Times New Roman" w:hAnsi="Times New Roman"/>
          <w:sz w:val="24"/>
          <w:szCs w:val="24"/>
        </w:rPr>
        <w:t xml:space="preserve">o której mowa w art. 3 </w:t>
      </w:r>
      <w:r w:rsidR="00743E54" w:rsidRPr="009A3C86">
        <w:rPr>
          <w:rFonts w:ascii="Times New Roman" w:hAnsi="Times New Roman"/>
          <w:sz w:val="24"/>
          <w:szCs w:val="24"/>
        </w:rPr>
        <w:t xml:space="preserve">oraz w art. 5 ust. 1 </w:t>
      </w:r>
      <w:r w:rsidRPr="009A3C86">
        <w:rPr>
          <w:rFonts w:ascii="Times New Roman" w:hAnsi="Times New Roman"/>
          <w:sz w:val="24"/>
          <w:szCs w:val="24"/>
        </w:rPr>
        <w:t>ustawy z dnia 6 marca 2018 r. – Prawo przedsiębiorców (Dz. U. poz. 646</w:t>
      </w:r>
      <w:r w:rsidR="00795D35" w:rsidRPr="009A3C86">
        <w:rPr>
          <w:rFonts w:ascii="Times New Roman" w:hAnsi="Times New Roman"/>
          <w:sz w:val="24"/>
          <w:szCs w:val="24"/>
        </w:rPr>
        <w:t>, z późn. zm.</w:t>
      </w:r>
      <w:r w:rsidRPr="009A3C86">
        <w:rPr>
          <w:rFonts w:ascii="Times New Roman" w:hAnsi="Times New Roman"/>
          <w:sz w:val="24"/>
          <w:szCs w:val="24"/>
        </w:rPr>
        <w:t xml:space="preserve">). Prawo przedsiębiorców definiuje </w:t>
      </w:r>
      <w:r w:rsidRPr="009A3C86">
        <w:rPr>
          <w:rFonts w:ascii="Times New Roman" w:hAnsi="Times New Roman"/>
          <w:sz w:val="24"/>
          <w:szCs w:val="24"/>
          <w:lang w:eastAsia="pl-PL"/>
        </w:rPr>
        <w:t xml:space="preserve">działalność gospodarczą jako zorganizowaną działalność zarobkową, wykonywaną we własnym imieniu i w sposób ciągły. Zrezygnowano zatem z „szerokiej” definicji działalności gospodarczej, przyjętej w obowiązującej ordynacji podatkowej, zgodnie z którą pod pojęciem </w:t>
      </w:r>
      <w:r w:rsidRPr="009A3C86">
        <w:rPr>
          <w:rFonts w:ascii="Times New Roman" w:hAnsi="Times New Roman"/>
          <w:sz w:val="24"/>
          <w:szCs w:val="24"/>
        </w:rPr>
        <w:t xml:space="preserve">działalności gospodarczej rozumie się każdą działalność zarobkową w rozumieniu przepisów </w:t>
      </w:r>
      <w:hyperlink r:id="rId8" w:anchor="/document/18701388?cm=DOCUMENT" w:history="1">
        <w:r w:rsidRPr="009A3C86">
          <w:rPr>
            <w:rFonts w:ascii="Times New Roman" w:hAnsi="Times New Roman"/>
            <w:sz w:val="24"/>
            <w:szCs w:val="24"/>
          </w:rPr>
          <w:t>ustawy</w:t>
        </w:r>
      </w:hyperlink>
      <w:r w:rsidRPr="009A3C86">
        <w:rPr>
          <w:rFonts w:ascii="Times New Roman" w:hAnsi="Times New Roman"/>
          <w:sz w:val="24"/>
          <w:szCs w:val="24"/>
        </w:rPr>
        <w:t xml:space="preserve"> z dnia 6 marca 2018 r. - Prawo przedsiębiorców (Dz. U. poz. 646), w tym wykonywanie wolnego zawodu, a także każdą inną działalność zarobkową wykonywaną we własnym imieniu i na własny lub cudzy rachunek, nawet gdy inne ustawy nie zaliczają tej działalności do działalności gospodarczej lub osoby wykonującej taką działalność - do przedsiębiorców.</w:t>
      </w:r>
      <w:r w:rsidR="00825B16" w:rsidRPr="009A3C86">
        <w:t xml:space="preserve"> </w:t>
      </w:r>
      <w:r w:rsidR="00825B16" w:rsidRPr="009A3C86">
        <w:rPr>
          <w:rFonts w:ascii="Times New Roman" w:hAnsi="Times New Roman"/>
          <w:sz w:val="24"/>
          <w:szCs w:val="24"/>
        </w:rPr>
        <w:t xml:space="preserve"> Jednocześnie jednak w definicji działalności gospodarczej ujęto działalność, o której mowa w art. 5 ust. 1 ustawy z dnia 6 marca 2018 r. – Prawo przedsiębiorców, która nie stanowi działalności gospodarczej w rozumieniu przepisów prawa przedsiębiorców, czyli działalność wykonywaną przez osobę fizyczną, której przychód należny z tej działalności nie przekracza w żadnym miesiącu 50% kwoty minimalnego wynagrodzenia, o którym mowa w ustawie z dnia 10 października 2002 r. o minimalnym wynagrodzeniu za pracę (Dz. U. z 2017 r. poz. 847 oraz z 2018 r. poz. 650), i która w okresie ostatnich 60 miesięcy nie wykonywała działalności gospodarczej.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38. Postanowienia </w:t>
      </w:r>
      <w:r w:rsidRPr="009A3C86">
        <w:rPr>
          <w:rFonts w:ascii="Times New Roman" w:hAnsi="Times New Roman"/>
          <w:b/>
          <w:sz w:val="24"/>
          <w:szCs w:val="24"/>
        </w:rPr>
        <w:t>art. 13 pkt 7</w:t>
      </w:r>
      <w:r w:rsidRPr="009A3C86">
        <w:rPr>
          <w:rFonts w:ascii="Times New Roman" w:hAnsi="Times New Roman"/>
          <w:sz w:val="24"/>
          <w:szCs w:val="24"/>
        </w:rPr>
        <w:t xml:space="preserve"> projektu ordynacji regulują definicję korzyści podatkowej. Korzyść podatkowa oznacza: a) niepowstanie zobowiązania podatkowego, odsunięcie w czasie powstania zobowiązania podatkowego lub obniżenie jego wysokości, b) powstanie lub zawyżenie straty podatkowej, c) powstanie nadpłaty lub prawa do zwrotu podatku albo zawyżenie kwoty nadpłaty lub zwrotu podatku, d) brak obowiązku pobrania podatku przez płatnika, jeżeli wynika on z okoliczności wskazanych w lit. a. Wskazana definicja stanowi odwzorowanie definicji ujętej w art. 3 pkt 18 Ordynacji podatkowej.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39. Postanowienia </w:t>
      </w:r>
      <w:r w:rsidRPr="009A3C86">
        <w:rPr>
          <w:rFonts w:ascii="Times New Roman" w:hAnsi="Times New Roman"/>
          <w:b/>
          <w:sz w:val="24"/>
          <w:szCs w:val="24"/>
        </w:rPr>
        <w:t>art. 13 pkt 8</w:t>
      </w:r>
      <w:r w:rsidRPr="009A3C86">
        <w:rPr>
          <w:rFonts w:ascii="Times New Roman" w:hAnsi="Times New Roman"/>
          <w:sz w:val="24"/>
          <w:szCs w:val="24"/>
        </w:rPr>
        <w:t xml:space="preserve"> projektu ordynacji podatkowej regulują definicję ksiąg podatkowych. Przepis ten stanowi odwzorowanie obowiązującego art. 3 pkt 4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40. Zgodnie z </w:t>
      </w:r>
      <w:r w:rsidRPr="009A3C86">
        <w:rPr>
          <w:rFonts w:ascii="Times New Roman" w:hAnsi="Times New Roman"/>
          <w:b/>
          <w:sz w:val="24"/>
          <w:szCs w:val="24"/>
        </w:rPr>
        <w:t>art. 13 pkt 9</w:t>
      </w:r>
      <w:r w:rsidRPr="009A3C86">
        <w:rPr>
          <w:rFonts w:ascii="Times New Roman" w:hAnsi="Times New Roman"/>
          <w:sz w:val="24"/>
          <w:szCs w:val="24"/>
        </w:rPr>
        <w:t xml:space="preserve"> projektu ordynacji podatkowej, ilekroć w ustawie jest mowa o podatkach, rozumie się przez to również opłaty, niepodatkowe należności budżetowe, a także </w:t>
      </w:r>
      <w:r w:rsidRPr="009A3C86">
        <w:rPr>
          <w:rFonts w:ascii="Times New Roman" w:hAnsi="Times New Roman"/>
          <w:sz w:val="24"/>
          <w:szCs w:val="24"/>
        </w:rPr>
        <w:lastRenderedPageBreak/>
        <w:t>raty lub zaliczki na podatki, opłaty oraz na niepodatkowe należności budżetowe. Wskazana definicja stanowi jedynie zbiorcze określenie wszystkich należności wymienionych w tym przepisie. Jest to definicja zakresowa (techniczna), o zupełnie innym znaczeniu niż zawarte w definicji treściowej (merytorycznej) ujętej w art. 5 projektu ordynacji podatkowej. Ponadto należy wskazać, że przepis ten uzupełnia w pewnym sensie definicję podatku ujętą w art. 5 projektu, co wynika z użytego słowa „również”. Definicja zakresowa podatku została zbudowana na podstawie obowiązującej definicji wynikającej z art. 3 pkt 3 o.p. Jednakże zaproponowane brzmienie, w przeciwieństwie do brzmienia art. 3 pkt 3 o.p., wolne jest od wątpliwości interpretacyjnych związanych z ustaleniem, czy pod pojęciem podatku należy rozumieć również raty i zaliczki na opłatę i niepodatkową należność budżetową.</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W projekcie ordynacji podatkowej utrzymano dwie definicje podatku wbrew stanowiskom doktryny</w:t>
      </w:r>
      <w:r w:rsidRPr="009A3C86">
        <w:rPr>
          <w:rFonts w:ascii="Times New Roman" w:hAnsi="Times New Roman"/>
          <w:sz w:val="24"/>
          <w:szCs w:val="24"/>
          <w:vertAlign w:val="superscript"/>
        </w:rPr>
        <w:footnoteReference w:id="68"/>
      </w:r>
      <w:r w:rsidRPr="009A3C86">
        <w:rPr>
          <w:rFonts w:ascii="Times New Roman" w:hAnsi="Times New Roman"/>
          <w:sz w:val="24"/>
          <w:szCs w:val="24"/>
        </w:rPr>
        <w:t xml:space="preserve">. Przede wszystkim definicje podatku zawarte w art. 5 projektu oraz w art. 13 pkt </w:t>
      </w:r>
      <w:r w:rsidR="0082445A" w:rsidRPr="009A3C86">
        <w:rPr>
          <w:rFonts w:ascii="Times New Roman" w:hAnsi="Times New Roman"/>
          <w:sz w:val="24"/>
          <w:szCs w:val="24"/>
        </w:rPr>
        <w:t xml:space="preserve">9 </w:t>
      </w:r>
      <w:r w:rsidRPr="009A3C86">
        <w:rPr>
          <w:rFonts w:ascii="Times New Roman" w:hAnsi="Times New Roman"/>
          <w:sz w:val="24"/>
          <w:szCs w:val="24"/>
        </w:rPr>
        <w:t>projektu są to dwie odmienne, ale niewykluczające się definicje tego samego pojęcia. Co więcej, definicje te, jak już wskazano, uzupełniają się, co w konsekwencji pozwala na zajęcie stanowiska, że art. 5 projektu oraz art. 13 pkt 9 projektu stanowią kompleksowe ujęcie konstrukcji podatku w projekcie ordynacji podatkowej. Art. 5 projektu zawiera bowiem definicję treściową, która podaje treść danego przedmiotu, który w tym przypadku kryje się pod pojęciem „podatku”, tak sformułowaną, że wskazuje się w niej poszczególne cechy tego przedmiotu. Z kolei art. 13 pkt 9 projektu ordynacji podatkowej zawiera definicję zakresową, czyli taką, która polega na tym, że w jej ramach wyróżnia się nazwy, których zakresy tworzą w sumie zakres nazwy definiowanej. Konieczność posługiwania się definicją zakresową podatku, obok definicji treściowej, jest podyktowana zamiarem objęcia zakresem projektowanej ordynacji podatkowej nie tylko podatków, ale i innych określonych danin publicznych, co nastąpiło w ten sposób, że przyjęto zasadę stosowania wspomnianej ustawy do podatków, do których określania lub ustalania uprawnione są organy podatkowe (art. 2 § 1 projektu), przy czym do tej kategorii pojęciowej zaliczono także opłaty, niepodatkowe należności budżetowe, zaliczki i raty podatków (art. 13 pkt 9 projektu). Można również dojść do wniosku, że art. 5 projektu stanowi o tym, co to jest podatek, natomiast art. 13 pkt 9 projektu o tym, jak rozumiane jest słowo „podatek” na gruncie projektu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Wskazać również należy, że dopuszcza się możliwość definiowania nawet kilkukrotnego tego samego pojęcia w obrębie tego samego aktu prawnego, co wynika z § 147 ust. 2 rozporządzenia </w:t>
      </w:r>
      <w:r w:rsidRPr="009A3C86">
        <w:rPr>
          <w:rFonts w:ascii="Times New Roman" w:hAnsi="Times New Roman"/>
          <w:sz w:val="24"/>
          <w:szCs w:val="24"/>
        </w:rPr>
        <w:lastRenderedPageBreak/>
        <w:t>Prezesa Rady Ministrów z dnia 20 czerwca 2002 r. w sprawie „Zasad techniki prawodawczej”. Taki zabieg legislacyjny może mieć jednak miejsce, jeżeli nie przeszkodzi to w ustaleniu zakresów odniesienia poszczególnych definicji</w:t>
      </w:r>
      <w:r w:rsidRPr="009A3C86">
        <w:rPr>
          <w:rFonts w:ascii="Times New Roman" w:hAnsi="Times New Roman"/>
          <w:sz w:val="24"/>
          <w:szCs w:val="24"/>
          <w:vertAlign w:val="superscript"/>
        </w:rPr>
        <w:footnoteReference w:id="69"/>
      </w:r>
      <w:r w:rsidRPr="009A3C86">
        <w:rPr>
          <w:rFonts w:ascii="Times New Roman" w:hAnsi="Times New Roman"/>
          <w:sz w:val="24"/>
          <w:szCs w:val="24"/>
        </w:rPr>
        <w:t xml:space="preserve">. Wymogi te spełnia projekt ordynacji podatkowej zarówno w art. 5, jak i w art. 13 pkt </w:t>
      </w:r>
      <w:r w:rsidR="0082445A" w:rsidRPr="009A3C86">
        <w:rPr>
          <w:rFonts w:ascii="Times New Roman" w:hAnsi="Times New Roman"/>
          <w:sz w:val="24"/>
          <w:szCs w:val="24"/>
        </w:rPr>
        <w:t>9</w:t>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41. Zgodnie z </w:t>
      </w:r>
      <w:r w:rsidRPr="009A3C86">
        <w:rPr>
          <w:rFonts w:ascii="Times New Roman" w:hAnsi="Times New Roman"/>
          <w:b/>
          <w:sz w:val="24"/>
          <w:szCs w:val="24"/>
        </w:rPr>
        <w:t>art. 13 pkt 10</w:t>
      </w:r>
      <w:r w:rsidRPr="009A3C86">
        <w:rPr>
          <w:rFonts w:ascii="Times New Roman" w:hAnsi="Times New Roman"/>
          <w:sz w:val="24"/>
          <w:szCs w:val="24"/>
        </w:rPr>
        <w:t xml:space="preserve"> projektu ordynacji podatkowej ilekroć w ustawie jest mowa o podmiocie krajowym, rozumie się przez to </w:t>
      </w:r>
      <w:r w:rsidRPr="009A3C86">
        <w:rPr>
          <w:rFonts w:ascii="Times New Roman" w:hAnsi="Times New Roman"/>
          <w:sz w:val="24"/>
          <w:szCs w:val="24"/>
          <w:lang w:eastAsia="pl-PL"/>
        </w:rPr>
        <w:t>podmiot powiązany w rozumieniu art. 23m ust. 1 pkt 4 ustawy z dnia 26 lipca 1991 r. o podatku dochodowym od osób fizycznych oraz art. 11a ust. 1 pkt 4 ustawy z dnia 15 lutego 1992 r. o podatku dochodowym od osób prawnych, mający miejsce zamieszkania, siedzibę lub zarząd na terytorium Rzeczypospolitej Polskiej, w tym zagraniczny zakład w rozumieniu tych przepisów, położony na terytorium Rzeczypospolitej Polskiej</w:t>
      </w:r>
      <w:r w:rsidRPr="009A3C86">
        <w:rPr>
          <w:rFonts w:ascii="Times New Roman" w:hAnsi="Times New Roman"/>
          <w:sz w:val="24"/>
          <w:szCs w:val="24"/>
        </w:rPr>
        <w:t>. Przepis ten stanowi odwzorowanie obowiązującego art. 3 pkt 11 o.p.</w:t>
      </w:r>
    </w:p>
    <w:p w:rsidR="00A0038F" w:rsidRPr="009A3C86" w:rsidRDefault="00A0038F" w:rsidP="00A0038F">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42. Zgodnie z </w:t>
      </w:r>
      <w:r w:rsidRPr="009A3C86">
        <w:rPr>
          <w:rFonts w:ascii="Times New Roman" w:eastAsia="Times New Roman" w:hAnsi="Times New Roman"/>
          <w:b/>
          <w:bCs/>
          <w:sz w:val="24"/>
          <w:szCs w:val="24"/>
          <w:lang w:eastAsia="pl-PL"/>
        </w:rPr>
        <w:t>art. 13 pkt 11</w:t>
      </w:r>
      <w:r w:rsidRPr="009A3C86">
        <w:rPr>
          <w:rFonts w:ascii="Times New Roman" w:eastAsia="Times New Roman" w:hAnsi="Times New Roman"/>
          <w:bCs/>
          <w:sz w:val="24"/>
          <w:szCs w:val="24"/>
          <w:lang w:eastAsia="pl-PL"/>
        </w:rPr>
        <w:t xml:space="preserve"> projektu ordynacji podatkowej ilekroć w ustawie jest mowa o podmiocie zagranicznym, rozumie się przez to podmiot powiązany w rozumieniu art. 23m ust. 1 pkt 4 ustawy z dnia 26 lipca 1991 r. o podatku dochodowym od osób fizycznych oraz art. 11a ust. 1 pkt 4 ustawy z dnia 15 lutego 1992 r. o podatku dochodowym od osób prawnych, mający miejsce zamieszkania, siedzibę lub zarząd poza terytorium Rzeczypospolitej Polskiej, w tym zagraniczny zakład w rozumieniu tych przepisów, położony poza terytorium Rzeczypospolitej Polskiej. Przepis ten stanowi odwzorowanie obowiązującego art. 3 pkt 12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43. Zgodnie z </w:t>
      </w:r>
      <w:r w:rsidRPr="009A3C86">
        <w:rPr>
          <w:rFonts w:ascii="Times New Roman" w:hAnsi="Times New Roman"/>
          <w:b/>
          <w:sz w:val="24"/>
          <w:szCs w:val="24"/>
        </w:rPr>
        <w:t>art. 13 pkt 12</w:t>
      </w:r>
      <w:r w:rsidRPr="009A3C86">
        <w:rPr>
          <w:rFonts w:ascii="Times New Roman" w:hAnsi="Times New Roman"/>
          <w:sz w:val="24"/>
          <w:szCs w:val="24"/>
        </w:rPr>
        <w:t xml:space="preserve"> projektu ordynacji podatkowej, ilekroć w ustawie jest mowa o</w:t>
      </w:r>
      <w:r w:rsidRPr="009A3C86">
        <w:rPr>
          <w:rFonts w:ascii="Times New Roman" w:hAnsi="Times New Roman"/>
          <w:spacing w:val="4"/>
          <w:sz w:val="24"/>
          <w:szCs w:val="24"/>
        </w:rPr>
        <w:t xml:space="preserve"> </w:t>
      </w:r>
      <w:r w:rsidRPr="009A3C86">
        <w:rPr>
          <w:rFonts w:ascii="Times New Roman" w:hAnsi="Times New Roman"/>
          <w:sz w:val="24"/>
          <w:szCs w:val="24"/>
        </w:rPr>
        <w:t>portalu podatkowym, rozumie się przez to system teleinformatyczny administracji skarbowej służący do kontaktu pomiędzy organami podatkowymi a zobowiązanymi, w szczególności do wnoszenia podań, składania deklaracji oraz doręczania pism organów podatkowych za pomocą środków komunikacji elektronicznej. Przepis ten jest zmodyfikowanym odpowiednikiem obowiązującego art. 3 pkt 14 o.p. Modyfikacja wiąże się z zastąpieniem sformułowania „podatnikami, płatnikami i inkasentami, a także ich następcami prawnymi oraz osobami trzecimi” pojęciem „zobowiązanymi”. Modyfikacja w tym zakresie jest następstwem wprowadzenia do projektu ordynacji podatkowej definicji zobowiązanego.</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44. Zgodnie z </w:t>
      </w:r>
      <w:r w:rsidRPr="009A3C86">
        <w:rPr>
          <w:rFonts w:ascii="Times New Roman" w:hAnsi="Times New Roman"/>
          <w:b/>
          <w:sz w:val="24"/>
          <w:szCs w:val="24"/>
        </w:rPr>
        <w:t>art. 13 pkt 13</w:t>
      </w:r>
      <w:r w:rsidRPr="009A3C86">
        <w:rPr>
          <w:rFonts w:ascii="Times New Roman" w:hAnsi="Times New Roman"/>
          <w:sz w:val="24"/>
          <w:szCs w:val="24"/>
        </w:rPr>
        <w:t xml:space="preserve"> projektu ordynacji podatkowej, ilekroć w ustawie jest mowa o pracowniku, rozumie się przez to osobę zatrudnioną w jednostkach organizacyjnych Krajowej Administracji Skarbowej, funkcjonariusza pełniącego służbę w jednostkach organizacyjnych Krajowej Administracji Skarbowej oraz pracownika urzędu obsługującego organ podatkowy. </w:t>
      </w:r>
      <w:r w:rsidRPr="009A3C86">
        <w:rPr>
          <w:rFonts w:ascii="Times New Roman" w:hAnsi="Times New Roman"/>
          <w:sz w:val="24"/>
          <w:szCs w:val="24"/>
        </w:rPr>
        <w:lastRenderedPageBreak/>
        <w:t>Celem stworzenia definicji pracownika było zbiorcze określenie wszystkich wyżej wymienionych rodzajowo kategorii osób. W konsekwencji, ilekroć projekt ordynacji podatkowej posługuje się pojęciem pracownika, w ramach tej kategorii należy rozumieć wskazane wyżej osoby. Stworzenie definicji pracownika wyklucza konieczność każdorazowego wymieniania poszczególnych kategorii osób wchodzących w skład tej definicji, co znalazło zastosowanie w szeregu przepisów projektu.</w:t>
      </w:r>
    </w:p>
    <w:p w:rsidR="00A0038F" w:rsidRPr="009A3C86" w:rsidRDefault="00A0038F" w:rsidP="00A0038F">
      <w:pPr>
        <w:shd w:val="clear" w:color="auto" w:fill="FFFFFF"/>
        <w:spacing w:after="0" w:line="360" w:lineRule="auto"/>
        <w:jc w:val="both"/>
        <w:rPr>
          <w:rFonts w:ascii="Times New Roman" w:hAnsi="Times New Roman"/>
          <w:sz w:val="24"/>
          <w:szCs w:val="24"/>
        </w:rPr>
      </w:pPr>
      <w:r w:rsidRPr="009A3C86">
        <w:rPr>
          <w:rFonts w:ascii="Times New Roman" w:hAnsi="Times New Roman"/>
          <w:sz w:val="24"/>
          <w:szCs w:val="24"/>
        </w:rPr>
        <w:t xml:space="preserve">Zaproponowana definicja pracownika uwzględnia postanowienia art. 1 ust. 4 ustawy o KAS, zgodnie z którym, ilekroć w ustawie jest mowa o „osobach zatrudnionych w jednostkach organizacyjnych KAS”, rozumie się przez to pracowników jednostek organizacyjnych, o których mowa w art. 36 ust. 1 pkt 2, 3, 6 i 7 oraz pracowników zatrudnionych w urzędzie obsługującym ministra właściwego do spraw finansów publicznych wykonujących zadania KAS w komórkach organizacyjnych tego urzędu.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45. W </w:t>
      </w:r>
      <w:r w:rsidRPr="009A3C86">
        <w:rPr>
          <w:rFonts w:ascii="Times New Roman" w:hAnsi="Times New Roman"/>
          <w:b/>
          <w:sz w:val="24"/>
          <w:szCs w:val="24"/>
        </w:rPr>
        <w:t>art. 13 pkt 14</w:t>
      </w:r>
      <w:r w:rsidRPr="009A3C86">
        <w:rPr>
          <w:rFonts w:ascii="Times New Roman" w:hAnsi="Times New Roman"/>
          <w:sz w:val="24"/>
          <w:szCs w:val="24"/>
        </w:rPr>
        <w:t xml:space="preserve"> projektu ordynacji podatkowej zawarto definicję przedsiębiorstwa w spadku. Jest to przedsiębiorstwo w spadku w rozumieniu ustawy z dnia 5 lipca 2018 r. o zarządzie sukcesyjnym przedsiębiorstwem osoby fizycznej (Dz. U. poz. 1629). Przepis ten stanowi odwzorowanie art. 3 pkt 16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46. W </w:t>
      </w:r>
      <w:r w:rsidRPr="009A3C86">
        <w:rPr>
          <w:rFonts w:ascii="Times New Roman" w:hAnsi="Times New Roman"/>
          <w:b/>
          <w:sz w:val="24"/>
          <w:szCs w:val="24"/>
        </w:rPr>
        <w:t>art. 13 pkt 15</w:t>
      </w:r>
      <w:r w:rsidRPr="009A3C86">
        <w:rPr>
          <w:rFonts w:ascii="Times New Roman" w:hAnsi="Times New Roman"/>
          <w:sz w:val="24"/>
          <w:szCs w:val="24"/>
        </w:rPr>
        <w:t xml:space="preserve"> projektu ordynacji podatkowej zawarto definicję przepisów prawa podatkowego. Przepis ten jest zmodyfikowanym odpowiednikiem obowiązującego art. 3 pkt 2 o.p. Zmieniono kolejność wskazanych rodzajowo źródeł prawa, zachowując zasady hierarchiczności. W tym katalogu ujęto ponadto przepisy prawa Unii Europejskiej dotyczące spraw z zakresu prawa podatkowego oraz akty prawa miejscowego organów jednostek samorządu terytorialnego.</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Zauważyć należy, że w projektowanym art. 13 pkt 15 w odniesieniu do ratyfikowanych przez Rzeczpospolitą Polską innych umów międzynarodowych zamiast sformułowania „dotyczących problematyki podatkowej” użyto sformułowanie „dotyczących spraw z zakresu prawa podatkowego”. Wskazana zmiana ma charakter doprecyzowujący.</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47. Zgodnie z </w:t>
      </w:r>
      <w:r w:rsidRPr="009A3C86">
        <w:rPr>
          <w:rFonts w:ascii="Times New Roman" w:hAnsi="Times New Roman"/>
          <w:b/>
          <w:sz w:val="24"/>
          <w:szCs w:val="24"/>
        </w:rPr>
        <w:t>art. 13 pkt 16</w:t>
      </w:r>
      <w:r w:rsidRPr="009A3C86">
        <w:rPr>
          <w:rFonts w:ascii="Times New Roman" w:hAnsi="Times New Roman"/>
          <w:sz w:val="24"/>
          <w:szCs w:val="24"/>
        </w:rPr>
        <w:t xml:space="preserve"> projektu ordynacji podatkowej, ilekroć w ustawie jest mowa o roku podatkowym, rozumie się przez to rok kalendarzowy, chyba że ustawa podatkowa stanowi inaczej. Przepis ten stanowi odwzorowanie obowiązującego art. 11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48. Zgodnie z </w:t>
      </w:r>
      <w:r w:rsidRPr="009A3C86">
        <w:rPr>
          <w:rFonts w:ascii="Times New Roman" w:hAnsi="Times New Roman"/>
          <w:b/>
          <w:sz w:val="24"/>
          <w:szCs w:val="24"/>
        </w:rPr>
        <w:t>art. 13 pkt 17</w:t>
      </w:r>
      <w:r w:rsidRPr="009A3C86">
        <w:rPr>
          <w:rFonts w:ascii="Times New Roman" w:hAnsi="Times New Roman"/>
          <w:sz w:val="24"/>
          <w:szCs w:val="24"/>
        </w:rPr>
        <w:t xml:space="preserve"> projektu ordynacji podatkowej, ilekroć w tej ustawie mowa jest o samorządowym organie podatkowym, rozumie się przez to wójta, </w:t>
      </w:r>
      <w:r w:rsidR="00DF41FD" w:rsidRPr="009A3C86">
        <w:rPr>
          <w:rFonts w:ascii="Times New Roman" w:hAnsi="Times New Roman"/>
          <w:sz w:val="24"/>
          <w:szCs w:val="24"/>
        </w:rPr>
        <w:t>(burmistrza, prezydenta miasta)</w:t>
      </w:r>
      <w:r w:rsidRPr="009A3C86">
        <w:rPr>
          <w:rFonts w:ascii="Times New Roman" w:hAnsi="Times New Roman"/>
          <w:sz w:val="24"/>
          <w:szCs w:val="24"/>
        </w:rPr>
        <w:t xml:space="preserve">, starostę lub marszałka województwa. Jest to definicja zakresowa. Uregulowanie tej definicji ma znaczenie wyłącznie techniczne, patrząc z perspektywy legislacyjnej. Merytorycznie na pojęcie samorządowego organu podatkowego składa się zbiór organów </w:t>
      </w:r>
      <w:r w:rsidRPr="009A3C86">
        <w:rPr>
          <w:rFonts w:ascii="Times New Roman" w:hAnsi="Times New Roman"/>
          <w:sz w:val="24"/>
          <w:szCs w:val="24"/>
        </w:rPr>
        <w:lastRenderedPageBreak/>
        <w:t xml:space="preserve">wykonawczych jednostek samorządu terytorialnego. Celem stworzenia definicji samorządowego organu podatkowego było zbiorcze określenie wszystkich wyżej wymienionych rodzajowo kategorii samorządowych organów podatkowych.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49. Zgodnie z </w:t>
      </w:r>
      <w:r w:rsidRPr="009A3C86">
        <w:rPr>
          <w:rFonts w:ascii="Times New Roman" w:hAnsi="Times New Roman"/>
          <w:b/>
          <w:sz w:val="24"/>
          <w:szCs w:val="24"/>
        </w:rPr>
        <w:t>art. 13 pkt 18</w:t>
      </w:r>
      <w:r w:rsidRPr="009A3C86">
        <w:rPr>
          <w:rFonts w:ascii="Times New Roman" w:hAnsi="Times New Roman"/>
          <w:sz w:val="24"/>
          <w:szCs w:val="24"/>
        </w:rPr>
        <w:t xml:space="preserve"> projektu ordynacji podatkowej system teleinformatyczny administracji podatkowej jest to system teleinformatyczny administracji skarbowej lub system teleinformatyczny obsługujący organ podatkowy. Wskazana regulacja zawiera definicję zakresową systemu teleinformatycznego administracji podatkowej. Uregulowanie tej definicji ma znaczenie wyłącznie techniczne, patrząc z perspektywy legislacyjnej. Merytorycznie na pojęcie systemu teleinformatycznego administracji podatkowej składa się zbiór systemów wskazanych w proponowanej regulacji. Celem stworzenia definicji systemu teleinformatycznego było zbiorcze określenie wszystkich wyżej wymienionych rodzajowo systemów teleinformatycznych. W projekcie posłużono się i zdefiniowano określenie „system teleinformatyczny administracji podatkowej”, ze względu na to, że występuje tu również określenie „systemu teleinformatycznego” dotyczące innych podmiotów niż administracja skarbowa lub organ podatkowe (np. art. </w:t>
      </w:r>
      <w:r w:rsidR="00BA4699">
        <w:rPr>
          <w:rFonts w:ascii="Times New Roman" w:hAnsi="Times New Roman"/>
          <w:sz w:val="24"/>
          <w:szCs w:val="24"/>
        </w:rPr>
        <w:t>708</w:t>
      </w:r>
      <w:r w:rsidR="00B648FF" w:rsidRPr="009A3C86">
        <w:rPr>
          <w:rFonts w:ascii="Times New Roman" w:hAnsi="Times New Roman"/>
          <w:sz w:val="24"/>
          <w:szCs w:val="24"/>
        </w:rPr>
        <w:t xml:space="preserve"> </w:t>
      </w:r>
      <w:r w:rsidRPr="009A3C86">
        <w:rPr>
          <w:rFonts w:ascii="Times New Roman" w:hAnsi="Times New Roman"/>
          <w:sz w:val="24"/>
          <w:szCs w:val="24"/>
        </w:rPr>
        <w:t xml:space="preserve">projektu). Zaproponowana definicja zakresowa systemu teleinformatycznego administracji podatkowej nie pozbawia znaczenia prawnego definicji merytorycznej ujętej w art. 3 pkt 3 ustawy o informatyzacji, zgodnie z którym system teleinformatyczny to zespół współpracujących ze sobą urządzeń informatycznych i oprogramowania zapewniający przetwarzanie, przechowywanie, a także wysyłanie i odbieranie danych przez sieci telekomunikacyjne za pomocą właściwego dla danego rodzaju sieci telekomunikacyjnego urządzenia końcowego w rozumieniu przepisów ustawy z dnia 16 lipca 2004 r. – Prawo telekomunikacyjne (Dz. U. z </w:t>
      </w:r>
      <w:r w:rsidR="00A421D2" w:rsidRPr="009A3C86">
        <w:rPr>
          <w:rFonts w:ascii="Times New Roman" w:hAnsi="Times New Roman"/>
          <w:sz w:val="24"/>
          <w:szCs w:val="24"/>
        </w:rPr>
        <w:t xml:space="preserve">2016 </w:t>
      </w:r>
      <w:r w:rsidRPr="009A3C86">
        <w:rPr>
          <w:rFonts w:ascii="Times New Roman" w:hAnsi="Times New Roman"/>
          <w:sz w:val="24"/>
          <w:szCs w:val="24"/>
        </w:rPr>
        <w:t xml:space="preserve">r. poz. </w:t>
      </w:r>
      <w:r w:rsidR="00A421D2" w:rsidRPr="009A3C86">
        <w:rPr>
          <w:rFonts w:ascii="Times New Roman" w:hAnsi="Times New Roman"/>
          <w:sz w:val="24"/>
          <w:szCs w:val="24"/>
        </w:rPr>
        <w:t>1489, z późn. zm.</w:t>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50. Zgodnie z </w:t>
      </w:r>
      <w:r w:rsidRPr="009A3C86">
        <w:rPr>
          <w:rFonts w:ascii="Times New Roman" w:hAnsi="Times New Roman"/>
          <w:b/>
          <w:sz w:val="24"/>
          <w:szCs w:val="24"/>
        </w:rPr>
        <w:t>art. 13 pkt 19</w:t>
      </w:r>
      <w:r w:rsidRPr="009A3C86">
        <w:rPr>
          <w:rFonts w:ascii="Times New Roman" w:hAnsi="Times New Roman"/>
          <w:sz w:val="24"/>
          <w:szCs w:val="24"/>
        </w:rPr>
        <w:t xml:space="preserve"> projektu ordynacji podatkowej środki ograniczające umowne korzyści to postanowienia ratyfikowanych przez Rzeczpospolitą Polską umów o unikaniu podwójnego opodatkowania oraz ratyfikowanych przez Rzeczpospolitą Polską innych umów międzynarodowych dotyczących problematyki podatkowej lub inne środki ograniczające lub odmawiające korzyści wynikających z tych umów. Przepis ten stanowi odwzorowanie art. 3 pkt 19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51. W </w:t>
      </w:r>
      <w:r w:rsidRPr="009A3C86">
        <w:rPr>
          <w:rFonts w:ascii="Times New Roman" w:hAnsi="Times New Roman"/>
          <w:b/>
          <w:sz w:val="24"/>
          <w:szCs w:val="24"/>
        </w:rPr>
        <w:t>art. 13 pkt 20</w:t>
      </w:r>
      <w:r w:rsidRPr="009A3C86">
        <w:rPr>
          <w:rFonts w:ascii="Times New Roman" w:hAnsi="Times New Roman"/>
          <w:sz w:val="24"/>
          <w:szCs w:val="24"/>
        </w:rPr>
        <w:t xml:space="preserve"> projektu ordynacji podatkowej uregulowano definicję ulg podatkowych. Przepis ten jest odpowiednikiem obowiązującego art. 3 pkt 6 o.p. z drobną korektą. W projekcie ordynacji podatkowej do kategorii ulgi podatkowej nie zaliczono zmniejszenia, którym to pojęciem posłużono się w obowiązującej definicji ulgi podatkowej. Należy natomiast dojść do wniosku, że zmniejszenie powodujące obniżenie podstawy opodatkowania lub wysokości podatku może być osiągnięte poprzez odliczenie lub obniżkę podstawy opodatkowania lub </w:t>
      </w:r>
      <w:r w:rsidRPr="009A3C86">
        <w:rPr>
          <w:rFonts w:ascii="Times New Roman" w:hAnsi="Times New Roman"/>
          <w:sz w:val="24"/>
          <w:szCs w:val="24"/>
        </w:rPr>
        <w:lastRenderedPageBreak/>
        <w:t xml:space="preserve">wysokości podatku. W tak skonstruowanej w projekcie definicji ulgi podatkowej mieści się odliczenie straty. Koresponduje to z art. </w:t>
      </w:r>
      <w:r w:rsidR="00191DE7" w:rsidRPr="009A3C86">
        <w:rPr>
          <w:rFonts w:ascii="Times New Roman" w:hAnsi="Times New Roman"/>
          <w:sz w:val="24"/>
          <w:szCs w:val="24"/>
        </w:rPr>
        <w:t xml:space="preserve">130 </w:t>
      </w:r>
      <w:r w:rsidRPr="009A3C86">
        <w:rPr>
          <w:rFonts w:ascii="Times New Roman" w:hAnsi="Times New Roman"/>
          <w:sz w:val="24"/>
          <w:szCs w:val="24"/>
        </w:rPr>
        <w:t>§ 4 pkt 2 projektu</w:t>
      </w:r>
      <w:r w:rsidR="00F92AF8" w:rsidRPr="009A3C86">
        <w:rPr>
          <w:rFonts w:ascii="Times New Roman" w:hAnsi="Times New Roman"/>
          <w:sz w:val="24"/>
          <w:szCs w:val="24"/>
        </w:rPr>
        <w:t>,</w:t>
      </w:r>
      <w:r w:rsidRPr="009A3C86">
        <w:rPr>
          <w:rFonts w:ascii="Times New Roman" w:hAnsi="Times New Roman"/>
          <w:sz w:val="24"/>
          <w:szCs w:val="24"/>
        </w:rPr>
        <w:t xml:space="preserve"> zgodnie z którym, jeżeli w postępowaniu podatkowym organ podatkowy stwierdzi, że podatnik nie złożył deklaracji, nie wykazał w deklaracji straty lub wysokość poniesionej straty różni się od wysokości wykazanej w deklaracji, a poniesienie straty zgodnie z przepisami prawa podatkowego uprawnia go do skorzystania z ulg podatkowych, określa wysokość straty. </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52. Z kolei </w:t>
      </w:r>
      <w:r w:rsidRPr="009A3C86">
        <w:rPr>
          <w:rFonts w:ascii="Times New Roman" w:hAnsi="Times New Roman"/>
          <w:b/>
          <w:sz w:val="24"/>
          <w:szCs w:val="24"/>
        </w:rPr>
        <w:t>art. 13 pkt 21</w:t>
      </w:r>
      <w:r w:rsidRPr="009A3C86">
        <w:rPr>
          <w:rFonts w:ascii="Times New Roman" w:hAnsi="Times New Roman"/>
          <w:sz w:val="24"/>
          <w:szCs w:val="24"/>
        </w:rPr>
        <w:t xml:space="preserve"> projektu ordynacji podatkowej zawiera definicję ustaw podatkowych. Przepis ten jest zmodyfikowanym odpowiednikiem obowiązującego art. 3 pkt 1 o.p. W nowej definicji jako element świadczący o tym, że mamy do czynienia z ustawą podatkową, dodano tryb i warunki płatności. W doktrynie niemal powszechnie wskazuje się bowiem, że do elementów konstrukcji podatku, różnych dla poszczególnych podatków, należy także zaliczyć tryb i warunki płatności</w:t>
      </w:r>
      <w:r w:rsidRPr="009A3C86">
        <w:rPr>
          <w:rFonts w:ascii="Times New Roman" w:hAnsi="Times New Roman"/>
          <w:sz w:val="24"/>
          <w:szCs w:val="24"/>
          <w:vertAlign w:val="superscript"/>
        </w:rPr>
        <w:footnoteReference w:id="70"/>
      </w:r>
      <w:r w:rsidRPr="009A3C86">
        <w:rPr>
          <w:rFonts w:ascii="Times New Roman" w:hAnsi="Times New Roman"/>
          <w:sz w:val="24"/>
          <w:szCs w:val="24"/>
        </w:rPr>
        <w:t>. W nowej definicji ustaw podatkowych określenie „prawa i obowiązki organów podatkowych” zastąpiono sformułowaniem „kompetencje organów podatkowych”. Organ podatkowy jako organ administracji publicznej został wyposażony przez ustawodawcę nie w prawa i obowiązki, ale w kompetencje, które są zdolnością takiego organu do skonkretyzowanego aktualizowania potencjalnego, sformułowanego przez prawo obowiązku działania. Organ podatkowy ma zatem możność i jednocześnie obowiązek korzystania z określonej formy działania, tzn. że ma obowiązek czynić użytek z kompetencji.</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W zaproponowanej definicji celowo odstąpiono od rozwiązania zastosowanego w obowiązującym art. 3 pkt 1 o.p., zgodnie z którym do ustawy podatkowej zaliczono w szczególności ustawy dotyczące podatków, ale także opłat oraz niepodatkowych należności budżetowych. Co prawda w art. 13 pkt 9 projektu ordynacji podatkowej, zawierającym definicję zakresową podatku, do kategorii tej zaliczono również opłaty i niepodatkowe należności budżetowe, nie oznacza to jednak, że ustawa podatkowa dotyczy podatków, ale także opłat oraz niepodatkowych należności budżetowych. Tak skonstruowana definicja ustawy podatkowej nie zawiera zatem błędu logicznego poprzez ujęcie do tej kategorii ustaw dotyczących opłat i niepodatkowych należności budżetowych</w:t>
      </w:r>
      <w:r w:rsidRPr="009A3C86">
        <w:rPr>
          <w:rFonts w:ascii="Times New Roman" w:hAnsi="Times New Roman"/>
          <w:sz w:val="24"/>
          <w:szCs w:val="24"/>
          <w:vertAlign w:val="superscript"/>
        </w:rPr>
        <w:footnoteReference w:id="71"/>
      </w:r>
      <w:r w:rsidRPr="009A3C86">
        <w:rPr>
          <w:rFonts w:ascii="Times New Roman" w:hAnsi="Times New Roman"/>
          <w:sz w:val="24"/>
          <w:szCs w:val="24"/>
        </w:rPr>
        <w:t>.</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Zaproponowana definicja pojęcia „ustawa podatkowa” w żadnej mierze nie pozostaje w sprzeczności z art. 217 Konstytucji RP, który to przepis ma zupełnie innych charakter, a mianowicie wprowadza wymóg ustawowej regulacji wskazanych w nim elementów konstrukcyjnych podatku. Zauważyć również należy, że w art. 217 Konstytucji nie posłużono </w:t>
      </w:r>
      <w:r w:rsidRPr="009A3C86">
        <w:rPr>
          <w:rFonts w:ascii="Times New Roman" w:hAnsi="Times New Roman"/>
          <w:sz w:val="24"/>
          <w:szCs w:val="24"/>
        </w:rPr>
        <w:lastRenderedPageBreak/>
        <w:t xml:space="preserve">się określeniem „ustawa podatkowa”, ale „ustawa”. Określenie „ustawa podatkowa” w projekcie występuje w szczególności w art. 3, art. 5, art. 9, art. </w:t>
      </w:r>
      <w:r w:rsidR="00D21137" w:rsidRPr="009A3C86">
        <w:rPr>
          <w:rFonts w:ascii="Times New Roman" w:hAnsi="Times New Roman"/>
          <w:sz w:val="24"/>
          <w:szCs w:val="24"/>
        </w:rPr>
        <w:t>33</w:t>
      </w:r>
      <w:r w:rsidRPr="009A3C86">
        <w:rPr>
          <w:rFonts w:ascii="Times New Roman" w:hAnsi="Times New Roman"/>
          <w:sz w:val="24"/>
          <w:szCs w:val="24"/>
        </w:rPr>
        <w:t xml:space="preserve">, art. </w:t>
      </w:r>
      <w:r w:rsidR="00D21137" w:rsidRPr="009A3C86">
        <w:rPr>
          <w:rFonts w:ascii="Times New Roman" w:hAnsi="Times New Roman"/>
          <w:sz w:val="24"/>
          <w:szCs w:val="24"/>
        </w:rPr>
        <w:t>35</w:t>
      </w:r>
      <w:r w:rsidRPr="009A3C86">
        <w:rPr>
          <w:rFonts w:ascii="Times New Roman" w:hAnsi="Times New Roman"/>
          <w:sz w:val="24"/>
          <w:szCs w:val="24"/>
        </w:rPr>
        <w:t xml:space="preserve">, art. </w:t>
      </w:r>
      <w:r w:rsidR="00F97E3D" w:rsidRPr="009A3C86">
        <w:rPr>
          <w:rFonts w:ascii="Times New Roman" w:hAnsi="Times New Roman"/>
          <w:sz w:val="24"/>
          <w:szCs w:val="24"/>
        </w:rPr>
        <w:t>129</w:t>
      </w:r>
      <w:r w:rsidR="00BE274F" w:rsidRPr="009A3C86">
        <w:rPr>
          <w:rFonts w:ascii="Times New Roman" w:hAnsi="Times New Roman"/>
          <w:sz w:val="24"/>
          <w:szCs w:val="24"/>
        </w:rPr>
        <w:t xml:space="preserve"> pkt 1</w:t>
      </w:r>
      <w:r w:rsidRPr="009A3C86">
        <w:rPr>
          <w:rFonts w:ascii="Times New Roman" w:hAnsi="Times New Roman"/>
          <w:sz w:val="24"/>
          <w:szCs w:val="24"/>
        </w:rPr>
        <w:t xml:space="preserve">. Konieczność stworzenia definicji „ustawy podatkowej” ma istotny aspekt techniczny. Otóż w projekcie używa się pojęcia „ustawa” wskazującym na Nową Ordynację podatkową (np. art. </w:t>
      </w:r>
      <w:r w:rsidRPr="009A3C86">
        <w:rPr>
          <w:rFonts w:ascii="Times New Roman" w:hAnsi="Times New Roman"/>
          <w:bCs/>
          <w:sz w:val="24"/>
          <w:szCs w:val="24"/>
        </w:rPr>
        <w:t xml:space="preserve">2 </w:t>
      </w:r>
      <w:r w:rsidRPr="009A3C86">
        <w:rPr>
          <w:rFonts w:ascii="Times New Roman" w:hAnsi="Times New Roman"/>
          <w:sz w:val="24"/>
          <w:szCs w:val="24"/>
        </w:rPr>
        <w:t>§ 3, art. 11, art. 12). Ponadto używa się określenia „ustawy”, które odnosi się do innych aktów prawnych rangi ustawowej (np. art. 6, art. 7).</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W sprawie zgodności definicji pojęcia „ustawa podatkowa” i „przepisy prawa podatkowego” z Konstytucją RP wypowiedział się TK w wyroku z dnia 9 listopada 1999 r. (K 28/98), stwierdzając, że definicje te są zgodne z art. 217 Konstytucji.</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53. Zgodnie z </w:t>
      </w:r>
      <w:r w:rsidRPr="009A3C86">
        <w:rPr>
          <w:rFonts w:ascii="Times New Roman" w:hAnsi="Times New Roman"/>
          <w:b/>
          <w:sz w:val="24"/>
          <w:szCs w:val="24"/>
        </w:rPr>
        <w:t>art. 13 pkt 22</w:t>
      </w:r>
      <w:r w:rsidRPr="009A3C86">
        <w:rPr>
          <w:rFonts w:ascii="Times New Roman" w:hAnsi="Times New Roman"/>
          <w:sz w:val="24"/>
          <w:szCs w:val="24"/>
        </w:rPr>
        <w:t xml:space="preserve"> projektu ordynacji podatkowej zarząd sukcesyjny to zarząd sukcesyjny w rozumieniu ustawy z dnia 5 lipca 2018 r. o zarządzie sukcesyjnym przedsiębiorstwem osoby fizycznej. Przepis ten stanowi odwzorowanie art. 3 pkt 17 o.p.</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 xml:space="preserve">54. Zgodnie z </w:t>
      </w:r>
      <w:r w:rsidRPr="009A3C86">
        <w:rPr>
          <w:rFonts w:ascii="Times New Roman" w:hAnsi="Times New Roman"/>
          <w:b/>
          <w:sz w:val="24"/>
          <w:szCs w:val="24"/>
        </w:rPr>
        <w:t>art. 13 pkt 23</w:t>
      </w:r>
      <w:r w:rsidRPr="009A3C86">
        <w:rPr>
          <w:rFonts w:ascii="Times New Roman" w:hAnsi="Times New Roman"/>
          <w:sz w:val="24"/>
          <w:szCs w:val="24"/>
        </w:rPr>
        <w:t xml:space="preserve"> projektu ordynacji podatkowej, ilekroć w ustawie jest mowa o zobowiązanym, rozumie się przez to: podatnika, płatnika, inkasenta, osobę trzecią i następcę prawnego. Jest to nowe pojęcie na gruncie prawa podatkowego. Przepis ten zawiera definicję zakresową zobowiązanego. Uregulowanie tej definicji ma znaczenie wyłącznie techniczne. Merytorycznie na pojęcie zobowiązanego składa się zbiór wszystkich podmiotów biernych stosunku podatkowoprawnego. Każdy z wymienionych w tym przepisie rodzajowo podmiotów jest zatem zobowiązanym w rozumieniu tego projektu ordynacji podatkowej.</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Podkreślenia wymaga, że na gruncie różnych aktów prawnych, w tym zwłaszcza w różnych dziedzinach prawa, to samo pojęcie może mieć różne znaczenia. Zakaz wykładni homonimicznej obowiązuje w obrębie danego aktu lub gałęzi prawa. Ordynacja podatkowa i ustawa o postępowaniu egzekucyjnym w administracji są aktami prawnymi z różnych gałęzi prawa. Zobowiązany został zdefiniowany w art. 1a pkt 20 u.p.e.a. Jednocześnie jednak pojęciem zobowiązanego posługuje się np. kodeks cywilny, prawo wekslowe, Kodeks rodzinny i opiekuńczy, prawo przewozowe, prawo celne, prawo budowlane.</w:t>
      </w:r>
    </w:p>
    <w:p w:rsidR="00A0038F" w:rsidRPr="009A3C86" w:rsidRDefault="00A0038F" w:rsidP="00A0038F">
      <w:pPr>
        <w:spacing w:after="0" w:line="360" w:lineRule="auto"/>
        <w:jc w:val="both"/>
        <w:rPr>
          <w:rFonts w:ascii="Times New Roman" w:hAnsi="Times New Roman"/>
          <w:sz w:val="24"/>
          <w:szCs w:val="24"/>
        </w:rPr>
      </w:pPr>
      <w:r w:rsidRPr="009A3C86">
        <w:rPr>
          <w:rFonts w:ascii="Times New Roman" w:hAnsi="Times New Roman"/>
          <w:sz w:val="24"/>
          <w:szCs w:val="24"/>
        </w:rPr>
        <w:t>5</w:t>
      </w:r>
      <w:r w:rsidR="007940D0" w:rsidRPr="009A3C86">
        <w:rPr>
          <w:rFonts w:ascii="Times New Roman" w:hAnsi="Times New Roman"/>
          <w:sz w:val="24"/>
          <w:szCs w:val="24"/>
        </w:rPr>
        <w:t>5</w:t>
      </w:r>
      <w:r w:rsidRPr="009A3C86">
        <w:rPr>
          <w:rFonts w:ascii="Times New Roman" w:hAnsi="Times New Roman"/>
          <w:sz w:val="24"/>
          <w:szCs w:val="24"/>
        </w:rPr>
        <w:t xml:space="preserve">. Natomiast </w:t>
      </w:r>
      <w:r w:rsidRPr="009A3C86">
        <w:rPr>
          <w:rFonts w:ascii="Times New Roman" w:hAnsi="Times New Roman"/>
          <w:b/>
          <w:sz w:val="24"/>
          <w:szCs w:val="24"/>
        </w:rPr>
        <w:t>art. 13 pkt 24</w:t>
      </w:r>
      <w:r w:rsidRPr="009A3C86">
        <w:rPr>
          <w:rFonts w:ascii="Times New Roman" w:hAnsi="Times New Roman"/>
          <w:sz w:val="24"/>
          <w:szCs w:val="24"/>
        </w:rPr>
        <w:t xml:space="preserve"> projektu ordynacji podatkowej zawiera definicję zwrotu podatku. Przepis ten jest zmodyfikowanym odpowiednikiem obowiązującego art. 3 pkt 7 o.p. Modyfikacja wiąże się z użyciem w przepisie sformułowania „inne przypadki zwrotu podatku” zamiast „inne formy zwrotu podatku”. Zmiana ma charakter doprecyzowujący.</w:t>
      </w:r>
    </w:p>
    <w:p w:rsidR="00FA30AA" w:rsidRPr="009A3C86" w:rsidRDefault="00FA30AA" w:rsidP="00D72E74">
      <w:pPr>
        <w:tabs>
          <w:tab w:val="num" w:pos="720"/>
        </w:tabs>
        <w:spacing w:before="120" w:after="0" w:line="360" w:lineRule="auto"/>
        <w:jc w:val="both"/>
        <w:outlineLvl w:val="2"/>
        <w:rPr>
          <w:rFonts w:ascii="Times New Roman" w:hAnsi="Times New Roman"/>
          <w:b/>
          <w:bCs/>
          <w:sz w:val="24"/>
          <w:szCs w:val="24"/>
        </w:rPr>
      </w:pPr>
      <w:bookmarkStart w:id="7" w:name="_Toc494363221"/>
      <w:bookmarkStart w:id="8" w:name="_Toc483413589"/>
      <w:r w:rsidRPr="009A3C86">
        <w:rPr>
          <w:rFonts w:ascii="Times New Roman" w:hAnsi="Times New Roman"/>
          <w:b/>
          <w:bCs/>
          <w:sz w:val="24"/>
          <w:szCs w:val="24"/>
        </w:rPr>
        <w:t>Rozdział 2. Zasady ogólne prawa podatkowego</w:t>
      </w:r>
      <w:bookmarkEnd w:id="7"/>
      <w:bookmarkEnd w:id="8"/>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 W najszerszym ujęciu zasady prawa są normami o szczególnym znaczeniu dla danego systemu prawa, determinującymi stanowienie i stosowanie przepisów prawa. Wprowadzając </w:t>
      </w:r>
      <w:r w:rsidRPr="009A3C86">
        <w:rPr>
          <w:rFonts w:ascii="Times New Roman" w:hAnsi="Times New Roman"/>
          <w:sz w:val="24"/>
          <w:szCs w:val="24"/>
        </w:rPr>
        <w:lastRenderedPageBreak/>
        <w:t>katalog zasad prawa podatkowego, postanowiono ograniczyć go do norm determinujących stosowanie regulacji prawnych z zakresu prawa podatkowego. Poza zakresem skodyfikowanych w przepisach ogólnego prawa podatkowego zasad prawa podatkowego pozostają natomiast reguły stanowienia prawa podatkowego. Materia tworzenia prawa jest regulowana w Konstytucji RP. Nie ma w tym przypadku potrzeby powtarzania norm tego aktu prawnego w nowej ordynacji podatkowej. Jest to także uzasadnione zakresem przedmiotowym ogólnego prawa podatkowego. Skoro bowiem ordynacja podatkowa nie normuje procesu tworzenia prawa, brak również podstaw do tego, aby kształtować w niej naczelne zasady jego stanowienia (w odniesieniu do norm prawa podatkowego)</w:t>
      </w:r>
      <w:r w:rsidRPr="009A3C86">
        <w:rPr>
          <w:rFonts w:ascii="Times New Roman" w:hAnsi="Times New Roman"/>
          <w:sz w:val="24"/>
          <w:szCs w:val="24"/>
          <w:vertAlign w:val="superscript"/>
        </w:rPr>
        <w:footnoteReference w:id="72"/>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Zasady prawa podatkowego są elementem projektu ordynacji podatkowej, który nie ma swojego bezpośredniego i pełnego odpowiednika w obowiązujących przepisach ogólnego prawa podatkowego. W obecnym unormowaniu fragmentaryczna regulacja problematyki zasad została bowiem ujęta w dziale IV ustawy poświęconym postępowaniu podatkowemu, zaś z mocy odesłań zawartych w dalszych przepisach obowiązującej o.p. ma ona zastosowanie w odniesieniu do czynności sprawdzających, kontroli podatkowej, zaświadczeń, jak również – w ograniczonym zakresie – podczas wydawania indywidualnych interpretacji przepisów prawa podatkowego. Jednocześnie część tej regulacji – z uwagi na jej uniwersalną treść – stosowana jest także w obszarze materialnego prawa podatkowego. Dotyczy to w szczególności zasady legalizmu (art. 120 obowiązującej o.p.) lub zasady zaufania (art. 121 § 1 obowiązującej o.p.). Obrazu pewnej niekonsekwencji w ukształtowaniu zasad prawa podatkowego w obowiązujących przepisach dopełnia to, że bardzo istotna norma – nakaz rozstrzygania wątpliwości na korzyść podatnika (zasada </w:t>
      </w:r>
      <w:r w:rsidRPr="009A3C86">
        <w:rPr>
          <w:rFonts w:ascii="Times New Roman" w:hAnsi="Times New Roman"/>
          <w:i/>
          <w:iCs/>
          <w:sz w:val="24"/>
          <w:szCs w:val="24"/>
        </w:rPr>
        <w:t>in dubio pro tributario</w:t>
      </w:r>
      <w:r w:rsidRPr="009A3C86">
        <w:rPr>
          <w:rFonts w:ascii="Times New Roman" w:hAnsi="Times New Roman"/>
          <w:sz w:val="24"/>
          <w:szCs w:val="24"/>
        </w:rPr>
        <w:t xml:space="preserve">) - obecnie ujmowana jest w jeszcze innej części o.p., tj. w przepisach ogólnych tej ustawy.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Wszystkie te okoliczności skutkują „eklektyzmem” regulacji prawnej. Materia ta wymaga uporządkowania. Jednocześnie dla zapewnienia właściwej ochrony podmiotu zobowiązanego (w tym podatnika) właściwe jest sformułowanie zasad, które nie są wyrażone w aktualnie obowiązujących przepisach, można je natomiast wyprowadzić z postanowień Konstytucji RP. Potrzeba sformułowania zasad ogólnych prawa podatkowego wielokrotnie była wyrażana w polskiej doktrynie prawa podatkowego</w:t>
      </w:r>
      <w:r w:rsidRPr="009A3C86">
        <w:rPr>
          <w:rFonts w:ascii="Times New Roman" w:hAnsi="Times New Roman"/>
          <w:sz w:val="24"/>
          <w:szCs w:val="24"/>
          <w:vertAlign w:val="superscript"/>
        </w:rPr>
        <w:footnoteReference w:id="73"/>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2. Badania prawnoporównawcze pozwalają zauważyć, że nie jest standardem posługiwanie się w przepisach ogólnego prawa podatkowego poszczególnych państw europejskich katalogiem zasad prawa podatkowego. Istnieją bowiem systemy prawne, w których brak jest zasad prawa podatkowego o charakterze normatywnym wprost ujętych w przepisach ordynacji podatkowej lub są one rozsiane w poszczególnych regulacjach proceduralnych (np. w Niemczech i Austrii). W tych przypadkach zasady prawa podatkowego mogą być wyprowadzane z poszczególnych przepisów prawa podatkowego. Jednocześnie jednak dają się zauważyć konstrukcje z zakresu ogólnego prawa podatkowego cechujące się tym, że ustawodawca ukształtował w nich naczelne zasady tej dziedziny prawa mające charakter norm prawnych (np. w Hiszpanii, Czechach, Serbii, Bułgarii, na Węgrzech). W tych sytuacjach zasady prawa podatkowego są </w:t>
      </w:r>
      <w:r w:rsidRPr="009A3C86">
        <w:rPr>
          <w:rFonts w:ascii="Times New Roman" w:hAnsi="Times New Roman"/>
          <w:iCs/>
          <w:sz w:val="24"/>
          <w:szCs w:val="24"/>
        </w:rPr>
        <w:t>wprost</w:t>
      </w:r>
      <w:r w:rsidRPr="009A3C86">
        <w:rPr>
          <w:rFonts w:ascii="Times New Roman" w:hAnsi="Times New Roman"/>
          <w:sz w:val="24"/>
          <w:szCs w:val="24"/>
        </w:rPr>
        <w:t xml:space="preserve"> wskazywane w akcie prawnym regulującym ogólne prawo podatkowe</w:t>
      </w:r>
      <w:r w:rsidRPr="009A3C86">
        <w:rPr>
          <w:rFonts w:ascii="Times New Roman" w:hAnsi="Times New Roman"/>
          <w:sz w:val="24"/>
          <w:szCs w:val="24"/>
          <w:vertAlign w:val="superscript"/>
        </w:rPr>
        <w:footnoteReference w:id="74"/>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Biorąc pod uwagę polskie doświadczenia, świadomość prawną polskich podatników, a także stan polskiego prawa podatkowego, właściwym rozwiązaniem jest bezpośrednie zdefiniowanie w nowej ordynacji podatkowej zasad ogólnych prawa podatkowego jako naczelnych norm determinujących proces stosowania przepisów prawa podatkowego. Za takim stanowiskiem przemawia fakt, że w prawie podatkowym – dzięki wysiłkom orzecznictwa oraz doktryny – wykształcił się już pewien system wartości, który należy chronić nie tylko przez właściwe modelowanie regulacji prawnej, ale także poprzez wyraźne sformułowanie zasad tej dziedziny prawa</w:t>
      </w:r>
      <w:r w:rsidR="007F1D3E" w:rsidRPr="009A3C86">
        <w:rPr>
          <w:rFonts w:ascii="Times New Roman" w:hAnsi="Times New Roman"/>
          <w:sz w:val="24"/>
          <w:szCs w:val="24"/>
        </w:rPr>
        <w:t>.</w:t>
      </w:r>
      <w:r w:rsidRPr="009A3C86">
        <w:rPr>
          <w:rFonts w:ascii="Times New Roman" w:hAnsi="Times New Roman"/>
          <w:sz w:val="24"/>
          <w:szCs w:val="24"/>
        </w:rPr>
        <w:t xml:space="preserve"> Te zwerbalizowane zasady często zyskują normatywne odzwierciedlenie i wsparcie w konkretnych przepisach ogólnego lub szczegółowego prawa podatkowego</w:t>
      </w:r>
      <w:r w:rsidRPr="009A3C86">
        <w:rPr>
          <w:rFonts w:ascii="Times New Roman" w:hAnsi="Times New Roman"/>
          <w:sz w:val="24"/>
          <w:szCs w:val="24"/>
          <w:vertAlign w:val="superscript"/>
        </w:rPr>
        <w:footnoteReference w:id="75"/>
      </w:r>
      <w:r w:rsidRPr="009A3C86">
        <w:rPr>
          <w:rFonts w:ascii="Times New Roman" w:hAnsi="Times New Roman"/>
          <w:sz w:val="24"/>
          <w:szCs w:val="24"/>
        </w:rPr>
        <w:t>. Nie zawsze jednak tak będzie – niekiedy jedyną formą wsparcia dla podmiotu zobowiązanego stanie się zasada wprost sformułowana w nowej ordynacji podatkowej. Ma to szczególne znaczenie w odniesieniu do naczelnych dyrektyw prawa podatkowego, które dotyczą wykładni jego przepisów.</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Szereg zasad nowo przyjętych w projekcie ma swoje odpowiedniki w ustawie z dnia 14 czerwca 1960 r. – Kodeks postępowania administracyjnego</w:t>
      </w:r>
      <w:r w:rsidRPr="009A3C86">
        <w:rPr>
          <w:rFonts w:ascii="Times New Roman" w:hAnsi="Times New Roman"/>
          <w:sz w:val="24"/>
          <w:szCs w:val="24"/>
          <w:vertAlign w:val="superscript"/>
        </w:rPr>
        <w:footnoteReference w:id="76"/>
      </w:r>
      <w:r w:rsidRPr="009A3C86">
        <w:rPr>
          <w:rFonts w:ascii="Times New Roman" w:hAnsi="Times New Roman"/>
          <w:sz w:val="24"/>
          <w:szCs w:val="24"/>
        </w:rPr>
        <w:t>, Kodeksie Dobrej Administracji</w:t>
      </w:r>
      <w:r w:rsidRPr="009A3C86">
        <w:rPr>
          <w:rFonts w:ascii="Times New Roman" w:hAnsi="Times New Roman"/>
          <w:sz w:val="24"/>
          <w:szCs w:val="24"/>
          <w:vertAlign w:val="superscript"/>
        </w:rPr>
        <w:footnoteReference w:id="77"/>
      </w:r>
      <w:r w:rsidRPr="009A3C86">
        <w:rPr>
          <w:rFonts w:ascii="Times New Roman" w:hAnsi="Times New Roman"/>
          <w:sz w:val="24"/>
          <w:szCs w:val="24"/>
        </w:rPr>
        <w:t>, Europejskim Kodeksie Dobrej Praktyki Administracyjnej</w:t>
      </w:r>
      <w:r w:rsidRPr="009A3C86">
        <w:rPr>
          <w:rFonts w:ascii="Times New Roman" w:hAnsi="Times New Roman"/>
          <w:sz w:val="24"/>
          <w:szCs w:val="24"/>
          <w:vertAlign w:val="superscript"/>
        </w:rPr>
        <w:footnoteReference w:id="78"/>
      </w:r>
      <w:r w:rsidRPr="009A3C86">
        <w:rPr>
          <w:rFonts w:ascii="Times New Roman" w:hAnsi="Times New Roman"/>
          <w:sz w:val="24"/>
          <w:szCs w:val="24"/>
        </w:rPr>
        <w:t>, Kodeksie podatników Unii Europejskiej</w:t>
      </w:r>
      <w:r w:rsidRPr="009A3C86">
        <w:rPr>
          <w:rFonts w:ascii="Times New Roman" w:hAnsi="Times New Roman"/>
          <w:sz w:val="24"/>
          <w:szCs w:val="24"/>
          <w:vertAlign w:val="superscript"/>
        </w:rPr>
        <w:footnoteReference w:id="79"/>
      </w:r>
      <w:r w:rsidRPr="009A3C86">
        <w:rPr>
          <w:rFonts w:ascii="Times New Roman" w:hAnsi="Times New Roman"/>
          <w:sz w:val="24"/>
          <w:szCs w:val="24"/>
        </w:rPr>
        <w:t>, Modelu karty podatnika CFE, AOTCA i STEP</w:t>
      </w:r>
      <w:r w:rsidRPr="009A3C86">
        <w:rPr>
          <w:rFonts w:ascii="Times New Roman" w:hAnsi="Times New Roman"/>
          <w:sz w:val="24"/>
          <w:szCs w:val="24"/>
          <w:vertAlign w:val="superscript"/>
          <w:lang w:val="en-US"/>
        </w:rPr>
        <w:footnoteReference w:id="80"/>
      </w:r>
      <w:r w:rsidRPr="009A3C86">
        <w:rPr>
          <w:rFonts w:ascii="Times New Roman" w:hAnsi="Times New Roman"/>
          <w:sz w:val="24"/>
          <w:szCs w:val="24"/>
        </w:rPr>
        <w:t xml:space="preserve"> oraz w projekcie ustawy – Przepisy ogólne prawa administracyjnego</w:t>
      </w:r>
      <w:r w:rsidRPr="009A3C86">
        <w:rPr>
          <w:rFonts w:ascii="Times New Roman" w:hAnsi="Times New Roman"/>
          <w:sz w:val="24"/>
          <w:szCs w:val="24"/>
          <w:vertAlign w:val="superscript"/>
        </w:rPr>
        <w:footnoteReference w:id="81"/>
      </w:r>
      <w:r w:rsidRPr="009A3C86">
        <w:rPr>
          <w:rFonts w:ascii="Times New Roman" w:hAnsi="Times New Roman"/>
          <w:sz w:val="24"/>
          <w:szCs w:val="24"/>
        </w:rPr>
        <w:t>, a także w aktach prawnych lub niewiążących dokumentach programowych innych państw. W warstwie językowej – co naturalne – zasady ogólne ukształtowane w projekcie nie kopiują wiernie rozwiązań przyjętych w wymienionych aktach i dokumentach. W szczególności wynika to z założenia, że zasady ogólne powinny być formułowane kategorycznie i zwięźle (co w przypadku powołanych źródeł nie jest regułą).</w:t>
      </w:r>
    </w:p>
    <w:p w:rsidR="00B355D2" w:rsidRPr="009A3C86" w:rsidRDefault="00DB40BD"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Projekt ustawy – Ordynacja podatkowa jest projektem aktu prawnego rangi kodeksowej, równorzędnemu k.p.a. Zasady ogólne zawarte w k.p.a. nie mogą znaleźć bezpośredniego i pełnego odzwierciedlenia w akcie prawnym z zakresu ogólnego prawa podatkowego. Przykładem nieadekwatności regulacji zawartej w k.p.a. do dziedziny prawa podatkowego jest art. 7a § 2 określający wyjątki od zasady in dubio pro tributario.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3. Z powodów, o których była mowa wcześniej, przede wszystkim mając na względzie uniwersalny charakter zasad i potrzebę ich usystematyzowania (uporządkowania), zdecydowano się na stworzenie jednego katalogu zasad mających zastosowanie do całego prawa podatkowego. Obejmuje on również te z nich, które w obecnym stanie prawnym </w:t>
      </w:r>
      <w:r w:rsidRPr="009A3C86">
        <w:rPr>
          <w:rFonts w:ascii="Times New Roman" w:hAnsi="Times New Roman"/>
          <w:sz w:val="24"/>
          <w:szCs w:val="24"/>
        </w:rPr>
        <w:lastRenderedPageBreak/>
        <w:t xml:space="preserve">umieszczone są w dziale IV o.p. regulującym postępowanie podatkowe oraz zasadę rozstrzygania wątpliwości na korzyść podatnika, aktualnie normatywizowaną w art. 2a o.p.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Zasady ogólne mają zastosowanie do wszelkich działań podejmowanych na podstawie nowej ordynacji podatkowej, w tym do wszystkich procedur podatkowych. Wobec usytuowania zasad ogólnych w dziale I nie ma potrzeby stosowania odesłań w dziale III oraz poszczególnych rozdziałach działu IV.</w:t>
      </w:r>
    </w:p>
    <w:p w:rsidR="007B766E" w:rsidRPr="009A3C86" w:rsidRDefault="007B766E"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Jednocześnie w stosunkach z zobowiązanymi będącymi przedsiębiorcami znajdują zastosowanie zasady ujęte w ustawie Prawo przedsiębiorców (art. 2 oraz art. 8-15 ustawy).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4. Jeżeli chodzi o kolejność zasad, ostatecznie zdecydowano się na ich porządek oparty na przejrzystym i spójnym kryterium pozwalającym wyeliminować przypadkowość w projektowanej regulacji prawnej. Ustanowiono: zasady programowe; zasady dotyczące statusu zobowiązanego; zasady dotyczące sposobu działania organów podatkowych i załatwiania spraw podatkowych; zasady dotyczące postępowania podatkowego.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Zasady programowe stanowią najbardziej ogólne i uniwersalne dyrektywy postępowania. Do zasad tych należą: zasada legalizmu oraz zasada uwzględniania konstrukcji podatku.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Zasady dotyczące statusu zobowiązanego kształtują ramy relacji między zobowiązanymi i organami podatkowymi – dyktują podstawowe dyrektywy, które rządzą tymi relacjami, a w szczególności nastawieniem organów podatkowych do zobowiązanych. Do zasad tych należą: zasada informowania i wsparcia, współdziałania zobowiązanego z organami podatkowymi, rozstrzygania wątpliwości co do treści przepisów prawa na korzyść zobowiązanego.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Na trzecią, najobszerniejszą grupę zasad dotyczących sposobu działania organów podatkowych i załatwiania spraw podatkowych, składają się: zasada zaufania, </w:t>
      </w:r>
      <w:r w:rsidR="009E5038" w:rsidRPr="009A3C86">
        <w:rPr>
          <w:rFonts w:ascii="Times New Roman" w:hAnsi="Times New Roman"/>
          <w:sz w:val="24"/>
          <w:szCs w:val="24"/>
        </w:rPr>
        <w:t xml:space="preserve">domniemania uczciwości zobowiązanego, </w:t>
      </w:r>
      <w:r w:rsidRPr="009A3C86">
        <w:rPr>
          <w:rFonts w:ascii="Times New Roman" w:hAnsi="Times New Roman"/>
          <w:sz w:val="24"/>
          <w:szCs w:val="24"/>
        </w:rPr>
        <w:t>bezstronności i równego traktowania, uzasadnionych oczekiwań, proporcjonalności, celowości i efektywności, pragmatyzmu, prawdy obiektywnej, rozstrzygania wątpliwości co do stanu faktycznego na korzyść zobowiązanego, szybkości i prostoty załatwiania spraw, ograniczonego gromadzenia dokumentów i informacji, wyważania interesu zobowiązanego i interesu publicznego, czynnego udziału strony, przekonywania, ugodowego załatwiania spraw, pisemności.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Kolejne zasady dotyczą postępowania podatkowego – zgodnie z utrwalonym kanonem określają podstawowe założenia tego postępowania (te z nich, które nie były objęte poprzedzającymi zasadami). W tej grupie zostały ujęte: zasada jawności wyłącznie dla stron, dwuinstancyjności, trwałości decyzji ostatecznych.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5. Poniższe omówienie daje pogląd na to, jaka jest normatywna treść poszczególnych zasad i pozwala uchwycić ich pokrewieństwo z zasadami wyrażonymi w innych aktach prawnych oraz dokumentach programowych. </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legalizmu (praworządności)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wyrażona w </w:t>
      </w:r>
      <w:r w:rsidRPr="009A3C86">
        <w:rPr>
          <w:rFonts w:ascii="Times New Roman" w:hAnsi="Times New Roman"/>
          <w:b/>
          <w:sz w:val="24"/>
          <w:szCs w:val="24"/>
        </w:rPr>
        <w:t>art. 14</w:t>
      </w:r>
      <w:r w:rsidRPr="009A3C86">
        <w:rPr>
          <w:rFonts w:ascii="Times New Roman" w:hAnsi="Times New Roman"/>
          <w:sz w:val="24"/>
          <w:szCs w:val="24"/>
        </w:rPr>
        <w:t xml:space="preserve"> projektu stanowi odpowiednik art. 120 obowiązującej ordynacji, korespondujący w swoim brzmieniu z art. 7 Konstytucji RP. Powtórzenie takie może uchodzić za zbędne. Zdecydowano jednak o nim, szanując tradycję obowiązywania zasady praworządności w o.p. oraz szczególną pozycję tej zasady jako nadrzędnej dyrektywy postępowania adresowanej do organów podatkowych.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Podobna zasada obowiązuje w art. 6 k.p.a. („Organy administracji publicznej działają na podstawie przepisów prawa”). Zasada legalności występuje także w art. 2 Kodeksu Dobrej Administracji</w:t>
      </w:r>
      <w:r w:rsidRPr="009A3C86">
        <w:rPr>
          <w:rFonts w:ascii="Times New Roman" w:hAnsi="Times New Roman"/>
          <w:sz w:val="24"/>
          <w:szCs w:val="24"/>
          <w:vertAlign w:val="superscript"/>
        </w:rPr>
        <w:footnoteReference w:id="82"/>
      </w:r>
      <w:r w:rsidRPr="009A3C86">
        <w:rPr>
          <w:rFonts w:ascii="Times New Roman" w:hAnsi="Times New Roman"/>
          <w:sz w:val="24"/>
          <w:szCs w:val="24"/>
        </w:rPr>
        <w:t>, w art. 4 Europejskiego Kodeksu Dobrej Praktyki Administracyjnej (jako zasada praworządności)</w:t>
      </w:r>
      <w:r w:rsidRPr="009A3C86">
        <w:rPr>
          <w:rFonts w:ascii="Times New Roman" w:hAnsi="Times New Roman"/>
          <w:sz w:val="24"/>
          <w:szCs w:val="24"/>
          <w:vertAlign w:val="superscript"/>
        </w:rPr>
        <w:footnoteReference w:id="83"/>
      </w:r>
      <w:r w:rsidRPr="009A3C86">
        <w:rPr>
          <w:rFonts w:ascii="Times New Roman" w:hAnsi="Times New Roman"/>
          <w:sz w:val="24"/>
          <w:szCs w:val="24"/>
        </w:rPr>
        <w:t xml:space="preserve"> oraz w Kodeksie podatników Unii Europejskiej (zasada legalności i pewności prawa, pkt 3.1.1). Została również zaproponowana w art. 13 projektu ustawy – Przepisy ogólne prawa administracyjnego</w:t>
      </w:r>
      <w:r w:rsidRPr="009A3C86">
        <w:rPr>
          <w:rFonts w:ascii="Times New Roman" w:hAnsi="Times New Roman"/>
          <w:sz w:val="24"/>
          <w:szCs w:val="24"/>
          <w:vertAlign w:val="superscript"/>
        </w:rPr>
        <w:footnoteReference w:id="84"/>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uwzględniania konstrukcji podatku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ujęta w </w:t>
      </w:r>
      <w:r w:rsidRPr="009A3C86">
        <w:rPr>
          <w:rFonts w:ascii="Times New Roman" w:hAnsi="Times New Roman"/>
          <w:b/>
          <w:sz w:val="24"/>
          <w:szCs w:val="24"/>
        </w:rPr>
        <w:t>art. 15</w:t>
      </w:r>
      <w:r w:rsidRPr="009A3C86">
        <w:rPr>
          <w:rFonts w:ascii="Times New Roman" w:hAnsi="Times New Roman"/>
          <w:sz w:val="24"/>
          <w:szCs w:val="24"/>
        </w:rPr>
        <w:t xml:space="preserve"> projektu, nakłada obowiązek uwzględniania konstrukcji podatku przy ustalaniu treści dotyczących tego podatku przepisów prawa podatkowego. Zasada ta ma w istocie charakter dyrektywy interpretacyjnej – dyktuje konieczność wydawania rozstrzygnięć podatkowych zgodnych z podstawowymi założeniami konstrukcyjnymi danego podatku.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Ustanowienie tej zasady ma na celu w szczególności zobowiązanie organów podatkowych do uwzględniania „struktury głębokiej” podatku. Ustawy podatkowe określają podstawowe </w:t>
      </w:r>
      <w:r w:rsidRPr="009A3C86">
        <w:rPr>
          <w:rFonts w:ascii="Times New Roman" w:hAnsi="Times New Roman"/>
          <w:sz w:val="24"/>
          <w:szCs w:val="24"/>
        </w:rPr>
        <w:lastRenderedPageBreak/>
        <w:t>elementy konstrukcyjne podatku oraz wzajemne między nimi relacje (strukturę tego podatku) – to wspólnie składa się na jego konstrukcję. Konstrukcja taka nie powinna być pomijana (zwłaszcza na niekorzyść zobowiązanego). Jej uwzględnianie służy racjonalności rozstrzygnięć.</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Przykłady praktyczne ukazujące w sposób konkretny, jak zasada ta będzie działać, można mnożyć. W szczególności, konstrukcja podatku od towarów i usług zakłada mechanizm naliczenia podatku przez podmiot dokonujący dostawy towaru lub usługi oraz jego odliczenia przez nabywcę. W braku wyraźnej podstawy prawnej prawo do odliczenia nie powinno być kwestionowane (konstrukcja podatku od towarów i usług kreuje domniemanie odliczenia podatku naliczonego).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 przypadku podatków dochodowych zasadą jest opodatkowanie dochodu, czyli nadwyżki przychodów nad kosztami ich uzyskania; to oznacza zwłaszcza, że w przypadku ujęcia w rachunku podatkowym przychodu podatnik jest również uprawniony do ujęcia korespondującego z tym przychodem kosztu jego uzyskania (z punktu widzenia konstrukcji podatku dochodowego należy zatem przyjąć domniemanie, że każdemu przychodowi towarzyszy koszt jego uzyskania). Z konstrukcji podatku dochodowego wynika również, że ten sam dochód tego samego podatnika nie powinien być opodatkowany więcej niż raz, a także, że jeżeli organ podatkowy określa zobowiązanie podatkowe w wysokości większej od deklarowanej przez podatnika, stwierdzając, że ten zaniżył przychód podatkowy w transakcji z podmiotem powiązanym, podmiot ten powinien być z kolei uprawniony do stosownego powiększenia kosztów uzyskania przychodów.</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informowania i wsparcia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ujęta w </w:t>
      </w:r>
      <w:r w:rsidRPr="009A3C86">
        <w:rPr>
          <w:rFonts w:ascii="Times New Roman" w:hAnsi="Times New Roman"/>
          <w:b/>
          <w:sz w:val="24"/>
          <w:szCs w:val="24"/>
        </w:rPr>
        <w:t>art. 16</w:t>
      </w:r>
      <w:r w:rsidRPr="009A3C86">
        <w:rPr>
          <w:rFonts w:ascii="Times New Roman" w:hAnsi="Times New Roman"/>
          <w:sz w:val="24"/>
          <w:szCs w:val="24"/>
        </w:rPr>
        <w:t xml:space="preserve"> projektu, zobowiązuje organy podatkowe do udzielania zobowiązanym informacji oraz wspierania go w samodzielnym, prawidłowym i dobrowolnym wykonywaniu obowiązków i korzystaniu z praw wynikających z przepisów prawa podatkowego. Pozycja tej zasady w katalogu zawartym w rozdziale 2 (w którym została wymieniona jako trzecia w kolejności) w zamierzeniu odzwierciedla jej wysoką rangę.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Większość polskich ustaw podatkowych posługuje się techniką samoobliczenia – zobowiązuje samych podatników do obliczenia i zadeklarowania należnego podatku. Warunkiem wywiązywania się przez podatników i innych zobowiązanych z tego oraz innych obowiązków wynikających z prawa podatkowego jest posiadanie przez nich wiedzy o tych obowiązkach – znajomość treści przepisów i ich rozumienie. Warunek ten czyni trudnym do spełnienia powszechnie znana i niekwestionowana charakterystyka prawa podatkowego, które jest </w:t>
      </w:r>
      <w:r w:rsidRPr="009A3C86">
        <w:rPr>
          <w:rFonts w:ascii="Times New Roman" w:hAnsi="Times New Roman"/>
          <w:sz w:val="24"/>
          <w:szCs w:val="24"/>
        </w:rPr>
        <w:lastRenderedPageBreak/>
        <w:t>niejasne, złożone i charakteryzuje się dużą zmiennością. Stawia to ogół zobowiązanych przed szczególnymi wyzwaniami</w:t>
      </w:r>
      <w:r w:rsidRPr="009A3C86">
        <w:rPr>
          <w:rFonts w:ascii="Times New Roman" w:hAnsi="Times New Roman"/>
          <w:sz w:val="24"/>
          <w:szCs w:val="24"/>
          <w:vertAlign w:val="superscript"/>
        </w:rPr>
        <w:footnoteReference w:id="85"/>
      </w:r>
      <w:r w:rsidRPr="009A3C86">
        <w:rPr>
          <w:rFonts w:ascii="Times New Roman" w:hAnsi="Times New Roman"/>
          <w:sz w:val="24"/>
          <w:szCs w:val="24"/>
        </w:rPr>
        <w:t>, w obliczu których nie powinni być pozostawieni sami sobie.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Organy podatkowe są powołane do tego, by ułatwiać uczciwym zobowiązanym (czyli zdecydowanej ich większości) prawidłowe wypełnianie obowiązku dostarczenia władzy publicznej środków pieniężnych koniecznych do zaspokojenia potrzeb zbiorowych i indywidualnych. Dlatego należy uznać, że organy te mają obowiązek udzielania zobowiązanym informacji, wyjaśnień i innego potrzebnego wsparcia w rozliczeniach</w:t>
      </w:r>
      <w:r w:rsidRPr="009A3C86">
        <w:rPr>
          <w:rFonts w:ascii="Times New Roman" w:hAnsi="Times New Roman"/>
          <w:sz w:val="24"/>
          <w:szCs w:val="24"/>
          <w:vertAlign w:val="superscript"/>
        </w:rPr>
        <w:footnoteReference w:id="86"/>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ta została sformułowana szerzej niż ustanowiona dotychczas w art. 121 § 2 obowiązującej o.p.</w:t>
      </w:r>
      <w:r w:rsidRPr="009A3C86">
        <w:rPr>
          <w:rFonts w:ascii="Times New Roman" w:hAnsi="Times New Roman"/>
          <w:sz w:val="24"/>
          <w:szCs w:val="24"/>
          <w:vertAlign w:val="superscript"/>
        </w:rPr>
        <w:footnoteReference w:id="87"/>
      </w:r>
      <w:r w:rsidRPr="009A3C86">
        <w:rPr>
          <w:rFonts w:ascii="Times New Roman" w:hAnsi="Times New Roman"/>
          <w:sz w:val="24"/>
          <w:szCs w:val="24"/>
        </w:rPr>
        <w:t xml:space="preserve"> Informowanie i wsparcie ma bowiem realizować się nie tylko w postępowaniu podatkowym i w związku z przedmiotem tego postępowania, a dotyczyć przepisów wszelkiego rodzaju, w tym przepisów materialnego prawa podatkowego. Przede wszystkim działania takie powinny mieć charakter prewencyjny: zapobiegać popełnianiu błędów przez zobowiązanych, zanim powstanie potrzeba wspomagania strony w toku postępowania podatkowego mającego na celu już weryfikację i rewizję jej rozliczenia. Obowiązek informowania i wsparcia jest realizowany również przez działania kierowane do ogółu adresatów prawa podatkowego, a nie tylko do zindywidualizowanego zobowiązanego.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Podobna zasada została sformułowana w art. 22 Europejskiego Kodeksu Dobrej Praktyki Administracyjnej „Wnioski o udzielenie informacji”</w:t>
      </w:r>
      <w:r w:rsidRPr="009A3C86">
        <w:rPr>
          <w:rFonts w:ascii="Times New Roman" w:hAnsi="Times New Roman"/>
          <w:sz w:val="24"/>
          <w:szCs w:val="24"/>
          <w:vertAlign w:val="superscript"/>
        </w:rPr>
        <w:footnoteReference w:id="88"/>
      </w:r>
      <w:r w:rsidRPr="009A3C86">
        <w:rPr>
          <w:rFonts w:ascii="Times New Roman" w:hAnsi="Times New Roman"/>
          <w:sz w:val="24"/>
          <w:szCs w:val="24"/>
        </w:rPr>
        <w:t xml:space="preserve"> (por. także art. 10 ust. 3)</w:t>
      </w:r>
      <w:r w:rsidRPr="009A3C86">
        <w:rPr>
          <w:rFonts w:ascii="Times New Roman" w:hAnsi="Times New Roman"/>
          <w:sz w:val="24"/>
          <w:szCs w:val="24"/>
          <w:vertAlign w:val="superscript"/>
        </w:rPr>
        <w:footnoteReference w:id="89"/>
      </w:r>
      <w:r w:rsidRPr="009A3C86">
        <w:rPr>
          <w:rFonts w:ascii="Times New Roman" w:hAnsi="Times New Roman"/>
          <w:sz w:val="24"/>
          <w:szCs w:val="24"/>
        </w:rPr>
        <w:t xml:space="preserve">. Do standardu „przekazywania podatnikom informacji i wytycznych” obszernie i szczegółowo odnoszą się </w:t>
      </w:r>
      <w:r w:rsidRPr="009A3C86">
        <w:rPr>
          <w:rFonts w:ascii="Times New Roman" w:hAnsi="Times New Roman"/>
          <w:sz w:val="24"/>
          <w:szCs w:val="24"/>
        </w:rPr>
        <w:lastRenderedPageBreak/>
        <w:t>pkt 3.2.1, 3.2.4 i 3.2.5, a także 3.31 Kodeksu podatnika Unii Europejskiej oraz art. 10 Modelu karty podatnika „Wsparcie podatnika” (</w:t>
      </w:r>
      <w:r w:rsidRPr="009A3C86">
        <w:rPr>
          <w:rFonts w:ascii="Times New Roman" w:hAnsi="Times New Roman"/>
          <w:i/>
          <w:sz w:val="24"/>
          <w:szCs w:val="24"/>
        </w:rPr>
        <w:t>Taxpayer assistance</w:t>
      </w:r>
      <w:r w:rsidRPr="009A3C86">
        <w:rPr>
          <w:rFonts w:ascii="Times New Roman" w:hAnsi="Times New Roman"/>
          <w:sz w:val="24"/>
          <w:szCs w:val="24"/>
        </w:rPr>
        <w:t>) zawierające szereg szczegółowych wskazań dotyczących zakresu oraz form wsparcia (por. także art. 2 „Rulings and interpretation” dotyczący interpretacji podatkowych).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Zobowiązanie administracji podatkowej do należytego informowania podatników ma swoje miejsce w wielu kartach praw podatników, m.in. w Irlandii</w:t>
      </w:r>
      <w:r w:rsidRPr="009A3C86">
        <w:rPr>
          <w:rFonts w:ascii="Times New Roman" w:hAnsi="Times New Roman"/>
          <w:sz w:val="24"/>
          <w:szCs w:val="24"/>
          <w:vertAlign w:val="superscript"/>
        </w:rPr>
        <w:footnoteReference w:id="90"/>
      </w:r>
      <w:r w:rsidRPr="009A3C86">
        <w:rPr>
          <w:rFonts w:ascii="Times New Roman" w:hAnsi="Times New Roman"/>
          <w:sz w:val="24"/>
          <w:szCs w:val="24"/>
        </w:rPr>
        <w:t>, Kanadzie</w:t>
      </w:r>
      <w:r w:rsidRPr="009A3C86">
        <w:rPr>
          <w:rFonts w:ascii="Times New Roman" w:hAnsi="Times New Roman"/>
          <w:sz w:val="24"/>
          <w:szCs w:val="24"/>
          <w:vertAlign w:val="superscript"/>
        </w:rPr>
        <w:footnoteReference w:id="91"/>
      </w:r>
      <w:r w:rsidRPr="009A3C86">
        <w:rPr>
          <w:rFonts w:ascii="Times New Roman" w:hAnsi="Times New Roman"/>
          <w:sz w:val="24"/>
          <w:szCs w:val="24"/>
        </w:rPr>
        <w:t xml:space="preserve"> czy USA</w:t>
      </w:r>
      <w:r w:rsidRPr="009A3C86">
        <w:rPr>
          <w:rFonts w:ascii="Times New Roman" w:hAnsi="Times New Roman"/>
          <w:sz w:val="24"/>
          <w:szCs w:val="24"/>
          <w:vertAlign w:val="superscript"/>
        </w:rPr>
        <w:footnoteReference w:id="92"/>
      </w:r>
      <w:r w:rsidRPr="009A3C86">
        <w:rPr>
          <w:rFonts w:ascii="Times New Roman" w:hAnsi="Times New Roman"/>
          <w:sz w:val="24"/>
          <w:szCs w:val="24"/>
        </w:rPr>
        <w:t xml:space="preserve">. </w:t>
      </w:r>
      <w:r w:rsidRPr="009A3C86">
        <w:rPr>
          <w:rFonts w:ascii="Times New Roman" w:hAnsi="Times New Roman"/>
          <w:sz w:val="24"/>
          <w:szCs w:val="24"/>
          <w:lang w:val="en-US"/>
        </w:rPr>
        <w:t xml:space="preserve">Australijska „Taxpayers’ Charter. What you need to know” („Karta podatników. </w:t>
      </w:r>
      <w:r w:rsidRPr="009A3C86">
        <w:rPr>
          <w:rFonts w:ascii="Times New Roman" w:hAnsi="Times New Roman"/>
          <w:sz w:val="24"/>
          <w:szCs w:val="24"/>
        </w:rPr>
        <w:t>Co powinieneś wiedzieć”) głosi: „Pomożemy Ci postępować właściwie. Naszym celem jest dostarczanie ścisłej, spójnej i jasnej informacji, aby pomóc Ci zrozumieć Twoje prawa i uprawnienia oraz wywiązywać się z Twoich obowiązków. Nasza informacja obejmuje ogólne publikacje dotyczące stosowania prawa i porady udzielane Ci indywidualnie dotyczące tego, w jaki sposób prawo ma zastosowanie do okoliczności w Twojej sprawie. Jeżeli uważasz, że nasza ogólna publikacja nie odpowiada w pełni okolicznościom Twojej sprawy lub jeżeli nie jesteś pewien, w jaki sposób stosuje się do Ciebie, skontaktuj się z nami, a my pomożemy Ci ustalić, co najlepiej odpowiada Twoim potrzebom. (…) Jeżeli postępujesz zgodnie z udzieloną przez nas informacją, która okazuje się niepoprawna lub jeżeli jest ona myląca, w czego następstwie popełniłeś błąd, weźmiemy to pod uwagę, określając, jakie działanie powinieneś lub powinniśmy podjąć”</w:t>
      </w:r>
      <w:r w:rsidRPr="009A3C86">
        <w:rPr>
          <w:rFonts w:ascii="Times New Roman" w:hAnsi="Times New Roman"/>
          <w:sz w:val="24"/>
          <w:szCs w:val="24"/>
          <w:vertAlign w:val="superscript"/>
        </w:rPr>
        <w:footnoteReference w:id="93"/>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 omawianą zasadą zbieżna jest także treść dokumentu programowego „Kierunki działania i rozwoju Krajowej Administracji Skarbowej na lata 2017-2020”</w:t>
      </w:r>
      <w:r w:rsidRPr="009A3C86">
        <w:rPr>
          <w:rFonts w:ascii="Times New Roman" w:hAnsi="Times New Roman"/>
          <w:sz w:val="24"/>
          <w:szCs w:val="24"/>
          <w:vertAlign w:val="superscript"/>
        </w:rPr>
        <w:footnoteReference w:id="94"/>
      </w:r>
      <w:r w:rsidRPr="009A3C86">
        <w:rPr>
          <w:rFonts w:ascii="Times New Roman" w:hAnsi="Times New Roman"/>
          <w:sz w:val="24"/>
          <w:szCs w:val="24"/>
        </w:rPr>
        <w:t xml:space="preserve">. „Wsparcie podatnika i </w:t>
      </w:r>
      <w:r w:rsidRPr="009A3C86">
        <w:rPr>
          <w:rFonts w:ascii="Times New Roman" w:hAnsi="Times New Roman"/>
          <w:sz w:val="24"/>
          <w:szCs w:val="24"/>
        </w:rPr>
        <w:lastRenderedPageBreak/>
        <w:t>przedsiębiorcy w wypełnianiu obowiązków podatkowych i celnych” stanowi jeden z kierunków działania Krajowej Administracji Skarbowej. W dokumencie wskazano, że „Nowoczesna administracja skarbowa ma zapewniać przyjazną obsługę oraz wsparcie podatnika i przedsiębiorcy w prawidłowym wykonywaniu obowiązków podatkowych i celnych (…) Ważne jest również to, aby dzięki partnerskiej współpracy urzędników skarbowych i ich klientów liczba sumiennych i uczciwych podatników i przedsiębiorców stale rosła, a KAS zapewniała im właściwą pomoc w wypełnianiu obowiązków”. Zapowiedziano również, że „Działania KAS będą nakierowane na wspieranie dobrowolnego wypełniania obowiązków podatkowych i celnych. Należy wspierać te grupy podatników, których dotyczą częste zmiany prawa podatkowego lub celnego oraz identyfikować grupy, które mają trudności w interpretacji prawa, co w konsekwencji może prowadzić do nieświadomego popełniania błędów. Grupy te należy wspomagać, oferując jednolitą i pełną informację za pośrednictwem wszystkich dostępnych kanałów komunikacji (np. telefon, forma pisemna, kanały elektroniczne) oraz kierując do nich ofertę w zakresie edukacji podatkowej i celnej. Dzięki poprawie świadomości prawnopodatkowej będzie możliwy skuteczniejszy pobór podatków i cła” (s. 8-9).</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współdziałania zobowiązanego z organami podatkowymi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ta nakazuje zobowiązanym współdziałać z organami podatkowymi (</w:t>
      </w:r>
      <w:r w:rsidRPr="009A3C86">
        <w:rPr>
          <w:rFonts w:ascii="Times New Roman" w:hAnsi="Times New Roman"/>
          <w:b/>
          <w:sz w:val="24"/>
          <w:szCs w:val="24"/>
        </w:rPr>
        <w:t>art. 17</w:t>
      </w:r>
      <w:r w:rsidRPr="009A3C86">
        <w:rPr>
          <w:rFonts w:ascii="Times New Roman" w:hAnsi="Times New Roman"/>
          <w:sz w:val="24"/>
          <w:szCs w:val="24"/>
        </w:rPr>
        <w:t xml:space="preserve"> projektu). Organy podatkowe mają obowiązek ułatwiania zobowiązanym wywiązywania się z obowiązków podatkowych i korzystania z praw, lecz zarazem zobowiązani powinni w wykonywaniu swoich obowiązków współdziałać z organami podatkowymi.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Powinność współdziałania rozciąga się na to tylko, co wynika z przepisów prawa podatkowego. Ustanowienie tej zasady ma z jednej strony zapewniać dobrą partnerską współpracę między organem podatkowym a zobowiązanym, zorientowaną na zapewnienie zgodności rozliczenia podatkowego z prawem, a z drugiej zapobiegać nadmiernym, gdyż z punktu widzenia prawa niezasadnym, żądaniom organów podatkowych. Zasada, zgodnie z którą podatnicy są zobowiązani do dostarczenia wszelkiego rodzaju potrzebnych dowodów oraz do współpracy z organami podatkowymi przez przedstawianie znanych im faktów w sposób kompletny i zgodny z prawem, jest powszechnie stosowana w wielu ustawodawstwach zagranicznych.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Podobne tropy można odnaleźć m.in. w zasadzie prywatności proponowanej w Kodeksie podatnika Unii Europejskiej (pkt 3.1.8)</w:t>
      </w:r>
      <w:r w:rsidRPr="009A3C86">
        <w:rPr>
          <w:rFonts w:ascii="Times New Roman" w:hAnsi="Times New Roman"/>
          <w:sz w:val="24"/>
          <w:szCs w:val="24"/>
          <w:vertAlign w:val="superscript"/>
        </w:rPr>
        <w:footnoteReference w:id="95"/>
      </w:r>
      <w:r w:rsidRPr="009A3C86">
        <w:rPr>
          <w:rFonts w:ascii="Times New Roman" w:hAnsi="Times New Roman"/>
          <w:sz w:val="24"/>
          <w:szCs w:val="24"/>
        </w:rPr>
        <w:t xml:space="preserve">, a także w szeregu postanowień Modelu karty </w:t>
      </w:r>
      <w:r w:rsidRPr="009A3C86">
        <w:rPr>
          <w:rFonts w:ascii="Times New Roman" w:hAnsi="Times New Roman"/>
          <w:sz w:val="24"/>
          <w:szCs w:val="24"/>
        </w:rPr>
        <w:lastRenderedPageBreak/>
        <w:t>podatnika (m.in. w art. 8 ust. 1 dotyczącym współdziałania w toku kontroli podatkowej). Administracje podatkowe oczekują od podatników m.in. „prawdziwych, kompletnych i rzetelnych informacji w przypadku gdy zostaną do tego wezwani na podstawie przepisów prawa” oraz „spontanicznego i niezwłocznego informowania administracji podatkowych o zmianie istotnych okoliczności, które mogą wpłynąć na ich obowiązki podatkowe” (zob. zasadę domniemania uczciwości w Kodeksie podatnika Unii Europejskiej, pkt 3.1.3). Obowiązek współdziałania został wskazany także w licznych kartach praw podatnika (lub praw i obowiązków), m.in. we Francji, Wielkiej Brytanii czy Irlandii</w:t>
      </w:r>
      <w:r w:rsidRPr="009A3C86">
        <w:rPr>
          <w:rFonts w:ascii="Times New Roman" w:hAnsi="Times New Roman"/>
          <w:sz w:val="24"/>
          <w:szCs w:val="24"/>
          <w:vertAlign w:val="superscript"/>
        </w:rPr>
        <w:footnoteReference w:id="96"/>
      </w:r>
      <w:r w:rsidRPr="009A3C86">
        <w:rPr>
          <w:rFonts w:ascii="Times New Roman" w:hAnsi="Times New Roman"/>
          <w:sz w:val="24"/>
          <w:szCs w:val="24"/>
        </w:rPr>
        <w:t xml:space="preserve">. W australijskiej Karcie Podatników wśród powinności zobowiązanych wskazano m.in. „podawanie poprawnych danych w Twoich deklaracjach podatkowych, oświadczeniach i innych dokumentach”; „podawanie w sposób wyczerpujący faktów i okoliczności w przypadku, gdy zwracasz się o informację” i „odpowiadanie na pytania w sposób pełny, ścisły i uczciwy” Zaznaczono oczekiwanie administracji podatkowej, że podatnik „okaże gotowość do współdziałania”.  </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rozstrzygania wątpliwości co do treści </w:t>
      </w:r>
      <w:r w:rsidR="00C7031B" w:rsidRPr="009A3C86">
        <w:rPr>
          <w:rFonts w:ascii="Times New Roman" w:hAnsi="Times New Roman"/>
          <w:sz w:val="24"/>
          <w:szCs w:val="24"/>
        </w:rPr>
        <w:t>normy prawnej</w:t>
      </w:r>
      <w:r w:rsidRPr="009A3C86">
        <w:rPr>
          <w:rFonts w:ascii="Times New Roman" w:hAnsi="Times New Roman"/>
          <w:sz w:val="24"/>
          <w:szCs w:val="24"/>
        </w:rPr>
        <w:t xml:space="preserve"> na korzyść zobowiązanego</w:t>
      </w:r>
    </w:p>
    <w:p w:rsidR="00FA30AA" w:rsidRPr="009A3C86" w:rsidRDefault="00C83C13"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ujęta w </w:t>
      </w:r>
      <w:r w:rsidRPr="009A3C86">
        <w:rPr>
          <w:rFonts w:ascii="Times New Roman" w:hAnsi="Times New Roman"/>
          <w:b/>
          <w:sz w:val="24"/>
          <w:szCs w:val="24"/>
        </w:rPr>
        <w:t>art. 18</w:t>
      </w:r>
      <w:r w:rsidRPr="009A3C86">
        <w:rPr>
          <w:rFonts w:ascii="Times New Roman" w:hAnsi="Times New Roman"/>
          <w:sz w:val="24"/>
          <w:szCs w:val="24"/>
        </w:rPr>
        <w:t xml:space="preserve"> projektu, jest w swym znaczeniu tożsama z art. 2a obowiązującej o.p. Jej brzmienie poddano natomiast modyfikacji (poprzez zastąpienie wyrażenia „treść przepisów prawa podatkowego” wyrażeniem „treść normy prawnej”) w celu zapewnienia jego spójności z art. 7a § 1 k.p.a. oraz art. 11 ust. 1 Prawa przedsiębiorców.  </w:t>
      </w:r>
      <w:r w:rsidR="00FA30AA" w:rsidRPr="009A3C86">
        <w:rPr>
          <w:rFonts w:ascii="Times New Roman" w:hAnsi="Times New Roman"/>
          <w:sz w:val="24"/>
          <w:szCs w:val="24"/>
        </w:rPr>
        <w:t>Wprowadzenie tej zasady było od dawna postulatem doktryny prawa podatkowego; przed jej normatywizacją wprost w przepisie o.p. była ona również wywodzona w orzecznictwie sądowym i doktrynie prawa podatkowego z przepisów Konstytucji RP.</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Nakaz </w:t>
      </w:r>
      <w:r w:rsidRPr="009A3C86">
        <w:rPr>
          <w:rFonts w:ascii="Times New Roman" w:hAnsi="Times New Roman"/>
          <w:bCs/>
          <w:sz w:val="24"/>
          <w:szCs w:val="24"/>
        </w:rPr>
        <w:t xml:space="preserve">rozstrzygania wątpliwości prawnych na korzyść podatnika </w:t>
      </w:r>
      <w:r w:rsidRPr="009A3C86">
        <w:rPr>
          <w:rFonts w:ascii="Times New Roman" w:hAnsi="Times New Roman"/>
          <w:bCs/>
          <w:i/>
          <w:sz w:val="24"/>
          <w:szCs w:val="24"/>
        </w:rPr>
        <w:t xml:space="preserve">(in dubio pro tributario), </w:t>
      </w:r>
      <w:r w:rsidRPr="009A3C86">
        <w:rPr>
          <w:rFonts w:ascii="Times New Roman" w:hAnsi="Times New Roman"/>
          <w:sz w:val="24"/>
          <w:szCs w:val="24"/>
        </w:rPr>
        <w:t xml:space="preserve">związany z ochroną praw zobowiązanego z tytułu podatku, został ujęty w uchwalonej w dniu </w:t>
      </w:r>
      <w:r w:rsidRPr="009A3C86">
        <w:rPr>
          <w:rFonts w:ascii="Times New Roman" w:hAnsi="Times New Roman"/>
          <w:sz w:val="24"/>
          <w:szCs w:val="24"/>
        </w:rPr>
        <w:lastRenderedPageBreak/>
        <w:t>5 sierpnia 2015 r. nowelizacji obowiązującej ordynacji podatkowej, zainicjowanej w Kancelarii Prezydenta RP</w:t>
      </w:r>
      <w:r w:rsidRPr="009A3C86">
        <w:rPr>
          <w:rFonts w:ascii="Times New Roman" w:hAnsi="Times New Roman"/>
          <w:sz w:val="24"/>
          <w:szCs w:val="24"/>
          <w:vertAlign w:val="superscript"/>
        </w:rPr>
        <w:footnoteReference w:id="97"/>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 wprowadzeniem zasady </w:t>
      </w:r>
      <w:r w:rsidRPr="009A3C86">
        <w:rPr>
          <w:rFonts w:ascii="Times New Roman" w:hAnsi="Times New Roman"/>
          <w:i/>
          <w:sz w:val="24"/>
          <w:szCs w:val="24"/>
        </w:rPr>
        <w:t>in dubio pro tributario</w:t>
      </w:r>
      <w:r w:rsidRPr="009A3C86">
        <w:rPr>
          <w:rFonts w:ascii="Times New Roman" w:hAnsi="Times New Roman"/>
          <w:sz w:val="24"/>
          <w:szCs w:val="24"/>
        </w:rPr>
        <w:t xml:space="preserve"> wypracowanej w doktrynie prawa podatkowego</w:t>
      </w:r>
      <w:r w:rsidRPr="009A3C86">
        <w:rPr>
          <w:rFonts w:ascii="Times New Roman" w:hAnsi="Times New Roman"/>
          <w:sz w:val="24"/>
          <w:szCs w:val="24"/>
          <w:vertAlign w:val="superscript"/>
        </w:rPr>
        <w:footnoteReference w:id="98"/>
      </w:r>
      <w:r w:rsidRPr="009A3C86">
        <w:rPr>
          <w:rFonts w:ascii="Times New Roman" w:hAnsi="Times New Roman"/>
          <w:sz w:val="24"/>
          <w:szCs w:val="24"/>
        </w:rPr>
        <w:t>, a także w orzecznictwie sądów administracyjnych</w:t>
      </w:r>
      <w:r w:rsidRPr="009A3C86">
        <w:rPr>
          <w:rFonts w:ascii="Times New Roman" w:hAnsi="Times New Roman"/>
          <w:sz w:val="24"/>
          <w:szCs w:val="24"/>
          <w:vertAlign w:val="superscript"/>
        </w:rPr>
        <w:footnoteReference w:id="99"/>
      </w:r>
      <w:r w:rsidRPr="009A3C86">
        <w:rPr>
          <w:rFonts w:ascii="Times New Roman" w:hAnsi="Times New Roman"/>
          <w:sz w:val="24"/>
          <w:szCs w:val="24"/>
        </w:rPr>
        <w:t xml:space="preserve"> przemawia fakt, że w państwie demokratycznym zobowiązany (podatnik) nie może ponosić negatywnych konsekwencji nieprecyzyjnego określenia jego obowiązków w ustawie podatkowej</w:t>
      </w:r>
      <w:r w:rsidRPr="009A3C86">
        <w:rPr>
          <w:rFonts w:ascii="Times New Roman" w:hAnsi="Times New Roman"/>
          <w:sz w:val="24"/>
          <w:szCs w:val="24"/>
          <w:vertAlign w:val="superscript"/>
        </w:rPr>
        <w:footnoteReference w:id="100"/>
      </w:r>
      <w:r w:rsidRPr="009A3C86">
        <w:rPr>
          <w:rFonts w:ascii="Times New Roman" w:hAnsi="Times New Roman"/>
          <w:sz w:val="24"/>
          <w:szCs w:val="24"/>
        </w:rPr>
        <w:t>. Jeżeli w danej sytuacji, przez wzgląd na brzmienie przepisów prawa podatkowego, możliwe jest różne rozumienie tych przepisów i każda z „wersji” interpretacyjnych jest uzasadniona, istniejącą wątpliwość należy rozstrzygnąć w ten sposób, że przy ocenie konsekwencji prawnych zachowania podatnika przyjmuje się takie rozumienie przepisów, które jest najkorzystniejsze dla podmiotu zobowiązanego z tytułu podatku</w:t>
      </w:r>
      <w:r w:rsidRPr="009A3C86">
        <w:rPr>
          <w:rFonts w:ascii="Times New Roman" w:hAnsi="Times New Roman"/>
          <w:sz w:val="24"/>
          <w:szCs w:val="24"/>
          <w:vertAlign w:val="superscript"/>
        </w:rPr>
        <w:footnoteReference w:id="101"/>
      </w:r>
      <w:r w:rsidRPr="009A3C86">
        <w:rPr>
          <w:rFonts w:ascii="Times New Roman" w:hAnsi="Times New Roman"/>
          <w:sz w:val="24"/>
          <w:szCs w:val="24"/>
        </w:rPr>
        <w:t>. W ten sposób nie dochodzi do przerzucenia na niego odpowiedzialności za niedoskonałości regulacji prawnej. Sama zasada staje się zaś zabezpieczeniem uniemożliwiającym przenoszenie na podatnika odpowiedzialności za błędy popełnione przez ustawodawcę</w:t>
      </w:r>
      <w:r w:rsidRPr="009A3C86">
        <w:rPr>
          <w:rFonts w:ascii="Times New Roman" w:hAnsi="Times New Roman"/>
          <w:sz w:val="24"/>
          <w:szCs w:val="24"/>
          <w:vertAlign w:val="superscript"/>
        </w:rPr>
        <w:footnoteReference w:id="102"/>
      </w:r>
      <w:r w:rsidRPr="009A3C86">
        <w:rPr>
          <w:rFonts w:ascii="Times New Roman" w:hAnsi="Times New Roman"/>
          <w:sz w:val="24"/>
          <w:szCs w:val="24"/>
        </w:rPr>
        <w:t xml:space="preserve">. Rozwiewając podnoszone niekiedy wątpliwości co do potrzeby operowania zasadą </w:t>
      </w:r>
      <w:r w:rsidRPr="009A3C86">
        <w:rPr>
          <w:rFonts w:ascii="Times New Roman" w:hAnsi="Times New Roman"/>
          <w:i/>
          <w:sz w:val="24"/>
          <w:szCs w:val="24"/>
        </w:rPr>
        <w:t>in dubio pro tributario</w:t>
      </w:r>
      <w:r w:rsidRPr="009A3C86">
        <w:rPr>
          <w:rFonts w:ascii="Times New Roman" w:hAnsi="Times New Roman"/>
          <w:sz w:val="24"/>
          <w:szCs w:val="24"/>
        </w:rPr>
        <w:t>,</w:t>
      </w:r>
      <w:r w:rsidRPr="009A3C86">
        <w:rPr>
          <w:rFonts w:ascii="Times New Roman" w:hAnsi="Times New Roman"/>
          <w:i/>
          <w:sz w:val="24"/>
          <w:szCs w:val="24"/>
        </w:rPr>
        <w:t xml:space="preserve"> </w:t>
      </w:r>
      <w:r w:rsidRPr="009A3C86">
        <w:rPr>
          <w:rFonts w:ascii="Times New Roman" w:hAnsi="Times New Roman"/>
          <w:sz w:val="24"/>
          <w:szCs w:val="24"/>
        </w:rPr>
        <w:t xml:space="preserve">należy zatem stwierdzić, że nie pozostaje ona w sprzeczności z zasadami wykładni przepisów stosowanymi w prawie podatkowym. Rozstrzyganie wątpliwości na korzyść podatnika będzie bowiem miało miejsce wtedy, gdy wszelkie stosowane metody ustalenia treści normy prawnej nie doprowadzą do jednoznacznego ustalenia jej brzmienia. Dopiero w takiej sytuacji zastosowanie znajdzie zasada </w:t>
      </w:r>
      <w:r w:rsidRPr="009A3C86">
        <w:rPr>
          <w:rFonts w:ascii="Times New Roman" w:hAnsi="Times New Roman"/>
          <w:i/>
          <w:sz w:val="24"/>
          <w:szCs w:val="24"/>
        </w:rPr>
        <w:t>in dubio pro tributario</w:t>
      </w:r>
      <w:r w:rsidRPr="009A3C86">
        <w:rPr>
          <w:rFonts w:ascii="Times New Roman" w:hAnsi="Times New Roman"/>
          <w:sz w:val="24"/>
          <w:szCs w:val="24"/>
        </w:rPr>
        <w:t xml:space="preserve"> jako dyrektywa interpretacyjna drugiego stopnia.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Przepis ten odnosi się do wątpliwości co do treści norm prawnych. W zakresie ustaleń faktycznych podobną zasadę ustanawia art. 23 § 2 projektu. </w:t>
      </w:r>
      <w:r w:rsidRPr="009A3C86">
        <w:rPr>
          <w:rFonts w:ascii="Times New Roman" w:hAnsi="Times New Roman"/>
          <w:i/>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Obecnie podobny przepis – choć bardziej szczegółowy i opatrzony wyjątkami – jest zawarty w art. 7a k.p.a. (został wprowadzony z dniem 1 czerwca 2017 r.) jako zasada przyjaznej interpretacji przepisów (</w:t>
      </w:r>
      <w:r w:rsidRPr="009A3C86">
        <w:rPr>
          <w:rFonts w:ascii="Times New Roman" w:hAnsi="Times New Roman"/>
          <w:i/>
          <w:sz w:val="24"/>
          <w:szCs w:val="24"/>
        </w:rPr>
        <w:t>in dubio pro libertate</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zaufania, bezstronności i równego traktowania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w:t>
      </w:r>
      <w:r w:rsidR="000A7266" w:rsidRPr="009A3C86">
        <w:rPr>
          <w:rFonts w:ascii="Times New Roman" w:hAnsi="Times New Roman"/>
          <w:sz w:val="24"/>
          <w:szCs w:val="24"/>
        </w:rPr>
        <w:t>(</w:t>
      </w:r>
      <w:r w:rsidR="000A7266" w:rsidRPr="009A3C86">
        <w:rPr>
          <w:rFonts w:ascii="Times New Roman" w:hAnsi="Times New Roman"/>
          <w:b/>
          <w:sz w:val="24"/>
          <w:szCs w:val="24"/>
        </w:rPr>
        <w:t>art. 19 § 1</w:t>
      </w:r>
      <w:r w:rsidR="009C4CA3" w:rsidRPr="009A3C86">
        <w:rPr>
          <w:rFonts w:ascii="Times New Roman" w:hAnsi="Times New Roman"/>
          <w:b/>
          <w:sz w:val="24"/>
          <w:szCs w:val="24"/>
        </w:rPr>
        <w:t xml:space="preserve"> </w:t>
      </w:r>
      <w:r w:rsidR="009C4CA3" w:rsidRPr="009A3C86">
        <w:rPr>
          <w:rFonts w:ascii="Times New Roman" w:hAnsi="Times New Roman"/>
          <w:sz w:val="24"/>
          <w:szCs w:val="24"/>
        </w:rPr>
        <w:t>projektu</w:t>
      </w:r>
      <w:r w:rsidR="000A7266" w:rsidRPr="009A3C86">
        <w:rPr>
          <w:rFonts w:ascii="Times New Roman" w:hAnsi="Times New Roman"/>
          <w:sz w:val="24"/>
          <w:szCs w:val="24"/>
        </w:rPr>
        <w:t xml:space="preserve">) </w:t>
      </w:r>
      <w:r w:rsidRPr="009A3C86">
        <w:rPr>
          <w:rFonts w:ascii="Times New Roman" w:hAnsi="Times New Roman"/>
          <w:sz w:val="24"/>
          <w:szCs w:val="24"/>
        </w:rPr>
        <w:t>po części odzwierciedla w swej treści art. 121 § 1 obowiązującej o.p. (poszerzając jednak zasięg tego ostatniego przepisu z postępowania podatkowego na wszelkie działania organów podatkowych), a po części zawiera nowość w postaci obowiązku zachowania bezstronności i równego traktowania zobowiązanych. Inspiracja do takiego uzupełnienia pochodzi z art. 8 § 1 k.p.a. (z zamierzonymi modyfikacjami względem tego ostatniego przepisu)</w:t>
      </w:r>
      <w:r w:rsidRPr="009A3C86">
        <w:rPr>
          <w:rFonts w:ascii="Times New Roman" w:hAnsi="Times New Roman"/>
          <w:sz w:val="24"/>
          <w:szCs w:val="24"/>
          <w:vertAlign w:val="superscript"/>
        </w:rPr>
        <w:footnoteReference w:id="103"/>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Obowiązek działania w sposób budzący zaufanie zobowiązanych jest zakotwiczony w zasadzie zaufania, wywiedzionej przez Trybunał Konstytucyjny z art. 2 Konstytucji RP. Chodzi o to, „aby państwo w stosunku do obywatela zachowywało pewne reguły uczciwości”</w:t>
      </w:r>
      <w:r w:rsidRPr="009A3C86">
        <w:rPr>
          <w:rFonts w:ascii="Times New Roman" w:hAnsi="Times New Roman"/>
          <w:sz w:val="24"/>
          <w:szCs w:val="24"/>
          <w:vertAlign w:val="superscript"/>
        </w:rPr>
        <w:footnoteReference w:id="104"/>
      </w:r>
      <w:r w:rsidRPr="009A3C86">
        <w:rPr>
          <w:rFonts w:ascii="Times New Roman" w:hAnsi="Times New Roman"/>
          <w:sz w:val="24"/>
          <w:szCs w:val="24"/>
        </w:rPr>
        <w:t>, czy też zasady uczciwej gry (</w:t>
      </w:r>
      <w:r w:rsidRPr="009A3C86">
        <w:rPr>
          <w:rFonts w:ascii="Times New Roman" w:hAnsi="Times New Roman"/>
          <w:i/>
          <w:sz w:val="24"/>
          <w:szCs w:val="24"/>
        </w:rPr>
        <w:t>fair play</w:t>
      </w:r>
      <w:r w:rsidRPr="009A3C86">
        <w:rPr>
          <w:rFonts w:ascii="Times New Roman" w:hAnsi="Times New Roman"/>
          <w:sz w:val="24"/>
          <w:szCs w:val="24"/>
        </w:rPr>
        <w:t>). Z. Kmieciak (za J. Łętowskim) w obszarze stosowania prawa administracyjnego reguły te wysłowił jako zalecenia moralne, takie jak: „urząd nie kłamie, nie zwodzi, dotrzymuje złożonych przyrzeczeń”</w:t>
      </w:r>
      <w:r w:rsidRPr="009A3C86">
        <w:rPr>
          <w:rFonts w:ascii="Times New Roman" w:hAnsi="Times New Roman"/>
          <w:sz w:val="24"/>
          <w:szCs w:val="24"/>
          <w:vertAlign w:val="superscript"/>
        </w:rPr>
        <w:footnoteReference w:id="105"/>
      </w:r>
      <w:r w:rsidRPr="009A3C86">
        <w:rPr>
          <w:rFonts w:ascii="Times New Roman" w:hAnsi="Times New Roman"/>
          <w:sz w:val="24"/>
          <w:szCs w:val="24"/>
        </w:rPr>
        <w:t xml:space="preserve">.  Zasada ujęta w art. 121 § 1 obowiązującej o.p. w orzecznictwie sądowym objawiła swoje normatywne bogactwo. W szczególności zasada wyklucza </w:t>
      </w:r>
      <w:r w:rsidRPr="009A3C86">
        <w:rPr>
          <w:rFonts w:ascii="Times New Roman" w:hAnsi="Times New Roman"/>
          <w:bCs/>
          <w:sz w:val="24"/>
          <w:szCs w:val="24"/>
        </w:rPr>
        <w:t>wykorzystywanie przez organy podatkowe niewiedzy, niedoświadczenia oraz błędu dłużnika podatkowego.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Bezstronność oznacza gotowość do obiektywnego merytorycznego rozpatrzenia sprawy w oparciu o prawem przepisane przesłanki oraz brak związania interesu własnego organu podatkowego (piastuna jego funkcji) z jakimkolwiek z góry określonym sposobem jej rozstrzygnięcia. Bezstronność jest zarazem przeciwieństwem stronniczości – zatem arbitralnego preferowania interesu zobowiązanego lub – zwłaszcza – interesu związku publicznoprawnego (ogółu zobowiązanych), jaki ten posiada w określonym rozstrzygnięciu sprawy.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Zgodnie z art. 4 „Zasada bezstronności” Kodeksu Dobrej Administracji „Władze publiczne powinny działać zgodnie z zasadą bezstronności”, „Powinny one działać obiektywnie, mając na względzie jedynie istotne sprawy”, „Nie powinny one działać w sposób stronniczy” i „Powinny one zapewniać, by ich urzędnicy publiczni wykonywali swe obowiązki w sposób bezstronny, bez względu na ich osobiste przekonania i interesy”. Bezstronność została także ujęta w art. 8 Europejskiego Kodeksu Dobrych Praktyk Administracyjnych („Zasada bezstronności i niezależności”)</w:t>
      </w:r>
      <w:r w:rsidRPr="009A3C86">
        <w:rPr>
          <w:rFonts w:ascii="Times New Roman" w:hAnsi="Times New Roman"/>
          <w:sz w:val="24"/>
          <w:szCs w:val="24"/>
          <w:vertAlign w:val="superscript"/>
        </w:rPr>
        <w:footnoteReference w:id="106"/>
      </w:r>
      <w:r w:rsidRPr="009A3C86">
        <w:rPr>
          <w:rFonts w:ascii="Times New Roman" w:hAnsi="Times New Roman"/>
          <w:sz w:val="24"/>
          <w:szCs w:val="24"/>
        </w:rPr>
        <w:t xml:space="preserve">. W Kodeksie podatnika Unii Europejskiej „Bezstronność i niezależność” (3.1.6) wskazano, iż „Podatnicy mogą oczekiwać, że: administracje podatkowe będą wykonywały swoje funkcje w sposób neutralny i wolny od jakichkolwiek niewłaściwych wpływów. Administracje podatkowe oczekują: od podatników poszanowania ich bezstronności i niezależności oraz zaniechania dążenia do wywarcia wpływu na ich postanowienia lub nieprawidłowe prowadzenie spraw podatników”. Zgodnie z art. 21 projektu ustawy – Przepisy ogólne prawa administracyjnego „Organy administracji publicznej i pracownicy ich urzędów są obowiązani kierować się we wszystkich swych działaniach bezstronnością i zasadami etyki”.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równe traktowanie oznacza takie samo (podobne) traktowanie osób znajdujących się w takiej samej (podobnej) sytuacji faktycznej i prawnej. Ważne są oba wymiary tego wymogu prawnego: synchroniczny (równość traktowania należy zachować wobec zobowiązanych znajdujących się w podobnym położeniu w danym czasie) i diachroniczny (równość traktowania należy zachować wobec zobowiązanych znajdujących się w podobnym położeniu w różnych momentach w czasie, przy założeniu tożsamości stanu prawnego).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równości” występuje w art. 3 Kodeksu Dobrej Administracji, gdzie wskazano, że „Władze publiczne będą działać zgodnie z zasadą równości” i „Powinny one traktować osoby prywatne, które znajdują się w takiej samej sytuacji, w taki sam sposób. Nie powinny one stosować dyskryminacji pomiędzy osobami prywatnymi na podstawach takich, jak płeć, pochodzenie etniczne, przekonania religijne bądź inne. Wszelka odmienność traktowania powinna być obiektywnie usprawiedliwiona”. „Zasada niedyskryminowania” (zasada równego traktowania i zakaz dyskryminacji) została ujęta także w art. 5 Europejskiego Kodeksu Dobrych Praktyk Administracyjnych (pkt 3.1.2), „Zasada niedyskryminacji i równości podatników” w </w:t>
      </w:r>
      <w:r w:rsidRPr="009A3C86">
        <w:rPr>
          <w:rFonts w:ascii="Times New Roman" w:hAnsi="Times New Roman"/>
          <w:sz w:val="24"/>
          <w:szCs w:val="24"/>
        </w:rPr>
        <w:lastRenderedPageBreak/>
        <w:t>Kodeksie podatników Unii Europejskiej (pkt 3.1.2)</w:t>
      </w:r>
      <w:r w:rsidRPr="009A3C86">
        <w:rPr>
          <w:rFonts w:ascii="Times New Roman" w:hAnsi="Times New Roman"/>
          <w:sz w:val="24"/>
          <w:szCs w:val="24"/>
          <w:vertAlign w:val="superscript"/>
        </w:rPr>
        <w:footnoteReference w:id="107"/>
      </w:r>
      <w:r w:rsidRPr="009A3C86">
        <w:rPr>
          <w:rFonts w:ascii="Times New Roman" w:hAnsi="Times New Roman"/>
          <w:sz w:val="24"/>
          <w:szCs w:val="24"/>
        </w:rPr>
        <w:t>. Również stosownie do art. 5 ust. 6 Modelu karty podatnika „ustaw podatkowych nie stosuje się w sposób dyskryminacyjny”, natomiast w art. 23 „Równość podatników” wskazano, że „wszyscy podatnicy są równi wobec prawa”. Zgodnie z art. 18 ust. 1 pkt 1-2 projektu ustawy – Przepisy ogólne prawa administracyjnego organ administracji publicznej ma obowiązek m.in. „równego traktowania wszystkich podmiotów będących w takiej samej sytuacji prawnej i faktycznej w jednej sprawie” oraz „równego traktowania wszystkich podmiotów biorących udział w odrębnych sprawach, jeżeli są podobne pod względem stanu prawnego i faktycznego”.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 niektórych porządkach prawnych do rangi zasady ogólnej postępowania wyniesiono zasadę, aby w toku postępowania organy unikały powstawania jakichkolwiek nieuzasadnionych różnic przy wydawaniu rozstrzygnięć w takich samych sprawach (np. Słowacja). Pokrewnej treści zobowiązania można znaleźć w kartach praw podatnika, m.in. w Wielkiej Brytanii</w:t>
      </w:r>
      <w:r w:rsidRPr="009A3C86">
        <w:rPr>
          <w:rFonts w:ascii="Times New Roman" w:hAnsi="Times New Roman"/>
          <w:sz w:val="24"/>
          <w:szCs w:val="24"/>
          <w:vertAlign w:val="superscript"/>
        </w:rPr>
        <w:footnoteReference w:id="108"/>
      </w:r>
      <w:r w:rsidRPr="009A3C86">
        <w:rPr>
          <w:rFonts w:ascii="Times New Roman" w:hAnsi="Times New Roman"/>
          <w:sz w:val="24"/>
          <w:szCs w:val="24"/>
        </w:rPr>
        <w:t xml:space="preserve"> i Francji</w:t>
      </w:r>
      <w:r w:rsidRPr="009A3C86">
        <w:rPr>
          <w:rFonts w:ascii="Times New Roman" w:hAnsi="Times New Roman"/>
          <w:sz w:val="24"/>
          <w:szCs w:val="24"/>
          <w:vertAlign w:val="superscript"/>
        </w:rPr>
        <w:footnoteReference w:id="109"/>
      </w:r>
      <w:r w:rsidRPr="009A3C86">
        <w:rPr>
          <w:rFonts w:ascii="Times New Roman" w:hAnsi="Times New Roman"/>
          <w:sz w:val="24"/>
          <w:szCs w:val="24"/>
        </w:rPr>
        <w:t>.</w:t>
      </w:r>
    </w:p>
    <w:p w:rsidR="00CB4C39" w:rsidRPr="009A3C86" w:rsidRDefault="00CB4C39" w:rsidP="00F86130">
      <w:pPr>
        <w:spacing w:after="0" w:line="360" w:lineRule="auto"/>
        <w:jc w:val="both"/>
        <w:rPr>
          <w:rFonts w:ascii="Times New Roman" w:hAnsi="Times New Roman"/>
          <w:sz w:val="24"/>
          <w:szCs w:val="24"/>
        </w:rPr>
      </w:pP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Zasada domniemania uczciwości zobowiązanego</w:t>
      </w:r>
    </w:p>
    <w:p w:rsidR="00F86130" w:rsidRPr="009A3C86" w:rsidRDefault="00F86130" w:rsidP="00F86130">
      <w:pPr>
        <w:spacing w:after="0" w:line="360" w:lineRule="auto"/>
        <w:jc w:val="both"/>
        <w:rPr>
          <w:rFonts w:ascii="Times New Roman" w:hAnsi="Times New Roman"/>
          <w:sz w:val="24"/>
          <w:szCs w:val="24"/>
          <w:lang w:eastAsia="ja-JP"/>
        </w:rPr>
      </w:pPr>
      <w:r w:rsidRPr="009A3C86">
        <w:rPr>
          <w:rFonts w:ascii="Times New Roman" w:hAnsi="Times New Roman"/>
          <w:sz w:val="24"/>
          <w:szCs w:val="24"/>
        </w:rPr>
        <w:t xml:space="preserve">Zasada ta, ujęta w </w:t>
      </w:r>
      <w:r w:rsidRPr="009A3C86">
        <w:rPr>
          <w:rFonts w:ascii="Times New Roman" w:hAnsi="Times New Roman"/>
          <w:b/>
          <w:sz w:val="24"/>
          <w:szCs w:val="24"/>
        </w:rPr>
        <w:t xml:space="preserve">art. 19 </w:t>
      </w:r>
      <w:r w:rsidRPr="009A3C86">
        <w:rPr>
          <w:rFonts w:ascii="Times New Roman" w:hAnsi="Times New Roman"/>
          <w:b/>
          <w:sz w:val="24"/>
          <w:szCs w:val="24"/>
          <w:lang w:eastAsia="ja-JP"/>
        </w:rPr>
        <w:t>§ 2</w:t>
      </w:r>
      <w:r w:rsidRPr="009A3C86">
        <w:rPr>
          <w:rFonts w:ascii="Times New Roman" w:hAnsi="Times New Roman"/>
          <w:sz w:val="24"/>
          <w:szCs w:val="24"/>
          <w:lang w:eastAsia="ja-JP"/>
        </w:rPr>
        <w:t xml:space="preserve">, stanowi, że organy podatkowe kierują się w swoich działaniach zasadą zaufania do zobowiązanego, zakładając, że działa on uczciwie i zgodnie z prawem. </w:t>
      </w: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Domniemanie jest podstawowym założeniem kształtującym nastawienie organów podatkowych do zobowiązanych – stanowi niejako „myśl przewodnią”, która powinna przyświecać ogółowi relacji między nimi. Jak bowiem wskazano w literaturze, są dwie możliwe postawy organów podatkowych wobec zobowiązanych, a konsekwencji dwa „klimaty interakcji” między organami podatkowymi a zobowiązanymi:</w:t>
      </w: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w:t>
      </w:r>
      <w:r w:rsidRPr="009A3C86">
        <w:rPr>
          <w:rFonts w:ascii="Times New Roman" w:hAnsi="Times New Roman"/>
          <w:sz w:val="24"/>
          <w:szCs w:val="24"/>
        </w:rPr>
        <w:tab/>
        <w:t>„postawa &lt;policjanci i złodzieje&gt; [</w:t>
      </w:r>
      <w:r w:rsidRPr="009A3C86">
        <w:rPr>
          <w:rFonts w:ascii="Times New Roman" w:hAnsi="Times New Roman"/>
          <w:i/>
          <w:sz w:val="24"/>
          <w:szCs w:val="24"/>
        </w:rPr>
        <w:t>cops against robbers approach</w:t>
      </w:r>
      <w:r w:rsidRPr="009A3C86">
        <w:rPr>
          <w:rFonts w:ascii="Times New Roman" w:hAnsi="Times New Roman"/>
          <w:sz w:val="24"/>
          <w:szCs w:val="24"/>
        </w:rPr>
        <w:t>] oparta na założeniu, że podatnicy [zobowiązani] nie są gotowi płacić tego, co jest od nich słusznie należne, i czynią starania, aby uniknąć podatków w każdym przypadku, gdy to możliwe – zgodnie z prawem lub niezgodnie z nim, gdy się to opłaca”;</w:t>
      </w: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w:t>
      </w:r>
      <w:r w:rsidRPr="009A3C86">
        <w:rPr>
          <w:rFonts w:ascii="Times New Roman" w:hAnsi="Times New Roman"/>
          <w:sz w:val="24"/>
          <w:szCs w:val="24"/>
        </w:rPr>
        <w:tab/>
        <w:t>„postawa &lt;usługi świadczonej na rzecz klienta&gt; [</w:t>
      </w:r>
      <w:r w:rsidRPr="009A3C86">
        <w:rPr>
          <w:rFonts w:ascii="Times New Roman" w:hAnsi="Times New Roman"/>
          <w:i/>
          <w:sz w:val="24"/>
          <w:szCs w:val="24"/>
        </w:rPr>
        <w:t>service for clients approach</w:t>
      </w:r>
      <w:r w:rsidRPr="009A3C86">
        <w:rPr>
          <w:rFonts w:ascii="Times New Roman" w:hAnsi="Times New Roman"/>
          <w:sz w:val="24"/>
          <w:szCs w:val="24"/>
        </w:rPr>
        <w:t xml:space="preserve">], która zakłada, że podatnicy [zobowiązani] są obywatelami skłonnymi do współpracy, którzy – o ile </w:t>
      </w:r>
      <w:r w:rsidRPr="009A3C86">
        <w:rPr>
          <w:rFonts w:ascii="Times New Roman" w:hAnsi="Times New Roman"/>
          <w:sz w:val="24"/>
          <w:szCs w:val="24"/>
        </w:rPr>
        <w:lastRenderedPageBreak/>
        <w:t>rozumieją przepisy prawa podatkowego, a przepisy i procedury podatkowe postrzegają jako słuszne – pragną postępować zgodnie z prawem”</w:t>
      </w:r>
      <w:r w:rsidRPr="009A3C86">
        <w:rPr>
          <w:rFonts w:ascii="Times New Roman" w:hAnsi="Times New Roman"/>
          <w:sz w:val="24"/>
          <w:szCs w:val="24"/>
          <w:vertAlign w:val="superscript"/>
          <w:lang w:val="en-GB"/>
        </w:rPr>
        <w:footnoteReference w:id="110"/>
      </w:r>
      <w:r w:rsidRPr="009A3C86">
        <w:rPr>
          <w:rFonts w:ascii="Times New Roman" w:hAnsi="Times New Roman"/>
          <w:sz w:val="24"/>
          <w:szCs w:val="24"/>
        </w:rPr>
        <w:t xml:space="preserve">. </w:t>
      </w: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Zasada domniemania uczciwości zobowiązanego prawnie zobowiązuje organy podatkowe do przyjmowania tej drugiej postawy.</w:t>
      </w: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Podobnej treści „domniemanie uczciwości” zawarto w Kodeksie podatnika Unii Europejskiej (pkt 3.1.3), zgodnie z którym „Podatnicy mogą oczekiwać, że: zostaną uznani za uczciwych, o ile nie istnieje wyraźny powód, aby uważać inaczej, mimo że administracje podatkowe mogą sprawdzić sytuację podatkową podatnika, przeprowadzić weryfikację lub przystąpić do kontroli”. Również zgodnie z art. 5 ust. 1 Modelu karty podatnika „w braku dowodu przeciwnego domniemywa się, że podatnik jest uczciwy i prawdomówny”.</w:t>
      </w:r>
    </w:p>
    <w:p w:rsidR="00F86130" w:rsidRPr="009A3C86" w:rsidRDefault="00F86130" w:rsidP="00F86130">
      <w:pPr>
        <w:spacing w:after="0" w:line="360" w:lineRule="auto"/>
        <w:jc w:val="both"/>
        <w:rPr>
          <w:rFonts w:ascii="Times New Roman" w:hAnsi="Times New Roman"/>
          <w:sz w:val="24"/>
          <w:szCs w:val="24"/>
        </w:rPr>
      </w:pPr>
      <w:r w:rsidRPr="009A3C86">
        <w:rPr>
          <w:rFonts w:ascii="Times New Roman" w:hAnsi="Times New Roman"/>
          <w:sz w:val="24"/>
          <w:szCs w:val="24"/>
        </w:rPr>
        <w:t>Podobna zasada – charakteryzowana jako prawo podatnika, a jednocześnie zobowiązanie administracji podatkowej – występuje w wielu kartach praw podatnika, np. w Wielkiej Brytanii</w:t>
      </w:r>
      <w:r w:rsidRPr="009A3C86">
        <w:rPr>
          <w:rFonts w:ascii="Times New Roman" w:hAnsi="Times New Roman"/>
          <w:sz w:val="24"/>
          <w:szCs w:val="24"/>
          <w:vertAlign w:val="superscript"/>
        </w:rPr>
        <w:footnoteReference w:id="111"/>
      </w:r>
      <w:r w:rsidRPr="009A3C86">
        <w:rPr>
          <w:rFonts w:ascii="Times New Roman" w:hAnsi="Times New Roman"/>
          <w:sz w:val="24"/>
          <w:szCs w:val="24"/>
        </w:rPr>
        <w:t>, Francji</w:t>
      </w:r>
      <w:r w:rsidRPr="009A3C86">
        <w:rPr>
          <w:rFonts w:ascii="Times New Roman" w:hAnsi="Times New Roman"/>
          <w:sz w:val="24"/>
          <w:szCs w:val="24"/>
          <w:vertAlign w:val="superscript"/>
        </w:rPr>
        <w:footnoteReference w:id="112"/>
      </w:r>
      <w:r w:rsidRPr="009A3C86">
        <w:rPr>
          <w:rFonts w:ascii="Times New Roman" w:hAnsi="Times New Roman"/>
          <w:sz w:val="24"/>
          <w:szCs w:val="24"/>
        </w:rPr>
        <w:t>, Irlandii</w:t>
      </w:r>
      <w:r w:rsidRPr="009A3C86">
        <w:rPr>
          <w:rFonts w:ascii="Times New Roman" w:hAnsi="Times New Roman"/>
          <w:sz w:val="24"/>
          <w:szCs w:val="24"/>
          <w:vertAlign w:val="superscript"/>
        </w:rPr>
        <w:footnoteReference w:id="113"/>
      </w:r>
      <w:r w:rsidRPr="009A3C86">
        <w:rPr>
          <w:rFonts w:ascii="Times New Roman" w:hAnsi="Times New Roman"/>
          <w:sz w:val="24"/>
          <w:szCs w:val="24"/>
        </w:rPr>
        <w:t>, czy Australii. Warto przytoczyć wymowny passus z australijskiego dokumentu „Taxpayers’ Charter. What you need to know” (Karta Podatników. Co powinieneś wiedzieć): „Możesz od nas oczekiwać, że: (…) będziemy traktować Cię jako uczciwego, chyba że działasz przeciwnie. Zakładamy, że mówisz nam prawdę i że informacje, jakich nam udzielasz, są kompletne i ścisłe, chyba że mamy powód, aby sądzić, że jest przeciwnie. (…) Uznajemy, że ludzie czasem popełniają błędy. Rozróżniamy między błędami a celowymi działaniami. Jeśli popełniłeś błąd, dajemy Ci sposobność do złożenia wyjaśnień. Słuchamy Cię i bierzemy Twoje wyjaśnienia pod uwagę”.</w:t>
      </w:r>
    </w:p>
    <w:p w:rsidR="00F86130" w:rsidRPr="009A3C86" w:rsidRDefault="00F86130" w:rsidP="00F86130">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uzasadnionych oczekiwań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Zasadę tę formułuje </w:t>
      </w:r>
      <w:r w:rsidRPr="009A3C86">
        <w:rPr>
          <w:rFonts w:ascii="Times New Roman" w:hAnsi="Times New Roman"/>
          <w:b/>
          <w:sz w:val="24"/>
          <w:szCs w:val="24"/>
        </w:rPr>
        <w:t>art. 20</w:t>
      </w:r>
      <w:r w:rsidRPr="009A3C86">
        <w:rPr>
          <w:rFonts w:ascii="Times New Roman" w:hAnsi="Times New Roman"/>
          <w:sz w:val="24"/>
          <w:szCs w:val="24"/>
        </w:rPr>
        <w:t xml:space="preserve"> projektu, który konkretyzuje konstytucyjną zasadę pewności prawa, wskazując, że organy podatkowe bez uzasadnionej przyczyny nie odstępują od utrwalonej praktyki rozstrzygania spraw w takim samym stanie faktycznym i prawnym. Zasada ta oznacza możliwość przewidywania działań organów podatkowych. Przewidywalność działań organów państwa gwarantuje zaufanie do prawodawcy i do stanowionego przez niego prawa oraz zaufanie do podmiotów stosujących prawo. Z drugiej wszakże strony bezpieczeństwo prawne </w:t>
      </w:r>
      <w:r w:rsidRPr="009A3C86">
        <w:rPr>
          <w:rFonts w:ascii="Times New Roman" w:hAnsi="Times New Roman"/>
          <w:sz w:val="24"/>
          <w:szCs w:val="24"/>
        </w:rPr>
        <w:lastRenderedPageBreak/>
        <w:t>jednostki może niekiedy pozostawać w kolizji z innymi wartościami, których realizacja wymaga wprowadzenia zmian do systemu prawnego lub wprowadzenia zmian w utrwalonej praktyce interpretacyjnej lub praktyce rozstrzygania spraw. Jednostka ma przy tym prawo oczekiwać, że powyższe zmiany wprowadzane przez władze publiczne nie zmienią sytuacji na jej niekorzyść w sposób arbitralny i całkowicie dowolny. Organy władzy publicznej nie mogą w sposób dowolny kształtować treści obowiązujących norm oraz praktyki ich stosowania, traktując to jako instrument osiągania różnych celów, które dowolnie sobie wyznaczają.</w:t>
      </w:r>
      <w:r w:rsidRPr="009A3C86">
        <w:rPr>
          <w:rFonts w:ascii="Times New Roman" w:hAnsi="Times New Roman"/>
          <w:sz w:val="24"/>
          <w:szCs w:val="24"/>
          <w:vertAlign w:val="superscript"/>
        </w:rPr>
        <w:footnoteReference w:id="114"/>
      </w:r>
      <w:r w:rsidRPr="009A3C86">
        <w:rPr>
          <w:rFonts w:ascii="Times New Roman" w:hAnsi="Times New Roman"/>
          <w:sz w:val="24"/>
          <w:szCs w:val="24"/>
        </w:rPr>
        <w:t xml:space="preserve"> Dlatego też art. 20 projektu przesądza, że wszelkie odstępstwa organu władzy publicznej od utrwalonej praktyki rozstrzygania spraw w takim samym stanie faktycznym i prawnym muszą mieć swoją „uzasadnioną przyczynę”, tj. np., gdy dotychczasowa praktyka okaże się sprzeczna z prawem (orzeczenie TK) albo gdy ważniejszy będzie istotny interes publiczny lub społeczny.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Organ będzie związany jedynie praktyką, której można będzie przypisać przymiot utrwalonej. Na przykład z orzecznictwa Trybunału Sprawiedliwości UE można wywieść, że przymiot „utrwalonej” będzie miała taka praktyka, która będzie w stanie „wzbudzić w świadomości ostrożnego i należycie poinformowanego podmiotu racjonalne (uprawnione) oczekiwania, że organ rozstrzygnie sprawę w określony sposób” (por. wyrok TSUE w sprawie Salomie i Oltean, C-183/14; wyrok TSUE w sprawie Elmeka, C-181/04 do C-183/04).</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proporcjonalności</w:t>
      </w:r>
    </w:p>
    <w:p w:rsidR="00FA30AA" w:rsidRPr="009A3C86" w:rsidRDefault="00FA30AA" w:rsidP="00FA30AA">
      <w:pPr>
        <w:spacing w:after="0" w:line="360" w:lineRule="auto"/>
        <w:jc w:val="both"/>
        <w:rPr>
          <w:rFonts w:ascii="Times New Roman" w:hAnsi="Times New Roman"/>
          <w:iCs/>
          <w:sz w:val="24"/>
          <w:szCs w:val="24"/>
        </w:rPr>
      </w:pPr>
      <w:r w:rsidRPr="009A3C86">
        <w:rPr>
          <w:rFonts w:ascii="Times New Roman" w:hAnsi="Times New Roman"/>
          <w:sz w:val="24"/>
          <w:szCs w:val="24"/>
        </w:rPr>
        <w:t xml:space="preserve">Zasada ta, ujęta w </w:t>
      </w:r>
      <w:r w:rsidRPr="009A3C86">
        <w:rPr>
          <w:rFonts w:ascii="Times New Roman" w:hAnsi="Times New Roman"/>
          <w:b/>
          <w:bCs/>
          <w:sz w:val="24"/>
          <w:szCs w:val="24"/>
        </w:rPr>
        <w:t>art. 21</w:t>
      </w:r>
      <w:r w:rsidRPr="009A3C86">
        <w:rPr>
          <w:rFonts w:ascii="Times New Roman" w:hAnsi="Times New Roman"/>
          <w:bCs/>
          <w:sz w:val="24"/>
          <w:szCs w:val="24"/>
        </w:rPr>
        <w:t xml:space="preserve"> projektu, jest tożsama z zakazem nadmiernej ingerencji w sferę praw i wolności jednostki (zobowiązanego). Przepis a</w:t>
      </w:r>
      <w:r w:rsidRPr="009A3C86">
        <w:rPr>
          <w:rFonts w:ascii="Times New Roman" w:hAnsi="Times New Roman"/>
          <w:sz w:val="24"/>
          <w:szCs w:val="24"/>
        </w:rPr>
        <w:t>rtykułuje trzy klasyczne warunki proporcjonalności działań skutkujących nałożeniem na zobowiązanego obowiązków lub ograniczeniem jego praw</w:t>
      </w:r>
      <w:r w:rsidRPr="009A3C86">
        <w:rPr>
          <w:rFonts w:ascii="Times New Roman" w:hAnsi="Times New Roman"/>
          <w:sz w:val="24"/>
          <w:szCs w:val="24"/>
          <w:vertAlign w:val="superscript"/>
        </w:rPr>
        <w:footnoteReference w:id="115"/>
      </w:r>
      <w:r w:rsidRPr="009A3C86">
        <w:rPr>
          <w:rFonts w:ascii="Times New Roman" w:hAnsi="Times New Roman"/>
          <w:sz w:val="24"/>
          <w:szCs w:val="24"/>
        </w:rPr>
        <w:t xml:space="preserve">. Są to warunki (kryteria, testy) adekwatności, niezbędności i proporcjonalności </w:t>
      </w:r>
      <w:r w:rsidRPr="009A3C86">
        <w:rPr>
          <w:rFonts w:ascii="Times New Roman" w:hAnsi="Times New Roman"/>
          <w:i/>
          <w:iCs/>
          <w:sz w:val="24"/>
          <w:szCs w:val="24"/>
        </w:rPr>
        <w:t>sensu stricto</w:t>
      </w:r>
      <w:r w:rsidRPr="009A3C86">
        <w:rPr>
          <w:rFonts w:ascii="Times New Roman" w:hAnsi="Times New Roman"/>
          <w:iCs/>
          <w:sz w:val="24"/>
          <w:szCs w:val="24"/>
        </w:rPr>
        <w:t xml:space="preserve"> (zakładającej ważenie przeciwstawnych interesów i wartości).</w:t>
      </w:r>
    </w:p>
    <w:p w:rsidR="00FA30AA" w:rsidRPr="009A3C86" w:rsidRDefault="00FA30AA" w:rsidP="00FA30AA">
      <w:pPr>
        <w:spacing w:after="0" w:line="360" w:lineRule="auto"/>
        <w:jc w:val="both"/>
        <w:rPr>
          <w:rFonts w:ascii="Times New Roman" w:hAnsi="Times New Roman"/>
          <w:iCs/>
          <w:sz w:val="24"/>
          <w:szCs w:val="24"/>
        </w:rPr>
      </w:pPr>
      <w:r w:rsidRPr="009A3C86">
        <w:rPr>
          <w:rFonts w:ascii="Times New Roman" w:hAnsi="Times New Roman"/>
          <w:sz w:val="24"/>
          <w:szCs w:val="24"/>
        </w:rPr>
        <w:t xml:space="preserve">Korzystając ze swoich uprawnień oraz stosując środki prawne wobec podatników i innych uczestników postępowania, organ podatkowy nie powinien wykraczać poza to, co niezbędne dla osiągnięcia celów ustawowych. Wybierając pomiędzy uprawnieniami czy środkami prawnymi, organ podatkowy powinien dokonać wyboru najbardziej korzystnego dla podatnika, jeśli umożliwi to osiągnięcie celu ustawowego. W zakresie spraw, w których mogą działać w </w:t>
      </w:r>
      <w:r w:rsidRPr="009A3C86">
        <w:rPr>
          <w:rFonts w:ascii="Times New Roman" w:hAnsi="Times New Roman"/>
          <w:sz w:val="24"/>
          <w:szCs w:val="24"/>
        </w:rPr>
        <w:lastRenderedPageBreak/>
        <w:t>ramach uprawnień dyskrecjonalnych, organy podatkowe powinny dokonywać rozstrzygnięć zgodnych z celem, dla którego te uprawnienia dyskrecjonalne zostały im przyznane oraz w granicach tych uprawnień wyznaczonych przez prawo</w:t>
      </w:r>
      <w:r w:rsidRPr="009A3C86">
        <w:rPr>
          <w:rFonts w:ascii="Times New Roman" w:hAnsi="Times New Roman"/>
          <w:sz w:val="24"/>
          <w:szCs w:val="24"/>
          <w:vertAlign w:val="superscript"/>
        </w:rPr>
        <w:footnoteReference w:id="116"/>
      </w:r>
      <w:r w:rsidRPr="009A3C86">
        <w:rPr>
          <w:rFonts w:ascii="Times New Roman" w:hAnsi="Times New Roman"/>
          <w:sz w:val="24"/>
          <w:szCs w:val="24"/>
        </w:rPr>
        <w:t>.</w:t>
      </w:r>
    </w:p>
    <w:p w:rsidR="00FA30AA" w:rsidRPr="009A3C86" w:rsidRDefault="00FA30AA" w:rsidP="00FA30A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iCs/>
          <w:sz w:val="24"/>
          <w:szCs w:val="24"/>
        </w:rPr>
        <w:t xml:space="preserve">Zasada proporcjonalności </w:t>
      </w:r>
      <w:r w:rsidRPr="009A3C86">
        <w:rPr>
          <w:rFonts w:ascii="Times New Roman" w:hAnsi="Times New Roman"/>
          <w:sz w:val="24"/>
          <w:szCs w:val="24"/>
        </w:rPr>
        <w:t>ma zakotwiczenie w Konstytucji RP (w art. 31 ust. 3 oraz art. 2)</w:t>
      </w:r>
      <w:r w:rsidRPr="009A3C86">
        <w:rPr>
          <w:rFonts w:ascii="Times New Roman" w:hAnsi="Times New Roman"/>
          <w:sz w:val="24"/>
          <w:szCs w:val="24"/>
          <w:vertAlign w:val="superscript"/>
        </w:rPr>
        <w:footnoteReference w:id="117"/>
      </w:r>
      <w:r w:rsidRPr="009A3C86">
        <w:rPr>
          <w:rFonts w:ascii="Times New Roman" w:hAnsi="Times New Roman"/>
          <w:sz w:val="24"/>
          <w:szCs w:val="24"/>
        </w:rPr>
        <w:t>. Stanowi także zasadę prawa Unii Europejskiej jako jedna z zasad uniwersalnych w systemach państw członkowskich, wywodzona ze wspólnej dla państw członkowskich zasady praworządności</w:t>
      </w:r>
      <w:r w:rsidRPr="009A3C86">
        <w:rPr>
          <w:rFonts w:ascii="Times New Roman" w:hAnsi="Times New Roman"/>
          <w:sz w:val="24"/>
          <w:szCs w:val="24"/>
          <w:vertAlign w:val="superscript"/>
        </w:rPr>
        <w:footnoteReference w:id="118"/>
      </w:r>
      <w:r w:rsidRPr="009A3C86">
        <w:rPr>
          <w:rFonts w:ascii="Times New Roman" w:hAnsi="Times New Roman"/>
          <w:sz w:val="24"/>
          <w:szCs w:val="24"/>
        </w:rPr>
        <w:t>. Współcześnie jest powszechnie przyjmowana w porządkach prawnych wielu państw. Wymaga ona w szczególności, by wszystkie podejmowane w postępowaniu czynności były związane z przedmiotem tego postępowania. Oznacza to, że organ podatkowy nie jest uprawniony do gromadzenia informacji, które nie mają związku z postępowaniem</w:t>
      </w:r>
      <w:r w:rsidRPr="009A3C86">
        <w:rPr>
          <w:rFonts w:ascii="Times New Roman" w:hAnsi="Times New Roman"/>
          <w:sz w:val="24"/>
          <w:szCs w:val="24"/>
          <w:vertAlign w:val="superscript"/>
        </w:rPr>
        <w:footnoteReference w:id="119"/>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Waga tej zasady i jej praktyczna owocność w coraz większym stopniu jest dostrzegana w polskiej literaturze także w kontekście prawa podatkowego</w:t>
      </w:r>
      <w:r w:rsidRPr="009A3C86">
        <w:rPr>
          <w:rFonts w:ascii="Times New Roman" w:hAnsi="Times New Roman"/>
          <w:sz w:val="24"/>
          <w:szCs w:val="24"/>
          <w:vertAlign w:val="superscript"/>
        </w:rPr>
        <w:footnoteReference w:id="120"/>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proporcjonalności została wspomniana, jakkolwiek lakonicznie, w art. 8 § 1 k.p.a. (w brzmieniu obowiązującym od 1 czerwca 2017 r.). „Zasada proporcjonalności” znalazła swoje miejsce również w art. 5 Kodeksu dobrej administracji – wskazującym, że „Władze publiczne powinny działać zgodnie z zasadą proporcjonalności” i „Powinny one nakładać środki godzące w prawa lub interesy osób prywatnych jedynie tam, gdzie jest konieczne oraz w zakresie wymaganym dla osiągnięcia realizowanego celu” oraz „Wykonując swe kompetencje dyskrecjonalne, powinny one utrzymywać właściwą równowagę między jakimikolwiek szkodliwymi skutkami, jakie ich dyskrecjonalna kompetencja ma dla praw lub interesów osób prywatnych, a celami, które one realizują. Żadne podejmowanie przez nie środki nie mogą być </w:t>
      </w:r>
      <w:r w:rsidRPr="009A3C86">
        <w:rPr>
          <w:rFonts w:ascii="Times New Roman" w:hAnsi="Times New Roman"/>
          <w:sz w:val="24"/>
          <w:szCs w:val="24"/>
        </w:rPr>
        <w:lastRenderedPageBreak/>
        <w:t>ekscesywne”. Wyraża ją także art. 6 Europejskiego Kodeksu Dobrej Praktyki Administracyjnej</w:t>
      </w:r>
      <w:r w:rsidRPr="009A3C86">
        <w:rPr>
          <w:rFonts w:ascii="Times New Roman" w:hAnsi="Times New Roman"/>
          <w:sz w:val="24"/>
          <w:szCs w:val="24"/>
          <w:vertAlign w:val="superscript"/>
        </w:rPr>
        <w:footnoteReference w:id="121"/>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Zgodnie z art. 18 ust. 3 projektu ustawy – Przepisy ogólne prawa administracyjnego „Wszelkie działania organów administracji publicznej powinny być współmierne do obranego celu. W szczególności, ograniczenie praw jednostki lub nakładanie na nią obowiązków jest dopuszczalne tylko wtedy i tylko w takim zakresie, w jakim ograniczenia te lub obowiązki służyć będą do osiągnięcia wynikającego z ustawy celu prowadzonych działań, gdy będą do tego niezbędne i gdy będą stanowiły dla ich adresata uciążliwość proporcjonalną względem doniosłości społecznej tego celu”.</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celowości i efektywności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art. 22 § 1</w:t>
      </w:r>
      <w:r w:rsidRPr="009A3C86">
        <w:rPr>
          <w:rFonts w:ascii="Times New Roman" w:hAnsi="Times New Roman"/>
          <w:bCs/>
          <w:sz w:val="24"/>
          <w:szCs w:val="24"/>
        </w:rPr>
        <w:t xml:space="preserve"> projektu wymaga, by organy podatkowe działały w sposób celowy i efektywny. W</w:t>
      </w:r>
      <w:r w:rsidRPr="009A3C86">
        <w:rPr>
          <w:rFonts w:ascii="Times New Roman" w:hAnsi="Times New Roman"/>
          <w:sz w:val="24"/>
          <w:szCs w:val="24"/>
        </w:rPr>
        <w:t>ynikająca z niego norma prawna nie powiela treści art. 21 – nie dotyczy bowiem przypadków, w których zostają ograniczone prawa zobowiązanego lub zostają nałożone na niego obowiązki, lecz kształtują ogólny obowiązek działania przez organ podatkowy w sposób celowy, tj. umożliwiający osiągnięcie założonego celu ustawowego oraz efektywny, tj. umożliwiający jego osiągnięcie przy możliwie najmniejszych nakładach</w:t>
      </w:r>
      <w:r w:rsidRPr="009A3C86">
        <w:rPr>
          <w:rFonts w:ascii="Times New Roman" w:hAnsi="Times New Roman"/>
          <w:sz w:val="24"/>
          <w:szCs w:val="24"/>
          <w:vertAlign w:val="superscript"/>
        </w:rPr>
        <w:footnoteReference w:id="122"/>
      </w:r>
      <w:r w:rsidRPr="009A3C86">
        <w:rPr>
          <w:rFonts w:ascii="Times New Roman" w:hAnsi="Times New Roman"/>
          <w:sz w:val="24"/>
          <w:szCs w:val="24"/>
        </w:rPr>
        <w:t xml:space="preserve">. Zasada ta oznacza, że działania organów nie powinny powodować nieuzasadnionych kosztów dla żadnej ze stron postępowania. Ma to również znaczenie, jeśli chodzi o zakres gromadzonych na potrzeby administracji danych, a jest przyjętym standardem także w innych porządkach prawnych, np. w Czechach. </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pragmatyzmu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w:t>
      </w:r>
      <w:r w:rsidR="00C26DEC" w:rsidRPr="009A3C86">
        <w:rPr>
          <w:rFonts w:ascii="Times New Roman" w:hAnsi="Times New Roman"/>
          <w:sz w:val="24"/>
          <w:szCs w:val="24"/>
        </w:rPr>
        <w:t>(</w:t>
      </w:r>
      <w:r w:rsidR="00C26DEC" w:rsidRPr="009A3C86">
        <w:rPr>
          <w:rFonts w:ascii="Times New Roman" w:hAnsi="Times New Roman"/>
          <w:b/>
          <w:sz w:val="24"/>
          <w:szCs w:val="24"/>
        </w:rPr>
        <w:t>art. 22 § 2</w:t>
      </w:r>
      <w:r w:rsidR="009C4CA3" w:rsidRPr="009A3C86">
        <w:rPr>
          <w:rFonts w:ascii="Times New Roman" w:hAnsi="Times New Roman"/>
          <w:b/>
          <w:sz w:val="24"/>
          <w:szCs w:val="24"/>
        </w:rPr>
        <w:t xml:space="preserve"> </w:t>
      </w:r>
      <w:r w:rsidR="009C4CA3" w:rsidRPr="009A3C86">
        <w:rPr>
          <w:rFonts w:ascii="Times New Roman" w:hAnsi="Times New Roman"/>
          <w:sz w:val="24"/>
          <w:szCs w:val="24"/>
        </w:rPr>
        <w:t>projektu</w:t>
      </w:r>
      <w:r w:rsidR="00C26DEC" w:rsidRPr="009A3C86">
        <w:rPr>
          <w:rFonts w:ascii="Times New Roman" w:hAnsi="Times New Roman"/>
          <w:sz w:val="24"/>
          <w:szCs w:val="24"/>
        </w:rPr>
        <w:t xml:space="preserve">) </w:t>
      </w:r>
      <w:r w:rsidRPr="009A3C86">
        <w:rPr>
          <w:rFonts w:ascii="Times New Roman" w:hAnsi="Times New Roman"/>
          <w:sz w:val="24"/>
          <w:szCs w:val="24"/>
        </w:rPr>
        <w:t xml:space="preserve">umożliwia organom podatkowym odstąpienie </w:t>
      </w:r>
      <w:r w:rsidRPr="009A3C86">
        <w:rPr>
          <w:rFonts w:ascii="Times New Roman" w:hAnsi="Times New Roman"/>
          <w:bCs/>
          <w:sz w:val="24"/>
          <w:szCs w:val="24"/>
        </w:rPr>
        <w:t xml:space="preserve">od dokonania wymaganej przez przepis prawa podatkowego czynności, jeżeli wiąże się ona z kosztami niewspółmiernymi do rezultatu, jaki można przez tę czynność osiągnąć, pod warunkiem, że nie </w:t>
      </w:r>
      <w:r w:rsidRPr="009A3C86">
        <w:rPr>
          <w:rFonts w:ascii="Times New Roman" w:hAnsi="Times New Roman"/>
          <w:bCs/>
          <w:sz w:val="24"/>
          <w:szCs w:val="24"/>
        </w:rPr>
        <w:lastRenderedPageBreak/>
        <w:t xml:space="preserve">ogranicza to praw zobowiązanego i nie prowadzi do nałożenia na niego obowiązków. </w:t>
      </w:r>
      <w:r w:rsidRPr="009A3C86">
        <w:rPr>
          <w:rFonts w:ascii="Times New Roman" w:hAnsi="Times New Roman"/>
          <w:sz w:val="24"/>
          <w:szCs w:val="24"/>
        </w:rPr>
        <w:t xml:space="preserve">Jest to w istocie zasada oportunizmu, uwalniająca organy podatkowe od obowiązku podejmowania działań nieracjonalnych ekonomicznie; konotacja negatywna wyrazu „oportunizm” każe użyć alternatywnego określenia. Zasada ta uwalnia organy podatkowe od obowiązku podejmowania </w:t>
      </w:r>
      <w:r w:rsidRPr="009A3C86">
        <w:rPr>
          <w:rFonts w:ascii="Times New Roman" w:hAnsi="Times New Roman"/>
          <w:bCs/>
          <w:sz w:val="24"/>
          <w:szCs w:val="24"/>
        </w:rPr>
        <w:t xml:space="preserve">działań nieracjonalnych ekonomicznie. </w:t>
      </w:r>
      <w:r w:rsidRPr="009A3C86">
        <w:rPr>
          <w:rFonts w:ascii="Times New Roman" w:hAnsi="Times New Roman"/>
          <w:sz w:val="24"/>
          <w:szCs w:val="24"/>
        </w:rPr>
        <w:t>Nie godząc w prawa zobowiązanego z tytułu podatku, pozwala administracji powstrzymać się od czynności, która jest niecelowa z przyczyn ekonomicznych – na przykład nie przyczynia się do ustalenia stanu faktycznego korzystnego dla podmiotu zobowiązanego, a jednocześnie skutkuje ponoszeniem przez państwo niepotrzebnych kosztów wymiaru podatku.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pragmatyzmu nie pokrywa się z zasadą proporcjonalności (wręcz jest z nią zakresowo rozłączna). Dotyczy bowiem – w odróżnieniu od tej ostatniej – czynności, które nie</w:t>
      </w:r>
      <w:r w:rsidRPr="009A3C86">
        <w:rPr>
          <w:rFonts w:ascii="Times New Roman" w:hAnsi="Times New Roman"/>
          <w:bCs/>
          <w:sz w:val="24"/>
          <w:szCs w:val="24"/>
        </w:rPr>
        <w:t xml:space="preserve"> ograniczają praw zobowiązanego i nie prowadzą do nałożenia na niego obowiązków</w:t>
      </w:r>
      <w:r w:rsidRPr="009A3C86">
        <w:rPr>
          <w:rFonts w:ascii="Times New Roman" w:hAnsi="Times New Roman"/>
          <w:sz w:val="24"/>
          <w:szCs w:val="24"/>
        </w:rPr>
        <w:t>. Jest ona zarazem swoistym uszczegółowieniem czy też ważnym aspektem zasady celowości i efektywności (dlatego obie zostały umieszczone w jednym artykule projektu).</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prawdy obiektywnej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odzwierciedla art. 122 obowiązującej o.p. – z kilkoma znaczącymi modyfikacjami. W porównaniu z przepisem obecnie obowiązującym w </w:t>
      </w:r>
      <w:r w:rsidRPr="009A3C86">
        <w:rPr>
          <w:rFonts w:ascii="Times New Roman" w:hAnsi="Times New Roman"/>
          <w:b/>
          <w:bCs/>
          <w:sz w:val="24"/>
          <w:szCs w:val="24"/>
        </w:rPr>
        <w:t>art. 23 § 1</w:t>
      </w:r>
      <w:r w:rsidRPr="009A3C86">
        <w:rPr>
          <w:rFonts w:ascii="Times New Roman" w:hAnsi="Times New Roman"/>
          <w:bCs/>
          <w:sz w:val="24"/>
          <w:szCs w:val="24"/>
        </w:rPr>
        <w:t xml:space="preserve"> projektu przewidziano podejmowanie „niezbędnych działań”, a nie „wszelkich niezbędnych działań” z uwagi na jednoczesną propozycję wprowadzenia zasad pragmatyzmu oraz ugodowego załatwiania spraw, które uwalniają organ podatkowy od obowiązku maksymalizacji intensywności i zakresu własnych działań bez baczenia na ich koszty i rezultaty możliwe do osiągnięcia za ich pomocą. Mowa także ogólnie o „załatwieniu sprawy”, a nie jej załatwieniu „w postępowaniu podatkowym”, gdyż przepis obejmuje swoim zakresem także procedury inne niż postępowanie. Wreszcie dodano, że sprawa ma być załatwiona „w terminie”.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Podobna zasada obowiązuje na gruncie k.p.a. (art. 7); zob. także art. 8 Kodeksu Dobrej Praktyki Administracyjnej. </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rozstrzygania wątpliwości co do stanu faktycznego na korzyść zobowiązanego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wyrażona w </w:t>
      </w:r>
      <w:r w:rsidRPr="009A3C86">
        <w:rPr>
          <w:rFonts w:ascii="Times New Roman" w:hAnsi="Times New Roman"/>
          <w:b/>
          <w:bCs/>
          <w:sz w:val="24"/>
          <w:szCs w:val="24"/>
        </w:rPr>
        <w:t>art. 23 § 2</w:t>
      </w:r>
      <w:r w:rsidRPr="009A3C86">
        <w:rPr>
          <w:rFonts w:ascii="Times New Roman" w:hAnsi="Times New Roman"/>
          <w:bCs/>
          <w:sz w:val="24"/>
          <w:szCs w:val="24"/>
        </w:rPr>
        <w:t xml:space="preserve"> projektu, zobowiązuje organ podatkowy do tego, by w przypadku, gdy po przeprowadzeniu postępowania dowodowego w sprawie pozostają niedające się usunąć wątpliwości co do stanu faktycznego, rozstrzygać je na korzyść zobowiązanego. Stanowi ona </w:t>
      </w:r>
      <w:r w:rsidRPr="009A3C86">
        <w:rPr>
          <w:rFonts w:ascii="Times New Roman" w:hAnsi="Times New Roman"/>
          <w:sz w:val="24"/>
          <w:szCs w:val="24"/>
        </w:rPr>
        <w:t xml:space="preserve">drugi, tym razem odnoszący się do ustaleń faktycznych, aspekt dyrektywy </w:t>
      </w:r>
      <w:r w:rsidRPr="009A3C86">
        <w:rPr>
          <w:rFonts w:ascii="Times New Roman" w:hAnsi="Times New Roman"/>
          <w:i/>
          <w:iCs/>
          <w:sz w:val="24"/>
          <w:szCs w:val="24"/>
        </w:rPr>
        <w:t>in dubio pro tributario</w:t>
      </w:r>
      <w:r w:rsidRPr="009A3C86">
        <w:rPr>
          <w:rFonts w:ascii="Times New Roman" w:hAnsi="Times New Roman"/>
          <w:sz w:val="24"/>
          <w:szCs w:val="24"/>
        </w:rPr>
        <w:t xml:space="preserve">. Ze względu na jej ścisły związek z zasadą prawdy </w:t>
      </w:r>
      <w:r w:rsidRPr="009A3C86">
        <w:rPr>
          <w:rFonts w:ascii="Times New Roman" w:hAnsi="Times New Roman"/>
          <w:sz w:val="24"/>
          <w:szCs w:val="24"/>
        </w:rPr>
        <w:lastRenderedPageBreak/>
        <w:t>obiektywnej oraz postępowaniem dowodowym zdecydowano jednak o jej uregulowaniu w tym właśnie miejscu i odrębnie od art. 18.</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Niemożliwe do usunięcia wątpliwości co do stanu faktycznego mogą wystąpić przykładowo w sytuacji, gdy wskutek upływu czasu lub złożoności rzeczywistości dowody możliwe do przeprowadzenia w sprawie będą zbyt ubogie lub sprzeczne – tak, że nie będzie obiektywnie możliwe poczynienie ustaleń faktycznych opierających się wątpliwościom.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Od zasady tej przewidziano dwa wyjątki dla przypadków, gdy:</w:t>
      </w:r>
    </w:p>
    <w:p w:rsidR="00FA30AA" w:rsidRPr="009A3C86" w:rsidRDefault="00FA30AA" w:rsidP="00C52B65">
      <w:pPr>
        <w:numPr>
          <w:ilvl w:val="0"/>
          <w:numId w:val="3"/>
        </w:numPr>
        <w:spacing w:after="0" w:line="360" w:lineRule="auto"/>
        <w:jc w:val="both"/>
        <w:rPr>
          <w:rFonts w:ascii="Times New Roman" w:hAnsi="Times New Roman"/>
          <w:sz w:val="24"/>
          <w:szCs w:val="24"/>
        </w:rPr>
      </w:pPr>
      <w:r w:rsidRPr="009A3C86">
        <w:rPr>
          <w:rFonts w:ascii="Times New Roman" w:hAnsi="Times New Roman"/>
          <w:sz w:val="24"/>
          <w:szCs w:val="24"/>
        </w:rPr>
        <w:t xml:space="preserve">wynik postępowania ma wpływ na interesy </w:t>
      </w:r>
      <w:r w:rsidR="00C52B65" w:rsidRPr="009A3C86">
        <w:rPr>
          <w:rFonts w:ascii="Times New Roman" w:hAnsi="Times New Roman"/>
          <w:sz w:val="24"/>
          <w:szCs w:val="24"/>
        </w:rPr>
        <w:t>innych osób</w:t>
      </w:r>
      <w:r w:rsidRPr="009A3C86">
        <w:rPr>
          <w:rFonts w:ascii="Times New Roman" w:hAnsi="Times New Roman"/>
          <w:sz w:val="24"/>
          <w:szCs w:val="24"/>
        </w:rPr>
        <w:t>;</w:t>
      </w:r>
    </w:p>
    <w:p w:rsidR="00FA30AA" w:rsidRPr="009A3C86" w:rsidRDefault="00FA30AA" w:rsidP="00FA30AA">
      <w:pPr>
        <w:numPr>
          <w:ilvl w:val="0"/>
          <w:numId w:val="3"/>
        </w:numPr>
        <w:spacing w:after="0" w:line="360" w:lineRule="auto"/>
        <w:jc w:val="both"/>
        <w:rPr>
          <w:rFonts w:ascii="Times New Roman" w:hAnsi="Times New Roman"/>
          <w:sz w:val="24"/>
          <w:szCs w:val="24"/>
        </w:rPr>
      </w:pPr>
      <w:r w:rsidRPr="009A3C86">
        <w:rPr>
          <w:rFonts w:ascii="Times New Roman" w:hAnsi="Times New Roman"/>
          <w:sz w:val="24"/>
          <w:szCs w:val="24"/>
        </w:rPr>
        <w:t>przepisy odrębne wymagają od strony wykazania określonych faktów (</w:t>
      </w:r>
      <w:r w:rsidRPr="009A3C86">
        <w:rPr>
          <w:rFonts w:ascii="Times New Roman" w:hAnsi="Times New Roman"/>
          <w:b/>
          <w:sz w:val="24"/>
          <w:szCs w:val="24"/>
        </w:rPr>
        <w:t>§ 3</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Przepisy odrębne wprowadzające taki wymóg należą w prawie podatkowych do rzadkości. W doktrynie i orzecznictwie zdyskwalifikowany został bowiem pogląd, że w postępowaniu podatkowym podatnika (zobowiązanego) obciąża ciężar dowodu – że ma on obowiązek przedstawienia dowodów na podnoszone przez siebie tezy i okoliczności. Jako przykład przepisu szczególnego, który kreuje jednak obowiązek wykazania  przez stronę określonych faktów, można wskazać art. 25g ust. 1 ustawy z dnia 26 lipca 1991 r. o podatku od osób fizycznych (Dz.</w:t>
      </w:r>
      <w:r w:rsidR="00EB106C" w:rsidRPr="009A3C86">
        <w:rPr>
          <w:rFonts w:ascii="Times New Roman" w:hAnsi="Times New Roman"/>
          <w:sz w:val="24"/>
          <w:szCs w:val="24"/>
        </w:rPr>
        <w:t xml:space="preserve"> </w:t>
      </w:r>
      <w:r w:rsidRPr="009A3C86">
        <w:rPr>
          <w:rFonts w:ascii="Times New Roman" w:hAnsi="Times New Roman"/>
          <w:sz w:val="24"/>
          <w:szCs w:val="24"/>
        </w:rPr>
        <w:t>U. z 2018 r. poz. 509, z późn. zm.). Zgodnie z tym przepisem „w toku postępowania podatkowego albo w toku kontroli celno-skarbowej ciężar dowodu w zakresie wykazania przychodów (dochodów) opodatkowanych lub przychodów (dochodów) nieopodatkowanych stanowiących pokrycie wydatku spoczywa na podatniku” (z zastrzeżeniem przepisów następnych).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Odpowiednikiem tej zasady w k.p.a. jest art. 81a § 1 k.p.a. (obowiązujący od 1 czerwca 2017 r.) w brzmieniu: „Jeżeli przedmiotem postępowania administracyjnego jest nałożenie na stronę obowiązku bądź ograniczenie lub odebranie stronie uprawnienia, a w tym zakresie pozostają niedające się usunąć wątpliwości co do stanu faktycznego, wątpliwości te są rozstrzygane na korzyść strony”; przepis § 2 określa wyjątki od tej zasady. Wcześniej w art. 26 projektu ustawy – Przepisy ogólne prawa administracyjnego proponowano wskazanie, że „Jeżeli w sprawie rozstrzyganej przez organ administracji publicznej pozostają niejasności i wątpliwości co do jej stanu prawnego lub faktycznego, to nie mogą być one traktowane jako okoliczności niekorzystne dla uczestników sprawy”.</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szybkości i prostoty załatwiania spraw</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24</w:t>
      </w:r>
      <w:r w:rsidRPr="009A3C86">
        <w:rPr>
          <w:rFonts w:ascii="Times New Roman" w:hAnsi="Times New Roman"/>
          <w:sz w:val="24"/>
          <w:szCs w:val="24"/>
        </w:rPr>
        <w:t xml:space="preserve"> projektu jest odpowiednikiem art. 125 obowiązującej ordynacji. Podobne reguły postępowania zawarto w art. 12 k.p.a. i art. 17 Europejskiego Kodeksu Dobrej Praktyki </w:t>
      </w:r>
      <w:r w:rsidRPr="009A3C86">
        <w:rPr>
          <w:rFonts w:ascii="Times New Roman" w:hAnsi="Times New Roman"/>
          <w:sz w:val="24"/>
          <w:szCs w:val="24"/>
        </w:rPr>
        <w:lastRenderedPageBreak/>
        <w:t>Administracyjnej oraz art. 7 Kodeksu Dobrej Administracji („Zasada podejmowania działania w rozsądnym czasie”)</w:t>
      </w:r>
      <w:r w:rsidRPr="009A3C86">
        <w:rPr>
          <w:rFonts w:ascii="Times New Roman" w:hAnsi="Times New Roman"/>
          <w:sz w:val="24"/>
          <w:szCs w:val="24"/>
          <w:vertAlign w:val="superscript"/>
        </w:rPr>
        <w:footnoteReference w:id="123"/>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ograniczonego gromadzenia informacji, dokumentów i innych dowodów</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ta uprawnia organy podatkowe do żądania tylko tych informacji, dokumentów i innych dowodów, do których nie mają dostępu, tj. które nie znajdują się w ich posiadaniu i których organy podatkowe nie mogą pozyskać od innych organów władzy publicznej, a które mogą mieć wpływ na rozstrzygnięcie sprawy (</w:t>
      </w:r>
      <w:r w:rsidRPr="009A3C86">
        <w:rPr>
          <w:rFonts w:ascii="Times New Roman" w:hAnsi="Times New Roman"/>
          <w:b/>
          <w:sz w:val="24"/>
          <w:szCs w:val="24"/>
        </w:rPr>
        <w:t>art. 25</w:t>
      </w:r>
      <w:r w:rsidRPr="009A3C86">
        <w:rPr>
          <w:rFonts w:ascii="Times New Roman" w:hAnsi="Times New Roman"/>
          <w:sz w:val="24"/>
          <w:szCs w:val="24"/>
        </w:rPr>
        <w:t xml:space="preserve"> projektu)</w:t>
      </w:r>
      <w:r w:rsidRPr="009A3C86">
        <w:rPr>
          <w:rFonts w:ascii="Times New Roman" w:hAnsi="Times New Roman"/>
          <w:sz w:val="24"/>
          <w:szCs w:val="24"/>
          <w:vertAlign w:val="superscript"/>
        </w:rPr>
        <w:footnoteReference w:id="124"/>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wyważania interesu zobowiązanego i interesu publicznego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Zasadą jest nakaz wyważania słusznego interesu zobowiązanego i interesu publicznego (</w:t>
      </w:r>
      <w:r w:rsidRPr="009A3C86">
        <w:rPr>
          <w:rFonts w:ascii="Times New Roman" w:hAnsi="Times New Roman"/>
          <w:b/>
          <w:bCs/>
          <w:sz w:val="24"/>
          <w:szCs w:val="24"/>
        </w:rPr>
        <w:t>art. 26</w:t>
      </w:r>
      <w:r w:rsidRPr="009A3C86">
        <w:rPr>
          <w:rFonts w:ascii="Times New Roman" w:hAnsi="Times New Roman"/>
          <w:bCs/>
          <w:sz w:val="24"/>
          <w:szCs w:val="24"/>
        </w:rPr>
        <w:t xml:space="preserve"> projektu). Z</w:t>
      </w:r>
      <w:r w:rsidRPr="009A3C86">
        <w:rPr>
          <w:rFonts w:ascii="Times New Roman" w:hAnsi="Times New Roman"/>
          <w:sz w:val="24"/>
          <w:szCs w:val="24"/>
        </w:rPr>
        <w:t xml:space="preserve">asada ta znajdzie zastosowanie w szczególności w przypadku decyzji uznaniowych, w tym w sprawie udzielenia ulgi w spłacie, w sprawie zabezpieczenia wykonania zobowiązania podatkowego, zastosowania rygoru natychmiastowej wykonalności itd. Stosowanie prawa podatkowego, w tym wymierzanie zobowiązanemu wysokości należności podatkowych, nie może być uzależnione od wyważania interesu zobowiązanego z interesem publicznym. W istocie jednak w każdej sprawie interesy te w ich wzajemnej relacji pozostają ważne, dlatego choćby, że ich wyważenie jest wymagane dla zastosowania zasady proporcjonalności (por. kryterium trzecie – proporcjonalności </w:t>
      </w:r>
      <w:r w:rsidRPr="009A3C86">
        <w:rPr>
          <w:rFonts w:ascii="Times New Roman" w:hAnsi="Times New Roman"/>
          <w:i/>
          <w:sz w:val="24"/>
          <w:szCs w:val="24"/>
        </w:rPr>
        <w:t>sensu stricto</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 odniesieniu do decyzji uznaniowych wymóg taki sformułowano w art. 18 ust. 2 projektu ustawy – Przepisy ogólne prawa administracyjnego: „Jeżeli z przepisów prawa wynika, że organ administracji publicznej korzysta przy rozstrzyganiu sprawy z uznania administracyjnego, to powinien ją załatwić zgodnie z żądaniem jednostki, mając na względzie potrzebę wyważania ujawnionych w sprawie racji interesu jednostkowego, grupowego i publicznego oraz cel regulacji prawnej, jak też możliwości faktycznego wykonania żądanego uprawnienia”.</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czynnego udziału strony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Standardem powszechnie stosowanym w ramach różnych procedur prawnych jest zapewnienie stronie czynnego udziału. Zasada ta (</w:t>
      </w:r>
      <w:r w:rsidRPr="009A3C86">
        <w:rPr>
          <w:rFonts w:ascii="Times New Roman" w:hAnsi="Times New Roman"/>
          <w:b/>
          <w:bCs/>
          <w:sz w:val="24"/>
          <w:szCs w:val="24"/>
        </w:rPr>
        <w:t>art. 27</w:t>
      </w:r>
      <w:r w:rsidRPr="009A3C86">
        <w:rPr>
          <w:rFonts w:ascii="Times New Roman" w:hAnsi="Times New Roman"/>
          <w:bCs/>
          <w:sz w:val="24"/>
          <w:szCs w:val="24"/>
        </w:rPr>
        <w:t xml:space="preserve"> projektu</w:t>
      </w:r>
      <w:r w:rsidRPr="009A3C86">
        <w:rPr>
          <w:rFonts w:ascii="Times New Roman" w:hAnsi="Times New Roman"/>
          <w:sz w:val="24"/>
          <w:szCs w:val="24"/>
        </w:rPr>
        <w:t xml:space="preserve">) stanowi odpowiednik art. 123 obowiązującej o.p. – jednak z dość znaczącymi modyfikacjami. Polegają one na uproszczeniu przepisu poprzez rezygnację z precyzowania, w jaki sposób i w jakim stadium procedury realizowana jest ta zasada oraz z określania wyjątku ujętego obecnie w art. 123 § 2. Modyfikacje te służą nadaniu zasadzie niezbędnej ogólności. Taka generalizacja przepisu powoduje również, że zasada przestaje być odnoszona wyłącznie do postępowania podatkowego.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Sposób realizacji prawa czynnego udziału może mieć różny kształt i przejawiać się w prawie do dostarczania dowodów, informacji, prawie do uczestniczenia w poszczególnych czynnościach postępowania dowodowego, wypowiadaniu się w przedmiocie materiału dowodowego przed wydaniem decyzji, czy nawet zapoznawaniu strony przez władze podatkowe ze swoim stanowiskiem i prawie żądania od strony odniesienia się do tych argumentów. Wszelkie szczegóły dotyczące przejawów tej zasady powinny być i są regulowane w przepisach szczegółowych.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Podobna zasada jest uregulowana w art. 10 k.p.a.; wynika również z art. 8 „Zasada partycypacji”</w:t>
      </w:r>
      <w:r w:rsidRPr="009A3C86">
        <w:rPr>
          <w:rFonts w:ascii="Times New Roman" w:hAnsi="Times New Roman"/>
          <w:sz w:val="24"/>
          <w:szCs w:val="24"/>
          <w:vertAlign w:val="superscript"/>
        </w:rPr>
        <w:footnoteReference w:id="125"/>
      </w:r>
      <w:r w:rsidRPr="009A3C86">
        <w:rPr>
          <w:rFonts w:ascii="Times New Roman" w:hAnsi="Times New Roman"/>
          <w:sz w:val="24"/>
          <w:szCs w:val="24"/>
        </w:rPr>
        <w:t xml:space="preserve"> i art. 14 „Prawo osób prywatnych do wysłuchania w związku z decyzjami indywidualnymi”</w:t>
      </w:r>
      <w:r w:rsidRPr="009A3C86">
        <w:rPr>
          <w:rFonts w:ascii="Times New Roman" w:hAnsi="Times New Roman"/>
          <w:sz w:val="24"/>
          <w:szCs w:val="24"/>
          <w:vertAlign w:val="superscript"/>
        </w:rPr>
        <w:footnoteReference w:id="126"/>
      </w:r>
      <w:r w:rsidRPr="009A3C86">
        <w:rPr>
          <w:rFonts w:ascii="Times New Roman" w:hAnsi="Times New Roman"/>
          <w:sz w:val="24"/>
          <w:szCs w:val="24"/>
        </w:rPr>
        <w:t xml:space="preserve"> Kodeksu Dobrej Administracji, a także art. 16 Europejskiego Kodeksu Dobrej Praktyki Administracyjnej „Prawo wysłuchania i złożenia oświadczeń”</w:t>
      </w:r>
      <w:r w:rsidRPr="009A3C86">
        <w:rPr>
          <w:rFonts w:ascii="Times New Roman" w:hAnsi="Times New Roman"/>
          <w:sz w:val="24"/>
          <w:szCs w:val="24"/>
          <w:vertAlign w:val="superscript"/>
        </w:rPr>
        <w:footnoteReference w:id="127"/>
      </w:r>
      <w:r w:rsidRPr="009A3C86">
        <w:rPr>
          <w:rFonts w:ascii="Times New Roman" w:hAnsi="Times New Roman"/>
          <w:sz w:val="24"/>
          <w:szCs w:val="24"/>
        </w:rPr>
        <w:t>. Podobne prawa są także wymieniane w kartach praw podatnika, m.in. we Francji</w:t>
      </w:r>
      <w:r w:rsidRPr="009A3C86">
        <w:rPr>
          <w:rFonts w:ascii="Times New Roman" w:hAnsi="Times New Roman"/>
          <w:sz w:val="24"/>
          <w:szCs w:val="24"/>
          <w:vertAlign w:val="superscript"/>
        </w:rPr>
        <w:footnoteReference w:id="128"/>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przekonywania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Wprawdzie zasada ta jest już znana obowiązującej o.p. (statuuje ją art. 124), to jednak brzmienie przepisu proponowane w </w:t>
      </w:r>
      <w:r w:rsidRPr="009A3C86">
        <w:rPr>
          <w:rFonts w:ascii="Times New Roman" w:hAnsi="Times New Roman"/>
          <w:b/>
          <w:sz w:val="24"/>
          <w:szCs w:val="24"/>
        </w:rPr>
        <w:t>art. 28 § 1</w:t>
      </w:r>
      <w:r w:rsidRPr="009A3C86">
        <w:rPr>
          <w:rFonts w:ascii="Times New Roman" w:hAnsi="Times New Roman"/>
          <w:sz w:val="24"/>
          <w:szCs w:val="24"/>
        </w:rPr>
        <w:t xml:space="preserve"> projektu jest odmienne od obecnego. Końcowa </w:t>
      </w:r>
      <w:r w:rsidRPr="009A3C86">
        <w:rPr>
          <w:rFonts w:ascii="Times New Roman" w:hAnsi="Times New Roman"/>
          <w:sz w:val="24"/>
          <w:szCs w:val="24"/>
        </w:rPr>
        <w:lastRenderedPageBreak/>
        <w:t>jego część przestaje odnosić się do postępowania podatkowego („aby w miarę możliwości doprowadzić do wykonania przez strony decyzji bez stosowania środków przymusu”), a zaczyna do szerszej kategorii obowiązków („dążąc do dobrowolnego wykonania przez niego [tj. zobowiązanego] obowiązków wynikających z przepisów prawa podatkowego”).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Szczególnym wymogiem wynikającym z zasady przekonywania jest właściwe uzasadnianie decyzji podatkowych.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Podobną zasadę (choć o istotnie węższym zakresie) wyrażono m.in. w art. 11 k.p.a. („Organy administracji publicznej powinny wyjaśniać stronom zasadność przesłanek, którymi kierują się przy załatwieniu sprawy, aby w ten sposób w miarę możności doprowadzić do wykonania przez strony decyzji bez potrzeby stosowania środków przymusu”) i art. 18 Europejskiego Kodeksu Dobrej Praktyki Administracyjnej „Obowiązek uzasadnienia decyzji”</w:t>
      </w:r>
      <w:r w:rsidRPr="009A3C86">
        <w:rPr>
          <w:rFonts w:ascii="Times New Roman" w:hAnsi="Times New Roman"/>
          <w:sz w:val="24"/>
          <w:szCs w:val="24"/>
          <w:vertAlign w:val="superscript"/>
        </w:rPr>
        <w:footnoteReference w:id="129"/>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ugodowego załatwiania spraw</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ta stanowi nowo wprowadzane uzupełnienie zasady przekonywania (</w:t>
      </w:r>
      <w:r w:rsidRPr="009A3C86">
        <w:rPr>
          <w:rFonts w:ascii="Times New Roman" w:hAnsi="Times New Roman"/>
          <w:b/>
          <w:bCs/>
          <w:sz w:val="24"/>
          <w:szCs w:val="24"/>
        </w:rPr>
        <w:t>art. 28 § 2</w:t>
      </w:r>
      <w:r w:rsidRPr="009A3C86">
        <w:rPr>
          <w:rFonts w:ascii="Times New Roman" w:hAnsi="Times New Roman"/>
          <w:bCs/>
          <w:sz w:val="24"/>
          <w:szCs w:val="24"/>
        </w:rPr>
        <w:t xml:space="preserve"> projektu). </w:t>
      </w:r>
      <w:r w:rsidRPr="009A3C86">
        <w:rPr>
          <w:rFonts w:ascii="Times New Roman" w:hAnsi="Times New Roman"/>
          <w:sz w:val="24"/>
          <w:szCs w:val="24"/>
        </w:rPr>
        <w:t>Konsensualne rozwiązywanie sporów podatkowych przynosi wiele korzyści i pozwala realizować wiele wartości istotnych dla prawa i jego użytkowników bez szkody dla praworządności rozstrzygnięć</w:t>
      </w:r>
      <w:r w:rsidRPr="009A3C86">
        <w:rPr>
          <w:rFonts w:ascii="Times New Roman" w:hAnsi="Times New Roman"/>
          <w:sz w:val="24"/>
          <w:szCs w:val="24"/>
          <w:vertAlign w:val="superscript"/>
        </w:rPr>
        <w:footnoteReference w:id="130"/>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Ustanowiony w ten sposób </w:t>
      </w:r>
      <w:r w:rsidRPr="009A3C86">
        <w:rPr>
          <w:rFonts w:ascii="Times New Roman" w:hAnsi="Times New Roman"/>
          <w:sz w:val="24"/>
          <w:szCs w:val="24"/>
        </w:rPr>
        <w:t xml:space="preserve">przepis wskazuje na powinność organu podatkowego, by zmierzać do załatwienia sprawy w porozumieniu z zobowiązanym, a nie zobowiązuje organu do zawarcia takiego porozumienia. Prawna i faktyczna możność ugodowego załatwienia sprawy, w szczególności przez zawarcie umowy podatkowej, zależy od struktury sytuacji ukształtowanej zarówno przez właściwości i postawy organu podatkowego oraz zobowiązanego, jak i obiektywny (albo postrzegany jako obiektywny) charakter sprawy podatkowej. Przepis art. 28 § 2 projektu zobowiązuje więc organ podatkowy do podjęcia starań ku ugodowemu załatwieniu sprawy (poprzez działania własne obejmujące również gwarantowanie zobowiązanym należytej informacji na temat alternatywnych metod rozwiązywania sporów podatkowych), nie zobowiązując go zarazem do osiągnięcia określonego ich wyniku, przede wszystkim dlatego, że wynik taki nie jest zawsze pożądany lub osiągalny. Dlatego także w odniesieniu do procedury podatkowej aktualne jest wyjaśnienie zawarte w uzasadnieniu nowelizacji k.p.a. z </w:t>
      </w:r>
      <w:r w:rsidRPr="009A3C86">
        <w:rPr>
          <w:rFonts w:ascii="Times New Roman" w:hAnsi="Times New Roman"/>
          <w:sz w:val="24"/>
          <w:szCs w:val="24"/>
        </w:rPr>
        <w:lastRenderedPageBreak/>
        <w:t>2017 r., s. 18: „Proponuje się, aby podejmowanie przez organy administracji czynności zmierzających do polubownego rozwiązywania kwestii spornych było aktualne w każdej sprawie, której charakter na to pozwala, i na właściwych do tego etapach postępowania, o ile będzie to zgodne z przepisami prawa”.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Także przepis art. 13 k.p.a., w brzmieniu obowiązującym od dnia 1 czerwca 2017 r.</w:t>
      </w:r>
      <w:r w:rsidRPr="009A3C86">
        <w:rPr>
          <w:rFonts w:ascii="Times New Roman" w:hAnsi="Times New Roman"/>
          <w:sz w:val="24"/>
          <w:szCs w:val="24"/>
          <w:vertAlign w:val="superscript"/>
        </w:rPr>
        <w:footnoteReference w:id="131"/>
      </w:r>
      <w:r w:rsidRPr="009A3C86">
        <w:rPr>
          <w:rFonts w:ascii="Times New Roman" w:hAnsi="Times New Roman"/>
          <w:sz w:val="24"/>
          <w:szCs w:val="24"/>
        </w:rPr>
        <w:t>, ustanawia zasadę polubownego rozstrzygania kwestii spornych</w:t>
      </w:r>
      <w:r w:rsidRPr="009A3C86">
        <w:rPr>
          <w:rFonts w:ascii="Times New Roman" w:hAnsi="Times New Roman"/>
          <w:sz w:val="24"/>
          <w:szCs w:val="24"/>
          <w:vertAlign w:val="superscript"/>
        </w:rPr>
        <w:footnoteReference w:id="132"/>
      </w:r>
      <w:r w:rsidRPr="009A3C86">
        <w:rPr>
          <w:rFonts w:ascii="Times New Roman" w:hAnsi="Times New Roman"/>
          <w:sz w:val="24"/>
          <w:szCs w:val="24"/>
        </w:rPr>
        <w:t>. Podobnie, zgodnie z art. 41 ust. 1 i 3 projektu ustawy – Przepisy ogólne prawa administracyjnego, organ administracji publicznej w drodze decyzji administracyjnej albo poprzez podjęcie innego aktu lub czynności władczej uprawniony jest do zawarcia umowy z osobami, których interesów prawnych lub obowiązków sprawa dotyczy, o ile nie stoją temu na przeszkodzie przepisy szczególne. Umowa może służyć także do ustalenia stanu faktycznego lub stanu prawnego w sprawie, jeżeli ustalenie ich na podstawie środków dowodowych w postępowaniu wyjaśniającym, prowadzonym na podstawie mających zastosowanie przepisów o postępowaniu administracyjnym, okazało się niemożliwe albo wymagało poniesienia kosztów niewspółmiernych wobec celu postępowania – umowę taką projekt nazywa układem.</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Również zgodnie z Kodeksem podatnika Unii Europejskiej (pkt 3.2.2) podatnicy mogą oczekiwać m.in. tego, że „będą mogli zawrzeć umowę z administracjami podatkowymi dotyczącą ich spraw podatkowych” i „podjęcia, w stosownych przypadkach, dialogu z administracjami podatkowymi”.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ugodowego załatwiania spraw pozostaje w związku z zasadą przekonywania, dlatego że próba konsensualnego załatwienia sprawy zakłada podjęcie przez organ podatkowy istotnego wysiłku informacyjnego i komunikacyjnego: wyartykułowanie i wyjaśnienie uwarunkowań sprawy (takich, jakimi są one w optyce organu). Próba taka, nawet </w:t>
      </w:r>
      <w:r w:rsidRPr="009A3C86">
        <w:rPr>
          <w:rFonts w:ascii="Times New Roman" w:hAnsi="Times New Roman"/>
          <w:sz w:val="24"/>
          <w:szCs w:val="24"/>
        </w:rPr>
        <w:lastRenderedPageBreak/>
        <w:t>nieuwieńczona powodzeniem, pozostawia zobowiązanego w sytuacji pogłębionej wiedzy na temat prawnych i faktycznych przesłanek przyszłego rozstrzygnięcia organu.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Oczywistym wyrazem zasady ugodowego załatwiania spraw są przepisy zawarte w rozdziałach 10 i 11 działu III dotyczące umowy podatkowej oraz mediacji. Istotne elementy konsensualne są obecne także w procedurach szczególnych: konsultacji skutków podatkowych transakcji </w:t>
      </w:r>
      <w:r w:rsidR="00B57140" w:rsidRPr="009A3C86">
        <w:rPr>
          <w:rFonts w:ascii="Times New Roman" w:hAnsi="Times New Roman"/>
          <w:sz w:val="24"/>
          <w:szCs w:val="24"/>
        </w:rPr>
        <w:t xml:space="preserve">(rozdział 3 działu IV) </w:t>
      </w:r>
      <w:r w:rsidRPr="009A3C86">
        <w:rPr>
          <w:rFonts w:ascii="Times New Roman" w:hAnsi="Times New Roman"/>
          <w:sz w:val="24"/>
          <w:szCs w:val="24"/>
        </w:rPr>
        <w:t xml:space="preserve">oraz </w:t>
      </w:r>
      <w:r w:rsidR="00B57140" w:rsidRPr="009A3C86">
        <w:rPr>
          <w:rFonts w:ascii="Times New Roman" w:hAnsi="Times New Roman"/>
          <w:sz w:val="24"/>
          <w:szCs w:val="24"/>
        </w:rPr>
        <w:t>uprzednich porozumień cenowych</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pisemności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Zauważyć należy, że projekt w </w:t>
      </w:r>
      <w:r w:rsidRPr="009A3C86">
        <w:rPr>
          <w:rFonts w:ascii="Times New Roman" w:hAnsi="Times New Roman"/>
          <w:b/>
          <w:bCs/>
          <w:sz w:val="24"/>
          <w:szCs w:val="24"/>
        </w:rPr>
        <w:t>art. 29</w:t>
      </w:r>
      <w:r w:rsidRPr="009A3C86">
        <w:rPr>
          <w:rFonts w:ascii="Times New Roman" w:hAnsi="Times New Roman"/>
          <w:bCs/>
          <w:sz w:val="24"/>
          <w:szCs w:val="24"/>
        </w:rPr>
        <w:t xml:space="preserve"> </w:t>
      </w:r>
      <w:r w:rsidRPr="009A3C86">
        <w:rPr>
          <w:rFonts w:ascii="Times New Roman" w:hAnsi="Times New Roman"/>
          <w:sz w:val="24"/>
          <w:szCs w:val="24"/>
        </w:rPr>
        <w:t>reguluje zasadę pisemności, zgodnie z którą</w:t>
      </w:r>
      <w:r w:rsidRPr="009A3C86">
        <w:rPr>
          <w:rFonts w:ascii="Times New Roman" w:hAnsi="Times New Roman"/>
          <w:bCs/>
          <w:sz w:val="24"/>
          <w:szCs w:val="24"/>
        </w:rPr>
        <w:t xml:space="preserve"> </w:t>
      </w:r>
      <w:r w:rsidRPr="009A3C86">
        <w:rPr>
          <w:rFonts w:ascii="Times New Roman" w:hAnsi="Times New Roman"/>
          <w:sz w:val="24"/>
          <w:szCs w:val="24"/>
        </w:rPr>
        <w:t xml:space="preserve">sprawy podatkowe załatwiane są pisemnie, w tym również w postaci elektronicznej, chyba że przepis </w:t>
      </w:r>
      <w:r w:rsidR="00702F37" w:rsidRPr="009A3C86">
        <w:rPr>
          <w:rFonts w:ascii="Times New Roman" w:hAnsi="Times New Roman"/>
          <w:sz w:val="24"/>
          <w:szCs w:val="24"/>
        </w:rPr>
        <w:t xml:space="preserve">szczególny </w:t>
      </w:r>
      <w:r w:rsidRPr="009A3C86">
        <w:rPr>
          <w:rFonts w:ascii="Times New Roman" w:hAnsi="Times New Roman"/>
          <w:sz w:val="24"/>
          <w:szCs w:val="24"/>
        </w:rPr>
        <w:t>stanowi inaczej. Zrezygnowano ze sformułowania funkcjonującego w obowiązującym art. 126 o.p., zgodnie z którym sprawy załatwiane są w formie pisemnej. Zauważyć bowiem należy, że zgodnie z art. 73 § 1 ustawy z dnia 23 kwietnia 1964 r. – Kodeks cywilny (Dz. U. z 2017 r., poz. 459 z późn. zm.), jeżeli ustawa zastrzega dla czynności prawnej formę pisemną, dokumentową albo elektroniczną, czynność dokonana bez zachowania zastrzeżonej formy jest nieważna tylko wtedy, gdy ustawa przewiduje rygor nieważności. W zasadzie pisemności uregulowanej w art. 29 projektu nie chodzi wyłącznie o formę czynności prawnych podejmowanych przez organy podatkowe. Przepis ten ma bowiem znaczenie szersze, chodzi w nim o sposób przekazania informacji za pomocą pisma, czyli tekstem składającym się między innymi z liter, cyfr i innych znaków specjalnych. Natomiast taka informacja może mieć postać papierową lub elektroniczną. Postać wyraża zatem techniczny sposób zapisu informacji.</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jawności wyłącznie dla stron</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ujęta w </w:t>
      </w:r>
      <w:r w:rsidRPr="009A3C86">
        <w:rPr>
          <w:rFonts w:ascii="Times New Roman" w:hAnsi="Times New Roman"/>
          <w:b/>
          <w:sz w:val="24"/>
          <w:szCs w:val="24"/>
        </w:rPr>
        <w:t>art. 30</w:t>
      </w:r>
      <w:r w:rsidRPr="009A3C86">
        <w:rPr>
          <w:rFonts w:ascii="Times New Roman" w:hAnsi="Times New Roman"/>
          <w:sz w:val="24"/>
          <w:szCs w:val="24"/>
        </w:rPr>
        <w:t xml:space="preserve"> projektu odpowiada art. 129 obowiązującej o.p.; nowe zastrzeżenie zawarte w końcowej części („chyba że przepis szczególny stanowi inaczej”) odnosi się w szczególności do mediatora. Mediacja prowadzona jest w ramach i w trakcie postępowania podatkowego, mediator ma (co do zasady, tj. w razie braku sprzeciwu strony) dostęp do akt sprawy.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jawności wyłącznie dla stron stanowi istotny aspekt poufności, do której organy podatkowe zobowiązują się wobec podatników  (por. np. art. 14 Modelu karty podatnika, a także karty praw podatnika w innych państwach</w:t>
      </w:r>
      <w:r w:rsidRPr="009A3C86">
        <w:rPr>
          <w:rFonts w:ascii="Times New Roman" w:hAnsi="Times New Roman"/>
          <w:sz w:val="24"/>
          <w:szCs w:val="24"/>
          <w:vertAlign w:val="superscript"/>
        </w:rPr>
        <w:footnoteReference w:id="133"/>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dwuinstancyjności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ta, ujęta w </w:t>
      </w:r>
      <w:r w:rsidRPr="009A3C86">
        <w:rPr>
          <w:rFonts w:ascii="Times New Roman" w:hAnsi="Times New Roman"/>
          <w:b/>
          <w:bCs/>
          <w:sz w:val="24"/>
          <w:szCs w:val="24"/>
        </w:rPr>
        <w:t>art. 31</w:t>
      </w:r>
      <w:r w:rsidRPr="009A3C86">
        <w:rPr>
          <w:rFonts w:ascii="Times New Roman" w:hAnsi="Times New Roman"/>
          <w:bCs/>
          <w:sz w:val="24"/>
          <w:szCs w:val="24"/>
        </w:rPr>
        <w:t xml:space="preserve"> projektu, stanowi wprost odpowiednik art. 127 obowiązującej o.p. </w:t>
      </w:r>
      <w:r w:rsidRPr="009A3C86">
        <w:rPr>
          <w:rFonts w:ascii="Times New Roman" w:hAnsi="Times New Roman"/>
          <w:sz w:val="24"/>
          <w:szCs w:val="24"/>
        </w:rPr>
        <w:t>Podobny przepis zawiera k.p.a. (art. 15), z tym że opatrzony zastrzeżeniem „chyba że przepis szczególny stanowi inaczej”. Zastrzeżenie to jest zbędne, ponieważ nawet niedewolutywny środek zaskarżenia (wniosek o ponowne rozpatrzenie sprawy i odwołanie niedewolutywne) nie uchybia zasadzie dwuinstancyjności – nie stanowi o odstępstwie od niej.</w:t>
      </w:r>
    </w:p>
    <w:p w:rsidR="00FA30AA" w:rsidRPr="009A3C86" w:rsidRDefault="00FA30AA" w:rsidP="00FA30AA">
      <w:pPr>
        <w:spacing w:after="0" w:line="360" w:lineRule="auto"/>
        <w:jc w:val="both"/>
        <w:rPr>
          <w:rFonts w:ascii="Times New Roman" w:hAnsi="Times New Roman"/>
          <w:sz w:val="24"/>
          <w:szCs w:val="24"/>
        </w:rPr>
      </w:pP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Zasada trwałości decyzji ostatecznych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Zasada ustanowiona w </w:t>
      </w:r>
      <w:r w:rsidRPr="009A3C86">
        <w:rPr>
          <w:rFonts w:ascii="Times New Roman" w:hAnsi="Times New Roman"/>
          <w:b/>
          <w:sz w:val="24"/>
          <w:szCs w:val="24"/>
        </w:rPr>
        <w:t>art. 32</w:t>
      </w:r>
      <w:r w:rsidRPr="009A3C86">
        <w:rPr>
          <w:rFonts w:ascii="Times New Roman" w:hAnsi="Times New Roman"/>
          <w:sz w:val="24"/>
          <w:szCs w:val="24"/>
        </w:rPr>
        <w:t xml:space="preserve"> projektu odpowiada art. 128 obowiązującej o.p. (z modyfikacją </w:t>
      </w:r>
      <w:r w:rsidRPr="009A3C86">
        <w:rPr>
          <w:rFonts w:ascii="Times New Roman" w:hAnsi="Times New Roman"/>
          <w:i/>
          <w:sz w:val="24"/>
          <w:szCs w:val="24"/>
        </w:rPr>
        <w:t>in fine</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Podobny przepis zawiera k.p.a. (art. 15), z tym że w obecnym projekcie zrezygnowano z definiowania prawomocnej decyzji podatkowej. Jest to pojęcie znane doktrynie prawa podatkowego, jednak praktycznie nie na tyle doniosłe, by zachodziła konieczność jego ujęcia w przepisie o randze zasady; pojęcie to (czy też wysławiające je wyrażenie ustawowe) nie występuje także w przepisach o.p. (w odróżnieniu od k.p.a.; por. art. 296 tej ostatniej ustawy).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6. Dokonując zestawienia zasad prawa podatkowego z obecnym katalogiem zasad postępowania podatkowego (choć – jak wskazano powyżej – w praktyce odnoszonym również do materialnego prawa podatkowego), łatwo zauważyć, że w projekcie ordynacji podatkowej lista zasad została znacznie poszerzona. Wynika to z rozwoju prawa podatkowego, jaki nastąpił w ciągu ostatnich dwudziestu lat (od uchwalenia obowiązującej o.p.). W tym czasie ewoluowały stosunki społeczne łączące zobowiązanych (w tym podatników) z organami podatkowymi, powstała zatem potrzeba uwzględnienia tych zmian. Z tego względu w nowej regulacji prawnej zostały wprowadzone zasady usprawniające relacje pomiędzy zobowiązanymi z tytułu podatku oraz administracją podatkową: wymóg wyważania przez organy podatkowe słusznego interesu zobowiązanego oraz interesu publicznego, powinność udzielania zobowiązanemu przez organy podatkowe informacji i wsparcia w samodzielnym, dobrowolnym i prawidłowym wykonywaniu jego praw i obowiązków, zasady proporcjonalności, bezstronności i równego traktowania. Jednocześnie wyraźnie wyartykułowano powinność współdziałania przez zobowiązanych z administracją podatkową </w:t>
      </w:r>
      <w:r w:rsidRPr="009A3C86">
        <w:rPr>
          <w:rFonts w:ascii="Times New Roman" w:hAnsi="Times New Roman"/>
          <w:sz w:val="24"/>
          <w:szCs w:val="24"/>
        </w:rPr>
        <w:lastRenderedPageBreak/>
        <w:t>w zakresie wynikającym z przepisów prawa podatkowego oraz ograniczono przysługujące organom podatkowym prawo do pozyskiwania dokumentów i informacji.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Godne odnotowania jest ponadto wprowadzenie regulacji dotyczącej sposobu funkcjonowania administracji podatkowej, m.in. fakt, że do rangi zasady prawa podatkowego podniesiono wymóg działania przez organy podatkowe w sposób celowy i efektywny.</w:t>
      </w:r>
    </w:p>
    <w:p w:rsidR="00FA30AA" w:rsidRPr="009A3C86" w:rsidRDefault="00FA30AA" w:rsidP="00D72E74">
      <w:pPr>
        <w:tabs>
          <w:tab w:val="num" w:pos="720"/>
        </w:tabs>
        <w:spacing w:before="120" w:after="0" w:line="360" w:lineRule="auto"/>
        <w:jc w:val="both"/>
        <w:outlineLvl w:val="2"/>
        <w:rPr>
          <w:rFonts w:ascii="Times New Roman" w:eastAsia="Times New Roman" w:hAnsi="Times New Roman"/>
          <w:b/>
          <w:sz w:val="24"/>
          <w:szCs w:val="24"/>
        </w:rPr>
      </w:pPr>
      <w:bookmarkStart w:id="9" w:name="_Toc494363223"/>
      <w:r w:rsidRPr="009A3C86">
        <w:rPr>
          <w:rFonts w:ascii="Times New Roman" w:eastAsia="Times New Roman" w:hAnsi="Times New Roman"/>
          <w:b/>
          <w:sz w:val="24"/>
          <w:szCs w:val="24"/>
        </w:rPr>
        <w:t xml:space="preserve">Rozdział </w:t>
      </w:r>
      <w:r w:rsidR="00440FBF" w:rsidRPr="009A3C86">
        <w:rPr>
          <w:rFonts w:ascii="Times New Roman" w:eastAsia="Times New Roman" w:hAnsi="Times New Roman"/>
          <w:b/>
          <w:sz w:val="24"/>
          <w:szCs w:val="24"/>
        </w:rPr>
        <w:t>3</w:t>
      </w:r>
      <w:r w:rsidRPr="009A3C86">
        <w:rPr>
          <w:rFonts w:ascii="Times New Roman" w:eastAsia="Times New Roman" w:hAnsi="Times New Roman"/>
          <w:b/>
          <w:sz w:val="24"/>
          <w:szCs w:val="24"/>
        </w:rPr>
        <w:t>. Klauzula ogólna przeciwko unikaniu opodatkowania</w:t>
      </w:r>
      <w:bookmarkEnd w:id="9"/>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Klauzula ogólna przeciwko unikaniu opodatkowania została wprowadzona do polskiego systemu podatkowego z dniem 16 lipca 2016 r. (ustawa z dnia 13 maja 2016 r. o zmianie ustawy – Ordynacja podatkowa oraz niektórych innych ustaw, Dz. U. poz. 846). Należy utrzymać ją w systemie prawnym w dotychczasowym kształcie, nie zmieniając zakresu jej zastosowania, a poddając niewielkim korektom tylko niektóre rozwiązania szczegółowe.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Utrzymanie tego rozwiązania w systemie podatkowym jest konieczne zarówno ze względu na potrzebę ochrony dochodów budżetowych, jak i wymogi stawiane państwom członkowskim przez prawo Unii Europejskiej.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Informacji z dnia 17 kwietnia 2015 r. o wynikach kontroli „Nadzór organów podatkowych i organów kontroli skarbowej nad prawidłowością rozliczeń z budżetem państwa podmiotów z udziałem kapitału zagranicznego”</w:t>
      </w:r>
      <w:r w:rsidRPr="009A3C86">
        <w:rPr>
          <w:rFonts w:ascii="Times New Roman" w:eastAsia="Times New Roman" w:hAnsi="Times New Roman"/>
          <w:sz w:val="24"/>
          <w:szCs w:val="24"/>
          <w:vertAlign w:val="superscript"/>
        </w:rPr>
        <w:footnoteReference w:id="134"/>
      </w:r>
      <w:r w:rsidRPr="009A3C86">
        <w:rPr>
          <w:rFonts w:ascii="Times New Roman" w:eastAsia="Times New Roman" w:hAnsi="Times New Roman"/>
          <w:sz w:val="24"/>
          <w:szCs w:val="24"/>
        </w:rPr>
        <w:t xml:space="preserve"> Najwyższa Izba Kontroli stwierdziła, że brak klauzuli przeciwko unikaniu opodatkowania „…na gruncie obowiązującego prawa stanowi przeszkodę w zapewnieniu szczelności polskiego systemu podatkowego” (s. 15). W wystąpieniu pokontrolnym Prezesa Najwyższej Izby Kontroli po kontroli Ministerstwa Finansów z 12 stycznia 2015 r., P/14/013 zaprezentowana została następująca ocena: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latach 2008-2013, obniżyła się relacja wpływów z podatku dochodowego od osób prawnych do produktu krajowego brutto: z 2,72% w 2008 r. i 2,29% w 2009 r. do 1,79% w 2013 r. Było to wynikiem pogorszenia warunków prowadzenia działalności gospodarczej i</w:t>
      </w:r>
      <w:r w:rsidRPr="009A3C86">
        <w:rPr>
          <w:rFonts w:ascii="Times New Roman" w:eastAsia="Times New Roman" w:hAnsi="Times New Roman"/>
          <w:i/>
          <w:iCs/>
          <w:sz w:val="24"/>
          <w:szCs w:val="24"/>
        </w:rPr>
        <w:t xml:space="preserve"> </w:t>
      </w:r>
      <w:r w:rsidRPr="009A3C86">
        <w:rPr>
          <w:rFonts w:ascii="Times New Roman" w:eastAsia="Times New Roman" w:hAnsi="Times New Roman"/>
          <w:sz w:val="24"/>
          <w:szCs w:val="24"/>
        </w:rPr>
        <w:t>obniżenia rentowności podmiotów gospodarczych. Spadek ten mógł być spowodowany także upowszechnieniem działań mających na celu unikanie lub uchylanie się od opodatkowania”</w:t>
      </w:r>
      <w:r w:rsidRPr="009A3C86">
        <w:rPr>
          <w:rFonts w:ascii="Times New Roman" w:eastAsia="Times New Roman" w:hAnsi="Times New Roman"/>
          <w:sz w:val="24"/>
          <w:szCs w:val="24"/>
          <w:vertAlign w:val="superscript"/>
        </w:rPr>
        <w:footnoteReference w:id="135"/>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„Również efektywna stawka podatkowa, liczona jako relacja kwoty podatku należnego do wartości podstawy opodatkowania, dla osób prawnych w 2013 r. była niższa niż w latach poprzednich i wyniosła 17,04%, podczas gdy 17,29% w 2012 r. i 17,37% w 2011 r. Dla podmiotów z udziałem kapitału zagranicznego stawka ta była niższa i wyniosła 16,26% </w:t>
      </w:r>
      <w:r w:rsidRPr="009A3C86">
        <w:rPr>
          <w:rFonts w:ascii="Times New Roman" w:eastAsia="Times New Roman" w:hAnsi="Times New Roman"/>
          <w:sz w:val="24"/>
          <w:szCs w:val="24"/>
        </w:rPr>
        <w:br/>
      </w:r>
      <w:r w:rsidRPr="009A3C86">
        <w:rPr>
          <w:rFonts w:ascii="Times New Roman" w:eastAsia="Times New Roman" w:hAnsi="Times New Roman"/>
          <w:sz w:val="24"/>
          <w:szCs w:val="24"/>
        </w:rPr>
        <w:lastRenderedPageBreak/>
        <w:t>w 2013 r., a 16,87% w 2012 r. i 16,83% w 2011 r. Efektywne oprocentowanie podstawy opodatkowania podmiotów z udziałem kapitału zagranicznego było niższe niż dla pozostałych podatników CIT o:</w:t>
      </w:r>
    </w:p>
    <w:p w:rsidR="00FA30AA" w:rsidRPr="009A3C86" w:rsidRDefault="00FA30AA" w:rsidP="00FA30AA">
      <w:pPr>
        <w:numPr>
          <w:ilvl w:val="0"/>
          <w:numId w:val="4"/>
        </w:numPr>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0,83 punktu procentowego w 2011 r.,</w:t>
      </w:r>
    </w:p>
    <w:p w:rsidR="00FA30AA" w:rsidRPr="009A3C86" w:rsidRDefault="00FA30AA" w:rsidP="00FA30AA">
      <w:pPr>
        <w:numPr>
          <w:ilvl w:val="0"/>
          <w:numId w:val="4"/>
        </w:numPr>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0,64 punktu procentowego w 2012 r.,</w:t>
      </w:r>
    </w:p>
    <w:p w:rsidR="00FA30AA" w:rsidRPr="009A3C86" w:rsidRDefault="00FA30AA" w:rsidP="00FA30AA">
      <w:pPr>
        <w:numPr>
          <w:ilvl w:val="0"/>
          <w:numId w:val="4"/>
        </w:numPr>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1,22 punktu procentowego w 2013 r.”</w:t>
      </w:r>
      <w:r w:rsidRPr="009A3C86">
        <w:rPr>
          <w:rFonts w:ascii="Times New Roman" w:eastAsia="Times New Roman" w:hAnsi="Times New Roman"/>
          <w:sz w:val="24"/>
          <w:szCs w:val="24"/>
          <w:vertAlign w:val="superscript"/>
        </w:rPr>
        <w:footnoteReference w:id="136"/>
      </w:r>
      <w:r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cytowanym wystąpieniu pokontrolnym skierowanym do Ministerstwa Finansów Najwyższa Izba Kontroli wniosła m.in. o „wdrażanie rozwiązań mających na celu przeciwdziałanie zmniejszaniu się podstawy opodatkowania podatku  dochodowego, spójnych z zaleceniami UE i OECD” (s. 32).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Wprowadzenie do polskiego porządku prawnego klauzuli przeciwko unikaniu opodatkowania uporządkowało system prawa podatkowego, wyznaczając granice dopuszczalnej optymalizacji podatkowej oraz wzmacniając autonomię prawa podatkowego wobec prawa cywilnego.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Klauzula przeciwko unikaniu opodatkowania, tak jak dotychczas powinna mieć zastosowanie, jeśli rezultatem działań mających cechy agresywnej optymalizacji podatkowej. W celu zminimalizowania dolegliwości odczuwanej przez adresatów regulacji oraz zapewnienia im poczucia pewności prawa projekt zawiera propozycję utrzymania dotychczasowych rozwiązań w postaci opinii zabezpieczających, umożliwiających podatnikom poznanie stanowiska administracji podatkowej co do planowanych lub podjętych już transakcji, do których potencjalnie zastosowanie może znaleźć klauzula. Opinie będą zawierały ocenę, czy planowana przez podatnika konstrukcja prawna stanowi nadużycie swobody kształtowania stosunków prawnych uzasadniające zastosowanie ogólnej klauzuli przeciwko unikaniu opodatkowania. </w:t>
      </w:r>
    </w:p>
    <w:p w:rsidR="00FA30AA" w:rsidRPr="009A3C86" w:rsidRDefault="00FA30AA" w:rsidP="00FA30AA">
      <w:pPr>
        <w:widowControl w:val="0"/>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Przewidywalność i wyważony sposób stosowania klauzuli w indywidualnych sprawach zgodnie z projektem ma wzmacniać niezależny od administracji podatkowej opiniodawczy panel ekspercki – Rada do spraw </w:t>
      </w:r>
      <w:r w:rsidR="00D44198" w:rsidRPr="009A3C86">
        <w:rPr>
          <w:rFonts w:ascii="Times New Roman" w:eastAsia="Times New Roman" w:hAnsi="Times New Roman"/>
          <w:sz w:val="24"/>
          <w:szCs w:val="24"/>
        </w:rPr>
        <w:t xml:space="preserve">Przeciwdziałania </w:t>
      </w:r>
      <w:r w:rsidRPr="009A3C86">
        <w:rPr>
          <w:rFonts w:ascii="Times New Roman" w:eastAsia="Times New Roman" w:hAnsi="Times New Roman"/>
          <w:sz w:val="24"/>
          <w:szCs w:val="24"/>
        </w:rPr>
        <w:t xml:space="preserve">Unikania Opodatkowania. </w:t>
      </w:r>
    </w:p>
    <w:p w:rsidR="00FA30AA" w:rsidRPr="009A3C86" w:rsidRDefault="00FA30AA" w:rsidP="00FA30AA">
      <w:pPr>
        <w:widowControl w:val="0"/>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Negatywne zjawisko zwane „unikaniem opodatkowania” (</w:t>
      </w:r>
      <w:r w:rsidRPr="009A3C86">
        <w:rPr>
          <w:rFonts w:ascii="Times New Roman" w:eastAsia="Times New Roman" w:hAnsi="Times New Roman"/>
          <w:i/>
          <w:iCs/>
          <w:sz w:val="24"/>
          <w:szCs w:val="24"/>
        </w:rPr>
        <w:t>tax avoidance</w:t>
      </w:r>
      <w:r w:rsidRPr="009A3C86">
        <w:rPr>
          <w:rFonts w:ascii="Times New Roman" w:eastAsia="Times New Roman" w:hAnsi="Times New Roman"/>
          <w:sz w:val="24"/>
          <w:szCs w:val="24"/>
        </w:rPr>
        <w:t xml:space="preserve">) istnieje w każdym kraju o gospodarce rynkowej. Najczęściej realizuje się przez konstruowanie sztucznych, nadmiernie zawiłych konstrukcji prawnych, które przykładowo dzielą gospodarczo jednorodne zdarzenie na etapy, aby wytworzyć wrażenie istnienia wielu odrębnych zdarzeń lub też zawierają elementy wzajemnie się znoszące. Unikaniem opodatkowania są tego rodzaju działania, które nakierowane są na osiągnięcie korzyści podatkowych sprzecznych z intencją ustawodawcy, stojących w sprzeczności z celem i istotą regulacji podatkowych. Unikanie </w:t>
      </w:r>
      <w:r w:rsidRPr="009A3C86">
        <w:rPr>
          <w:rFonts w:ascii="Times New Roman" w:eastAsia="Times New Roman" w:hAnsi="Times New Roman"/>
          <w:sz w:val="24"/>
          <w:szCs w:val="24"/>
        </w:rPr>
        <w:lastRenderedPageBreak/>
        <w:t xml:space="preserve">opodatkowania polega w szczególności na nadużywaniu preferencji podatkowych, nadużywaniu umów międzynarodowych, wykorzystywaniu „rajów podatkowych” i uzyskiwaniu przez to korzyści finansowej, wynikającej z obniżenia ciężaru opodatkowania, względnie nawet uzyskania zwrotu nadpłaty lub zwrotu podatku.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Normy ogólne przeciwdziałające unikaniu opodatkowania znajdują się w systemach prawnych wielu krajów, w tym takich, które mają systemy prawne zbliżone do polskiego. W literaturze, a niekiedy i w tekstach prawnych, norma tego typu występuje pod nazwą </w:t>
      </w:r>
      <w:r w:rsidRPr="009A3C86">
        <w:rPr>
          <w:rFonts w:ascii="Times New Roman" w:eastAsia="Times New Roman" w:hAnsi="Times New Roman"/>
          <w:i/>
          <w:iCs/>
          <w:sz w:val="24"/>
          <w:szCs w:val="24"/>
        </w:rPr>
        <w:t>general anti-avoidance rule</w:t>
      </w:r>
      <w:r w:rsidRPr="009A3C86">
        <w:rPr>
          <w:rFonts w:ascii="Times New Roman" w:eastAsia="Times New Roman" w:hAnsi="Times New Roman"/>
          <w:sz w:val="24"/>
          <w:szCs w:val="24"/>
        </w:rPr>
        <w:t xml:space="preserve"> lub </w:t>
      </w:r>
      <w:r w:rsidRPr="009A3C86">
        <w:rPr>
          <w:rFonts w:ascii="Times New Roman" w:eastAsia="Times New Roman" w:hAnsi="Times New Roman"/>
          <w:i/>
          <w:iCs/>
          <w:sz w:val="24"/>
          <w:szCs w:val="24"/>
        </w:rPr>
        <w:t>general</w:t>
      </w:r>
      <w:r w:rsidRPr="009A3C86">
        <w:rPr>
          <w:rFonts w:ascii="Times New Roman" w:eastAsia="Times New Roman" w:hAnsi="Times New Roman"/>
          <w:sz w:val="24"/>
          <w:szCs w:val="24"/>
        </w:rPr>
        <w:t xml:space="preserve"> </w:t>
      </w:r>
      <w:r w:rsidRPr="009A3C86">
        <w:rPr>
          <w:rFonts w:ascii="Times New Roman" w:eastAsia="Times New Roman" w:hAnsi="Times New Roman"/>
          <w:i/>
          <w:iCs/>
          <w:sz w:val="24"/>
          <w:szCs w:val="24"/>
        </w:rPr>
        <w:t>anti-abuse rule</w:t>
      </w:r>
      <w:r w:rsidRPr="009A3C86">
        <w:rPr>
          <w:rFonts w:ascii="Times New Roman" w:eastAsia="Times New Roman" w:hAnsi="Times New Roman"/>
          <w:sz w:val="24"/>
          <w:szCs w:val="24"/>
        </w:rPr>
        <w:t xml:space="preserve">;  powszechnie na świecie stosowany jest skrót „GAAR”. Istnienie i stosowanie klauzuli przeciwko unikaniu opodatkowania jest akceptowane przez orzecznictwo sądowe i doktrynę. Państwa mające regulacje w postaci ustawowej klauzuli przeciwko unikaniu opodatkowania to m.in.: Austria, Niemcy (od 1919 r., nowe brzmienie od 2008 r.), Francja (od 1941 r., istotna modyfikacja w 2008 r.), Portugalia, Szwecja (od 1980 r., uchylono klauzulę w 1993 r., ale już w 1995 r. wprowadzono ją ponownie), Szwajcaria (w różniących się miedzy sobą regulacjach kantonalnych), Słowacja, Słowenia, Węgry (od 2003 r.), Turcja (od 1980 r.), Kanada (od 1988 r., z istotną modyfikacją w 2008 r.), Brazylia (od 2001 r.), Irlandia (od 1989 r.), Australia (od 1936 r.), Nowa Zelandia (od końca XIX w.), RPA (od 1941 r.) Singapur, Tajwan (od 2009 r.), Hong Kong, Chiny (od 2008 r.), Belgia (istotna modyfikacja w 2012 r.), Kolumbia (od 2013 r.), Wielka Brytania (od 2013 r.), Włochy, Grecja. Wprowadzenie klauzuli zazwyczaj było początkowo uznawane za zamach na prawa podatnika i swobodę kształtowania treści umów, jednak po ukształtowaniu się orzecznictwa sądowego i praktyki te obawy zanikały.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Norwegii, Japonii, Korei Południowej nie ma klasycznej ustawowej klauzuli przeciwko unikaniu opodatkowania, lecz rozwinęło się orzecznictwo sądowe dotyczące ekonomicznej treści transakcji. W Stanach Zjednoczonych stosuje się sądową doktrynę „gospodarczej treści” czynności prawnych, uzupełnioną w ostatnich latach o fragmentaryczną regulację ustawową (trudno ją jednak uznać za w pełni rozwiniętą klauzulę przeciwko unikaniu opodatkowania). Należy dostrzec, że w ostatnich latach w wielu państwach, zapobiegając agresywnemu planowaniu podatkowemu i unikaniu opodatkowania, zmodyfikowano klauzule  w celu zwiększenia ich efektywności.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Klauzula przeciwko unikaniu opodatkowania dwukrotnie była wprowadzana do polskiego porządku prawnego. Po raz pierwszy wprowadzono ją do ordynacji podatkowej z dniem 1 stycznia 2003 r. w następującym brzmieniu: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„Art. 24b. § 1. Organy podatkowe i organy kontroli skarbowej, rozstrzygając sprawy podatkowe, pominą skutki podatkowe czynności prawnych, jeżeli udowodnią, że z dokonania </w:t>
      </w:r>
      <w:r w:rsidRPr="009A3C86">
        <w:rPr>
          <w:rFonts w:ascii="Times New Roman" w:eastAsia="Times New Roman" w:hAnsi="Times New Roman"/>
          <w:sz w:val="24"/>
          <w:szCs w:val="24"/>
        </w:rPr>
        <w:lastRenderedPageBreak/>
        <w:t>tych czynności nie można było oczekiwać innych istotnych korzyści niż wynikające z obniżenia wysokości zobowiązania podatkowego, zwiększenia straty, podwyższenia nadpłaty lub zwrotu podatku.</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2. Jeżeli strony, dokonując czynności prawnej, o której mowa w § 1, osiągnęły zamierzony rezultat gospodarczy, dla którego odpowiednia jest inna czynność prawna lub czynności prawne, skutki podatkowe wywodzi się z tej innej czynności prawnej lub czynności prawnych.”</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tym kształcie norma obowiązywała jednak krótko. Trybunał Konstytucyjny wyrokiem z dnia 11 maja 2004 r., sygn. K 4/03, orzekł, że art. 24b § 1 ustawy - Ordynacja podatkowa jest niezgodny z art. 2 w związku z art. 217 Konstytucji. TK stwierdził, że zawarta w art. 24b § 1 ustawy - Ordynacja podatkowa klauzula generalna dotycząca obejścia prawa podatkowego nie spełnia konstytucyjnych standardów przyzwoitej legislacji, a w konsekwencji narusza podstawowe elementy kształtujące treść zasady zaufania do państwa i stanowionego prawa (art. 2 Konstytucji) i nie realizuje wymogu należytego ustalenia ustawowo określonych elementów zobowiązań podatkowych (art. 217 Konstytucji). Trybunał Konstytucyjny stwierdził jednak: „(…) iż nie budzi zastrzeżeń konstytucyjnoprawnych samo zjawisko normatywnej reakcji prawodawcy wobec negatywnych - z punktu widzenia interesów fiskalnych państwa - zjawisk gospodarczych, w tym w sferze stosunków umownych kreowanych przez podatników, także jeżeli przybrałaby ona postać „ogólnej normy obejścia prawa podatkowego”.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Klauzulę przeciwko unikaniu opodatkowania ponownie wprowadzono do polskiego systemu podatkowego z dniem 16 lipca 2016 r.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W związku z przystąpieniem Polski do Unii Europejskiej nastąpiła zmiana otoczenia prawnego prowadzenia aktywności gospodarczej. Swobodny przepływ towarów i kapitału sprzyja procesom globalizacji. Procesy te mają także swoje odbicie w zmianach zachodzących w obszarze prawa podatkowego. Zmiany w prawie podatkowym powinny w większym stopniu uwzględniać pojawiające się zagrożenia związane z uchylaniem się od opodatkowania. Na wystąpienie takich zagrożeń zwróciła uwagę Komisja Europejska w zaleceniach z dnia 6 grudnia 2012 r. w sprawie agresywnego planowania podatkowego [C(2012)8806], które dotyczą podatków bezpośrednich. Jednym z zalecanych przez Komisję rozwiązań, mających na celu przeciwdziałanie praktykom agresywnego planowania podatkowego powodujących unikanie opodatkowania, jest przyjęcie przez państwa członkowskie zasady dotyczącej zwalczania nadużyć, dostosowanej do sytuacji krajowych, jak i transgranicznych ograniczonych do Unii, jak też i do sytuacji, które dotyczą również państw trzecich. Komisja zalecała wprowadzenie do przepisów krajowych państw członkowskich następującej klauzuli: „Nie uwzględnia się sztucznego uzgodnienia lub szeregu sztucznych uzgodnień, które przyjęto </w:t>
      </w:r>
      <w:r w:rsidRPr="009A3C86">
        <w:rPr>
          <w:rFonts w:ascii="Times New Roman" w:eastAsia="Times New Roman" w:hAnsi="Times New Roman"/>
          <w:sz w:val="24"/>
          <w:szCs w:val="24"/>
        </w:rPr>
        <w:lastRenderedPageBreak/>
        <w:t>w zasadniczym celu uniknięcia opodatkowania i które prowadzą do osiągnięcia korzyści podatkowej. Krajowe organy rozpatrują te ustalenia do celów podatkowych poprzez odniesienie się do ich istoty ekonomicznej". Polska, jak i wszystkie państwa członkowskie, była zobowiązana w terminie 3 lat poinformować KE o środkach podjętych w celu realizacji tego zalecenia.</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Tematyki unikania opodatkowania dotyczą rezolucje Parlamentu Europejskiego: z dnia 2 lutego 2012 r. (2011/2271(INI) oraz z dnia 17 kwietnia 2012 r. (2012/2599(RSP) oraz liczne raporty OECD. Rada Unii Europejskiej (ECOFIN w konkluzjach posiedzenia z dnia 14 maja 2013 r.) zaleca przeciwdziałanie unikaniu opodatkowania. Rada Unii Europejskiej do Programu Konwergencji zaleca poprawę przestrzegania prawa podatkowego i efektywności poboru podatków.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Dyrektywa Rady (UE) 2016/1164 z dnia 12 lipca 2016 r. ustanawiająca przepisy mające na celu przeciwdziałanie praktykom unikania opodatkowania, które mają bezpośredni wpływ na funkcjonowanie rynku wewnętrznego (L.193/1), nakłada na państwa członkowskie obowiązek wprowadzenia do ich systemów podatkowych przepisów ogólnych przeciw unikaniu opodatkowania, aby zwalczać nadużycia podatkowe, w odniesieniu do których nie zostały jeszcze przyjęte specjalnie ukierunkowane przepisy (pkt 11 preambuły). Regulacje ogólne przeciw unikaniu opodatkowania w świetle dyrektywy powinny mieć zastosowanie do uzgodnień, które nie są rzeczywiste </w:t>
      </w:r>
      <w:r w:rsidRPr="009A3C86">
        <w:rPr>
          <w:rFonts w:ascii="Times New Roman" w:eastAsia="Times New Roman" w:hAnsi="Times New Roman"/>
          <w:i/>
          <w:iCs/>
          <w:sz w:val="24"/>
          <w:szCs w:val="24"/>
        </w:rPr>
        <w:t>(non-genuine; Missbrauch auf unangemessene Gestaltung)</w:t>
      </w:r>
      <w:r w:rsidRPr="009A3C86">
        <w:rPr>
          <w:rFonts w:ascii="Times New Roman" w:eastAsia="Times New Roman" w:hAnsi="Times New Roman"/>
          <w:sz w:val="24"/>
          <w:szCs w:val="24"/>
        </w:rPr>
        <w:t>; we wszystkich pozostałych przypadkach w świetle dyrektywy podatnik powinien mieć swobodę wyboru takiej struktury podatkowej, która jest najbardziej efektywna z punktu widzenia prowadzonej przez niego działalności gospodarczej. Przy ocenie, czy dane uzgodnienie powinno być uznane za nierzeczywiste, zgodnie z dyrektywą należy brać pod uwagę wszystkie ważne względy ekonomiczne, w tym działalność finansową.</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Artykuł 6 dyrektywy określa treść ogólnej normy przeciw unikaniu opodatkowania, którą powinny wprowadzić państwa członkowskie do swoich systemów podatkowych. Brzmi on następująco: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Na użytek obliczenia zobowiązania z tytułu podatku od osób prawnych państwo członkowskie nie uwzględnia jednostkowych ani seryjnych uzgodnień, które – z uwagi na to, że głównym celem lub jednym z głównych celów ich wprowadzenia było uzyskanie korzyści podatkowej sprzecznej z przedmiotem lub celem mającego zastosowanie prawa podatkowego – są nierzeczywiste, wziąwszy pod uwagę wszystkie stosowne fakty i okoliczności. Jednostkowe uzgodnienie może obejmować więcej niż jeden etap lub więcej niż jedną część.</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2.   Na użytek ust. 1 jednostkowe lub seryjne uzgodnienie uznaje się za nierzeczywiste w zakresie, w jakim nie jest ono wprowadzane z uzasadnionych powodów handlowych, które odzwierciedlają rzeczywistość ekonomiczną.</w:t>
      </w:r>
    </w:p>
    <w:p w:rsidR="00FA30AA" w:rsidRPr="009A3C86" w:rsidRDefault="00FA30AA" w:rsidP="00FA30AA">
      <w:pPr>
        <w:spacing w:after="0" w:line="360" w:lineRule="auto"/>
        <w:jc w:val="both"/>
        <w:rPr>
          <w:rFonts w:ascii="Times New Roman" w:eastAsia="Times New Roman" w:hAnsi="Times New Roman"/>
          <w:i/>
          <w:iCs/>
          <w:sz w:val="24"/>
          <w:szCs w:val="24"/>
        </w:rPr>
      </w:pPr>
      <w:r w:rsidRPr="009A3C86">
        <w:rPr>
          <w:rFonts w:ascii="Times New Roman" w:eastAsia="Times New Roman" w:hAnsi="Times New Roman"/>
          <w:sz w:val="24"/>
          <w:szCs w:val="24"/>
        </w:rPr>
        <w:t>3.   W przypadku gdy jednostkowe lub seryjne uzgodnienia nie są brane pod uwagę zgodnie z ust. 1, zobowiązanie podatkowe oblicza się zgodnie z prawem krajowym</w:t>
      </w:r>
      <w:r w:rsidRPr="009A3C86">
        <w:rPr>
          <w:rFonts w:ascii="Times New Roman" w:eastAsia="Times New Roman" w:hAnsi="Times New Roman"/>
          <w:i/>
          <w:iCs/>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Normatywny kształt klauzuli ogólnej przeciwko unikaniu opodatkowania, przewidziany w niniejszym projekcie, realizuje kierunkowo wymogi wynikające z powołanej dyrektywy. Zgodnie z art. 11 dyrektywy jej postanowienia – m.in. w zakresie klauzuli ogólnej przeciwko unikaniu opodatkowania - mają być w państwach członkowskich wdrożone z dniem 1 stycznia 2019 r. Zatem dyrektywa jest kluczowym wzorcem normatywnym, do którego należy porównywać obowiązujące w Polsce przepisy.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tym zakresie uwzględniono szczegółowe rozwiązania wprowadzone z dniem 1 stycznia 2019 r.</w:t>
      </w:r>
      <w:r w:rsidRPr="009A3C86">
        <w:rPr>
          <w:rFonts w:ascii="Times New Roman" w:eastAsia="Times New Roman" w:hAnsi="Times New Roman"/>
          <w:sz w:val="24"/>
          <w:szCs w:val="24"/>
          <w:vertAlign w:val="superscript"/>
        </w:rPr>
        <w:footnoteReference w:id="137"/>
      </w:r>
      <w:r w:rsidRPr="009A3C86">
        <w:rPr>
          <w:rFonts w:ascii="Times New Roman" w:eastAsia="Times New Roman" w:hAnsi="Times New Roman"/>
          <w:sz w:val="24"/>
          <w:szCs w:val="24"/>
        </w:rPr>
        <w:t xml:space="preserve"> Jak wynika z treści uzasadnienia projektu główne zmiany nim objęte dotyczą częściowej implementacji dyrektywy Rady 2016/1164 z dnia 12 lipca 2016 r. </w:t>
      </w:r>
      <w:r w:rsidRPr="009A3C86">
        <w:rPr>
          <w:rFonts w:ascii="Times New Roman" w:eastAsia="Times New Roman" w:hAnsi="Times New Roman"/>
          <w:i/>
          <w:iCs/>
          <w:sz w:val="24"/>
          <w:szCs w:val="24"/>
        </w:rPr>
        <w:t>ustanawiającej przepisy mające na celu przeciwdziałanie praktykom unikania opodatkowania, które mają bezpośredni wpływ na funkcjonowanie rynku wewnętrznego</w:t>
      </w:r>
      <w:r w:rsidRPr="009A3C86">
        <w:rPr>
          <w:rFonts w:ascii="Times New Roman" w:eastAsia="Times New Roman" w:hAnsi="Times New Roman"/>
          <w:sz w:val="24"/>
          <w:szCs w:val="24"/>
        </w:rPr>
        <w:t xml:space="preserve"> (ATAD). Tym celom podporządkowano wprowadzone rozwiązania, które mogą wpłynąć na zwiększenie efektu prewencyjnego przepisów przeciwko unikaniu opodatkowania oraz doprecyzowujących niektóre ich elementy</w:t>
      </w:r>
      <w:r w:rsidRPr="009A3C86">
        <w:rPr>
          <w:rFonts w:ascii="Times New Roman" w:eastAsia="Times New Roman" w:hAnsi="Times New Roman"/>
          <w:sz w:val="24"/>
          <w:szCs w:val="24"/>
          <w:vertAlign w:val="superscript"/>
        </w:rPr>
        <w:footnoteReference w:id="138"/>
      </w:r>
      <w:r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Tytułem przykładu należy wyjaśnić, że w obowiązującym do 1 stycznia 2019 r. art. 119a § 1 o.p (odpowiednik </w:t>
      </w:r>
      <w:r w:rsidRPr="009A3C86">
        <w:rPr>
          <w:rFonts w:ascii="Times New Roman" w:eastAsia="Times New Roman" w:hAnsi="Times New Roman"/>
          <w:b/>
          <w:sz w:val="24"/>
          <w:szCs w:val="24"/>
        </w:rPr>
        <w:t xml:space="preserve">art. </w:t>
      </w:r>
      <w:r w:rsidR="00E30EFE"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w:t>
      </w:r>
      <w:r w:rsidR="004158F6" w:rsidRPr="009A3C86">
        <w:rPr>
          <w:rFonts w:ascii="Times New Roman" w:eastAsia="Times New Roman" w:hAnsi="Times New Roman"/>
          <w:sz w:val="24"/>
          <w:szCs w:val="24"/>
        </w:rPr>
        <w:t xml:space="preserve">wyjaśniono, </w:t>
      </w:r>
      <w:r w:rsidRPr="009A3C86">
        <w:rPr>
          <w:rFonts w:ascii="Times New Roman" w:eastAsia="Times New Roman" w:hAnsi="Times New Roman"/>
          <w:sz w:val="24"/>
          <w:szCs w:val="24"/>
        </w:rPr>
        <w:t>jakie działanie stanowi unikanie opodatkowania</w:t>
      </w:r>
      <w:r w:rsidR="004158F6"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wskazując 3 przesłanki, które musza wystąpić łącznie: czynność dokonana przede wszystkim w celu osiągnięcia korzyści podatkowej; sprzeczna w danych okolicznościach z przedmiotem i celem przepisu ustawy podatkowej; nie skutkuje osiągnięciem korzyści podatkowej, jeśli sposób działania był sztuczny (unikanie opodatkowania). Z kolei art. 6 ust 1 Dyrektywy wynika, że na użytek obliczenia zobowiązania z tytułu podatku od osób prawnych państwo członkowskie nie uwzględnia jednostkowych ani seryjnych uzgodnień, które – z uwagi na to, że głównym (main) celem lub jednym z głównych celów ich wprowadzenia było uzyskanie korzyści podatkowej sprzecznej z przedmiotem lub celem mającego zastosowanie prawa </w:t>
      </w:r>
      <w:r w:rsidRPr="009A3C86">
        <w:rPr>
          <w:rFonts w:ascii="Times New Roman" w:eastAsia="Times New Roman" w:hAnsi="Times New Roman"/>
          <w:sz w:val="24"/>
          <w:szCs w:val="24"/>
        </w:rPr>
        <w:lastRenderedPageBreak/>
        <w:t xml:space="preserve">podatkowego – są nierzeczywiste, wziąwszy pod uwagę wszystkie stosowne fakty i okoliczności. W obu przytoczonych regulacjach istotna jest przesłanka celu – art. 6 ust. 1 ,,głównym (main) celem lub jednym z głównych celów ich wprowadzenia było uzyskanie korzyści podatkowej sprzecznej z.’’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Należy uwzględnić, że przepisy dyrektywy ATAD mają charakter regulacji de minimis. Wyznaczają one zatem jedynie ogólny, minimalny poziom ochrony przed agresywnym planowaniem podatkowym na rynku wewnętrznym. Z uwagi na funkcjonowanie w ramach UE 28 odrębnych porządków prawnych i specyfikę regulowanej materii uznano, iż państwa członkowskie będą w stanie lepiej określić szczegółowe elementy tych przepisów w sposób optymalnie odpowiadający ich systemowi podatku od osób prawnych. Konsekwencją tego jest możliwość przyjęcia na gruncie krajowym bardziej restrykcyjnych kryteriów przeciwdziałania praktykom unikania opodatkowania, niż przewidziane w treści dyrektywy ATAD. Charakter dyrektywy jako regulacji de minimis zwiększa zatem zakres swobody państw członkowskich w doborze sposobu wdrożenia poszczególnych instytucji prawnych przez nią przewidzianych.</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tym zakresie zauważyć należy, że ,,czynność dokonana przede wszystkim w celu osiągnięcia korzyści podatkowej” - zgodnie z treścią art. 119a § 1 o.p. do 1 stycznia 2019 r. – klauzula przeciwko unikaniu opodatkowania mogła mieć zastosowanie w sytuacji, gdy „</w:t>
      </w:r>
      <w:r w:rsidRPr="009A3C86">
        <w:rPr>
          <w:rFonts w:ascii="Times New Roman" w:eastAsia="Times New Roman" w:hAnsi="Times New Roman"/>
          <w:i/>
          <w:iCs/>
          <w:sz w:val="24"/>
          <w:szCs w:val="24"/>
        </w:rPr>
        <w:t>Czynność została dokonana przede wszystkim w celu osiągnięcia korzyści podatkowej (…)</w:t>
      </w:r>
      <w:r w:rsidRPr="009A3C86">
        <w:rPr>
          <w:rFonts w:ascii="Times New Roman" w:eastAsia="Times New Roman" w:hAnsi="Times New Roman"/>
          <w:sz w:val="24"/>
          <w:szCs w:val="24"/>
        </w:rPr>
        <w:t>”. Motyw osiągnięcia korzyści podatkowej powinien być więc motywem dominującym, choć nie musi mieć charakteru wyłącznego. Z kolei klauzula generalna zawarta w art. 6 ust. 1 dyrektywy ATAD powinna mieć zastosowanie, gdy głównym lub jednym z głównych celów wprowadzenia uzgodnień (przeprowadzenia czynności) było osiągnięcie korzyści podatkowej. Zestawienie obydwu kryteriów, tj. działania „</w:t>
      </w:r>
      <w:r w:rsidRPr="009A3C86">
        <w:rPr>
          <w:rFonts w:ascii="Times New Roman" w:eastAsia="Times New Roman" w:hAnsi="Times New Roman"/>
          <w:i/>
          <w:iCs/>
          <w:sz w:val="24"/>
          <w:szCs w:val="24"/>
        </w:rPr>
        <w:t>przede wszystkim w celu</w:t>
      </w:r>
      <w:r w:rsidRPr="009A3C86">
        <w:rPr>
          <w:rFonts w:ascii="Times New Roman" w:eastAsia="Times New Roman" w:hAnsi="Times New Roman"/>
          <w:sz w:val="24"/>
          <w:szCs w:val="24"/>
        </w:rPr>
        <w:t>” z motywem, w którym korzyść podatkowa jest „</w:t>
      </w:r>
      <w:r w:rsidRPr="009A3C86">
        <w:rPr>
          <w:rFonts w:ascii="Times New Roman" w:eastAsia="Times New Roman" w:hAnsi="Times New Roman"/>
          <w:i/>
          <w:iCs/>
          <w:sz w:val="24"/>
          <w:szCs w:val="24"/>
        </w:rPr>
        <w:t>głównym lub jednym z głównych celów</w:t>
      </w:r>
      <w:r w:rsidRPr="009A3C86">
        <w:rPr>
          <w:rFonts w:ascii="Times New Roman" w:eastAsia="Times New Roman" w:hAnsi="Times New Roman"/>
          <w:sz w:val="24"/>
          <w:szCs w:val="24"/>
        </w:rPr>
        <w:t>” aktywności podatnika prowadzi do wniosku, że ujęty normatywnie w dyrektywie ATAD „</w:t>
      </w:r>
      <w:r w:rsidRPr="009A3C86">
        <w:rPr>
          <w:rFonts w:ascii="Times New Roman" w:eastAsia="Times New Roman" w:hAnsi="Times New Roman"/>
          <w:i/>
          <w:iCs/>
          <w:sz w:val="24"/>
          <w:szCs w:val="24"/>
        </w:rPr>
        <w:t>próg</w:t>
      </w:r>
      <w:r w:rsidRPr="009A3C86">
        <w:rPr>
          <w:rFonts w:ascii="Times New Roman" w:eastAsia="Times New Roman" w:hAnsi="Times New Roman"/>
          <w:sz w:val="24"/>
          <w:szCs w:val="24"/>
        </w:rPr>
        <w:t xml:space="preserve">” zastosowania krajowej klauzuli przeciwko unikaniu opodatkowania – mierzony poprzez odwołanie się do </w:t>
      </w:r>
      <w:r w:rsidRPr="009A3C86">
        <w:rPr>
          <w:rFonts w:ascii="Times New Roman" w:eastAsia="Times New Roman" w:hAnsi="Times New Roman"/>
          <w:i/>
          <w:iCs/>
          <w:sz w:val="24"/>
          <w:szCs w:val="24"/>
        </w:rPr>
        <w:t>spiritus movens</w:t>
      </w:r>
      <w:r w:rsidRPr="009A3C86">
        <w:rPr>
          <w:rFonts w:ascii="Times New Roman" w:eastAsia="Times New Roman" w:hAnsi="Times New Roman"/>
          <w:sz w:val="24"/>
          <w:szCs w:val="24"/>
        </w:rPr>
        <w:t xml:space="preserve"> podatnika – jest wyższy niż dla generalnej klauzuli zawartej w art. 119a o.p. przed nowelizacją w ustawie z dnia 23 października 2018 r.</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proponowanym art. </w:t>
      </w:r>
      <w:r w:rsidR="00E30EFE"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 1 stanowiącym odpowiednik obecnie obowiązującego art. 119a § 1 o.p. wprowadzona przez dyrektywę klauzula będzie mogła zostać powołana dla weryfikacji skutków podatkowych czynności podatnika już w sytuacji, w której czynności tej towarzyszy kilka (obiektywnie) równorzędnych celów, a perspektywa osiągnięcia korzyści podatkowej sprzecznej w danych okolicznościach z przedmiotem lub celem ustawy podatkowej jest tylko jednym z nich. Rozwiązanie to systemowo współgra także z ujęciem w polskich ustawach </w:t>
      </w:r>
      <w:r w:rsidRPr="009A3C86">
        <w:rPr>
          <w:rFonts w:ascii="Times New Roman" w:eastAsia="Times New Roman" w:hAnsi="Times New Roman"/>
          <w:sz w:val="24"/>
          <w:szCs w:val="24"/>
        </w:rPr>
        <w:lastRenderedPageBreak/>
        <w:t>podatkowych, w których wcześniej dokonano implementacji innych przepisów prawa wspólnotowego, przewidujących stosowanie specyficznych klauzul przeciwko unikaniu opodatkowania (np. art. 12 ust. 13 oraz art. 22c ustawy z dnia 15 lutego 1992 r. o podatku dochodowym od osób prawnych). Można zauważyć, że analogicznie definiowany próg działania przepisów przeciwko unikaniu opodatkowania występuje m.in. w brytyjskiej generalnej klauzuli przeciwko unikaniu opodatkowania (</w:t>
      </w:r>
      <w:r w:rsidRPr="009A3C86">
        <w:rPr>
          <w:rFonts w:ascii="Times New Roman" w:eastAsia="Times New Roman" w:hAnsi="Times New Roman"/>
          <w:i/>
          <w:iCs/>
          <w:sz w:val="24"/>
          <w:szCs w:val="24"/>
        </w:rPr>
        <w:t>Finance Act 2013</w:t>
      </w:r>
      <w:r w:rsidRPr="009A3C86">
        <w:rPr>
          <w:rFonts w:ascii="Times New Roman" w:eastAsia="Times New Roman" w:hAnsi="Times New Roman"/>
          <w:sz w:val="24"/>
          <w:szCs w:val="24"/>
        </w:rPr>
        <w:t xml:space="preserve">, sekcja 207(1)). Treść art. </w:t>
      </w:r>
      <w:r w:rsidR="00F05EDA"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 1 odpowiada również treści art. 6 ust. 1 dyrektywy ATAD wskazując, że klauzula może być zastosowana, o ile korzyść podatkowa jest sprzeczna z przedmiotem lub celem mającego zastosowanie prawa podatkowego (alternatywa łączna). Dyrektywa ATAD nie zawęża przy tym możliwej sprzeczności tylko do pojedynczego przepisu ustawy podatkowej, lecz odnosi się do mającego zastosowanie prawa podatkowego.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 kolei w </w:t>
      </w:r>
      <w:r w:rsidRPr="009A3C86">
        <w:rPr>
          <w:rFonts w:ascii="Times New Roman" w:eastAsia="Times New Roman" w:hAnsi="Times New Roman"/>
          <w:b/>
          <w:sz w:val="24"/>
          <w:szCs w:val="24"/>
        </w:rPr>
        <w:t xml:space="preserve">art. </w:t>
      </w:r>
      <w:r w:rsidR="00D03CFD" w:rsidRPr="009A3C86">
        <w:rPr>
          <w:rFonts w:ascii="Times New Roman" w:eastAsia="Times New Roman" w:hAnsi="Times New Roman"/>
          <w:b/>
          <w:sz w:val="24"/>
          <w:szCs w:val="24"/>
        </w:rPr>
        <w:t xml:space="preserve">34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projektu wyjaśniono, że sposób działania nie jest sztuczny, jeżeli na podstawie istniejących okoliczności należy przyjąć, że podmiot działający rozsądnie i kierujący się zgodnymi z prawem celami zastosowałby ten sposób działania w dominującej mierze z uzasadnionych przyczyn ekonomicznych. Do przyczyn, o których mowa w zdaniu pierwszym, nie zalicza się celu osiągnięcia korzyści podatkowej sprzecznej z przedmiotem lub celem ustawy podatkowej lub jej przepisu. Regulacja ta odpowiada treści art. 6. 2. Dyrektywy ATAD z 2016 („non-genuine”): ,,Na użytek ust. 1 jednostkowe lub seryjne uzgodnienie uznaje się za nierzeczywiste w zakresie, w jakim nie jest ono wprowadzane z uzasadnionych powodów handlowych, które odzwierciedlają rzeczywistość ekonomiczną.”.</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5. Klauzula ogólna przeciwko unikaniu opodatkowania jest potrzebna dla zapewnienia równego traktowania podatników i realizacji konstytucyjnej zasady równości opodatkowania nie tylko na płaszczyźnie stanowienia, ale także na płaszczyźnie stosowania prawa. Nie można akceptować sytuacji, w której o istnieniu i wysokości opodatkowania decyduje zastosowana formuła prawna, a nie treść realnego zdarzenia gospodarczego. Podatnik unikający opodatkowania pod względem finansowym znajduje się w korzystniejszej sytuacji niż ten, który także podejmuje aktywność w sferze gospodarczej czy finansowej, lecz nie obniża w sztuczny sposób poziomu swoich obciążeń podatkowych. Unikanie opodatkowania jest więc groźne nie tylko dla finansów publicznych przez uszczuplanie dochodów podatkowych, ale narusza też równość opodatkowania, dając przy tym okazję do budowania, w nieuczciwy sposób, przewagi rynkowej.</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Zauważyć przy tym trzeba, że konstruowanie i wdrażanie wyrafinowanych, sztucznych konstrukcji prawnych zmierzających do unikania opodatkowania wymaga posiadania zasobów finansowych, które otwierają dostęp do wysoko wykwalifikowanej obsługi prawnej, która jest </w:t>
      </w:r>
      <w:r w:rsidRPr="009A3C86">
        <w:rPr>
          <w:rFonts w:ascii="Times New Roman" w:eastAsia="Times New Roman" w:hAnsi="Times New Roman"/>
          <w:sz w:val="24"/>
          <w:szCs w:val="24"/>
        </w:rPr>
        <w:lastRenderedPageBreak/>
        <w:t xml:space="preserve">niezbędna do wykreowania takiej konstrukcji prawnej i jej realizacji. Unikanie opodatkowania daje korzyść finansową wyrażoną w niższym opodatkowaniu lub jego braku. Założyć należy, że zachowania skutkujące zastosowaniem klauzuli leżą w zasięgu jedynie dużych przedsiębiorców (zwykle powiązanych kapitałowo i zarządczo z podmiotami zagranicznymi) oraz osób fizycznych dysponujących znacznymi zasobami finansowymi lub wysokimi dochodami.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Polski system podatkowy nie jest odporny na działania zmierzające do unikania opodatkowania. Wręcz przeciwnie, wraz z postępującą integracją polskiej gospodarki z gospodarką światową trzeba założyć, że patologiczne zachowania, już zdiagnozowane i zwalczane w innych krajach, będą także coraz bardziej intensywne i dotkliwe dla finansów publicznych w Polsce. Potrzeba ochrony finansów publicznych uzasadniała wprowadzenie klauzuli przeciwko unikaniu opodatkowania i nadal uzasadnia utrzymanie jej w systemie prawnym. Istnienie klauzuli przeciwko unikaniu opodatkowania porządkuje system prawa podatkowego, wyznaczając poprzez swoją treść i praktykę stosowania granice dopuszczalnej optymalizacji podatkowej.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6. Stosunki prawne mogą być kształtowane w sposób optymalny dla stron, również w aspekcie podatkowym. Możliwości w zakresie swobodnego kształtowania stosunków prawnych nie powinny być jednak nadużywane w celu unikania spełniania obowiązków wynikających z prawa podatkowego. W razie nadużycia możliwości kształtowania stosunków prawnych treść powstałego zobowiązania podatkowego powinna być zatem wywodzona z wyników gospodarczo-ekonomicznych zaistniałych zdarzeń</w:t>
      </w:r>
      <w:r w:rsidRPr="009A3C86">
        <w:rPr>
          <w:rFonts w:ascii="Times New Roman" w:eastAsia="Times New Roman" w:hAnsi="Times New Roman"/>
          <w:i/>
          <w:iCs/>
          <w:sz w:val="24"/>
          <w:szCs w:val="24"/>
        </w:rPr>
        <w:t xml:space="preserve">, </w:t>
      </w:r>
      <w:r w:rsidRPr="009A3C86">
        <w:rPr>
          <w:rFonts w:ascii="Times New Roman" w:eastAsia="Times New Roman" w:hAnsi="Times New Roman"/>
          <w:sz w:val="24"/>
          <w:szCs w:val="24"/>
        </w:rPr>
        <w:t xml:space="preserve">a nie z uzewnętrznionej treści stosunku prawnego. Wymagane jest normatywne wskazanie, że fundamentem oceny zdarzeń przez ich pryzmat gospodarczo-ekonomiczny jest uznanie, że ustawodawca, nadając treść podatkowemu stanowi faktycznemu, dąży do opodatkowania rzeczywistej istoty zdarzeń gospodarczych, a nie konstrukcji prawnych, w których zdarzenia te znajdują swój wyraz. W tym kontekście unikanie opodatkowania jawi się jako wykorzystanie przez podatnika rozdźwięku pomiędzy gospodarczym celem (sensem) normy prawnej a jej językowym brzmieniem.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Unikaniem opodatkowania jest podejmowanie takich czynności, które – choć formalnie zgodne z obowiązującym prawem – to jednak cechuje je, po pierwsze, sztuczność, nieprzystawanie do ekonomicznych realiów, w których działał podatnik. Po drugie, dokonane są przede wszystkim w celu osiągnięcia korzyści podatkowej, sprzecznej w danych okolicznościach z przedmiotem i celem ustawy podatkowej, a zatem sprzeczne są z intencją prawodawcy, kształtującego zakres obciążeń podatkowych.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Głównym celem zastosowania takiej czynności jest uzyskanie, sprzecznej z celem i istotą ustawy podatkowej, znacznej korzyści podatkowej przez podatnika (względnie podmiot, który przez uniknięcie opodatkowania nie stał się podatnikiem) lub inne podmioty współtworzące sztuczną konstrukcję prawną.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Cechą towarzyszącą kształtowaniu stosunków prawnych w sposób zmierzający do uzyskania korzyści podatkowej, sprzecznej z intencją prawodawcy, często jest brak elementów ryzyka gospodarczego w związku z dokonaniem określonej czynności prawnej lub wzajemnie powiązanego zespołu takich czynności.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Sztuczność konstrukcji prawnej prowadzącej do unikania opodatkowania można oceniać na płaszczyźnie prawnej oraz ekonomicznej. Na płaszczyźnie prawnej sztuczność konstrukcji wyraża się najczęściej w jej nadmiernej zawiłości poprzez np. dzielenie zdarzenia na odrębne czynności prawne albo połączenia wielu odrębnych zdarzeń w jedną czynność w sposób nietypowy dla danej branży; występowaniu podmiotów pośredniczących niewnoszących jednak żadnych elementów gospodarczych; elementach prowadzących do uzyskania stanu identycznego lub zbliżonego do stanu istniejącego przed zastosowaniem tej konstrukcji prawnej (transakcje okrężne); elementach transakcji wzajemnie się znoszących lub kompensujących. Na płaszczyźnie ekonomicznej sztuczną transakcję charakteryzuje brak w niej treści ekonomicznej, np. poprzez ukrywanie prawdziwego celu i znaczenia zdarzenia gospodarczego, nieadekwatność lub zbędność do realizacji rzeczywistego zdarzenia gospodarczego, zgodnie z jego celem i istotą oraz do uzyskania zamierzonego efektu gospodarczego. Nadmierna prawna zawiłość sztucznej konstrukcji prawnej oraz brak w niej treści ekonomicznej prowadzą do wniosku, że ta konstrukcja nie zostałaby zastosowana przez rozsądnie działający podmiot kierujący się w swych wyborach celami gospodarczymi.</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Klauzula, jako norma prawa podatkowego, nie może wkraczać w sferę regulacji cywilnoprawnej. W szczególności nie jest dopuszczalne ani celowe, aby klauzula zawierała zakazy lub nakazy dotyczące czynności cywilnoprawnych. Podkreślić należy autonomiczność prawa podatkowego w stosunku do innych gałęzi prawa. Regulacje mające przeciwdziałać czynnościom pozornym zawarte są w art. </w:t>
      </w:r>
      <w:r w:rsidR="00855649" w:rsidRPr="009A3C86">
        <w:rPr>
          <w:rFonts w:ascii="Times New Roman" w:eastAsia="Times New Roman" w:hAnsi="Times New Roman"/>
          <w:sz w:val="24"/>
          <w:szCs w:val="24"/>
        </w:rPr>
        <w:t xml:space="preserve">388 </w:t>
      </w:r>
      <w:r w:rsidRPr="009A3C86">
        <w:rPr>
          <w:rFonts w:ascii="Times New Roman" w:eastAsia="Times New Roman" w:hAnsi="Times New Roman"/>
          <w:sz w:val="24"/>
          <w:szCs w:val="24"/>
        </w:rPr>
        <w:t xml:space="preserve">§ 2 (odpowiednik art. 199a § 2 o.p). Na gruncie prawa podatkowego skutki podatkowe powinny być ustalane w stosunku do czynności ukrytej, a nie w stosunku do czynności pozornej. Czynności, których rzeczywisty cel i zamiar stron są inne niż deklarowane, są czynnościami pozornymi i administracja skarbowa jest uprawniona do pominięcia ich skutków oraz wywodzenia skutków podatkowych z czynności ukrytych. Jeżeli oświadczenie zostało złożone dla ukrycia innej czynności prawnej, ważność oświadczenia ocenia się według właściwości tej czynności. Jedynie czynność, która wywiera </w:t>
      </w:r>
      <w:r w:rsidRPr="009A3C86">
        <w:rPr>
          <w:rFonts w:ascii="Times New Roman" w:eastAsia="Times New Roman" w:hAnsi="Times New Roman"/>
          <w:sz w:val="24"/>
          <w:szCs w:val="24"/>
        </w:rPr>
        <w:lastRenderedPageBreak/>
        <w:t>skutki prawne, może być brana pod uwagę przy ustaleniu podatkowego stanu faktycznego. Czynności pozorne należy pominąć, ponieważ będąc czynnościami nieważnymi, nie wywierają żadnych skutków prawnych. W tym przypadku organ administracji skarbowej, ustalając stan faktyczny, będzie przyjmował, że czynność nie doszła do skutku, a zatem nie wywarła żadnych skutków prawnych. Zgodnie z obecnie obowiązującym  art. 199a § 1 o.p. organ podatkowy, dokonując ustalenia treści czynności prawnej, uwzględnia zgodny zamiar stron i cel czynności, a nie tylko dosłowne brzmienie oświadczeń woli złożonych przez strony czynności. Jeżeli pod pozorem dokonania czynności prawnej dokonano innej czynności prawnej, skutki podatkowe wywodzi się z tej ukrytej czynności prawnej. Istotą pozornej czynności prawnej jest zamiar podatnika, który dokonując jej, nie dąży do wywołania skutków prawnych, które w normalnych okolicznościach wynikałyby z dokonanej przez niego czynności (przeprowadzonej transakcji). Natomiast na organie podatkowym spoczywa ciężar udowodnienia dokonania przez podatnika pozornej czynności prawnej. Jednocześnie należy podkreślić, że unikanie opodatkowania nie jest czynnością pozorną – są to dwa niezależne zagadnienia. W wyroku z dnia 14 czerwca 2006 r., sygn. akt K 53/05, Trybunał Konstytucyjny, stwierdzając zgodność art. 199a § 3 o.p. z Konstytucją, stwierdził, że przepis ten nie dotyczy kwestii materialnoprawnych i nie wprowadza do systemu prawnego klauzuli obejścia prawa podatkowego. Przedstawiając powyższe, należy podkreślić, że prawo podatkowe jest odrębną gałęzią prawa (prawo publiczne), choć związaną z prawem cywilnym i prawem handlowym (prawo prywatne). Skutkiem bowiem realizacji norm prawa cywilnego i handlowego, przede wszystkim w ramach obrotu gospodarczego, jest z reguły powstanie stanów faktycznych, z których wynikają obowiązki podatkowe. Określenie skutków oświadczeń woli poprzez dokonanie wykładni takich oświadczeń może być niezbędną przesłanką ustalenia przez organy podatkowe rzeczywistego podatkowoprawnego stanu faktycznego. Natomiast skutki podatkowoprawne należy rozpatrywać wyłącznie na gruncie prawa podatkowego, opierając się na istniejących w nim konstrukcjach prawnych, bez względu na to, jak te zdarzenia faktyczne można zakwalifikować na gruncie prawa cywilnego czy handlowego.</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Ulokowanie regulacji skierowanej przeciwko unikaniu opodatkowania w dziale I ordynacji podatkowej jest nowym rozwiązaniem. Obecnie w ordynacji podatkowej wpleciona jest ona pomiędzy regulacje materialnoprawne i proceduralne (odrębny dział IIIA ordynacji podatkowej). Szczególny charakter tej instytucji wskazywał na umieszczenie w dziale I w odrębnym rozdziale rozwiązań materialnoprawnych oraz w kolejnym rozdziale 9 rozwiązań ustrojowych dotyczących funkcjonowania Rady do Spraw Przeciwdziałania Unikaniu </w:t>
      </w:r>
      <w:r w:rsidRPr="009A3C86">
        <w:rPr>
          <w:rFonts w:ascii="Times New Roman" w:eastAsia="Times New Roman" w:hAnsi="Times New Roman"/>
          <w:sz w:val="24"/>
          <w:szCs w:val="24"/>
        </w:rPr>
        <w:lastRenderedPageBreak/>
        <w:t xml:space="preserve">Opodatkowania. Regulacje proceduralne dotyczące przeciwdziałania unikania opodatkowania umieszczono w odrębnym rozdziale działu IV jako jedno ze szczególnych postępowań.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Tytuł rozdziału – a zarazem nazwa instytucji prawnej – został nieco zmieniony w stosunku do obecnego stanu prawnego poprzez wprowadzenie dookreślenia klauzuli jako „ogólnej”. Jest to podyktowane koniecznością odróżnienia tej regulacji na płaszczyźnie terminologicznej (jako generalnej, „ogólnej”) od rozwiązań szczegółowych, skierowanych przeciwko unikaniu opodatkowania, które sukcesywnie wprowadzane są do ustaw regulujących poszczególne podatki. Istotne jest to, że określenie klauzuli jako ogólnej pojawia się we wspomnianej wyżej dyrektywie, a także znajduje odzwierciedlenie w powszechnie na świecie stosowanej terminologii (GAAR</w:t>
      </w:r>
      <w:r w:rsidRPr="009A3C86">
        <w:rPr>
          <w:rFonts w:ascii="Times New Roman" w:eastAsia="Times New Roman" w:hAnsi="Times New Roman"/>
          <w:i/>
          <w:iCs/>
          <w:sz w:val="24"/>
          <w:szCs w:val="24"/>
        </w:rPr>
        <w:t xml:space="preserve"> – general anti-avoidane rule</w:t>
      </w:r>
      <w:r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9. Sednem proponowanej regulacji będzie przepis </w:t>
      </w:r>
      <w:r w:rsidRPr="009A3C86">
        <w:rPr>
          <w:rFonts w:ascii="Times New Roman" w:hAnsi="Times New Roman"/>
          <w:b/>
          <w:sz w:val="24"/>
          <w:szCs w:val="24"/>
          <w:lang w:eastAsia="pl-PL"/>
        </w:rPr>
        <w:t xml:space="preserve">art. </w:t>
      </w:r>
      <w:r w:rsidR="00012CD3" w:rsidRPr="009A3C86">
        <w:rPr>
          <w:rFonts w:ascii="Times New Roman" w:hAnsi="Times New Roman"/>
          <w:b/>
          <w:sz w:val="24"/>
          <w:szCs w:val="24"/>
          <w:lang w:eastAsia="pl-PL"/>
        </w:rPr>
        <w:t>33</w:t>
      </w:r>
      <w:r w:rsidR="00012CD3"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określający, jakiego rodzaju działania będą zwalczane za pomocą nowej regulacji oraz jaki mechanizm prawny będzie temu służyć.  Zgodnie z </w:t>
      </w:r>
      <w:r w:rsidRPr="009A3C86">
        <w:rPr>
          <w:rFonts w:ascii="Times New Roman" w:hAnsi="Times New Roman"/>
          <w:b/>
          <w:sz w:val="24"/>
          <w:szCs w:val="24"/>
          <w:lang w:eastAsia="pl-PL"/>
        </w:rPr>
        <w:t xml:space="preserve">art. </w:t>
      </w:r>
      <w:r w:rsidR="00012CD3" w:rsidRPr="009A3C86">
        <w:rPr>
          <w:rFonts w:ascii="Times New Roman" w:hAnsi="Times New Roman"/>
          <w:b/>
          <w:sz w:val="24"/>
          <w:szCs w:val="24"/>
          <w:lang w:eastAsia="pl-PL"/>
        </w:rPr>
        <w:t xml:space="preserve">33 </w:t>
      </w:r>
      <w:r w:rsidRPr="009A3C86">
        <w:rPr>
          <w:rFonts w:ascii="Times New Roman" w:hAnsi="Times New Roman"/>
          <w:b/>
          <w:sz w:val="24"/>
          <w:szCs w:val="24"/>
          <w:lang w:eastAsia="pl-PL"/>
        </w:rPr>
        <w:t>§ 1</w:t>
      </w:r>
      <w:r w:rsidRPr="009A3C86">
        <w:rPr>
          <w:rFonts w:ascii="Times New Roman" w:hAnsi="Times New Roman"/>
          <w:sz w:val="24"/>
          <w:szCs w:val="24"/>
          <w:lang w:eastAsia="pl-PL"/>
        </w:rPr>
        <w:t>, jeśli podatnik dokona sztucznej czynności, aby osiągnąć korzystny rezultat podatkowy, stojący w sprzeczności z istotą regulacji podatkowej, to skuteczność tego rodzaju działania zostanie prawnie zniweczona. Warunkiem pozbawienia takiej czynności jej skuteczności w sferze prawa podatkowego będzie spełnienie łącznie przesłanki sztuczności i głównym lub jednym z głównych motywów działania było osiągnięcia korzyści podatkowej, jeśli taka korzyść w danych okolicznościach byłaby sprzeczna z przedmiotem lub celem ustawy podatkowej lub jej przepisu. Taką czynność ustawa – tak jak dotąd – będzie uznawać za unikanie opodatkowania i będzie mu przeciwdziałać. Ta regulacja wytycza granicę pomiędzy dopuszczalną optymalizacją podatkową, która nadal będzie w pełni akceptowana, a tego rodzaju działaniami, które z uwagi na swój szkodliwy charakter nie powinny być tolerowane. Mechanizm działania tej normy, tj. klauzuli przeciwko unikaniu opodatkowania, będzie polegał na tym, że zakwestionowana czynność lub ich zespół pozostaną ważne i skuteczne w sferze prawa cywilnego, jednak ich podatkowoprawne skutki zostaną określone inaczej, niż wynikałoby to z formalnoprawnej, nacechowanej sztucznością postaci. Skutki podatkowe mogą zostać określone w dwojaki sposób: albo poprzez odmówienie działaniom podatnika jakiejkolwiek skuteczności na płaszczyźnie podatkowej, albo też na swoistej reklasyfikacji czynności. Jeśli czynność nie miała żadnego innego celu i sensu ekonomicznego poza tym, aby doprowadzić do uzyskania przez podatnika nieuprawnionej korzyści podatkowej, wówczas czynność taka będzie przy określaniu skutków podatkowych uznawana za niebyłą (</w:t>
      </w:r>
      <w:r w:rsidRPr="009A3C86">
        <w:rPr>
          <w:rFonts w:ascii="Times New Roman" w:hAnsi="Times New Roman"/>
          <w:b/>
          <w:sz w:val="24"/>
          <w:szCs w:val="24"/>
          <w:lang w:eastAsia="pl-PL"/>
        </w:rPr>
        <w:t xml:space="preserve">art. </w:t>
      </w:r>
      <w:r w:rsidR="00012CD3" w:rsidRPr="009A3C86">
        <w:rPr>
          <w:rFonts w:ascii="Times New Roman" w:hAnsi="Times New Roman"/>
          <w:b/>
          <w:sz w:val="24"/>
          <w:szCs w:val="24"/>
          <w:lang w:eastAsia="pl-PL"/>
        </w:rPr>
        <w:t xml:space="preserve">33 </w:t>
      </w:r>
      <w:r w:rsidRPr="009A3C86">
        <w:rPr>
          <w:rFonts w:ascii="Times New Roman" w:hAnsi="Times New Roman"/>
          <w:b/>
          <w:sz w:val="24"/>
          <w:szCs w:val="24"/>
          <w:lang w:eastAsia="pl-PL"/>
        </w:rPr>
        <w:t>§ 5</w:t>
      </w:r>
      <w:r w:rsidRPr="009A3C86">
        <w:rPr>
          <w:rFonts w:ascii="Times New Roman" w:hAnsi="Times New Roman"/>
          <w:sz w:val="24"/>
          <w:szCs w:val="24"/>
          <w:lang w:eastAsia="pl-PL"/>
        </w:rPr>
        <w:t xml:space="preserve">). Jeśli jednak podjęte działania miały pewną treść ekonomiczną i zgodny z prawem cel, wówczas nie będzie następowało proste anulowanie podatkowych skutków czynności, lecz próba odtworzenia przebiegu zdarzeń w taki sposób, jaki byłby właściwy, gdyby podatnik nie działał </w:t>
      </w:r>
      <w:r w:rsidRPr="009A3C86">
        <w:rPr>
          <w:rFonts w:ascii="Times New Roman" w:hAnsi="Times New Roman"/>
          <w:sz w:val="24"/>
          <w:szCs w:val="24"/>
          <w:lang w:eastAsia="pl-PL"/>
        </w:rPr>
        <w:lastRenderedPageBreak/>
        <w:t xml:space="preserve">z zamiarem osiągnięcia korzyści podatkowej stojącej w sprzeczności z celem i istotą ustawy podatkowej lub jej przepisu.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Gwarancyjną funkcję będzie spełniać postanowienie (</w:t>
      </w:r>
      <w:r w:rsidRPr="009A3C86">
        <w:rPr>
          <w:rFonts w:ascii="Times New Roman" w:eastAsia="Times New Roman" w:hAnsi="Times New Roman"/>
          <w:b/>
          <w:sz w:val="24"/>
          <w:szCs w:val="24"/>
        </w:rPr>
        <w:t xml:space="preserve">art. </w:t>
      </w:r>
      <w:r w:rsidR="00012CD3"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w myśl którego sam podatnik będzie mógł wskazać taki przebieg czynności, który jego zdaniem byłby adekwatny do jego sytuacji. Organ podatkowy w takiej sytuacji powinien oprzeć się na „scenariuszu” przedstawionym przez podatnika, jeśli tylko odpowiada on przesłankom uznania czynności za odpowiednią do okoliczności, w których działał podatnik, określonych w </w:t>
      </w:r>
      <w:r w:rsidRPr="009A3C86">
        <w:rPr>
          <w:rFonts w:ascii="Times New Roman" w:eastAsia="Times New Roman" w:hAnsi="Times New Roman"/>
          <w:b/>
          <w:sz w:val="24"/>
          <w:szCs w:val="24"/>
        </w:rPr>
        <w:t xml:space="preserve">art. </w:t>
      </w:r>
      <w:r w:rsidR="00012CD3"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10. Dalsze przepisy wskazują, w jaki sposób to reklasyfikowanie czynności będzie następować. Za odpowiednią, a zatem taką, która jako swoisty wzorzec posłuży do określenia prawidłowych konsekwencji podatkowych, będzie uznawana czynność, której podmiot mógłby w danych okolicznościach dokonać, jeżeli działałby rozsądnie i kierował się zgodnymi z prawem celami innymi niż osiągnięcie korzyści podatkowej sprzecznej z przedmiotem lub celem ustawy podatkowej lub jej przepisu, a sposób działania nie byłby sztuczny. Czynność odpowiednia może polegać także na zaniechaniu działania (</w:t>
      </w:r>
      <w:r w:rsidRPr="009A3C86">
        <w:rPr>
          <w:rFonts w:ascii="Times New Roman" w:eastAsia="Times New Roman" w:hAnsi="Times New Roman"/>
          <w:b/>
          <w:sz w:val="24"/>
          <w:szCs w:val="24"/>
        </w:rPr>
        <w:t xml:space="preserve">art. </w:t>
      </w:r>
      <w:r w:rsidR="00012CD3"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Czynność odpowiednia może polegać także na zaniechaniu działania, co jest zgodne z cywilistyczną koncepcją działania (por. np. art. 5 lub 443 Kodeksu cywilnego). Choć osiągnięcie korzyści podatkowej może nie być jedynym celem działania podmiotu, to jednak ocena zachowania podmiotu rozsądnego może prowadzić do wniosku, że w danej sytuacji podmiot ten, działając rozsądnie i kierując się pozostałymi zgodnymi z prawem celami innymi niż osiągnięcie korzyści podatkowej, nie podjąłby żadnego działania. Czynność </w:t>
      </w:r>
      <w:r w:rsidR="00B04E11" w:rsidRPr="009A3C86">
        <w:rPr>
          <w:rFonts w:ascii="Times New Roman" w:eastAsia="Times New Roman" w:hAnsi="Times New Roman"/>
          <w:sz w:val="24"/>
          <w:szCs w:val="24"/>
        </w:rPr>
        <w:t xml:space="preserve">odpowiednia </w:t>
      </w:r>
      <w:r w:rsidRPr="009A3C86">
        <w:rPr>
          <w:rFonts w:ascii="Times New Roman" w:eastAsia="Times New Roman" w:hAnsi="Times New Roman"/>
          <w:sz w:val="24"/>
          <w:szCs w:val="24"/>
        </w:rPr>
        <w:t xml:space="preserve">ustalana na podstawie </w:t>
      </w:r>
      <w:r w:rsidRPr="009A3C86">
        <w:rPr>
          <w:rFonts w:ascii="Times New Roman" w:eastAsia="Times New Roman" w:hAnsi="Times New Roman"/>
          <w:b/>
          <w:sz w:val="24"/>
          <w:szCs w:val="24"/>
        </w:rPr>
        <w:t xml:space="preserve">art. </w:t>
      </w:r>
      <w:r w:rsidR="00012CD3"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nie wypełniała jednocześnie definicji sztucznego działania w rozumieniu </w:t>
      </w:r>
      <w:r w:rsidRPr="009A3C86">
        <w:rPr>
          <w:rFonts w:ascii="Times New Roman" w:eastAsia="Times New Roman" w:hAnsi="Times New Roman"/>
          <w:b/>
          <w:sz w:val="24"/>
          <w:szCs w:val="24"/>
        </w:rPr>
        <w:t xml:space="preserve">art. </w:t>
      </w:r>
      <w:r w:rsidR="00CD2D2C" w:rsidRPr="009A3C86">
        <w:rPr>
          <w:rFonts w:ascii="Times New Roman" w:eastAsia="Times New Roman" w:hAnsi="Times New Roman"/>
          <w:b/>
          <w:sz w:val="24"/>
          <w:szCs w:val="24"/>
        </w:rPr>
        <w:t>34</w:t>
      </w:r>
      <w:r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B91639"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wprowadzono alternatywny rodzaj działania klauzuli przeciwko unikaniu opodatkowania wyłączający stosowanie przepisów dotyczących określania czynności odpowiedniej (</w:t>
      </w:r>
      <w:r w:rsidRPr="009A3C86">
        <w:rPr>
          <w:rFonts w:ascii="Times New Roman" w:eastAsia="Times New Roman" w:hAnsi="Times New Roman"/>
          <w:b/>
          <w:sz w:val="24"/>
          <w:szCs w:val="24"/>
        </w:rPr>
        <w:t xml:space="preserve">art. </w:t>
      </w:r>
      <w:r w:rsidR="00B91639"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2-5</w:t>
      </w:r>
      <w:r w:rsidRPr="009A3C86">
        <w:rPr>
          <w:rFonts w:ascii="Times New Roman" w:eastAsia="Times New Roman" w:hAnsi="Times New Roman"/>
          <w:sz w:val="24"/>
          <w:szCs w:val="24"/>
        </w:rPr>
        <w:t>). Zgodnie z tym przepisem jeżeli w sprawie zostaną spełnione przesłanki wynikające z </w:t>
      </w:r>
      <w:r w:rsidR="00CE6458" w:rsidRPr="009A3C86">
        <w:rPr>
          <w:rFonts w:ascii="Times New Roman" w:eastAsia="Times New Roman" w:hAnsi="Times New Roman"/>
          <w:sz w:val="24"/>
          <w:szCs w:val="24"/>
        </w:rPr>
        <w:t xml:space="preserve">art. 33 § </w:t>
      </w:r>
      <w:smartTag w:uri="urn:schemas-microsoft-com:office:smarttags" w:element="metricconverter">
        <w:smartTagPr>
          <w:attr w:name="ProductID" w:val="1, a"/>
        </w:smartTagPr>
        <w:r w:rsidR="00CE6458" w:rsidRPr="009A3C86">
          <w:rPr>
            <w:rFonts w:ascii="Times New Roman" w:eastAsia="Times New Roman" w:hAnsi="Times New Roman"/>
            <w:sz w:val="24"/>
            <w:szCs w:val="24"/>
          </w:rPr>
          <w:t>1</w:t>
        </w:r>
        <w:r w:rsidRPr="009A3C86">
          <w:rPr>
            <w:rFonts w:ascii="Times New Roman" w:eastAsia="Times New Roman" w:hAnsi="Times New Roman"/>
            <w:sz w:val="24"/>
            <w:szCs w:val="24"/>
          </w:rPr>
          <w:t>, a</w:t>
        </w:r>
      </w:smartTag>
      <w:r w:rsidRPr="009A3C86">
        <w:rPr>
          <w:rFonts w:ascii="Times New Roman" w:eastAsia="Times New Roman" w:hAnsi="Times New Roman"/>
          <w:sz w:val="24"/>
          <w:szCs w:val="24"/>
        </w:rPr>
        <w:t xml:space="preserve"> stwierdzona korzyść podatkowa będzie wynikać z zastosowania przepisu ustawy podatkowej określającego warunki przyznania zwolnienia podmiotowego lub przedmiotowego, wyłączenia z podstawy opodatkowania, w tym wyłączenia przychodów (dochodów) z opodatkowania, lub odliczenia od przychodu, dochodu lub podatku, to organ podatkowy określi skutki podatkowe na podstawie stanu prawnego jaki zaistniałby, gdyby dany przepis ustawy podatkowej – będący podstawą uzyskania korzyści podatkowej – nie miał zastosowania. Mechanizm działania tej regulacji jest podobny do norm zawartych m.in. w art. 12 ust. 13 oraz art. 22c ust. 1 ustawy z dnia 15 lutego 1992 r. o podatku dochodowym od osób prawnych.</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Regulacja przyjęta w </w:t>
      </w:r>
      <w:r w:rsidRPr="009A3C86">
        <w:rPr>
          <w:rFonts w:ascii="Times New Roman" w:eastAsia="Times New Roman" w:hAnsi="Times New Roman"/>
          <w:b/>
          <w:sz w:val="24"/>
          <w:szCs w:val="24"/>
        </w:rPr>
        <w:t xml:space="preserve">art. </w:t>
      </w:r>
      <w:r w:rsidR="00B91639"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6 i § 7</w:t>
      </w:r>
      <w:r w:rsidRPr="009A3C86">
        <w:rPr>
          <w:rFonts w:ascii="Times New Roman" w:eastAsia="Times New Roman" w:hAnsi="Times New Roman"/>
          <w:sz w:val="24"/>
          <w:szCs w:val="24"/>
        </w:rPr>
        <w:t xml:space="preserve"> (odpowiednik art. 119a § 6 i § 7</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o.p.) ma na celu zwiększenie przewidywalności stosowania klauzuli przeciwko unikaniu opodatkowania. W obu sytuacjach uregulowanych tymi przepisami zniesiony będzie wymóg kreowania czynności odpowiedniej. W przypadku korzyści podatkowych uzyskiwanych na podstawie przepisów prawa podatkowego przyznającego przywilej podatkowy (np. zwolnienie z opodatkowania) wskazywanie czynności odpowiedniej nie zawsze przynosi efekty oczekiwane przez ustawodawcę w postaci zniesienia skutków unikania opodatkowania. Wskazuje na to m.in. implementowanie tzw. małych klauzul przeciwko unikaniu opodatkowania, których działanie polega na wyłączeniu działania takiego przywileju.</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tym kontekście warto wskazać, że przewidywalność rozstrzygnięć będących efektem zastosowania klauzuli przeciwko unikaniu opodatkowania ma istotne znaczenie. Jak bowiem wskazywał Trybunał Konstytucyjny, zagrożenia takiej przewidywalności upatrywać można po pierwsze w tym, że przesłanki rozumienia (interpretacji) danego zwrotu niedookreślonego determinowane są elementami subiektywnymi. Im większe pole do zindywidualizowanej interpretacji danego pojęcia, tym większa też groźba nieprzewidywalności rozstrzygnięć podejmowanych na jego podstawie. Po drugie, Trybunał wskazał, że wykorzystywaniu zwrotów niedookreślonych powinna towarzyszyć konieczność nadania im takiej treści, która zagwarantuje jednolitość linii orzeczniczej (decyzji stosowania prawa). W kontekście pożądanej przewidywalności rozstrzygnięć dokonywanych na podstawie klauzuli Trybunał wskazał wreszcie, że konieczne jest zapewnienie, iż ustalenie treści pojęć nieostrych zastosowanych w danej regulacji nie stanie się udziałem organów stosujących te przepisy, co prowadzić może w konsekwencji do niedozwolonego prawotwórstwa ze strony tych organów</w:t>
      </w:r>
      <w:r w:rsidRPr="009A3C86">
        <w:rPr>
          <w:rFonts w:ascii="Times New Roman" w:eastAsia="Times New Roman" w:hAnsi="Times New Roman"/>
          <w:sz w:val="24"/>
          <w:szCs w:val="24"/>
          <w:vertAlign w:val="superscript"/>
        </w:rPr>
        <w:footnoteReference w:id="139"/>
      </w:r>
      <w:r w:rsidRPr="009A3C86">
        <w:rPr>
          <w:rFonts w:ascii="Times New Roman" w:eastAsia="Times New Roman" w:hAnsi="Times New Roman"/>
          <w:sz w:val="24"/>
          <w:szCs w:val="24"/>
        </w:rPr>
        <w:t xml:space="preserve">.  W przypadku wystąpienia sytuacji unikania opodatkowania – tj. spełnienia przesłanek opisanych w </w:t>
      </w:r>
      <w:r w:rsidR="00CE6458" w:rsidRPr="009A3C86">
        <w:rPr>
          <w:rFonts w:ascii="Times New Roman" w:eastAsia="Times New Roman" w:hAnsi="Times New Roman"/>
          <w:sz w:val="24"/>
          <w:szCs w:val="24"/>
        </w:rPr>
        <w:t>art. 33 § 1</w:t>
      </w:r>
      <w:r w:rsidRPr="009A3C86">
        <w:rPr>
          <w:rFonts w:ascii="Times New Roman" w:eastAsia="Times New Roman" w:hAnsi="Times New Roman"/>
          <w:sz w:val="24"/>
          <w:szCs w:val="24"/>
        </w:rPr>
        <w:t xml:space="preserve"> – gdy korzyść podatkowa została osiągnięta w rezultacie dokonania czynności opisanych w § 6 (tj. w wyniku zastosowania przepisu ustawy podatkowej określającego warunki przyznania zwolnienia podmiotowego lub przedmiotowego, wyłączenia z podstawy opodatkowania, w tym wyłączenia przychodów (dochodów) z opodatkowania, lub odliczenia od przychodu, dochodu lub podatku), efektem zastosowania klauzuli będzie odebranie osiągniętej przez podatnika korzyści podatkowej. Skutki podatkowe zostaną bowiem wówczas określone na podstawie stanu prawnego, jaki zaistniałby, gdyby przepis powodujący powstanie korzyści podatkowej nie miał zastosowania.</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W </w:t>
      </w:r>
      <w:r w:rsidRPr="009A3C86">
        <w:rPr>
          <w:rFonts w:ascii="Times New Roman" w:eastAsia="Times New Roman" w:hAnsi="Times New Roman"/>
          <w:b/>
          <w:sz w:val="24"/>
          <w:szCs w:val="24"/>
        </w:rPr>
        <w:t>art. </w:t>
      </w:r>
      <w:r w:rsidR="00B91639" w:rsidRPr="009A3C86">
        <w:rPr>
          <w:rFonts w:ascii="Times New Roman" w:eastAsia="Times New Roman" w:hAnsi="Times New Roman"/>
          <w:b/>
          <w:sz w:val="24"/>
          <w:szCs w:val="24"/>
        </w:rPr>
        <w:t xml:space="preserve">33 </w:t>
      </w:r>
      <w:r w:rsidRPr="009A3C86">
        <w:rPr>
          <w:rFonts w:ascii="Times New Roman" w:eastAsia="Times New Roman" w:hAnsi="Times New Roman"/>
          <w:b/>
          <w:sz w:val="24"/>
          <w:szCs w:val="24"/>
        </w:rPr>
        <w:t>§ 7</w:t>
      </w:r>
      <w:r w:rsidRPr="009A3C86">
        <w:rPr>
          <w:rFonts w:ascii="Times New Roman" w:eastAsia="Times New Roman" w:hAnsi="Times New Roman"/>
          <w:sz w:val="24"/>
          <w:szCs w:val="24"/>
        </w:rPr>
        <w:t xml:space="preserve"> zawarto odrębną podstawę do wydania decyzji w przypadku, gdy strona postępowania podatkowego w całości cofnie skutki unikania opodatkowania działając na podstawie </w:t>
      </w:r>
      <w:r w:rsidRPr="009A3C86">
        <w:rPr>
          <w:rFonts w:ascii="Times New Roman" w:eastAsia="Times New Roman" w:hAnsi="Times New Roman"/>
          <w:bCs/>
          <w:sz w:val="24"/>
          <w:szCs w:val="24"/>
        </w:rPr>
        <w:t>art. </w:t>
      </w:r>
      <w:r w:rsidR="00B956BC" w:rsidRPr="009A3C86">
        <w:rPr>
          <w:rFonts w:ascii="Times New Roman" w:eastAsia="Times New Roman" w:hAnsi="Times New Roman"/>
          <w:bCs/>
          <w:sz w:val="24"/>
          <w:szCs w:val="24"/>
        </w:rPr>
        <w:t xml:space="preserve">140 </w:t>
      </w:r>
      <w:r w:rsidRPr="009A3C86">
        <w:rPr>
          <w:rFonts w:ascii="Times New Roman" w:eastAsia="Times New Roman" w:hAnsi="Times New Roman"/>
          <w:bCs/>
          <w:sz w:val="24"/>
          <w:szCs w:val="24"/>
        </w:rPr>
        <w:t>§ </w:t>
      </w:r>
      <w:r w:rsidR="00915856" w:rsidRPr="009A3C86">
        <w:rPr>
          <w:rFonts w:ascii="Times New Roman" w:eastAsia="Times New Roman" w:hAnsi="Times New Roman"/>
          <w:bCs/>
          <w:sz w:val="24"/>
          <w:szCs w:val="24"/>
        </w:rPr>
        <w:t>4</w:t>
      </w:r>
      <w:r w:rsidRPr="009A3C86">
        <w:rPr>
          <w:rFonts w:ascii="Times New Roman" w:eastAsia="Times New Roman" w:hAnsi="Times New Roman"/>
          <w:b/>
          <w:bCs/>
          <w:sz w:val="24"/>
          <w:szCs w:val="24"/>
        </w:rPr>
        <w:t>.</w:t>
      </w:r>
      <w:r w:rsidRPr="009A3C86">
        <w:rPr>
          <w:rFonts w:ascii="Times New Roman" w:eastAsia="Times New Roman" w:hAnsi="Times New Roman"/>
          <w:sz w:val="24"/>
          <w:szCs w:val="24"/>
        </w:rPr>
        <w:t xml:space="preserve"> Zgodnie z tym przepisem, jeżeli dokonane przez stronę cofnięcie skutków unikania opodatkowania, o którym mowa w </w:t>
      </w:r>
      <w:r w:rsidRPr="009A3C86">
        <w:rPr>
          <w:rFonts w:ascii="Times New Roman" w:eastAsia="Times New Roman" w:hAnsi="Times New Roman"/>
          <w:bCs/>
          <w:sz w:val="24"/>
          <w:szCs w:val="24"/>
        </w:rPr>
        <w:t>art. </w:t>
      </w:r>
      <w:r w:rsidR="00E62936" w:rsidRPr="009A3C86">
        <w:rPr>
          <w:rFonts w:ascii="Times New Roman" w:eastAsia="Times New Roman" w:hAnsi="Times New Roman"/>
          <w:bCs/>
          <w:sz w:val="24"/>
          <w:szCs w:val="24"/>
        </w:rPr>
        <w:t xml:space="preserve">140 </w:t>
      </w:r>
      <w:r w:rsidRPr="009A3C86">
        <w:rPr>
          <w:rFonts w:ascii="Times New Roman" w:eastAsia="Times New Roman" w:hAnsi="Times New Roman"/>
          <w:bCs/>
          <w:sz w:val="24"/>
          <w:szCs w:val="24"/>
        </w:rPr>
        <w:t>§ 4</w:t>
      </w:r>
      <w:r w:rsidRPr="009A3C86">
        <w:rPr>
          <w:rFonts w:ascii="Times New Roman" w:eastAsia="Times New Roman" w:hAnsi="Times New Roman"/>
          <w:sz w:val="24"/>
          <w:szCs w:val="24"/>
        </w:rPr>
        <w:t xml:space="preserve">, w całości uwzględnia ocenę prawną organu podatkowego związaną z unikaniem opodatkowania zawartą w zawiadomieniu wydanym na podstawie </w:t>
      </w:r>
      <w:r w:rsidRPr="009A3C86">
        <w:rPr>
          <w:rFonts w:ascii="Times New Roman" w:eastAsia="Times New Roman" w:hAnsi="Times New Roman"/>
          <w:bCs/>
          <w:sz w:val="24"/>
          <w:szCs w:val="24"/>
        </w:rPr>
        <w:t>art. </w:t>
      </w:r>
      <w:r w:rsidR="004F28C1" w:rsidRPr="009A3C86">
        <w:rPr>
          <w:rFonts w:ascii="Times New Roman" w:eastAsia="Times New Roman" w:hAnsi="Times New Roman"/>
          <w:bCs/>
          <w:sz w:val="24"/>
          <w:szCs w:val="24"/>
        </w:rPr>
        <w:t>389 § 3</w:t>
      </w:r>
      <w:r w:rsidRPr="009A3C86">
        <w:rPr>
          <w:rFonts w:ascii="Times New Roman" w:eastAsia="Times New Roman" w:hAnsi="Times New Roman"/>
          <w:sz w:val="24"/>
          <w:szCs w:val="24"/>
        </w:rPr>
        <w:t>, organ podatkowy zawiera w decyzji wskazanie korzyści podatkowej lub dochodu stanowiącego podstawę ustalenia dodatkowego zobowiązania podatkowego</w:t>
      </w:r>
      <w:r w:rsidRPr="009A3C86">
        <w:rPr>
          <w:rFonts w:ascii="Times New Roman" w:eastAsia="Times New Roman" w:hAnsi="Times New Roman"/>
          <w:b/>
          <w:bCs/>
          <w:sz w:val="24"/>
          <w:szCs w:val="24"/>
        </w:rPr>
        <w:t>.</w:t>
      </w:r>
      <w:r w:rsidRPr="009A3C86">
        <w:rPr>
          <w:rFonts w:ascii="Times New Roman" w:eastAsia="Times New Roman" w:hAnsi="Times New Roman"/>
          <w:sz w:val="24"/>
          <w:szCs w:val="24"/>
        </w:rPr>
        <w:t xml:space="preserve"> W tym wypadku Szef Krajowej Administracji Skarbowej pozostanie właściwy w sprawie, a w wydanej decyzji stwierdzi wystąpienie korzyści podatkowej, która została dobrowolnie wyeliminowana przez stronę postępowania, oraz ustali dodatkowe zobowiązanie podatkowe na podstawie przepisów rozdziału </w:t>
      </w:r>
      <w:r w:rsidRPr="009A3C86">
        <w:rPr>
          <w:rFonts w:ascii="Times New Roman" w:eastAsia="Times New Roman" w:hAnsi="Times New Roman"/>
          <w:bCs/>
          <w:sz w:val="24"/>
          <w:szCs w:val="24"/>
        </w:rPr>
        <w:t>4 działu III</w:t>
      </w:r>
      <w:r w:rsidRPr="009A3C86">
        <w:rPr>
          <w:rFonts w:ascii="Times New Roman" w:eastAsia="Times New Roman" w:hAnsi="Times New Roman"/>
          <w:b/>
          <w:bCs/>
          <w:sz w:val="24"/>
          <w:szCs w:val="24"/>
        </w:rPr>
        <w:t>.</w:t>
      </w:r>
      <w:r w:rsidRPr="009A3C86">
        <w:rPr>
          <w:rFonts w:ascii="Times New Roman" w:eastAsia="Times New Roman" w:hAnsi="Times New Roman"/>
          <w:sz w:val="24"/>
          <w:szCs w:val="24"/>
        </w:rPr>
        <w:t xml:space="preserve"> Jeżeli oprócz kwestii związanych z unikaniem opodatkowania, w toku postępowania podatkowego prowadzonego na podstawie </w:t>
      </w:r>
      <w:r w:rsidRPr="009A3C86">
        <w:rPr>
          <w:rFonts w:ascii="Times New Roman" w:eastAsia="Times New Roman" w:hAnsi="Times New Roman"/>
          <w:bCs/>
          <w:sz w:val="24"/>
          <w:szCs w:val="24"/>
        </w:rPr>
        <w:t>art. </w:t>
      </w:r>
      <w:r w:rsidR="003A20BF" w:rsidRPr="009A3C86">
        <w:rPr>
          <w:rFonts w:ascii="Times New Roman" w:eastAsia="Times New Roman" w:hAnsi="Times New Roman"/>
          <w:bCs/>
          <w:sz w:val="24"/>
          <w:szCs w:val="24"/>
        </w:rPr>
        <w:t>594</w:t>
      </w:r>
      <w:r w:rsidR="00A475F2" w:rsidRPr="009A3C86">
        <w:rPr>
          <w:rFonts w:ascii="Times New Roman" w:eastAsia="Times New Roman" w:hAnsi="Times New Roman"/>
          <w:b/>
          <w:bCs/>
          <w:sz w:val="24"/>
          <w:szCs w:val="24"/>
        </w:rPr>
        <w:t xml:space="preserve"> </w:t>
      </w:r>
      <w:r w:rsidRPr="009A3C86">
        <w:rPr>
          <w:rFonts w:ascii="Times New Roman" w:eastAsia="Times New Roman" w:hAnsi="Times New Roman"/>
          <w:sz w:val="24"/>
          <w:szCs w:val="24"/>
        </w:rPr>
        <w:t xml:space="preserve">pojawią się inne kwestie sporne, a kwestie te nie zostaną rozwiązane w wyniku złożenia korekty deklaracji na podstawie </w:t>
      </w:r>
      <w:r w:rsidRPr="009A3C86">
        <w:rPr>
          <w:rFonts w:ascii="Times New Roman" w:eastAsia="Times New Roman" w:hAnsi="Times New Roman"/>
          <w:bCs/>
          <w:sz w:val="24"/>
          <w:szCs w:val="24"/>
        </w:rPr>
        <w:t xml:space="preserve">art. </w:t>
      </w:r>
      <w:r w:rsidR="000C44EE" w:rsidRPr="009A3C86">
        <w:rPr>
          <w:rFonts w:ascii="Times New Roman" w:eastAsia="Times New Roman" w:hAnsi="Times New Roman"/>
          <w:bCs/>
          <w:sz w:val="24"/>
          <w:szCs w:val="24"/>
        </w:rPr>
        <w:t xml:space="preserve">140 </w:t>
      </w:r>
      <w:r w:rsidRPr="009A3C86">
        <w:rPr>
          <w:rFonts w:ascii="Times New Roman" w:eastAsia="Times New Roman" w:hAnsi="Times New Roman"/>
          <w:bCs/>
          <w:sz w:val="24"/>
          <w:szCs w:val="24"/>
        </w:rPr>
        <w:t>§ 4</w:t>
      </w:r>
      <w:r w:rsidR="00C17ACF"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decyzja organu podatkowego będzie dotyczyła także tych elementów. W szczególności organ podatkowy w wydanej decyzji określi lub ustali wysokość zobowiązania podatkowego.</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11. Klauzula przeciwko unikaniu opodatkowania jest normą ingerencyjną, o znacznym stopniu dolegliwości dla adresatów norm prawnych. Dlatego wymaga obudowania instytucjami, które ów rygoryzm czynią możliwie mało dolegliwym dla tych podatników, którzy nie wykazują szczególnej determinacji w podejmowaniu działań zasługujących na negatywną normatywną reakcję państwa. Stosowanie instrumentu, jakim jest klauzula, wymaga szczególnej ostrożności, starannego zbalansowania ochrony interesów państwa i ochrony interesów obywateli narażonych na jego dotkliwą w skutkach ingerencję.</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Klauzula przeciwko unikania opodatkowania jest normą, co do której bywają niekiedy formułowane zarzuty dotyczące wprowadzania do systemu podatkowego stanu niepewności prawnej. Jako klauzula generalna nie może jednak być skonstruowana za pomocą pojęć na tyle ścisłych i jednoznacznych, aby takie wrażenie całkowicie wyeliminować. Norma o takim celu, jaki ma do spełnienia klauzula przeciwko unikaniu opodatkowania, musi dawać podmiotowi stosującemu prawo możliwość takiej wykładni nieostrych pojęć, które wykorzystano jako budulec tej normy, która pozwoli zapewnić normatywną reakcję państwa na zjawiska mające szkodliwy charakter. Normatywna reakcja na nie jest wysoce pożądana, a jednak ich szczegółowy kształt jest niemożliwy do przewidzenia na etapie budowania klauzuli. Klauzula musi być na tyle ogólna i „pojemna”, aby także te nieprzewidziane z góry zjawiska zwalczać.</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Konstruując tak dolegliwą dla podatników normę, ustawodawca powinien zachować szczególną wstrzemięźliwość. Poziom ochrony interesów państwa, obywateli i uczestników obrotu gospodarczego wymaga pieczołowitego wyważenia. Prawodawca powinien zdawać sobie sprawę z tego, że klauzula przeciwko unikaniu opodatkowania stanowi wyjątkowe rozwiązanie. Rozwiązanie takie nie powinno być używane do zwalczania zjawisk, których patologiczny rezultat nie może być uznany za wyjątkowo groźny. Ciężar gatunkowy negatywnych zjawisk powinien pozostawać w odpowiedniej proporcji do charakteru środków, jakimi są zwalczane. Stosowanie klauzuli powinno być zastrzeżone dla przypadków, w których rozmiar patologicznych skutków usprawiedliwia charakter prawnej reakcji na nie. W </w:t>
      </w:r>
      <w:r w:rsidRPr="009A3C86">
        <w:rPr>
          <w:rFonts w:ascii="Times New Roman" w:eastAsia="Times New Roman" w:hAnsi="Times New Roman"/>
          <w:b/>
          <w:sz w:val="24"/>
          <w:szCs w:val="24"/>
        </w:rPr>
        <w:t xml:space="preserve">art. </w:t>
      </w:r>
      <w:r w:rsidR="0003410F" w:rsidRPr="009A3C86">
        <w:rPr>
          <w:rFonts w:ascii="Times New Roman" w:eastAsia="Times New Roman" w:hAnsi="Times New Roman"/>
          <w:b/>
          <w:sz w:val="24"/>
          <w:szCs w:val="24"/>
        </w:rPr>
        <w:t>36</w:t>
      </w:r>
      <w:r w:rsidR="0003410F"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określone zostały przypadki, w których nie stosuje się klauzuli przeciwko unikaniu opodatkowania. Przepis ten stanowi odpowiednik obowiązującego art. 119b</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o.p. w brzmieniu nadanym od 1 stycznia 2019r.</w:t>
      </w:r>
      <w:r w:rsidRPr="009A3C86">
        <w:rPr>
          <w:rFonts w:ascii="Times New Roman" w:eastAsia="Times New Roman" w:hAnsi="Times New Roman"/>
          <w:sz w:val="24"/>
          <w:szCs w:val="24"/>
          <w:vertAlign w:val="superscript"/>
        </w:rPr>
        <w:footnoteReference w:id="140"/>
      </w:r>
      <w:r w:rsidRPr="009A3C86">
        <w:rPr>
          <w:rFonts w:ascii="Times New Roman" w:eastAsia="Times New Roman" w:hAnsi="Times New Roman"/>
          <w:sz w:val="24"/>
          <w:szCs w:val="24"/>
        </w:rPr>
        <w:t xml:space="preserve"> Klauzuli nie stosuje się do podmiotu, który uzyskał opinię zabezpieczającą do czasu jej uchylenia lub zmiany (</w:t>
      </w:r>
      <w:r w:rsidRPr="009A3C86">
        <w:rPr>
          <w:rFonts w:ascii="Times New Roman" w:eastAsia="Times New Roman" w:hAnsi="Times New Roman"/>
          <w:b/>
          <w:sz w:val="24"/>
          <w:szCs w:val="24"/>
        </w:rPr>
        <w:t xml:space="preserve">art. </w:t>
      </w:r>
      <w:r w:rsidR="00D15D9C" w:rsidRPr="009A3C86">
        <w:rPr>
          <w:rFonts w:ascii="Times New Roman" w:eastAsia="Times New Roman" w:hAnsi="Times New Roman"/>
          <w:b/>
          <w:sz w:val="24"/>
          <w:szCs w:val="24"/>
        </w:rPr>
        <w:t>3</w:t>
      </w:r>
      <w:r w:rsidR="00CD1A27" w:rsidRPr="009A3C86">
        <w:rPr>
          <w:rFonts w:ascii="Times New Roman" w:eastAsia="Times New Roman" w:hAnsi="Times New Roman"/>
          <w:b/>
          <w:sz w:val="24"/>
          <w:szCs w:val="24"/>
        </w:rPr>
        <w:t>6</w:t>
      </w:r>
      <w:r w:rsidR="00D15D9C"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xml:space="preserve">pkt </w:t>
      </w:r>
      <w:r w:rsidR="00C17ACF" w:rsidRPr="009A3C86">
        <w:rPr>
          <w:rFonts w:ascii="Times New Roman" w:eastAsia="Times New Roman" w:hAnsi="Times New Roman"/>
          <w:b/>
          <w:sz w:val="24"/>
          <w:szCs w:val="24"/>
        </w:rPr>
        <w:t>1</w:t>
      </w:r>
      <w:r w:rsidRPr="009A3C86">
        <w:rPr>
          <w:rFonts w:ascii="Times New Roman" w:eastAsia="Times New Roman" w:hAnsi="Times New Roman"/>
          <w:sz w:val="24"/>
          <w:szCs w:val="24"/>
        </w:rPr>
        <w:t>). Opinia chroni podatnika przed skutkami wydania decyzji z zastosowaniem przepisów regulujących klauzulę przeciwko unikaniu opodatkowania. W zakresie skutków prawnych opinia zabezpieczająca jest bardzo zbliżona do indywidualnych interpretacji prawa podatkowego.</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Proponuje się utrzymanie rozwiązania, zgodnie z którym klauzuli ogólnej przeciwko unikaniu opodatkowania nie stosuje się do podatku od towarów i usług. Wyłączenie tego z zakresu oddziaływania klauzuli (</w:t>
      </w:r>
      <w:r w:rsidRPr="009A3C86">
        <w:rPr>
          <w:rFonts w:ascii="Times New Roman" w:eastAsia="Times New Roman" w:hAnsi="Times New Roman"/>
          <w:b/>
          <w:sz w:val="24"/>
          <w:szCs w:val="24"/>
        </w:rPr>
        <w:t xml:space="preserve">art. </w:t>
      </w:r>
      <w:r w:rsidR="00CD1A27" w:rsidRPr="009A3C86">
        <w:rPr>
          <w:rFonts w:ascii="Times New Roman" w:eastAsia="Times New Roman" w:hAnsi="Times New Roman"/>
          <w:b/>
          <w:sz w:val="24"/>
          <w:szCs w:val="24"/>
        </w:rPr>
        <w:t xml:space="preserve">36 </w:t>
      </w:r>
      <w:r w:rsidRPr="009A3C86">
        <w:rPr>
          <w:rFonts w:ascii="Times New Roman" w:eastAsia="Times New Roman" w:hAnsi="Times New Roman"/>
          <w:b/>
          <w:sz w:val="24"/>
          <w:szCs w:val="24"/>
        </w:rPr>
        <w:t>pkt 2</w:t>
      </w:r>
      <w:r w:rsidRPr="009A3C86">
        <w:rPr>
          <w:rFonts w:ascii="Times New Roman" w:eastAsia="Times New Roman" w:hAnsi="Times New Roman"/>
          <w:sz w:val="24"/>
          <w:szCs w:val="24"/>
        </w:rPr>
        <w:t xml:space="preserve">) uzasadnione jest tym, że w obszarze podatku od wartości dodanej na poziomie Unii Europejskiej w orzecznictwie wykształciła się zasada zakazu nadużycia prawa, będąca w istocie odpowiednikiem normatywnej klauzuli zapobiegającej unikaniu opodatkowania. Polskie sądy i organy podatkowe zobowiązane są ją stosować w pełnym zakresie. Koncepcja ta jest wystarczająco kompletnym i nadającym się do stosowania w polskim porządku prawnym środkiem zwalczania nadużyć podatkowych w podatku od towarów i usług. Wprowadzenie ustawowej regulacji przeciwdziałającej unikaniu opodatkowania w tym podatku na poziomie krajowym byłoby w tej sytuacji nie tylko zbędne, lecz mogłoby doprowadzić do powstania wątpliwości prawnych odnośnie do wzajemnej relacji i pierwszeństwa stosowania tych dwóch środków prawnych (unijnego i krajowego). Należy też mieć na uwadze, że unijna koncepcja zwalczania nadużyć w podatku od wartości dodanej, jako środek orzeczniczy, podlega stale rozwojowi i może płynnie podlegać zmianom wynikającym </w:t>
      </w:r>
      <w:r w:rsidRPr="009A3C86">
        <w:rPr>
          <w:rFonts w:ascii="Times New Roman" w:eastAsia="Times New Roman" w:hAnsi="Times New Roman"/>
          <w:sz w:val="24"/>
          <w:szCs w:val="24"/>
        </w:rPr>
        <w:lastRenderedPageBreak/>
        <w:t xml:space="preserve">z aktualnej linii orzeczniczej prezentowanej przez Trybunał Sprawiedliwości Unii Europejskiej. Polska jako państwo członkowskie Unii Europejskiej jest zobowiązana do stosowania jej prawa (w tym orzecznictwa TSUE) w jego aktualnej postaci. Wprowadzenie do krajowego porządku prawnego ustawowej klauzuli przeciwko unikaniu opodatkowania w zakresie podatku od towarów i usług w istocie rzeczy zatem mijałoby się z celem, ponieważ w tym obszarze musiałaby ona być interpretowana i stosowana w zgodzie z aktualnym orzecznictwem TSUE. Nadto, przepisy ustawy </w:t>
      </w:r>
      <w:r w:rsidR="00A91FDB" w:rsidRPr="009A3C86">
        <w:rPr>
          <w:rFonts w:ascii="Times New Roman" w:eastAsia="Times New Roman" w:hAnsi="Times New Roman"/>
          <w:sz w:val="24"/>
          <w:szCs w:val="24"/>
        </w:rPr>
        <w:t xml:space="preserve">z dnia 11 marca 2004 r. </w:t>
      </w:r>
      <w:r w:rsidRPr="009A3C86">
        <w:rPr>
          <w:rFonts w:ascii="Times New Roman" w:eastAsia="Times New Roman" w:hAnsi="Times New Roman"/>
          <w:sz w:val="24"/>
          <w:szCs w:val="24"/>
        </w:rPr>
        <w:t xml:space="preserve">o podatku od towarów i usług </w:t>
      </w:r>
      <w:r w:rsidR="00A91FDB" w:rsidRPr="009A3C86">
        <w:rPr>
          <w:rFonts w:ascii="Times New Roman" w:eastAsia="Times New Roman" w:hAnsi="Times New Roman"/>
          <w:sz w:val="24"/>
          <w:szCs w:val="24"/>
        </w:rPr>
        <w:t xml:space="preserve">(Dz. U. z 2018 r. poz. 2174, z późn. zm.) </w:t>
      </w:r>
      <w:r w:rsidRPr="009A3C86">
        <w:rPr>
          <w:rFonts w:ascii="Times New Roman" w:eastAsia="Times New Roman" w:hAnsi="Times New Roman"/>
          <w:sz w:val="24"/>
          <w:szCs w:val="24"/>
        </w:rPr>
        <w:t xml:space="preserve">bezpośrednio nawiązują już do wspomnianej koncepcji nadużycia prawa, zyskała ona zatem w Polsce walor normatywny na poziomie krajowego porządku prawnego. Objęcie podatku od towarów i usług rozwiązaniem konkurencyjnym do już istniejącego, jakim byłaby klauzula ogólna przeciwko unikaniu opodatkowania, wprowadziłoby wątpliwości co do zakresu stosowania tych dwóch odrębnych regulacji mających na celu zwalczanie nadużyć. Klauzula nie będzie miała również zastosowania do podmiotu, który zawarł porozumienie podatkowe, o którym mowa w dziale </w:t>
      </w:r>
      <w:r w:rsidRPr="009A3C86">
        <w:rPr>
          <w:rFonts w:ascii="Times New Roman" w:eastAsia="Times New Roman" w:hAnsi="Times New Roman"/>
          <w:bCs/>
          <w:sz w:val="24"/>
          <w:szCs w:val="24"/>
        </w:rPr>
        <w:t xml:space="preserve">IV rozdziale </w:t>
      </w:r>
      <w:r w:rsidR="003A20BF" w:rsidRPr="009A3C86">
        <w:rPr>
          <w:rFonts w:ascii="Times New Roman" w:eastAsia="Times New Roman" w:hAnsi="Times New Roman"/>
          <w:bCs/>
          <w:sz w:val="24"/>
          <w:szCs w:val="24"/>
        </w:rPr>
        <w:t xml:space="preserve">5 </w:t>
      </w:r>
      <w:r w:rsidRPr="009A3C86">
        <w:rPr>
          <w:rFonts w:ascii="Times New Roman" w:eastAsia="Times New Roman" w:hAnsi="Times New Roman"/>
          <w:bCs/>
          <w:sz w:val="24"/>
          <w:szCs w:val="24"/>
        </w:rPr>
        <w:t>oddziale 2</w:t>
      </w:r>
      <w:r w:rsidRPr="009A3C86">
        <w:rPr>
          <w:rFonts w:ascii="Times New Roman" w:eastAsia="Times New Roman" w:hAnsi="Times New Roman"/>
          <w:sz w:val="24"/>
          <w:szCs w:val="24"/>
        </w:rPr>
        <w:t>, w zakresie objętym tym porozumieniem (</w:t>
      </w:r>
      <w:r w:rsidRPr="009A3C86">
        <w:rPr>
          <w:rFonts w:ascii="Times New Roman" w:eastAsia="Times New Roman" w:hAnsi="Times New Roman"/>
          <w:b/>
          <w:sz w:val="24"/>
          <w:szCs w:val="24"/>
        </w:rPr>
        <w:t xml:space="preserve">art. </w:t>
      </w:r>
      <w:r w:rsidR="00CD1A27" w:rsidRPr="009A3C86">
        <w:rPr>
          <w:rFonts w:ascii="Times New Roman" w:eastAsia="Times New Roman" w:hAnsi="Times New Roman"/>
          <w:b/>
          <w:sz w:val="24"/>
          <w:szCs w:val="24"/>
        </w:rPr>
        <w:t xml:space="preserve">36 </w:t>
      </w:r>
      <w:r w:rsidRPr="009A3C86">
        <w:rPr>
          <w:rFonts w:ascii="Times New Roman" w:eastAsia="Times New Roman" w:hAnsi="Times New Roman"/>
          <w:b/>
          <w:sz w:val="24"/>
          <w:szCs w:val="24"/>
        </w:rPr>
        <w:t>pkt 3</w:t>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12. O tym, że mamy do czynienia z unikaniem opodatkowania, w znacznej mierze przesądza sztuczność działań podatnika. Element ten pojawia się w większości tego typu regulacji spotykanych na świecie. Także w światowej literaturze przedmiotu sztuczność wskazuje się jako jedną z najistotniejszych cech pozwalających odróżnić optymalizację podatkową od unikania opodatkowania</w:t>
      </w:r>
      <w:r w:rsidRPr="009A3C86">
        <w:rPr>
          <w:rFonts w:ascii="Times New Roman" w:eastAsia="Times New Roman" w:hAnsi="Times New Roman"/>
          <w:sz w:val="24"/>
          <w:szCs w:val="24"/>
          <w:vertAlign w:val="superscript"/>
        </w:rPr>
        <w:footnoteReference w:id="141"/>
      </w:r>
      <w:r w:rsidRPr="009A3C86">
        <w:rPr>
          <w:rFonts w:ascii="Times New Roman" w:eastAsia="Times New Roman" w:hAnsi="Times New Roman"/>
          <w:sz w:val="24"/>
          <w:szCs w:val="24"/>
        </w:rPr>
        <w:t>. Przyjęcie w projekcie tej cechy jako wyróżnika pozwalającego zakwestionować podatkowe skutki dokonanej przez podatnika czynności jest też zgodne z powoływanym już zaleceniem Komisji z dnia 6 grudnia 2012 r. w sprawie agresywnego planowania podatkowego (pkt 4.2. oraz dookreślenie w pkt 4.4.) oraz z dyrektywą Rady (UE) 2016/1164 z dnia 12 lipca 2016 r. Sztuczność stanowi tylko jedną z przesłanek zastosowania klauzuli przeciwko unikaniu opodatkowania. Głównym kryterium oceny, czy czynność podlega pod klauzulę jest to, czy podatnik działa zgodnie z celem ustawy</w:t>
      </w:r>
      <w:r w:rsidRPr="009A3C86">
        <w:rPr>
          <w:rFonts w:ascii="Times New Roman" w:eastAsia="Times New Roman" w:hAnsi="Times New Roman"/>
          <w:sz w:val="24"/>
          <w:szCs w:val="24"/>
          <w:vertAlign w:val="superscript"/>
        </w:rPr>
        <w:footnoteReference w:id="142"/>
      </w:r>
      <w:r w:rsidRPr="009A3C86">
        <w:rPr>
          <w:rFonts w:ascii="Times New Roman" w:eastAsia="Times New Roman" w:hAnsi="Times New Roman"/>
          <w:sz w:val="24"/>
          <w:szCs w:val="24"/>
        </w:rPr>
        <w:t>. Pojęcie sztuczności należy do wyrażeń pozostawiających interpretatorowi pewien margines luzu decyzyjnego. Starano się jednak zminimalizować go po pierwsze, poprzez ustawowe zdefiniowanie określenia sztuczności (</w:t>
      </w:r>
      <w:r w:rsidRPr="009A3C86">
        <w:rPr>
          <w:rFonts w:ascii="Times New Roman" w:eastAsia="Times New Roman" w:hAnsi="Times New Roman"/>
          <w:b/>
          <w:sz w:val="24"/>
          <w:szCs w:val="24"/>
        </w:rPr>
        <w:t xml:space="preserve">art. </w:t>
      </w:r>
      <w:r w:rsidR="00D15D9C" w:rsidRPr="009A3C86">
        <w:rPr>
          <w:rFonts w:ascii="Times New Roman" w:eastAsia="Times New Roman" w:hAnsi="Times New Roman"/>
          <w:b/>
          <w:sz w:val="24"/>
          <w:szCs w:val="24"/>
        </w:rPr>
        <w:t>3</w:t>
      </w:r>
      <w:r w:rsidR="00F42594" w:rsidRPr="009A3C86">
        <w:rPr>
          <w:rFonts w:ascii="Times New Roman" w:eastAsia="Times New Roman" w:hAnsi="Times New Roman"/>
          <w:b/>
          <w:sz w:val="24"/>
          <w:szCs w:val="24"/>
        </w:rPr>
        <w:t>4</w:t>
      </w:r>
      <w:r w:rsidR="00D15D9C"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jak też i wskazanie tych cech transakcji, które podmiot stosujący prawo powinien wziąć pod uwagę dokonując oceny, czy działania podatnika miały charakter </w:t>
      </w:r>
      <w:r w:rsidRPr="009A3C86">
        <w:rPr>
          <w:rFonts w:ascii="Times New Roman" w:eastAsia="Times New Roman" w:hAnsi="Times New Roman"/>
          <w:sz w:val="24"/>
          <w:szCs w:val="24"/>
        </w:rPr>
        <w:lastRenderedPageBreak/>
        <w:t xml:space="preserve">sztuczny, czy też nie. Wyliczenie charakterystycznych cech mogących wskazywać na to, że czynność ma charakter sztuczny w rozumieniu art. </w:t>
      </w:r>
      <w:r w:rsidR="00D15D9C" w:rsidRPr="009A3C86">
        <w:rPr>
          <w:rFonts w:ascii="Times New Roman" w:eastAsia="Times New Roman" w:hAnsi="Times New Roman"/>
          <w:sz w:val="24"/>
          <w:szCs w:val="24"/>
        </w:rPr>
        <w:t>33</w:t>
      </w:r>
      <w:r w:rsidRPr="009A3C86">
        <w:rPr>
          <w:rFonts w:ascii="Times New Roman" w:eastAsia="Times New Roman" w:hAnsi="Times New Roman"/>
          <w:sz w:val="24"/>
          <w:szCs w:val="24"/>
        </w:rPr>
        <w:t xml:space="preserve">, znalazło się w </w:t>
      </w:r>
      <w:r w:rsidRPr="009A3C86">
        <w:rPr>
          <w:rFonts w:ascii="Times New Roman" w:eastAsia="Times New Roman" w:hAnsi="Times New Roman"/>
          <w:b/>
          <w:sz w:val="24"/>
          <w:szCs w:val="24"/>
        </w:rPr>
        <w:t xml:space="preserve">art. </w:t>
      </w:r>
      <w:r w:rsidR="00F42594" w:rsidRPr="009A3C86">
        <w:rPr>
          <w:rFonts w:ascii="Times New Roman" w:eastAsia="Times New Roman" w:hAnsi="Times New Roman"/>
          <w:b/>
          <w:sz w:val="24"/>
          <w:szCs w:val="24"/>
        </w:rPr>
        <w:t xml:space="preserve">34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Wśród tych cech znalazło się nieuzasadnione dzielenie operacji, angażowanie podmiotów pośredniczących mimo braku po temu uzasadnienia gospodarczego, występowanie w działaniu podatnika elementów prowadzących do uzyskania stanu identycznego lub zbliżonego do stanu wyjściowego, względnie elementów wzajemnie się znoszących lub kompensujących. Ponadto o sztuczności może też przesądzać występowanie w operacjach podejmowanych przez podatnika wskazanych w </w:t>
      </w:r>
      <w:r w:rsidRPr="009A3C86">
        <w:rPr>
          <w:rFonts w:ascii="Times New Roman" w:eastAsia="Times New Roman" w:hAnsi="Times New Roman"/>
          <w:b/>
          <w:sz w:val="24"/>
          <w:szCs w:val="24"/>
        </w:rPr>
        <w:t xml:space="preserve">art. </w:t>
      </w:r>
      <w:r w:rsidR="00E33471" w:rsidRPr="009A3C86">
        <w:rPr>
          <w:rFonts w:ascii="Times New Roman" w:eastAsia="Times New Roman" w:hAnsi="Times New Roman"/>
          <w:b/>
          <w:sz w:val="24"/>
          <w:szCs w:val="24"/>
        </w:rPr>
        <w:t xml:space="preserve">34 </w:t>
      </w:r>
      <w:r w:rsidRPr="009A3C86">
        <w:rPr>
          <w:rFonts w:ascii="Times New Roman" w:eastAsia="Times New Roman" w:hAnsi="Times New Roman"/>
          <w:b/>
          <w:sz w:val="24"/>
          <w:szCs w:val="24"/>
        </w:rPr>
        <w:t>§ 2 pkt 5-8</w:t>
      </w:r>
      <w:r w:rsidRPr="009A3C86">
        <w:rPr>
          <w:rFonts w:ascii="Times New Roman" w:eastAsia="Times New Roman" w:hAnsi="Times New Roman"/>
          <w:sz w:val="24"/>
          <w:szCs w:val="24"/>
        </w:rPr>
        <w:t>: ryzyka gospodarczego przewyższającego spodziewane korzyści inne niż podatkowe w takim stopniu, że należy uznać, że działający rozsądnie podmiot nie wybrałby tego sposobu działania; sytuacji, w której osiągnięta korzyść podatkowa nie ma odzwierciedlenia w poniesionym przez podmiot ryzyku gospodarczym lub jego przepływach pieniężnych; zysku przed opodatkowaniem, który jest nieznaczny w porównaniu do korzyści podatkowej, która nie wynika bezpośrednio z rzeczywiście poniesionej ekonomicznej straty; angażowania podmiotu, który nie prowadzi rzeczywistej działalności gospodarczej lub nie pełni istotnej funkcji ekonomicznej, lub który posiada siedzibę lub miejsce zamieszkania w kraju lub na terytorium określonym w przepisach wydanych na podstawie art. 11j ust. 2 u.p.d.o.p. lub art. 23v ust. 2 u.p.d.o.f. Należy podkreślić, że opisany powyżej katalog jest otwarty, co oznacza, że mogą istnieć również inne okoliczności, które będą wskazywały na to, że sposób działania podatnika był sztuczny. Działanie sztuczne to – w uproszczeniu – takie działanie, które nie zostałoby zastosowane, gdyby nie towarzysząca podmiotowi chęć osiągnięcia korzyści podatkowej. Jeżeli zatem chęć osiągnięcia korzyści podatkowej ma zasadniczy wpływ na to, czy podmiot wybrał działanie w sposób sztuczny, to można z dużą dozą pewności przyjąć, że osiągnięcie korzyści podatkowej było jednym z głównych celów dokonania czynności. To bowiem główne cele towarzyszące czynności mają wpływ na sposób działania. Dodać należy, że zasada o podobnym charakterze została już uwzględniona w art. 12 ust. 14 ustawy o CIT, który stanowi implementację art. 15 ust. 1 lit. a Dyrektywy Rady 2009/133/WE z dnia 19 października 2009 r. w sprawie wspólnego systemu opodatkowania mającego zastosowanie w przypadku łączenia, podziałów, podziałów przez wydzielenie, wnoszenia aktywów i wymiany udziałów dotyczących spółek różnych państw członkowskich oraz przeniesienia statutowej siedziby SE lub SCE z jednego państwa członkowskiego do innego państwa członkowskiego.</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13. Na to, czy dokonane czynności stanowią unikanie opodatkowania, a zatem czy ich skutki będą przez prawo zwalczane, wskazuje też cel działania podatnika. Jeśli na podstawie oceny zaistniałych w sprawie okoliczności należy uznać, że działanie podatnika nakierowane było </w:t>
      </w:r>
      <w:r w:rsidRPr="009A3C86">
        <w:rPr>
          <w:rFonts w:ascii="Times New Roman" w:eastAsia="Times New Roman" w:hAnsi="Times New Roman"/>
          <w:sz w:val="24"/>
          <w:szCs w:val="24"/>
        </w:rPr>
        <w:lastRenderedPageBreak/>
        <w:t xml:space="preserve">przede wszystkim na osiągnięcie podatkowo korzystnego rezultatu, sprzecznego z celem i istotą regulacji podatkowej, wówczas mamy do czynienia z unikaniem opodatkowania. W ślad za wspomnianym wyżej zaleceniem Komisji z 6 grudnia 2012 r. W </w:t>
      </w:r>
      <w:r w:rsidRPr="009A3C86">
        <w:rPr>
          <w:rFonts w:ascii="Times New Roman" w:eastAsia="Times New Roman" w:hAnsi="Times New Roman"/>
          <w:b/>
          <w:sz w:val="24"/>
          <w:szCs w:val="24"/>
        </w:rPr>
        <w:t xml:space="preserve">art. </w:t>
      </w:r>
      <w:r w:rsidR="001E3E01" w:rsidRPr="009A3C86">
        <w:rPr>
          <w:rFonts w:ascii="Times New Roman" w:eastAsia="Times New Roman" w:hAnsi="Times New Roman"/>
          <w:b/>
          <w:sz w:val="24"/>
          <w:szCs w:val="24"/>
        </w:rPr>
        <w:t>3</w:t>
      </w:r>
      <w:r w:rsidR="000A22EC" w:rsidRPr="009A3C86">
        <w:rPr>
          <w:rFonts w:ascii="Times New Roman" w:eastAsia="Times New Roman" w:hAnsi="Times New Roman"/>
          <w:b/>
          <w:sz w:val="24"/>
          <w:szCs w:val="24"/>
        </w:rPr>
        <w:t>5</w:t>
      </w:r>
      <w:r w:rsidR="001E3E01"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wskazano, że przy ocenie, czy osiągnięcie korzyści podatkowej było głównym lub jednym z głównych celów dokonania czynności, bierze się pod uwagę cele ekonomiczne czynności wskazane przez stronę. Rozwiązanie to jest zgodne i stanowi konsekwencje przyjęcia w art. </w:t>
      </w:r>
      <w:r w:rsidR="001E3E01" w:rsidRPr="009A3C86">
        <w:rPr>
          <w:rFonts w:ascii="Times New Roman" w:eastAsia="Times New Roman" w:hAnsi="Times New Roman"/>
          <w:sz w:val="24"/>
          <w:szCs w:val="24"/>
        </w:rPr>
        <w:t>33</w:t>
      </w:r>
      <w:r w:rsidRPr="009A3C86">
        <w:rPr>
          <w:rFonts w:ascii="Times New Roman" w:eastAsia="Times New Roman" w:hAnsi="Times New Roman"/>
          <w:sz w:val="24"/>
          <w:szCs w:val="24"/>
        </w:rPr>
        <w:t>, że klauzula przeciwko unikaniu opodatkowania ma zastosowanie w sytuacji, gdy głównym lub jednym z głównych celów dokonania czynności będzie uzyskanie korzyści podatkowej sprzecznej w danych okolicznościach z przedmiotem lub przepisem ustawy podatkowej. Proponowana zmiana systemowo współgra także z ujęciem już obecnym w polskich ustawach podatkowych, w których wcześniej dokonano implementacji innych przepisów prawa wspólnotowego, przewidujących stosowanie specyficznych klauzul przeciwko unikaniu opodatkowania (np. art. 12 ust. 13 oraz art. 22c ustawy z dnia 15 lutego 1992 r. o podatku dochodowym od osób prawnych). Można zauważyć, że analogicznie definiowany próg działania przepisów przeciwko unikaniu opodatkowania występuje m.in. w brytyjskiej generalnej klauzuli przeciwko unikaniu opodatkowania (</w:t>
      </w:r>
      <w:r w:rsidRPr="009A3C86">
        <w:rPr>
          <w:rFonts w:ascii="Times New Roman" w:eastAsia="Times New Roman" w:hAnsi="Times New Roman"/>
          <w:i/>
          <w:iCs/>
          <w:sz w:val="24"/>
          <w:szCs w:val="24"/>
        </w:rPr>
        <w:t>Finance Act 2013</w:t>
      </w:r>
      <w:r w:rsidRPr="009A3C86">
        <w:rPr>
          <w:rFonts w:ascii="Times New Roman" w:eastAsia="Times New Roman" w:hAnsi="Times New Roman"/>
          <w:sz w:val="24"/>
          <w:szCs w:val="24"/>
        </w:rPr>
        <w:t>, sekcja 207(1)).</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rozumieniu </w:t>
      </w:r>
      <w:r w:rsidRPr="009A3C86">
        <w:rPr>
          <w:rFonts w:ascii="Times New Roman" w:eastAsia="Times New Roman" w:hAnsi="Times New Roman"/>
          <w:b/>
          <w:sz w:val="24"/>
          <w:szCs w:val="24"/>
        </w:rPr>
        <w:t xml:space="preserve">art. </w:t>
      </w:r>
      <w:r w:rsidR="001E3E01" w:rsidRPr="009A3C86">
        <w:rPr>
          <w:rFonts w:ascii="Times New Roman" w:eastAsia="Times New Roman" w:hAnsi="Times New Roman"/>
          <w:b/>
          <w:sz w:val="24"/>
          <w:szCs w:val="24"/>
        </w:rPr>
        <w:t>37</w:t>
      </w:r>
      <w:r w:rsidR="001E3E01"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nie tylko jednokrotna czynność dokonana przez jednego podatnika mieści się w pojęciu sztucznego działania zmierzającego przede wszystkim do uzyskania korzyści podatkowej. Może to być także zespół czynności dokonany przez podatnika albo pomiędzy tymi samymi podmiotami.</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14. Za zbędne uznano doprecyzowanie w przepisach, jakiego rodzaju decyzję może wydać organ podatkowy celem pozbawienia podatnika korzyści osiągniętej na skutek czynności zakwestionowanej na podstawie art. </w:t>
      </w:r>
      <w:r w:rsidR="001E3E01" w:rsidRPr="009A3C86">
        <w:rPr>
          <w:rFonts w:ascii="Times New Roman" w:eastAsia="Times New Roman" w:hAnsi="Times New Roman"/>
          <w:sz w:val="24"/>
          <w:szCs w:val="24"/>
        </w:rPr>
        <w:t>33</w:t>
      </w:r>
      <w:r w:rsidRPr="009A3C86">
        <w:rPr>
          <w:rFonts w:ascii="Times New Roman" w:eastAsia="Times New Roman" w:hAnsi="Times New Roman"/>
          <w:sz w:val="24"/>
          <w:szCs w:val="24"/>
        </w:rPr>
        <w:t xml:space="preserve">. Należy uznać, że skoro, po pierwsze, przepisy wyraźnie wskazują o przejęciu lub wszczęciu w tej sprawie postępowania podatkowego, a po wtóre – przewiduje się stosowanie w takim wypadku przepisów działu III („Postępowanie podatkowe”), to nie ulega wątpliwości, że formą załatwienia sprawy jest decyzja. O tym, jaka jest to decyzja, rozstrzygać będzie organ na podstawie okoliczności sprawy, biorąc potencjalnie pod uwagę wszystkie rodzaje decyzji przewidziane w aktualnie obowiązujących przepisach. Wyliczanie wszystkich rodzajów możliwych w tym zakresie do zastosowania decyzji jest zbędne. Katalog tych decyzji został wskazany w </w:t>
      </w:r>
      <w:r w:rsidRPr="009A3C86">
        <w:rPr>
          <w:rFonts w:ascii="Times New Roman" w:eastAsia="Times New Roman" w:hAnsi="Times New Roman"/>
          <w:bCs/>
          <w:sz w:val="24"/>
          <w:szCs w:val="24"/>
        </w:rPr>
        <w:t>art. 13 pkt 3</w:t>
      </w:r>
      <w:r w:rsidRPr="009A3C86">
        <w:rPr>
          <w:rFonts w:ascii="Times New Roman" w:eastAsia="Times New Roman" w:hAnsi="Times New Roman"/>
          <w:sz w:val="24"/>
          <w:szCs w:val="24"/>
        </w:rPr>
        <w:t xml:space="preserve">. Przyjąć należy, że tak jak w obecnym stanie prawnym, organ wyda decyzję odpowiednią do sytuacji, aby pozbawić podatnika korzyści podatkowej (decyzję określającą lub ustalającą wysokość zobowiązania podatkowego, decyzję stwierdzającą wysokość nadpłaty w prawidłowej wysokości lub inną). Jakkolwiek zastosowanie klauzuli polegać może na wydaniu odpowiedniej decyzji podatkowej, </w:t>
      </w:r>
      <w:r w:rsidRPr="009A3C86">
        <w:rPr>
          <w:rFonts w:ascii="Times New Roman" w:eastAsia="Times New Roman" w:hAnsi="Times New Roman"/>
          <w:sz w:val="24"/>
          <w:szCs w:val="24"/>
        </w:rPr>
        <w:lastRenderedPageBreak/>
        <w:t xml:space="preserve">to jednak przepis będzie też umożliwiał podatnikowi złożenie korekty deklaracji podatkowej w toku postępowania w sprawie unikania opodatkowania </w:t>
      </w:r>
      <w:r w:rsidRPr="009A3C86">
        <w:rPr>
          <w:rFonts w:ascii="Times New Roman" w:eastAsia="Times New Roman" w:hAnsi="Times New Roman"/>
          <w:bCs/>
          <w:sz w:val="24"/>
          <w:szCs w:val="24"/>
        </w:rPr>
        <w:t xml:space="preserve">(art. </w:t>
      </w:r>
      <w:r w:rsidR="0086469B" w:rsidRPr="009A3C86">
        <w:rPr>
          <w:rFonts w:ascii="Times New Roman" w:eastAsia="Times New Roman" w:hAnsi="Times New Roman"/>
          <w:bCs/>
          <w:sz w:val="24"/>
          <w:szCs w:val="24"/>
        </w:rPr>
        <w:t>140</w:t>
      </w:r>
      <w:r w:rsidRPr="009A3C86">
        <w:rPr>
          <w:rFonts w:ascii="Times New Roman" w:eastAsia="Times New Roman" w:hAnsi="Times New Roman"/>
          <w:bCs/>
          <w:sz w:val="24"/>
          <w:szCs w:val="24"/>
        </w:rPr>
        <w:t>)</w:t>
      </w:r>
      <w:r w:rsidRPr="009A3C86">
        <w:rPr>
          <w:rFonts w:ascii="Times New Roman" w:eastAsia="Times New Roman" w:hAnsi="Times New Roman"/>
          <w:b/>
          <w:bCs/>
          <w:sz w:val="24"/>
          <w:szCs w:val="24"/>
        </w:rPr>
        <w:t>.</w:t>
      </w:r>
      <w:r w:rsidRPr="009A3C86">
        <w:rPr>
          <w:rFonts w:ascii="Times New Roman" w:eastAsia="Times New Roman" w:hAnsi="Times New Roman"/>
          <w:sz w:val="24"/>
          <w:szCs w:val="24"/>
        </w:rPr>
        <w:t xml:space="preserve"> W ten sposób spór będzie mógł zakończyć się bez potrzeby wydawania władczego rozstrzygnięcia organu podatkowego. Odpowiednią korektę deklaracji będzie mógł też złożyć podmiot uczestniczący w czynności uznanej za unikanie opodatkowania, jeśli w stosunku do podatnika wydano decyzję na podstawie art. </w:t>
      </w:r>
      <w:r w:rsidR="007849FD" w:rsidRPr="009A3C86">
        <w:rPr>
          <w:rFonts w:ascii="Times New Roman" w:eastAsia="Times New Roman" w:hAnsi="Times New Roman"/>
          <w:sz w:val="24"/>
          <w:szCs w:val="24"/>
        </w:rPr>
        <w:t>594</w:t>
      </w:r>
      <w:r w:rsidR="0086469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lub też jeśli podatnik złożył korektę deklaracji na podstawie art. </w:t>
      </w:r>
      <w:r w:rsidR="0086469B" w:rsidRPr="009A3C86">
        <w:rPr>
          <w:rFonts w:ascii="Times New Roman" w:eastAsia="Times New Roman" w:hAnsi="Times New Roman"/>
          <w:sz w:val="24"/>
          <w:szCs w:val="24"/>
        </w:rPr>
        <w:t>140</w:t>
      </w:r>
      <w:r w:rsidRPr="009A3C86">
        <w:rPr>
          <w:rFonts w:ascii="Times New Roman" w:eastAsia="Times New Roman" w:hAnsi="Times New Roman"/>
          <w:sz w:val="24"/>
          <w:szCs w:val="24"/>
        </w:rPr>
        <w:t xml:space="preserve">. </w:t>
      </w:r>
    </w:p>
    <w:p w:rsidR="00FA30AA" w:rsidRPr="009A3C86" w:rsidRDefault="00FA30AA" w:rsidP="00D72E74">
      <w:pPr>
        <w:tabs>
          <w:tab w:val="num" w:pos="720"/>
        </w:tabs>
        <w:spacing w:before="120" w:after="0" w:line="360" w:lineRule="auto"/>
        <w:jc w:val="both"/>
        <w:outlineLvl w:val="2"/>
        <w:rPr>
          <w:rFonts w:ascii="Times New Roman" w:hAnsi="Times New Roman"/>
          <w:b/>
          <w:bCs/>
          <w:sz w:val="24"/>
          <w:szCs w:val="24"/>
        </w:rPr>
      </w:pPr>
      <w:bookmarkStart w:id="10" w:name="_Toc494363227"/>
      <w:r w:rsidRPr="009A3C86">
        <w:rPr>
          <w:rFonts w:ascii="Times New Roman" w:hAnsi="Times New Roman"/>
          <w:b/>
          <w:bCs/>
          <w:sz w:val="24"/>
          <w:szCs w:val="24"/>
        </w:rPr>
        <w:t xml:space="preserve">Rozdział </w:t>
      </w:r>
      <w:r w:rsidR="00BC28D9" w:rsidRPr="009A3C86">
        <w:rPr>
          <w:rFonts w:ascii="Times New Roman" w:hAnsi="Times New Roman"/>
          <w:b/>
          <w:bCs/>
          <w:sz w:val="24"/>
          <w:szCs w:val="24"/>
        </w:rPr>
        <w:t>4</w:t>
      </w:r>
      <w:r w:rsidRPr="009A3C86">
        <w:rPr>
          <w:rFonts w:ascii="Times New Roman" w:hAnsi="Times New Roman"/>
          <w:b/>
          <w:bCs/>
          <w:sz w:val="24"/>
          <w:szCs w:val="24"/>
        </w:rPr>
        <w:t>. Zastosowanie środków komunikacji elektronicznej</w:t>
      </w:r>
      <w:bookmarkEnd w:id="10"/>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1. Projekt uwzględnia zmiany technologiczne dotyczące także organów podatkowych, powodujące konieczność informatyzacji stosowanych procedur. Konieczność uwzględnienia nowoczesnych technologii komunikacyjnych i informacyjnych</w:t>
      </w:r>
      <w:r w:rsidRPr="009A3C86">
        <w:rPr>
          <w:rFonts w:ascii="Times New Roman" w:hAnsi="Times New Roman"/>
          <w:sz w:val="24"/>
          <w:szCs w:val="24"/>
          <w:vertAlign w:val="superscript"/>
        </w:rPr>
        <w:footnoteReference w:id="143"/>
      </w:r>
      <w:r w:rsidRPr="009A3C86">
        <w:rPr>
          <w:rFonts w:ascii="Times New Roman" w:hAnsi="Times New Roman"/>
          <w:sz w:val="24"/>
          <w:szCs w:val="24"/>
        </w:rPr>
        <w:t xml:space="preserve"> w procedurach podatkowych wiąże się z wynikającą z preambuły Konstytucji RP zasadą zapewnienia działaniu instytucji publicznych rzetelności i sprawności</w:t>
      </w:r>
      <w:r w:rsidRPr="009A3C86">
        <w:rPr>
          <w:rFonts w:ascii="Times New Roman" w:hAnsi="Times New Roman"/>
          <w:sz w:val="24"/>
          <w:szCs w:val="24"/>
          <w:vertAlign w:val="superscript"/>
        </w:rPr>
        <w:footnoteReference w:id="144"/>
      </w:r>
      <w:r w:rsidRPr="009A3C86">
        <w:rPr>
          <w:rFonts w:ascii="Times New Roman" w:hAnsi="Times New Roman"/>
          <w:sz w:val="24"/>
          <w:szCs w:val="24"/>
        </w:rPr>
        <w:t>. Wskazana zasada jest determinantem informatyzacji instytucji publicznych, w tym również procedur stosowanych przez te podmioty, w tym także organy podatkowe działające w procedurach podatkowych.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Ideą przyświecającą ustawie jest uproszczenie otoczenia prawnego i stworzenie ułatwień dla obywateli i przedsiębiorców. Wskazane mechanizmy i instrumenty prawne są konieczne dla rozwoju e-administracji i e-gospodarki. Stanowią one dowód zmian, jakie zachodzą w sposobie komunikowania się administracji z jednostką. Świadczą o ukierunkowaniu na pomoc jednostce i umożliwienie jej bardziej sprawnych i efektywnych kontaktów z administracją. Rozwijanie nowych technologii informacyjnych i komunikacyjnych, w tym środków komunikacji elektronicznej, pozytywnie wpływa na rozwój społeczeństwa cyfrowego, co jest szczególnie ważne przy tak szybkim tempie rozwoju otaczającego świata.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Rozwój technologii informacyjnych to jeden z podstawowych celów wskazanych w kierunkach działania i rozwoju krajowej administracji skarbowej na lata 2017-2020</w:t>
      </w:r>
      <w:r w:rsidRPr="009A3C86">
        <w:rPr>
          <w:rFonts w:ascii="Times New Roman" w:hAnsi="Times New Roman"/>
          <w:sz w:val="24"/>
          <w:szCs w:val="24"/>
          <w:vertAlign w:val="superscript"/>
        </w:rPr>
        <w:footnoteReference w:id="145"/>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Wykorzystywanie w komunikacji pomiędzy organami podatkowymi a podatnikami nowoczesnych technologii komunikacyjnych i informacyjnych oceniane jest jako działanie w celu zapewnienia sprawnej i przyjaznej obsługi podatnika oraz zwiększenia zaufania podatników do organów podatkowych</w:t>
      </w:r>
      <w:r w:rsidRPr="009A3C86">
        <w:rPr>
          <w:rFonts w:ascii="Times New Roman" w:hAnsi="Times New Roman"/>
          <w:sz w:val="24"/>
          <w:szCs w:val="24"/>
          <w:vertAlign w:val="superscript"/>
        </w:rPr>
        <w:footnoteReference w:id="146"/>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Nie można też pomijać strony kosztowej, gdyż rozwiązania informatyczne, w tym teleinformatyczne, nie tylko zapewniają tanią i szybką komunikację, ale także pozwalają znacząco przyspieszyć czas trwania postępowania, co bezpośrednio przekłada się na ponoszone przez administrację koszty i jej wydajność.</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2. Zastosowanie środków komunikacji elektronicznej zostało już uregulowane w obowiązujących przepisach ogólnego prawa podatkowego</w:t>
      </w:r>
      <w:r w:rsidRPr="009A3C86">
        <w:rPr>
          <w:rFonts w:ascii="Times New Roman" w:hAnsi="Times New Roman"/>
          <w:sz w:val="24"/>
          <w:szCs w:val="24"/>
          <w:vertAlign w:val="superscript"/>
        </w:rPr>
        <w:footnoteReference w:id="147"/>
      </w:r>
      <w:r w:rsidRPr="009A3C86">
        <w:rPr>
          <w:rFonts w:ascii="Times New Roman" w:hAnsi="Times New Roman"/>
          <w:sz w:val="24"/>
          <w:szCs w:val="24"/>
        </w:rPr>
        <w:t>. Podkreślenia jednak wymaga, że w tej materii w stosunkach prawnopodatkowych, zwłaszcza procesowych, brakuje uporządkowania. Ponadto należy wskazać na odmienne zasady obowiązujące w związku z kontaktami z państwowymi organami podatkowymi oraz z samorządowymi organami podatkowymi. W odniesieniu do tych drugich dostrzec należy wręcz nieuzasadnione ograniczenia prawne w zakresie wykorzystania nowoczesnych technologii w kontaktach z podatnikami. Zauważyć należy, że jednostki samorządu terytorialnego i ich organy zgodnie z art. 2 ust. 1 pkt 1 ustawy z dnia 17 lutego 2005 r. o informatyzacji działalności podmiotów realizujących zadania publiczne zaliczono do katalogu podmiotów publicznych w rozumieniu tego aktu prawnego. W konsekwencji, zgodnie z art. 16 ust. 1a tej ustawy, każdy podmiot publiczny udostępnia elektroniczną skrzynkę podawczą, spełniającą standardy określone i opublikowane na ePUAP przez ministra właściwego do spraw informatyzacji oraz zapewnia jej obsługę. Brak jest zatem powodów, ażeby różnicować zasady zastosowania środków komunikacji elektronicznej przez samorządowe i państwowe organy podatkowe.</w:t>
      </w:r>
    </w:p>
    <w:p w:rsidR="00FA30AA" w:rsidRPr="009A3C86" w:rsidRDefault="00FA30AA" w:rsidP="00FA30AA">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3. Podstawowe zagadnienia z zakresu komunikacji elektronicznej ujęto w wyodrębnionym rozdziale w części ogólnej projektowanego aktu prawnego. Rozdział ten zawiera dwa oddziały poświęcone przepisom ogólnym oraz zasadom składania deklaracji podatkowych, wniosków i </w:t>
      </w:r>
      <w:r w:rsidRPr="009A3C86">
        <w:rPr>
          <w:rFonts w:ascii="Times New Roman" w:eastAsia="Times New Roman" w:hAnsi="Times New Roman"/>
          <w:bCs/>
          <w:sz w:val="24"/>
          <w:szCs w:val="24"/>
          <w:lang w:eastAsia="pl-PL"/>
        </w:rPr>
        <w:lastRenderedPageBreak/>
        <w:t>innych dokumentów. Generalną zasadą, od której mogą być jednak przewidziane wyjątki, jest uprawnienie, a nie obowiązek składania wszelkiego rodzaju dokumentów drogą elektroniczną, jeśli tylko ich rodzaj na to pozwala</w:t>
      </w:r>
      <w:r w:rsidRPr="009A3C86">
        <w:rPr>
          <w:rFonts w:ascii="Times New Roman" w:eastAsia="Times New Roman" w:hAnsi="Times New Roman"/>
          <w:bCs/>
          <w:sz w:val="24"/>
          <w:szCs w:val="24"/>
          <w:vertAlign w:val="superscript"/>
          <w:lang w:eastAsia="pl-PL"/>
        </w:rPr>
        <w:footnoteReference w:id="148"/>
      </w:r>
      <w:r w:rsidRPr="009A3C86">
        <w:rPr>
          <w:rFonts w:ascii="Times New Roman" w:eastAsia="Times New Roman" w:hAnsi="Times New Roman"/>
          <w:bCs/>
          <w:sz w:val="24"/>
          <w:szCs w:val="24"/>
          <w:lang w:eastAsia="pl-PL"/>
        </w:rPr>
        <w:t>, a także doręczanie pism przez organy podatkowe za pomocą środków komunikacji elektronicznej co do zasady za zgodą adresata. W zakresie doręczeń pism wyjątkiem od tej zasady będzie obligatoryjne doręczanie pism za pomocą środków komunikacji elektronicznej pełnomocnikom profesjonalnym (adwokatom, radcom prawnym, doradcom podatkowym), podatnikom czynnego podatku od towarów i usług, przedsiębiorcom w rozumieniu przepisów ustawy z dnia 6 marca 2018 r. – Prawo przedsiębiorców, z wyłączeniem mikroprzedsiębiorców, a także użytkownikom portalu podatkowego w zakresie spraw załatwianych przez portal podatkowy i użytkownikom podpisu zaufanego, jeżeli podali adres elektroniczny.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przepisach kolejnych rozdziałów projektu ordynacji podatkowej znajdują się natomiast regulacje o charakterze szczególnym, związane z konkretnymi instytucjami prawa podatkowego, odnoszące się do problematyki wykorzystania nowoczesnych technologii informacyjnych i komunikacyjnych w ramach poszczególnych instytucji. Przykładem są przepisy o pełnomocnictwie w postaci elektronicznej, przepisy o rejestracji elektronicznej, przepisy o wydawaniu decyzji w postaci elektronicznej, możliwości elektronicznej kontroli opartej o strukturę logiczną postaci elektronicznej ksiąg oraz dowodów księgowych pozwalającą drogą komunikacji elektronicznej przekazywać liczne i szczegółowe informacje, umożliwiające zautomatyzowaną kontrolę podatników.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Projekt ustawy wykonuje postanowienia </w:t>
      </w:r>
      <w:r w:rsidRPr="009A3C86">
        <w:rPr>
          <w:rFonts w:ascii="Times New Roman" w:hAnsi="Times New Roman"/>
          <w:iCs/>
          <w:sz w:val="24"/>
          <w:szCs w:val="24"/>
        </w:rPr>
        <w:t xml:space="preserve">rozporządzeniu Parlamentu Europejskiego i Rady (UE) nr 910/2014 w sprawie identyfikacji elektronicznej i usług zaufania w odniesieniu do transakcji elektronicznych na rynku wewnętrznym (eIDAS). Zgodnie z art. 27 ust. 2 tego aktu prawnego </w:t>
      </w:r>
      <w:r w:rsidRPr="009A3C86">
        <w:rPr>
          <w:rFonts w:ascii="Times New Roman" w:hAnsi="Times New Roman"/>
          <w:sz w:val="24"/>
          <w:szCs w:val="24"/>
        </w:rPr>
        <w:t xml:space="preserve">jeżeli państwo członkowskie wymaga zaawansowanego podpisu elektronicznego opartego na kwalifikowanym certyfikacie do skorzystania z usługi </w:t>
      </w:r>
      <w:r w:rsidRPr="009A3C86">
        <w:rPr>
          <w:rFonts w:ascii="Times New Roman" w:hAnsi="Times New Roman"/>
          <w:iCs/>
          <w:sz w:val="24"/>
          <w:szCs w:val="24"/>
        </w:rPr>
        <w:t xml:space="preserve">online </w:t>
      </w:r>
      <w:r w:rsidRPr="009A3C86">
        <w:rPr>
          <w:rFonts w:ascii="Times New Roman" w:hAnsi="Times New Roman"/>
          <w:sz w:val="24"/>
          <w:szCs w:val="24"/>
        </w:rPr>
        <w:t xml:space="preserve">oferowanej przez podmiot sektora publicznego lub w jego imieniu, to państwo członkowskie uznaje zaawansowane podpisy elektroniczne oparte na kwalifikowanym certyfikacie i kwalifikowane podpisy elektroniczne co najmniej w formatach lub wykorzystujące metody określone w aktach wykonawczych, o których mowa w ust. 5. Projektowana ustawa przewiduje uznawanie podpisów elektronicznych, zgodnie z art. 27 ust. 2 rozporządzenia nr 910/2014 oraz w aktach wykonawczych wskazanych w tym przepisie. W szczególności obok podpisu zaufanego </w:t>
      </w:r>
      <w:r w:rsidR="00A06A2F" w:rsidRPr="009A3C86">
        <w:rPr>
          <w:rFonts w:ascii="Times New Roman" w:hAnsi="Times New Roman"/>
          <w:sz w:val="24"/>
          <w:szCs w:val="24"/>
        </w:rPr>
        <w:t xml:space="preserve">albo </w:t>
      </w:r>
      <w:r w:rsidR="00A06A2F" w:rsidRPr="009A3C86">
        <w:rPr>
          <w:rFonts w:ascii="Times New Roman" w:hAnsi="Times New Roman"/>
          <w:sz w:val="24"/>
          <w:szCs w:val="24"/>
        </w:rPr>
        <w:lastRenderedPageBreak/>
        <w:t xml:space="preserve">podpisu osobistego </w:t>
      </w:r>
      <w:r w:rsidRPr="009A3C86">
        <w:rPr>
          <w:rFonts w:ascii="Times New Roman" w:hAnsi="Times New Roman"/>
          <w:sz w:val="24"/>
          <w:szCs w:val="24"/>
        </w:rPr>
        <w:t>projekt ustawy dopuszcza bowiem posługiwanie się w przypadku korzystania z usług online kwalifikowanym podpisem elektronicznym.</w:t>
      </w:r>
      <w:bookmarkStart w:id="11" w:name="_Toc494363228"/>
    </w:p>
    <w:p w:rsidR="00FA30AA" w:rsidRPr="009A3C86" w:rsidRDefault="00FA30AA" w:rsidP="00D72E74">
      <w:pPr>
        <w:spacing w:before="120" w:after="0" w:line="360" w:lineRule="auto"/>
        <w:jc w:val="both"/>
        <w:rPr>
          <w:rFonts w:ascii="Times New Roman" w:hAnsi="Times New Roman"/>
          <w:b/>
          <w:sz w:val="24"/>
          <w:szCs w:val="24"/>
        </w:rPr>
      </w:pPr>
      <w:r w:rsidRPr="009A3C86">
        <w:rPr>
          <w:rFonts w:ascii="Times New Roman" w:hAnsi="Times New Roman"/>
          <w:b/>
          <w:sz w:val="24"/>
          <w:szCs w:val="24"/>
        </w:rPr>
        <w:t>Oddział 1. Przepisy ogólne</w:t>
      </w:r>
      <w:bookmarkEnd w:id="11"/>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 Zgodnie z proponowanym brzmieniem </w:t>
      </w:r>
      <w:r w:rsidRPr="009A3C86">
        <w:rPr>
          <w:rFonts w:ascii="Times New Roman" w:hAnsi="Times New Roman"/>
          <w:b/>
          <w:sz w:val="24"/>
          <w:szCs w:val="24"/>
        </w:rPr>
        <w:t xml:space="preserve">art. </w:t>
      </w:r>
      <w:r w:rsidR="00FE433F" w:rsidRPr="009A3C86">
        <w:rPr>
          <w:rFonts w:ascii="Times New Roman" w:hAnsi="Times New Roman"/>
          <w:b/>
          <w:sz w:val="24"/>
          <w:szCs w:val="24"/>
        </w:rPr>
        <w:t>38</w:t>
      </w:r>
      <w:r w:rsidR="00FE433F" w:rsidRPr="009A3C86">
        <w:rPr>
          <w:rFonts w:ascii="Times New Roman" w:hAnsi="Times New Roman"/>
          <w:sz w:val="24"/>
          <w:szCs w:val="24"/>
        </w:rPr>
        <w:t xml:space="preserve"> </w:t>
      </w:r>
      <w:r w:rsidRPr="009A3C86">
        <w:rPr>
          <w:rFonts w:ascii="Times New Roman" w:hAnsi="Times New Roman"/>
          <w:sz w:val="24"/>
          <w:szCs w:val="24"/>
        </w:rPr>
        <w:t>określony w ustawie wymóg pisemności uważa się za zachowany, jeżeli dokument elektroniczny zawierający tekst został opatrzony kwalifikowanym podpisem elektronicznym</w:t>
      </w:r>
      <w:r w:rsidR="00603237" w:rsidRPr="009A3C86">
        <w:rPr>
          <w:rFonts w:ascii="Times New Roman" w:hAnsi="Times New Roman"/>
          <w:sz w:val="24"/>
          <w:szCs w:val="24"/>
        </w:rPr>
        <w:t>,</w:t>
      </w:r>
      <w:r w:rsidRPr="009A3C86">
        <w:rPr>
          <w:rFonts w:ascii="Times New Roman" w:hAnsi="Times New Roman"/>
          <w:sz w:val="24"/>
          <w:szCs w:val="24"/>
        </w:rPr>
        <w:t xml:space="preserve"> podpisem zaufanym </w:t>
      </w:r>
      <w:r w:rsidR="00603237" w:rsidRPr="009A3C86">
        <w:rPr>
          <w:rFonts w:ascii="Times New Roman" w:hAnsi="Times New Roman"/>
          <w:sz w:val="24"/>
          <w:szCs w:val="24"/>
        </w:rPr>
        <w:t xml:space="preserve">albo podpisem osobistym, </w:t>
      </w:r>
      <w:r w:rsidRPr="009A3C86">
        <w:rPr>
          <w:rFonts w:ascii="Times New Roman" w:hAnsi="Times New Roman"/>
          <w:sz w:val="24"/>
          <w:szCs w:val="24"/>
        </w:rPr>
        <w:t>lub w inny sposób określony w odrębnych przepisach.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ten wzorowano na regulacji zawartej w art. 12b ustawy z dnia 30 sierpnia 2002 r. - Prawo o postępowaniu przed sądami administracyjnymi (tekst jedn. Dz. U. z </w:t>
      </w:r>
      <w:r w:rsidR="00D60B01" w:rsidRPr="009A3C86">
        <w:rPr>
          <w:rFonts w:ascii="Times New Roman" w:hAnsi="Times New Roman"/>
          <w:sz w:val="24"/>
          <w:szCs w:val="24"/>
        </w:rPr>
        <w:t xml:space="preserve">2018 </w:t>
      </w:r>
      <w:r w:rsidRPr="009A3C86">
        <w:rPr>
          <w:rFonts w:ascii="Times New Roman" w:hAnsi="Times New Roman"/>
          <w:sz w:val="24"/>
          <w:szCs w:val="24"/>
        </w:rPr>
        <w:t xml:space="preserve">r. poz. </w:t>
      </w:r>
      <w:r w:rsidR="00D60B01" w:rsidRPr="009A3C86">
        <w:rPr>
          <w:rFonts w:ascii="Times New Roman" w:hAnsi="Times New Roman"/>
          <w:sz w:val="24"/>
          <w:szCs w:val="24"/>
        </w:rPr>
        <w:t xml:space="preserve">1302, </w:t>
      </w:r>
      <w:r w:rsidRPr="009A3C86">
        <w:rPr>
          <w:rFonts w:ascii="Times New Roman" w:hAnsi="Times New Roman"/>
          <w:sz w:val="24"/>
          <w:szCs w:val="24"/>
        </w:rPr>
        <w:t xml:space="preserve">z późn. zm.). Zauważyć należy, że projekt w art. 29 reguluje zasadę pisemności, zgodnie z którą sprawy podatkowe załatwiane są pisemnie, w tym również w postaci elektronicznej, chyba że przepis szczególny stanowi inaczej. Zatem postać elektroniczna mieści się w pojęciu pisemności. Z art. </w:t>
      </w:r>
      <w:r w:rsidR="004A3084" w:rsidRPr="009A3C86">
        <w:rPr>
          <w:rFonts w:ascii="Times New Roman" w:hAnsi="Times New Roman"/>
          <w:sz w:val="24"/>
          <w:szCs w:val="24"/>
        </w:rPr>
        <w:t xml:space="preserve">38 </w:t>
      </w:r>
      <w:r w:rsidRPr="009A3C86">
        <w:rPr>
          <w:rFonts w:ascii="Times New Roman" w:hAnsi="Times New Roman"/>
          <w:sz w:val="24"/>
          <w:szCs w:val="24"/>
        </w:rPr>
        <w:t xml:space="preserve">projektu można wyprowadzić wniosek, że wymóg pisemności oznacza w istocie konieczność wyrażenia informacji pismem, czyli tekstem składającym się między innymi z liter, cyfr i innych znaków specjalnych. Stąd też wymóg pisemności (a nie formy audiowizualnej, dźwiękowej czy też obrazkowej).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2. Zgodnie z </w:t>
      </w:r>
      <w:r w:rsidRPr="009A3C86">
        <w:rPr>
          <w:rFonts w:ascii="Times New Roman" w:hAnsi="Times New Roman"/>
          <w:b/>
          <w:sz w:val="24"/>
          <w:szCs w:val="24"/>
        </w:rPr>
        <w:t xml:space="preserve">art. </w:t>
      </w:r>
      <w:r w:rsidR="00FE433F" w:rsidRPr="009A3C86">
        <w:rPr>
          <w:rFonts w:ascii="Times New Roman" w:hAnsi="Times New Roman"/>
          <w:b/>
          <w:sz w:val="24"/>
          <w:szCs w:val="24"/>
        </w:rPr>
        <w:t xml:space="preserve">39 </w:t>
      </w:r>
      <w:r w:rsidRPr="009A3C86">
        <w:rPr>
          <w:rFonts w:ascii="Times New Roman" w:hAnsi="Times New Roman"/>
          <w:b/>
          <w:sz w:val="24"/>
          <w:szCs w:val="24"/>
        </w:rPr>
        <w:t>§ 1</w:t>
      </w:r>
      <w:r w:rsidRPr="009A3C86">
        <w:rPr>
          <w:rFonts w:ascii="Times New Roman" w:hAnsi="Times New Roman"/>
          <w:sz w:val="24"/>
          <w:szCs w:val="24"/>
        </w:rPr>
        <w:t xml:space="preserve"> projektu organ podatkowy doręcza pisma za pomocą środków komunikacji elektronicznej na zasadach określonych w rozdziale 3 działu III. Przepis ten na wyłącznie walor informacyjny. Z kolei postanowienia art. </w:t>
      </w:r>
      <w:r w:rsidR="004A3084" w:rsidRPr="009A3C86">
        <w:rPr>
          <w:rFonts w:ascii="Times New Roman" w:hAnsi="Times New Roman"/>
          <w:sz w:val="24"/>
          <w:szCs w:val="24"/>
        </w:rPr>
        <w:t xml:space="preserve">39 </w:t>
      </w:r>
      <w:r w:rsidRPr="009A3C86">
        <w:rPr>
          <w:rFonts w:ascii="Times New Roman" w:hAnsi="Times New Roman"/>
          <w:sz w:val="24"/>
          <w:szCs w:val="24"/>
        </w:rPr>
        <w:t xml:space="preserve">§ 2, 3 i 4 projektu stanowią zmodyfikowaną wersję art. 3e o.p. Modyfikacji poddano brzmienie art. 3e § 3 o.p. Zgodnie z proponowanym brzmieniem </w:t>
      </w:r>
      <w:r w:rsidRPr="009A3C86">
        <w:rPr>
          <w:rFonts w:ascii="Times New Roman" w:hAnsi="Times New Roman"/>
          <w:b/>
          <w:sz w:val="24"/>
          <w:szCs w:val="24"/>
        </w:rPr>
        <w:t xml:space="preserve">art. </w:t>
      </w:r>
      <w:r w:rsidR="00FE433F" w:rsidRPr="009A3C86">
        <w:rPr>
          <w:rFonts w:ascii="Times New Roman" w:hAnsi="Times New Roman"/>
          <w:b/>
          <w:sz w:val="24"/>
          <w:szCs w:val="24"/>
        </w:rPr>
        <w:t xml:space="preserve">39 </w:t>
      </w:r>
      <w:r w:rsidRPr="009A3C86">
        <w:rPr>
          <w:rFonts w:ascii="Times New Roman" w:hAnsi="Times New Roman"/>
          <w:b/>
          <w:sz w:val="24"/>
          <w:szCs w:val="24"/>
        </w:rPr>
        <w:t>§ 2</w:t>
      </w:r>
      <w:r w:rsidRPr="009A3C86">
        <w:rPr>
          <w:rFonts w:ascii="Times New Roman" w:hAnsi="Times New Roman"/>
          <w:sz w:val="24"/>
          <w:szCs w:val="24"/>
        </w:rPr>
        <w:t xml:space="preserve"> projektu organ podatkowy może wystąpić do zobowiązanego lub zainteresowanego o wyrażenie zgody na doręczanie pism w postaci elektronicznej we wszystkich sprawach podatkowych załatwianych przez ten organ. Z kolei, zgodnie z </w:t>
      </w:r>
      <w:r w:rsidRPr="009A3C86">
        <w:rPr>
          <w:rFonts w:ascii="Times New Roman" w:hAnsi="Times New Roman"/>
          <w:b/>
          <w:sz w:val="24"/>
          <w:szCs w:val="24"/>
        </w:rPr>
        <w:t xml:space="preserve">art. </w:t>
      </w:r>
      <w:r w:rsidR="00FE433F" w:rsidRPr="009A3C86">
        <w:rPr>
          <w:rFonts w:ascii="Times New Roman" w:hAnsi="Times New Roman"/>
          <w:b/>
          <w:sz w:val="24"/>
          <w:szCs w:val="24"/>
        </w:rPr>
        <w:t xml:space="preserve">39 </w:t>
      </w:r>
      <w:r w:rsidRPr="009A3C86">
        <w:rPr>
          <w:rFonts w:ascii="Times New Roman" w:hAnsi="Times New Roman"/>
          <w:b/>
          <w:sz w:val="24"/>
          <w:szCs w:val="24"/>
        </w:rPr>
        <w:t>§ 3</w:t>
      </w:r>
      <w:r w:rsidRPr="009A3C86">
        <w:rPr>
          <w:rFonts w:ascii="Times New Roman" w:hAnsi="Times New Roman"/>
          <w:sz w:val="24"/>
          <w:szCs w:val="24"/>
        </w:rPr>
        <w:t xml:space="preserve"> projektu, w wystąpieniu, o którym mowa w § 2, organ podatkowy poucza o skutkach prawnych wynikających z wyrażenia tej zgody. Zatem w przeciwieństwie do obowiązującego stanu prawnego organ podatkowy poucza o skutkach prawnych wynikających z wyrażenia tej zgody już w wystąpieniu o zgodę, a nie dopiero po udzieleniu tej zgody przez zobowiązanego. Natomiast zgodnie z </w:t>
      </w:r>
      <w:r w:rsidRPr="009A3C86">
        <w:rPr>
          <w:rFonts w:ascii="Times New Roman" w:hAnsi="Times New Roman"/>
          <w:b/>
          <w:sz w:val="24"/>
          <w:szCs w:val="24"/>
        </w:rPr>
        <w:t xml:space="preserve">art. </w:t>
      </w:r>
      <w:r w:rsidR="00FE433F" w:rsidRPr="009A3C86">
        <w:rPr>
          <w:rFonts w:ascii="Times New Roman" w:hAnsi="Times New Roman"/>
          <w:b/>
          <w:sz w:val="24"/>
          <w:szCs w:val="24"/>
        </w:rPr>
        <w:t xml:space="preserve">39 </w:t>
      </w:r>
      <w:r w:rsidRPr="009A3C86">
        <w:rPr>
          <w:rFonts w:ascii="Times New Roman" w:hAnsi="Times New Roman"/>
          <w:b/>
          <w:sz w:val="24"/>
          <w:szCs w:val="24"/>
        </w:rPr>
        <w:t>§ 4</w:t>
      </w:r>
      <w:r w:rsidRPr="009A3C86">
        <w:rPr>
          <w:rFonts w:ascii="Times New Roman" w:hAnsi="Times New Roman"/>
          <w:sz w:val="24"/>
          <w:szCs w:val="24"/>
        </w:rPr>
        <w:t xml:space="preserve"> projektu do wystąpienia, o którym mowa w § 2, nie stosuje się przepisów art. </w:t>
      </w:r>
      <w:r w:rsidR="000A7AC6" w:rsidRPr="009A3C86">
        <w:rPr>
          <w:rFonts w:ascii="Times New Roman" w:hAnsi="Times New Roman"/>
          <w:sz w:val="24"/>
          <w:szCs w:val="24"/>
        </w:rPr>
        <w:t xml:space="preserve">344 </w:t>
      </w:r>
      <w:r w:rsidRPr="009A3C86">
        <w:rPr>
          <w:rFonts w:ascii="Times New Roman" w:hAnsi="Times New Roman"/>
          <w:sz w:val="24"/>
          <w:szCs w:val="24"/>
        </w:rPr>
        <w:t xml:space="preserve">§ 4 projektu będącego odpowiednikiem obowiązującego art. 152 § 3 o.p. oraz art. </w:t>
      </w:r>
      <w:r w:rsidR="000A7AC6" w:rsidRPr="009A3C86">
        <w:rPr>
          <w:rFonts w:ascii="Times New Roman" w:hAnsi="Times New Roman"/>
          <w:sz w:val="24"/>
          <w:szCs w:val="24"/>
        </w:rPr>
        <w:t xml:space="preserve">345 </w:t>
      </w:r>
      <w:r w:rsidRPr="009A3C86">
        <w:rPr>
          <w:rFonts w:ascii="Times New Roman" w:hAnsi="Times New Roman"/>
          <w:sz w:val="24"/>
          <w:szCs w:val="24"/>
        </w:rPr>
        <w:t xml:space="preserve">projektu, który jest odpowiednikiem obowiązującego art. 152a o.p. Aktualnie natomiast, zgodnie z art. 3e § 3 o.p., do doręczania, o którym mowa w § 1, stosuje się przepisy art. 144a oraz art. 146 o.p. Analiza art. 3e § 3 o.p. wywołuje szereg </w:t>
      </w:r>
      <w:r w:rsidRPr="009A3C86">
        <w:rPr>
          <w:rFonts w:ascii="Times New Roman" w:hAnsi="Times New Roman"/>
          <w:sz w:val="24"/>
          <w:szCs w:val="24"/>
        </w:rPr>
        <w:lastRenderedPageBreak/>
        <w:t>wątpliwości interpretacyjnych</w:t>
      </w:r>
      <w:r w:rsidRPr="009A3C86">
        <w:rPr>
          <w:rFonts w:ascii="Times New Roman" w:hAnsi="Times New Roman"/>
          <w:sz w:val="24"/>
          <w:szCs w:val="24"/>
          <w:vertAlign w:val="superscript"/>
        </w:rPr>
        <w:footnoteReference w:id="149"/>
      </w:r>
      <w:r w:rsidRPr="009A3C86">
        <w:rPr>
          <w:rFonts w:ascii="Times New Roman" w:hAnsi="Times New Roman"/>
          <w:sz w:val="24"/>
          <w:szCs w:val="24"/>
        </w:rPr>
        <w:t>. Stąd też nieodzowne okazało się zmodyfikowanie tej regulacji, której istota wiąże się z tym, że do doręczenia wskazanego wystąpienia organu podatkowego za pomocą środków komunikacji elektronicznej nie stosuje się sformalizowanych zasad doręczania pism za pomocą środków komunikacji elektronicznej. Wystąpienie takie może być zatem wysłane do zobowiązanego bezpośrednio na adres jego poczty elektronicznej.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w:t>
      </w:r>
      <w:r w:rsidR="00FE433F" w:rsidRPr="009A3C86">
        <w:rPr>
          <w:rFonts w:ascii="Times New Roman" w:hAnsi="Times New Roman"/>
          <w:b/>
          <w:sz w:val="24"/>
          <w:szCs w:val="24"/>
        </w:rPr>
        <w:t xml:space="preserve">39 </w:t>
      </w:r>
      <w:r w:rsidRPr="009A3C86">
        <w:rPr>
          <w:rFonts w:ascii="Times New Roman" w:hAnsi="Times New Roman"/>
          <w:b/>
          <w:sz w:val="24"/>
          <w:szCs w:val="24"/>
        </w:rPr>
        <w:t>§ 5</w:t>
      </w:r>
      <w:r w:rsidRPr="009A3C86">
        <w:rPr>
          <w:rFonts w:ascii="Times New Roman" w:hAnsi="Times New Roman"/>
          <w:sz w:val="24"/>
          <w:szCs w:val="24"/>
        </w:rPr>
        <w:t xml:space="preserve"> projektu postanowienia § 2 nie mają zastosowania do podmiotów wymienionych w </w:t>
      </w:r>
      <w:r w:rsidR="006C779A" w:rsidRPr="009A3C86">
        <w:rPr>
          <w:rFonts w:ascii="Times New Roman" w:hAnsi="Times New Roman"/>
          <w:sz w:val="24"/>
          <w:szCs w:val="24"/>
        </w:rPr>
        <w:t>art. 331 § 4, 5 i 7</w:t>
      </w:r>
      <w:r w:rsidRPr="009A3C86">
        <w:rPr>
          <w:rFonts w:ascii="Times New Roman" w:hAnsi="Times New Roman"/>
          <w:sz w:val="24"/>
          <w:szCs w:val="24"/>
        </w:rPr>
        <w:t>, którym doręczanie pism następuje za pomocą środków komunikacji elektronicznej. Oznacza to, że organ podatkowy nie będzie mógł wystąpić o wyrażenie zgody na doręczanie pism w postaci elektronicznej we wszystkich sprawach podatkowych załatwianych przez ten organ w stosunku do podmiotów, którym co do zasady doręczanie pism następuje zawsze za pomocą środków komunikacji elektronicznej. W takich bowiem przypadkach wskazane wystąpienie nie jest konieczne, gdyż doręczanie pism tym podmiotom co do zasady następuje za pomocą środków komunikacji elektronicznej bez konieczności uzyskania ich zgody.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Od obowiązku doręczania pism za pomocą środków komunikacji elektronicznej zostają wyraźnie wyłączone podmioty wymienione w art. </w:t>
      </w:r>
      <w:r w:rsidR="00D27366" w:rsidRPr="009A3C86">
        <w:rPr>
          <w:rFonts w:ascii="Times New Roman" w:hAnsi="Times New Roman"/>
          <w:sz w:val="24"/>
          <w:szCs w:val="24"/>
        </w:rPr>
        <w:t xml:space="preserve">70 </w:t>
      </w:r>
      <w:r w:rsidRPr="009A3C86">
        <w:rPr>
          <w:rFonts w:ascii="Times New Roman" w:hAnsi="Times New Roman"/>
          <w:sz w:val="24"/>
          <w:szCs w:val="24"/>
        </w:rPr>
        <w:t>(Szef Agencji Wywiadu, Szef Agencji Bezpieczeństwa Wewnętrznego, Szef Centralnego Biura Antykorupcyjnego, Szef Służby Wywiadu Wojskowego oraz Szef Służby Kontrwywiadu Wojskowego), w przypadku nadania im uprawnień organów podatkowych. Wskazane podmioty nie mają możliwości korzystania z elektronicznych środków komunikacji przewidzianych w projekcie, tj. z profilu e-PUAP. Wynika to z art. 2 ust. 3 ustawy z dnia 17 lutego 2005 r. o informatyzacji podmiotów realizujących zadania publiczne (Dz. U. z 2017 r. poz. 570, z późn. zm.), w którym przewidziano wyłączenie dla służb specjalnych od obowiązku stosowania profilu e-PUAP. Ponadto, mając na uwadze wynikający z przepisów pragmatycznych służb specjalnych obowiązek zapewnienia ochrony danych identyfikujących funkcjonariuszy, nie jest pożądane doręczanie pism przez szefa służby specjalnej, przy wykorzystaniu narzędzi takich jak portal podatkowy. Wynika to z faktu, iż dane funkcjonariuszy oraz informacje o pełnieniu służby podlegają szczególnej ochronie. Jednocześnie należy podkreślić, iż uzyskanie dostępu do tych danych przez osoby nieuprawnione może stanowić zagrożenie dla bezpieczeństwa funkcjonariuszy oraz dla realizowanych przez nich zadań, w tym w szczególności tych o charakterze operacyjno-rozpoznawczym.</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Jednocześnie w art. </w:t>
      </w:r>
      <w:r w:rsidR="0015384F" w:rsidRPr="009A3C86">
        <w:rPr>
          <w:rFonts w:ascii="Times New Roman" w:hAnsi="Times New Roman"/>
          <w:sz w:val="24"/>
          <w:szCs w:val="24"/>
        </w:rPr>
        <w:t xml:space="preserve">322 </w:t>
      </w:r>
      <w:r w:rsidRPr="009A3C86">
        <w:rPr>
          <w:rFonts w:ascii="Times New Roman" w:hAnsi="Times New Roman"/>
          <w:sz w:val="24"/>
          <w:szCs w:val="24"/>
        </w:rPr>
        <w:t xml:space="preserve">określono dopuszczalne sposoby doręczania pism w postaci papierowej przez podmioty wymienione w art. </w:t>
      </w:r>
      <w:r w:rsidR="004C5331" w:rsidRPr="009A3C86">
        <w:rPr>
          <w:rFonts w:ascii="Times New Roman" w:hAnsi="Times New Roman"/>
          <w:sz w:val="24"/>
          <w:szCs w:val="24"/>
        </w:rPr>
        <w:t>70</w:t>
      </w:r>
      <w:r w:rsidRPr="009A3C86">
        <w:rPr>
          <w:rFonts w:ascii="Times New Roman" w:hAnsi="Times New Roman"/>
          <w:sz w:val="24"/>
          <w:szCs w:val="24"/>
        </w:rPr>
        <w:t>, w przypadku nadania im uprawnień organów podatkowych.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3. Z kolei </w:t>
      </w:r>
      <w:r w:rsidRPr="009A3C86">
        <w:rPr>
          <w:rFonts w:ascii="Times New Roman" w:hAnsi="Times New Roman"/>
          <w:b/>
          <w:sz w:val="24"/>
          <w:szCs w:val="24"/>
        </w:rPr>
        <w:t xml:space="preserve">art. </w:t>
      </w:r>
      <w:r w:rsidR="00803AAD" w:rsidRPr="009A3C86">
        <w:rPr>
          <w:rFonts w:ascii="Times New Roman" w:hAnsi="Times New Roman"/>
          <w:b/>
          <w:sz w:val="24"/>
          <w:szCs w:val="24"/>
        </w:rPr>
        <w:t>40</w:t>
      </w:r>
      <w:r w:rsidR="00803AAD" w:rsidRPr="009A3C86">
        <w:rPr>
          <w:rFonts w:ascii="Times New Roman" w:hAnsi="Times New Roman"/>
          <w:sz w:val="24"/>
          <w:szCs w:val="24"/>
        </w:rPr>
        <w:t xml:space="preserve"> </w:t>
      </w:r>
      <w:r w:rsidRPr="009A3C86">
        <w:rPr>
          <w:rFonts w:ascii="Times New Roman" w:hAnsi="Times New Roman"/>
          <w:sz w:val="24"/>
          <w:szCs w:val="24"/>
        </w:rPr>
        <w:t xml:space="preserve">projektu jest odpowiednikiem obowiązującego art. 14 § 4 o.p. oraz art. 3f o.p. w brzmieniu, które będzie obowiązywało od 1 stycznia 2020 r. Zgodnie z tym przepisem uwierzytelnianie podatników, płatników, inkasentów, ich następców prawnych oraz osób trzecich na portalu podatkowym wymaga użycia danych weryfikowanych za pomocą kwalifikowanego certyfikatu podpisu elektronicznego, jeżeli te dane pozwalają na identyfikację i uwierzytelnienie wymagane w celu realizacji usługi online, profilu zaufanego albo innego środka identyfikacji elektronicznej, wydanego w systemie identyfikacji elektronicznej przyłączonym do węzła krajowego identyfikacji elektronicznej, o którym mowa w </w:t>
      </w:r>
      <w:hyperlink r:id="rId9" w:anchor="/document/18344658?unitId=art(21(a))ust(1)pkt(2)lit(a)&amp;cm=DOCUMENT" w:history="1">
        <w:r w:rsidRPr="009A3C86">
          <w:rPr>
            <w:rFonts w:ascii="Times New Roman" w:hAnsi="Times New Roman"/>
            <w:sz w:val="24"/>
            <w:szCs w:val="24"/>
          </w:rPr>
          <w:t>art. 21a ust. 1 pkt 2 lit. a</w:t>
        </w:r>
      </w:hyperlink>
      <w:r w:rsidRPr="009A3C86">
        <w:rPr>
          <w:rFonts w:ascii="Times New Roman" w:hAnsi="Times New Roman"/>
          <w:sz w:val="24"/>
          <w:szCs w:val="24"/>
        </w:rPr>
        <w:t xml:space="preserve"> ustawy z dnia 5 września 2016 r. o usługach zaufania oraz identyfikacji elektronicznej (Dz. U. poz. 1579 oraz z 2018 r. poz. 650 i 1544), adekwatnie do poziomu bezpieczeństwa środka identyfikacji elektronicznej wymaganego dla usług świadczonych w portalu podatkowym. Przepis ten dotyczy zasad funkcjonowania portalu podatkowego. Modyfikacja brzmienia art. 3f § 1 o.p. polega na tym, że zaproponowano zastąpienie pojęć: podatników, płatników, inkasentów, ich następców prawnych oraz osób trzecich jednym „zbiorowym” pojęciem zobowiązanego.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1A078D" w:rsidRPr="009A3C86">
        <w:rPr>
          <w:rFonts w:ascii="Times New Roman" w:hAnsi="Times New Roman"/>
          <w:b/>
          <w:sz w:val="24"/>
          <w:szCs w:val="24"/>
        </w:rPr>
        <w:t>41</w:t>
      </w:r>
      <w:r w:rsidR="001A078D" w:rsidRPr="009A3C86">
        <w:rPr>
          <w:rFonts w:ascii="Times New Roman" w:hAnsi="Times New Roman"/>
          <w:sz w:val="24"/>
          <w:szCs w:val="24"/>
        </w:rPr>
        <w:t xml:space="preserve"> </w:t>
      </w:r>
      <w:r w:rsidRPr="009A3C86">
        <w:rPr>
          <w:rFonts w:ascii="Times New Roman" w:hAnsi="Times New Roman"/>
          <w:sz w:val="24"/>
          <w:szCs w:val="24"/>
        </w:rPr>
        <w:t>projektu jest odpowiednikiem obowiązującego art. 144b o.p. Obowiązujący przepis usytuowano w rozdziale dotyczącym doręczeń pism w postępowaniu podatkowym, gdyż odnosi się on do problematyki doręczania wydruków pism wydanych w postaci elektronicznej przy wykorzystaniu systemu teleinformatycznego Szefa Krajowej Administracji Skarbowej. Zauważyć należy, że przepis ten w istocie nie reguluje zasad doręczania wydruków, ale dopuszcza możliwość doręczania wydruków zamiast pism (oryginałów elektronicznych). Reguluje ponadto elementy składowe takiego wydruku oraz jego moc dowodową. Dlatego też przepis regulujący tę problematykę należy umieścić nie w przepisach dotyczących zasad doręczania pism, ale w przepisach regulujących zasady zastosowania środków komunikacji elektronicznej. Wydruk takie będzie doręczany na zasadach właściwych dla pism w postaci papierowej.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Ponadto w obowiązującym brzmieniu art. 144b o.p. odwołuje się wyłącznie do systemu teleinformatycznego Szefa Krajowej Administracji Skarbowej, wykluczając tym samym zastosowanie innego systemu, z którego korzysta np. samorządowy organ podatkowy. W konsekwencji zamiast zwrotu „system teleinformatyczny Szefa Krajowej Administracji Skarbowej” w projektowanej regulacji </w:t>
      </w:r>
      <w:r w:rsidRPr="009A3C86">
        <w:rPr>
          <w:rFonts w:ascii="Times New Roman" w:hAnsi="Times New Roman"/>
          <w:b/>
          <w:sz w:val="24"/>
          <w:szCs w:val="24"/>
        </w:rPr>
        <w:t xml:space="preserve">art. </w:t>
      </w:r>
      <w:r w:rsidR="008736AF" w:rsidRPr="009A3C86">
        <w:rPr>
          <w:rFonts w:ascii="Times New Roman" w:hAnsi="Times New Roman"/>
          <w:b/>
          <w:sz w:val="24"/>
          <w:szCs w:val="24"/>
        </w:rPr>
        <w:t>4</w:t>
      </w:r>
      <w:r w:rsidR="00FE433F" w:rsidRPr="009A3C86">
        <w:rPr>
          <w:rFonts w:ascii="Times New Roman" w:hAnsi="Times New Roman"/>
          <w:b/>
          <w:sz w:val="24"/>
          <w:szCs w:val="24"/>
        </w:rPr>
        <w:t>1</w:t>
      </w:r>
      <w:r w:rsidR="008736AF" w:rsidRPr="009A3C86">
        <w:rPr>
          <w:rFonts w:ascii="Times New Roman" w:hAnsi="Times New Roman"/>
          <w:sz w:val="24"/>
          <w:szCs w:val="24"/>
        </w:rPr>
        <w:t xml:space="preserve"> </w:t>
      </w:r>
      <w:r w:rsidRPr="009A3C86">
        <w:rPr>
          <w:rFonts w:ascii="Times New Roman" w:hAnsi="Times New Roman"/>
          <w:sz w:val="24"/>
          <w:szCs w:val="24"/>
        </w:rPr>
        <w:t xml:space="preserve">użyto zwrotu „system teleinformatyczny </w:t>
      </w:r>
      <w:r w:rsidRPr="009A3C86">
        <w:rPr>
          <w:rFonts w:ascii="Times New Roman" w:hAnsi="Times New Roman"/>
          <w:sz w:val="24"/>
          <w:szCs w:val="24"/>
        </w:rPr>
        <w:lastRenderedPageBreak/>
        <w:t xml:space="preserve">administracji podatkowej”, którego definicję ujęto w projektowanym art. 13 pkt 18. W związku z powyższym również samorządowe organy podatkowe uzyskały uprawnienie do doręczania wydruku pisma uzyskanego z systemu teleinformatycznego, jeżeli pismo takie zostało wydane w postaci elektronicznej przy wykorzystaniu systemu teleinformatycznego obsługującego samorządowy organ podatkowy. Postanowienia </w:t>
      </w:r>
      <w:r w:rsidR="00CE6458" w:rsidRPr="009A3C86">
        <w:rPr>
          <w:rFonts w:ascii="Times New Roman" w:hAnsi="Times New Roman"/>
          <w:sz w:val="24"/>
          <w:szCs w:val="24"/>
        </w:rPr>
        <w:t xml:space="preserve">art. 41 </w:t>
      </w:r>
      <w:r w:rsidR="00CE6458" w:rsidRPr="009A3C86">
        <w:rPr>
          <w:rFonts w:ascii="Times New Roman" w:hAnsi="Times New Roman"/>
          <w:sz w:val="24"/>
          <w:szCs w:val="24"/>
          <w:lang w:eastAsia="pl-PL"/>
        </w:rPr>
        <w:t>§ 1-4</w:t>
      </w:r>
      <w:r w:rsidRPr="009A3C86">
        <w:rPr>
          <w:rFonts w:ascii="Times New Roman" w:hAnsi="Times New Roman"/>
          <w:sz w:val="24"/>
          <w:szCs w:val="24"/>
          <w:lang w:eastAsia="pl-PL"/>
        </w:rPr>
        <w:t xml:space="preserve"> </w:t>
      </w:r>
      <w:r w:rsidRPr="009A3C86">
        <w:rPr>
          <w:rFonts w:ascii="Times New Roman" w:hAnsi="Times New Roman"/>
          <w:sz w:val="24"/>
          <w:szCs w:val="24"/>
        </w:rPr>
        <w:t>stosuje się odpowiednio w przypadku wystąpienia problemów technicznych uniemożliwiających organowi podatkowemu doręczenie pism za pomocą środków komunikacji elektronicznej oraz w przypadku doręczania pisma w siedzibie organu podatkowego lub w miejscu prowadzenia kontroli pełnomocnikowi będącemu adwokatem, radcą prawnym lub doradcą podatkowym (</w:t>
      </w:r>
      <w:r w:rsidRPr="009A3C86">
        <w:rPr>
          <w:rFonts w:ascii="Times New Roman" w:hAnsi="Times New Roman"/>
          <w:b/>
          <w:sz w:val="24"/>
          <w:szCs w:val="24"/>
        </w:rPr>
        <w:t xml:space="preserve">art. </w:t>
      </w:r>
      <w:r w:rsidR="00FE433F" w:rsidRPr="009A3C86">
        <w:rPr>
          <w:rFonts w:ascii="Times New Roman" w:hAnsi="Times New Roman"/>
          <w:b/>
          <w:sz w:val="24"/>
          <w:szCs w:val="24"/>
        </w:rPr>
        <w:t xml:space="preserve">41 </w:t>
      </w:r>
      <w:r w:rsidRPr="009A3C86">
        <w:rPr>
          <w:rFonts w:ascii="Times New Roman" w:hAnsi="Times New Roman"/>
          <w:b/>
          <w:sz w:val="24"/>
          <w:szCs w:val="24"/>
          <w:lang w:eastAsia="pl-PL"/>
        </w:rPr>
        <w:t>§ 5</w:t>
      </w:r>
      <w:r w:rsidRPr="009A3C86">
        <w:rPr>
          <w:rFonts w:ascii="Times New Roman" w:hAnsi="Times New Roman"/>
          <w:sz w:val="24"/>
          <w:szCs w:val="24"/>
          <w:lang w:eastAsia="pl-PL"/>
        </w:rPr>
        <w:t>). W tych przypadkach już po podpisaniu pisma podpisem elektronicznym, gdy wystąpi konieczność jego doręczenia w postaci papierowej organ nie będzie musiał wydawać pisma w tej postaci, gdyż dopuszczalne będzie doręczanie wydruku pisma sporządzonego pierwotnie w postaci elektronicznej.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 xml:space="preserve">art. </w:t>
      </w:r>
      <w:r w:rsidR="00FE433F" w:rsidRPr="009A3C86">
        <w:rPr>
          <w:rFonts w:ascii="Times New Roman" w:hAnsi="Times New Roman"/>
          <w:b/>
          <w:sz w:val="24"/>
          <w:szCs w:val="24"/>
        </w:rPr>
        <w:t>42</w:t>
      </w:r>
      <w:r w:rsidR="00FE433F" w:rsidRPr="009A3C86">
        <w:rPr>
          <w:rFonts w:ascii="Times New Roman" w:hAnsi="Times New Roman"/>
          <w:sz w:val="24"/>
          <w:szCs w:val="24"/>
        </w:rPr>
        <w:t xml:space="preserve"> </w:t>
      </w:r>
      <w:r w:rsidRPr="009A3C86">
        <w:rPr>
          <w:rFonts w:ascii="Times New Roman" w:hAnsi="Times New Roman"/>
          <w:sz w:val="24"/>
          <w:szCs w:val="24"/>
        </w:rPr>
        <w:t>projektu jest zmodyfikowanym odpowiednikiem art. 306d § 3-5 o.p. Modyfikacja polega na zastąpieniu zwrotu „strona lub inny uczestnik postępowania” sformułowaniem „zobowiązany lub zainteresowany”. Zasadne jest zwrócenie uwagi, że art. 306d o.p. znajduje się aktualnie w dziale VII</w:t>
      </w:r>
      <w:r w:rsidR="000E7124" w:rsidRPr="009A3C86">
        <w:rPr>
          <w:rFonts w:ascii="Times New Roman" w:hAnsi="Times New Roman"/>
          <w:sz w:val="24"/>
          <w:szCs w:val="24"/>
        </w:rPr>
        <w:t>I</w:t>
      </w:r>
      <w:r w:rsidRPr="009A3C86">
        <w:rPr>
          <w:rFonts w:ascii="Times New Roman" w:hAnsi="Times New Roman"/>
          <w:sz w:val="24"/>
          <w:szCs w:val="24"/>
        </w:rPr>
        <w:t>a o.p., który poświęcono zaświadczeniom. Analiza postanowień art. 306d § 3-5 o.p. może natomiast budzić pewne zastrzeżenia co do trafności ujęcia wskazanych regulacji w tym dziale, gdyż w rzeczywistości do instytucji zaświadczeń odnosi się wyłącznie możliwość uzyskania zaświadczenia w postaci elektronicznej. Ponadto przepis ten dotyczy również przypadku, gdy podmiot nie może uzyskać innego niż zaświadczenie dokumentu wydanego przez podmiot publiczny w rozumieniu ustawy z dnia 17 lutego 2005 r. o informatyzacji działalności podmiotów realizujących zadania publiczne, jak również potwierdzenia uiszczenia opłat i kosztów postępowania. Przepis ten wykracza zatem poza problematykę „elektronicznych zaświadczeń”</w:t>
      </w:r>
      <w:r w:rsidRPr="009A3C86">
        <w:rPr>
          <w:rFonts w:ascii="Times New Roman" w:hAnsi="Times New Roman"/>
          <w:sz w:val="24"/>
          <w:szCs w:val="24"/>
          <w:vertAlign w:val="superscript"/>
        </w:rPr>
        <w:footnoteReference w:id="150"/>
      </w:r>
      <w:r w:rsidRPr="009A3C86">
        <w:rPr>
          <w:rFonts w:ascii="Times New Roman" w:hAnsi="Times New Roman"/>
          <w:sz w:val="24"/>
          <w:szCs w:val="24"/>
        </w:rPr>
        <w:t>.</w:t>
      </w:r>
    </w:p>
    <w:p w:rsidR="00FA30AA" w:rsidRPr="009A3C86" w:rsidRDefault="00FA30AA" w:rsidP="00FA30AA">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6. </w:t>
      </w:r>
      <w:bookmarkStart w:id="12" w:name="_Hlk494369176"/>
      <w:r w:rsidRPr="009A3C86">
        <w:rPr>
          <w:rFonts w:ascii="Times New Roman" w:eastAsia="Times New Roman" w:hAnsi="Times New Roman"/>
          <w:bCs/>
          <w:sz w:val="24"/>
          <w:szCs w:val="24"/>
          <w:lang w:eastAsia="pl-PL"/>
        </w:rPr>
        <w:t xml:space="preserve">Zgodnie z </w:t>
      </w:r>
      <w:r w:rsidRPr="009A3C86">
        <w:rPr>
          <w:rFonts w:ascii="Times New Roman" w:eastAsia="Times New Roman" w:hAnsi="Times New Roman"/>
          <w:b/>
          <w:bCs/>
          <w:sz w:val="24"/>
          <w:szCs w:val="24"/>
          <w:lang w:eastAsia="pl-PL"/>
        </w:rPr>
        <w:t xml:space="preserve">art. </w:t>
      </w:r>
      <w:r w:rsidR="00E9683E" w:rsidRPr="009A3C86">
        <w:rPr>
          <w:rFonts w:ascii="Times New Roman" w:eastAsia="Times New Roman" w:hAnsi="Times New Roman"/>
          <w:b/>
          <w:bCs/>
          <w:sz w:val="24"/>
          <w:szCs w:val="24"/>
          <w:lang w:eastAsia="pl-PL"/>
        </w:rPr>
        <w:t xml:space="preserve">43 </w:t>
      </w:r>
      <w:r w:rsidRPr="009A3C86">
        <w:rPr>
          <w:rFonts w:ascii="Times New Roman" w:eastAsia="Times New Roman" w:hAnsi="Times New Roman"/>
          <w:b/>
          <w:bCs/>
          <w:sz w:val="24"/>
          <w:szCs w:val="24"/>
          <w:lang w:eastAsia="pl-PL"/>
        </w:rPr>
        <w:t>§ 1</w:t>
      </w:r>
      <w:r w:rsidRPr="009A3C86">
        <w:rPr>
          <w:rFonts w:ascii="Times New Roman" w:eastAsia="Times New Roman" w:hAnsi="Times New Roman"/>
          <w:bCs/>
          <w:sz w:val="24"/>
          <w:szCs w:val="24"/>
          <w:lang w:eastAsia="pl-PL"/>
        </w:rPr>
        <w:t xml:space="preserve"> projektu pełnomocnik będący adwokatem, radcą prawnym lub doradcą podatkowym </w:t>
      </w:r>
      <w:r w:rsidR="00A20D58" w:rsidRPr="009A3C86">
        <w:rPr>
          <w:rFonts w:ascii="Times New Roman" w:eastAsia="Times New Roman" w:hAnsi="Times New Roman"/>
          <w:bCs/>
          <w:sz w:val="24"/>
          <w:szCs w:val="24"/>
          <w:lang w:eastAsia="pl-PL"/>
        </w:rPr>
        <w:t xml:space="preserve">jest </w:t>
      </w:r>
      <w:r w:rsidRPr="009A3C86">
        <w:rPr>
          <w:rFonts w:ascii="Times New Roman" w:eastAsia="Times New Roman" w:hAnsi="Times New Roman"/>
          <w:bCs/>
          <w:sz w:val="24"/>
          <w:szCs w:val="24"/>
          <w:lang w:eastAsia="pl-PL"/>
        </w:rPr>
        <w:t xml:space="preserve">obowiązany do posiadania adresu elektronicznego i udostępniania tego adresu organom podatkowym. Ten sam obowiązek spoczywa również na podatnikach czynnych podatku od towarów i usług, przedsiębiorcach w rozumieniu przepisów ustawy z dnia 6 marca 2018 r. – Prawo przedsiębiorców, z wyłączeniem mikroprzedsiębiorców. Obowiązek posiadania adresu elektronicznego i udostępniania tego adresu organom podatkowym wiąże się </w:t>
      </w:r>
      <w:r w:rsidRPr="009A3C86">
        <w:rPr>
          <w:rFonts w:ascii="Times New Roman" w:eastAsia="Times New Roman" w:hAnsi="Times New Roman"/>
          <w:bCs/>
          <w:sz w:val="24"/>
          <w:szCs w:val="24"/>
          <w:lang w:eastAsia="pl-PL"/>
        </w:rPr>
        <w:lastRenderedPageBreak/>
        <w:t xml:space="preserve">z zasadą doręczania pism tym podmiotom za pomocą środków komunikacji elektronicznej (art. </w:t>
      </w:r>
      <w:r w:rsidR="00210F0D" w:rsidRPr="009A3C86">
        <w:rPr>
          <w:rFonts w:ascii="Times New Roman" w:eastAsia="Times New Roman" w:hAnsi="Times New Roman"/>
          <w:bCs/>
          <w:sz w:val="24"/>
          <w:szCs w:val="24"/>
          <w:lang w:eastAsia="pl-PL"/>
        </w:rPr>
        <w:t> </w:t>
      </w:r>
      <w:r w:rsidR="007D07CA" w:rsidRPr="009A3C86">
        <w:rPr>
          <w:rFonts w:ascii="Times New Roman" w:eastAsia="Times New Roman" w:hAnsi="Times New Roman"/>
          <w:bCs/>
          <w:sz w:val="24"/>
          <w:szCs w:val="24"/>
          <w:lang w:eastAsia="pl-PL"/>
        </w:rPr>
        <w:t xml:space="preserve">331 </w:t>
      </w:r>
      <w:r w:rsidR="00210F0D" w:rsidRPr="009A3C86">
        <w:rPr>
          <w:rFonts w:ascii="Times New Roman" w:eastAsia="Times New Roman" w:hAnsi="Times New Roman"/>
          <w:bCs/>
          <w:sz w:val="24"/>
          <w:szCs w:val="24"/>
          <w:lang w:eastAsia="pl-PL"/>
        </w:rPr>
        <w:t xml:space="preserve">§ 7 </w:t>
      </w:r>
      <w:r w:rsidRPr="009A3C86">
        <w:rPr>
          <w:rFonts w:ascii="Times New Roman" w:eastAsia="Times New Roman" w:hAnsi="Times New Roman"/>
          <w:bCs/>
          <w:sz w:val="24"/>
          <w:szCs w:val="24"/>
          <w:lang w:eastAsia="pl-PL"/>
        </w:rPr>
        <w:t xml:space="preserve">projektu). Uwzględniając jednak fakt, że obligatoryjne zastosowanie komunikacji elektronicznej w przypadku doręczania pism przez administrację podatkową w odniesieniu do określonej kategorii podmiotów wykonujących działalność gospodarczą może być istotnym obciążeniem, zasadne było wprowadzenie wyjątku. Jako kryterium tego wyjątku przyjęto rozmiar prowadzonej działalności gospodarczej. W konsekwencji obowiązek posiadania adresu elektronicznego i posługiwania się tym adresem w kontaktach z organami podatkowymi nie odnosi się do mikroprzesiębiorców.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Zauważyć należy, że już obowiązujące regulacje wprowadzają, jako zasadę, doręczanie pism pełnomocnikom profesjonalnym (doradcom podatkowym, radcom prawnym, adwokatom) oraz organom administracji publicznej za pomocą środków komunikacji elektronicznej. Alternatywnie dopuszczają także możliwość doręczenia pism w siedzibie organu podatkowego, czyli odmiennie niż pozostałym osobom fizycznym oraz jednostkom organizacyjnym (art. 144 § 5 o.p.). Obowiązujące już regulacje są obarczone dość istotnym mankamentem, brak bowiem wyraźnego zobowiązania tych podmiotów (profesjonalnych pełnomocników) do posiadania adresów elektronicznych powiązanych z portalem podatkowym lub z systemem teleinformatycznym organu podatkowego, który obsługuje elektroniczną skrzynkę podawczą tego organu i umożliwia doręczanie pism pełnomocnikom.</w:t>
      </w:r>
      <w:bookmarkEnd w:id="12"/>
    </w:p>
    <w:p w:rsidR="00FA30AA" w:rsidRPr="009A3C86" w:rsidRDefault="00FA30AA" w:rsidP="00D72E74">
      <w:pPr>
        <w:keepNext/>
        <w:keepLines/>
        <w:spacing w:before="120" w:after="0" w:line="360" w:lineRule="auto"/>
        <w:jc w:val="both"/>
        <w:outlineLvl w:val="3"/>
        <w:rPr>
          <w:rFonts w:ascii="Times New Roman" w:hAnsi="Times New Roman"/>
          <w:b/>
          <w:sz w:val="24"/>
          <w:szCs w:val="24"/>
        </w:rPr>
      </w:pPr>
      <w:bookmarkStart w:id="13" w:name="_Toc494363229"/>
      <w:r w:rsidRPr="009A3C86">
        <w:rPr>
          <w:rFonts w:ascii="Times New Roman" w:hAnsi="Times New Roman"/>
          <w:b/>
          <w:sz w:val="24"/>
          <w:szCs w:val="24"/>
        </w:rPr>
        <w:t>Oddział 2. Składanie deklaracji, wniosków i innych dokumentów</w:t>
      </w:r>
      <w:bookmarkEnd w:id="13"/>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 Projektowany </w:t>
      </w:r>
      <w:r w:rsidRPr="009A3C86">
        <w:rPr>
          <w:rFonts w:ascii="Times New Roman" w:hAnsi="Times New Roman"/>
          <w:b/>
          <w:sz w:val="24"/>
          <w:szCs w:val="24"/>
        </w:rPr>
        <w:t xml:space="preserve">art. </w:t>
      </w:r>
      <w:r w:rsidR="00E9683E" w:rsidRPr="009A3C86">
        <w:rPr>
          <w:rFonts w:ascii="Times New Roman" w:hAnsi="Times New Roman"/>
          <w:b/>
          <w:sz w:val="24"/>
          <w:szCs w:val="24"/>
        </w:rPr>
        <w:t>44</w:t>
      </w:r>
      <w:r w:rsidR="00E9683E" w:rsidRPr="009A3C86">
        <w:rPr>
          <w:rFonts w:ascii="Times New Roman" w:hAnsi="Times New Roman"/>
          <w:sz w:val="24"/>
          <w:szCs w:val="24"/>
        </w:rPr>
        <w:t xml:space="preserve"> </w:t>
      </w:r>
      <w:r w:rsidRPr="009A3C86">
        <w:rPr>
          <w:rFonts w:ascii="Times New Roman" w:hAnsi="Times New Roman"/>
          <w:sz w:val="24"/>
          <w:szCs w:val="24"/>
        </w:rPr>
        <w:t xml:space="preserve">jest zmodyfikowanym odpowiednikiem art. 3a o.p. Z projektowanego przepisu wynika, że składanie deklaracji podatkowych za pomocą środków komunikacji elektronicznej jest co do zasady uprawnieniem podmiotów zobowiązanych. Wyjątkiem są sytuacje, gdy przepis szczególny wprowadza taki obowiązek.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Podkreślenia wymaga, że w projekcie ordynacji podatkowej nie ujęto regulacji zawartej w obowiązującym art. 3d o.p., zgodnie z którym składanie deklaracji za pomocą środków komunikacji elektronicznej wójtowi, burmistrzowi (prezydentowi miasta), staroście, marszałkowi województwa regulują odrębne przepisy. Ze względu na standardy prawne informatyzacji podmiotów realizujących zadania publiczne brak jest powodów, ażeby różnicować zasady składania deklaracji do państwowych czy samorządowych organów podatkowych. Podstawowym celem tej zmiany jest ujednolicenie zasad komunikacji elektronicznej organów podatkowych z podatnikami, bez wprowadzania różnic ze względu na to, czy mamy do czynienia z państwowym, czy też z samorządowym organem podatkowym.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2. Z kolei </w:t>
      </w:r>
      <w:r w:rsidRPr="009A3C86">
        <w:rPr>
          <w:rFonts w:ascii="Times New Roman" w:hAnsi="Times New Roman"/>
          <w:b/>
          <w:sz w:val="24"/>
          <w:szCs w:val="24"/>
        </w:rPr>
        <w:t xml:space="preserve">art. </w:t>
      </w:r>
      <w:r w:rsidR="00E9683E" w:rsidRPr="009A3C86">
        <w:rPr>
          <w:rFonts w:ascii="Times New Roman" w:hAnsi="Times New Roman"/>
          <w:b/>
          <w:sz w:val="24"/>
          <w:szCs w:val="24"/>
        </w:rPr>
        <w:t>45</w:t>
      </w:r>
      <w:r w:rsidR="00E9683E" w:rsidRPr="009A3C86">
        <w:rPr>
          <w:rFonts w:ascii="Times New Roman" w:hAnsi="Times New Roman"/>
          <w:sz w:val="24"/>
          <w:szCs w:val="24"/>
        </w:rPr>
        <w:t xml:space="preserve"> </w:t>
      </w:r>
      <w:r w:rsidRPr="009A3C86">
        <w:rPr>
          <w:rFonts w:ascii="Times New Roman" w:hAnsi="Times New Roman"/>
          <w:sz w:val="24"/>
          <w:szCs w:val="24"/>
        </w:rPr>
        <w:t xml:space="preserve">projektu jest odpowiednikiem art. 3b o.p. utrzymującym obowiązującą regulację szczególną dotyczącą zasad składania deklaracji podatkowych. Nowelizacji poddano brzmienie art. 3b § 1 pkt 2 o.p., zgodnie z którym deklaracja składana za pomocą środków komunikacji elektronicznej powinna zawierać jeden podpis elektroniczny. W projektowanym art. </w:t>
      </w:r>
      <w:r w:rsidR="00E9683E" w:rsidRPr="009A3C86">
        <w:rPr>
          <w:rFonts w:ascii="Times New Roman" w:hAnsi="Times New Roman"/>
          <w:sz w:val="24"/>
          <w:szCs w:val="24"/>
        </w:rPr>
        <w:t xml:space="preserve">45 </w:t>
      </w:r>
      <w:r w:rsidRPr="009A3C86">
        <w:rPr>
          <w:rFonts w:ascii="Times New Roman" w:hAnsi="Times New Roman"/>
          <w:sz w:val="24"/>
          <w:szCs w:val="24"/>
        </w:rPr>
        <w:t>pkt 2 wskazano natomiast, że deklaracja składana za pomocą środków komunikacji elektronicznej zawiera podpis elektroniczny. Regulacja ta nie wprowadza ograniczenia do jednego podpisu. Obowiązujący przepis przewidujący możliwość opatrzenia deklaracji podatkowej tylko jednym podpisem elektronicznym wiąże się z nieobowiązującym już art. 3c § 1 o.p., zgodnie z którym podatnik lub płatnik zamierzający składać deklaracje w postaci elektronicznej: 1) zawiadamia o tym naczelnika urzędu skarbowego właściwego w sprawie ewidencji podatników i płatników oraz 2) wskazuje osobę lub osoby upoważnione do składania deklaracji w tej formie i podpisywania deklaracji podpisem elektronicznym. Przepis ten został jednak skreślony na podstawie art. 1 pkt 1 ustawy z dnia 5 marca 2009 r. o zmianie ustawy - Ordynacja podatkowa oraz ustawy o opłacie skarbowej (Dz. U. Nr 57, poz. 466). Pomimo skreślenia tego przepisu w art. 3b § 1 o.p. nie wprowadzono jednak modyfikacji znoszącej ograniczenie w zakresie opatrywania deklaracji podatkowej wyłącznie jednym podpisem elektronicznym.</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Przepisy </w:t>
      </w:r>
      <w:r w:rsidRPr="009A3C86">
        <w:rPr>
          <w:rFonts w:ascii="Times New Roman" w:hAnsi="Times New Roman"/>
          <w:b/>
          <w:sz w:val="24"/>
          <w:szCs w:val="24"/>
        </w:rPr>
        <w:t xml:space="preserve">art. </w:t>
      </w:r>
      <w:r w:rsidR="00E9683E" w:rsidRPr="009A3C86">
        <w:rPr>
          <w:rFonts w:ascii="Times New Roman" w:hAnsi="Times New Roman"/>
          <w:b/>
          <w:sz w:val="24"/>
          <w:szCs w:val="24"/>
        </w:rPr>
        <w:t>46</w:t>
      </w:r>
      <w:r w:rsidR="00E9683E" w:rsidRPr="009A3C86">
        <w:rPr>
          <w:rFonts w:ascii="Times New Roman" w:hAnsi="Times New Roman"/>
          <w:sz w:val="24"/>
          <w:szCs w:val="24"/>
        </w:rPr>
        <w:t xml:space="preserve"> </w:t>
      </w:r>
      <w:r w:rsidRPr="009A3C86">
        <w:rPr>
          <w:rFonts w:ascii="Times New Roman" w:hAnsi="Times New Roman"/>
          <w:sz w:val="24"/>
          <w:szCs w:val="24"/>
        </w:rPr>
        <w:t xml:space="preserve">projektu stanowią w części kompilację postanowień art. 168 § 1a, 3a, 3b, 4a o.p. oraz art. 125 § 2 k.p.c. po dokonaniu określonych modyfikacji.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Postanowienia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1</w:t>
      </w:r>
      <w:r w:rsidRPr="009A3C86">
        <w:rPr>
          <w:rFonts w:ascii="Times New Roman" w:hAnsi="Times New Roman"/>
          <w:sz w:val="24"/>
          <w:szCs w:val="24"/>
        </w:rPr>
        <w:t xml:space="preserve"> projektu umożliwiają, jeżeli odrębne przepisy nie wprowadzają takiego obowiązku, składanie za pomocą środków komunikacji elektronicznej przez elektroniczną skrzynkę podawczą organu podatkowego lub portal podatkowy wniosków oraz innych dokumentów. Przepis ten przewiduje zatem uprawnienie, a nie obowiązek, składania wniosków oraz innych dokumentów drogą elektroniczną. Zauważyć należy, że zasada prawa do komunikacji elektronicznej nie powinna mieć charakteru bezwzględnego. Przepisy szczególne będą mogły przewidywać wyjątki od tej zasady, w szczególności gdy zastosowanie środków komunikacji elektronicznej w ściśle określonych i uzasadnionych przypadkach będzie obowiązkiem. Przepis ten reguluje składanie za pomocą środków komunikacji elektronicznej do organu podatkowego, oprócz wniosków, również innych dokumentów. Do kategorii „innych dokumentów” zaliczyć można np. dokumenty stanowiące materiał dowodowy w sprawie. Niemniej jednak zagadnienie wnoszenia różnego rodzaju dokumentów do organu podatkowego nie jest ograniczone do postępowania podatkowego, lecz dotyczy również wnoszenia dokumentów o charakterze pozaprocesowym, takich jak np. oświadczenia (np. o wyborze opodatkowania w formie ryczałtu od przychodów ewidencjonowanych, o wyborze sposobu </w:t>
      </w:r>
      <w:r w:rsidRPr="009A3C86">
        <w:rPr>
          <w:rFonts w:ascii="Times New Roman" w:hAnsi="Times New Roman"/>
          <w:sz w:val="24"/>
          <w:szCs w:val="24"/>
        </w:rPr>
        <w:lastRenderedPageBreak/>
        <w:t xml:space="preserve">opodatkowania podatkiem dochodowym od osób fizycznych, a także o opodatkowaniu przez jednego z małżonków całości dochodu osiągniętego z określonych źródeł dochodu małżonków oraz na zawiadomienie o rezygnacji ze zwolnienia od podatku od towarów i usług).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2</w:t>
      </w:r>
      <w:r w:rsidRPr="009A3C86">
        <w:rPr>
          <w:rFonts w:ascii="Times New Roman" w:hAnsi="Times New Roman"/>
          <w:sz w:val="24"/>
          <w:szCs w:val="24"/>
        </w:rPr>
        <w:t xml:space="preserve"> projektu jest zmodyfikowanym odpowiednikiem 168 § 1a o.p. Modyfikacja wiąże się z tym, że w projekcie mowa jest o składaniu wniosków oraz innych dokumentów, a nie o wnoszeniu wyłącznie podań, co aktualnie reguluje art. 168 § 1a o.p.</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Postanowienia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3</w:t>
      </w:r>
      <w:r w:rsidRPr="009A3C86">
        <w:rPr>
          <w:rFonts w:ascii="Times New Roman" w:hAnsi="Times New Roman"/>
          <w:sz w:val="24"/>
          <w:szCs w:val="24"/>
        </w:rPr>
        <w:t xml:space="preserve"> projektu precyzują, że wnioski składane za pomocą środków komunikacji elektronicznej, co do zasady, powinny zawierać tekst. Wnioski składane z pomocą środków komunikacji elektronicznej mogą mieć zatem wyłącznie formę dokumentu opartą o tekst. Nie mogą to być zatem dokumenty elektroniczne zawierające dane służące np.</w:t>
      </w:r>
      <w:r w:rsidR="008A7C07" w:rsidRPr="009A3C86">
        <w:rPr>
          <w:rFonts w:ascii="Times New Roman" w:hAnsi="Times New Roman"/>
          <w:sz w:val="24"/>
          <w:szCs w:val="24"/>
        </w:rPr>
        <w:t xml:space="preserve"> </w:t>
      </w:r>
      <w:r w:rsidRPr="009A3C86">
        <w:rPr>
          <w:rFonts w:ascii="Times New Roman" w:hAnsi="Times New Roman"/>
          <w:sz w:val="24"/>
          <w:szCs w:val="24"/>
        </w:rPr>
        <w:t>do projekcji obrazu lub dźwięku. Podkreślenia wymaga, że zastrzeżenie takie jest konieczne. Ograniczenie takie nie wynika z zasady pisemności, gdyż jej adresatem jest organ podatkowy. Projektowana regulacja nawiązuje do art. 243</w:t>
      </w:r>
      <w:r w:rsidRPr="009A3C86">
        <w:rPr>
          <w:rFonts w:ascii="Times New Roman" w:hAnsi="Times New Roman"/>
          <w:sz w:val="24"/>
          <w:szCs w:val="24"/>
          <w:vertAlign w:val="superscript"/>
        </w:rPr>
        <w:t xml:space="preserve">1 </w:t>
      </w:r>
      <w:r w:rsidRPr="009A3C86">
        <w:rPr>
          <w:rFonts w:ascii="Times New Roman" w:hAnsi="Times New Roman"/>
          <w:sz w:val="24"/>
          <w:szCs w:val="24"/>
        </w:rPr>
        <w:t xml:space="preserve">k.p.c., w którym mowa jest o dokumentach zawierających tekst, umożliwiających ustalenie ich wystawców. Wniosek powinien zatem mieć postać teksu składającego się z liter alfabetu ułożonych według reguł językowych.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Wyjątek od zasady przewidzianej w art. </w:t>
      </w:r>
      <w:r w:rsidR="00D8363F" w:rsidRPr="009A3C86">
        <w:rPr>
          <w:rFonts w:ascii="Times New Roman" w:hAnsi="Times New Roman"/>
          <w:sz w:val="24"/>
          <w:szCs w:val="24"/>
        </w:rPr>
        <w:t xml:space="preserve">46 </w:t>
      </w:r>
      <w:r w:rsidRPr="009A3C86">
        <w:rPr>
          <w:rFonts w:ascii="Times New Roman" w:hAnsi="Times New Roman"/>
          <w:sz w:val="24"/>
          <w:szCs w:val="24"/>
        </w:rPr>
        <w:t xml:space="preserve">§ 3 projektu, dopuszczający sytuację, w której wniosek może zawierać informację przekazywaną w inny sposób niż za pomocą teksu może wynikać z </w:t>
      </w:r>
      <w:r w:rsidR="005D5A02" w:rsidRPr="009A3C86">
        <w:rPr>
          <w:rFonts w:ascii="Times New Roman" w:hAnsi="Times New Roman"/>
          <w:sz w:val="24"/>
          <w:szCs w:val="24"/>
        </w:rPr>
        <w:t xml:space="preserve">odrębnych </w:t>
      </w:r>
      <w:r w:rsidRPr="009A3C86">
        <w:rPr>
          <w:rFonts w:ascii="Times New Roman" w:hAnsi="Times New Roman"/>
          <w:sz w:val="24"/>
          <w:szCs w:val="24"/>
        </w:rPr>
        <w:t>przepisów.</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Wskazane ograniczenie nie dotyczy jednak innych dokumentów, które mogą być składane do organu za pomocą środków komunikacji elektronicznej. Nie mogą to być jednak wnioski, ale np. dowody w sprawie.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4</w:t>
      </w:r>
      <w:r w:rsidRPr="009A3C86">
        <w:rPr>
          <w:rFonts w:ascii="Times New Roman" w:hAnsi="Times New Roman"/>
          <w:sz w:val="24"/>
          <w:szCs w:val="24"/>
        </w:rPr>
        <w:t xml:space="preserve"> projektu wynika wprost, że wnioski oraz inne dokumenty składane za pomocą środków komunikacji elektronicznej w inny sposób niż przez elektroniczną skrzynkę podawczą organu podatkowego lub portal podatkowy, a zatem np. na adres poczty elektronicznej organu podatkowego, nie wywołują skutków prawnych</w:t>
      </w:r>
      <w:r w:rsidR="00F76833" w:rsidRPr="009A3C86">
        <w:rPr>
          <w:rFonts w:ascii="Times New Roman" w:hAnsi="Times New Roman"/>
          <w:sz w:val="24"/>
          <w:szCs w:val="24"/>
        </w:rPr>
        <w:t>, chyba że przepisy odrębne stanowią inaczej</w:t>
      </w:r>
      <w:r w:rsidRPr="009A3C86">
        <w:rPr>
          <w:rFonts w:ascii="Times New Roman" w:hAnsi="Times New Roman"/>
          <w:sz w:val="24"/>
          <w:szCs w:val="24"/>
        </w:rPr>
        <w:t>. W takim przypadku organ podatkowy zawiadamia składającego wniosek lub inny dokument o bezskuteczności czynności i informuje o zasadach składania wniosków i innego dokumentu za pomocą środków komunikacji elektronicznej.</w:t>
      </w:r>
    </w:p>
    <w:p w:rsidR="00FA30AA" w:rsidRPr="009A3C86" w:rsidRDefault="00FA30AA" w:rsidP="00FA30A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5</w:t>
      </w:r>
      <w:r w:rsidRPr="009A3C86">
        <w:rPr>
          <w:rFonts w:ascii="Times New Roman" w:hAnsi="Times New Roman"/>
          <w:sz w:val="24"/>
          <w:szCs w:val="24"/>
        </w:rPr>
        <w:t xml:space="preserve"> projektu ordynacji podatkowej wniosek oraz inny dokument składane w postaci elektronicznej powinny: 1) być opatrzone kwalifikowanym podpisem elektronicznym</w:t>
      </w:r>
      <w:r w:rsidR="00E554F2" w:rsidRPr="009A3C86">
        <w:rPr>
          <w:rFonts w:ascii="Times New Roman" w:hAnsi="Times New Roman"/>
          <w:sz w:val="24"/>
          <w:szCs w:val="24"/>
        </w:rPr>
        <w:t xml:space="preserve">, </w:t>
      </w:r>
      <w:r w:rsidRPr="009A3C86">
        <w:rPr>
          <w:rFonts w:ascii="Times New Roman" w:hAnsi="Times New Roman"/>
          <w:sz w:val="24"/>
          <w:szCs w:val="24"/>
        </w:rPr>
        <w:t xml:space="preserve"> podpisem zaufanym</w:t>
      </w:r>
      <w:r w:rsidR="00E554F2" w:rsidRPr="009A3C86">
        <w:rPr>
          <w:rFonts w:ascii="Times New Roman" w:hAnsi="Times New Roman"/>
          <w:sz w:val="24"/>
          <w:szCs w:val="24"/>
        </w:rPr>
        <w:t xml:space="preserve"> albo podpisem osobistym</w:t>
      </w:r>
      <w:r w:rsidR="00D27061" w:rsidRPr="009A3C86">
        <w:rPr>
          <w:rFonts w:ascii="Times New Roman" w:hAnsi="Times New Roman"/>
          <w:sz w:val="24"/>
          <w:szCs w:val="24"/>
        </w:rPr>
        <w:t xml:space="preserve"> albo w inny sposób określony w przepisach wydanych na podstawie art. 47 § 1</w:t>
      </w:r>
      <w:r w:rsidRPr="009A3C86">
        <w:rPr>
          <w:rFonts w:ascii="Times New Roman" w:hAnsi="Times New Roman"/>
          <w:sz w:val="24"/>
          <w:szCs w:val="24"/>
        </w:rPr>
        <w:t xml:space="preserve">; 2) zawierać dane w ustalonym formacie, zawartym we wzorze wniosku lub dokumentu określonym w odrębnych przepisach, jeżeli te przepisy </w:t>
      </w:r>
      <w:r w:rsidRPr="009A3C86">
        <w:rPr>
          <w:rFonts w:ascii="Times New Roman" w:hAnsi="Times New Roman"/>
          <w:sz w:val="24"/>
          <w:szCs w:val="24"/>
        </w:rPr>
        <w:lastRenderedPageBreak/>
        <w:t>nakazują składanie wniosków lub dokumentów według określonego wzoru; 3) zawierać adres elektroniczny składającego wniosek lub dokument.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Natomiast zgodnie z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6</w:t>
      </w:r>
      <w:r w:rsidRPr="009A3C86">
        <w:rPr>
          <w:rFonts w:ascii="Times New Roman" w:hAnsi="Times New Roman"/>
          <w:sz w:val="24"/>
          <w:szCs w:val="24"/>
        </w:rPr>
        <w:t xml:space="preserve"> projektu, jeżeli wniosek lub inny dokument składany za pomocą środków komunikacji elektronicznej nie zawiera adresu elektronicznego lub zawiera błędny adres elektroniczny, organ podatkowy przyjmuje, że właściwym jest adres elektroniczny, z którego nadano wniosek lub inny dokument, z zastrzeżeniem art. </w:t>
      </w:r>
      <w:r w:rsidR="00D8363F" w:rsidRPr="009A3C86">
        <w:rPr>
          <w:rFonts w:ascii="Times New Roman" w:hAnsi="Times New Roman"/>
          <w:sz w:val="24"/>
          <w:szCs w:val="24"/>
        </w:rPr>
        <w:t xml:space="preserve">56 </w:t>
      </w:r>
      <w:r w:rsidRPr="009A3C86">
        <w:rPr>
          <w:rFonts w:ascii="Times New Roman" w:hAnsi="Times New Roman"/>
          <w:sz w:val="24"/>
          <w:szCs w:val="24"/>
        </w:rPr>
        <w:t xml:space="preserve">§ 4. Zasada przewidziana w art. </w:t>
      </w:r>
      <w:r w:rsidR="00D8363F" w:rsidRPr="009A3C86">
        <w:rPr>
          <w:rFonts w:ascii="Times New Roman" w:hAnsi="Times New Roman"/>
          <w:sz w:val="24"/>
          <w:szCs w:val="24"/>
        </w:rPr>
        <w:t xml:space="preserve">46 </w:t>
      </w:r>
      <w:r w:rsidRPr="009A3C86">
        <w:rPr>
          <w:rFonts w:ascii="Times New Roman" w:hAnsi="Times New Roman"/>
          <w:sz w:val="24"/>
          <w:szCs w:val="24"/>
        </w:rPr>
        <w:t xml:space="preserve">§ 6 nie będzie miała zatem zastosowania w przypadku, gdy pełnomocnik będący adwokatem, radcą prawnym lub doradcą podatkowym naruszy obowiązek wynikający z projektowanego art. </w:t>
      </w:r>
      <w:r w:rsidR="000219DF" w:rsidRPr="009A3C86">
        <w:rPr>
          <w:rFonts w:ascii="Times New Roman" w:hAnsi="Times New Roman"/>
          <w:sz w:val="24"/>
          <w:szCs w:val="24"/>
        </w:rPr>
        <w:t xml:space="preserve">56 </w:t>
      </w:r>
      <w:r w:rsidRPr="009A3C86">
        <w:rPr>
          <w:rFonts w:ascii="Times New Roman" w:hAnsi="Times New Roman"/>
          <w:sz w:val="24"/>
          <w:szCs w:val="24"/>
        </w:rPr>
        <w:t xml:space="preserve">§ 1 i nie wskaże adresu elektronicznego. W takim przypadku odpowiednie zastosowanie będzie miał </w:t>
      </w:r>
      <w:r w:rsidR="001817ED" w:rsidRPr="009A3C86">
        <w:rPr>
          <w:rFonts w:ascii="Times New Roman" w:hAnsi="Times New Roman"/>
          <w:sz w:val="24"/>
          <w:szCs w:val="24"/>
        </w:rPr>
        <w:t>art. 367</w:t>
      </w:r>
      <w:r w:rsidR="000219DF" w:rsidRPr="009A3C86">
        <w:rPr>
          <w:rFonts w:ascii="Times New Roman" w:hAnsi="Times New Roman"/>
          <w:sz w:val="24"/>
          <w:szCs w:val="24"/>
        </w:rPr>
        <w:t xml:space="preserve"> </w:t>
      </w:r>
      <w:r w:rsidRPr="009A3C86">
        <w:rPr>
          <w:rFonts w:ascii="Times New Roman" w:hAnsi="Times New Roman"/>
          <w:sz w:val="24"/>
          <w:szCs w:val="24"/>
        </w:rPr>
        <w:t>§ 1, obligujący organ podatkowy do wezwania składającego wniosek, który nie spełnia wymogów określonych przepisami prawa, do usunięcia braków w terminie 7 dni, z pouczeniem, że nieusunięcie tych braków spowoduje pozostawienie wniosku bez rozpatrzenia.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46 </w:t>
      </w:r>
      <w:r w:rsidRPr="009A3C86">
        <w:rPr>
          <w:rFonts w:ascii="Times New Roman" w:hAnsi="Times New Roman"/>
          <w:b/>
          <w:sz w:val="24"/>
          <w:szCs w:val="24"/>
        </w:rPr>
        <w:t>§ 7</w:t>
      </w:r>
      <w:r w:rsidRPr="009A3C86">
        <w:rPr>
          <w:rFonts w:ascii="Times New Roman" w:hAnsi="Times New Roman"/>
          <w:sz w:val="24"/>
          <w:szCs w:val="24"/>
        </w:rPr>
        <w:t xml:space="preserve"> projektu, jeżeli wniosek lub inny dokument złożono w inny sposób niż za pomocą środków komunikacji elektronicznej i zawiera one żądanie, o którym mowa w art. </w:t>
      </w:r>
      <w:r w:rsidR="001F691F" w:rsidRPr="009A3C86">
        <w:rPr>
          <w:rFonts w:ascii="Times New Roman" w:hAnsi="Times New Roman"/>
          <w:sz w:val="24"/>
          <w:szCs w:val="24"/>
        </w:rPr>
        <w:t>art. 333</w:t>
      </w:r>
      <w:r w:rsidR="000219DF" w:rsidRPr="009A3C86">
        <w:rPr>
          <w:rFonts w:ascii="Times New Roman" w:hAnsi="Times New Roman"/>
          <w:sz w:val="24"/>
          <w:szCs w:val="24"/>
        </w:rPr>
        <w:t xml:space="preserve"> </w:t>
      </w:r>
      <w:r w:rsidRPr="009A3C86">
        <w:rPr>
          <w:rFonts w:ascii="Times New Roman" w:hAnsi="Times New Roman"/>
          <w:sz w:val="24"/>
          <w:szCs w:val="24"/>
        </w:rPr>
        <w:t xml:space="preserve">§ 1 pkt 2, jednakże nie zawiera adresu elektronicznego lub zawiera błędny adres elektroniczny, doręczenie pism następuje na adres wskazany zgodnie z art. </w:t>
      </w:r>
      <w:r w:rsidR="00C66CEA" w:rsidRPr="009A3C86">
        <w:rPr>
          <w:rFonts w:ascii="Times New Roman" w:hAnsi="Times New Roman"/>
          <w:sz w:val="24"/>
          <w:szCs w:val="24"/>
        </w:rPr>
        <w:t>366</w:t>
      </w:r>
      <w:r w:rsidR="000219DF" w:rsidRPr="009A3C86">
        <w:rPr>
          <w:rFonts w:ascii="Times New Roman" w:hAnsi="Times New Roman"/>
          <w:sz w:val="24"/>
          <w:szCs w:val="24"/>
        </w:rPr>
        <w:t xml:space="preserve"> </w:t>
      </w:r>
      <w:r w:rsidRPr="009A3C86">
        <w:rPr>
          <w:rFonts w:ascii="Times New Roman" w:hAnsi="Times New Roman"/>
          <w:sz w:val="24"/>
          <w:szCs w:val="24"/>
        </w:rPr>
        <w:t>§ 2, przy czym w pierwszym piśmie poucza się o obowiązku podania adresu elektronicznego w żądaniu doręczania pism środkami komunikacji elektronicznej. Zatem żądanie doręczania pism za pomocą środków komunikacji elektronicznej wyrażone na papierze, w którym jednak nie wskazano adresu elektronicznego lub adres ten jest błędny, nie traktuje się jak wniosku zawierającego braki formalne. W takim przypadku pomimo takiego żądania organ podatkowy doręcza pisma metodą tradycyjną – na papierze.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4. </w:t>
      </w:r>
      <w:r w:rsidR="00436673"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47 </w:t>
      </w:r>
      <w:r w:rsidR="00436673" w:rsidRPr="009A3C86">
        <w:rPr>
          <w:rFonts w:ascii="Times New Roman" w:hAnsi="Times New Roman"/>
          <w:sz w:val="24"/>
          <w:szCs w:val="24"/>
        </w:rPr>
        <w:t xml:space="preserve">reguluje upoważnienia </w:t>
      </w:r>
      <w:r w:rsidRPr="009A3C86">
        <w:rPr>
          <w:rFonts w:ascii="Times New Roman" w:hAnsi="Times New Roman"/>
          <w:sz w:val="24"/>
          <w:szCs w:val="24"/>
        </w:rPr>
        <w:t xml:space="preserve">ustawowe ministra właściwego do spraw finansów publicznych do wydania rozporządzenia. Aktualnie upoważnienie takie reguluje art. 3b o.p.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48 </w:t>
      </w:r>
      <w:r w:rsidRPr="009A3C86">
        <w:rPr>
          <w:rFonts w:ascii="Times New Roman" w:hAnsi="Times New Roman"/>
          <w:b/>
          <w:sz w:val="24"/>
          <w:szCs w:val="24"/>
        </w:rPr>
        <w:t>§ 1</w:t>
      </w:r>
      <w:r w:rsidRPr="009A3C86">
        <w:rPr>
          <w:rFonts w:ascii="Times New Roman" w:hAnsi="Times New Roman"/>
          <w:sz w:val="24"/>
          <w:szCs w:val="24"/>
        </w:rPr>
        <w:t xml:space="preserve"> projektu zawiera nowe rozwiązanie, zgodnie z którym w odniesieniu do czynności, wobec których przewidziano wyłącznie postać elektroniczną, konieczne jest zapewnienie innego sposobu dokonania takich czynności w sytuacji, gdy skorzystanie z tej drogi transmisji danych stało się obiektywnie niemożliwe lub istotnie utrudnione, chyba że istota czynności wyklucza tę formę komunikacji. Wprowadzenie takiej reguły znajduje uzasadnienie w orzecznictwie Trybunału Konstytucyjnego</w:t>
      </w:r>
      <w:r w:rsidRPr="009A3C86">
        <w:rPr>
          <w:rFonts w:ascii="Times New Roman" w:hAnsi="Times New Roman"/>
          <w:sz w:val="24"/>
          <w:szCs w:val="24"/>
          <w:vertAlign w:val="superscript"/>
        </w:rPr>
        <w:footnoteReference w:id="151"/>
      </w:r>
      <w:r w:rsidRPr="009A3C86">
        <w:rPr>
          <w:rFonts w:ascii="Times New Roman" w:hAnsi="Times New Roman"/>
          <w:sz w:val="24"/>
          <w:szCs w:val="24"/>
        </w:rPr>
        <w:t xml:space="preserve">. Zauważyć jednak należy, że w ściśle określonych przypadkach jedynym prawnie dopuszczalnym sposobem komunikacji </w:t>
      </w:r>
      <w:r w:rsidRPr="009A3C86">
        <w:rPr>
          <w:rFonts w:ascii="Times New Roman" w:hAnsi="Times New Roman"/>
          <w:sz w:val="24"/>
          <w:szCs w:val="24"/>
        </w:rPr>
        <w:lastRenderedPageBreak/>
        <w:t xml:space="preserve">może być komunikacja elektroniczna wyjątek ten nie może mieć zastosowania. Dotyczy to w szczególności komunikacji w relacjach międzynarodowych, np. zgłoszenia składane na podstawie przepisów Rozdziału 7 Działu XII ustawy o podatku od towarów i usług.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Oprócz rozwiązania przewidującego substytucyjny sposób złożenia deklaracji, wniosku lub innego dokumentu koniecznym stało się wprowadzenie rozwiązania chroniącego zobowiązanego przed ujemnymi konsekwencjami sytuacji, w której z przyczyn technicznych, niezależnych od wnoszącego, nie jest możliwe wniesienie wskazanych wyżej dokumentów za pomocą środków komunikacji elektronicznej w wymaganym terminie. Rozwiązania takie przewidziane zostały także w innych procedurach, w których doręczenia następują przy wykorzystaniu środków komunikacji elektronicznej (np. art. 125³ § 2 k.p.c.). Zgodnie z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48 </w:t>
      </w:r>
      <w:r w:rsidRPr="009A3C86">
        <w:rPr>
          <w:rFonts w:ascii="Times New Roman" w:hAnsi="Times New Roman"/>
          <w:b/>
          <w:sz w:val="24"/>
          <w:szCs w:val="24"/>
        </w:rPr>
        <w:t>§ 2</w:t>
      </w:r>
      <w:r w:rsidRPr="009A3C86">
        <w:rPr>
          <w:rFonts w:ascii="Times New Roman" w:hAnsi="Times New Roman"/>
          <w:sz w:val="24"/>
          <w:szCs w:val="24"/>
        </w:rPr>
        <w:t xml:space="preserve"> projektu, jeżeli z przyczyn technicznych niezależnych od wnoszącego nie jest możliwe wniesienie deklaracji, wniosku lub innego dokumentu za pomocą środków komunikacji elektronicznej w wymaganym terminie, stosuje się odpowiednio przepisy art. </w:t>
      </w:r>
      <w:r w:rsidR="009251A4" w:rsidRPr="009A3C86">
        <w:rPr>
          <w:rFonts w:ascii="Times New Roman" w:hAnsi="Times New Roman"/>
          <w:sz w:val="24"/>
          <w:szCs w:val="24"/>
        </w:rPr>
        <w:t xml:space="preserve">126 </w:t>
      </w:r>
      <w:r w:rsidRPr="009A3C86">
        <w:rPr>
          <w:rFonts w:ascii="Times New Roman" w:hAnsi="Times New Roman"/>
          <w:sz w:val="24"/>
          <w:szCs w:val="24"/>
        </w:rPr>
        <w:t xml:space="preserve">projektu, czyli przepisy dotyczące przywrócenia terminu przewidzianego w przepisach prawa podatkowego.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6. Przepis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49 </w:t>
      </w:r>
      <w:r w:rsidRPr="009A3C86">
        <w:rPr>
          <w:rFonts w:ascii="Times New Roman" w:hAnsi="Times New Roman"/>
          <w:b/>
          <w:sz w:val="24"/>
          <w:szCs w:val="24"/>
        </w:rPr>
        <w:t>§ 1</w:t>
      </w:r>
      <w:r w:rsidRPr="009A3C86">
        <w:rPr>
          <w:rFonts w:ascii="Times New Roman" w:hAnsi="Times New Roman"/>
          <w:sz w:val="24"/>
          <w:szCs w:val="24"/>
        </w:rPr>
        <w:t xml:space="preserve"> projektu ordynacji podatkowej reguluje uprawnienie organu podatkowego do przekształcania postaci złożonych deklaracji, wniosków oraz innych dokumentów. Po pierwsze, do postaci elektronicznej, poprzez sporządzenie odwzorowania cyfrowego z zachowaniem wymogów określonych w przepisach </w:t>
      </w:r>
      <w:r w:rsidR="00F57F83" w:rsidRPr="009A3C86">
        <w:rPr>
          <w:rFonts w:ascii="Times New Roman" w:hAnsi="Times New Roman"/>
          <w:sz w:val="24"/>
          <w:szCs w:val="24"/>
        </w:rPr>
        <w:t>dotyczących archiwów</w:t>
      </w:r>
      <w:r w:rsidRPr="009A3C86">
        <w:rPr>
          <w:rFonts w:ascii="Times New Roman" w:hAnsi="Times New Roman"/>
          <w:sz w:val="24"/>
          <w:szCs w:val="24"/>
        </w:rPr>
        <w:t xml:space="preserve">. Po drugie, do postaci papierowej, poprzez sporządzenie uwierzytelnionego wydruku. Sporządzenie takiego wydruku powinno nastąpić z zachowaniem wymogów określonych w przepisach wydanych na podstawie art. 16 ust. 3 ustawy z dnia 17 lutego 2005 r. o informatyzacji działalności podmiotów realizujących zadania publiczne. </w:t>
      </w:r>
      <w:r w:rsidRPr="009A3C86">
        <w:rPr>
          <w:rFonts w:ascii="Times New Roman" w:hAnsi="Times New Roman"/>
          <w:bCs/>
          <w:sz w:val="24"/>
          <w:szCs w:val="24"/>
        </w:rPr>
        <w:t xml:space="preserve">Z § 37 rozporządzenia Prezesa Rady Ministrów </w:t>
      </w:r>
      <w:r w:rsidRPr="009A3C86">
        <w:rPr>
          <w:rFonts w:ascii="Times New Roman" w:hAnsi="Times New Roman"/>
          <w:sz w:val="24"/>
          <w:szCs w:val="24"/>
        </w:rPr>
        <w:t>z dnia 14 września 2011 r.</w:t>
      </w:r>
      <w:r w:rsidRPr="009A3C86">
        <w:rPr>
          <w:rFonts w:ascii="Times New Roman" w:hAnsi="Times New Roman"/>
          <w:bCs/>
          <w:sz w:val="24"/>
          <w:szCs w:val="24"/>
        </w:rPr>
        <w:t xml:space="preserve"> w sprawie sporządzania i doręczania dokumentów elektronicznych oraz udostępniania formularzy, wzorów i kopii dokumentów elektronicznych (Dz.</w:t>
      </w:r>
      <w:r w:rsidR="00921A7B" w:rsidRPr="009A3C86">
        <w:rPr>
          <w:rFonts w:ascii="Times New Roman" w:hAnsi="Times New Roman"/>
          <w:bCs/>
          <w:sz w:val="24"/>
          <w:szCs w:val="24"/>
        </w:rPr>
        <w:t xml:space="preserve"> </w:t>
      </w:r>
      <w:r w:rsidRPr="009A3C86">
        <w:rPr>
          <w:rFonts w:ascii="Times New Roman" w:hAnsi="Times New Roman"/>
          <w:bCs/>
          <w:sz w:val="24"/>
          <w:szCs w:val="24"/>
        </w:rPr>
        <w:t>U. 2018</w:t>
      </w:r>
      <w:r w:rsidR="00921A7B" w:rsidRPr="009A3C86">
        <w:rPr>
          <w:rFonts w:ascii="Times New Roman" w:hAnsi="Times New Roman"/>
          <w:bCs/>
          <w:sz w:val="24"/>
          <w:szCs w:val="24"/>
        </w:rPr>
        <w:t xml:space="preserve"> r.</w:t>
      </w:r>
      <w:r w:rsidRPr="009A3C86">
        <w:rPr>
          <w:rFonts w:ascii="Times New Roman" w:hAnsi="Times New Roman"/>
          <w:bCs/>
          <w:sz w:val="24"/>
          <w:szCs w:val="24"/>
        </w:rPr>
        <w:t xml:space="preserve"> poz. 180), które wydano na podstawie </w:t>
      </w:r>
      <w:r w:rsidRPr="009A3C86">
        <w:rPr>
          <w:rFonts w:ascii="Times New Roman" w:hAnsi="Times New Roman"/>
          <w:sz w:val="24"/>
          <w:szCs w:val="24"/>
        </w:rPr>
        <w:t xml:space="preserve">art. 16 ust. 3 ustawy z dnia 17 lutego 2005 r. o informatyzacji wynika, że kopia dokumentu elektronicznego może być sporządzona w postaci uwierzytelnionego wydruku zwizualizowanego pisma, zawierającego w szczególności: 1) jednoznaczny identyfikator tego dokumentu umożliwiający w razie potrzeby odnalezienie pierwowzoru w systemie teleinformatycznym; 2) datę wykonania wydruku. Zaproponowane w projekcie ordynacji podatkowej wyposażenie organu podatkowego w takie uprawnienie było nieodzowne ze względu na konieczność prowadzenia akt administracyjnych w określonej postaci, a mianowicie papierowej lub elektronicznej. Ponadto należy mieć na uwadze, że w postępowaniu podatkowym może brać udział wiele stron, z których każda może oczekiwać </w:t>
      </w:r>
      <w:r w:rsidRPr="009A3C86">
        <w:rPr>
          <w:rFonts w:ascii="Times New Roman" w:hAnsi="Times New Roman"/>
          <w:sz w:val="24"/>
          <w:szCs w:val="24"/>
        </w:rPr>
        <w:lastRenderedPageBreak/>
        <w:t>dostępu do akt w różnej postaci, a mianowicie elektronicznej lub papierowej. Zauważyć jednak należy, że uprawnienie przewidziane w tym przepisie odnosi się jedynie do deklaracji, wniosków oraz innych dokumentów, które wpłynęły (zostały złożone) do organu podatkowego w postaci papierowej lub elektronicznej. Przepis ten nie ma zastosowania w odniesieniu do dokumentów generowanych przez organ podatkowy.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Postanowienia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49 </w:t>
      </w:r>
      <w:r w:rsidRPr="009A3C86">
        <w:rPr>
          <w:rFonts w:ascii="Times New Roman" w:hAnsi="Times New Roman"/>
          <w:b/>
          <w:sz w:val="24"/>
          <w:szCs w:val="24"/>
        </w:rPr>
        <w:t>§ 2</w:t>
      </w:r>
      <w:r w:rsidRPr="009A3C86">
        <w:rPr>
          <w:rFonts w:ascii="Times New Roman" w:hAnsi="Times New Roman"/>
          <w:sz w:val="24"/>
          <w:szCs w:val="24"/>
        </w:rPr>
        <w:t xml:space="preserve"> projektu zawierają definicję </w:t>
      </w:r>
      <w:r w:rsidR="00580B2D" w:rsidRPr="009A3C86">
        <w:rPr>
          <w:rFonts w:ascii="Times New Roman" w:hAnsi="Times New Roman"/>
          <w:sz w:val="24"/>
          <w:szCs w:val="24"/>
        </w:rPr>
        <w:t>odwzorowania cyfrowego</w:t>
      </w:r>
      <w:r w:rsidRPr="009A3C86">
        <w:rPr>
          <w:rFonts w:ascii="Times New Roman" w:hAnsi="Times New Roman"/>
          <w:sz w:val="24"/>
          <w:szCs w:val="24"/>
        </w:rPr>
        <w:t xml:space="preserve">. Zgodnie z tym przepisem </w:t>
      </w:r>
      <w:r w:rsidR="007D7AF6" w:rsidRPr="009A3C86">
        <w:rPr>
          <w:rFonts w:ascii="Times New Roman" w:hAnsi="Times New Roman"/>
          <w:sz w:val="24"/>
          <w:szCs w:val="24"/>
        </w:rPr>
        <w:t>odwzorowanie cyfrowe</w:t>
      </w:r>
      <w:r w:rsidRPr="009A3C86">
        <w:rPr>
          <w:rFonts w:ascii="Times New Roman" w:hAnsi="Times New Roman"/>
          <w:sz w:val="24"/>
          <w:szCs w:val="24"/>
        </w:rPr>
        <w:t xml:space="preserve"> jest to dokument</w:t>
      </w:r>
      <w:r w:rsidR="007D7AF6" w:rsidRPr="009A3C86">
        <w:rPr>
          <w:rFonts w:ascii="Times New Roman" w:hAnsi="Times New Roman"/>
          <w:sz w:val="24"/>
          <w:szCs w:val="24"/>
        </w:rPr>
        <w:t>em</w:t>
      </w:r>
      <w:r w:rsidRPr="009A3C86">
        <w:rPr>
          <w:rFonts w:ascii="Times New Roman" w:hAnsi="Times New Roman"/>
          <w:sz w:val="24"/>
          <w:szCs w:val="24"/>
        </w:rPr>
        <w:t xml:space="preserve"> elektroniczny</w:t>
      </w:r>
      <w:r w:rsidR="007D7AF6" w:rsidRPr="009A3C86">
        <w:rPr>
          <w:rFonts w:ascii="Times New Roman" w:hAnsi="Times New Roman"/>
          <w:sz w:val="24"/>
          <w:szCs w:val="24"/>
        </w:rPr>
        <w:t>m</w:t>
      </w:r>
      <w:r w:rsidRPr="009A3C86">
        <w:rPr>
          <w:rFonts w:ascii="Times New Roman" w:hAnsi="Times New Roman"/>
          <w:sz w:val="24"/>
          <w:szCs w:val="24"/>
        </w:rPr>
        <w:t xml:space="preserve"> będący</w:t>
      </w:r>
      <w:r w:rsidR="007D7AF6" w:rsidRPr="009A3C86">
        <w:rPr>
          <w:rFonts w:ascii="Times New Roman" w:hAnsi="Times New Roman"/>
          <w:sz w:val="24"/>
          <w:szCs w:val="24"/>
        </w:rPr>
        <w:t>m</w:t>
      </w:r>
      <w:r w:rsidRPr="009A3C86">
        <w:rPr>
          <w:rFonts w:ascii="Times New Roman" w:hAnsi="Times New Roman"/>
          <w:sz w:val="24"/>
          <w:szCs w:val="24"/>
        </w:rPr>
        <w:t xml:space="preserve"> kopią elektroniczną deklaracji, wniosku lub innego dokumentu, złożonych w organie podatkowym w postaci innej niż elektroniczna, który został wprowadzony do systemu teleinformatycznego administracji podatkowej w sposób zapewniający niezaprzeczalność i integralność odwzorowanych danych. Przepis ten został zbudowany na podstawie obowiązującego art. 3 pkt 15 o.p.</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Przede wszystkim należy wskazać, że projektowany przepis dotyczy deklaracji i wniosków składanych do tych organów podatkowych, a nie pism wydawanych przez organy podatkowe. Zatem istota tej regulacji wiąże się z przetworzeniem postaci deklaracji i wniosków, które wpłynęły do organu podatkowego, z papierowej na elektroniczną.</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Modyfikacja postanowień art. 3 pkt 15 o.p. odnosi się do czterech kwestii. Po pierwsze, w proponowanym przepisie mowa jest o </w:t>
      </w:r>
      <w:r w:rsidR="00AC045F" w:rsidRPr="009A3C86">
        <w:rPr>
          <w:rFonts w:ascii="Times New Roman" w:hAnsi="Times New Roman"/>
          <w:sz w:val="24"/>
          <w:szCs w:val="24"/>
        </w:rPr>
        <w:t>odwzorowaniu cyfrowym</w:t>
      </w:r>
      <w:r w:rsidRPr="009A3C86">
        <w:rPr>
          <w:rFonts w:ascii="Times New Roman" w:hAnsi="Times New Roman"/>
          <w:sz w:val="24"/>
          <w:szCs w:val="24"/>
        </w:rPr>
        <w:t xml:space="preserve">, a nie tylko o podaniu lub deklaracji odwzorowanych cyfrowo. Po drugie, w projekcie pojawia się pojęcie wniosku zamiast podania. Zmiana powyższa jest konsekwencją zmiany nomenklatury w projektowanej ordynacji podatkowej. Obowiązujące pojęcie „podanie” zostało bowiem zastąpione pojęciem „wniosek”. Po trzecie, zasadne jest, aby oprócz możliwości sporządzania kopii elektronicznych składanych deklaracji i wniosków istniała również możliwość sporządzania kopii innych dokumentów niż deklaracje i wnioski. Takimi dokumentami mogą być np. faktury, oświadczenia itp. Po czwarte, art. 3 pkt 15 o.p. wymaga, aby podanie lub deklaracja zostały złożone w jednostkach organizacyjnych administracji skarbowej w postaci innej niż elektroniczna, a dokument elektroniczny będący ich kopią został wprowadzony do systemu teleinformatycznego Szefa Krajowej Administracji Skarbowej. W celu upowszechnienia sporządzania odwzorowań cyfrowych deklaracji, wniosków innych dokumentów przyjęto, że deklaracja, wniosek lub inny dokument mogą być złożone w organie podatkowym, w tym samorządowym, przy czym dokument elektroniczny będący ich kopią powinien być wprowadzony do systemu teleinformatycznego w sposób zapewniający niezaprzeczalność i integralność odwzorowanych danych. Wskazać należy, że zgodnie z projektowanym art. 13 pkt </w:t>
      </w:r>
      <w:r w:rsidRPr="009A3C86">
        <w:rPr>
          <w:rFonts w:ascii="Times New Roman" w:hAnsi="Times New Roman"/>
          <w:sz w:val="24"/>
          <w:szCs w:val="24"/>
        </w:rPr>
        <w:lastRenderedPageBreak/>
        <w:t xml:space="preserve">18 system teleinformatyczny administracji podatkowej jest to system teleinformatyczny administracji skarbowej lub system teleinformatyczny obsługujący organ podatkowy.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49 </w:t>
      </w:r>
      <w:r w:rsidRPr="009A3C86">
        <w:rPr>
          <w:rFonts w:ascii="Times New Roman" w:hAnsi="Times New Roman"/>
          <w:b/>
          <w:sz w:val="24"/>
          <w:szCs w:val="24"/>
        </w:rPr>
        <w:t>§ 3</w:t>
      </w:r>
      <w:r w:rsidRPr="009A3C86">
        <w:rPr>
          <w:rFonts w:ascii="Times New Roman" w:hAnsi="Times New Roman"/>
          <w:sz w:val="24"/>
          <w:szCs w:val="24"/>
        </w:rPr>
        <w:t xml:space="preserve"> projektu wprowadza zasadę równoważności pod względem skutków prawnych pomiędzy uwierzytelnionym wydrukiem oraz </w:t>
      </w:r>
      <w:r w:rsidR="009067B0" w:rsidRPr="009A3C86">
        <w:rPr>
          <w:rFonts w:ascii="Times New Roman" w:hAnsi="Times New Roman"/>
          <w:sz w:val="24"/>
          <w:szCs w:val="24"/>
        </w:rPr>
        <w:t>odwzorowaniem cyfrowym</w:t>
      </w:r>
      <w:r w:rsidRPr="009A3C86">
        <w:rPr>
          <w:rFonts w:ascii="Times New Roman" w:hAnsi="Times New Roman"/>
          <w:sz w:val="24"/>
          <w:szCs w:val="24"/>
        </w:rPr>
        <w:t xml:space="preserve">, sporządzonymi zgodnie z § 1, a wnioskiem, innym dokumentem i deklaracją, które sporządzono w postaci elektronicznej lub w postaci papierowej. Przyjęcie zasady równoważności pod względem skutków prawnych nie wyklucza możliwości przeprowadzenia dowodu przeciwko wskazanym </w:t>
      </w:r>
      <w:r w:rsidRPr="009A3C86">
        <w:rPr>
          <w:rFonts w:ascii="Times New Roman" w:hAnsi="Times New Roman"/>
          <w:i/>
          <w:iCs/>
          <w:sz w:val="24"/>
          <w:szCs w:val="24"/>
        </w:rPr>
        <w:t>de facto</w:t>
      </w:r>
      <w:r w:rsidRPr="009A3C86">
        <w:rPr>
          <w:rFonts w:ascii="Times New Roman" w:hAnsi="Times New Roman"/>
          <w:sz w:val="24"/>
          <w:szCs w:val="24"/>
        </w:rPr>
        <w:t xml:space="preserve"> kopiom, a zatem przeciwko </w:t>
      </w:r>
      <w:r w:rsidR="001815AA" w:rsidRPr="009A3C86">
        <w:rPr>
          <w:rFonts w:ascii="Times New Roman" w:hAnsi="Times New Roman"/>
          <w:sz w:val="24"/>
          <w:szCs w:val="24"/>
        </w:rPr>
        <w:t>odwzorowaniu</w:t>
      </w:r>
      <w:r w:rsidRPr="009A3C86">
        <w:rPr>
          <w:rFonts w:ascii="Times New Roman" w:hAnsi="Times New Roman"/>
          <w:sz w:val="24"/>
          <w:szCs w:val="24"/>
        </w:rPr>
        <w:t xml:space="preserve"> </w:t>
      </w:r>
      <w:r w:rsidR="001815AA" w:rsidRPr="009A3C86">
        <w:rPr>
          <w:rFonts w:ascii="Times New Roman" w:hAnsi="Times New Roman"/>
          <w:sz w:val="24"/>
          <w:szCs w:val="24"/>
        </w:rPr>
        <w:t xml:space="preserve">cyfrowemu </w:t>
      </w:r>
      <w:r w:rsidRPr="009A3C86">
        <w:rPr>
          <w:rFonts w:ascii="Times New Roman" w:hAnsi="Times New Roman"/>
          <w:sz w:val="24"/>
          <w:szCs w:val="24"/>
        </w:rPr>
        <w:t xml:space="preserve">oraz przeciwko uwierzytelnionym wydrukom dokumentów sporządzonych w postaci elektronicznej. Problematykę tę reguluje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49 </w:t>
      </w:r>
      <w:r w:rsidRPr="009A3C86">
        <w:rPr>
          <w:rFonts w:ascii="Times New Roman" w:hAnsi="Times New Roman"/>
          <w:b/>
          <w:sz w:val="24"/>
          <w:szCs w:val="24"/>
        </w:rPr>
        <w:t>§ 4</w:t>
      </w:r>
      <w:r w:rsidRPr="009A3C86">
        <w:rPr>
          <w:rFonts w:ascii="Times New Roman" w:hAnsi="Times New Roman"/>
          <w:sz w:val="24"/>
          <w:szCs w:val="24"/>
        </w:rPr>
        <w:t xml:space="preserve"> projektu.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E9683E" w:rsidRPr="009A3C86">
        <w:rPr>
          <w:rFonts w:ascii="Times New Roman" w:hAnsi="Times New Roman"/>
          <w:b/>
          <w:sz w:val="24"/>
          <w:szCs w:val="24"/>
        </w:rPr>
        <w:t xml:space="preserve">49 </w:t>
      </w:r>
      <w:r w:rsidRPr="009A3C86">
        <w:rPr>
          <w:rFonts w:ascii="Times New Roman" w:hAnsi="Times New Roman"/>
          <w:b/>
          <w:sz w:val="24"/>
          <w:szCs w:val="24"/>
        </w:rPr>
        <w:t>§ 5</w:t>
      </w:r>
      <w:r w:rsidRPr="009A3C86">
        <w:rPr>
          <w:rFonts w:ascii="Times New Roman" w:hAnsi="Times New Roman"/>
          <w:sz w:val="24"/>
          <w:szCs w:val="24"/>
        </w:rPr>
        <w:t xml:space="preserve"> projektu jest zmodyfikowanym odpowiednikiem art. 181a § 3 o.p. Modyfikacja wiąże się z tym, że dotyczy wydruków </w:t>
      </w:r>
      <w:r w:rsidR="00A13856" w:rsidRPr="009A3C86">
        <w:rPr>
          <w:rFonts w:ascii="Times New Roman" w:hAnsi="Times New Roman"/>
          <w:sz w:val="24"/>
          <w:szCs w:val="24"/>
        </w:rPr>
        <w:t>odwzorowania cyfrowego</w:t>
      </w:r>
      <w:r w:rsidRPr="009A3C86">
        <w:rPr>
          <w:rFonts w:ascii="Times New Roman" w:hAnsi="Times New Roman"/>
          <w:sz w:val="24"/>
          <w:szCs w:val="24"/>
        </w:rPr>
        <w:t xml:space="preserve">, a nie - jak stanowi art. 181a § 3 o.p. - wyłącznie podań oraz deklaracji. </w:t>
      </w:r>
    </w:p>
    <w:p w:rsidR="00FA30AA" w:rsidRPr="009A3C86" w:rsidRDefault="00FA30AA"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 xml:space="preserve">Rozdział </w:t>
      </w:r>
      <w:r w:rsidR="00E906DC" w:rsidRPr="009A3C86">
        <w:rPr>
          <w:rFonts w:ascii="Times New Roman" w:hAnsi="Times New Roman"/>
          <w:b/>
          <w:bCs/>
          <w:sz w:val="24"/>
          <w:szCs w:val="24"/>
        </w:rPr>
        <w:t>5</w:t>
      </w:r>
      <w:r w:rsidRPr="009A3C86">
        <w:rPr>
          <w:rFonts w:ascii="Times New Roman" w:hAnsi="Times New Roman"/>
          <w:b/>
          <w:bCs/>
          <w:sz w:val="24"/>
          <w:szCs w:val="24"/>
        </w:rPr>
        <w:t>. Reprezentacja i pełnomocnictwo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1. Proponowane rozwiązania stanowią kompleksowe uregulowanie dotyczące uprawnienia do podejmowania działań zarówno w imieniu własnym, jak i cudzym, w sferze stosunków, do których ma zastosowanie ordynacja podatkowa. Kompleksowa regulacja dotyczy zdolności do działania, reprezentacji oraz pełnomocnictw zarówno w sferze materialnej, jak i proceduralnej.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Regulacja dotycząca zdolności do działania i reprezentacji w sprawach podatkowych zawarta była już w przedwojennej ordynacji podatkowej z 1934 r. W okresie powojennym regulacja tych zagadnień zniknęła z przepisów prawa podatkowego. W rezultacie obecna praktyka – w zakresie zdolności do działań prawnych i reprezentacji – po części opiera się na stosowaniu regulacji ustawy z dnia 23 kwietnia 1964 r. - Kodeks cywilny przez analogię. Obecne unormowanie zawarte w art. 135 o.p. („zdolność prawną i zdolność do czynności prawnych w sprawach podatkowych ocenia się według przepisów prawa cywilnego, jeżeli przepisy prawa podatkowego nie stanowią inaczej”), w związku z tym, że jest zawarte w Dziale IV „Postępowanie podatkowe” nie odnosi się do stosowania prawa materialnego. Materia ta dominuje w większości spraw podatkowych, co uzasadnia zamieszczenie problematyki reprezentacji i pełnomocnictwa w Dziale I „Przepisy ogólne”.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Niezbędne było wyraźne określenie w ordynacji podatkowej zdolności do działania w imieniu własnym osób fizycznych oraz zasad reprezentacji osób prawnych i jednostek organizacyjnych niemających osobowości prawnej.</w:t>
      </w:r>
    </w:p>
    <w:p w:rsidR="00FA30AA" w:rsidRPr="009A3C86" w:rsidRDefault="00FA30AA" w:rsidP="00FA30AA">
      <w:pPr>
        <w:spacing w:after="0" w:line="360" w:lineRule="auto"/>
        <w:ind w:right="20"/>
        <w:jc w:val="both"/>
        <w:rPr>
          <w:rFonts w:ascii="Times New Roman" w:eastAsiaTheme="minorHAnsi" w:hAnsi="Times New Roman"/>
          <w:sz w:val="24"/>
          <w:szCs w:val="24"/>
        </w:rPr>
      </w:pPr>
      <w:r w:rsidRPr="009A3C86">
        <w:rPr>
          <w:rFonts w:ascii="Times New Roman" w:eastAsiaTheme="minorHAnsi" w:hAnsi="Times New Roman"/>
          <w:sz w:val="24"/>
          <w:szCs w:val="24"/>
        </w:rPr>
        <w:lastRenderedPageBreak/>
        <w:t>Zarówno zdolność do działania w sferze podatkowej osób fizycznych, jak i reprezentacja osób prawnych i jednostek organizacyjnych niemających osobowości prawnej została  ukształtowana na wzór odpowiednich regulacji zawartych w kodeksie cywilnym. W szczególności przejęto zasadę, że zdolność do działania we własnym imieniu mają osoby fizyczne mające pełną zdolność do czynności prawnych w rozumieniu prawa cywilnego (</w:t>
      </w:r>
      <w:r w:rsidRPr="009A3C86">
        <w:rPr>
          <w:rFonts w:ascii="Times New Roman" w:eastAsiaTheme="minorHAnsi" w:hAnsi="Times New Roman"/>
          <w:b/>
          <w:sz w:val="24"/>
          <w:szCs w:val="24"/>
        </w:rPr>
        <w:t xml:space="preserve">art. </w:t>
      </w:r>
      <w:r w:rsidR="001D182B" w:rsidRPr="009A3C86">
        <w:rPr>
          <w:rFonts w:ascii="Times New Roman" w:eastAsiaTheme="minorHAnsi" w:hAnsi="Times New Roman"/>
          <w:b/>
          <w:sz w:val="24"/>
          <w:szCs w:val="24"/>
        </w:rPr>
        <w:t xml:space="preserve">50 </w:t>
      </w:r>
      <w:r w:rsidRPr="009A3C86">
        <w:rPr>
          <w:rFonts w:ascii="Times New Roman" w:eastAsiaTheme="minorHAnsi" w:hAnsi="Times New Roman"/>
          <w:b/>
          <w:sz w:val="24"/>
          <w:szCs w:val="24"/>
        </w:rPr>
        <w:t>§ 1</w:t>
      </w:r>
      <w:r w:rsidRPr="009A3C86">
        <w:rPr>
          <w:rFonts w:ascii="Times New Roman" w:eastAsiaTheme="minorHAnsi" w:hAnsi="Times New Roman"/>
          <w:sz w:val="24"/>
          <w:szCs w:val="24"/>
        </w:rPr>
        <w:t xml:space="preserve">). Osoby fizyczne niemające pełnej zdolności do czynności prawnych natomiast mogą działać tylko poprzez swoich przedstawicieli </w:t>
      </w:r>
      <w:r w:rsidR="00F14E43" w:rsidRPr="009A3C86">
        <w:rPr>
          <w:rFonts w:ascii="Times New Roman" w:eastAsiaTheme="minorHAnsi" w:hAnsi="Times New Roman"/>
          <w:sz w:val="24"/>
          <w:szCs w:val="24"/>
        </w:rPr>
        <w:t>ustanowionych na podstawie przepisów</w:t>
      </w:r>
      <w:r w:rsidRPr="009A3C86">
        <w:rPr>
          <w:rFonts w:ascii="Times New Roman" w:eastAsiaTheme="minorHAnsi" w:hAnsi="Times New Roman"/>
          <w:sz w:val="24"/>
          <w:szCs w:val="24"/>
        </w:rPr>
        <w:t xml:space="preserve"> </w:t>
      </w:r>
      <w:r w:rsidR="0040408B" w:rsidRPr="009A3C86">
        <w:rPr>
          <w:rFonts w:ascii="Times New Roman" w:eastAsiaTheme="minorHAnsi" w:hAnsi="Times New Roman"/>
          <w:sz w:val="24"/>
          <w:szCs w:val="24"/>
        </w:rPr>
        <w:t xml:space="preserve">prawa </w:t>
      </w:r>
      <w:r w:rsidRPr="009A3C86">
        <w:rPr>
          <w:rFonts w:ascii="Times New Roman" w:eastAsiaTheme="minorHAnsi" w:hAnsi="Times New Roman"/>
          <w:sz w:val="24"/>
          <w:szCs w:val="24"/>
        </w:rPr>
        <w:t>cywilnego (</w:t>
      </w:r>
      <w:r w:rsidRPr="009A3C86">
        <w:rPr>
          <w:rFonts w:ascii="Times New Roman" w:eastAsiaTheme="minorHAnsi" w:hAnsi="Times New Roman"/>
          <w:b/>
          <w:sz w:val="24"/>
          <w:szCs w:val="24"/>
        </w:rPr>
        <w:t xml:space="preserve">art. </w:t>
      </w:r>
      <w:r w:rsidR="001D182B" w:rsidRPr="009A3C86">
        <w:rPr>
          <w:rFonts w:ascii="Times New Roman" w:eastAsiaTheme="minorHAnsi" w:hAnsi="Times New Roman"/>
          <w:b/>
          <w:sz w:val="24"/>
          <w:szCs w:val="24"/>
        </w:rPr>
        <w:t xml:space="preserve">50 </w:t>
      </w:r>
      <w:r w:rsidRPr="009A3C86">
        <w:rPr>
          <w:rFonts w:ascii="Times New Roman" w:eastAsiaTheme="minorHAnsi" w:hAnsi="Times New Roman"/>
          <w:b/>
          <w:sz w:val="24"/>
          <w:szCs w:val="24"/>
        </w:rPr>
        <w:t>§ 2</w:t>
      </w:r>
      <w:r w:rsidRPr="009A3C86">
        <w:rPr>
          <w:rFonts w:ascii="Times New Roman" w:eastAsiaTheme="minorHAnsi" w:hAnsi="Times New Roman"/>
          <w:sz w:val="24"/>
          <w:szCs w:val="24"/>
        </w:rPr>
        <w:t>).</w:t>
      </w:r>
    </w:p>
    <w:p w:rsidR="00FA30AA" w:rsidRPr="009A3C86" w:rsidRDefault="00FA30AA" w:rsidP="00FA30AA">
      <w:pPr>
        <w:spacing w:after="0" w:line="360" w:lineRule="auto"/>
        <w:ind w:right="20"/>
        <w:jc w:val="both"/>
        <w:rPr>
          <w:rFonts w:ascii="Times New Roman" w:eastAsiaTheme="minorHAnsi" w:hAnsi="Times New Roman"/>
          <w:sz w:val="24"/>
          <w:szCs w:val="24"/>
        </w:rPr>
      </w:pPr>
      <w:r w:rsidRPr="009A3C86">
        <w:rPr>
          <w:rFonts w:ascii="Times New Roman" w:eastAsiaTheme="minorHAnsi" w:hAnsi="Times New Roman"/>
          <w:sz w:val="24"/>
          <w:szCs w:val="24"/>
        </w:rPr>
        <w:t>W zakresie reprezentacji osób prawnych przyjęto zasadę, analogicznie jak w art. 38 k.c., zgodnie z którym osoba prawna działa przez swoje organy w sposób przewidziany w ustawie i w opartych na niej statucie lub umowie (</w:t>
      </w:r>
      <w:r w:rsidRPr="009A3C86">
        <w:rPr>
          <w:rFonts w:ascii="Times New Roman" w:eastAsiaTheme="minorHAnsi" w:hAnsi="Times New Roman"/>
          <w:b/>
          <w:sz w:val="24"/>
          <w:szCs w:val="24"/>
        </w:rPr>
        <w:t xml:space="preserve">art. </w:t>
      </w:r>
      <w:r w:rsidR="001D182B" w:rsidRPr="009A3C86">
        <w:rPr>
          <w:rFonts w:ascii="Times New Roman" w:eastAsiaTheme="minorHAnsi" w:hAnsi="Times New Roman"/>
          <w:b/>
          <w:sz w:val="24"/>
          <w:szCs w:val="24"/>
        </w:rPr>
        <w:t>51</w:t>
      </w:r>
      <w:r w:rsidRPr="009A3C86">
        <w:rPr>
          <w:rFonts w:ascii="Times New Roman" w:eastAsiaTheme="minorHAnsi" w:hAnsi="Times New Roman"/>
          <w:sz w:val="24"/>
          <w:szCs w:val="24"/>
        </w:rPr>
        <w:t>).</w:t>
      </w:r>
    </w:p>
    <w:p w:rsidR="00FA30AA" w:rsidRPr="009A3C86" w:rsidRDefault="00FA30AA" w:rsidP="00FA30AA">
      <w:pPr>
        <w:spacing w:after="120" w:line="360" w:lineRule="auto"/>
        <w:ind w:right="1"/>
        <w:jc w:val="both"/>
        <w:rPr>
          <w:rFonts w:ascii="Times New Roman" w:hAnsi="Times New Roman"/>
          <w:spacing w:val="4"/>
          <w:sz w:val="24"/>
          <w:szCs w:val="24"/>
        </w:rPr>
      </w:pPr>
      <w:r w:rsidRPr="009A3C86">
        <w:rPr>
          <w:rFonts w:ascii="Times New Roman" w:hAnsi="Times New Roman"/>
          <w:spacing w:val="4"/>
          <w:sz w:val="24"/>
          <w:szCs w:val="24"/>
        </w:rPr>
        <w:t xml:space="preserve">Obecna  regulacja zawarta w art. 7a Ordynacji podatkowej została zamieszczona w </w:t>
      </w:r>
      <w:r w:rsidRPr="009A3C86">
        <w:rPr>
          <w:rFonts w:ascii="Times New Roman" w:hAnsi="Times New Roman"/>
          <w:b/>
          <w:spacing w:val="4"/>
          <w:sz w:val="24"/>
          <w:szCs w:val="24"/>
        </w:rPr>
        <w:t xml:space="preserve">art. </w:t>
      </w:r>
      <w:r w:rsidR="001D182B" w:rsidRPr="009A3C86">
        <w:rPr>
          <w:rFonts w:ascii="Times New Roman" w:hAnsi="Times New Roman"/>
          <w:b/>
          <w:spacing w:val="4"/>
          <w:sz w:val="24"/>
          <w:szCs w:val="24"/>
        </w:rPr>
        <w:t>53</w:t>
      </w:r>
      <w:r w:rsidR="001D182B" w:rsidRPr="009A3C86">
        <w:rPr>
          <w:rFonts w:ascii="Times New Roman" w:hAnsi="Times New Roman"/>
          <w:spacing w:val="4"/>
          <w:sz w:val="24"/>
          <w:szCs w:val="24"/>
        </w:rPr>
        <w:t xml:space="preserve"> </w:t>
      </w:r>
      <w:r w:rsidRPr="009A3C86">
        <w:rPr>
          <w:rFonts w:ascii="Times New Roman" w:hAnsi="Times New Roman"/>
          <w:spacing w:val="4"/>
          <w:sz w:val="24"/>
          <w:szCs w:val="24"/>
        </w:rPr>
        <w:t xml:space="preserve">projektu. Umiejscowienie tych przepisów w przepisach dotyczących </w:t>
      </w:r>
      <w:r w:rsidR="00C92E6B" w:rsidRPr="009A3C86">
        <w:rPr>
          <w:rFonts w:ascii="Times New Roman" w:hAnsi="Times New Roman"/>
          <w:spacing w:val="4"/>
          <w:sz w:val="24"/>
          <w:szCs w:val="24"/>
        </w:rPr>
        <w:t>reprezentacji</w:t>
      </w:r>
      <w:r w:rsidRPr="009A3C86">
        <w:rPr>
          <w:rFonts w:ascii="Times New Roman" w:hAnsi="Times New Roman"/>
          <w:spacing w:val="4"/>
          <w:sz w:val="24"/>
          <w:szCs w:val="24"/>
        </w:rPr>
        <w:t xml:space="preserve">, spowodowane jest zakresem regulacji tych norm, które odnoszą się do osób reprezentujących szczególnego podatnika (płatnika) jakim jest przedsiębiorstwo w spadku.     </w:t>
      </w:r>
    </w:p>
    <w:p w:rsidR="00FA30AA" w:rsidRPr="009A3C86" w:rsidRDefault="00FA30AA" w:rsidP="00FA30AA">
      <w:pPr>
        <w:spacing w:after="0" w:line="360" w:lineRule="auto"/>
        <w:ind w:right="20"/>
        <w:jc w:val="both"/>
        <w:rPr>
          <w:rFonts w:ascii="Times New Roman" w:eastAsiaTheme="minorHAnsi" w:hAnsi="Times New Roman"/>
          <w:sz w:val="24"/>
          <w:szCs w:val="24"/>
        </w:rPr>
      </w:pPr>
      <w:r w:rsidRPr="009A3C86">
        <w:rPr>
          <w:rFonts w:ascii="Times New Roman" w:eastAsiaTheme="minorHAnsi" w:hAnsi="Times New Roman"/>
          <w:sz w:val="24"/>
          <w:szCs w:val="24"/>
        </w:rPr>
        <w:t>Regulacje dotyczące reprezentacji i pełnomocnictw zostały pogrupowane w oddziałach zawierających normy wspólne dla wszystkich instytucji (przepisy ogólne) oraz przepisy szczególne dotyczące poszczególnych rodzajów pełnomocnictw (pełnomocnictwo ogóle, szczególne, do doręczeń w kraju oraz szczególne tymczasowe).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2. Regulacje dotyczące pełnomocnictwa bazują na dotychczasowych rozwiązaniach, które sprawdziły się w praktyce ich stosowania. Zasadnicza różnica w porównaniu do stanu obecnego to możliwość działania zobowiązanego za pośrednictwem pełnomocnika także w sytuacji, gdy nie toczy się żadne postępowanie podatkowe. Tylko w wyraźnie przewidzianych przypadkach (por. art. </w:t>
      </w:r>
      <w:r w:rsidR="00E906DC" w:rsidRPr="009A3C86">
        <w:rPr>
          <w:rFonts w:ascii="Times New Roman" w:hAnsi="Times New Roman"/>
          <w:sz w:val="24"/>
          <w:szCs w:val="24"/>
        </w:rPr>
        <w:t>65</w:t>
      </w:r>
      <w:r w:rsidRPr="009A3C86">
        <w:rPr>
          <w:rFonts w:ascii="Times New Roman" w:hAnsi="Times New Roman"/>
          <w:sz w:val="24"/>
          <w:szCs w:val="24"/>
        </w:rPr>
        <w:t xml:space="preserve">) przepisy odwołują się do pojęcia „strony postępowania”, co oznacza, że regulacja ta dotyczy tylko sytuacji, w której toczy się postępowanie podatkowe.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Proponuje się (w </w:t>
      </w:r>
      <w:r w:rsidRPr="009A3C86">
        <w:rPr>
          <w:rFonts w:ascii="Times New Roman" w:hAnsi="Times New Roman"/>
          <w:b/>
          <w:sz w:val="24"/>
          <w:szCs w:val="24"/>
        </w:rPr>
        <w:t xml:space="preserve">art. </w:t>
      </w:r>
      <w:r w:rsidR="001D182B" w:rsidRPr="009A3C86">
        <w:rPr>
          <w:rFonts w:ascii="Times New Roman" w:hAnsi="Times New Roman"/>
          <w:b/>
          <w:sz w:val="24"/>
          <w:szCs w:val="24"/>
        </w:rPr>
        <w:t xml:space="preserve">54 </w:t>
      </w:r>
      <w:r w:rsidRPr="009A3C86">
        <w:rPr>
          <w:rFonts w:ascii="Times New Roman" w:hAnsi="Times New Roman"/>
          <w:b/>
          <w:sz w:val="24"/>
          <w:szCs w:val="24"/>
        </w:rPr>
        <w:t>§ 2</w:t>
      </w:r>
      <w:r w:rsidRPr="009A3C86">
        <w:rPr>
          <w:rFonts w:ascii="Times New Roman" w:hAnsi="Times New Roman"/>
          <w:sz w:val="24"/>
          <w:szCs w:val="24"/>
        </w:rPr>
        <w:t xml:space="preserve">) wyodrębnienie pięciu kategorii pełnomocnictw: ogólnego, szczególnego, do doręczeń w kraju, szczególnego tymczasowego oraz podpisywania deklaracji, przy czym przepisy tego rozdziału regulują cztery pierwsze rodzaje pełnomocnictw. Natomiast regulacja dotycząca pełnomocnictwa do podpisywania deklaracji została umiejscowiona w rozdziale 2 działu II (w art. </w:t>
      </w:r>
      <w:r w:rsidR="00696E06" w:rsidRPr="009A3C86">
        <w:rPr>
          <w:rFonts w:ascii="Times New Roman" w:hAnsi="Times New Roman"/>
          <w:sz w:val="24"/>
          <w:szCs w:val="24"/>
        </w:rPr>
        <w:t>13</w:t>
      </w:r>
      <w:r w:rsidR="00D41485" w:rsidRPr="009A3C86">
        <w:rPr>
          <w:rFonts w:ascii="Times New Roman" w:hAnsi="Times New Roman"/>
          <w:sz w:val="24"/>
          <w:szCs w:val="24"/>
        </w:rPr>
        <w:t>4</w:t>
      </w:r>
      <w:r w:rsidR="00696E06" w:rsidRPr="009A3C86">
        <w:rPr>
          <w:rFonts w:ascii="Times New Roman" w:hAnsi="Times New Roman"/>
          <w:sz w:val="24"/>
          <w:szCs w:val="24"/>
        </w:rPr>
        <w:t xml:space="preserve"> </w:t>
      </w:r>
      <w:r w:rsidRPr="009A3C86">
        <w:rPr>
          <w:rFonts w:ascii="Times New Roman" w:hAnsi="Times New Roman"/>
          <w:sz w:val="24"/>
          <w:szCs w:val="24"/>
        </w:rPr>
        <w:t xml:space="preserve">i art. </w:t>
      </w:r>
      <w:r w:rsidR="001C089B" w:rsidRPr="009A3C86">
        <w:rPr>
          <w:rFonts w:ascii="Times New Roman" w:hAnsi="Times New Roman"/>
          <w:sz w:val="24"/>
          <w:szCs w:val="24"/>
        </w:rPr>
        <w:t>13</w:t>
      </w:r>
      <w:r w:rsidR="00D41485" w:rsidRPr="009A3C86">
        <w:rPr>
          <w:rFonts w:ascii="Times New Roman" w:hAnsi="Times New Roman"/>
          <w:sz w:val="24"/>
          <w:szCs w:val="24"/>
        </w:rPr>
        <w:t>5</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Przepisy precyzują szczegółowe dane, jakie powinny być zawarte w treści pełnomocnictwa mające na celu zidentyfikowanie mocodawcy i pełnomocnika (</w:t>
      </w:r>
      <w:r w:rsidRPr="009A3C86">
        <w:rPr>
          <w:rFonts w:ascii="Times New Roman" w:hAnsi="Times New Roman"/>
          <w:b/>
          <w:sz w:val="24"/>
          <w:szCs w:val="24"/>
        </w:rPr>
        <w:t xml:space="preserve">art. </w:t>
      </w:r>
      <w:r w:rsidR="0095395B" w:rsidRPr="009A3C86">
        <w:rPr>
          <w:rFonts w:ascii="Times New Roman" w:hAnsi="Times New Roman"/>
          <w:b/>
          <w:sz w:val="24"/>
          <w:szCs w:val="24"/>
        </w:rPr>
        <w:t>5</w:t>
      </w:r>
      <w:r w:rsidR="00F70EA1" w:rsidRPr="009A3C86">
        <w:rPr>
          <w:rFonts w:ascii="Times New Roman" w:hAnsi="Times New Roman"/>
          <w:b/>
          <w:sz w:val="24"/>
          <w:szCs w:val="24"/>
        </w:rPr>
        <w:t>6</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Jeżeli pełnomocnictwa udziela osoba, która nie może się podpisać, pełnomocnictwo zgłasza się ustnie do protokołu albo pełnomocnictwo podpisuje za taką osobę osoba przez nią upoważniona, z </w:t>
      </w:r>
      <w:r w:rsidR="00CB230F" w:rsidRPr="009A3C86">
        <w:rPr>
          <w:rFonts w:ascii="Times New Roman" w:hAnsi="Times New Roman"/>
          <w:sz w:val="24"/>
          <w:szCs w:val="24"/>
        </w:rPr>
        <w:t>podaniem</w:t>
      </w:r>
      <w:r w:rsidRPr="009A3C86">
        <w:rPr>
          <w:rFonts w:ascii="Times New Roman" w:hAnsi="Times New Roman"/>
          <w:sz w:val="24"/>
          <w:szCs w:val="24"/>
        </w:rPr>
        <w:t xml:space="preserve"> przyczyn, dla których ta osoba sama się nie podpisała (</w:t>
      </w:r>
      <w:r w:rsidRPr="009A3C86">
        <w:rPr>
          <w:rFonts w:ascii="Times New Roman" w:hAnsi="Times New Roman"/>
          <w:b/>
          <w:sz w:val="24"/>
          <w:szCs w:val="24"/>
        </w:rPr>
        <w:t xml:space="preserve">art. </w:t>
      </w:r>
      <w:r w:rsidR="0095395B" w:rsidRPr="009A3C86">
        <w:rPr>
          <w:rFonts w:ascii="Times New Roman" w:hAnsi="Times New Roman"/>
          <w:b/>
          <w:sz w:val="24"/>
          <w:szCs w:val="24"/>
        </w:rPr>
        <w:t>5</w:t>
      </w:r>
      <w:r w:rsidR="00F70EA1" w:rsidRPr="009A3C86">
        <w:rPr>
          <w:rFonts w:ascii="Times New Roman" w:hAnsi="Times New Roman"/>
          <w:b/>
          <w:sz w:val="24"/>
          <w:szCs w:val="24"/>
        </w:rPr>
        <w:t>6</w:t>
      </w:r>
      <w:r w:rsidR="0095395B" w:rsidRPr="009A3C86">
        <w:rPr>
          <w:rFonts w:ascii="Times New Roman" w:hAnsi="Times New Roman"/>
          <w:b/>
          <w:sz w:val="24"/>
          <w:szCs w:val="24"/>
        </w:rPr>
        <w:t xml:space="preserve"> </w:t>
      </w:r>
      <w:r w:rsidRPr="009A3C86">
        <w:rPr>
          <w:rFonts w:ascii="Times New Roman" w:hAnsi="Times New Roman"/>
          <w:b/>
          <w:sz w:val="24"/>
          <w:szCs w:val="24"/>
        </w:rPr>
        <w:t>§ 3</w:t>
      </w:r>
      <w:r w:rsidRPr="009A3C86">
        <w:rPr>
          <w:rFonts w:ascii="Times New Roman" w:hAnsi="Times New Roman"/>
          <w:sz w:val="24"/>
          <w:szCs w:val="24"/>
        </w:rPr>
        <w:t xml:space="preserve">). W porównaniu ze stanem obecnym zmiany w tej regulacji polegają na: wprowadzeniu obowiązku </w:t>
      </w:r>
      <w:r w:rsidR="006507F2" w:rsidRPr="009A3C86">
        <w:rPr>
          <w:rFonts w:ascii="Times New Roman" w:hAnsi="Times New Roman"/>
          <w:sz w:val="24"/>
          <w:szCs w:val="24"/>
        </w:rPr>
        <w:t xml:space="preserve">podania </w:t>
      </w:r>
      <w:r w:rsidRPr="009A3C86">
        <w:rPr>
          <w:rFonts w:ascii="Times New Roman" w:hAnsi="Times New Roman"/>
          <w:sz w:val="24"/>
          <w:szCs w:val="24"/>
        </w:rPr>
        <w:t>w treści pełnomocnictwa przyczyn, dla których osoba udzielająca pełnomocnictwa nie może się podpisać oraz rozszerzenia przypadków, w których osoba niemogąca się podpisać może upoważnić do podpisania pełnomocnictwa inną osobę. Obecne regulacje odnoszą się do instytucji „opieki”, która jest ustanawiana dla osób małoletnich lub dla osób pełnoletnich całkowicie ubezwłasnowolnionych. Nie obejmują one tym samym wielu życiowych przypadków, w których osoba udzielająca pełnomocnictwa nie może się podpisać. Wzorem dla tego nowego rozwiązania jest art. 90 kodeksu postępowania cywilnego. Proponuje się, aby tak jak w aktualnym stanie prawnym, adwokat, radca prawny oraz doradca podatkowy mogli sami uwierzytelnić odpis udzielonego im pełnomocnictwa oraz odpisy innych dokumentów wykazujących ich umocowanie (</w:t>
      </w:r>
      <w:r w:rsidRPr="009A3C86">
        <w:rPr>
          <w:rFonts w:ascii="Times New Roman" w:hAnsi="Times New Roman"/>
          <w:b/>
          <w:sz w:val="24"/>
          <w:szCs w:val="24"/>
        </w:rPr>
        <w:t xml:space="preserve">art. </w:t>
      </w:r>
      <w:r w:rsidR="0095395B" w:rsidRPr="009A3C86">
        <w:rPr>
          <w:rFonts w:ascii="Times New Roman" w:hAnsi="Times New Roman"/>
          <w:b/>
          <w:sz w:val="24"/>
          <w:szCs w:val="24"/>
        </w:rPr>
        <w:t xml:space="preserve">54 </w:t>
      </w:r>
      <w:r w:rsidRPr="009A3C86">
        <w:rPr>
          <w:rFonts w:ascii="Times New Roman" w:hAnsi="Times New Roman"/>
          <w:b/>
          <w:sz w:val="24"/>
          <w:szCs w:val="24"/>
        </w:rPr>
        <w:t>§ 4</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Obowiązek wskazania adresu elektronicznego przez pełnomocnika szczególnego został wzmocniony sankcją, polegającą na potraktowaniu niepodania adresu elektronicznego lub podania błędnego adresu elektronicznego, tak jak braków w zakresie pism kierowanych do organów podatkowych</w:t>
      </w:r>
      <w:r w:rsidR="00AA1E92" w:rsidRPr="009A3C86">
        <w:rPr>
          <w:rFonts w:ascii="Times New Roman" w:hAnsi="Times New Roman"/>
          <w:sz w:val="24"/>
          <w:szCs w:val="24"/>
        </w:rPr>
        <w:t xml:space="preserve"> </w:t>
      </w:r>
      <w:r w:rsidRPr="009A3C86">
        <w:rPr>
          <w:rFonts w:ascii="Times New Roman" w:hAnsi="Times New Roman"/>
          <w:sz w:val="24"/>
          <w:szCs w:val="24"/>
        </w:rPr>
        <w:t xml:space="preserve">(art. </w:t>
      </w:r>
      <w:r w:rsidR="0095395B" w:rsidRPr="009A3C86">
        <w:rPr>
          <w:rFonts w:ascii="Times New Roman" w:hAnsi="Times New Roman"/>
          <w:b/>
          <w:sz w:val="24"/>
          <w:szCs w:val="24"/>
        </w:rPr>
        <w:t xml:space="preserve">56 </w:t>
      </w:r>
      <w:r w:rsidRPr="009A3C86">
        <w:rPr>
          <w:rFonts w:ascii="Times New Roman" w:hAnsi="Times New Roman"/>
          <w:b/>
          <w:sz w:val="24"/>
          <w:szCs w:val="24"/>
        </w:rPr>
        <w:t>§ 4</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 projekcie zaproponowano także regulację dotyczącą wszystkich pełnomocników, którzy  są nierezydentami</w:t>
      </w:r>
      <w:r w:rsidR="00AA1E92" w:rsidRPr="009A3C86">
        <w:rPr>
          <w:rFonts w:ascii="Times New Roman" w:hAnsi="Times New Roman"/>
          <w:sz w:val="24"/>
          <w:szCs w:val="24"/>
        </w:rPr>
        <w:t xml:space="preserve"> </w:t>
      </w:r>
      <w:r w:rsidRPr="009A3C86">
        <w:rPr>
          <w:rFonts w:ascii="Times New Roman" w:hAnsi="Times New Roman"/>
          <w:sz w:val="24"/>
          <w:szCs w:val="24"/>
        </w:rPr>
        <w:t>(</w:t>
      </w:r>
      <w:r w:rsidRPr="009A3C86">
        <w:rPr>
          <w:rFonts w:ascii="Times New Roman" w:hAnsi="Times New Roman"/>
          <w:b/>
          <w:sz w:val="24"/>
          <w:szCs w:val="24"/>
        </w:rPr>
        <w:t xml:space="preserve">art. </w:t>
      </w:r>
      <w:r w:rsidR="00F82B97" w:rsidRPr="009A3C86">
        <w:rPr>
          <w:rFonts w:ascii="Times New Roman" w:hAnsi="Times New Roman"/>
          <w:b/>
          <w:sz w:val="24"/>
          <w:szCs w:val="24"/>
        </w:rPr>
        <w:t xml:space="preserve">56 </w:t>
      </w:r>
      <w:r w:rsidRPr="009A3C86">
        <w:rPr>
          <w:rFonts w:ascii="Times New Roman" w:hAnsi="Times New Roman"/>
          <w:b/>
          <w:sz w:val="24"/>
          <w:szCs w:val="24"/>
        </w:rPr>
        <w:t>§ 2</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Ponadto zobowiązany, ustanawiając więcej niż jednego pełnomocnika o tym samym zakresie działania lub ustanawiając pełnomocnika ogólnego oraz szczególnego w tej samej sprawie, będzie miał obowiązek wyznaczyć jednego z nich jako pełnomocnika do doręczeń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57 </w:t>
      </w:r>
      <w:r w:rsidRPr="009A3C86">
        <w:rPr>
          <w:rFonts w:ascii="Times New Roman" w:hAnsi="Times New Roman"/>
          <w:b/>
          <w:sz w:val="24"/>
          <w:szCs w:val="24"/>
        </w:rPr>
        <w:t>§ 1</w:t>
      </w:r>
      <w:r w:rsidRPr="009A3C86">
        <w:rPr>
          <w:rFonts w:ascii="Times New Roman" w:hAnsi="Times New Roman"/>
          <w:sz w:val="24"/>
          <w:szCs w:val="24"/>
        </w:rPr>
        <w:t>). Pełnomocnik profesjonalny, który wypowiedział pełnomocnictwo, będzie zobowiązany działać w sprawie przez dwa tygodnie, chyba że mocodawca zwolni go z tego obowiązku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57 </w:t>
      </w:r>
      <w:r w:rsidRPr="009A3C86">
        <w:rPr>
          <w:rFonts w:ascii="Times New Roman" w:hAnsi="Times New Roman"/>
          <w:b/>
          <w:sz w:val="24"/>
          <w:szCs w:val="24"/>
        </w:rPr>
        <w:t>§ 2</w:t>
      </w:r>
      <w:r w:rsidRPr="009A3C86">
        <w:rPr>
          <w:rFonts w:ascii="Times New Roman" w:hAnsi="Times New Roman"/>
          <w:sz w:val="24"/>
          <w:szCs w:val="24"/>
        </w:rPr>
        <w:t>). Obowiązek działania przez dwa tygodnie będzie nieaktualny w przypadku, gdy w sprawie są ustanowieni inni pełnomocnicy, którzy zapewnią reprezentację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57 </w:t>
      </w:r>
      <w:r w:rsidRPr="009A3C86">
        <w:rPr>
          <w:rFonts w:ascii="Times New Roman" w:hAnsi="Times New Roman"/>
          <w:b/>
          <w:sz w:val="24"/>
          <w:szCs w:val="24"/>
        </w:rPr>
        <w:t>§ 3</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3. Mając na względzie upowszechniającą się tendencję powierzania przez zobowiązanych maksymalnie szerokiego zakresu ich reprezentacji w sprawach podatkowych innym osobom, włączając w to wszystkie typy procedur podatkowych, zasadne jest utrzymanie w ustawie instytucji pełnomocnictwa ogólnego, otwartej dla wszystkich zobowiązanych. Przewiduje się, że pełnomocnictwa ogólne będą składane co do zasady w postaci elektronicznej według wzoru określonego w przepisach wydanych na podstawie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59 </w:t>
      </w:r>
      <w:r w:rsidRPr="009A3C86">
        <w:rPr>
          <w:rFonts w:ascii="Times New Roman" w:hAnsi="Times New Roman"/>
          <w:b/>
          <w:sz w:val="24"/>
          <w:szCs w:val="24"/>
        </w:rPr>
        <w:t>§ 1 pkt 1</w:t>
      </w:r>
      <w:r w:rsidRPr="009A3C86">
        <w:rPr>
          <w:rFonts w:ascii="Times New Roman" w:hAnsi="Times New Roman"/>
          <w:sz w:val="24"/>
          <w:szCs w:val="24"/>
        </w:rPr>
        <w:t xml:space="preserve">. Sposób przesyłania pełnomocnictwa ogólnego w postaci elektronicznej, uwzględniając potrzebę zapewnienia </w:t>
      </w:r>
      <w:r w:rsidRPr="009A3C86">
        <w:rPr>
          <w:rFonts w:ascii="Times New Roman" w:hAnsi="Times New Roman"/>
          <w:sz w:val="24"/>
          <w:szCs w:val="24"/>
        </w:rPr>
        <w:lastRenderedPageBreak/>
        <w:t>bezpieczeństwa, wiarygodności i niezaprzeczalności danych zawartych w pełnomocnictwach oraz potrzebę ich ochrony przed nieuprawnionym dostępem, zostanie określony w drodze rozporządzenia Ministra Finansów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59 </w:t>
      </w:r>
      <w:r w:rsidRPr="009A3C86">
        <w:rPr>
          <w:rFonts w:ascii="Times New Roman" w:hAnsi="Times New Roman"/>
          <w:b/>
          <w:sz w:val="24"/>
          <w:szCs w:val="24"/>
        </w:rPr>
        <w:t>§ 2</w:t>
      </w:r>
      <w:r w:rsidRPr="009A3C86">
        <w:rPr>
          <w:rFonts w:ascii="Times New Roman" w:hAnsi="Times New Roman"/>
          <w:sz w:val="24"/>
          <w:szCs w:val="24"/>
        </w:rPr>
        <w:t>). Zakres działania pełnomocnika ogólnego będzie obejmował wszystkie sprawy podatkowe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61 </w:t>
      </w:r>
      <w:r w:rsidRPr="009A3C86">
        <w:rPr>
          <w:rFonts w:ascii="Times New Roman" w:hAnsi="Times New Roman"/>
          <w:b/>
          <w:sz w:val="24"/>
          <w:szCs w:val="24"/>
        </w:rPr>
        <w:t>§ 1</w:t>
      </w:r>
      <w:r w:rsidRPr="009A3C86">
        <w:rPr>
          <w:rFonts w:ascii="Times New Roman" w:hAnsi="Times New Roman"/>
          <w:sz w:val="24"/>
          <w:szCs w:val="24"/>
        </w:rPr>
        <w:t xml:space="preserve">). Z danych dostępnych na koniec </w:t>
      </w:r>
      <w:r w:rsidR="003B6206" w:rsidRPr="009A3C86">
        <w:rPr>
          <w:rFonts w:ascii="Times New Roman" w:hAnsi="Times New Roman"/>
          <w:sz w:val="24"/>
          <w:szCs w:val="24"/>
        </w:rPr>
        <w:t xml:space="preserve">21 listopada 2018 </w:t>
      </w:r>
      <w:r w:rsidRPr="009A3C86">
        <w:rPr>
          <w:rFonts w:ascii="Times New Roman" w:hAnsi="Times New Roman"/>
          <w:sz w:val="24"/>
          <w:szCs w:val="24"/>
        </w:rPr>
        <w:t xml:space="preserve">r. wynika, że pełnomocnictwo ogólne zostało zaakceptowane w praktyce (około </w:t>
      </w:r>
      <w:r w:rsidR="00A764C8" w:rsidRPr="009A3C86">
        <w:rPr>
          <w:rFonts w:ascii="Times New Roman" w:hAnsi="Times New Roman"/>
          <w:sz w:val="24"/>
          <w:szCs w:val="24"/>
        </w:rPr>
        <w:t>96 </w:t>
      </w:r>
      <w:r w:rsidRPr="009A3C86">
        <w:rPr>
          <w:rFonts w:ascii="Times New Roman" w:hAnsi="Times New Roman"/>
          <w:sz w:val="24"/>
          <w:szCs w:val="24"/>
        </w:rPr>
        <w:t>000 pełnomocni</w:t>
      </w:r>
      <w:r w:rsidR="00AD6660" w:rsidRPr="009A3C86">
        <w:rPr>
          <w:rFonts w:ascii="Times New Roman" w:hAnsi="Times New Roman"/>
          <w:sz w:val="24"/>
          <w:szCs w:val="24"/>
        </w:rPr>
        <w:t>ctw</w:t>
      </w:r>
      <w:r w:rsidRPr="009A3C86">
        <w:rPr>
          <w:rFonts w:ascii="Times New Roman" w:hAnsi="Times New Roman"/>
          <w:sz w:val="24"/>
          <w:szCs w:val="24"/>
        </w:rPr>
        <w:t xml:space="preserve"> ogólnych). Tym samym Komisja nie widziała potrzeby wprowadzania zmian do instytucji pełnomocnika ogólnego polegających na możliwości ustanowienia pełnomocnika ogólnego upoważnionego do reprezentowania w sprawie konkretnego podatku, np. podatku akcyzowego lub podatku od nieruchomości.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Pełnomocnik ogólny może być ustanowiony w momencie, gdy nie toczy się żadna procedura podatkowa, albo też w toku tej procedury. W celu zapewnienia efektywnego sposobu kontaktu z pełnomocnikiem ogólnym na pełnomocnika tego został nałożony obowiązek zawiadomienia o każdej zmianie adresu, pod którym dokonuje się doręczeń, lub adresu elektronicznego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62 </w:t>
      </w:r>
      <w:r w:rsidRPr="009A3C86">
        <w:rPr>
          <w:rFonts w:ascii="Times New Roman" w:hAnsi="Times New Roman"/>
          <w:b/>
          <w:sz w:val="24"/>
          <w:szCs w:val="24"/>
        </w:rPr>
        <w:t>§ 2</w:t>
      </w:r>
      <w:r w:rsidRPr="009A3C86">
        <w:rPr>
          <w:rFonts w:ascii="Times New Roman" w:hAnsi="Times New Roman"/>
          <w:sz w:val="24"/>
          <w:szCs w:val="24"/>
        </w:rPr>
        <w:t>). W przypadku niedopełnienia obowiązku poinformowania przez pełnomocnika ogólnego o zmianie adresu, doręczenie będzie skuteczne pod adresem wskazanym w treści pełnomocnictwa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62 </w:t>
      </w:r>
      <w:r w:rsidRPr="009A3C86">
        <w:rPr>
          <w:rFonts w:ascii="Times New Roman" w:hAnsi="Times New Roman"/>
          <w:b/>
          <w:sz w:val="24"/>
          <w:szCs w:val="24"/>
        </w:rPr>
        <w:t>§ 3</w:t>
      </w:r>
      <w:r w:rsidRPr="009A3C86">
        <w:rPr>
          <w:rFonts w:ascii="Times New Roman" w:hAnsi="Times New Roman"/>
          <w:sz w:val="24"/>
          <w:szCs w:val="24"/>
        </w:rPr>
        <w:t>). Odpowiednie stosowanie przepisów postępowania podatkowego dotyczących doręczeń pism, skutkuje domniemaniem doręczenia z upływem 14 dni od dnia przesłania pierwszego zawiadomienia. Ustanowienie, zmiana zakresu, odwołanie lub wypowiedzenie pełnomocnictwa ogólnego będzie wywierało skutek od dnia wpływu pełnomocnictwa do Centralnego Rejestru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62 </w:t>
      </w:r>
      <w:r w:rsidRPr="009A3C86">
        <w:rPr>
          <w:rFonts w:ascii="Times New Roman" w:hAnsi="Times New Roman"/>
          <w:b/>
          <w:sz w:val="24"/>
          <w:szCs w:val="24"/>
        </w:rPr>
        <w:t>§ 1</w:t>
      </w:r>
      <w:r w:rsidRPr="009A3C86">
        <w:rPr>
          <w:rFonts w:ascii="Times New Roman" w:hAnsi="Times New Roman"/>
          <w:sz w:val="24"/>
          <w:szCs w:val="24"/>
        </w:rPr>
        <w:t>). W celu ułatwienia korzystania z instytucji pełnomocnictwa i efektywnego korzystania z bazy danych przez organy podatkowe wzór pełnomocnictwa ogólnego, zawiadomienia o jego zmianie, odwołaniu lub wypowiedzeniu zostaną określone w drodze rozporządzenia Ministra Finansów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59 </w:t>
      </w:r>
      <w:r w:rsidRPr="009A3C86">
        <w:rPr>
          <w:rFonts w:ascii="Times New Roman" w:hAnsi="Times New Roman"/>
          <w:b/>
          <w:sz w:val="24"/>
          <w:szCs w:val="24"/>
        </w:rPr>
        <w:t>§ 1 pkt 1</w:t>
      </w:r>
      <w:r w:rsidRPr="009A3C86">
        <w:rPr>
          <w:rFonts w:ascii="Times New Roman" w:hAnsi="Times New Roman"/>
          <w:sz w:val="24"/>
          <w:szCs w:val="24"/>
        </w:rPr>
        <w:t>). W przypadku wystąpienia problemów technicznych uniemożliwiających złożenie pełnomocnictwa ogólnego w postaci elektronicznej pełnomocnictwo to będzie składane w formie pisemnej według wzoru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61 </w:t>
      </w:r>
      <w:r w:rsidRPr="009A3C86">
        <w:rPr>
          <w:rFonts w:ascii="Times New Roman" w:hAnsi="Times New Roman"/>
          <w:b/>
          <w:sz w:val="24"/>
          <w:szCs w:val="24"/>
        </w:rPr>
        <w:t>§ 3</w:t>
      </w:r>
      <w:r w:rsidRPr="009A3C86">
        <w:rPr>
          <w:rFonts w:ascii="Times New Roman" w:hAnsi="Times New Roman"/>
          <w:sz w:val="24"/>
          <w:szCs w:val="24"/>
        </w:rPr>
        <w:t>). Adwokat, radca prawny oraz doradca podatkowy będą mogli sami zgłaszać udzielenie im pełnomocnictwa ogólnego oraz zawiadamiać o jego zmianie, odwołaniu lub wypowiedzeniu ze wskazaniem daty zwolnienia z obowiązku reprezentacji (</w:t>
      </w:r>
      <w:r w:rsidRPr="009A3C86">
        <w:rPr>
          <w:rFonts w:ascii="Times New Roman" w:hAnsi="Times New Roman"/>
          <w:b/>
          <w:sz w:val="24"/>
          <w:szCs w:val="24"/>
        </w:rPr>
        <w:t xml:space="preserve">art. </w:t>
      </w:r>
      <w:r w:rsidR="002A1BAD" w:rsidRPr="009A3C86">
        <w:rPr>
          <w:rFonts w:ascii="Times New Roman" w:hAnsi="Times New Roman"/>
          <w:b/>
          <w:sz w:val="24"/>
          <w:szCs w:val="24"/>
        </w:rPr>
        <w:t xml:space="preserve">61 </w:t>
      </w:r>
      <w:r w:rsidRPr="009A3C86">
        <w:rPr>
          <w:rFonts w:ascii="Times New Roman" w:hAnsi="Times New Roman"/>
          <w:b/>
          <w:sz w:val="24"/>
          <w:szCs w:val="24"/>
        </w:rPr>
        <w:t>§ 5</w:t>
      </w:r>
      <w:r w:rsidRPr="009A3C86">
        <w:rPr>
          <w:rFonts w:ascii="Times New Roman" w:hAnsi="Times New Roman"/>
          <w:sz w:val="24"/>
          <w:szCs w:val="24"/>
        </w:rPr>
        <w:t>). W przypadku ustanowienia pełnomocnika ogólnego organ podatkowy, w razie potrzeby (np. do celów procesowych, przekazania sprawy do wojewódzkiego sądu administracyjnego) sporządzi wydruk tego pełnomocnictwa (zawiadomienia o zmianie zakresu, odwołaniu lub wypowiedzeniu pełnomocnictwa) i dołączy go do akt sprawy (</w:t>
      </w:r>
      <w:r w:rsidRPr="009A3C86">
        <w:rPr>
          <w:rFonts w:ascii="Times New Roman" w:hAnsi="Times New Roman"/>
          <w:b/>
          <w:sz w:val="24"/>
          <w:szCs w:val="24"/>
        </w:rPr>
        <w:t xml:space="preserve">art. </w:t>
      </w:r>
      <w:r w:rsidR="002A1BAD" w:rsidRPr="009A3C86">
        <w:rPr>
          <w:rFonts w:ascii="Times New Roman" w:hAnsi="Times New Roman"/>
          <w:b/>
          <w:sz w:val="24"/>
          <w:szCs w:val="24"/>
        </w:rPr>
        <w:t>58</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Konsekwencją zmian wprowadzonych w art. </w:t>
      </w:r>
      <w:r w:rsidR="00D5591A" w:rsidRPr="009A3C86">
        <w:rPr>
          <w:rFonts w:ascii="Times New Roman" w:hAnsi="Times New Roman"/>
          <w:sz w:val="24"/>
          <w:szCs w:val="24"/>
        </w:rPr>
        <w:t xml:space="preserve">56 </w:t>
      </w:r>
      <w:r w:rsidRPr="009A3C86">
        <w:rPr>
          <w:rFonts w:ascii="Times New Roman" w:hAnsi="Times New Roman"/>
          <w:sz w:val="24"/>
          <w:szCs w:val="24"/>
        </w:rPr>
        <w:t xml:space="preserve">§ 3 jest zmiana dokonana w </w:t>
      </w:r>
      <w:r w:rsidRPr="009A3C86">
        <w:rPr>
          <w:rFonts w:ascii="Times New Roman" w:hAnsi="Times New Roman"/>
          <w:b/>
          <w:sz w:val="24"/>
          <w:szCs w:val="24"/>
        </w:rPr>
        <w:t xml:space="preserve">art. </w:t>
      </w:r>
      <w:r w:rsidR="00D5591A" w:rsidRPr="009A3C86">
        <w:rPr>
          <w:rFonts w:ascii="Times New Roman" w:hAnsi="Times New Roman"/>
          <w:b/>
          <w:sz w:val="24"/>
          <w:szCs w:val="24"/>
        </w:rPr>
        <w:t xml:space="preserve">61 </w:t>
      </w:r>
      <w:r w:rsidRPr="009A3C86">
        <w:rPr>
          <w:rFonts w:ascii="Times New Roman" w:hAnsi="Times New Roman"/>
          <w:b/>
          <w:sz w:val="24"/>
          <w:szCs w:val="24"/>
        </w:rPr>
        <w:t>§ 6</w:t>
      </w:r>
      <w:r w:rsidRPr="009A3C86">
        <w:rPr>
          <w:rFonts w:ascii="Times New Roman" w:hAnsi="Times New Roman"/>
          <w:sz w:val="24"/>
          <w:szCs w:val="24"/>
        </w:rPr>
        <w:t xml:space="preserve">. Osobą upoważnioną do dokonania zawiadomienia w zakresie pełnomocnictwa ogólnego będzie pełnomocnik zamiast, tak jak obecnie, osoba sprawująca opiekę.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Pełnomocnictwa ogólne będą gromadzone w informatycznej bazie danych zwanej "Centralnym Rejestrem Pełnomocnictw Ogólnych" i dostępne na bieżąco dla wszystkich organów podatkowych (</w:t>
      </w:r>
      <w:r w:rsidRPr="009A3C86">
        <w:rPr>
          <w:rFonts w:ascii="Times New Roman" w:hAnsi="Times New Roman"/>
          <w:b/>
          <w:sz w:val="24"/>
          <w:szCs w:val="24"/>
        </w:rPr>
        <w:t xml:space="preserve">art. </w:t>
      </w:r>
      <w:r w:rsidR="00D5591A" w:rsidRPr="009A3C86">
        <w:rPr>
          <w:rFonts w:ascii="Times New Roman" w:hAnsi="Times New Roman"/>
          <w:b/>
          <w:sz w:val="24"/>
          <w:szCs w:val="24"/>
        </w:rPr>
        <w:t xml:space="preserve">61 </w:t>
      </w:r>
      <w:r w:rsidRPr="009A3C86">
        <w:rPr>
          <w:rFonts w:ascii="Times New Roman" w:hAnsi="Times New Roman"/>
          <w:b/>
          <w:sz w:val="24"/>
          <w:szCs w:val="24"/>
        </w:rPr>
        <w:t>§ 4</w:t>
      </w:r>
      <w:r w:rsidRPr="009A3C86">
        <w:rPr>
          <w:rFonts w:ascii="Times New Roman" w:hAnsi="Times New Roman"/>
          <w:sz w:val="24"/>
          <w:szCs w:val="24"/>
        </w:rPr>
        <w:t xml:space="preserve"> i </w:t>
      </w:r>
      <w:r w:rsidRPr="009A3C86">
        <w:rPr>
          <w:rFonts w:ascii="Times New Roman" w:hAnsi="Times New Roman"/>
          <w:b/>
          <w:sz w:val="24"/>
          <w:szCs w:val="24"/>
        </w:rPr>
        <w:t xml:space="preserve">art. </w:t>
      </w:r>
      <w:r w:rsidR="00D5591A" w:rsidRPr="009A3C86">
        <w:rPr>
          <w:rFonts w:ascii="Times New Roman" w:hAnsi="Times New Roman"/>
          <w:b/>
          <w:sz w:val="24"/>
          <w:szCs w:val="24"/>
        </w:rPr>
        <w:t xml:space="preserve">63 </w:t>
      </w:r>
      <w:r w:rsidRPr="009A3C86">
        <w:rPr>
          <w:rFonts w:ascii="Times New Roman" w:hAnsi="Times New Roman"/>
          <w:b/>
          <w:sz w:val="24"/>
          <w:szCs w:val="24"/>
        </w:rPr>
        <w:t>§ 2</w:t>
      </w:r>
      <w:r w:rsidRPr="009A3C86">
        <w:rPr>
          <w:rFonts w:ascii="Times New Roman" w:hAnsi="Times New Roman"/>
          <w:sz w:val="24"/>
          <w:szCs w:val="24"/>
        </w:rPr>
        <w:t>). Centralny Rejestr będzie prowadzony przez Szefa Krajowej Administracji Skarbowej (Szef KAS). Proponuje się, aby minister właściwy do spraw finansów publicznych mógł, mając na celu zapewnienie sprawnego funkcjonowania pełnomocnictw ogólnych, upoważnić organ Krajowej Administracji Skarbowej do wykonywania zadań w zakresie prowadzenia Centralnego Rejestru (</w:t>
      </w:r>
      <w:r w:rsidRPr="009A3C86">
        <w:rPr>
          <w:rFonts w:ascii="Times New Roman" w:hAnsi="Times New Roman"/>
          <w:b/>
          <w:sz w:val="24"/>
          <w:szCs w:val="24"/>
        </w:rPr>
        <w:t xml:space="preserve">art. </w:t>
      </w:r>
      <w:r w:rsidR="00D5591A" w:rsidRPr="009A3C86">
        <w:rPr>
          <w:rFonts w:ascii="Times New Roman" w:hAnsi="Times New Roman"/>
          <w:b/>
          <w:sz w:val="24"/>
          <w:szCs w:val="24"/>
        </w:rPr>
        <w:t xml:space="preserve">63 </w:t>
      </w:r>
      <w:r w:rsidRPr="009A3C86">
        <w:rPr>
          <w:rFonts w:ascii="Times New Roman" w:hAnsi="Times New Roman"/>
          <w:b/>
          <w:sz w:val="24"/>
          <w:szCs w:val="24"/>
        </w:rPr>
        <w:t>§ 3</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4. Pełnomocnictwo szczególne, tak jak dotychczas, będzie upoważniało do działania we wskazanej sprawie podatkowej, po złożeniu pełnomocnictwa do akt konkretnej sprawy (</w:t>
      </w:r>
      <w:r w:rsidRPr="009A3C86">
        <w:rPr>
          <w:rFonts w:ascii="Times New Roman" w:hAnsi="Times New Roman"/>
          <w:b/>
          <w:sz w:val="24"/>
          <w:szCs w:val="24"/>
        </w:rPr>
        <w:t xml:space="preserve">art. </w:t>
      </w:r>
      <w:r w:rsidR="00D5591A" w:rsidRPr="009A3C86">
        <w:rPr>
          <w:rFonts w:ascii="Times New Roman" w:hAnsi="Times New Roman"/>
          <w:b/>
          <w:sz w:val="24"/>
          <w:szCs w:val="24"/>
        </w:rPr>
        <w:t xml:space="preserve">64 </w:t>
      </w:r>
      <w:r w:rsidRPr="009A3C86">
        <w:rPr>
          <w:rFonts w:ascii="Times New Roman" w:hAnsi="Times New Roman"/>
          <w:b/>
          <w:sz w:val="24"/>
          <w:szCs w:val="24"/>
        </w:rPr>
        <w:t>§ 1</w:t>
      </w:r>
      <w:r w:rsidRPr="009A3C86">
        <w:rPr>
          <w:rFonts w:ascii="Times New Roman" w:hAnsi="Times New Roman"/>
          <w:sz w:val="24"/>
          <w:szCs w:val="24"/>
        </w:rPr>
        <w:t xml:space="preserve">). Uzupełniono obecne regulacje o umocowanie pełnomocnika szczególnego, z mocy prawa, do reprezentowania także w postępowaniach wpadkowych związanych ze sprawą wymiarową. Rozwiązanie to wyeliminuje spory dotyczące tego, czy zobowiązany czy pełnomocnik w sprawie wymiarowej powinni być adresatami rozstrzygnięć wymienionych w art. </w:t>
      </w:r>
      <w:r w:rsidR="001C089B" w:rsidRPr="009A3C86">
        <w:rPr>
          <w:rFonts w:ascii="Times New Roman" w:hAnsi="Times New Roman"/>
          <w:sz w:val="24"/>
          <w:szCs w:val="24"/>
        </w:rPr>
        <w:t xml:space="preserve">64 </w:t>
      </w:r>
      <w:r w:rsidRPr="009A3C86">
        <w:rPr>
          <w:rFonts w:ascii="Times New Roman" w:hAnsi="Times New Roman"/>
          <w:sz w:val="24"/>
          <w:szCs w:val="24"/>
        </w:rPr>
        <w:t>§ 1 zdanie drugie. Dodatkowo wprowadzono rozwiązanie polegające na istnieniu domniemania ciągłości pełnomocnictwa w postępowaniu podatkowym, wszczętym w następstwie ustaleń dokonanych w czynnościach sprawdzających i kontroli podatkowej, przy czym pozostawiono mocodawcy pełną swobodę, aby takie pełnomocnictwo było skuteczne tylko w kontroli podatkowej lub czynnościach sprawdzających (</w:t>
      </w:r>
      <w:r w:rsidRPr="009A3C86">
        <w:rPr>
          <w:rFonts w:ascii="Times New Roman" w:hAnsi="Times New Roman"/>
          <w:b/>
          <w:sz w:val="24"/>
          <w:szCs w:val="24"/>
        </w:rPr>
        <w:t xml:space="preserve">art. </w:t>
      </w:r>
      <w:r w:rsidR="006B0E12" w:rsidRPr="009A3C86">
        <w:rPr>
          <w:rFonts w:ascii="Times New Roman" w:hAnsi="Times New Roman"/>
          <w:b/>
          <w:sz w:val="24"/>
          <w:szCs w:val="24"/>
        </w:rPr>
        <w:t xml:space="preserve">64 </w:t>
      </w:r>
      <w:r w:rsidRPr="009A3C86">
        <w:rPr>
          <w:rFonts w:ascii="Times New Roman" w:hAnsi="Times New Roman"/>
          <w:b/>
          <w:sz w:val="24"/>
          <w:szCs w:val="24"/>
        </w:rPr>
        <w:t>§ 2</w:t>
      </w:r>
      <w:r w:rsidRPr="009A3C86">
        <w:rPr>
          <w:rFonts w:ascii="Times New Roman" w:hAnsi="Times New Roman"/>
          <w:sz w:val="24"/>
          <w:szCs w:val="24"/>
        </w:rPr>
        <w:t>). Pełnomocnictwo szczególne będzie mogło być udzielone na piśmie, zgłoszone ustnie do protokołu lub w postaci elektronicznej (</w:t>
      </w:r>
      <w:r w:rsidRPr="009A3C86">
        <w:rPr>
          <w:rFonts w:ascii="Times New Roman" w:hAnsi="Times New Roman"/>
          <w:b/>
          <w:sz w:val="24"/>
          <w:szCs w:val="24"/>
        </w:rPr>
        <w:t xml:space="preserve">art. </w:t>
      </w:r>
      <w:r w:rsidR="006B0E12" w:rsidRPr="009A3C86">
        <w:rPr>
          <w:rFonts w:ascii="Times New Roman" w:hAnsi="Times New Roman"/>
          <w:b/>
          <w:sz w:val="24"/>
          <w:szCs w:val="24"/>
        </w:rPr>
        <w:t xml:space="preserve">64 </w:t>
      </w:r>
      <w:r w:rsidRPr="009A3C86">
        <w:rPr>
          <w:rFonts w:ascii="Times New Roman" w:hAnsi="Times New Roman"/>
          <w:b/>
          <w:sz w:val="24"/>
          <w:szCs w:val="24"/>
        </w:rPr>
        <w:t>§ 3</w:t>
      </w:r>
      <w:r w:rsidRPr="009A3C86">
        <w:rPr>
          <w:rFonts w:ascii="Times New Roman" w:hAnsi="Times New Roman"/>
          <w:sz w:val="24"/>
          <w:szCs w:val="24"/>
        </w:rPr>
        <w:t>). Sposób przesyłania pełnomocnictwa szczególnego w postaci elektronicznej, uwzględniając potrzebę zapewnienia bezpieczeństwa, wiarygodności i niezaprzeczalności danych zawartych w pełnomocnictwach oraz potrzebę ich ochrony przed nieuprawnionym dostępem, zostanie określony w drodze rozporządzenia Ministra Finansów (</w:t>
      </w:r>
      <w:r w:rsidRPr="009A3C86">
        <w:rPr>
          <w:rFonts w:ascii="Times New Roman" w:hAnsi="Times New Roman"/>
          <w:b/>
          <w:sz w:val="24"/>
          <w:szCs w:val="24"/>
        </w:rPr>
        <w:t xml:space="preserve">art. </w:t>
      </w:r>
      <w:r w:rsidR="00B36BDB" w:rsidRPr="009A3C86">
        <w:rPr>
          <w:rFonts w:ascii="Times New Roman" w:hAnsi="Times New Roman"/>
          <w:b/>
          <w:sz w:val="24"/>
          <w:szCs w:val="24"/>
        </w:rPr>
        <w:t xml:space="preserve">59 </w:t>
      </w:r>
      <w:r w:rsidRPr="009A3C86">
        <w:rPr>
          <w:rFonts w:ascii="Times New Roman" w:hAnsi="Times New Roman"/>
          <w:b/>
          <w:sz w:val="24"/>
          <w:szCs w:val="24"/>
        </w:rPr>
        <w:t>§ 2</w:t>
      </w:r>
      <w:r w:rsidRPr="009A3C86">
        <w:rPr>
          <w:rFonts w:ascii="Times New Roman" w:hAnsi="Times New Roman"/>
          <w:sz w:val="24"/>
          <w:szCs w:val="24"/>
        </w:rPr>
        <w:t>). Wprowadzono zasadę, że złożenie pełnomocnictwa z użyciem urzędowego formularza zawierającego jednak braki spowoduje obowiązek wezwania do uzupełnienia tych braków, z zastosowaniem zasady i konsekwencji identycznych jak dla wnoszenia wniosków (</w:t>
      </w:r>
      <w:r w:rsidRPr="009A3C86">
        <w:rPr>
          <w:rFonts w:ascii="Times New Roman" w:hAnsi="Times New Roman"/>
          <w:b/>
          <w:sz w:val="24"/>
          <w:szCs w:val="24"/>
        </w:rPr>
        <w:t xml:space="preserve">art. </w:t>
      </w:r>
      <w:r w:rsidR="00B36BDB" w:rsidRPr="009A3C86">
        <w:rPr>
          <w:rFonts w:ascii="Times New Roman" w:hAnsi="Times New Roman"/>
          <w:b/>
          <w:sz w:val="24"/>
          <w:szCs w:val="24"/>
        </w:rPr>
        <w:t xml:space="preserve">64 </w:t>
      </w:r>
      <w:r w:rsidRPr="009A3C86">
        <w:rPr>
          <w:rFonts w:ascii="Times New Roman" w:hAnsi="Times New Roman"/>
          <w:b/>
          <w:sz w:val="24"/>
          <w:szCs w:val="24"/>
        </w:rPr>
        <w:t>§ 4</w:t>
      </w:r>
      <w:r w:rsidRPr="009A3C86">
        <w:rPr>
          <w:rFonts w:ascii="Times New Roman" w:hAnsi="Times New Roman"/>
          <w:sz w:val="24"/>
          <w:szCs w:val="24"/>
        </w:rPr>
        <w:t xml:space="preserve">). Pełnomocnik szczególny będzie mógł występować w toczącym się już postępowaniu albo zainicjować to postępowanie, składając wniosek wraz z pełnomocnictwem.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Ponadto, pełnomocnik szczególny będzie mógł okazać oryginał lub notarialnie poświadczony odpis pełnomocnictwa szczególnego w celu sporządzenia przez organ podatkowy jego urzędowego odpisu i dołączenia do akt sprawy (</w:t>
      </w:r>
      <w:r w:rsidRPr="009A3C86">
        <w:rPr>
          <w:rFonts w:ascii="Times New Roman" w:hAnsi="Times New Roman"/>
          <w:b/>
          <w:sz w:val="24"/>
          <w:szCs w:val="24"/>
        </w:rPr>
        <w:t xml:space="preserve">art. </w:t>
      </w:r>
      <w:r w:rsidR="00B36BDB" w:rsidRPr="009A3C86">
        <w:rPr>
          <w:rFonts w:ascii="Times New Roman" w:hAnsi="Times New Roman"/>
          <w:b/>
          <w:sz w:val="24"/>
          <w:szCs w:val="24"/>
        </w:rPr>
        <w:t xml:space="preserve">64 </w:t>
      </w:r>
      <w:r w:rsidRPr="009A3C86">
        <w:rPr>
          <w:rFonts w:ascii="Times New Roman" w:hAnsi="Times New Roman"/>
          <w:b/>
          <w:sz w:val="24"/>
          <w:szCs w:val="24"/>
        </w:rPr>
        <w:t>§ 5</w:t>
      </w:r>
      <w:r w:rsidRPr="009A3C86">
        <w:rPr>
          <w:rFonts w:ascii="Times New Roman" w:hAnsi="Times New Roman"/>
          <w:sz w:val="24"/>
          <w:szCs w:val="24"/>
        </w:rPr>
        <w:t xml:space="preserve">). Zawiadomienia o zmianie zakresu </w:t>
      </w:r>
      <w:r w:rsidRPr="009A3C86">
        <w:rPr>
          <w:rFonts w:ascii="Times New Roman" w:hAnsi="Times New Roman"/>
          <w:sz w:val="24"/>
          <w:szCs w:val="24"/>
        </w:rPr>
        <w:lastRenderedPageBreak/>
        <w:t>lub wypowiedzeniu pełnomocnictwa – tak jak obecnie – będą dołączane do akt konkretnej sprawy (</w:t>
      </w:r>
      <w:r w:rsidRPr="009A3C86">
        <w:rPr>
          <w:rFonts w:ascii="Times New Roman" w:hAnsi="Times New Roman"/>
          <w:b/>
          <w:sz w:val="24"/>
          <w:szCs w:val="24"/>
        </w:rPr>
        <w:t xml:space="preserve">art. </w:t>
      </w:r>
      <w:r w:rsidR="00B36BDB" w:rsidRPr="009A3C86">
        <w:rPr>
          <w:rFonts w:ascii="Times New Roman" w:hAnsi="Times New Roman"/>
          <w:b/>
          <w:sz w:val="24"/>
          <w:szCs w:val="24"/>
        </w:rPr>
        <w:t xml:space="preserve">64 </w:t>
      </w:r>
      <w:r w:rsidRPr="009A3C86">
        <w:rPr>
          <w:rFonts w:ascii="Times New Roman" w:hAnsi="Times New Roman"/>
          <w:b/>
          <w:sz w:val="24"/>
          <w:szCs w:val="24"/>
        </w:rPr>
        <w:t>§ 4</w:t>
      </w:r>
      <w:r w:rsidRPr="009A3C86">
        <w:rPr>
          <w:rFonts w:ascii="Times New Roman" w:hAnsi="Times New Roman"/>
          <w:sz w:val="24"/>
          <w:szCs w:val="24"/>
        </w:rPr>
        <w:t>). Ustanowienie, zmiana zakresu, odwołanie lub wypowiedzenie pełnomocnictwa szczególnego będzie wywierało skutek od dnia zawiadomienia o tym organu podatkowego prowadzącego wskazaną w tym pełnomocnictwie sprawę podatkową (</w:t>
      </w:r>
      <w:r w:rsidRPr="009A3C86">
        <w:rPr>
          <w:rFonts w:ascii="Times New Roman" w:hAnsi="Times New Roman"/>
          <w:b/>
          <w:sz w:val="24"/>
          <w:szCs w:val="24"/>
        </w:rPr>
        <w:t xml:space="preserve">art. </w:t>
      </w:r>
      <w:r w:rsidR="00B36BDB" w:rsidRPr="009A3C86">
        <w:rPr>
          <w:rFonts w:ascii="Times New Roman" w:hAnsi="Times New Roman"/>
          <w:b/>
          <w:sz w:val="24"/>
          <w:szCs w:val="24"/>
        </w:rPr>
        <w:t xml:space="preserve">64 </w:t>
      </w:r>
      <w:r w:rsidRPr="009A3C86">
        <w:rPr>
          <w:rFonts w:ascii="Times New Roman" w:hAnsi="Times New Roman"/>
          <w:b/>
          <w:sz w:val="24"/>
          <w:szCs w:val="24"/>
        </w:rPr>
        <w:t>§ 6</w:t>
      </w:r>
      <w:r w:rsidRPr="009A3C86">
        <w:rPr>
          <w:rFonts w:ascii="Times New Roman" w:hAnsi="Times New Roman"/>
          <w:sz w:val="24"/>
          <w:szCs w:val="24"/>
        </w:rPr>
        <w:t>). W celu ułatwienia korzystania z instytucji pełnomocnictwa szczególnego wzór pełnomocnictwa szczególnego oraz zawiadomienia o jego zmianie, odwołaniu lub wypowiedzeniu zostaną określone w drodze rozporządzenia Ministra Finansów (</w:t>
      </w:r>
      <w:r w:rsidRPr="009A3C86">
        <w:rPr>
          <w:rFonts w:ascii="Times New Roman" w:hAnsi="Times New Roman"/>
          <w:b/>
          <w:sz w:val="24"/>
          <w:szCs w:val="24"/>
        </w:rPr>
        <w:t xml:space="preserve">art. </w:t>
      </w:r>
      <w:r w:rsidR="00B36BDB" w:rsidRPr="009A3C86">
        <w:rPr>
          <w:rFonts w:ascii="Times New Roman" w:hAnsi="Times New Roman"/>
          <w:b/>
          <w:sz w:val="24"/>
          <w:szCs w:val="24"/>
        </w:rPr>
        <w:t xml:space="preserve">59 </w:t>
      </w:r>
      <w:r w:rsidRPr="009A3C86">
        <w:rPr>
          <w:rFonts w:ascii="Times New Roman" w:hAnsi="Times New Roman"/>
          <w:b/>
          <w:sz w:val="24"/>
          <w:szCs w:val="24"/>
        </w:rPr>
        <w:t>§ 1 pkt 2</w:t>
      </w:r>
      <w:r w:rsidRPr="009A3C86">
        <w:rPr>
          <w:rFonts w:ascii="Times New Roman" w:hAnsi="Times New Roman"/>
          <w:sz w:val="24"/>
          <w:szCs w:val="24"/>
        </w:rPr>
        <w:t xml:space="preserve">). Użycie urzędowego wzoru pełnomocnictwa szczególnego nie będzie obowiązkowe (pełnomocnictwo składa się  według urzędowego wzoru a nie na urzędowym wzorze). Wystarczające będzie zatem, aby w treści złożonego pełnomocnictwa zawarte były wszystkie elementy znajdujące się w urzędowym wzorze pełnomocnictwa.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5. Ustanowienie pełnomocnika do doręczeń w kraju (</w:t>
      </w:r>
      <w:r w:rsidRPr="009A3C86">
        <w:rPr>
          <w:rFonts w:ascii="Times New Roman" w:hAnsi="Times New Roman"/>
          <w:b/>
          <w:sz w:val="24"/>
          <w:szCs w:val="24"/>
        </w:rPr>
        <w:t xml:space="preserve">art. </w:t>
      </w:r>
      <w:r w:rsidR="009D052C" w:rsidRPr="009A3C86">
        <w:rPr>
          <w:rFonts w:ascii="Times New Roman" w:hAnsi="Times New Roman"/>
          <w:b/>
          <w:sz w:val="24"/>
          <w:szCs w:val="24"/>
        </w:rPr>
        <w:t>65</w:t>
      </w:r>
      <w:r w:rsidRPr="009A3C86">
        <w:rPr>
          <w:rFonts w:ascii="Times New Roman" w:hAnsi="Times New Roman"/>
          <w:sz w:val="24"/>
          <w:szCs w:val="24"/>
        </w:rPr>
        <w:t xml:space="preserve">) będzie nie uprawnieniem, ale obowiązkiem strony postępowania. Przy czym ten obowiązek będzie dotyczył tylko podmiotu w stosunku do którego wszczęto postępowanie podatkowe. W tym zakresie utrzymano dotychczasową zasadę.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Proponuje się w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65 </w:t>
      </w:r>
      <w:r w:rsidRPr="009A3C86">
        <w:rPr>
          <w:rFonts w:ascii="Times New Roman" w:hAnsi="Times New Roman"/>
          <w:b/>
          <w:sz w:val="24"/>
          <w:szCs w:val="24"/>
        </w:rPr>
        <w:t>§ 1 pkt 1</w:t>
      </w:r>
      <w:r w:rsidRPr="009A3C86">
        <w:rPr>
          <w:rFonts w:ascii="Times New Roman" w:hAnsi="Times New Roman"/>
          <w:sz w:val="24"/>
          <w:szCs w:val="24"/>
        </w:rPr>
        <w:t>, aby strona, która zmieniła adres miejsca zamieszkania lub zwykłego pobytu na adres w państwie niebędącym państwem członkowskim Unii Europejskiej, miała obowiązek ustanowienia krajowego pełnomocnika do spraw doręczeń, z tym że pełnomocnik do spraw doręczeń będzie ustanawiany bez względu na okres przebywania poza granicami kraju. Usprawni to przebieg postępowania podatkowego prowadzonego wobec osób przebywających czasowo zagranicą, w państwie niebędącym państwem członkowskim Unii Europejskiej, niezależnie od czasu trwania wyjazdu. Jednocześnie obowiązek ustanowienia pełnomocnika do doręczeń będzie obowiązywał w stosunku do osób niemających miejsca zamieszkania lub zwykłego pobytu w Rzeczypospolitej Polskiej lub w innym państwie członkowskim Unii Europejskiej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65 </w:t>
      </w:r>
      <w:r w:rsidRPr="009A3C86">
        <w:rPr>
          <w:rFonts w:ascii="Times New Roman" w:hAnsi="Times New Roman"/>
          <w:b/>
          <w:sz w:val="24"/>
          <w:szCs w:val="24"/>
        </w:rPr>
        <w:t>§ 1 pkt 2</w:t>
      </w:r>
      <w:r w:rsidRPr="009A3C86">
        <w:rPr>
          <w:rFonts w:ascii="Times New Roman" w:hAnsi="Times New Roman"/>
          <w:sz w:val="24"/>
          <w:szCs w:val="24"/>
        </w:rPr>
        <w:t xml:space="preserve">). Obowiązek ten będzie dotyczył sytuacji, w których taka osoba uzyska status strony postępowania w czasie pobytu w Polsce. Pełnomocnik do spraw doręczeń będzie ustanawiany, gdy nie ustanowiono pełnomocnika ogólnego lub szczególnego albo gdyby nie było możliwe doręczenie za pomocą środków komunikacji elektronicznej (zdanie wstępne art. </w:t>
      </w:r>
      <w:r w:rsidR="00FD0A37" w:rsidRPr="009A3C86">
        <w:rPr>
          <w:rFonts w:ascii="Times New Roman" w:hAnsi="Times New Roman"/>
          <w:sz w:val="24"/>
          <w:szCs w:val="24"/>
        </w:rPr>
        <w:t xml:space="preserve">65 </w:t>
      </w:r>
      <w:r w:rsidRPr="009A3C86">
        <w:rPr>
          <w:rFonts w:ascii="Times New Roman" w:hAnsi="Times New Roman"/>
          <w:sz w:val="24"/>
          <w:szCs w:val="24"/>
        </w:rPr>
        <w:t xml:space="preserve">§ 1 oraz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65 </w:t>
      </w:r>
      <w:r w:rsidRPr="009A3C86">
        <w:rPr>
          <w:rFonts w:ascii="Times New Roman" w:hAnsi="Times New Roman"/>
          <w:b/>
          <w:sz w:val="24"/>
          <w:szCs w:val="24"/>
        </w:rPr>
        <w:t>§ 2</w:t>
      </w:r>
      <w:r w:rsidRPr="009A3C86">
        <w:rPr>
          <w:rFonts w:ascii="Times New Roman" w:hAnsi="Times New Roman"/>
          <w:sz w:val="24"/>
          <w:szCs w:val="24"/>
        </w:rPr>
        <w:t>). Tak jak obecnie, w razie niedopełnienia obowiązku ustanowienia pełnomocnika pismo będzie uważane za doręczone pod adresem w kraju, a organ podatkowy pozostawi pismo w aktach sprawy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65 </w:t>
      </w:r>
      <w:r w:rsidRPr="009A3C86">
        <w:rPr>
          <w:rFonts w:ascii="Times New Roman" w:hAnsi="Times New Roman"/>
          <w:b/>
          <w:sz w:val="24"/>
          <w:szCs w:val="24"/>
        </w:rPr>
        <w:t>§ 3</w:t>
      </w:r>
      <w:r w:rsidRPr="009A3C86">
        <w:rPr>
          <w:rFonts w:ascii="Times New Roman" w:hAnsi="Times New Roman"/>
          <w:sz w:val="24"/>
          <w:szCs w:val="24"/>
        </w:rPr>
        <w:t xml:space="preserve">). Pełnomocnictwo do doręczeń będzie mogło być udzielone na piśmie, zgłoszone ustnie do protokołu lub w postaci elektronicznej (art. </w:t>
      </w:r>
      <w:r w:rsidR="00995572" w:rsidRPr="009A3C86">
        <w:rPr>
          <w:rFonts w:ascii="Times New Roman" w:hAnsi="Times New Roman"/>
          <w:sz w:val="24"/>
          <w:szCs w:val="24"/>
        </w:rPr>
        <w:t xml:space="preserve">65 </w:t>
      </w:r>
      <w:r w:rsidRPr="009A3C86">
        <w:rPr>
          <w:rFonts w:ascii="Times New Roman" w:hAnsi="Times New Roman"/>
          <w:sz w:val="24"/>
          <w:szCs w:val="24"/>
        </w:rPr>
        <w:t xml:space="preserve">§ 3 w zw. z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65 </w:t>
      </w:r>
      <w:r w:rsidRPr="009A3C86">
        <w:rPr>
          <w:rFonts w:ascii="Times New Roman" w:hAnsi="Times New Roman"/>
          <w:b/>
          <w:sz w:val="24"/>
          <w:szCs w:val="24"/>
        </w:rPr>
        <w:t>§ 4</w:t>
      </w:r>
      <w:r w:rsidRPr="009A3C86">
        <w:rPr>
          <w:rFonts w:ascii="Times New Roman" w:hAnsi="Times New Roman"/>
          <w:sz w:val="24"/>
          <w:szCs w:val="24"/>
        </w:rPr>
        <w:t xml:space="preserve">). Nowym rozwiązaniem jest odpowiednie stosowanie przepisów dotyczących obowiązku ustanowienia pełnomocnika </w:t>
      </w:r>
      <w:r w:rsidRPr="009A3C86">
        <w:rPr>
          <w:rFonts w:ascii="Times New Roman" w:hAnsi="Times New Roman"/>
          <w:sz w:val="24"/>
          <w:szCs w:val="24"/>
        </w:rPr>
        <w:lastRenderedPageBreak/>
        <w:t>do doręczeń w kraju do podatników podatku rolnego, leśnego i od nieruchomości, którzy złożyli deklarację na ten podatek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65 </w:t>
      </w:r>
      <w:r w:rsidRPr="009A3C86">
        <w:rPr>
          <w:rFonts w:ascii="Times New Roman" w:hAnsi="Times New Roman"/>
          <w:b/>
          <w:sz w:val="24"/>
          <w:szCs w:val="24"/>
        </w:rPr>
        <w:t>§ 5</w:t>
      </w:r>
      <w:r w:rsidRPr="009A3C86">
        <w:rPr>
          <w:rFonts w:ascii="Times New Roman" w:hAnsi="Times New Roman"/>
          <w:sz w:val="24"/>
          <w:szCs w:val="24"/>
        </w:rPr>
        <w:t>). Uzasadnieniem dla wprowadzenia tego rozwiązania są sygnalizowane przez organy gminne trudności w kontakcie z podatnikami tego podatku, którzy po złożeniu deklaracji podatkowej opuszczają terytorium Polski. Rozwiązanie to jest podyktowane potrzebą zapewnienia komunikacji z podatnikiem tego podatku, któremu na podstawie tego samego stanu faktycznego i co roku dokonuje się wymiaru podatku. Wzór pełnomocnictwa do doręczeń oraz zawiadomienia o jego zmianie, odwołaniu lub wypowiedzeniu zostaną określone w drodze rozporządzenia przez Ministra Finansów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59 </w:t>
      </w:r>
      <w:r w:rsidRPr="009A3C86">
        <w:rPr>
          <w:rFonts w:ascii="Times New Roman" w:hAnsi="Times New Roman"/>
          <w:b/>
          <w:sz w:val="24"/>
          <w:szCs w:val="24"/>
        </w:rPr>
        <w:t>§ 1 pkt 2</w:t>
      </w:r>
      <w:r w:rsidRPr="009A3C86">
        <w:rPr>
          <w:rFonts w:ascii="Times New Roman" w:hAnsi="Times New Roman"/>
          <w:sz w:val="24"/>
          <w:szCs w:val="24"/>
        </w:rPr>
        <w:t>). Sposób przesyłania pełnomocnictwa do doręczeń w postaci elektronicznej, uwzględniając potrzebę zapewnienia bezpieczeństwa, wiarygodności i niezaprzeczalności danych zawartych w pełnomocnictwach oraz potrzebę ich ochrony przed nieuprawnionym dostępem, zostanie określony w drodze rozporządzenia Ministra Finansów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59 </w:t>
      </w:r>
      <w:r w:rsidRPr="009A3C86">
        <w:rPr>
          <w:rFonts w:ascii="Times New Roman" w:hAnsi="Times New Roman"/>
          <w:b/>
          <w:sz w:val="24"/>
          <w:szCs w:val="24"/>
        </w:rPr>
        <w:t>§ 2</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6. Regulacje dotyczące pełnomocnictwa szczególnego tymczasowego mają na celu zapewnienie możliwości dokonywania czynności w stosunku do osoby nieobecnej oraz podmiotu, który nie posada organów (siedziby lub miejsca prowadzenia działalności). Osobą nieobecną jest osoba niemająca miejsca zamieszkania w rozumieniu art. 25 Kodeksu cywilnego lub której miejsce pobytu nie jest znane. Przepisy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66 </w:t>
      </w:r>
      <w:r w:rsidRPr="009A3C86">
        <w:rPr>
          <w:rFonts w:ascii="Times New Roman" w:hAnsi="Times New Roman"/>
          <w:b/>
          <w:sz w:val="24"/>
          <w:szCs w:val="24"/>
        </w:rPr>
        <w:t>§ 1</w:t>
      </w:r>
      <w:r w:rsidRPr="009A3C86">
        <w:rPr>
          <w:rFonts w:ascii="Times New Roman" w:hAnsi="Times New Roman"/>
          <w:sz w:val="24"/>
          <w:szCs w:val="24"/>
        </w:rPr>
        <w:t xml:space="preserve"> przyznają organowi podatkowemu kompetencję do ustanowienia przedstawiciela dla osoby nieobecnej. Bezwzględną przesłanką ustanowienia przedstawiciela jest zaistnienie sprawy niecierpiącej zwłoki. Coraz częściej zdarzają się sytuacje, gdy zobowiązanego należy uznać za osobę nieobecną. W takich sytuacjach organy podatkowe powinny dysponować instrumentami prawnymi pozwalającymi na podejmowanie działań wobec zobowiązanego. Mając powyższe na uwadze, proponuje się utrzymać instytucję tymczasowego pełnomocnika szczególnego. Przesłanką ustanowienia tego rodzaju pełnomocnika będzie sprawa niecierpiąca zwłoki. Tymczasowy pełnomocnik byłby wyznaczany dla nieobecnej osoby fizycznej (art. </w:t>
      </w:r>
      <w:r w:rsidR="009D052C" w:rsidRPr="009A3C86">
        <w:rPr>
          <w:rFonts w:ascii="Times New Roman" w:hAnsi="Times New Roman"/>
          <w:sz w:val="24"/>
          <w:szCs w:val="24"/>
        </w:rPr>
        <w:t xml:space="preserve">66 </w:t>
      </w:r>
      <w:r w:rsidRPr="009A3C86">
        <w:rPr>
          <w:rFonts w:ascii="Times New Roman" w:hAnsi="Times New Roman"/>
          <w:sz w:val="24"/>
          <w:szCs w:val="24"/>
        </w:rPr>
        <w:t>§ 1). Natomiast dla osoby prawnej lub jednostki organizacyjnej niemającej osobowości prawnej pełnomocnik tymczasowy byłby wyznaczany w przypadku braku jej organów lub niemożności ustalenia adresu siedziby, miejsca prowadzenia działalności lub miejsca zamieszkania osób upoważnionych do reprezentowania jej spraw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67 </w:t>
      </w:r>
      <w:r w:rsidRPr="009A3C86">
        <w:rPr>
          <w:rFonts w:ascii="Times New Roman" w:hAnsi="Times New Roman"/>
          <w:b/>
          <w:sz w:val="24"/>
          <w:szCs w:val="24"/>
        </w:rPr>
        <w:t>§ 1</w:t>
      </w:r>
      <w:r w:rsidRPr="009A3C86">
        <w:rPr>
          <w:rFonts w:ascii="Times New Roman" w:hAnsi="Times New Roman"/>
          <w:sz w:val="24"/>
          <w:szCs w:val="24"/>
        </w:rPr>
        <w:t xml:space="preserve">). Pełnomocnik tymczasowy byłby upoważniony do działania do czasu </w:t>
      </w:r>
      <w:r w:rsidR="003C04C7" w:rsidRPr="009A3C86">
        <w:rPr>
          <w:rFonts w:ascii="Times New Roman" w:hAnsi="Times New Roman"/>
          <w:sz w:val="24"/>
          <w:szCs w:val="24"/>
        </w:rPr>
        <w:t xml:space="preserve">ustanowienia </w:t>
      </w:r>
      <w:r w:rsidRPr="009A3C86">
        <w:rPr>
          <w:rFonts w:ascii="Times New Roman" w:hAnsi="Times New Roman"/>
          <w:sz w:val="24"/>
          <w:szCs w:val="24"/>
        </w:rPr>
        <w:t xml:space="preserve">kuratora przez sąd. Tymczasowym pełnomocnikiem szczególnym osoby fizycznej w pierwszej kolejności może być wyznaczony przez organ podatkowy członek rodziny osoby nieobecnej, jeżeli wyrazi na to zgodę, lub, w przypadku braku takiej zgody, adwokat, radca prawny lub doradca podatkowy. Pełnomocnikiem tymczasowym dla osoby prawnej lub jednostki organizacyjnej niemającej osobowości prawnej </w:t>
      </w:r>
      <w:r w:rsidRPr="009A3C86">
        <w:rPr>
          <w:rFonts w:ascii="Times New Roman" w:hAnsi="Times New Roman"/>
          <w:sz w:val="24"/>
          <w:szCs w:val="24"/>
        </w:rPr>
        <w:lastRenderedPageBreak/>
        <w:t xml:space="preserve">jest doradca podatkowy, radca prawny lub adwokat wyznaczony w trybie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68 </w:t>
      </w:r>
      <w:r w:rsidRPr="009A3C86">
        <w:rPr>
          <w:rFonts w:ascii="Times New Roman" w:hAnsi="Times New Roman"/>
          <w:b/>
          <w:sz w:val="24"/>
          <w:szCs w:val="24"/>
        </w:rPr>
        <w:t>§ 1</w:t>
      </w:r>
      <w:r w:rsidRPr="009A3C86">
        <w:rPr>
          <w:rFonts w:ascii="Times New Roman" w:hAnsi="Times New Roman"/>
          <w:sz w:val="24"/>
          <w:szCs w:val="24"/>
        </w:rPr>
        <w:t xml:space="preserve"> lub </w:t>
      </w:r>
      <w:r w:rsidRPr="009A3C86">
        <w:rPr>
          <w:rFonts w:ascii="Times New Roman" w:hAnsi="Times New Roman"/>
          <w:b/>
          <w:sz w:val="24"/>
          <w:szCs w:val="24"/>
        </w:rPr>
        <w:t>2</w:t>
      </w:r>
      <w:r w:rsidRPr="009A3C86">
        <w:rPr>
          <w:rFonts w:ascii="Times New Roman" w:hAnsi="Times New Roman"/>
          <w:sz w:val="24"/>
          <w:szCs w:val="24"/>
        </w:rPr>
        <w:t xml:space="preserve">. Pełnomocnik tymczasowy wyznaczany dla osoby nieobecnej w sprawach niecierpiących zwłoki będzie uprawniony do dokonywania w imieniu tej osoby wszystkich czynności procesowych. Proponowane rozwiązanie zapewni organowi podatkowemu możliwość wszczęcia postępowania podatkowego w przypadku braku kontaktu za stroną, przy jednoczesnym zagwarantowaniu reprezentacji przez członka rodziny lub profesjonalnej reprezentacji (przez doradcę podatkowego, radcę prawnego lub adwokata) w trakcie postępowania podatkowego w czasie jej nieobecności i właściwej ochrony jej interesów. W </w:t>
      </w:r>
      <w:r w:rsidRPr="009A3C86">
        <w:rPr>
          <w:rFonts w:ascii="Times New Roman" w:hAnsi="Times New Roman"/>
          <w:b/>
          <w:sz w:val="24"/>
          <w:szCs w:val="24"/>
        </w:rPr>
        <w:t xml:space="preserve">art. </w:t>
      </w:r>
      <w:r w:rsidR="009D052C" w:rsidRPr="009A3C86">
        <w:rPr>
          <w:rFonts w:ascii="Times New Roman" w:hAnsi="Times New Roman"/>
          <w:b/>
          <w:sz w:val="24"/>
          <w:szCs w:val="24"/>
        </w:rPr>
        <w:t xml:space="preserve">68 </w:t>
      </w:r>
      <w:r w:rsidRPr="009A3C86">
        <w:rPr>
          <w:rFonts w:ascii="Times New Roman" w:hAnsi="Times New Roman"/>
          <w:b/>
          <w:sz w:val="24"/>
          <w:szCs w:val="24"/>
        </w:rPr>
        <w:t>§ 3</w:t>
      </w:r>
      <w:r w:rsidRPr="009A3C86">
        <w:rPr>
          <w:rFonts w:ascii="Times New Roman" w:hAnsi="Times New Roman"/>
          <w:sz w:val="24"/>
          <w:szCs w:val="24"/>
        </w:rPr>
        <w:t xml:space="preserve"> Ordynacji podatkowej wskazano natomiast przepisy regulujące kwestie ustalania wynagrodzenia oraz zwrotu kosztów z tytułu wykonywania czynności tymczasowego pełnomocnika szczególnego. W tym zakresie art. </w:t>
      </w:r>
      <w:r w:rsidR="00B9669A" w:rsidRPr="009A3C86">
        <w:rPr>
          <w:rFonts w:ascii="Times New Roman" w:hAnsi="Times New Roman"/>
          <w:sz w:val="24"/>
          <w:szCs w:val="24"/>
        </w:rPr>
        <w:t xml:space="preserve">68 </w:t>
      </w:r>
      <w:r w:rsidRPr="009A3C86">
        <w:rPr>
          <w:rFonts w:ascii="Times New Roman" w:hAnsi="Times New Roman"/>
          <w:sz w:val="24"/>
          <w:szCs w:val="24"/>
        </w:rPr>
        <w:t>§ 3 Ordynacji podatkowej zawiera odesłanie do odpowiedniego stosowania przepisów o opłatach za czynności doradców podatkowych, adwokatów i radców prawnych w zakresie ponoszenia kosztów nieopłaconej pomocy prawnej oraz zwrotu niezbędnych i udokumentowanych wydatków.</w:t>
      </w:r>
    </w:p>
    <w:p w:rsidR="00FA30AA" w:rsidRPr="009A3C86" w:rsidRDefault="00FA30AA"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 xml:space="preserve">Rozdział </w:t>
      </w:r>
      <w:r w:rsidR="00995572" w:rsidRPr="009A3C86">
        <w:rPr>
          <w:rFonts w:ascii="Times New Roman" w:hAnsi="Times New Roman"/>
          <w:b/>
          <w:bCs/>
          <w:sz w:val="24"/>
          <w:szCs w:val="24"/>
        </w:rPr>
        <w:t>6</w:t>
      </w:r>
      <w:r w:rsidRPr="009A3C86">
        <w:rPr>
          <w:rFonts w:ascii="Times New Roman" w:hAnsi="Times New Roman"/>
          <w:b/>
          <w:bCs/>
          <w:sz w:val="24"/>
          <w:szCs w:val="24"/>
        </w:rPr>
        <w:t>. Organy podatkowe i ich właściwość</w:t>
      </w:r>
    </w:p>
    <w:p w:rsidR="00FA30AA" w:rsidRPr="009A3C86" w:rsidRDefault="00FA30AA" w:rsidP="00FA30AA">
      <w:pPr>
        <w:keepNext/>
        <w:keepLines/>
        <w:spacing w:after="0" w:line="360" w:lineRule="auto"/>
        <w:jc w:val="both"/>
        <w:outlineLvl w:val="3"/>
        <w:rPr>
          <w:rFonts w:ascii="Times New Roman" w:eastAsia="Times New Roman" w:hAnsi="Times New Roman"/>
          <w:b/>
          <w:iCs/>
          <w:sz w:val="24"/>
          <w:szCs w:val="24"/>
        </w:rPr>
      </w:pPr>
      <w:r w:rsidRPr="009A3C86">
        <w:rPr>
          <w:rFonts w:ascii="Times New Roman" w:eastAsia="Times New Roman" w:hAnsi="Times New Roman"/>
          <w:b/>
          <w:iCs/>
          <w:sz w:val="24"/>
          <w:szCs w:val="24"/>
        </w:rPr>
        <w:t>Oddział 1. Organy podatkowe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 Projektowane przepisy uwzględniają unifikację struktur administracji podatkowej, kontroli skarbowej i Służby Celnej wprowadzone ustawą z dnia 16 listopada 2016 r. o Krajowej Administracji Skarbowej (Dz. U. z 2018 r. poz. 508 z późn. zm.). Wprowadzony z dniem 1 marca 2017 r. nowy ustrój organów podatkowych jest konsekwencją zniesienia organów Służby Celnej oraz organów kontroli skarbowej oraz przekształcenia izby skarbowej w izbę administracji skarbowej, która działa w połączeniu z funkcjonującą do końca lutego 2017 r. w tym samym województwie izbą celną oraz częściowo urzędem kontroli skarbowej. Nowe organy Krajowej Administracji Skarbowej zostały enumeratywnie wyliczone w art. 11 ustawy o Krajowej Administracji Skarbowej, a w konsekwencji uwzględniono te organy w projektowanych przepisach dotyczących organów podatkowych.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Organy podatkowe, a właściwie administrację skarbową w rozumieniu powyższych przepisów można zdefiniować jako organizatorską działalność państwa w dziedzinie gromadzenia środków publicznych, obejmującą od strony przedmiotowej podatki państwowe i samorządowe, a także niepodatkowe należności budżetowe, a obowiązek ich ponoszenia na rzecz tych podmiotów wynika z ustaw</w:t>
      </w:r>
      <w:r w:rsidRPr="009A3C86">
        <w:rPr>
          <w:rFonts w:ascii="Times New Roman" w:hAnsi="Times New Roman"/>
          <w:sz w:val="24"/>
          <w:szCs w:val="24"/>
          <w:vertAlign w:val="superscript"/>
        </w:rPr>
        <w:footnoteReference w:id="152"/>
      </w:r>
      <w:r w:rsidRPr="009A3C86">
        <w:rPr>
          <w:rFonts w:ascii="Times New Roman" w:hAnsi="Times New Roman"/>
          <w:sz w:val="24"/>
          <w:szCs w:val="24"/>
        </w:rPr>
        <w:t xml:space="preserve">. Działalność organów podatkowych (administracji </w:t>
      </w:r>
      <w:r w:rsidRPr="009A3C86">
        <w:rPr>
          <w:rFonts w:ascii="Times New Roman" w:hAnsi="Times New Roman"/>
          <w:sz w:val="24"/>
          <w:szCs w:val="24"/>
        </w:rPr>
        <w:lastRenderedPageBreak/>
        <w:t>skarbowej) obejmuje zatem z jednej strony zarządzanie daninami publicznymi, przez co należy rozumieć kierowanie i organizowanie wykonywania przez organy skarbowe prawa podatkowego oraz realizację funkcji edukacyjnej, z drugiej natomiast, samo wykonywanie publicznej działalności państwa w zakresie prawa podatkowego, rozumiane jako: rejestracja, wymiar, weryfikacja, kontrola, pobór i windykacja, ale również funkcja prewencyjna, informacyjna oraz dochodzeniowo-śledcza</w:t>
      </w:r>
      <w:r w:rsidRPr="009A3C86">
        <w:rPr>
          <w:rFonts w:ascii="Times New Roman" w:hAnsi="Times New Roman"/>
          <w:sz w:val="24"/>
          <w:szCs w:val="24"/>
          <w:vertAlign w:val="superscript"/>
        </w:rPr>
        <w:footnoteReference w:id="153"/>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2. Biorąc pod uwagę zróżnicowanie organów podatkowych przede wszystkim pod względem ustrojowo-organizacyjnym, ale także ze względu na odmienną właściwość wynikającą z przepisów szczególnych, a w konsekwencji zróżnicowany zakres przyznanych kompetencji w zaproponowanych przepisach zrezygnowano ze zdefiniowania pojęcia organów podatkowych na rzecz enumeratywnego ich wyliczenia w </w:t>
      </w:r>
      <w:r w:rsidRPr="009A3C86">
        <w:rPr>
          <w:rFonts w:ascii="Times New Roman" w:hAnsi="Times New Roman"/>
          <w:b/>
          <w:sz w:val="24"/>
          <w:szCs w:val="24"/>
        </w:rPr>
        <w:t xml:space="preserve">art. </w:t>
      </w:r>
      <w:r w:rsidR="00F70EA1" w:rsidRPr="009A3C86">
        <w:rPr>
          <w:rFonts w:ascii="Times New Roman" w:hAnsi="Times New Roman"/>
          <w:b/>
          <w:sz w:val="24"/>
          <w:szCs w:val="24"/>
        </w:rPr>
        <w:t xml:space="preserve">69 </w:t>
      </w:r>
      <w:r w:rsidRPr="009A3C86">
        <w:rPr>
          <w:rFonts w:ascii="Times New Roman" w:hAnsi="Times New Roman"/>
          <w:b/>
          <w:sz w:val="24"/>
          <w:szCs w:val="24"/>
        </w:rPr>
        <w:t>§ 1</w:t>
      </w:r>
      <w:r w:rsidRPr="009A3C86">
        <w:rPr>
          <w:rFonts w:ascii="Times New Roman" w:hAnsi="Times New Roman"/>
          <w:sz w:val="24"/>
          <w:szCs w:val="24"/>
        </w:rPr>
        <w:t xml:space="preserve"> projektowanych przepisów. Inny jest bowiem zakres działania organu podatkowego pierwszej instancji w porównaniu do organu odwoławczego, czy też organu podatkowego państwowego (na poziomie centralnym lub terenowym) i samorządowego. Przepis </w:t>
      </w:r>
      <w:r w:rsidRPr="009A3C86">
        <w:rPr>
          <w:rFonts w:ascii="Times New Roman" w:hAnsi="Times New Roman"/>
          <w:b/>
          <w:sz w:val="24"/>
          <w:szCs w:val="24"/>
        </w:rPr>
        <w:t xml:space="preserve">art. </w:t>
      </w:r>
      <w:r w:rsidR="00F70EA1" w:rsidRPr="009A3C86">
        <w:rPr>
          <w:rFonts w:ascii="Times New Roman" w:hAnsi="Times New Roman"/>
          <w:b/>
          <w:sz w:val="24"/>
          <w:szCs w:val="24"/>
        </w:rPr>
        <w:t>69</w:t>
      </w:r>
      <w:r w:rsidR="00F70EA1" w:rsidRPr="009A3C86">
        <w:rPr>
          <w:rFonts w:ascii="Times New Roman" w:hAnsi="Times New Roman"/>
          <w:sz w:val="24"/>
          <w:szCs w:val="24"/>
        </w:rPr>
        <w:t xml:space="preserve"> </w:t>
      </w:r>
      <w:r w:rsidRPr="009A3C86">
        <w:rPr>
          <w:rFonts w:ascii="Times New Roman" w:hAnsi="Times New Roman"/>
          <w:sz w:val="24"/>
          <w:szCs w:val="24"/>
        </w:rPr>
        <w:t xml:space="preserve">projektu zawiera wyliczenie rodzajów organów podatkowych, które funkcjonują w Polsce. Wśród nich możemy wyróżnić dwie kategorie organów: państwowe i samorządowe. Podział ten jest związany z występowaniem w polskim systemie finansów publicznych podatków stanowiących dochód budżetu państwa oraz dochód jednostek samorządu terytorialnego.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3. Do pierwszej kategorii organów podatkowych należą naczelnicy urzędów skarbowych, naczelnicy urzędów celno-skarbowych, dyrektorzy izb administracji skarbowej, Szef Krajowej Administracji Skarbowej, Dyrektor Krajowej Informacji Skarbowej oraz minister właściwy do spraw finansów publicznych</w:t>
      </w:r>
      <w:r w:rsidRPr="009A3C86">
        <w:rPr>
          <w:rFonts w:ascii="Times New Roman" w:hAnsi="Times New Roman"/>
          <w:sz w:val="24"/>
          <w:szCs w:val="24"/>
          <w:vertAlign w:val="superscript"/>
        </w:rPr>
        <w:footnoteReference w:id="154"/>
      </w:r>
      <w:r w:rsidRPr="009A3C86">
        <w:rPr>
          <w:rFonts w:ascii="Times New Roman" w:hAnsi="Times New Roman"/>
          <w:sz w:val="24"/>
          <w:szCs w:val="24"/>
        </w:rPr>
        <w:t>. Organy te realizują podatki stanowiące dochód budżetu państwa oraz niektóre daniny stanowiące dochód budżetu gminy (karta podatkowa, podatek od czynności cywilnoprawnych, podatek od spadków i darowizn). Samorządowymi organami podatkowymi są natomiast: wójt</w:t>
      </w:r>
      <w:r w:rsidR="00CA7437" w:rsidRPr="009A3C86">
        <w:rPr>
          <w:rFonts w:ascii="Times New Roman" w:hAnsi="Times New Roman"/>
          <w:sz w:val="24"/>
          <w:szCs w:val="24"/>
        </w:rPr>
        <w:t xml:space="preserve"> (</w:t>
      </w:r>
      <w:r w:rsidRPr="009A3C86">
        <w:rPr>
          <w:rFonts w:ascii="Times New Roman" w:hAnsi="Times New Roman"/>
          <w:sz w:val="24"/>
          <w:szCs w:val="24"/>
        </w:rPr>
        <w:t>burmistrz</w:t>
      </w:r>
      <w:r w:rsidR="00CA7437" w:rsidRPr="009A3C86">
        <w:rPr>
          <w:rFonts w:ascii="Times New Roman" w:hAnsi="Times New Roman"/>
          <w:sz w:val="24"/>
          <w:szCs w:val="24"/>
        </w:rPr>
        <w:t xml:space="preserve">, </w:t>
      </w:r>
      <w:r w:rsidRPr="009A3C86">
        <w:rPr>
          <w:rFonts w:ascii="Times New Roman" w:hAnsi="Times New Roman"/>
          <w:sz w:val="24"/>
          <w:szCs w:val="24"/>
        </w:rPr>
        <w:t>prezydent</w:t>
      </w:r>
      <w:r w:rsidR="00CA7437" w:rsidRPr="009A3C86">
        <w:rPr>
          <w:rFonts w:ascii="Times New Roman" w:hAnsi="Times New Roman"/>
          <w:sz w:val="24"/>
          <w:szCs w:val="24"/>
        </w:rPr>
        <w:t xml:space="preserve"> miasta</w:t>
      </w:r>
      <w:r w:rsidRPr="009A3C86">
        <w:rPr>
          <w:rFonts w:ascii="Times New Roman" w:hAnsi="Times New Roman"/>
          <w:sz w:val="24"/>
          <w:szCs w:val="24"/>
        </w:rPr>
        <w:t>), starosta, marszałek województwa, czyli samorządowe organy podatkowe, które zostały zdefiniowane w art. 13 pkt 1</w:t>
      </w:r>
      <w:r w:rsidR="00D14FD6" w:rsidRPr="009A3C86">
        <w:rPr>
          <w:rFonts w:ascii="Times New Roman" w:hAnsi="Times New Roman"/>
          <w:sz w:val="24"/>
          <w:szCs w:val="24"/>
        </w:rPr>
        <w:t>7</w:t>
      </w:r>
      <w:r w:rsidRPr="009A3C86">
        <w:rPr>
          <w:rFonts w:ascii="Times New Roman" w:hAnsi="Times New Roman"/>
          <w:sz w:val="24"/>
          <w:szCs w:val="24"/>
        </w:rPr>
        <w:t xml:space="preserve"> ordynacji podatkowej oraz samorządowe kolegium odwoławcze.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Uprawnienia naczelnika urzędu skarbowego, naczelnika urzędu celno-skarbowego oraz dyrektora izby administracji skarbowej jako organu podatkowego w zakresie spraw podatkowych przyznano również radcy skarbowemu, który wykonuje czynności orzecznicze w </w:t>
      </w:r>
      <w:r w:rsidRPr="009A3C86">
        <w:rPr>
          <w:rFonts w:ascii="Times New Roman" w:hAnsi="Times New Roman"/>
          <w:sz w:val="24"/>
          <w:szCs w:val="24"/>
        </w:rPr>
        <w:lastRenderedPageBreak/>
        <w:t>tym organie (</w:t>
      </w:r>
      <w:r w:rsidRPr="009A3C86">
        <w:rPr>
          <w:rFonts w:ascii="Times New Roman" w:hAnsi="Times New Roman"/>
          <w:b/>
          <w:sz w:val="24"/>
          <w:szCs w:val="24"/>
        </w:rPr>
        <w:t xml:space="preserve">art. </w:t>
      </w:r>
      <w:r w:rsidR="00F70EA1" w:rsidRPr="009A3C86">
        <w:rPr>
          <w:rFonts w:ascii="Times New Roman" w:hAnsi="Times New Roman"/>
          <w:b/>
          <w:sz w:val="24"/>
          <w:szCs w:val="24"/>
        </w:rPr>
        <w:t xml:space="preserve">69 </w:t>
      </w:r>
      <w:r w:rsidRPr="009A3C86">
        <w:rPr>
          <w:rFonts w:ascii="Times New Roman" w:hAnsi="Times New Roman"/>
          <w:b/>
          <w:sz w:val="24"/>
          <w:szCs w:val="24"/>
        </w:rPr>
        <w:t>§ 5</w:t>
      </w:r>
      <w:r w:rsidRPr="009A3C86">
        <w:rPr>
          <w:rFonts w:ascii="Times New Roman" w:hAnsi="Times New Roman"/>
          <w:sz w:val="24"/>
          <w:szCs w:val="24"/>
        </w:rPr>
        <w:t xml:space="preserve">). Instytucja ta została wprowadzona ustawą o Krajowej Administracji Skarbowej, funkcjonuje od </w:t>
      </w:r>
      <w:r w:rsidR="008A7AA2" w:rsidRPr="009A3C86">
        <w:rPr>
          <w:rFonts w:ascii="Times New Roman" w:hAnsi="Times New Roman"/>
          <w:sz w:val="24"/>
          <w:szCs w:val="24"/>
        </w:rPr>
        <w:t>0</w:t>
      </w:r>
      <w:r w:rsidRPr="009A3C86">
        <w:rPr>
          <w:rFonts w:ascii="Times New Roman" w:hAnsi="Times New Roman"/>
          <w:sz w:val="24"/>
          <w:szCs w:val="24"/>
        </w:rPr>
        <w:t>1.</w:t>
      </w:r>
      <w:r w:rsidR="008A7AA2" w:rsidRPr="009A3C86">
        <w:rPr>
          <w:rFonts w:ascii="Times New Roman" w:hAnsi="Times New Roman"/>
          <w:sz w:val="24"/>
          <w:szCs w:val="24"/>
        </w:rPr>
        <w:t>0</w:t>
      </w:r>
      <w:r w:rsidRPr="009A3C86">
        <w:rPr>
          <w:rFonts w:ascii="Times New Roman" w:hAnsi="Times New Roman"/>
          <w:sz w:val="24"/>
          <w:szCs w:val="24"/>
        </w:rPr>
        <w:t xml:space="preserve">3.2017 r. i jest </w:t>
      </w:r>
      <w:r w:rsidRPr="009A3C86">
        <w:rPr>
          <w:rFonts w:ascii="Times New Roman" w:hAnsi="Times New Roman"/>
          <w:i/>
          <w:sz w:val="24"/>
          <w:szCs w:val="24"/>
        </w:rPr>
        <w:t>de facto</w:t>
      </w:r>
      <w:r w:rsidRPr="009A3C86">
        <w:rPr>
          <w:rFonts w:ascii="Times New Roman" w:hAnsi="Times New Roman"/>
          <w:sz w:val="24"/>
          <w:szCs w:val="24"/>
        </w:rPr>
        <w:t xml:space="preserve"> odpowiednikiem dekoncentracji zadań powyższych organów w ramach danej jednostki organizacyjnej.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Zarówno Szef Krajowej Administracji Skarbowej (</w:t>
      </w:r>
      <w:r w:rsidRPr="009A3C86">
        <w:rPr>
          <w:rFonts w:ascii="Times New Roman" w:hAnsi="Times New Roman"/>
          <w:b/>
          <w:sz w:val="24"/>
          <w:szCs w:val="24"/>
        </w:rPr>
        <w:t xml:space="preserve">art. </w:t>
      </w:r>
      <w:r w:rsidR="00F70EA1" w:rsidRPr="009A3C86">
        <w:rPr>
          <w:rFonts w:ascii="Times New Roman" w:hAnsi="Times New Roman"/>
          <w:b/>
          <w:sz w:val="24"/>
          <w:szCs w:val="24"/>
        </w:rPr>
        <w:t xml:space="preserve">69 </w:t>
      </w:r>
      <w:r w:rsidRPr="009A3C86">
        <w:rPr>
          <w:rFonts w:ascii="Times New Roman" w:hAnsi="Times New Roman"/>
          <w:b/>
          <w:sz w:val="24"/>
          <w:szCs w:val="24"/>
        </w:rPr>
        <w:t>§ 2</w:t>
      </w:r>
      <w:r w:rsidRPr="009A3C86">
        <w:rPr>
          <w:rFonts w:ascii="Times New Roman" w:hAnsi="Times New Roman"/>
          <w:sz w:val="24"/>
          <w:szCs w:val="24"/>
        </w:rPr>
        <w:t>), jak i minister właściwy do spraw finansów publicznych (</w:t>
      </w:r>
      <w:r w:rsidRPr="009A3C86">
        <w:rPr>
          <w:rFonts w:ascii="Times New Roman" w:hAnsi="Times New Roman"/>
          <w:b/>
          <w:sz w:val="24"/>
          <w:szCs w:val="24"/>
        </w:rPr>
        <w:t xml:space="preserve">art. </w:t>
      </w:r>
      <w:r w:rsidR="00F70EA1" w:rsidRPr="009A3C86">
        <w:rPr>
          <w:rFonts w:ascii="Times New Roman" w:hAnsi="Times New Roman"/>
          <w:b/>
          <w:sz w:val="24"/>
          <w:szCs w:val="24"/>
        </w:rPr>
        <w:t xml:space="preserve">69 </w:t>
      </w:r>
      <w:r w:rsidRPr="009A3C86">
        <w:rPr>
          <w:rFonts w:ascii="Times New Roman" w:hAnsi="Times New Roman"/>
          <w:b/>
          <w:sz w:val="24"/>
          <w:szCs w:val="24"/>
        </w:rPr>
        <w:t>§ 4</w:t>
      </w:r>
      <w:r w:rsidRPr="009A3C86">
        <w:rPr>
          <w:rFonts w:ascii="Times New Roman" w:hAnsi="Times New Roman"/>
          <w:sz w:val="24"/>
          <w:szCs w:val="24"/>
        </w:rPr>
        <w:t xml:space="preserve">) jest organem podatkowym w rozumieniu projektowanej ordynacji podatkowej w przypadku, gdy działa w sytuacjach wymienionych w tych przepisach.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Minister właściwy do spraw finansów publicznych jest organem podatkowym w sprawach interpretacji przepisów prawa podatkowego, informacji ogólnych i objaśnień podatkowych, ale również w zakresie uchylenia lub zmiany decyzji ostatecznej, jeżeli wniesie o to Rzecznik Praw Podatnika oraz w inny sposób nie można usunąć stanu zagrażającego szczególnie ważnemu interesowi zobowiązanego.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Odrębnym organem podatkowym w sprawach dotyczących wydawania interpretacji indywidualnych przepisów prawa podatkowego jest Dyrektor Krajowej Informacji Skarbowej (</w:t>
      </w:r>
      <w:r w:rsidRPr="009A3C86">
        <w:rPr>
          <w:rFonts w:ascii="Times New Roman" w:hAnsi="Times New Roman"/>
          <w:b/>
          <w:sz w:val="24"/>
          <w:szCs w:val="24"/>
        </w:rPr>
        <w:t xml:space="preserve">art. </w:t>
      </w:r>
      <w:r w:rsidR="004A0436" w:rsidRPr="009A3C86">
        <w:rPr>
          <w:rFonts w:ascii="Times New Roman" w:hAnsi="Times New Roman"/>
          <w:b/>
          <w:sz w:val="24"/>
          <w:szCs w:val="24"/>
        </w:rPr>
        <w:t xml:space="preserve">69 </w:t>
      </w:r>
      <w:r w:rsidRPr="009A3C86">
        <w:rPr>
          <w:rFonts w:ascii="Times New Roman" w:hAnsi="Times New Roman"/>
          <w:b/>
          <w:sz w:val="24"/>
          <w:szCs w:val="24"/>
        </w:rPr>
        <w:t>§ 3</w:t>
      </w:r>
      <w:r w:rsidRPr="009A3C86">
        <w:rPr>
          <w:rFonts w:ascii="Times New Roman" w:hAnsi="Times New Roman"/>
          <w:sz w:val="24"/>
          <w:szCs w:val="24"/>
        </w:rPr>
        <w:t xml:space="preserve">). Zgodnie z ustawą o Krajowej Administracji Skarbowej organ ten jest również odpowiedzialny za zapewnienie jednolitej i powszechnie dostępnej informacji podatkowej i celnej (w tym jej przetwarzanie i udostępnianie) oraz identyfikowanie obszarów zagrożeń mogących mieć wpływ na prawidłowość wykonywania obowiązków podatkowych i celnych.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Wskazać należy również, iż wszystkie organy podatkowe, bez względu na ich właściwość (rzeczową, miejscową czy instancyjną) mają obowiązek udzielania informacji w zakresie prawa podatkowego i wsparcia w samodzielnym, prawidłowym i dobrowolnym wykonywaniu jego obowiązków i korzystaniu z praw, jednakże główną rolę w tym zakresie powinien odgrywać Dyrektor Krajowej Informacji Skarbowej.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Przyjęta natomiast w projektowanej ordynacji podatkowej koncepcja organu odwoławczego różni się od metody zastosowanej w Kodeksie postępowania administracyjnego (art. 17) i w obowiązującej do końca lutego 2017 r. ustawie o kontroli skarbowej (art. 8), gdzie ustawodawca posłużył się wyłącznie określeniem „organ wyższego stopnia”. Podobnie jak dotychczas w art. </w:t>
      </w:r>
      <w:r w:rsidR="004A0436" w:rsidRPr="009A3C86">
        <w:rPr>
          <w:rFonts w:ascii="Times New Roman" w:hAnsi="Times New Roman"/>
          <w:b/>
          <w:sz w:val="24"/>
          <w:szCs w:val="24"/>
        </w:rPr>
        <w:t xml:space="preserve">69 </w:t>
      </w:r>
      <w:r w:rsidRPr="009A3C86">
        <w:rPr>
          <w:rFonts w:ascii="Times New Roman" w:hAnsi="Times New Roman"/>
          <w:b/>
          <w:sz w:val="24"/>
          <w:szCs w:val="24"/>
        </w:rPr>
        <w:t>§ 1 i 2</w:t>
      </w:r>
      <w:r w:rsidRPr="009A3C86">
        <w:rPr>
          <w:rFonts w:ascii="Times New Roman" w:hAnsi="Times New Roman"/>
          <w:sz w:val="24"/>
          <w:szCs w:val="24"/>
        </w:rPr>
        <w:t xml:space="preserve"> projektowanych przepisów nie zdefiniowano pojęcia organu odwoławczego, wymieniając </w:t>
      </w:r>
      <w:r w:rsidRPr="009A3C86">
        <w:rPr>
          <w:rFonts w:ascii="Times New Roman" w:hAnsi="Times New Roman"/>
          <w:i/>
          <w:iCs/>
          <w:sz w:val="24"/>
          <w:szCs w:val="24"/>
        </w:rPr>
        <w:t xml:space="preserve">expressis verbis </w:t>
      </w:r>
      <w:r w:rsidRPr="009A3C86">
        <w:rPr>
          <w:rFonts w:ascii="Times New Roman" w:hAnsi="Times New Roman"/>
          <w:sz w:val="24"/>
          <w:szCs w:val="24"/>
        </w:rPr>
        <w:t xml:space="preserve">organy, które należy uznać za odwoławcze. To taksatywne wyliczenie przyjęto jako element pozwalający na określenie właściwości instancyjnej organów podatkowych. Zgodnie z </w:t>
      </w:r>
      <w:r w:rsidRPr="009A3C86">
        <w:rPr>
          <w:rFonts w:ascii="Times New Roman" w:hAnsi="Times New Roman"/>
          <w:b/>
          <w:sz w:val="24"/>
          <w:szCs w:val="24"/>
        </w:rPr>
        <w:t xml:space="preserve">art. </w:t>
      </w:r>
      <w:r w:rsidR="004A0436" w:rsidRPr="009A3C86">
        <w:rPr>
          <w:rFonts w:ascii="Times New Roman" w:hAnsi="Times New Roman"/>
          <w:b/>
          <w:sz w:val="24"/>
          <w:szCs w:val="24"/>
        </w:rPr>
        <w:t xml:space="preserve">69 </w:t>
      </w:r>
      <w:r w:rsidRPr="009A3C86">
        <w:rPr>
          <w:rFonts w:ascii="Times New Roman" w:hAnsi="Times New Roman"/>
          <w:b/>
          <w:sz w:val="24"/>
          <w:szCs w:val="24"/>
        </w:rPr>
        <w:t>§ 1 pkt 2</w:t>
      </w:r>
      <w:r w:rsidRPr="009A3C86">
        <w:rPr>
          <w:rFonts w:ascii="Times New Roman" w:hAnsi="Times New Roman"/>
          <w:sz w:val="24"/>
          <w:szCs w:val="24"/>
        </w:rPr>
        <w:t xml:space="preserve">, identycznie jak obecnie, organem odwoławczym od decyzji naczelnika urzędu celno-skarbowego jest ten sam organ, który wydał zaskarżoną decyzję w pierwszej instancji. Pozostawiono zatem brak dewolutywności w tym zakresie przede wszystkim ze względu na brzmienie przepisów ustawy o Krajowej Administracji </w:t>
      </w:r>
      <w:r w:rsidRPr="009A3C86">
        <w:rPr>
          <w:rFonts w:ascii="Times New Roman" w:hAnsi="Times New Roman"/>
          <w:sz w:val="24"/>
          <w:szCs w:val="24"/>
        </w:rPr>
        <w:lastRenderedPageBreak/>
        <w:t>Skarbowej, pomimo iż przedmiotem kontroli celno-skarbowej są sprawy skomplikowane i charakteryzujące się wysokim ciężarem gatunkowym ze względu na bezpieczeństwo finansowe państwa.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5. Organy wyższego stopnia zostały natomiast enumeratywnie wymienione w </w:t>
      </w:r>
      <w:r w:rsidRPr="009A3C86">
        <w:rPr>
          <w:rFonts w:ascii="Times New Roman" w:hAnsi="Times New Roman"/>
          <w:b/>
          <w:sz w:val="24"/>
          <w:szCs w:val="24"/>
        </w:rPr>
        <w:t xml:space="preserve">art. </w:t>
      </w:r>
      <w:r w:rsidR="004A0436" w:rsidRPr="009A3C86">
        <w:rPr>
          <w:rFonts w:ascii="Times New Roman" w:hAnsi="Times New Roman"/>
          <w:b/>
          <w:sz w:val="24"/>
          <w:szCs w:val="24"/>
        </w:rPr>
        <w:t xml:space="preserve">69 </w:t>
      </w:r>
      <w:r w:rsidRPr="009A3C86">
        <w:rPr>
          <w:rFonts w:ascii="Times New Roman" w:hAnsi="Times New Roman"/>
          <w:b/>
          <w:sz w:val="24"/>
          <w:szCs w:val="24"/>
        </w:rPr>
        <w:t>§ 6</w:t>
      </w:r>
      <w:r w:rsidRPr="009A3C86">
        <w:rPr>
          <w:rFonts w:ascii="Times New Roman" w:hAnsi="Times New Roman"/>
          <w:sz w:val="24"/>
          <w:szCs w:val="24"/>
        </w:rPr>
        <w:t xml:space="preserve"> projektu w przeciwieństwie do dotychczas obowiązującego przepisu art. 13 § </w:t>
      </w:r>
      <w:r w:rsidR="00B7306D" w:rsidRPr="009A3C86">
        <w:rPr>
          <w:rFonts w:ascii="Times New Roman" w:hAnsi="Times New Roman"/>
          <w:sz w:val="24"/>
          <w:szCs w:val="24"/>
        </w:rPr>
        <w:t xml:space="preserve">3 </w:t>
      </w:r>
      <w:r w:rsidRPr="009A3C86">
        <w:rPr>
          <w:rFonts w:ascii="Times New Roman" w:hAnsi="Times New Roman"/>
          <w:sz w:val="24"/>
          <w:szCs w:val="24"/>
        </w:rPr>
        <w:t xml:space="preserve">ordynacji podatkowej stanowiącego, iż organem wyższego stopnia jest organ odwoławczy. Posługiwanie się pojęciem „organ odwoławczy” przy określaniu pozycji organów wyższego stopnia należy bowiem uznać za niewłaściwe, ponieważ organ wyższego stopnia nie może być z góry traktowany w postępowaniu podatkowym jako organ odwoławczy. Może on występować w tej roli dopiero wówczas, gdy zostanie wniesione odwołanie od decyzji lub zażalenie na postanowienie organu pierwszej instancji. Organ odwoławczy może działać z urzędu w trybie nadzoru, gdy prowadzi postępowanie w sprawie stwierdzenia nieważności decyzji lub rozstrzyga o wznowieniu postępowania, gdy przyczyną wznowienia postępowania było działanie tego organu, który wydał decyzję w ostatniej instancji. Pozostawienie dotychczasowych regulacji skutkowałoby błędnym zastosowaniem przez organ wyższego stopnia w postępowaniu odwoławczym kompetencji przysługujących w postępowaniu prowadzonym w trybie nadzoru.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6. W </w:t>
      </w:r>
      <w:r w:rsidRPr="009A3C86">
        <w:rPr>
          <w:rFonts w:ascii="Times New Roman" w:hAnsi="Times New Roman"/>
          <w:b/>
          <w:sz w:val="24"/>
          <w:szCs w:val="24"/>
        </w:rPr>
        <w:t xml:space="preserve">art. </w:t>
      </w:r>
      <w:r w:rsidR="004A0436" w:rsidRPr="009A3C86">
        <w:rPr>
          <w:rFonts w:ascii="Times New Roman" w:hAnsi="Times New Roman"/>
          <w:b/>
          <w:sz w:val="24"/>
          <w:szCs w:val="24"/>
        </w:rPr>
        <w:t>70</w:t>
      </w:r>
      <w:r w:rsidR="004A0436" w:rsidRPr="009A3C86">
        <w:rPr>
          <w:rFonts w:ascii="Times New Roman" w:hAnsi="Times New Roman"/>
          <w:sz w:val="24"/>
          <w:szCs w:val="24"/>
        </w:rPr>
        <w:t xml:space="preserve"> </w:t>
      </w:r>
      <w:r w:rsidRPr="009A3C86">
        <w:rPr>
          <w:rFonts w:ascii="Times New Roman" w:hAnsi="Times New Roman"/>
          <w:sz w:val="24"/>
          <w:szCs w:val="24"/>
        </w:rPr>
        <w:t>pozostawiono upoważnienie ustawowe dla Rady Ministrów do nadawania w drodze rozporządzenia uprawnień organów podatkowych, jeśli jest to uzasadnione wymogami bezpieczeństwa państwa i ochroną informacji niejawnych. W praktyce Rada Ministrów korzystała z tych kompetencji</w:t>
      </w:r>
      <w:r w:rsidRPr="009A3C86">
        <w:rPr>
          <w:rFonts w:ascii="Times New Roman" w:hAnsi="Times New Roman"/>
          <w:sz w:val="24"/>
          <w:szCs w:val="24"/>
          <w:vertAlign w:val="superscript"/>
        </w:rPr>
        <w:footnoteReference w:id="155"/>
      </w:r>
      <w:r w:rsidRPr="009A3C86">
        <w:rPr>
          <w:rFonts w:ascii="Times New Roman" w:hAnsi="Times New Roman"/>
          <w:sz w:val="24"/>
          <w:szCs w:val="24"/>
        </w:rPr>
        <w:t>, a zakres właściwości rzeczowej tych quasi-organów obejmował jedynie podatek dochodowy od osób fizycznych, należny od uzyskanych od tych organów przychodów przez funkcjonariuszy lub innych podatników wykonujących czynności objęte ochroną, ze stosunku służbowego, stosunku pracy lub z działalności wykonywanej osobiście.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7. W </w:t>
      </w:r>
      <w:r w:rsidRPr="009A3C86">
        <w:rPr>
          <w:rFonts w:ascii="Times New Roman" w:hAnsi="Times New Roman"/>
          <w:b/>
          <w:sz w:val="24"/>
          <w:szCs w:val="24"/>
        </w:rPr>
        <w:t xml:space="preserve">art. </w:t>
      </w:r>
      <w:r w:rsidR="004A0436" w:rsidRPr="009A3C86">
        <w:rPr>
          <w:rFonts w:ascii="Times New Roman" w:hAnsi="Times New Roman"/>
          <w:b/>
          <w:sz w:val="24"/>
          <w:szCs w:val="24"/>
        </w:rPr>
        <w:t>71</w:t>
      </w:r>
      <w:r w:rsidR="004A0436" w:rsidRPr="009A3C86">
        <w:rPr>
          <w:rFonts w:ascii="Times New Roman" w:hAnsi="Times New Roman"/>
          <w:sz w:val="24"/>
          <w:szCs w:val="24"/>
        </w:rPr>
        <w:t xml:space="preserve"> </w:t>
      </w:r>
      <w:r w:rsidRPr="009A3C86">
        <w:rPr>
          <w:rFonts w:ascii="Times New Roman" w:hAnsi="Times New Roman"/>
          <w:sz w:val="24"/>
          <w:szCs w:val="24"/>
        </w:rPr>
        <w:t xml:space="preserve">projektowanych przepisów zawarto normę adresowaną do ministra właściwego do spraw finansów publicznych, która nakłada na niego obowiązek ogólnego nadzoru w sprawach podatkowych. Norma ta jest również adresowana do wszystkich organów podatkowych, które zgodnie z tym przepisem powinny podporządkować się temu nadzorowi.  Przez nadzór należy rozumieć zespół form i sposobów działania zmierzających do zapewnienia przez organ </w:t>
      </w:r>
      <w:r w:rsidRPr="009A3C86">
        <w:rPr>
          <w:rFonts w:ascii="Times New Roman" w:hAnsi="Times New Roman"/>
          <w:sz w:val="24"/>
          <w:szCs w:val="24"/>
        </w:rPr>
        <w:lastRenderedPageBreak/>
        <w:t xml:space="preserve">nadzorczy prawidłowości działania organu lub innego podmiotu nadzorowanego, w szczególności poprzez zapobieganie i usuwanie nieprawidłowości.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Projektowane przepisy przywracają ogólny nadzór ministrowi właściwemu do spraw finansów publicznych. Od 1 marca 2017 r. nadzór ten został przekazany Szefowi Krajowej Administracji Skarbowej, jednakże organami podatkowymi są również organy jednostek samorządu terytorialnego. Sprawowanie zwierzchniego nadzoru nad organami samorządowymi przez Szefa KAS działającego w ramach administracji rządowej wydaje się rozwiązaniem budzącym wątpliwości. Jednocześnie zgodnie z proponowanym art. </w:t>
      </w:r>
      <w:r w:rsidR="00147EDA" w:rsidRPr="009A3C86">
        <w:rPr>
          <w:rFonts w:ascii="Times New Roman" w:hAnsi="Times New Roman"/>
          <w:sz w:val="24"/>
          <w:szCs w:val="24"/>
        </w:rPr>
        <w:t xml:space="preserve">545 </w:t>
      </w:r>
      <w:r w:rsidRPr="009A3C86">
        <w:rPr>
          <w:rFonts w:ascii="Times New Roman" w:hAnsi="Times New Roman"/>
          <w:sz w:val="24"/>
          <w:szCs w:val="24"/>
        </w:rPr>
        <w:t>minister właściwy do spraw finansów publicznych dąży do zapewnienia jednolitego stosowania przepisów prawa podatkowego przez organy podatkowe, a w konsekwencji pozostawienie ogólnego nadzoru Szefowi KAS oznaczałoby nieprawidłową korelację zależności między tym organem a ministrem właściwym do spraw finansów publicznych.</w:t>
      </w:r>
    </w:p>
    <w:p w:rsidR="00485C31" w:rsidRPr="009A3C86" w:rsidRDefault="00FA30AA" w:rsidP="00485C31">
      <w:pPr>
        <w:spacing w:after="0" w:line="360" w:lineRule="auto"/>
        <w:jc w:val="both"/>
        <w:rPr>
          <w:rFonts w:ascii="Times New Roman" w:hAnsi="Times New Roman"/>
          <w:sz w:val="24"/>
          <w:szCs w:val="24"/>
        </w:rPr>
      </w:pPr>
      <w:r w:rsidRPr="009A3C86">
        <w:rPr>
          <w:rFonts w:ascii="Times New Roman" w:hAnsi="Times New Roman"/>
          <w:sz w:val="24"/>
          <w:szCs w:val="24"/>
        </w:rPr>
        <w:t xml:space="preserve">8. W </w:t>
      </w:r>
      <w:r w:rsidRPr="009A3C86">
        <w:rPr>
          <w:rFonts w:ascii="Times New Roman" w:hAnsi="Times New Roman"/>
          <w:b/>
          <w:sz w:val="24"/>
          <w:szCs w:val="24"/>
        </w:rPr>
        <w:t xml:space="preserve">art. </w:t>
      </w:r>
      <w:r w:rsidR="004A0436" w:rsidRPr="009A3C86">
        <w:rPr>
          <w:rFonts w:ascii="Times New Roman" w:hAnsi="Times New Roman"/>
          <w:b/>
          <w:sz w:val="24"/>
          <w:szCs w:val="24"/>
        </w:rPr>
        <w:t>72</w:t>
      </w:r>
      <w:r w:rsidR="004A0436" w:rsidRPr="009A3C86">
        <w:rPr>
          <w:rFonts w:ascii="Times New Roman" w:hAnsi="Times New Roman"/>
          <w:sz w:val="24"/>
          <w:szCs w:val="24"/>
        </w:rPr>
        <w:t xml:space="preserve"> </w:t>
      </w:r>
      <w:r w:rsidRPr="009A3C86">
        <w:rPr>
          <w:rFonts w:ascii="Times New Roman" w:hAnsi="Times New Roman"/>
          <w:sz w:val="24"/>
          <w:szCs w:val="24"/>
        </w:rPr>
        <w:t>zawarto natomiast instytucję dekoncentracji wykonywania zadań w ramach danej jednostki organizacyjnej</w:t>
      </w:r>
      <w:r w:rsidR="001B7A6F" w:rsidRPr="009A3C86">
        <w:rPr>
          <w:rFonts w:ascii="Times New Roman" w:hAnsi="Times New Roman"/>
          <w:sz w:val="24"/>
          <w:szCs w:val="24"/>
        </w:rPr>
        <w:t xml:space="preserve"> (zmodyfikowany</w:t>
      </w:r>
      <w:r w:rsidRPr="009A3C86">
        <w:rPr>
          <w:rFonts w:ascii="Times New Roman" w:hAnsi="Times New Roman"/>
          <w:sz w:val="24"/>
          <w:szCs w:val="24"/>
        </w:rPr>
        <w:t xml:space="preserve"> odpowiednik obecnie obowiązującego art. 143 ordynacji podatkowej</w:t>
      </w:r>
      <w:r w:rsidR="001B7A6F" w:rsidRPr="009A3C86">
        <w:rPr>
          <w:rFonts w:ascii="Times New Roman" w:hAnsi="Times New Roman"/>
          <w:sz w:val="24"/>
          <w:szCs w:val="24"/>
        </w:rPr>
        <w:t>)</w:t>
      </w:r>
      <w:r w:rsidRPr="009A3C86">
        <w:rPr>
          <w:rFonts w:ascii="Times New Roman" w:hAnsi="Times New Roman"/>
          <w:sz w:val="24"/>
          <w:szCs w:val="24"/>
        </w:rPr>
        <w:t>. Przepis ten reguluje bowiem zagadnienie udzielania upoważnienia do załatwienia spraw przez organy podatkowe pracownikowi. Instytucja ta dopuszcza możliwość wykonywania kompetencji organu przez inne osoby niż organ podatkowy, co jest niezbędne do prawidłowego funkcjonowania organu podatkowego oraz sprawnego załatwiania spraw przez pracowników. Zgodnie jednak z przepisami ustrojowymi państwowych organów podatkowych (ustawa o Krajowej Administracji Skarbowej) pracodawcą w każdym województwie jest izba administracji skarbowej (reprezentowana przez dyrektora izby administracji skarbowej), w tym również pracowników lub funkcjonariuszy zatrudnionych w urzędzie skarbowym czy też urzędzie celno-skarbowym. Upoważnienie do działania z upoważnienia organu podatkowego wydaje natomiast dany organ, a nie pracodawca – pracownikowi lub funkcjonariuszowi. Konieczne jest zatem uszczegółowienie ogólnej zasady w odniesieniu do państwowych organów podatkowych (</w:t>
      </w:r>
      <w:r w:rsidR="004A0436" w:rsidRPr="009A3C86">
        <w:rPr>
          <w:rFonts w:ascii="Times New Roman" w:hAnsi="Times New Roman"/>
          <w:b/>
          <w:sz w:val="24"/>
          <w:szCs w:val="24"/>
        </w:rPr>
        <w:t xml:space="preserve">72 </w:t>
      </w:r>
      <w:r w:rsidRPr="009A3C86">
        <w:rPr>
          <w:rFonts w:ascii="Times New Roman" w:hAnsi="Times New Roman"/>
          <w:b/>
          <w:sz w:val="24"/>
          <w:szCs w:val="24"/>
        </w:rPr>
        <w:t>§ 3</w:t>
      </w:r>
      <w:r w:rsidRPr="009A3C86">
        <w:rPr>
          <w:rFonts w:ascii="Times New Roman" w:hAnsi="Times New Roman"/>
          <w:sz w:val="24"/>
          <w:szCs w:val="24"/>
        </w:rPr>
        <w:t>)</w:t>
      </w:r>
      <w:r w:rsidR="009C1623" w:rsidRPr="009A3C86">
        <w:rPr>
          <w:rFonts w:ascii="Times New Roman" w:hAnsi="Times New Roman"/>
          <w:sz w:val="24"/>
          <w:szCs w:val="24"/>
        </w:rPr>
        <w:t xml:space="preserve">, poprzez wskazanie na </w:t>
      </w:r>
      <w:r w:rsidR="00485C31" w:rsidRPr="009A3C86">
        <w:rPr>
          <w:rFonts w:ascii="Times New Roman" w:hAnsi="Times New Roman"/>
          <w:sz w:val="24"/>
          <w:szCs w:val="24"/>
        </w:rPr>
        <w:t>możli</w:t>
      </w:r>
      <w:r w:rsidR="009C1623" w:rsidRPr="009A3C86">
        <w:rPr>
          <w:rFonts w:ascii="Times New Roman" w:hAnsi="Times New Roman"/>
          <w:sz w:val="24"/>
          <w:szCs w:val="24"/>
        </w:rPr>
        <w:t>wość</w:t>
      </w:r>
      <w:r w:rsidR="00485C31" w:rsidRPr="009A3C86">
        <w:rPr>
          <w:rFonts w:ascii="Times New Roman" w:hAnsi="Times New Roman"/>
          <w:sz w:val="24"/>
          <w:szCs w:val="24"/>
        </w:rPr>
        <w:t xml:space="preserve"> udzieleni</w:t>
      </w:r>
      <w:r w:rsidR="009C1623" w:rsidRPr="009A3C86">
        <w:rPr>
          <w:rFonts w:ascii="Times New Roman" w:hAnsi="Times New Roman"/>
          <w:sz w:val="24"/>
          <w:szCs w:val="24"/>
        </w:rPr>
        <w:t>a</w:t>
      </w:r>
      <w:r w:rsidR="00485C31" w:rsidRPr="009A3C86">
        <w:rPr>
          <w:rFonts w:ascii="Times New Roman" w:hAnsi="Times New Roman"/>
          <w:sz w:val="24"/>
          <w:szCs w:val="24"/>
        </w:rPr>
        <w:t xml:space="preserve"> upoważnienia również pracownikom:</w:t>
      </w:r>
    </w:p>
    <w:p w:rsidR="00485C31" w:rsidRPr="009A3C86" w:rsidRDefault="00485C31" w:rsidP="00463D52">
      <w:pPr>
        <w:pStyle w:val="Akapitzlist"/>
        <w:numPr>
          <w:ilvl w:val="0"/>
          <w:numId w:val="63"/>
        </w:numPr>
        <w:spacing w:after="0" w:line="360" w:lineRule="auto"/>
        <w:jc w:val="both"/>
        <w:rPr>
          <w:rFonts w:ascii="Times New Roman" w:hAnsi="Times New Roman"/>
          <w:sz w:val="24"/>
          <w:szCs w:val="24"/>
        </w:rPr>
      </w:pPr>
      <w:r w:rsidRPr="009A3C86">
        <w:rPr>
          <w:rFonts w:ascii="Times New Roman" w:hAnsi="Times New Roman"/>
          <w:sz w:val="24"/>
          <w:szCs w:val="24"/>
        </w:rPr>
        <w:t>obsługującym naczelnika urzędu celno-skarbowego lub dyrektora izby administracji skarbowej albo Szefa Krajowej Administracji Skarbowej – przez Szefa Krajowej Administracji Skarbowej;</w:t>
      </w:r>
    </w:p>
    <w:p w:rsidR="00FA30AA" w:rsidRPr="009A3C86" w:rsidRDefault="00485C31" w:rsidP="00463D52">
      <w:pPr>
        <w:pStyle w:val="Akapitzlist"/>
        <w:numPr>
          <w:ilvl w:val="0"/>
          <w:numId w:val="63"/>
        </w:numPr>
        <w:spacing w:after="0" w:line="360" w:lineRule="auto"/>
        <w:jc w:val="both"/>
        <w:rPr>
          <w:rFonts w:ascii="Times New Roman" w:hAnsi="Times New Roman"/>
          <w:sz w:val="24"/>
          <w:szCs w:val="24"/>
        </w:rPr>
      </w:pPr>
      <w:r w:rsidRPr="009A3C86">
        <w:rPr>
          <w:rFonts w:ascii="Times New Roman" w:hAnsi="Times New Roman"/>
          <w:sz w:val="24"/>
          <w:szCs w:val="24"/>
        </w:rPr>
        <w:t xml:space="preserve">komórek organizacyjnych urzędu obsługującego ministra właściwego do spraw finansów publicznych –- przez Szefa Krajowej Administracji Skarbowej.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W stosunku do obecnie funkcjonujących przepisów, w celu wyeliminowania wątpliwości interpretacyjnych, katalog spraw do załatwienia w imieniu organu, uzupełniono o możliwość poświadczania zgodności odpisu dokumentu z oryginałem.</w:t>
      </w:r>
    </w:p>
    <w:p w:rsidR="00FA30AA" w:rsidRPr="009A3C86" w:rsidRDefault="00FA30AA" w:rsidP="00D72E74">
      <w:pPr>
        <w:keepNext/>
        <w:keepLines/>
        <w:spacing w:before="120" w:after="0" w:line="360" w:lineRule="auto"/>
        <w:jc w:val="both"/>
        <w:outlineLvl w:val="3"/>
        <w:rPr>
          <w:rFonts w:ascii="Times New Roman" w:eastAsia="Times New Roman" w:hAnsi="Times New Roman"/>
          <w:b/>
          <w:iCs/>
          <w:sz w:val="24"/>
          <w:szCs w:val="24"/>
        </w:rPr>
      </w:pPr>
      <w:bookmarkStart w:id="14" w:name="_Toc494363233"/>
      <w:r w:rsidRPr="009A3C86">
        <w:rPr>
          <w:rFonts w:ascii="Times New Roman" w:eastAsia="Times New Roman" w:hAnsi="Times New Roman"/>
          <w:b/>
          <w:iCs/>
          <w:sz w:val="24"/>
          <w:szCs w:val="24"/>
        </w:rPr>
        <w:t>Oddział 2. Właściwość organów podatkowych</w:t>
      </w:r>
      <w:bookmarkEnd w:id="14"/>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1. Z ustrojem i kształtem organów podatkowych wiąże się bezpośrednio kwestia ich właściwości, która musi być przez nie przestrzegana. Zaproponowane rozwiązania są tożsame z obowiązującymi przepisami regulującymi właściwość zarówno w podatkach pobieranych przez organy państwowe, jak i organy samorządowe. Jednocześnie pozostawiono ministrowi właściwemu do spraw finansów publicznych możliwość określenia, w drodze rozporządzenia, właściwości miejscowej organów podatkowych w sprawach niektórych zobowiązań podatkowych lub poszczególnych kategorii podatników, płatników lub inkasentów w sposób odmienny niż określony w generalnej zasadzie, uwzględniając w szczególności posiadanie miejsca zamieszkania lub siedziby za granicą, miejsce uzyskiwania dochodów oraz miejsce położenia przedmiotu opodatkowania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2. Projektowane przepisy uwzględniają także tzw. petryfikację właściwości, która oznacza, iż organ właściwy w chwili wszczęcia kontroli pozostawałby właściwy we wszystkich kwestiach związanych z przedmiotem sprawy zarówno w postępowaniu podatkowym, jak i w innych postępowaniach tzw. wpadkowych, np. w przedmiocie zabezpieczenia. Jednocześnie pozostawiono ministrowi właściwemu do spraw finansów publicznych możliwość określenia, w drodze rozporządzenia, przypadków, w których w razie zmiany właściwości miejscowej po zakończeniu roku podatkowego lub okresu rozliczeniowego właściwym organem podatkowym jest organ inny niż wynikający z generalnej zasady, uwzględniając w szczególności zmianę miejsca zamieszkania, pobytu lub siedziby podatnika.</w:t>
      </w:r>
    </w:p>
    <w:p w:rsidR="00FA30AA" w:rsidRPr="009A3C86" w:rsidRDefault="00FA30AA" w:rsidP="00FA30AA">
      <w:pPr>
        <w:spacing w:after="0" w:line="360" w:lineRule="auto"/>
        <w:jc w:val="both"/>
        <w:rPr>
          <w:rFonts w:ascii="Times New Roman" w:eastAsia="Dotum" w:hAnsi="Times New Roman"/>
          <w:sz w:val="24"/>
          <w:szCs w:val="24"/>
        </w:rPr>
      </w:pPr>
      <w:r w:rsidRPr="009A3C86">
        <w:rPr>
          <w:rFonts w:ascii="Times New Roman" w:hAnsi="Times New Roman"/>
          <w:sz w:val="24"/>
          <w:szCs w:val="24"/>
        </w:rPr>
        <w:t xml:space="preserve">3. Proponuje się utrzymać szczególny tryb wyznaczania właściwości organu podatkowego pierwszej instancji do prowadzenia konkretnych postępowań lub kontroli. Szef Krajowej Administracji Skarbowej będzie mógł wyznaczyć odpowiednio naczelnika urzędu skarbowego albo dyrektora izby administracji jako właściwego do przeprowadzenia kontroli lub postępowań w sprawach dotyczących podatników pozostających w zakresie właściwości miejscowej różnych organów. Wyznaczenie organu do prowadzenia kontroli podatkowej lub postępowań podatkowych nastąpi, jeżeli spełniona jest przesłanka i cel zastosowania tej instytucji, tj. </w:t>
      </w:r>
      <w:r w:rsidRPr="009A3C86">
        <w:rPr>
          <w:rFonts w:ascii="Times New Roman" w:eastAsia="Dotum" w:hAnsi="Times New Roman"/>
          <w:sz w:val="24"/>
          <w:szCs w:val="24"/>
        </w:rPr>
        <w:t>uzasadnione podejrzenie popełnienia przestępstwa skarbowego lub zabezpieczenie dowodów jego popełnienia.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4. W projektowanych przepisach proponuje się również utrzymanie procedury przejęcia postępowania podatkowego prowadzonego przez naczelnika urzędu skarbowego do dalszego prowadzenia przez naczelnika urzędu celno-skarbowego po uprzednim wyrażeniu przez niego zgody.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5. Kompetencje organu do rozpatrzenia i rozstrzygnięcia określonego rodzaju spraw podatkowych należy zatem rozumieć jako właściwość organów podatkowych, a konieczność jej przestrzegania z urzędu jest podstawowym obowiązkiem organów podatkowych, co zostało uregulowane w </w:t>
      </w:r>
      <w:r w:rsidRPr="009A3C86">
        <w:rPr>
          <w:rFonts w:ascii="Times New Roman" w:hAnsi="Times New Roman"/>
          <w:b/>
          <w:sz w:val="24"/>
          <w:szCs w:val="24"/>
        </w:rPr>
        <w:t xml:space="preserve">art. </w:t>
      </w:r>
      <w:r w:rsidR="004A0436" w:rsidRPr="009A3C86">
        <w:rPr>
          <w:rFonts w:ascii="Times New Roman" w:hAnsi="Times New Roman"/>
          <w:b/>
          <w:sz w:val="24"/>
          <w:szCs w:val="24"/>
        </w:rPr>
        <w:t>73</w:t>
      </w:r>
      <w:r w:rsidR="004A0436" w:rsidRPr="009A3C86">
        <w:rPr>
          <w:rFonts w:ascii="Times New Roman" w:hAnsi="Times New Roman"/>
          <w:sz w:val="24"/>
          <w:szCs w:val="24"/>
        </w:rPr>
        <w:t xml:space="preserve"> </w:t>
      </w:r>
      <w:r w:rsidRPr="009A3C86">
        <w:rPr>
          <w:rFonts w:ascii="Times New Roman" w:hAnsi="Times New Roman"/>
          <w:sz w:val="24"/>
          <w:szCs w:val="24"/>
        </w:rPr>
        <w:t>projektowanych przepisów. Niecelowe jest jednak ograniczenie przestrzegania tej właściwości jedynie do właściwości rzeczowej oraz miejscowej. Organy podatkowe są bowiem zobowiązane również do przestrzegania wszelkiej właściwości, w tym instancyjnej. To rozwiązanie legislacyjne pozwoli również uprościć przepisy w tym zakresie.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4A0436" w:rsidRPr="009A3C86">
        <w:rPr>
          <w:rFonts w:ascii="Times New Roman" w:hAnsi="Times New Roman"/>
          <w:b/>
          <w:sz w:val="24"/>
          <w:szCs w:val="24"/>
        </w:rPr>
        <w:t>74</w:t>
      </w:r>
      <w:r w:rsidR="004A0436" w:rsidRPr="009A3C86">
        <w:rPr>
          <w:rFonts w:ascii="Times New Roman" w:hAnsi="Times New Roman"/>
          <w:sz w:val="24"/>
          <w:szCs w:val="24"/>
        </w:rPr>
        <w:t xml:space="preserve"> </w:t>
      </w:r>
      <w:r w:rsidRPr="009A3C86">
        <w:rPr>
          <w:rFonts w:ascii="Times New Roman" w:hAnsi="Times New Roman"/>
          <w:sz w:val="24"/>
          <w:szCs w:val="24"/>
        </w:rPr>
        <w:t xml:space="preserve">zawarto odesłanie do poszczególnych przepisów nadającym kompetencje organom podatkowym w zakresie ich właściwości rzeczowej. Odnośnie do państwowych organów podatkowych są to przede wszystkim przepisy ustrojowe, regulujące organizację, strukturę oraz kompetencje organów administracji skarbowej, czyli ustawa o Krajowej Administracji </w:t>
      </w:r>
      <w:r w:rsidRPr="009A3C86">
        <w:rPr>
          <w:rFonts w:ascii="Times New Roman" w:hAnsi="Times New Roman"/>
          <w:sz w:val="24"/>
          <w:szCs w:val="24"/>
        </w:rPr>
        <w:br/>
        <w:t>Skarbowej oraz ustawa z dnia 4 września 1997 r. o działach administracji rządowej (Dz. U. z 2013 r. poz. 743 z późn. zm.). Kompetencje organów samorządowych regulują natomiast głównie przepisy ustaw normujących ustrój poszczególnych jednostek samorządu terytorialnego</w:t>
      </w:r>
      <w:r w:rsidRPr="009A3C86">
        <w:rPr>
          <w:rFonts w:ascii="Times New Roman" w:hAnsi="Times New Roman"/>
          <w:sz w:val="24"/>
          <w:szCs w:val="24"/>
          <w:vertAlign w:val="superscript"/>
        </w:rPr>
        <w:footnoteReference w:id="156"/>
      </w:r>
      <w:r w:rsidRPr="009A3C86">
        <w:rPr>
          <w:rFonts w:ascii="Times New Roman" w:hAnsi="Times New Roman"/>
          <w:sz w:val="24"/>
          <w:szCs w:val="24"/>
        </w:rPr>
        <w:t xml:space="preserve"> oraz ustawa z dnia 12 października 1994</w:t>
      </w:r>
      <w:r w:rsidR="00BA0733" w:rsidRPr="009A3C86">
        <w:rPr>
          <w:rFonts w:ascii="Times New Roman" w:hAnsi="Times New Roman"/>
          <w:sz w:val="24"/>
          <w:szCs w:val="24"/>
        </w:rPr>
        <w:t xml:space="preserve"> </w:t>
      </w:r>
      <w:r w:rsidRPr="009A3C86">
        <w:rPr>
          <w:rFonts w:ascii="Times New Roman" w:hAnsi="Times New Roman"/>
          <w:sz w:val="24"/>
          <w:szCs w:val="24"/>
        </w:rPr>
        <w:t>r. o samorządowych kolegiach odwoławczych</w:t>
      </w:r>
      <w:r w:rsidRPr="009A3C86">
        <w:rPr>
          <w:rFonts w:ascii="Times New Roman" w:hAnsi="Times New Roman"/>
          <w:sz w:val="24"/>
          <w:szCs w:val="24"/>
          <w:vertAlign w:val="superscript"/>
        </w:rPr>
        <w:footnoteReference w:id="157"/>
      </w:r>
      <w:r w:rsidRPr="009A3C86">
        <w:rPr>
          <w:rFonts w:ascii="Times New Roman" w:hAnsi="Times New Roman"/>
          <w:sz w:val="24"/>
          <w:szCs w:val="24"/>
        </w:rPr>
        <w:t>. Właściwość rzeczowa organów podatkowych została również unormowana w przepisach niniejszej ustawy oraz wydanych na jej podstawie przepisach wykonawczych.</w:t>
      </w:r>
    </w:p>
    <w:p w:rsidR="00FA30AA" w:rsidRPr="009A3C86" w:rsidRDefault="00FA30AA" w:rsidP="00FA30AA">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Właściwość miejscowa organów podatkowych, rozumianą jako zdolność do rozstrzygania spraw w obszarze określonej jednostki podziału terytorialnego, została zawarta w </w:t>
      </w:r>
      <w:r w:rsidRPr="009A3C86">
        <w:rPr>
          <w:rFonts w:ascii="Times New Roman" w:hAnsi="Times New Roman"/>
          <w:b/>
          <w:sz w:val="24"/>
          <w:szCs w:val="24"/>
        </w:rPr>
        <w:t xml:space="preserve">art. </w:t>
      </w:r>
      <w:r w:rsidR="004A0436" w:rsidRPr="009A3C86">
        <w:rPr>
          <w:rFonts w:ascii="Times New Roman" w:hAnsi="Times New Roman"/>
          <w:b/>
          <w:sz w:val="24"/>
          <w:szCs w:val="24"/>
        </w:rPr>
        <w:t xml:space="preserve">75 </w:t>
      </w:r>
      <w:r w:rsidRPr="009A3C86">
        <w:rPr>
          <w:rFonts w:ascii="Times New Roman" w:hAnsi="Times New Roman"/>
          <w:b/>
          <w:bCs/>
          <w:sz w:val="24"/>
          <w:szCs w:val="24"/>
        </w:rPr>
        <w:t>§ 1</w:t>
      </w:r>
      <w:r w:rsidRPr="009A3C86">
        <w:rPr>
          <w:rFonts w:ascii="Times New Roman" w:hAnsi="Times New Roman"/>
          <w:sz w:val="24"/>
          <w:szCs w:val="24"/>
        </w:rPr>
        <w:t xml:space="preserve"> ordynacji podatkowej. Zgodnie z tą zasadą właściwość miejscową organów podatkowych ustala się według kryterium miejsca zamieszkania lub siedziby podatnika, płatnika, inkasenta lub innej osoby fizycznej, osoby prawnej lub jednostki organizacyjnej niemającej osobowości prawnej. Od generalnej zasady zawartej w tym przepisie mogą zostać wprowadzone wyjątki. Minister właściwy do spraw finansów publicznych w oparciu o upoważnienie ustawowe zawarte w </w:t>
      </w:r>
      <w:r w:rsidRPr="009A3C86">
        <w:rPr>
          <w:rFonts w:ascii="Times New Roman" w:hAnsi="Times New Roman"/>
          <w:b/>
          <w:sz w:val="24"/>
          <w:szCs w:val="24"/>
        </w:rPr>
        <w:t xml:space="preserve">art. </w:t>
      </w:r>
      <w:r w:rsidR="004A0436" w:rsidRPr="009A3C86">
        <w:rPr>
          <w:rFonts w:ascii="Times New Roman" w:hAnsi="Times New Roman"/>
          <w:b/>
          <w:sz w:val="24"/>
          <w:szCs w:val="24"/>
        </w:rPr>
        <w:t xml:space="preserve">75 </w:t>
      </w:r>
      <w:r w:rsidRPr="009A3C86">
        <w:rPr>
          <w:rFonts w:ascii="Times New Roman" w:hAnsi="Times New Roman"/>
          <w:b/>
          <w:bCs/>
          <w:sz w:val="24"/>
          <w:szCs w:val="24"/>
        </w:rPr>
        <w:t>§ 2</w:t>
      </w:r>
      <w:r w:rsidRPr="009A3C86">
        <w:rPr>
          <w:rFonts w:ascii="Times New Roman" w:hAnsi="Times New Roman"/>
          <w:bCs/>
          <w:sz w:val="24"/>
          <w:szCs w:val="24"/>
        </w:rPr>
        <w:t xml:space="preserve"> może w sposób odmienny ustalić właściwość miejscową organów </w:t>
      </w:r>
      <w:r w:rsidRPr="009A3C86">
        <w:rPr>
          <w:rFonts w:ascii="Times New Roman" w:hAnsi="Times New Roman"/>
          <w:bCs/>
          <w:sz w:val="24"/>
          <w:szCs w:val="24"/>
        </w:rPr>
        <w:lastRenderedPageBreak/>
        <w:t xml:space="preserve">podatkowych w sprawach niektórych zobowiązań podatkowych lub poszczególnych kategorii podatników, płatników lub inkasentów.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Osoby trzecie mogą ponosić odpowiedzialność za zobowiązania podatkowe podatnika, płatnika lub inkasenta, a organem właściwym dla orzeczenia w tym zakresie jest organ właściwy dla podatnika, płatnika lub inkasenta w sprawach konkretnych należności, za które odpowiedzialność ponosi ta osoba trzecia, co zostało uregulowane w </w:t>
      </w:r>
      <w:r w:rsidRPr="009A3C86">
        <w:rPr>
          <w:rFonts w:ascii="Times New Roman" w:hAnsi="Times New Roman"/>
          <w:b/>
          <w:sz w:val="24"/>
          <w:szCs w:val="24"/>
        </w:rPr>
        <w:t xml:space="preserve">art. </w:t>
      </w:r>
      <w:r w:rsidR="00F86980" w:rsidRPr="009A3C86">
        <w:rPr>
          <w:rFonts w:ascii="Times New Roman" w:hAnsi="Times New Roman"/>
          <w:b/>
          <w:sz w:val="24"/>
          <w:szCs w:val="24"/>
        </w:rPr>
        <w:t>76</w:t>
      </w:r>
      <w:r w:rsidRPr="009A3C86">
        <w:rPr>
          <w:rFonts w:ascii="Times New Roman" w:hAnsi="Times New Roman"/>
          <w:sz w:val="24"/>
          <w:szCs w:val="24"/>
        </w:rPr>
        <w:t>. Zgodnie z tym przepisem dla ustalenia właściwości organu w tym zakresie konieczne jest zatem uprzednie ustalenie właściwego organu dla danego podatnika i danego podatku, za który ten podmiot jest odpowiedzialny.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bCs/>
          <w:sz w:val="24"/>
          <w:szCs w:val="24"/>
        </w:rPr>
        <w:t xml:space="preserve">art. </w:t>
      </w:r>
      <w:r w:rsidR="00107193" w:rsidRPr="009A3C86">
        <w:rPr>
          <w:rFonts w:ascii="Times New Roman" w:hAnsi="Times New Roman"/>
          <w:b/>
          <w:bCs/>
          <w:sz w:val="24"/>
          <w:szCs w:val="24"/>
        </w:rPr>
        <w:t xml:space="preserve">77 </w:t>
      </w:r>
      <w:r w:rsidRPr="009A3C86">
        <w:rPr>
          <w:rFonts w:ascii="Times New Roman" w:hAnsi="Times New Roman"/>
          <w:b/>
          <w:bCs/>
          <w:sz w:val="24"/>
          <w:szCs w:val="24"/>
        </w:rPr>
        <w:t>§ 1</w:t>
      </w:r>
      <w:r w:rsidRPr="009A3C86">
        <w:rPr>
          <w:rFonts w:ascii="Times New Roman" w:hAnsi="Times New Roman"/>
          <w:bCs/>
          <w:sz w:val="24"/>
          <w:szCs w:val="24"/>
        </w:rPr>
        <w:t xml:space="preserve"> nowej </w:t>
      </w:r>
      <w:r w:rsidRPr="009A3C86">
        <w:rPr>
          <w:rFonts w:ascii="Times New Roman" w:hAnsi="Times New Roman"/>
          <w:sz w:val="24"/>
          <w:szCs w:val="24"/>
        </w:rPr>
        <w:t>ordynacji podatkowej proponuje się utrzymanie zasady, że organem podatkowym właściwym miejscowo w sprawie praw i obowiązków podatnika (płatnika, inkasenta), przejętych przez następcę prawnego, jest organ podatkowy właściwy dla następcy prawnego. Organ podatkowy właściwy dla następcy prawnego będzie więc właściwy do wszczęcia kontroli podatkowej oraz postępowania podatkowego za okresy przed zdarzeniem skutkującym sukcesją podatkową. Za przyjęciem takiego rozwiązania przemawia fakt, iż następca prawny posiada dokumentację dotyczącą działalności podmiotu przejmowanego. Takie rozwiązanie usprawni proces ewentualnej weryfikacji rozliczeń poprzednika w ramach procedur przewidzianych w przepisach niniejszej ustawy. Powyższa zasada nie będzie dotyczyć spadkobierców będących następcami prawnymi. W tym zakresie właściwym pozostanie organ właściwy według ostatniego miejsca zamieszkania spadkodawcy (</w:t>
      </w:r>
      <w:r w:rsidRPr="009A3C86">
        <w:rPr>
          <w:rFonts w:ascii="Times New Roman" w:hAnsi="Times New Roman"/>
          <w:b/>
          <w:bCs/>
          <w:sz w:val="24"/>
          <w:szCs w:val="24"/>
        </w:rPr>
        <w:t xml:space="preserve">art. </w:t>
      </w:r>
      <w:r w:rsidR="004B46D9" w:rsidRPr="009A3C86">
        <w:rPr>
          <w:rFonts w:ascii="Times New Roman" w:hAnsi="Times New Roman"/>
          <w:b/>
          <w:bCs/>
          <w:sz w:val="24"/>
          <w:szCs w:val="24"/>
        </w:rPr>
        <w:t xml:space="preserve">77 </w:t>
      </w:r>
      <w:r w:rsidRPr="009A3C86">
        <w:rPr>
          <w:rFonts w:ascii="Times New Roman" w:hAnsi="Times New Roman"/>
          <w:b/>
          <w:bCs/>
          <w:sz w:val="24"/>
          <w:szCs w:val="24"/>
        </w:rPr>
        <w:t>§ 2</w:t>
      </w:r>
      <w:r w:rsidRPr="009A3C86">
        <w:rPr>
          <w:rFonts w:ascii="Times New Roman" w:hAnsi="Times New Roman"/>
          <w:sz w:val="24"/>
          <w:szCs w:val="24"/>
        </w:rPr>
        <w:t>). W przypadku natomiast praw i obowiązków w zakresie podatku od nieruchomości, rolnego oraz leśnego organem podatkowym właściwym miejscowo w sprawie następstwa prawnego spadkobierców oraz zapisobierców windykacyjnych będzie wójt, burmistrz lub prezydent miasta właściwy ze względu na miejsce położenia przedmiotów opodatkowania spadkodawcy (</w:t>
      </w:r>
      <w:r w:rsidRPr="009A3C86">
        <w:rPr>
          <w:rFonts w:ascii="Times New Roman" w:hAnsi="Times New Roman"/>
          <w:b/>
          <w:bCs/>
          <w:sz w:val="24"/>
          <w:szCs w:val="24"/>
        </w:rPr>
        <w:t xml:space="preserve">art. </w:t>
      </w:r>
      <w:r w:rsidR="004B46D9" w:rsidRPr="009A3C86">
        <w:rPr>
          <w:rFonts w:ascii="Times New Roman" w:hAnsi="Times New Roman"/>
          <w:b/>
          <w:bCs/>
          <w:sz w:val="24"/>
          <w:szCs w:val="24"/>
        </w:rPr>
        <w:t xml:space="preserve">77 </w:t>
      </w:r>
      <w:r w:rsidRPr="009A3C86">
        <w:rPr>
          <w:rFonts w:ascii="Times New Roman" w:hAnsi="Times New Roman"/>
          <w:b/>
          <w:bCs/>
          <w:sz w:val="24"/>
          <w:szCs w:val="24"/>
        </w:rPr>
        <w:t>§ 3</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6. Co do zasady zmiana podstaw właściwości każdego rodzaju pociąga za sobą również zmianę właściwości organu. W takich przypadkach organ podatkowy prowadzący postępowanie powinien umorzyć postępowanie i przekazać sprawę właściwemu organowi. </w:t>
      </w: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4B46D9" w:rsidRPr="009A3C86">
        <w:rPr>
          <w:rFonts w:ascii="Times New Roman" w:hAnsi="Times New Roman"/>
          <w:b/>
          <w:sz w:val="24"/>
          <w:szCs w:val="24"/>
        </w:rPr>
        <w:t xml:space="preserve">78 </w:t>
      </w:r>
      <w:r w:rsidRPr="009A3C86">
        <w:rPr>
          <w:rFonts w:ascii="Times New Roman" w:hAnsi="Times New Roman"/>
          <w:b/>
          <w:bCs/>
          <w:sz w:val="24"/>
          <w:szCs w:val="24"/>
        </w:rPr>
        <w:t>§ 1</w:t>
      </w:r>
      <w:r w:rsidRPr="009A3C86">
        <w:rPr>
          <w:rFonts w:ascii="Times New Roman" w:hAnsi="Times New Roman"/>
          <w:bCs/>
          <w:sz w:val="24"/>
          <w:szCs w:val="24"/>
        </w:rPr>
        <w:t xml:space="preserve"> stanowi jednak, że jeżeli w trakcie roku podatkowego lub okresu rozliczeniowego nastąpi zdarzenie powodujące zmianę właściwości miejscowej organu podatkowego, organem właściwym miejscowo za ten okres rozliczeniowy pozostaje ten organ, który był właściwy w pierwszym dniu roku podatkowego lub okresu rozliczeniowego. Powyższa regulacja dotyczy właściwie podatków o otwartym podatkowym stanie faktycznym, gdzie występują zjawiska o charakterze periodycznym lub ciągłym, zaś podstawę opodatkowania stanowi ujęty wymiernie </w:t>
      </w:r>
      <w:r w:rsidRPr="009A3C86">
        <w:rPr>
          <w:rFonts w:ascii="Times New Roman" w:hAnsi="Times New Roman"/>
          <w:bCs/>
          <w:sz w:val="24"/>
          <w:szCs w:val="24"/>
        </w:rPr>
        <w:lastRenderedPageBreak/>
        <w:t xml:space="preserve">przedmiot tego podatku w jednostce czasu. Przepis ten dotyczy zatem przede wszystkim takich podatków, jak podatek dochodowy, podatek od towarów i usług czy podatek akcyzowy. </w:t>
      </w:r>
    </w:p>
    <w:p w:rsidR="00FA30AA" w:rsidRPr="009A3C86" w:rsidRDefault="00FA30AA" w:rsidP="00FA30AA">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Jednocześnie proponuje się utrzymanie fakultatywnej delegacji dla ministra do spraw finansów publicznych do określenia w drodze rozporządzenia przypadków, w których w razie zmiany właściwości miejscowej w trakcie roku podatkowego lub okresu rozliczeniowego właściwym organem podatkowym jest inny niż na pierwszy dzień roku podatkowego lub okresu rozliczeniowego. </w:t>
      </w:r>
    </w:p>
    <w:p w:rsidR="00FA30AA" w:rsidRPr="009A3C86" w:rsidRDefault="00FA30AA" w:rsidP="00FA30AA">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7. W </w:t>
      </w:r>
      <w:r w:rsidRPr="009A3C86">
        <w:rPr>
          <w:rFonts w:ascii="Times New Roman" w:hAnsi="Times New Roman"/>
          <w:b/>
          <w:bCs/>
          <w:sz w:val="24"/>
          <w:szCs w:val="24"/>
        </w:rPr>
        <w:t xml:space="preserve">art. </w:t>
      </w:r>
      <w:r w:rsidR="00EF7012" w:rsidRPr="009A3C86">
        <w:rPr>
          <w:rFonts w:ascii="Times New Roman" w:hAnsi="Times New Roman"/>
          <w:b/>
          <w:bCs/>
          <w:sz w:val="24"/>
          <w:szCs w:val="24"/>
        </w:rPr>
        <w:t xml:space="preserve">79 </w:t>
      </w:r>
      <w:r w:rsidRPr="009A3C86">
        <w:rPr>
          <w:rFonts w:ascii="Times New Roman" w:hAnsi="Times New Roman"/>
          <w:b/>
          <w:bCs/>
          <w:sz w:val="24"/>
          <w:szCs w:val="24"/>
        </w:rPr>
        <w:t>§ 1</w:t>
      </w:r>
      <w:r w:rsidRPr="009A3C86">
        <w:rPr>
          <w:rFonts w:ascii="Times New Roman" w:hAnsi="Times New Roman"/>
          <w:bCs/>
          <w:sz w:val="24"/>
          <w:szCs w:val="24"/>
        </w:rPr>
        <w:t xml:space="preserve"> utrzymano regulacje w zakresie właściwości organów podatkowych w sprawach, w których następuje zmiana właściwości miejscowej po zakończeniu roku podatkowego lub innego okresu rozliczeniowego, a więc w innym momencie niż uregulowany w art. </w:t>
      </w:r>
      <w:r w:rsidR="00B35D10" w:rsidRPr="009A3C86">
        <w:rPr>
          <w:rFonts w:ascii="Times New Roman" w:hAnsi="Times New Roman"/>
          <w:bCs/>
          <w:sz w:val="24"/>
          <w:szCs w:val="24"/>
        </w:rPr>
        <w:t>78</w:t>
      </w:r>
      <w:r w:rsidRPr="009A3C86">
        <w:rPr>
          <w:rFonts w:ascii="Times New Roman" w:hAnsi="Times New Roman"/>
          <w:bCs/>
          <w:sz w:val="24"/>
          <w:szCs w:val="24"/>
        </w:rPr>
        <w:t xml:space="preserve">.  W takim przypadku organ, który stał się właściwy w zakresie danego podatku za następne okresy rozliczeniowe lub rok podatkowy, staje się również właściwy dla tego podatku za poprzednie lata podatkowe lub okresy rozliczeniowe z zastrzeżeniem jednak art. </w:t>
      </w:r>
      <w:r w:rsidR="00B35D10" w:rsidRPr="009A3C86">
        <w:rPr>
          <w:rFonts w:ascii="Times New Roman" w:hAnsi="Times New Roman"/>
          <w:bCs/>
          <w:sz w:val="24"/>
          <w:szCs w:val="24"/>
        </w:rPr>
        <w:t>80</w:t>
      </w:r>
      <w:r w:rsidRPr="009A3C86">
        <w:rPr>
          <w:rFonts w:ascii="Times New Roman" w:hAnsi="Times New Roman"/>
          <w:bCs/>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bCs/>
          <w:sz w:val="24"/>
          <w:szCs w:val="24"/>
        </w:rPr>
        <w:t>8. Propo</w:t>
      </w:r>
      <w:r w:rsidRPr="009A3C86">
        <w:rPr>
          <w:rFonts w:ascii="Times New Roman" w:hAnsi="Times New Roman"/>
          <w:sz w:val="24"/>
          <w:szCs w:val="24"/>
        </w:rPr>
        <w:t xml:space="preserve">nuje się utrzymanie w </w:t>
      </w:r>
      <w:r w:rsidRPr="009A3C86">
        <w:rPr>
          <w:rFonts w:ascii="Times New Roman" w:hAnsi="Times New Roman"/>
          <w:b/>
          <w:bCs/>
          <w:sz w:val="24"/>
          <w:szCs w:val="24"/>
        </w:rPr>
        <w:t xml:space="preserve">art. </w:t>
      </w:r>
      <w:r w:rsidR="00EF7012" w:rsidRPr="009A3C86">
        <w:rPr>
          <w:rFonts w:ascii="Times New Roman" w:hAnsi="Times New Roman"/>
          <w:b/>
          <w:bCs/>
          <w:sz w:val="24"/>
          <w:szCs w:val="24"/>
        </w:rPr>
        <w:t xml:space="preserve">79 </w:t>
      </w:r>
      <w:r w:rsidRPr="009A3C86">
        <w:rPr>
          <w:rFonts w:ascii="Times New Roman" w:hAnsi="Times New Roman"/>
          <w:b/>
          <w:bCs/>
          <w:sz w:val="24"/>
          <w:szCs w:val="24"/>
        </w:rPr>
        <w:t>§ 2</w:t>
      </w:r>
      <w:r w:rsidRPr="009A3C86">
        <w:rPr>
          <w:rFonts w:ascii="Times New Roman" w:hAnsi="Times New Roman"/>
          <w:bCs/>
          <w:sz w:val="24"/>
          <w:szCs w:val="24"/>
        </w:rPr>
        <w:t xml:space="preserve"> nowej o</w:t>
      </w:r>
      <w:r w:rsidRPr="009A3C86">
        <w:rPr>
          <w:rFonts w:ascii="Times New Roman" w:hAnsi="Times New Roman"/>
          <w:sz w:val="24"/>
          <w:szCs w:val="24"/>
        </w:rPr>
        <w:t xml:space="preserve">rdynacji podatkowej fakultatywnego upoważnienia dla ministra właściwego do spraw finansów publicznych do określenia, w drodze rozporządzenia, przypadków, w których, w razie zmiany właściwości miejscowej po zakończeniu roku podatkowego lub okresu rozliczeniowego, właściwym organem podatkowym będzie organ inny niż wymieniony w art. </w:t>
      </w:r>
      <w:r w:rsidR="00EF7012" w:rsidRPr="009A3C86">
        <w:rPr>
          <w:rFonts w:ascii="Times New Roman" w:hAnsi="Times New Roman"/>
          <w:sz w:val="24"/>
          <w:szCs w:val="24"/>
        </w:rPr>
        <w:t xml:space="preserve">79 </w:t>
      </w:r>
      <w:r w:rsidRPr="009A3C86">
        <w:rPr>
          <w:rFonts w:ascii="Times New Roman" w:hAnsi="Times New Roman"/>
          <w:bCs/>
          <w:sz w:val="24"/>
          <w:szCs w:val="24"/>
        </w:rPr>
        <w:t>§ 1</w:t>
      </w:r>
      <w:r w:rsidRPr="009A3C86">
        <w:rPr>
          <w:rFonts w:ascii="Times New Roman" w:hAnsi="Times New Roman"/>
          <w:sz w:val="24"/>
          <w:szCs w:val="24"/>
        </w:rPr>
        <w:t xml:space="preserve"> nowej ordynacji podatkowej, </w:t>
      </w:r>
      <w:r w:rsidR="009C481F" w:rsidRPr="009A3C86">
        <w:rPr>
          <w:rFonts w:ascii="Times New Roman" w:hAnsi="Times New Roman"/>
          <w:sz w:val="24"/>
          <w:szCs w:val="24"/>
        </w:rPr>
        <w:t>w celu zapewnienia jednolitego sposobu wyznaczania właściwości  miejscowej organów podatkowych oraz efektywnego działania tych organów</w:t>
      </w:r>
      <w:r w:rsidRPr="009A3C86">
        <w:rPr>
          <w:rFonts w:ascii="Times New Roman" w:hAnsi="Times New Roman"/>
          <w:sz w:val="24"/>
          <w:szCs w:val="24"/>
        </w:rPr>
        <w:t xml:space="preserve">. W przeszłości ta kwestia budziła wiele wątpliwości, ponieważ przepisy wykonawcze regulowały jedynie zmianę miejsca zamieszkania lub siedziby w trakcie roku podatkowego.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9. Proponowany przepis </w:t>
      </w:r>
      <w:r w:rsidRPr="009A3C86">
        <w:rPr>
          <w:rFonts w:ascii="Times New Roman" w:hAnsi="Times New Roman"/>
          <w:b/>
          <w:sz w:val="24"/>
          <w:szCs w:val="24"/>
        </w:rPr>
        <w:t xml:space="preserve">art. </w:t>
      </w:r>
      <w:r w:rsidR="001F2DF6" w:rsidRPr="009A3C86">
        <w:rPr>
          <w:rFonts w:ascii="Times New Roman" w:hAnsi="Times New Roman"/>
          <w:b/>
          <w:sz w:val="24"/>
          <w:szCs w:val="24"/>
        </w:rPr>
        <w:t>80</w:t>
      </w:r>
      <w:r w:rsidR="00EF7012" w:rsidRPr="009A3C86">
        <w:rPr>
          <w:rFonts w:ascii="Times New Roman" w:hAnsi="Times New Roman"/>
          <w:b/>
          <w:sz w:val="24"/>
          <w:szCs w:val="24"/>
        </w:rPr>
        <w:t xml:space="preserve"> </w:t>
      </w:r>
      <w:r w:rsidRPr="009A3C86">
        <w:rPr>
          <w:rFonts w:ascii="Times New Roman" w:hAnsi="Times New Roman"/>
          <w:b/>
          <w:bCs/>
          <w:sz w:val="24"/>
          <w:szCs w:val="24"/>
        </w:rPr>
        <w:t>§ 1</w:t>
      </w:r>
      <w:r w:rsidRPr="009A3C86">
        <w:rPr>
          <w:rFonts w:ascii="Times New Roman" w:hAnsi="Times New Roman"/>
          <w:bCs/>
          <w:sz w:val="24"/>
          <w:szCs w:val="24"/>
        </w:rPr>
        <w:t xml:space="preserve"> jest odstępstwem od generalnej zasady wyrażonej w art. </w:t>
      </w:r>
      <w:r w:rsidR="007C5834" w:rsidRPr="009A3C86">
        <w:rPr>
          <w:rFonts w:ascii="Times New Roman" w:hAnsi="Times New Roman"/>
          <w:bCs/>
          <w:sz w:val="24"/>
          <w:szCs w:val="24"/>
        </w:rPr>
        <w:t xml:space="preserve">79 </w:t>
      </w:r>
      <w:r w:rsidRPr="009A3C86">
        <w:rPr>
          <w:rFonts w:ascii="Times New Roman" w:hAnsi="Times New Roman"/>
          <w:bCs/>
          <w:sz w:val="24"/>
          <w:szCs w:val="24"/>
        </w:rPr>
        <w:t>w przypadku odpadnięcia podstawy właściwości podatkowej danego organu podatkowego po zakończeniu roku podatkowego. Zmiana właściwości po wszczęciu postępowania lub kontroli podatkowej nie wpływa na zmianę właściwości organu podatkowego, co jest podyktowane przede wszystkim ekonomiką postępowania. P</w:t>
      </w:r>
      <w:r w:rsidRPr="009A3C86">
        <w:rPr>
          <w:rFonts w:ascii="Times New Roman" w:hAnsi="Times New Roman"/>
          <w:sz w:val="24"/>
          <w:szCs w:val="24"/>
        </w:rPr>
        <w:t xml:space="preserve">rzepis ten stosuje się do wszystkich spraw związanych z zobowiązaniem podatkowym, którego dotyczy postępowanie „wymiarowe” lub kontrola. Powyższe rozwiązanie oznaczać będzie skupienie w jednym organie wszystkich rodzajowo spraw jednego podatnika dotyczących danego zobowiązania podatkowego. </w:t>
      </w:r>
    </w:p>
    <w:p w:rsidR="00FA30AA" w:rsidRPr="009A3C86" w:rsidRDefault="00FA30AA" w:rsidP="00FA30AA">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10. Proponuje się również jednoznaczne określenie w </w:t>
      </w:r>
      <w:r w:rsidRPr="009A3C86">
        <w:rPr>
          <w:rFonts w:ascii="Times New Roman" w:eastAsia="Times New Roman" w:hAnsi="Times New Roman"/>
          <w:b/>
          <w:bCs/>
          <w:sz w:val="24"/>
          <w:szCs w:val="24"/>
        </w:rPr>
        <w:t xml:space="preserve">art. </w:t>
      </w:r>
      <w:r w:rsidR="001F2DF6" w:rsidRPr="009A3C86">
        <w:rPr>
          <w:rFonts w:ascii="Times New Roman" w:eastAsia="Times New Roman" w:hAnsi="Times New Roman"/>
          <w:b/>
          <w:bCs/>
          <w:sz w:val="24"/>
          <w:szCs w:val="24"/>
        </w:rPr>
        <w:t>80</w:t>
      </w:r>
      <w:r w:rsidR="00EF7012" w:rsidRPr="009A3C86">
        <w:rPr>
          <w:rFonts w:ascii="Times New Roman" w:eastAsia="Times New Roman" w:hAnsi="Times New Roman"/>
          <w:b/>
          <w:bCs/>
          <w:sz w:val="24"/>
          <w:szCs w:val="24"/>
        </w:rPr>
        <w:t xml:space="preserve"> </w:t>
      </w:r>
      <w:r w:rsidRPr="009A3C86">
        <w:rPr>
          <w:rFonts w:ascii="Times New Roman" w:eastAsia="Times New Roman" w:hAnsi="Times New Roman"/>
          <w:b/>
          <w:bCs/>
          <w:sz w:val="24"/>
          <w:szCs w:val="24"/>
        </w:rPr>
        <w:t>§ 2</w:t>
      </w:r>
      <w:r w:rsidRPr="009A3C86">
        <w:rPr>
          <w:rFonts w:ascii="Times New Roman" w:eastAsia="Times New Roman" w:hAnsi="Times New Roman"/>
          <w:bCs/>
          <w:sz w:val="24"/>
          <w:szCs w:val="24"/>
        </w:rPr>
        <w:t xml:space="preserve"> nowej o</w:t>
      </w:r>
      <w:r w:rsidRPr="009A3C86">
        <w:rPr>
          <w:rFonts w:ascii="Times New Roman" w:eastAsia="Times New Roman" w:hAnsi="Times New Roman"/>
          <w:sz w:val="24"/>
          <w:szCs w:val="24"/>
        </w:rPr>
        <w:t xml:space="preserve">rdynacji podatkowej, że jeżeli zdarzenie powodujące zmianę właściwości organu podatkowego nastąpiło po zakończeniu kontroli podatkowej, właściwym miejscowo w sprawie, której ta kontrola dotyczy, pozostaje organ właściwy w dniu wszczęcia kontroli podatkowej. Wyeliminuje to wątpliwości </w:t>
      </w:r>
      <w:r w:rsidRPr="009A3C86">
        <w:rPr>
          <w:rFonts w:ascii="Times New Roman" w:eastAsia="Times New Roman" w:hAnsi="Times New Roman"/>
          <w:sz w:val="24"/>
          <w:szCs w:val="24"/>
        </w:rPr>
        <w:lastRenderedPageBreak/>
        <w:t xml:space="preserve">interpretacyjne w zakresie ustalenia właściwości organu podatkowego w sytuacji, gdy zdarzenie powodujące zmianę właściwości miejscowej następuje po zakończeniu kontroli, a przed wszczęciem postępowania. Pragmatyka i ekonomika postępowania wymaga, aby organ dokonujący merytorycznej oceny sprawy w protokole kontroli pozostał organem właściwym miejscowo w sprawie wszczęcia postępowania podatkowego, niezależnie od tego, czy zdarzenie powodujące zmianę właściwości organu podatkowego nastąpiło w toku kontroli, czy po jej zakończeniu.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Rozwiązania proponowane w art. </w:t>
      </w:r>
      <w:r w:rsidR="00C41E49" w:rsidRPr="009A3C86">
        <w:rPr>
          <w:rFonts w:ascii="Times New Roman" w:hAnsi="Times New Roman"/>
          <w:sz w:val="24"/>
          <w:szCs w:val="24"/>
        </w:rPr>
        <w:t xml:space="preserve">80 </w:t>
      </w:r>
      <w:r w:rsidRPr="009A3C86">
        <w:rPr>
          <w:rFonts w:ascii="Times New Roman" w:hAnsi="Times New Roman"/>
          <w:sz w:val="24"/>
          <w:szCs w:val="24"/>
        </w:rPr>
        <w:t>§ 1 i 2 nowych przepisów powinny mieć odpowiednie zastosowanie w razie następstwa prawnego powodującego zmianę właściwości</w:t>
      </w:r>
      <w:r w:rsidR="00CA1676" w:rsidRPr="009A3C86">
        <w:rPr>
          <w:rFonts w:ascii="Times New Roman" w:hAnsi="Times New Roman"/>
          <w:sz w:val="24"/>
          <w:szCs w:val="24"/>
        </w:rPr>
        <w:t>,</w:t>
      </w:r>
      <w:r w:rsidRPr="009A3C86">
        <w:rPr>
          <w:rFonts w:ascii="Times New Roman" w:hAnsi="Times New Roman"/>
          <w:sz w:val="24"/>
          <w:szCs w:val="24"/>
        </w:rPr>
        <w:t xml:space="preserve"> w sprawach, o których mowa </w:t>
      </w:r>
      <w:r w:rsidR="00CA1676" w:rsidRPr="009A3C86">
        <w:rPr>
          <w:rFonts w:ascii="Times New Roman" w:hAnsi="Times New Roman"/>
          <w:sz w:val="24"/>
          <w:szCs w:val="24"/>
        </w:rPr>
        <w:t>art. 130 § 4, art. 245 i art. 246</w:t>
      </w:r>
      <w:r w:rsidR="007B407B" w:rsidRPr="009A3C86">
        <w:rPr>
          <w:rFonts w:ascii="Times New Roman" w:hAnsi="Times New Roman"/>
          <w:sz w:val="24"/>
          <w:szCs w:val="24"/>
        </w:rPr>
        <w:t xml:space="preserve"> </w:t>
      </w:r>
      <w:r w:rsidRPr="009A3C86">
        <w:rPr>
          <w:rFonts w:ascii="Times New Roman" w:hAnsi="Times New Roman"/>
          <w:sz w:val="24"/>
          <w:szCs w:val="24"/>
        </w:rPr>
        <w:t xml:space="preserve">nowej ordynacji podatkowej </w:t>
      </w:r>
      <w:r w:rsidR="00CA1676" w:rsidRPr="009A3C86">
        <w:rPr>
          <w:rFonts w:ascii="Times New Roman" w:hAnsi="Times New Roman"/>
          <w:sz w:val="24"/>
          <w:szCs w:val="24"/>
        </w:rPr>
        <w:t xml:space="preserve">oraz </w:t>
      </w:r>
      <w:r w:rsidRPr="009A3C86">
        <w:rPr>
          <w:rFonts w:ascii="Times New Roman" w:hAnsi="Times New Roman"/>
          <w:sz w:val="24"/>
          <w:szCs w:val="24"/>
        </w:rPr>
        <w:t>w sprawach orzekania o odpowiedzialności osób trzecich (</w:t>
      </w:r>
      <w:r w:rsidRPr="009A3C86">
        <w:rPr>
          <w:rFonts w:ascii="Times New Roman" w:hAnsi="Times New Roman"/>
          <w:b/>
          <w:bCs/>
          <w:sz w:val="24"/>
          <w:szCs w:val="24"/>
        </w:rPr>
        <w:t xml:space="preserve">art. </w:t>
      </w:r>
      <w:r w:rsidR="001F2DF6" w:rsidRPr="009A3C86">
        <w:rPr>
          <w:rFonts w:ascii="Times New Roman" w:hAnsi="Times New Roman"/>
          <w:b/>
          <w:bCs/>
          <w:sz w:val="24"/>
          <w:szCs w:val="24"/>
        </w:rPr>
        <w:t>80</w:t>
      </w:r>
      <w:r w:rsidR="00C80F3F" w:rsidRPr="009A3C86">
        <w:rPr>
          <w:rFonts w:ascii="Times New Roman" w:hAnsi="Times New Roman"/>
          <w:b/>
          <w:bCs/>
          <w:sz w:val="24"/>
          <w:szCs w:val="24"/>
        </w:rPr>
        <w:t xml:space="preserve"> </w:t>
      </w:r>
      <w:r w:rsidRPr="009A3C86">
        <w:rPr>
          <w:rFonts w:ascii="Times New Roman" w:hAnsi="Times New Roman"/>
          <w:b/>
          <w:bCs/>
          <w:sz w:val="24"/>
          <w:szCs w:val="24"/>
        </w:rPr>
        <w:t>§ 3</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11. Proponuje się utrzymać szczególny tryb wyznaczania właściwości organu podatkowego pierwszej instancji do prowadzenia konkretnych postępowań lub kontroli. Szef Krajowej Administracji Skarbowej będzie mógł wyznaczyć odpowiednio naczelnika urzędu skarbowego albo dyrektora izby administracji skarbowej jako właściwego do przeprowadzenia tych kontroli lub postępowań w sprawach dotyczących podatników pozostających w zakresie właściwości miejscowej różnych organów.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Wyznaczenie organu do prowadzenia kontroli podatkowej lub postępowań podatkowych nastąpi, jeżeli spełniona jest przesłanka i cel zastosowania tej instytucji, tj. </w:t>
      </w:r>
      <w:r w:rsidRPr="009A3C86">
        <w:rPr>
          <w:rFonts w:ascii="Times New Roman" w:eastAsia="Dotum" w:hAnsi="Times New Roman"/>
          <w:sz w:val="24"/>
          <w:szCs w:val="24"/>
        </w:rPr>
        <w:t xml:space="preserve">uzasadnione podejrzenie popełnienia przestępstwa skarbowego lub zabezpieczenie dowodów jego popełnienia. Każda z tych przesłanek ma charakter rozłączny, co oznacza, że zaistnienie jednej z nich daje podstawę do wyznaczenia organu. Z kolei celem wyznaczenia jednego organu podatkowego do prowadzenia kontroli podatkowej lub postępowań podatkowych jest przyczynienie się do usprawnienia i przyspieszenia kontroli podatkowej lub postępowań podatkowych w sprawach dotyczących podatników pozostających w zakresie </w:t>
      </w:r>
      <w:r w:rsidRPr="009A3C86">
        <w:rPr>
          <w:rFonts w:ascii="Times New Roman" w:hAnsi="Times New Roman"/>
          <w:sz w:val="24"/>
          <w:szCs w:val="24"/>
        </w:rPr>
        <w:t>właściwości miejscowej różnych organów (</w:t>
      </w:r>
      <w:r w:rsidRPr="009A3C86">
        <w:rPr>
          <w:rFonts w:ascii="Times New Roman" w:hAnsi="Times New Roman"/>
          <w:b/>
          <w:bCs/>
          <w:sz w:val="24"/>
          <w:szCs w:val="24"/>
        </w:rPr>
        <w:t xml:space="preserve">art. </w:t>
      </w:r>
      <w:r w:rsidR="001F2DF6" w:rsidRPr="009A3C86">
        <w:rPr>
          <w:rFonts w:ascii="Times New Roman" w:hAnsi="Times New Roman"/>
          <w:b/>
          <w:bCs/>
          <w:sz w:val="24"/>
          <w:szCs w:val="24"/>
        </w:rPr>
        <w:t xml:space="preserve">81 </w:t>
      </w:r>
      <w:r w:rsidRPr="009A3C86">
        <w:rPr>
          <w:rFonts w:ascii="Times New Roman" w:hAnsi="Times New Roman"/>
          <w:b/>
          <w:bCs/>
          <w:sz w:val="24"/>
          <w:szCs w:val="24"/>
        </w:rPr>
        <w:t>§ 1</w:t>
      </w:r>
      <w:r w:rsidRPr="009A3C86">
        <w:rPr>
          <w:rFonts w:ascii="Times New Roman" w:hAnsi="Times New Roman"/>
          <w:sz w:val="24"/>
          <w:szCs w:val="24"/>
        </w:rPr>
        <w:t>). Ukierunkowanie na osiągnięcie tego celu jest warunkiem koniecznym do zastosowania instytucji wyznaczenia organu. Wyznaczonym organem podatkowym może być wyłącznie organ właściwy przynajmniej dla jednego z podatników uczestniczących w transakcji (</w:t>
      </w:r>
      <w:r w:rsidRPr="009A3C86">
        <w:rPr>
          <w:rFonts w:ascii="Times New Roman" w:hAnsi="Times New Roman"/>
          <w:b/>
          <w:bCs/>
          <w:sz w:val="24"/>
          <w:szCs w:val="24"/>
        </w:rPr>
        <w:t xml:space="preserve">art. </w:t>
      </w:r>
      <w:r w:rsidR="001F2DF6" w:rsidRPr="009A3C86">
        <w:rPr>
          <w:rFonts w:ascii="Times New Roman" w:hAnsi="Times New Roman"/>
          <w:b/>
          <w:bCs/>
          <w:sz w:val="24"/>
          <w:szCs w:val="24"/>
        </w:rPr>
        <w:t xml:space="preserve">81 </w:t>
      </w:r>
      <w:r w:rsidRPr="009A3C86">
        <w:rPr>
          <w:rFonts w:ascii="Times New Roman" w:hAnsi="Times New Roman"/>
          <w:b/>
          <w:bCs/>
          <w:sz w:val="24"/>
          <w:szCs w:val="24"/>
        </w:rPr>
        <w:t>§ 3</w:t>
      </w:r>
      <w:r w:rsidRPr="009A3C86">
        <w:rPr>
          <w:rFonts w:ascii="Times New Roman" w:hAnsi="Times New Roman"/>
          <w:sz w:val="24"/>
          <w:szCs w:val="24"/>
        </w:rPr>
        <w:t xml:space="preserve">). Organ ten, zamiast prowadzić sprawę tego jednego podatnika, poprowadzi sprawę wszystkich uczestników transakcji. Projektowany przepis ma służyć podniesieniu efektywności postępowań podatkowych (kontroli). Przykładowo przepisy znajdą zastosowanie w złożonych sprawach, gdy wystąpi potrzeba skorzystania z wiedzy i doświadczenia pracowników konkretnego organu podatkowego, szczególnie w obszarze zorganizowanej przestępczości, przestępstw „karuzelowych”, </w:t>
      </w:r>
      <w:r w:rsidRPr="009A3C86">
        <w:rPr>
          <w:rFonts w:ascii="Times New Roman" w:hAnsi="Times New Roman"/>
          <w:sz w:val="24"/>
          <w:szCs w:val="24"/>
        </w:rPr>
        <w:lastRenderedPageBreak/>
        <w:t>instrumentów pochodnych i firmanctwa. Uprawnienie to będzie przysługiwać Szefowi Krajowej Administracji Skarbowej w odniesieniu do naczelników urzędów skarbowych lub dyrektorów izb administracji skarbowej na terenie całego kraju, z wyjątkiem sytuacji, gdy właściwy do wyznaczenia będzie dyrektor izby administracji skarbowej.</w:t>
      </w:r>
    </w:p>
    <w:p w:rsidR="00FA30AA" w:rsidRPr="009A3C86" w:rsidRDefault="00FA30AA" w:rsidP="00FA30AA">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12. Na podstawie </w:t>
      </w:r>
      <w:r w:rsidRPr="009A3C86">
        <w:rPr>
          <w:rFonts w:ascii="Times New Roman" w:eastAsia="Times New Roman" w:hAnsi="Times New Roman"/>
          <w:b/>
          <w:bCs/>
          <w:sz w:val="24"/>
          <w:szCs w:val="24"/>
        </w:rPr>
        <w:t xml:space="preserve">art. </w:t>
      </w:r>
      <w:r w:rsidR="001F2DF6" w:rsidRPr="009A3C86">
        <w:rPr>
          <w:rFonts w:ascii="Times New Roman" w:eastAsia="Times New Roman" w:hAnsi="Times New Roman"/>
          <w:b/>
          <w:bCs/>
          <w:sz w:val="24"/>
          <w:szCs w:val="24"/>
        </w:rPr>
        <w:t xml:space="preserve">81 </w:t>
      </w:r>
      <w:r w:rsidRPr="009A3C86">
        <w:rPr>
          <w:rFonts w:ascii="Times New Roman" w:eastAsia="Times New Roman" w:hAnsi="Times New Roman"/>
          <w:b/>
          <w:bCs/>
          <w:sz w:val="24"/>
          <w:szCs w:val="24"/>
        </w:rPr>
        <w:t>§ 2</w:t>
      </w:r>
      <w:r w:rsidRPr="009A3C86">
        <w:rPr>
          <w:rFonts w:ascii="Times New Roman" w:eastAsia="Times New Roman" w:hAnsi="Times New Roman"/>
          <w:bCs/>
          <w:sz w:val="24"/>
          <w:szCs w:val="24"/>
        </w:rPr>
        <w:t xml:space="preserve"> </w:t>
      </w:r>
      <w:r w:rsidRPr="009A3C86">
        <w:rPr>
          <w:rFonts w:ascii="Times New Roman" w:eastAsia="Times New Roman" w:hAnsi="Times New Roman"/>
          <w:sz w:val="24"/>
          <w:szCs w:val="24"/>
        </w:rPr>
        <w:t>nowej ordynacji podatkowej analogiczne uprawnienie jak Szefowi Krajowej Administracji Skarbowej będzie przysługiwać również dyrektorom izb administracji skarbowej w odniesieniu do nadzorowanych przez nich naczelników urzędów skarbowych. Jeżeli sprawy będą dotyczyć zobowiązanych pozostających w zakresie właściwości miejscowej naczelników urzędów skarbowych nadzorowanych przez dyrektora izby administracji skarbowej, wyznaczenia dokona ten dyrektor i może obejmować przekazanie toczących się kontroli podatkowych oraz postępowań podatkowych. Czynności podjęte w toku kontroli podatkowej oraz we wszczętym postępowaniu podatkowym przez dotychczasowe organy podatkowe pozostaną w mocy (</w:t>
      </w:r>
      <w:r w:rsidRPr="009A3C86">
        <w:rPr>
          <w:rFonts w:ascii="Times New Roman" w:eastAsia="Times New Roman" w:hAnsi="Times New Roman"/>
          <w:b/>
          <w:bCs/>
          <w:sz w:val="24"/>
          <w:szCs w:val="24"/>
        </w:rPr>
        <w:t xml:space="preserve">art. </w:t>
      </w:r>
      <w:r w:rsidR="00CB0A47" w:rsidRPr="009A3C86">
        <w:rPr>
          <w:rFonts w:ascii="Times New Roman" w:eastAsia="Times New Roman" w:hAnsi="Times New Roman"/>
          <w:b/>
          <w:bCs/>
          <w:sz w:val="24"/>
          <w:szCs w:val="24"/>
        </w:rPr>
        <w:t xml:space="preserve">81 </w:t>
      </w:r>
      <w:r w:rsidRPr="009A3C86">
        <w:rPr>
          <w:rFonts w:ascii="Times New Roman" w:eastAsia="Times New Roman" w:hAnsi="Times New Roman"/>
          <w:b/>
          <w:bCs/>
          <w:sz w:val="24"/>
          <w:szCs w:val="24"/>
        </w:rPr>
        <w:t>§ 4</w:t>
      </w:r>
      <w:r w:rsidRPr="009A3C86">
        <w:rPr>
          <w:rFonts w:ascii="Times New Roman" w:eastAsia="Times New Roman" w:hAnsi="Times New Roman"/>
          <w:sz w:val="24"/>
          <w:szCs w:val="24"/>
        </w:rPr>
        <w:t>). Wyznaczenie właściwego miejscowo organu podatkowego pierwszej instancji następować będzie w drodze niezaskarżalnego postanowienia określającego podatnika, dla którego został wyznaczony organ podatkowy oraz zakres spraw tego podatnika objętych właściwością wyznaczonego organu (</w:t>
      </w:r>
      <w:r w:rsidRPr="009A3C86">
        <w:rPr>
          <w:rFonts w:ascii="Times New Roman" w:eastAsia="Times New Roman" w:hAnsi="Times New Roman"/>
          <w:b/>
          <w:bCs/>
          <w:sz w:val="24"/>
          <w:szCs w:val="24"/>
        </w:rPr>
        <w:t xml:space="preserve">art. </w:t>
      </w:r>
      <w:r w:rsidR="00CB0A47" w:rsidRPr="009A3C86">
        <w:rPr>
          <w:rFonts w:ascii="Times New Roman" w:eastAsia="Times New Roman" w:hAnsi="Times New Roman"/>
          <w:b/>
          <w:bCs/>
          <w:sz w:val="24"/>
          <w:szCs w:val="24"/>
        </w:rPr>
        <w:t xml:space="preserve">81 </w:t>
      </w:r>
      <w:r w:rsidRPr="009A3C86">
        <w:rPr>
          <w:rFonts w:ascii="Times New Roman" w:eastAsia="Times New Roman" w:hAnsi="Times New Roman"/>
          <w:b/>
          <w:bCs/>
          <w:sz w:val="24"/>
          <w:szCs w:val="24"/>
        </w:rPr>
        <w:t>§ 5</w:t>
      </w:r>
      <w:r w:rsidRPr="009A3C86">
        <w:rPr>
          <w:rFonts w:ascii="Times New Roman" w:eastAsia="Times New Roman" w:hAnsi="Times New Roman"/>
          <w:sz w:val="24"/>
          <w:szCs w:val="24"/>
        </w:rPr>
        <w:t>), które zostanie doręczone podatnikowi, dla którego wyznaczono właściwy organ podatkowy oraz zainteresowanym organom (</w:t>
      </w:r>
      <w:r w:rsidRPr="009A3C86">
        <w:rPr>
          <w:rFonts w:ascii="Times New Roman" w:eastAsia="Times New Roman" w:hAnsi="Times New Roman"/>
          <w:b/>
          <w:bCs/>
          <w:sz w:val="24"/>
          <w:szCs w:val="24"/>
        </w:rPr>
        <w:t xml:space="preserve">art. </w:t>
      </w:r>
      <w:r w:rsidR="00CB0A47" w:rsidRPr="009A3C86">
        <w:rPr>
          <w:rFonts w:ascii="Times New Roman" w:eastAsia="Times New Roman" w:hAnsi="Times New Roman"/>
          <w:b/>
          <w:bCs/>
          <w:sz w:val="24"/>
          <w:szCs w:val="24"/>
        </w:rPr>
        <w:t xml:space="preserve">81 </w:t>
      </w:r>
      <w:r w:rsidRPr="009A3C86">
        <w:rPr>
          <w:rFonts w:ascii="Times New Roman" w:eastAsia="Times New Roman" w:hAnsi="Times New Roman"/>
          <w:b/>
          <w:bCs/>
          <w:sz w:val="24"/>
          <w:szCs w:val="24"/>
        </w:rPr>
        <w:t>§ 6</w:t>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13. W projektowanych przepisach proponuje się również w </w:t>
      </w:r>
      <w:r w:rsidRPr="009A3C86">
        <w:rPr>
          <w:rFonts w:ascii="Times New Roman" w:hAnsi="Times New Roman"/>
          <w:b/>
          <w:bCs/>
          <w:sz w:val="24"/>
          <w:szCs w:val="24"/>
        </w:rPr>
        <w:t xml:space="preserve">art. </w:t>
      </w:r>
      <w:r w:rsidR="00CB0A47" w:rsidRPr="009A3C86">
        <w:rPr>
          <w:rFonts w:ascii="Times New Roman" w:hAnsi="Times New Roman"/>
          <w:b/>
          <w:bCs/>
          <w:sz w:val="24"/>
          <w:szCs w:val="24"/>
        </w:rPr>
        <w:t xml:space="preserve">82 </w:t>
      </w:r>
      <w:r w:rsidRPr="009A3C86">
        <w:rPr>
          <w:rFonts w:ascii="Times New Roman" w:hAnsi="Times New Roman"/>
          <w:b/>
          <w:bCs/>
          <w:sz w:val="24"/>
          <w:szCs w:val="24"/>
        </w:rPr>
        <w:t>§ 1</w:t>
      </w:r>
      <w:r w:rsidRPr="009A3C86">
        <w:rPr>
          <w:rFonts w:ascii="Times New Roman" w:hAnsi="Times New Roman"/>
          <w:bCs/>
          <w:sz w:val="24"/>
          <w:szCs w:val="24"/>
        </w:rPr>
        <w:t xml:space="preserve"> </w:t>
      </w:r>
      <w:r w:rsidRPr="009A3C86">
        <w:rPr>
          <w:rFonts w:ascii="Times New Roman" w:hAnsi="Times New Roman"/>
          <w:sz w:val="24"/>
          <w:szCs w:val="24"/>
        </w:rPr>
        <w:t>stworzenie procedury przejęcia postępowania podatkowego prowadzonego przez naczelnika urzędu skarbowego do dalszego prowadzenia przez naczelnika urzędu celno-skarbowego po uprzednim wyrażeniu przez niego zgody. W porównaniu z obecnie obowiązującymi przepisami Ordynacji podatkowej zrezygnowano z warunku, który musiał być spełniony, aby można było przekazać  do dalszego prowadzenia przez naczelnika urzędu celno-skarbowego postępowania podatkowego. Zgodnie bowiem z obecnym art. 18d przekazanie sprawy może nastąpić, jeżeli informacje otrzymane przez organ podatkowy z banku lub innej instytucji finansowej nie pozwalają na wyjaśnienie istotnych okoliczności faktycznych sprawy. Naczelnik urzędu skarbowego powinien mieć możliwość przekazania postępowania podatkowego w sytuacjach, gdy rozmiary, złożoność i stopień oddziaływania występujących uchybień w sposób istotny wpływają na system bezpieczeństwa finansowego państwa.</w:t>
      </w:r>
    </w:p>
    <w:p w:rsidR="00FA30AA" w:rsidRPr="009A3C86" w:rsidRDefault="00FA30AA" w:rsidP="00FA30AA">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Podstawą przejęcia sprawy będzie niezaskarżalne postanowienie naczelnika urzędu skarbowego prowadzącego postępowanie podatkowe. Postanowienie będzie zawierać w szczególności: </w:t>
      </w:r>
    </w:p>
    <w:p w:rsidR="00FA30AA" w:rsidRPr="009A3C86" w:rsidRDefault="00FA30AA" w:rsidP="00FA30AA">
      <w:pPr>
        <w:autoSpaceDE w:val="0"/>
        <w:autoSpaceDN w:val="0"/>
        <w:adjustRightInd w:val="0"/>
        <w:spacing w:after="0" w:line="360" w:lineRule="auto"/>
        <w:ind w:left="284"/>
        <w:jc w:val="both"/>
        <w:rPr>
          <w:rFonts w:ascii="Times New Roman" w:eastAsia="Times New Roman" w:hAnsi="Times New Roman"/>
          <w:sz w:val="24"/>
          <w:szCs w:val="24"/>
        </w:rPr>
      </w:pPr>
      <w:r w:rsidRPr="009A3C86">
        <w:rPr>
          <w:rFonts w:ascii="Times New Roman" w:eastAsia="Times New Roman" w:hAnsi="Times New Roman"/>
          <w:sz w:val="24"/>
          <w:szCs w:val="24"/>
        </w:rPr>
        <w:t>1)</w:t>
      </w:r>
      <w:r w:rsidRPr="009A3C86">
        <w:rPr>
          <w:rFonts w:ascii="Times New Roman" w:eastAsia="Times New Roman" w:hAnsi="Times New Roman"/>
          <w:sz w:val="24"/>
          <w:szCs w:val="24"/>
        </w:rPr>
        <w:tab/>
        <w:t xml:space="preserve">wskazanie postępowania podatkowego, którego przejęcie dotyczy, </w:t>
      </w:r>
    </w:p>
    <w:p w:rsidR="00FA30AA" w:rsidRPr="009A3C86" w:rsidRDefault="00FA30AA" w:rsidP="00FA30AA">
      <w:pPr>
        <w:autoSpaceDE w:val="0"/>
        <w:autoSpaceDN w:val="0"/>
        <w:adjustRightInd w:val="0"/>
        <w:spacing w:after="0" w:line="360" w:lineRule="auto"/>
        <w:ind w:left="284"/>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2)</w:t>
      </w:r>
      <w:r w:rsidRPr="009A3C86">
        <w:rPr>
          <w:rFonts w:ascii="Times New Roman" w:eastAsia="Times New Roman" w:hAnsi="Times New Roman"/>
          <w:sz w:val="24"/>
          <w:szCs w:val="24"/>
        </w:rPr>
        <w:tab/>
        <w:t xml:space="preserve">uzasadnienie, </w:t>
      </w:r>
    </w:p>
    <w:p w:rsidR="00FA30AA" w:rsidRPr="009A3C86" w:rsidRDefault="00FA30AA" w:rsidP="00FA30AA">
      <w:pPr>
        <w:autoSpaceDE w:val="0"/>
        <w:autoSpaceDN w:val="0"/>
        <w:adjustRightInd w:val="0"/>
        <w:spacing w:after="0" w:line="360" w:lineRule="auto"/>
        <w:ind w:left="284"/>
        <w:jc w:val="both"/>
        <w:rPr>
          <w:rFonts w:ascii="Times New Roman" w:eastAsia="Times New Roman" w:hAnsi="Times New Roman"/>
          <w:sz w:val="24"/>
          <w:szCs w:val="24"/>
        </w:rPr>
      </w:pPr>
      <w:r w:rsidRPr="009A3C86">
        <w:rPr>
          <w:rFonts w:ascii="Times New Roman" w:eastAsia="Times New Roman" w:hAnsi="Times New Roman"/>
          <w:sz w:val="24"/>
          <w:szCs w:val="24"/>
        </w:rPr>
        <w:t>3)</w:t>
      </w:r>
      <w:r w:rsidRPr="009A3C86">
        <w:rPr>
          <w:rFonts w:ascii="Times New Roman" w:eastAsia="Times New Roman" w:hAnsi="Times New Roman"/>
          <w:sz w:val="24"/>
          <w:szCs w:val="24"/>
        </w:rPr>
        <w:tab/>
        <w:t>wskazanie naczelnika urzędu celo-skarbowego właściwego na dzień wszczęcia przejmowanego postępowania podatkowego (</w:t>
      </w:r>
      <w:r w:rsidRPr="009A3C86">
        <w:rPr>
          <w:rFonts w:ascii="Times New Roman" w:eastAsia="Times New Roman" w:hAnsi="Times New Roman"/>
          <w:b/>
          <w:bCs/>
          <w:sz w:val="24"/>
          <w:szCs w:val="24"/>
        </w:rPr>
        <w:t xml:space="preserve">art. </w:t>
      </w:r>
      <w:r w:rsidR="00CB0A47" w:rsidRPr="009A3C86">
        <w:rPr>
          <w:rFonts w:ascii="Times New Roman" w:eastAsia="Times New Roman" w:hAnsi="Times New Roman"/>
          <w:b/>
          <w:bCs/>
          <w:sz w:val="24"/>
          <w:szCs w:val="24"/>
        </w:rPr>
        <w:t xml:space="preserve">82 </w:t>
      </w:r>
      <w:r w:rsidRPr="009A3C86">
        <w:rPr>
          <w:rFonts w:ascii="Times New Roman" w:eastAsia="Times New Roman" w:hAnsi="Times New Roman"/>
          <w:b/>
          <w:bCs/>
          <w:sz w:val="24"/>
          <w:szCs w:val="24"/>
        </w:rPr>
        <w:t>§ 2</w:t>
      </w:r>
      <w:r w:rsidRPr="009A3C86">
        <w:rPr>
          <w:rFonts w:ascii="Times New Roman" w:eastAsia="Times New Roman" w:hAnsi="Times New Roman"/>
          <w:sz w:val="24"/>
          <w:szCs w:val="24"/>
        </w:rPr>
        <w:t xml:space="preserve">). </w:t>
      </w:r>
    </w:p>
    <w:p w:rsidR="00FA30AA" w:rsidRPr="009A3C86" w:rsidRDefault="00FA30AA" w:rsidP="00FA30AA">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Czynności podjęte we wszczętym postępowaniu podatkowym przez dotychczasowy organ podatkowy pozostaną w mocy. Postanowienie o przekazaniu sprawy zostanie doręczone stronie, właściwemu naczelnikowi urzędu celno-skarbowego oraz dyrektorowi izby administracji skarbowej nadzorującemu naczelnika urzędu skarbowego (</w:t>
      </w:r>
      <w:r w:rsidRPr="009A3C86">
        <w:rPr>
          <w:rFonts w:ascii="Times New Roman" w:eastAsia="Times New Roman" w:hAnsi="Times New Roman"/>
          <w:b/>
          <w:bCs/>
          <w:sz w:val="24"/>
          <w:szCs w:val="24"/>
        </w:rPr>
        <w:t xml:space="preserve">art. </w:t>
      </w:r>
      <w:r w:rsidR="00CB0A47" w:rsidRPr="009A3C86">
        <w:rPr>
          <w:rFonts w:ascii="Times New Roman" w:eastAsia="Times New Roman" w:hAnsi="Times New Roman"/>
          <w:b/>
          <w:bCs/>
          <w:sz w:val="24"/>
          <w:szCs w:val="24"/>
        </w:rPr>
        <w:t xml:space="preserve">82 </w:t>
      </w:r>
      <w:r w:rsidRPr="009A3C86">
        <w:rPr>
          <w:rFonts w:ascii="Times New Roman" w:eastAsia="Times New Roman" w:hAnsi="Times New Roman"/>
          <w:b/>
          <w:bCs/>
          <w:sz w:val="24"/>
          <w:szCs w:val="24"/>
        </w:rPr>
        <w:t>§ 3 i 4</w:t>
      </w:r>
      <w:r w:rsidRPr="009A3C86">
        <w:rPr>
          <w:rFonts w:ascii="Times New Roman" w:eastAsia="Times New Roman" w:hAnsi="Times New Roman"/>
          <w:sz w:val="24"/>
          <w:szCs w:val="24"/>
        </w:rPr>
        <w:t>). Na postanowienie nie będzie służyć zażalenie, co wynika z zasad ogólnych.</w:t>
      </w:r>
    </w:p>
    <w:p w:rsidR="00FA30AA" w:rsidRPr="009A3C86" w:rsidRDefault="00FA30AA" w:rsidP="00FA30AA">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14. W przypadku gdy dwa lub więcej organów podatkowych uznaje się za właściwe do rozstrzygnięcia sprawy lub żaden z organów nie uznaje się za właściwy w danej sprawie, konieczne jest władcze działanie organu wskazującego właściwy organ podatkowy. W </w:t>
      </w:r>
      <w:r w:rsidRPr="009A3C86">
        <w:rPr>
          <w:rFonts w:ascii="Times New Roman" w:hAnsi="Times New Roman"/>
          <w:b/>
          <w:sz w:val="24"/>
          <w:szCs w:val="24"/>
        </w:rPr>
        <w:t xml:space="preserve">art. </w:t>
      </w:r>
      <w:r w:rsidR="00CB0A47" w:rsidRPr="009A3C86">
        <w:rPr>
          <w:rFonts w:ascii="Times New Roman" w:hAnsi="Times New Roman"/>
          <w:b/>
          <w:sz w:val="24"/>
          <w:szCs w:val="24"/>
        </w:rPr>
        <w:t>83</w:t>
      </w:r>
      <w:r w:rsidR="00CB0A47" w:rsidRPr="009A3C86">
        <w:rPr>
          <w:rFonts w:ascii="Times New Roman" w:hAnsi="Times New Roman"/>
          <w:sz w:val="24"/>
          <w:szCs w:val="24"/>
        </w:rPr>
        <w:t xml:space="preserve"> </w:t>
      </w:r>
      <w:r w:rsidRPr="009A3C86">
        <w:rPr>
          <w:rFonts w:ascii="Times New Roman" w:hAnsi="Times New Roman"/>
          <w:sz w:val="24"/>
          <w:szCs w:val="24"/>
        </w:rPr>
        <w:t>w sposób kazuistyczny wskazano na organy, które posiadają kompetencje do rozstrzygania sporów o właściwość między organami podatkowymi. W zależności od organów podatkowych, które toczą spór, spory o właściwość rozstrzyga dyrektor izby administracji skarbowej, Szef Krajowej Administracji Skarbowej lub sąd administracyjny w formie postanowienia (</w:t>
      </w:r>
      <w:r w:rsidRPr="009A3C86">
        <w:rPr>
          <w:rFonts w:ascii="Times New Roman" w:hAnsi="Times New Roman"/>
          <w:b/>
          <w:bCs/>
          <w:sz w:val="24"/>
          <w:szCs w:val="24"/>
        </w:rPr>
        <w:t xml:space="preserve">art. </w:t>
      </w:r>
      <w:r w:rsidR="00A43348" w:rsidRPr="009A3C86">
        <w:rPr>
          <w:rFonts w:ascii="Times New Roman" w:hAnsi="Times New Roman"/>
          <w:b/>
          <w:bCs/>
          <w:sz w:val="24"/>
          <w:szCs w:val="24"/>
        </w:rPr>
        <w:t xml:space="preserve">83 </w:t>
      </w:r>
      <w:r w:rsidRPr="009A3C86">
        <w:rPr>
          <w:rFonts w:ascii="Times New Roman" w:hAnsi="Times New Roman"/>
          <w:b/>
          <w:bCs/>
          <w:sz w:val="24"/>
          <w:szCs w:val="24"/>
        </w:rPr>
        <w:t>§ 2</w:t>
      </w:r>
      <w:r w:rsidRPr="009A3C86">
        <w:rPr>
          <w:rFonts w:ascii="Times New Roman" w:hAnsi="Times New Roman"/>
          <w:bCs/>
          <w:sz w:val="24"/>
          <w:szCs w:val="24"/>
        </w:rPr>
        <w:t>). W przypadku sporu między naczelnikami urzędów skarbowych, naczelnikami urzędów celno-skarbowych lub miedzy naczelnikiem urzędu skarbowego a naczelnikiem urzędu celno-skarbowego na obszarze właściwości miejscowej różnych dyrektorów izb administracji skarbowej wniosek o rozstrzygnięcie sporu organy muszą przekazywać za pośrednictwem właściwego dyrektora izby administracji skarbowej (</w:t>
      </w:r>
      <w:r w:rsidRPr="009A3C86">
        <w:rPr>
          <w:rFonts w:ascii="Times New Roman" w:hAnsi="Times New Roman"/>
          <w:b/>
          <w:bCs/>
          <w:sz w:val="24"/>
          <w:szCs w:val="24"/>
        </w:rPr>
        <w:t xml:space="preserve">art. </w:t>
      </w:r>
      <w:r w:rsidR="00A43348" w:rsidRPr="009A3C86">
        <w:rPr>
          <w:rFonts w:ascii="Times New Roman" w:hAnsi="Times New Roman"/>
          <w:b/>
          <w:bCs/>
          <w:sz w:val="24"/>
          <w:szCs w:val="24"/>
        </w:rPr>
        <w:t xml:space="preserve">83 </w:t>
      </w:r>
      <w:r w:rsidRPr="009A3C86">
        <w:rPr>
          <w:rFonts w:ascii="Times New Roman" w:hAnsi="Times New Roman"/>
          <w:b/>
          <w:bCs/>
          <w:sz w:val="24"/>
          <w:szCs w:val="24"/>
        </w:rPr>
        <w:t>§ 3</w:t>
      </w:r>
      <w:r w:rsidRPr="009A3C86">
        <w:rPr>
          <w:rFonts w:ascii="Times New Roman" w:hAnsi="Times New Roman"/>
          <w:bCs/>
          <w:sz w:val="24"/>
          <w:szCs w:val="24"/>
        </w:rPr>
        <w:t xml:space="preserve">). Powyższe w wielu przypadkach eliminuje w ogóle spory miedzy organami, a stanowisko organu II instancji w wielu przypadkach ułatwia podjęcie decyzji w tej sprawie. W przepisach obecnie obowiązujących nie ma obowiązku pośrednictwa dyrektora izby administracji skarbowej w przypadku sporu miedzy naczelnikiem urzędu skarbowego i naczelnikiem urzędu celno-skarbowego na obszarze właściwości miejscowej różnych dyrektorów izb administracji skarbowej. Dodano również przepis odsyłający do </w:t>
      </w:r>
      <w:r w:rsidRPr="009A3C86">
        <w:rPr>
          <w:rFonts w:ascii="Times New Roman" w:hAnsi="Times New Roman"/>
          <w:sz w:val="24"/>
          <w:szCs w:val="24"/>
        </w:rPr>
        <w:t>odpowiedniego stosowania  art. 22 k.p.a. w przypadku sporów o właściwość pomiędzy organami podatkowymi a innymi organami administracji publicznej.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Wprowadzenie bezwzględnego zakazu podejmowania czynności przez organy podatkowe w przypadku wystąpienia sporu o właściwość organu podatkowego byłoby niezasadne, powodujący powstawanie nieodwracalnych, negatywnych skutków zarówno dla strony, jak i organu podatkowego, dlatego w </w:t>
      </w:r>
      <w:r w:rsidRPr="009A3C86">
        <w:rPr>
          <w:rFonts w:ascii="Times New Roman" w:hAnsi="Times New Roman"/>
          <w:b/>
          <w:bCs/>
          <w:sz w:val="24"/>
          <w:szCs w:val="24"/>
        </w:rPr>
        <w:t xml:space="preserve">art. </w:t>
      </w:r>
      <w:r w:rsidR="00A43348" w:rsidRPr="009A3C86">
        <w:rPr>
          <w:rFonts w:ascii="Times New Roman" w:hAnsi="Times New Roman"/>
          <w:b/>
          <w:bCs/>
          <w:sz w:val="24"/>
          <w:szCs w:val="24"/>
        </w:rPr>
        <w:t>84</w:t>
      </w:r>
      <w:r w:rsidR="00A43348" w:rsidRPr="009A3C86">
        <w:rPr>
          <w:rFonts w:ascii="Times New Roman" w:hAnsi="Times New Roman"/>
          <w:bCs/>
          <w:sz w:val="24"/>
          <w:szCs w:val="24"/>
        </w:rPr>
        <w:t xml:space="preserve"> </w:t>
      </w:r>
      <w:r w:rsidRPr="009A3C86">
        <w:rPr>
          <w:rFonts w:ascii="Times New Roman" w:hAnsi="Times New Roman"/>
          <w:bCs/>
          <w:sz w:val="24"/>
          <w:szCs w:val="24"/>
        </w:rPr>
        <w:t xml:space="preserve">wprowadzono wyjątek od zasady niedziałania organu podatkowego. Organy są zobowiązane do podejmowania pewnych niezbędnych czynności, </w:t>
      </w:r>
      <w:r w:rsidRPr="009A3C86">
        <w:rPr>
          <w:rFonts w:ascii="Times New Roman" w:hAnsi="Times New Roman"/>
          <w:bCs/>
          <w:sz w:val="24"/>
          <w:szCs w:val="24"/>
        </w:rPr>
        <w:lastRenderedPageBreak/>
        <w:t>jednakże ograniczają się one do czynności niezbędnych, i tylko ze względu na interes publiczny lub ważny interes strony.</w:t>
      </w:r>
    </w:p>
    <w:p w:rsidR="00FA30AA" w:rsidRPr="009A3C86" w:rsidRDefault="00FA30AA" w:rsidP="00D72E74">
      <w:pPr>
        <w:tabs>
          <w:tab w:val="num" w:pos="720"/>
        </w:tabs>
        <w:spacing w:before="120" w:after="0" w:line="360" w:lineRule="auto"/>
        <w:jc w:val="both"/>
        <w:outlineLvl w:val="2"/>
        <w:rPr>
          <w:rFonts w:ascii="Times New Roman" w:eastAsia="Times New Roman" w:hAnsi="Times New Roman"/>
          <w:b/>
          <w:sz w:val="24"/>
          <w:szCs w:val="24"/>
        </w:rPr>
      </w:pPr>
      <w:bookmarkStart w:id="15" w:name="_Toc494363234"/>
      <w:r w:rsidRPr="009A3C86">
        <w:rPr>
          <w:rFonts w:ascii="Times New Roman" w:eastAsia="Times New Roman" w:hAnsi="Times New Roman"/>
          <w:b/>
          <w:sz w:val="24"/>
          <w:szCs w:val="24"/>
        </w:rPr>
        <w:t xml:space="preserve">Rozdział </w:t>
      </w:r>
      <w:r w:rsidR="006C62AB" w:rsidRPr="009A3C86">
        <w:rPr>
          <w:rFonts w:ascii="Times New Roman" w:eastAsia="Times New Roman" w:hAnsi="Times New Roman"/>
          <w:b/>
          <w:sz w:val="24"/>
          <w:szCs w:val="24"/>
        </w:rPr>
        <w:t>7</w:t>
      </w:r>
      <w:r w:rsidRPr="009A3C86">
        <w:rPr>
          <w:rFonts w:ascii="Times New Roman" w:eastAsia="Times New Roman" w:hAnsi="Times New Roman"/>
          <w:b/>
          <w:sz w:val="24"/>
          <w:szCs w:val="24"/>
        </w:rPr>
        <w:t>. Rada do Spraw Przeciwdziałania Unikaniu Opodatkowania</w:t>
      </w:r>
    </w:p>
    <w:p w:rsidR="00FA30AA" w:rsidRPr="009A3C86" w:rsidRDefault="00FA30AA" w:rsidP="00FA30AA">
      <w:pPr>
        <w:spacing w:after="0" w:line="360" w:lineRule="auto"/>
        <w:jc w:val="both"/>
        <w:rPr>
          <w:rFonts w:ascii="Times New Roman" w:eastAsia="Times New Roman" w:hAnsi="Times New Roman"/>
          <w:sz w:val="24"/>
          <w:szCs w:val="24"/>
        </w:rPr>
      </w:pPr>
      <w:bookmarkStart w:id="16" w:name="_Toc494363235"/>
      <w:bookmarkEnd w:id="15"/>
      <w:r w:rsidRPr="009A3C86">
        <w:rPr>
          <w:rFonts w:ascii="Times New Roman" w:eastAsia="Times New Roman" w:hAnsi="Times New Roman"/>
          <w:sz w:val="24"/>
          <w:szCs w:val="24"/>
        </w:rPr>
        <w:t xml:space="preserve">1. W zdecydowanej większości krajów, których systemy prawne mają klauzulę przeciwko unikaniu opodatkowania, sprawy zastosowania klauzuli są rozstrzygane jedynie decyzjami administracji podatkowej, które podlegają następnie zaskarżeniu do sądu. Zasadą jest brak zinstytucjonalizowanego udziału czynnika eksperckiego lub społecznego spoza administracji podatkowej w rozstrzyganiu spraw unikania opodatkowania. W niektórych państwach takie ciała opiniodawcze z powodzeniem jednak funkcjonują, pełniąc istotną rolę w procesie stosowania klauzuli w indywidualnych sprawach. Bazując na rozwiązaniach francuskich (Comité de l’Abus de Droit Fiscal), australijskich (General Anti-Avoidance Rule Panel) oraz kanadyjskich (General Anti-Avoidance Rule Committee) oraz najnowszych brytyjskich rozwiązaniach prawnych (Advisory Panel) proponuje się utrzymanie Rady do Spraw Przeciwdziałania Unikaniu Opodatkowania, zwanej dalej Radą. Potrzeba utworzenia takiego podmiotu nabiera szczególnej wagi w kontekście obaw co do sposobu stosowania klauzuli przez administrację podatkową, uzewnętrznionych w uzasadnieniu wyroku TK, jak też w dyskusjach społecznych.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przyjętych rozwiązaniach dotyczących klauzuli przeciwko unikaniu opodatkowania, sprawy jej zastosowania są rozstrzygane decyzjami wydawanymi przez Szefa KAS, które podlegają następnie zaskarżeniu do sądu administracyjnego (art. </w:t>
      </w:r>
      <w:r w:rsidR="00F07EC8" w:rsidRPr="009A3C86">
        <w:rPr>
          <w:rFonts w:ascii="Times New Roman" w:eastAsia="Times New Roman" w:hAnsi="Times New Roman"/>
          <w:sz w:val="24"/>
          <w:szCs w:val="24"/>
        </w:rPr>
        <w:t>594</w:t>
      </w:r>
      <w:r w:rsidR="008455E8"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i następne). To w tych rozstrzygnięciach opartych o klauzulę ogólną realizowane jest przez uprawniony organ przeciwdziałanie unikaniu opodatkowania. Natomiast Rada do Spraw Przeciwdziałania Unikaniu Opodatkowania, tak jak dotychczas będzie </w:t>
      </w:r>
      <w:r w:rsidR="001B6E0D" w:rsidRPr="009A3C86">
        <w:rPr>
          <w:rFonts w:ascii="Times New Roman" w:eastAsia="Times New Roman" w:hAnsi="Times New Roman"/>
          <w:sz w:val="24"/>
          <w:szCs w:val="24"/>
        </w:rPr>
        <w:t>organem niezależnym w zakresie swego działania</w:t>
      </w:r>
      <w:r w:rsidRPr="009A3C86">
        <w:rPr>
          <w:rFonts w:ascii="Times New Roman" w:eastAsia="Times New Roman" w:hAnsi="Times New Roman"/>
          <w:sz w:val="24"/>
          <w:szCs w:val="24"/>
        </w:rPr>
        <w:t>, którego zadaniem jest opiniowanie zasadności zastosowania klauzuli w sprawach indywidualnych (</w:t>
      </w:r>
      <w:r w:rsidRPr="009A3C86">
        <w:rPr>
          <w:rFonts w:ascii="Times New Roman" w:eastAsia="Times New Roman" w:hAnsi="Times New Roman"/>
          <w:b/>
          <w:sz w:val="24"/>
          <w:szCs w:val="24"/>
        </w:rPr>
        <w:t xml:space="preserve">art. </w:t>
      </w:r>
      <w:r w:rsidR="00A43348" w:rsidRPr="009A3C86">
        <w:rPr>
          <w:rFonts w:ascii="Times New Roman" w:eastAsia="Times New Roman" w:hAnsi="Times New Roman"/>
          <w:b/>
          <w:sz w:val="24"/>
          <w:szCs w:val="24"/>
        </w:rPr>
        <w:t>85</w:t>
      </w:r>
      <w:r w:rsidRPr="009A3C86">
        <w:rPr>
          <w:rFonts w:ascii="Times New Roman" w:eastAsia="Times New Roman" w:hAnsi="Times New Roman"/>
          <w:sz w:val="24"/>
          <w:szCs w:val="24"/>
        </w:rPr>
        <w:t xml:space="preserve">). Funkcjonowanie Rady przyczyni się do większego obiektywizmu organu wydającego decyzje w sprawie zastosowaniu klauzuli, ponieważ podmiot ten będzie wydawał niezależne opinie. Rada nadal będzie podmiotem eksperckiego i społecznego nadzoru nad stosowaniem klauzuli.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6B07B4" w:rsidRPr="009A3C86">
        <w:rPr>
          <w:rFonts w:ascii="Times New Roman" w:eastAsia="Times New Roman" w:hAnsi="Times New Roman"/>
          <w:b/>
          <w:sz w:val="24"/>
          <w:szCs w:val="24"/>
        </w:rPr>
        <w:t xml:space="preserve">85 </w:t>
      </w:r>
      <w:r w:rsidRPr="009A3C86">
        <w:rPr>
          <w:rFonts w:ascii="Times New Roman" w:eastAsia="Times New Roman" w:hAnsi="Times New Roman"/>
          <w:b/>
          <w:sz w:val="24"/>
          <w:szCs w:val="24"/>
        </w:rPr>
        <w:t xml:space="preserve">§ </w:t>
      </w:r>
      <w:r w:rsidR="001B5E59" w:rsidRPr="009A3C86">
        <w:rPr>
          <w:rFonts w:ascii="Times New Roman" w:eastAsia="Times New Roman" w:hAnsi="Times New Roman"/>
          <w:b/>
          <w:sz w:val="24"/>
          <w:szCs w:val="24"/>
        </w:rPr>
        <w:t>2</w:t>
      </w:r>
      <w:r w:rsidR="001B5E59"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oraz </w:t>
      </w:r>
      <w:r w:rsidRPr="009A3C86">
        <w:rPr>
          <w:rFonts w:ascii="Times New Roman" w:eastAsia="Times New Roman" w:hAnsi="Times New Roman"/>
          <w:b/>
          <w:sz w:val="24"/>
          <w:szCs w:val="24"/>
        </w:rPr>
        <w:t xml:space="preserve">art. </w:t>
      </w:r>
      <w:r w:rsidR="006B07B4" w:rsidRPr="009A3C86">
        <w:rPr>
          <w:rFonts w:ascii="Times New Roman" w:eastAsia="Times New Roman" w:hAnsi="Times New Roman"/>
          <w:b/>
          <w:sz w:val="24"/>
          <w:szCs w:val="24"/>
        </w:rPr>
        <w:t xml:space="preserve">91 </w:t>
      </w:r>
      <w:r w:rsidRPr="009A3C86">
        <w:rPr>
          <w:rFonts w:ascii="Times New Roman" w:eastAsia="Times New Roman" w:hAnsi="Times New Roman"/>
          <w:b/>
          <w:sz w:val="24"/>
          <w:szCs w:val="24"/>
        </w:rPr>
        <w:t>§ 1 pkt 3 i § 2</w:t>
      </w:r>
      <w:r w:rsidRPr="009A3C86">
        <w:rPr>
          <w:rFonts w:ascii="Times New Roman" w:eastAsia="Times New Roman" w:hAnsi="Times New Roman"/>
          <w:sz w:val="24"/>
          <w:szCs w:val="24"/>
        </w:rPr>
        <w:t xml:space="preserve"> wyraźnie wskazano, że do kompetencji Rady należy również opiniowanie zasadności zastosowania środków ograniczających umowne korzyści w indywidualnych sprawach. Opinie te, tak jak opinie odnoszące się do zasadności zastosowania </w:t>
      </w:r>
      <w:r w:rsidRPr="009A3C86">
        <w:rPr>
          <w:rFonts w:ascii="Times New Roman" w:eastAsia="Times New Roman" w:hAnsi="Times New Roman"/>
          <w:b/>
          <w:sz w:val="24"/>
          <w:szCs w:val="24"/>
        </w:rPr>
        <w:t xml:space="preserve">art. </w:t>
      </w:r>
      <w:r w:rsidR="006B07B4" w:rsidRPr="009A3C86">
        <w:rPr>
          <w:rFonts w:ascii="Times New Roman" w:eastAsia="Times New Roman" w:hAnsi="Times New Roman"/>
          <w:b/>
          <w:sz w:val="24"/>
          <w:szCs w:val="24"/>
        </w:rPr>
        <w:t>33</w:t>
      </w:r>
      <w:r w:rsidRPr="009A3C86">
        <w:rPr>
          <w:rFonts w:ascii="Times New Roman" w:eastAsia="Times New Roman" w:hAnsi="Times New Roman"/>
          <w:sz w:val="24"/>
          <w:szCs w:val="24"/>
        </w:rPr>
        <w:t xml:space="preserve">, nie byłyby wiążące dla organu podatkowego. Ponadto w </w:t>
      </w:r>
      <w:r w:rsidRPr="009A3C86">
        <w:rPr>
          <w:rFonts w:ascii="Times New Roman" w:eastAsia="Times New Roman" w:hAnsi="Times New Roman"/>
          <w:b/>
          <w:sz w:val="24"/>
          <w:szCs w:val="24"/>
        </w:rPr>
        <w:t>art. </w:t>
      </w:r>
      <w:r w:rsidR="006B07B4" w:rsidRPr="009A3C86">
        <w:rPr>
          <w:rFonts w:ascii="Times New Roman" w:eastAsia="Times New Roman" w:hAnsi="Times New Roman"/>
          <w:b/>
          <w:sz w:val="24"/>
          <w:szCs w:val="24"/>
        </w:rPr>
        <w:t xml:space="preserve">85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przyznano Radzie kompetencję do opiniowania projektów ustaw podatkowych i zmian w przepisach prawa </w:t>
      </w:r>
      <w:r w:rsidRPr="009A3C86">
        <w:rPr>
          <w:rFonts w:ascii="Times New Roman" w:eastAsia="Times New Roman" w:hAnsi="Times New Roman"/>
          <w:sz w:val="24"/>
          <w:szCs w:val="24"/>
        </w:rPr>
        <w:lastRenderedPageBreak/>
        <w:t>podatkowego innych aktów normatywnych związanych z przeciwdziałaniem unikaniu opodatkowania. Rada może wydać również opinię w sprawach dotyczących cofnięcia skutków unikania opodatkowania.</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Pod względem organizacyjnym utworzenie i funkcjonowanie Rady jest wzorowane na modelu przyjętym dla Państwowej Komisji Egzaminacyjnej ds. Doradztwa Podatkowego. Obsługę funkcjonowania Rady zapewni minister właściwy do spraw finansów publicznych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91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koszty jej działania będą pokrywane z budżetu państwa. Przesłanki odwołania oraz wygaśnięcia członkostwa w Radzie oraz ich skutki normują szczegółowo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88 </w:t>
      </w:r>
      <w:r w:rsidRPr="009A3C86">
        <w:rPr>
          <w:rFonts w:ascii="Times New Roman" w:eastAsia="Times New Roman" w:hAnsi="Times New Roman"/>
          <w:b/>
          <w:sz w:val="24"/>
          <w:szCs w:val="24"/>
        </w:rPr>
        <w:t xml:space="preserve">i art. </w:t>
      </w:r>
      <w:r w:rsidR="00FE5646" w:rsidRPr="009A3C86">
        <w:rPr>
          <w:rFonts w:ascii="Times New Roman" w:eastAsia="Times New Roman" w:hAnsi="Times New Roman"/>
          <w:b/>
          <w:sz w:val="24"/>
          <w:szCs w:val="24"/>
        </w:rPr>
        <w:t>89</w:t>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Wzorem m.in. doradców podatkowych lub radców prawnych, członkiem Rady może zostać osoba, która jest nieskazitelnego charakteru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87 </w:t>
      </w:r>
      <w:r w:rsidRPr="009A3C86">
        <w:rPr>
          <w:rFonts w:ascii="Times New Roman" w:eastAsia="Times New Roman" w:hAnsi="Times New Roman"/>
          <w:b/>
          <w:sz w:val="24"/>
          <w:szCs w:val="24"/>
        </w:rPr>
        <w:t>§ 2 pkt 6</w:t>
      </w:r>
      <w:r w:rsidRPr="009A3C86">
        <w:rPr>
          <w:rFonts w:ascii="Times New Roman" w:eastAsia="Times New Roman" w:hAnsi="Times New Roman"/>
          <w:sz w:val="24"/>
          <w:szCs w:val="24"/>
        </w:rPr>
        <w:t>), co może przyczynić się do zwiększenia autorytetu Rady i jej rozstrzygnięć. Ocenę, czy kandydat na członka Rady wypełnia omawiany przymiot będzie należeć co do zasady do podmiotu zgłaszającego (</w:t>
      </w:r>
      <w:r w:rsidRPr="009A3C86">
        <w:rPr>
          <w:rFonts w:ascii="Times New Roman" w:eastAsia="Times New Roman" w:hAnsi="Times New Roman"/>
          <w:b/>
          <w:sz w:val="24"/>
          <w:szCs w:val="24"/>
        </w:rPr>
        <w:t>art. </w:t>
      </w:r>
      <w:r w:rsidR="00FE5646" w:rsidRPr="009A3C86">
        <w:rPr>
          <w:rFonts w:ascii="Times New Roman" w:eastAsia="Times New Roman" w:hAnsi="Times New Roman"/>
          <w:b/>
          <w:sz w:val="24"/>
          <w:szCs w:val="24"/>
        </w:rPr>
        <w:t xml:space="preserve">87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W trakcie kadencji Rady minister właściwy do spraw finansów publicznych będzie mógł odwołać członka Rady z uwagi na utratę przymiotu nieskazitelnego charakteru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88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Op). Informacja o utracie nieskazitelnego charakteru przez członka Rady każdorazowo musi być poparta szczegółowym uzasadnieniem. Rada w ciągu 30 dni od powzięcia informacji o wygaśnięciu członkostwa w Radzie z uwagi na utratę przymiotu nieskazitelnego charakteru może wyrazić sprzeciw. Sprzeciw niweczący decyzję ministra będzie mógł zostać wyrażony poprzez uchwałę podjętą w głosowaniu tajnym, bezwzględną większością głosów w obecności co najmniej połowy członków Rady, z wyłączeniem zainteresowanego.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Zgodnie z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91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kompetencje przewodniczącego Rady obejmują kierowanie jej pracami, zwoływanie posiedzeń Rady, wyznaczanie członków Rady do wydania opinii i sporządzenia jej uzasadnienia. Rada wybiera przewodniczącego na zasadach określonych w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90</w:t>
      </w:r>
      <w:r w:rsidRPr="009A3C86">
        <w:rPr>
          <w:rFonts w:ascii="Times New Roman" w:eastAsia="Times New Roman" w:hAnsi="Times New Roman"/>
          <w:sz w:val="24"/>
          <w:szCs w:val="24"/>
        </w:rPr>
        <w:t xml:space="preserve">. Proponuje się, aby minister właściwy do spraw finansów publicznych wyznaczał sekretarza Rady spośród pracowników urzędu obsługującego tego ministra (do zapewnienia obsługi finansowej i nadzoru nad obsługą administracyjno-biurową związaną z funkcjonowaniem Rady), który nie będzie członkiem Rady –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91 </w:t>
      </w:r>
      <w:r w:rsidRPr="009A3C86">
        <w:rPr>
          <w:rFonts w:ascii="Times New Roman" w:eastAsia="Times New Roman" w:hAnsi="Times New Roman"/>
          <w:b/>
          <w:sz w:val="24"/>
          <w:szCs w:val="24"/>
        </w:rPr>
        <w:t>§ 5-7</w:t>
      </w:r>
      <w:r w:rsidRPr="009A3C86">
        <w:rPr>
          <w:rFonts w:ascii="Times New Roman" w:eastAsia="Times New Roman" w:hAnsi="Times New Roman"/>
          <w:sz w:val="24"/>
          <w:szCs w:val="24"/>
        </w:rPr>
        <w:t>. Rada w drodze uchwały sama określi zasady oraz regulamin jej pracy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91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W tym zakresie minister właściwy do spraw finansów publicznych ma swobodę w powoływaniu i odwoływaniu w każdym czasie sekretarza Rady.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4. Opinia ma być wydawana przez co najmniej połowę członków Rady (</w:t>
      </w:r>
      <w:r w:rsidRPr="009A3C86">
        <w:rPr>
          <w:rFonts w:ascii="Times New Roman" w:eastAsia="Times New Roman" w:hAnsi="Times New Roman"/>
          <w:b/>
          <w:sz w:val="24"/>
          <w:szCs w:val="24"/>
        </w:rPr>
        <w:t xml:space="preserve">art. </w:t>
      </w:r>
      <w:r w:rsidR="00FE5646" w:rsidRPr="009A3C86">
        <w:rPr>
          <w:rFonts w:ascii="Times New Roman" w:eastAsia="Times New Roman" w:hAnsi="Times New Roman"/>
          <w:b/>
          <w:sz w:val="24"/>
          <w:szCs w:val="24"/>
        </w:rPr>
        <w:t xml:space="preserve">91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Szef KAS na etapie postępowania w pierwszej instancji może wystąpić o opinię Rady (art. </w:t>
      </w:r>
      <w:r w:rsidR="00F20B3D" w:rsidRPr="009A3C86">
        <w:rPr>
          <w:rFonts w:ascii="Times New Roman" w:eastAsia="Times New Roman" w:hAnsi="Times New Roman"/>
          <w:sz w:val="24"/>
          <w:szCs w:val="24"/>
        </w:rPr>
        <w:t>599</w:t>
      </w:r>
      <w:r w:rsidR="006C448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1). Podatnik na tym etapie postępowania nie może żądać wydania takiej opinii. Opinia nie jest wiążąca. W przypadku wniesienia przez podatnika odwołania od decyzji może on wnioskować </w:t>
      </w:r>
      <w:r w:rsidRPr="009A3C86">
        <w:rPr>
          <w:rFonts w:ascii="Times New Roman" w:eastAsia="Times New Roman" w:hAnsi="Times New Roman"/>
          <w:sz w:val="24"/>
          <w:szCs w:val="24"/>
        </w:rPr>
        <w:lastRenderedPageBreak/>
        <w:t xml:space="preserve">o to, aby Szef KAS zwrócił się o opinię do Rady. Wniosek podatnika jest wiążący dla ministra. Pouczenie o prawie do złożenia tego wniosku musi być zawarte w decyzji wydanej w pierwszej instancji. W efekcie wprowadzenia dodatkowego zobowiązania podatkowego związanego z unikaniem opodatkowania, organ podatkowy będzie uprawniony do wydania decyzji ustalającej to zobowiązanie w obniżonej wysokości, jeżeli strona w toku postępowania samodzielnie dokona cofnięcia skutków unikania opodatkowania w zakresie wynikającym z oceny prawnej doręczonej przez organ podatkowy (art. </w:t>
      </w:r>
      <w:r w:rsidR="00D85FA0"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 7). W takiej sytuacji w wyniku złożenia ewentualnego odwołania od tej decyzji stronie nie przysługuje już prawo do zasięgnięcia opinii Rady (art. </w:t>
      </w:r>
      <w:r w:rsidR="00F6561A" w:rsidRPr="009A3C86">
        <w:rPr>
          <w:rFonts w:ascii="Times New Roman" w:eastAsia="Times New Roman" w:hAnsi="Times New Roman"/>
          <w:sz w:val="24"/>
          <w:szCs w:val="24"/>
        </w:rPr>
        <w:t>599</w:t>
      </w:r>
      <w:r w:rsidR="00F97EBF"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4), skoro zarzut unikania opodatkowania został przez stronę uznany.</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Rada miałaby prawo zwrócić się do podatnika i do organów podatkowych o udzielenie wyjaśnień (art. </w:t>
      </w:r>
      <w:r w:rsidR="00B7734A" w:rsidRPr="009A3C86">
        <w:rPr>
          <w:rFonts w:ascii="Times New Roman" w:eastAsia="Times New Roman" w:hAnsi="Times New Roman"/>
          <w:sz w:val="24"/>
          <w:szCs w:val="24"/>
        </w:rPr>
        <w:t>6</w:t>
      </w:r>
      <w:r w:rsidR="00B463A3" w:rsidRPr="009A3C86">
        <w:rPr>
          <w:rFonts w:ascii="Times New Roman" w:eastAsia="Times New Roman" w:hAnsi="Times New Roman"/>
          <w:sz w:val="24"/>
          <w:szCs w:val="24"/>
        </w:rPr>
        <w:t>00</w:t>
      </w:r>
      <w:r w:rsidR="00B7734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1). Strona i Szef KAS prowadzący postępowanie mieliby możliwość także z własnej inicjatywy przedstawienia Radzie dokumentów i wyjaśnień (art. </w:t>
      </w:r>
      <w:r w:rsidR="00B7734A" w:rsidRPr="009A3C86">
        <w:rPr>
          <w:rFonts w:ascii="Times New Roman" w:eastAsia="Times New Roman" w:hAnsi="Times New Roman"/>
          <w:sz w:val="24"/>
          <w:szCs w:val="24"/>
        </w:rPr>
        <w:t>6</w:t>
      </w:r>
      <w:r w:rsidR="00B463A3" w:rsidRPr="009A3C86">
        <w:rPr>
          <w:rFonts w:ascii="Times New Roman" w:eastAsia="Times New Roman" w:hAnsi="Times New Roman"/>
          <w:sz w:val="24"/>
          <w:szCs w:val="24"/>
        </w:rPr>
        <w:t>00</w:t>
      </w:r>
      <w:r w:rsidR="00B7734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2). Podatnik oraz jego pełnomocnik będą mogli uczestniczyć w posiedzeniu Rady tylko na zaproszenie przewodniczącego (art. </w:t>
      </w:r>
      <w:r w:rsidR="00B7734A" w:rsidRPr="009A3C86">
        <w:rPr>
          <w:rFonts w:ascii="Times New Roman" w:eastAsia="Times New Roman" w:hAnsi="Times New Roman"/>
          <w:sz w:val="24"/>
          <w:szCs w:val="24"/>
        </w:rPr>
        <w:t>6</w:t>
      </w:r>
      <w:r w:rsidR="00B463A3" w:rsidRPr="009A3C86">
        <w:rPr>
          <w:rFonts w:ascii="Times New Roman" w:eastAsia="Times New Roman" w:hAnsi="Times New Roman"/>
          <w:sz w:val="24"/>
          <w:szCs w:val="24"/>
        </w:rPr>
        <w:t>00</w:t>
      </w:r>
      <w:r w:rsidR="00B7734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3). Przedstawiciel Szefa KAS będzie mógł uczestniczyć w posiedzeniu Rady lub jego części na zaproszenie przewodniczącego Rady na takich samych zasadach, jakie dotyczyć będą uczestnictwa podatnika. Zgodnie z tym przepisem na zaproszenie przewodniczącego w posiedzeniu Rady, którego przedmiotem jest wyrażenie opinii co do zasadności zastosowania art. </w:t>
      </w:r>
      <w:r w:rsidR="00D85FA0" w:rsidRPr="009A3C86">
        <w:rPr>
          <w:rFonts w:ascii="Times New Roman" w:eastAsia="Times New Roman" w:hAnsi="Times New Roman"/>
          <w:sz w:val="24"/>
          <w:szCs w:val="24"/>
        </w:rPr>
        <w:t>33</w:t>
      </w:r>
      <w:r w:rsidRPr="009A3C86">
        <w:rPr>
          <w:rFonts w:ascii="Times New Roman" w:eastAsia="Times New Roman" w:hAnsi="Times New Roman"/>
          <w:sz w:val="24"/>
          <w:szCs w:val="24"/>
        </w:rPr>
        <w:t xml:space="preserve">, lub w jego części może uczestniczyć przedstawiciel Szefa KAS oraz strona, jej przedstawiciel lub pełnomocnik. Zaproszenie przedstawiciela Szefa KAS albo strony do udziału w posiedzeniu wymaga skierowania zaproszenia w takim samym zakresie także odpowiednio do strony albo przedstawiciela Szefa KAS.  Po wydaniu opinii albo po bezskutecznym upływie terminu wskazanego w § 5 Rada zwraca akta sprawy Szefowi KAS. Otrzymane przez Radę od strony informacje, wyjaśnienia oraz dokumenty włącza się do akt sprawy. W treści art. </w:t>
      </w:r>
      <w:r w:rsidR="00257A03" w:rsidRPr="009A3C86">
        <w:rPr>
          <w:rFonts w:ascii="Times New Roman" w:eastAsia="Times New Roman" w:hAnsi="Times New Roman"/>
          <w:sz w:val="24"/>
          <w:szCs w:val="24"/>
        </w:rPr>
        <w:t>6</w:t>
      </w:r>
      <w:r w:rsidR="00B463A3" w:rsidRPr="009A3C86">
        <w:rPr>
          <w:rFonts w:ascii="Times New Roman" w:eastAsia="Times New Roman" w:hAnsi="Times New Roman"/>
          <w:sz w:val="24"/>
          <w:szCs w:val="24"/>
        </w:rPr>
        <w:t>00</w:t>
      </w:r>
      <w:r w:rsidR="00257A03"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9 wskazano, że w organ podatkowy pominie opinię Rady wydaną z uchybieniem terminu wskazanego w § 5 tego przepisu.</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Opinie Rady będą wydawane nieodpłatnie. Członkowie Rady będą podlegać wyłączeniu z opiniowania poszczególnych spraw na zasadach określonych w art. </w:t>
      </w:r>
      <w:r w:rsidR="00D85FA0" w:rsidRPr="009A3C86">
        <w:rPr>
          <w:rFonts w:ascii="Times New Roman" w:eastAsia="Times New Roman" w:hAnsi="Times New Roman"/>
          <w:sz w:val="24"/>
          <w:szCs w:val="24"/>
        </w:rPr>
        <w:t xml:space="preserve">95 </w:t>
      </w:r>
      <w:r w:rsidRPr="009A3C86">
        <w:rPr>
          <w:rFonts w:ascii="Times New Roman" w:eastAsia="Times New Roman" w:hAnsi="Times New Roman"/>
          <w:sz w:val="24"/>
          <w:szCs w:val="24"/>
        </w:rPr>
        <w:t>§ 1-</w:t>
      </w:r>
      <w:r w:rsidR="005B2E50" w:rsidRPr="009A3C86">
        <w:rPr>
          <w:rFonts w:ascii="Times New Roman" w:eastAsia="Times New Roman" w:hAnsi="Times New Roman"/>
          <w:sz w:val="24"/>
          <w:szCs w:val="24"/>
        </w:rPr>
        <w:t xml:space="preserve">5 </w:t>
      </w:r>
      <w:r w:rsidRPr="009A3C86">
        <w:rPr>
          <w:rFonts w:ascii="Times New Roman" w:eastAsia="Times New Roman" w:hAnsi="Times New Roman"/>
          <w:sz w:val="24"/>
          <w:szCs w:val="24"/>
        </w:rPr>
        <w:t>(</w:t>
      </w:r>
      <w:r w:rsidRPr="009A3C86">
        <w:rPr>
          <w:rFonts w:ascii="Times New Roman" w:eastAsia="Times New Roman" w:hAnsi="Times New Roman"/>
          <w:b/>
          <w:sz w:val="24"/>
          <w:szCs w:val="24"/>
        </w:rPr>
        <w:t>art.</w:t>
      </w:r>
      <w:r w:rsidR="00B1683C" w:rsidRPr="009A3C86">
        <w:rPr>
          <w:rFonts w:ascii="Times New Roman" w:eastAsia="Times New Roman" w:hAnsi="Times New Roman"/>
          <w:b/>
          <w:sz w:val="24"/>
          <w:szCs w:val="24"/>
        </w:rPr>
        <w:t xml:space="preserve"> </w:t>
      </w:r>
      <w:r w:rsidR="00D85FA0" w:rsidRPr="009A3C86">
        <w:rPr>
          <w:rFonts w:ascii="Times New Roman" w:eastAsia="Times New Roman" w:hAnsi="Times New Roman"/>
          <w:b/>
          <w:sz w:val="24"/>
          <w:szCs w:val="24"/>
        </w:rPr>
        <w:t>93</w:t>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Opinie Rady byłyby zamieszczane w Biuletynie Informacji Publicznej po usunięciu danych identyfikujących stronę i inne podmioty w niej wymienione (</w:t>
      </w:r>
      <w:r w:rsidRPr="009A3C86">
        <w:rPr>
          <w:rFonts w:ascii="Times New Roman" w:eastAsia="Times New Roman" w:hAnsi="Times New Roman"/>
          <w:b/>
          <w:sz w:val="24"/>
          <w:szCs w:val="24"/>
        </w:rPr>
        <w:t xml:space="preserve">art. </w:t>
      </w:r>
      <w:r w:rsidR="00D85FA0" w:rsidRPr="009A3C86">
        <w:rPr>
          <w:rFonts w:ascii="Times New Roman" w:eastAsia="Times New Roman" w:hAnsi="Times New Roman"/>
          <w:b/>
          <w:sz w:val="24"/>
          <w:szCs w:val="24"/>
        </w:rPr>
        <w:t>92</w:t>
      </w:r>
      <w:r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Członkowie Rady mają być wynagradzani zgodnie z wnioskiem przewodniczącego, w oparciu o szacunkowe nakłady pracy i zaangażowanie poszczególnego członka w analizę sprawy i wydanie opinii. Członkom Rady przysługiwać także będzie zwrot kosztów podróży i </w:t>
      </w:r>
      <w:r w:rsidRPr="009A3C86">
        <w:rPr>
          <w:rFonts w:ascii="Times New Roman" w:eastAsia="Times New Roman" w:hAnsi="Times New Roman"/>
          <w:sz w:val="24"/>
          <w:szCs w:val="24"/>
        </w:rPr>
        <w:lastRenderedPageBreak/>
        <w:t>noclegów (</w:t>
      </w:r>
      <w:r w:rsidRPr="009A3C86">
        <w:rPr>
          <w:rFonts w:ascii="Times New Roman" w:eastAsia="Times New Roman" w:hAnsi="Times New Roman"/>
          <w:b/>
          <w:sz w:val="24"/>
          <w:szCs w:val="24"/>
        </w:rPr>
        <w:t xml:space="preserve">art. </w:t>
      </w:r>
      <w:r w:rsidR="00D85FA0" w:rsidRPr="009A3C86">
        <w:rPr>
          <w:rFonts w:ascii="Times New Roman" w:eastAsia="Times New Roman" w:hAnsi="Times New Roman"/>
          <w:b/>
          <w:sz w:val="24"/>
          <w:szCs w:val="24"/>
        </w:rPr>
        <w:t xml:space="preserve">94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W </w:t>
      </w:r>
      <w:r w:rsidRPr="009A3C86">
        <w:rPr>
          <w:rFonts w:ascii="Times New Roman" w:eastAsia="Times New Roman" w:hAnsi="Times New Roman"/>
          <w:b/>
          <w:sz w:val="24"/>
          <w:szCs w:val="24"/>
        </w:rPr>
        <w:t xml:space="preserve">art. </w:t>
      </w:r>
      <w:r w:rsidR="00D85FA0" w:rsidRPr="009A3C86">
        <w:rPr>
          <w:rFonts w:ascii="Times New Roman" w:eastAsia="Times New Roman" w:hAnsi="Times New Roman"/>
          <w:b/>
          <w:sz w:val="24"/>
          <w:szCs w:val="24"/>
        </w:rPr>
        <w:t xml:space="preserve">94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projektu zawarto delegację dla ministra właściwego do spraw finansów publicznych do wydania obligatoryjnego rozporządzenia określającego: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wysokość:</w:t>
      </w:r>
    </w:p>
    <w:p w:rsidR="00FA30AA" w:rsidRPr="009A3C86" w:rsidRDefault="00FA30AA" w:rsidP="00FA30AA">
      <w:pPr>
        <w:numPr>
          <w:ilvl w:val="0"/>
          <w:numId w:val="6"/>
        </w:numPr>
        <w:spacing w:after="0" w:line="360" w:lineRule="auto"/>
        <w:ind w:left="0" w:firstLine="0"/>
        <w:jc w:val="both"/>
        <w:rPr>
          <w:rFonts w:ascii="Times New Roman" w:hAnsi="Times New Roman"/>
          <w:sz w:val="24"/>
          <w:szCs w:val="24"/>
          <w:lang w:eastAsia="pl-PL"/>
        </w:rPr>
      </w:pPr>
      <w:r w:rsidRPr="009A3C86">
        <w:rPr>
          <w:rFonts w:ascii="Times New Roman" w:hAnsi="Times New Roman"/>
          <w:sz w:val="24"/>
          <w:szCs w:val="24"/>
          <w:lang w:eastAsia="pl-PL"/>
        </w:rPr>
        <w:t>wynagrodzenia: przewodniczącego Rady, sekretarza Rady oraz członka Rady za uczestniczenie w posiedzeniach Rady, biorąc pod uwagę zakres ich obowiązków,</w:t>
      </w:r>
    </w:p>
    <w:p w:rsidR="00FA30AA" w:rsidRPr="009A3C86" w:rsidRDefault="00FA30AA" w:rsidP="00FA30AA">
      <w:pPr>
        <w:numPr>
          <w:ilvl w:val="0"/>
          <w:numId w:val="6"/>
        </w:numPr>
        <w:spacing w:after="0" w:line="360" w:lineRule="auto"/>
        <w:ind w:left="0" w:firstLine="0"/>
        <w:jc w:val="both"/>
        <w:rPr>
          <w:rFonts w:ascii="Times New Roman" w:hAnsi="Times New Roman"/>
          <w:sz w:val="24"/>
          <w:szCs w:val="24"/>
          <w:lang w:eastAsia="pl-PL"/>
        </w:rPr>
      </w:pPr>
      <w:r w:rsidRPr="009A3C86">
        <w:rPr>
          <w:rFonts w:ascii="Times New Roman" w:hAnsi="Times New Roman"/>
          <w:sz w:val="24"/>
          <w:szCs w:val="24"/>
          <w:lang w:eastAsia="pl-PL"/>
        </w:rPr>
        <w:t>łącznego wynagrodzenia dla członków Rady za sporządzenie projektu uzasadnienia stanowiska zawartego w opinii w indywidualnej sprawie, uwzględniając szacunkowo nakład pracy niezbędny do przygotowania uzasadnienia projektu opinii, a także mając na uwadze, aby wysokość tego wynagrodzenia nie przekraczała dwukrotności kwoty bazowej dla członków korpusu służby cywilnej, której wysokość, ustaloną według odrębnych przepisów, określa ustawa budżetowa;</w:t>
      </w:r>
    </w:p>
    <w:p w:rsidR="00FA30AA" w:rsidRPr="009A3C86" w:rsidRDefault="00FA30AA" w:rsidP="00FA30AA">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warunki i tryb zwrotu kosztów podróży i noclegów przysługujących członkom Rady w związku z poniesieniem tych kosztów w ramach udziału w pracach Rady oraz sposób obliczania wysokości albo maksymalną kwotę tego zwrotu, biorąc pod uwagę racjonalność ponoszonych kosztów podróży i noclegów.</w:t>
      </w:r>
      <w:r w:rsidRPr="009A3C86">
        <w:rPr>
          <w:rFonts w:ascii="Times New Roman" w:eastAsia="Times New Roman" w:hAnsi="Times New Roman"/>
          <w:sz w:val="24"/>
          <w:szCs w:val="24"/>
        </w:rPr>
        <w:tab/>
      </w:r>
      <w:r w:rsidR="00420FE0"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Zaproponowane rozwiązania dotyczące zwrotu członkom Rady do Spraw Przeciwdziałania Unikaniu Opodatkowania kosztów podróży i noclegów (</w:t>
      </w:r>
      <w:r w:rsidRPr="009A3C86">
        <w:rPr>
          <w:rFonts w:ascii="Times New Roman" w:eastAsia="Times New Roman" w:hAnsi="Times New Roman"/>
          <w:b/>
          <w:sz w:val="24"/>
          <w:szCs w:val="24"/>
        </w:rPr>
        <w:t xml:space="preserve">art. </w:t>
      </w:r>
      <w:r w:rsidR="0055259D" w:rsidRPr="009A3C86">
        <w:rPr>
          <w:rFonts w:ascii="Times New Roman" w:eastAsia="Times New Roman" w:hAnsi="Times New Roman"/>
          <w:b/>
          <w:sz w:val="24"/>
          <w:szCs w:val="24"/>
        </w:rPr>
        <w:t xml:space="preserve">94 </w:t>
      </w:r>
      <w:r w:rsidRPr="009A3C86">
        <w:rPr>
          <w:rFonts w:ascii="Times New Roman" w:eastAsia="Times New Roman" w:hAnsi="Times New Roman"/>
          <w:b/>
          <w:sz w:val="24"/>
          <w:szCs w:val="24"/>
        </w:rPr>
        <w:t>§ 2 pkt 2</w:t>
      </w:r>
      <w:r w:rsidRPr="009A3C86">
        <w:rPr>
          <w:rFonts w:ascii="Times New Roman" w:eastAsia="Times New Roman" w:hAnsi="Times New Roman"/>
          <w:sz w:val="24"/>
          <w:szCs w:val="24"/>
        </w:rPr>
        <w:t xml:space="preserve"> oraz </w:t>
      </w:r>
      <w:r w:rsidRPr="009A3C86">
        <w:rPr>
          <w:rFonts w:ascii="Times New Roman" w:eastAsia="Times New Roman" w:hAnsi="Times New Roman"/>
          <w:b/>
          <w:sz w:val="24"/>
          <w:szCs w:val="24"/>
        </w:rPr>
        <w:t>§ 4 pkt 2</w:t>
      </w:r>
      <w:r w:rsidRPr="009A3C86">
        <w:rPr>
          <w:rFonts w:ascii="Times New Roman" w:eastAsia="Times New Roman" w:hAnsi="Times New Roman"/>
          <w:sz w:val="24"/>
          <w:szCs w:val="24"/>
        </w:rPr>
        <w:t>) stanowią powielenie dotychczasowych rozwiązań przyjętych w art. 119v § 2 pkt 2 oraz § 4 pkt 2 o.p. W rozporządzeniu wykonawczym do tych przepisów ustawowych z dnia 20 lipca 2016 r. w sprawie wynagrodzeń oraz zwrotu kosztów podróży i noclegów członków Rady do Spraw Przeciwdziałania Unikaniu Opodatkowania (Dz.</w:t>
      </w:r>
      <w:r w:rsidR="00600D0D"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U. z 2016 r. poz.1106) Minister Finansów określił szczegółowe zasady zwrotu tego rodzaju kosztów. Wyjaśniono, że</w:t>
      </w:r>
      <w:r w:rsidRPr="009A3C86">
        <w:rPr>
          <w:rFonts w:ascii="Times New Roman" w:eastAsia="Times New Roman" w:hAnsi="Times New Roman"/>
          <w:b/>
          <w:bCs/>
          <w:sz w:val="24"/>
          <w:szCs w:val="24"/>
        </w:rPr>
        <w:t xml:space="preserve"> </w:t>
      </w:r>
      <w:r w:rsidRPr="009A3C86">
        <w:rPr>
          <w:rFonts w:ascii="Times New Roman" w:eastAsia="Times New Roman" w:hAnsi="Times New Roman"/>
          <w:sz w:val="24"/>
          <w:szCs w:val="24"/>
        </w:rPr>
        <w:t xml:space="preserve">Członkowi Rady przysługuje zwrot kosztów noclegu w obiekcie świadczącym usługi hotelarskie w wysokości stwierdzonej rachunkiem, jednak nie wyższej niż 300 zł za każdą dobę hotelową (§ 3 ust. 1 rozporządzenia). Określono zasady zwrotu na wniosek koszty podróży prywatnym samochodem, motocyklem lub motorowerem (§ 3 ust. 2 i 3 rozporządzenia) oraz w zakresie nieuregulowanym w tych przepisach odesłano do odpowiedniego stosowania </w:t>
      </w:r>
      <w:r w:rsidR="00420FE0" w:rsidRPr="009A3C86">
        <w:rPr>
          <w:rFonts w:ascii="Times New Roman" w:eastAsia="Times New Roman" w:hAnsi="Times New Roman"/>
          <w:sz w:val="24"/>
          <w:szCs w:val="24"/>
        </w:rPr>
        <w:t xml:space="preserve">przepisów </w:t>
      </w:r>
      <w:r w:rsidRPr="009A3C86">
        <w:rPr>
          <w:rFonts w:ascii="Times New Roman" w:eastAsia="Times New Roman" w:hAnsi="Times New Roman"/>
          <w:sz w:val="24"/>
          <w:szCs w:val="24"/>
        </w:rPr>
        <w:t xml:space="preserve">o należnościach przysługujących pracownikowi zatrudnionemu w państwowej lub samorządowej jednostce sfery budżetowej z tytułu podróży służbowej na obszarze kraju (§ 3 ust. 4 rozporządzenia). </w:t>
      </w:r>
    </w:p>
    <w:p w:rsidR="00FA30AA" w:rsidRPr="009A3C86" w:rsidRDefault="00FA30AA"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 xml:space="preserve">Rozdział </w:t>
      </w:r>
      <w:r w:rsidR="00371143" w:rsidRPr="009A3C86">
        <w:rPr>
          <w:rFonts w:ascii="Times New Roman" w:hAnsi="Times New Roman"/>
          <w:b/>
          <w:bCs/>
          <w:sz w:val="24"/>
          <w:szCs w:val="24"/>
        </w:rPr>
        <w:t>8</w:t>
      </w:r>
      <w:r w:rsidRPr="009A3C86">
        <w:rPr>
          <w:rFonts w:ascii="Times New Roman" w:hAnsi="Times New Roman"/>
          <w:b/>
          <w:bCs/>
          <w:sz w:val="24"/>
          <w:szCs w:val="24"/>
        </w:rPr>
        <w:t>. Wyłączenie pracownika oraz organu podatkowego</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1. W zakresie wyłączenia pracowników organów zaproponowano całkiem nową regulację tej materii bazującą na doświadczeniach ze stosowania obowiązujących przepisów oraz regulacji Kodeksu postępowania administracyjnego. Dotychczasowe przepisy przewidywały odrębne </w:t>
      </w:r>
      <w:r w:rsidRPr="009A3C86">
        <w:rPr>
          <w:rFonts w:ascii="Times New Roman" w:hAnsi="Times New Roman"/>
          <w:sz w:val="24"/>
          <w:szCs w:val="24"/>
        </w:rPr>
        <w:lastRenderedPageBreak/>
        <w:t>katalogi przyczyn wyłączenia pracownika lub organu podatkowego oraz odrębne przesłanki dla różnych grup osób podlegających wyłączeniu (piastunów organów, ich zastępców, pracowników, funkcjonariuszy oraz dla samorządowych organów podatkowych). Brak jest uzasadnienia dla ustalenia różnych zasad wyłączania poszczególnych osób. Przepisy te budziły liczne wątpliwości interpretacyjne, wynikające m.in. z nieuzasadnionego stosowania różnych przesłanek wyłączenia wobec osób pełniących funkcję organów (naczelników urzędów skarbowych i celno-skarbowych, dyrektorów izb administracji skarbowej, wójtów, burmistrzów, prezydentów miast itp.) w ramach administracji państwowej i samorządowej</w:t>
      </w:r>
      <w:r w:rsidRPr="009A3C86">
        <w:rPr>
          <w:rFonts w:ascii="Times New Roman" w:hAnsi="Times New Roman"/>
          <w:sz w:val="24"/>
          <w:szCs w:val="24"/>
          <w:vertAlign w:val="superscript"/>
        </w:rPr>
        <w:footnoteReference w:id="158"/>
      </w:r>
      <w:r w:rsidRPr="009A3C86">
        <w:rPr>
          <w:rFonts w:ascii="Times New Roman" w:hAnsi="Times New Roman"/>
          <w:sz w:val="24"/>
          <w:szCs w:val="24"/>
        </w:rPr>
        <w:t>. Dotychczasowe warunki uznawane były za wystarczające na tle rozwiązań przyjętych w innych państwach</w:t>
      </w:r>
      <w:r w:rsidRPr="009A3C86">
        <w:rPr>
          <w:rFonts w:ascii="Times New Roman" w:hAnsi="Times New Roman"/>
          <w:sz w:val="24"/>
          <w:szCs w:val="24"/>
          <w:vertAlign w:val="superscript"/>
        </w:rPr>
        <w:footnoteReference w:id="159"/>
      </w:r>
      <w:r w:rsidRPr="009A3C86">
        <w:rPr>
          <w:rFonts w:ascii="Times New Roman" w:hAnsi="Times New Roman"/>
          <w:sz w:val="24"/>
          <w:szCs w:val="24"/>
        </w:rPr>
        <w:t xml:space="preserve">, dlatego utrzymano co do zasady dotychczasowe przesłanki, dokonując jedynie porządkowych modyfikacji, łącząc przesłanki wyłączenia stosowane wobec pracowników i piastunów poszczególnych organów celem zachowania bezstronności przy załatwianiu spraw podatkowych jako realizację zasady ogólnej wyrażonej w art. 19 projektu ordynacji podatkowej.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Zdecydowano także o przeniesieniu przepisów regulujących wyłączenia do części ogólnej, dotychczas umiejscowionych w przepisach dotyczących postępowania podatkowego, ze względu na konieczność ich stosowania nie tylko w postępowaniu podatkowym, ale we wszystkich postępowaniach i sprawach należących do właściwości organów podatkowych, do których stosowane będą przepisy ordynacji podatkowej.</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2. Zaproponowano jednolity katalog przesłanek wyłączenia dla wszystkich osób. Wystąpienie tych przesłanek przesądza o wyłączeniu danej osoby z prowadzonego postępowania lub udziału w innej sprawie. Wprowadzono także regulacje dotyczące wyłączenia całego organu podatkowego, oparte na takich samych przesłankach jak dla pracowników, a które przewidują wyłączenie organu w przypadku, gdy przesłanki wyłączenia dotyczą osób piastujących funkcję organu podatkowego (naczelnika urzędu skarbowego, naczelnika urzędu celno-skarbowego, dyrektora izby administracji skarbowej, wójta, burmistrza, prezydenta miasta itp.), ich zastępców lub osób pozostających z nimi w ścisłych związkach. Odrębnie uregulowano zasady wyłączenia samorządowych kolegiów odwoławczych, jednak bazują one także na tym samym katalogu przesłanek. Instytucja wyłączenia nie znajdzie zastosowania wyłącznie wobec osób </w:t>
      </w:r>
      <w:r w:rsidRPr="009A3C86">
        <w:rPr>
          <w:rFonts w:ascii="Times New Roman" w:hAnsi="Times New Roman"/>
          <w:sz w:val="24"/>
          <w:szCs w:val="24"/>
        </w:rPr>
        <w:lastRenderedPageBreak/>
        <w:t xml:space="preserve">piastujących funkcję ministra właściwego do spraw finansów publicznych, Szefa Krajowej Administracji Skarbowej oraz Dyrektora Krajowej Informacji Skarbowej.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D74B77" w:rsidRPr="009A3C86">
        <w:rPr>
          <w:rFonts w:ascii="Times New Roman" w:hAnsi="Times New Roman"/>
          <w:b/>
          <w:sz w:val="24"/>
          <w:szCs w:val="24"/>
        </w:rPr>
        <w:t xml:space="preserve">95 </w:t>
      </w:r>
      <w:r w:rsidRPr="009A3C86">
        <w:rPr>
          <w:rFonts w:ascii="Times New Roman" w:hAnsi="Times New Roman"/>
          <w:b/>
          <w:sz w:val="24"/>
          <w:szCs w:val="24"/>
        </w:rPr>
        <w:t>§ 1</w:t>
      </w:r>
      <w:r w:rsidRPr="009A3C86">
        <w:rPr>
          <w:rFonts w:ascii="Times New Roman" w:hAnsi="Times New Roman"/>
          <w:sz w:val="24"/>
          <w:szCs w:val="24"/>
        </w:rPr>
        <w:t xml:space="preserve"> projektu ordynacji podatkowej nie wskazuje katalogu osób podlegających wyłączeniu, tylko odsyła do proponowanej definicji pracownika organu, obejmującej osobę zatrudnioną w jednostkach organizacyjnych Krajowej Administracji Skarbowej, funkcjonariusza pełniącego służbę w jednostce organizacyjnej Krajowej Administracji Skarbowej, a także pracownika urzędu obsługującego organ podatkowy.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ten zawiera listę przesłanek wyłączenia pracownika od udziału w sprawach dotyczących zobowiązań podatkowych oraz w innych sprawach normowanych przepisami prawa podatkowego. Podstawową przesłanką wyłączenia jest wystąpienie sytuacji, w której osoba podlegająca wyłączeniu jest zobowiązanym lub zainteresowanym. Do tej samej grupy przesłanek o charakterze osobistym należy zaliczyć przesłanki bazujące na ścisłym związku pracownika z zobowiązanym lub zainteresowanym. Dotyczy to m.in. małżonków, rodzeństwa, wstępnych, zstępnych oraz powinowatych do drugiego stopnia osoby podlegającej wyłączeniu. W tej samej grupie przesłanek znajdują się takie przesłanki wyłączenia, jak przysposobienie, opieka lub kuratela. Nie zdecydowano się w tym zakresie na uwzględnienie konkubinatów w przesłankach wyłączenia z mocy prawa, choć tego rodzaju związki stają się coraz bardziej popularne. W takim wypadku zasada bezstronności powinna być realizowana na wniosek lub z urzędu, na podstawie </w:t>
      </w:r>
      <w:r w:rsidRPr="009A3C86">
        <w:rPr>
          <w:rFonts w:ascii="Times New Roman" w:hAnsi="Times New Roman"/>
          <w:b/>
          <w:sz w:val="24"/>
          <w:szCs w:val="24"/>
        </w:rPr>
        <w:t xml:space="preserve">art. </w:t>
      </w:r>
      <w:r w:rsidR="00D74B77" w:rsidRPr="009A3C86">
        <w:rPr>
          <w:rFonts w:ascii="Times New Roman" w:hAnsi="Times New Roman"/>
          <w:b/>
          <w:sz w:val="24"/>
          <w:szCs w:val="24"/>
        </w:rPr>
        <w:t xml:space="preserve">95 </w:t>
      </w:r>
      <w:r w:rsidRPr="009A3C86">
        <w:rPr>
          <w:rFonts w:ascii="Times New Roman" w:hAnsi="Times New Roman"/>
          <w:b/>
          <w:sz w:val="24"/>
          <w:szCs w:val="24"/>
        </w:rPr>
        <w:t>§ 4</w:t>
      </w:r>
      <w:r w:rsidRPr="009A3C86">
        <w:rPr>
          <w:rFonts w:ascii="Times New Roman" w:hAnsi="Times New Roman"/>
          <w:sz w:val="24"/>
          <w:szCs w:val="24"/>
        </w:rPr>
        <w:t xml:space="preserve">, a nie z mocy samego prawa, co jest uzasadnione trudnościami dowodzenia istnienia związku o charakterze czysto faktycznym.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Wyłączenie obejmuje także pracowników, którzy byli świadkami lub biegłymi, byli lub są przedstawicielami zobowiązanego lub zainteresowanego albo przedstawicielem zobowiązanego lub zainteresowanego jest jedna z osób osobiście z nimi związanych, a także pracowników, którzy brali udział w wydaniu zaskarżonej decyzji, czy w sytuacji gdy zaistniały okoliczności, w związku z którymi wszczęto przeciw danym pracownikom podlegającym wyłączeniu postępowanie służbowe, dyscyplinarne lub karne.</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Wyłączenie obejmuje także pracowników, w sytuacji gdy zobowiązanym lub zainteresowanym jest osoba pozostająca wobec danego pracownika w stosunku bezpośredniej zależności służbowej, tym samym wyłączono także możliwość załatwiania spraw dotyczących podwładnych.</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Przesłanki wyłączenia, podobnie jak obecnie określa to o.p., trwają także po ustaniu małżeństwa, przysposobienia, opieki lub kurateli.</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Kolejną grupą przesłanek wskazanych w przepisie </w:t>
      </w:r>
      <w:r w:rsidRPr="009A3C86">
        <w:rPr>
          <w:rFonts w:ascii="Times New Roman" w:hAnsi="Times New Roman"/>
          <w:b/>
          <w:sz w:val="24"/>
          <w:szCs w:val="24"/>
        </w:rPr>
        <w:t xml:space="preserve">art. </w:t>
      </w:r>
      <w:r w:rsidR="00D239AA" w:rsidRPr="009A3C86">
        <w:rPr>
          <w:rFonts w:ascii="Times New Roman" w:hAnsi="Times New Roman"/>
          <w:b/>
          <w:sz w:val="24"/>
          <w:szCs w:val="24"/>
        </w:rPr>
        <w:t xml:space="preserve">95 </w:t>
      </w:r>
      <w:r w:rsidRPr="009A3C86">
        <w:rPr>
          <w:rFonts w:ascii="Times New Roman" w:hAnsi="Times New Roman"/>
          <w:b/>
          <w:sz w:val="24"/>
          <w:szCs w:val="24"/>
        </w:rPr>
        <w:t>§ 3</w:t>
      </w:r>
      <w:r w:rsidRPr="009A3C86">
        <w:rPr>
          <w:rFonts w:ascii="Times New Roman" w:hAnsi="Times New Roman"/>
          <w:sz w:val="24"/>
          <w:szCs w:val="24"/>
        </w:rPr>
        <w:t xml:space="preserve">, decydujących o wyłączeniu danego pracownika, jest związek niemający charakteru ściśle osobistego, a jednak mogący </w:t>
      </w:r>
      <w:r w:rsidRPr="009A3C86">
        <w:rPr>
          <w:rFonts w:ascii="Times New Roman" w:hAnsi="Times New Roman"/>
          <w:sz w:val="24"/>
          <w:szCs w:val="24"/>
        </w:rPr>
        <w:lastRenderedPageBreak/>
        <w:t xml:space="preserve">wpłynąć na rozstrzygnięcie sprawy. Tu należy zaliczyć sytuację, w której osoby podlegające wyłączeniu lub osoby pozostające z nimi w związku o charakterze osobistym pozostają z zobowiązanym lub zainteresowanym w takim stosunku prawnym (np. ich małżonek jest wspólnikiem spółki osobowej będącej podatnikiem), że rozstrzygnięcie sprawy może mieć wpływ na ich prawa i obowiązki. W przypadku gdy związek ten nie ma charakteru stosunku prawnego a wyłącznie faktyczny, powinno to skutkować wyłączeniem na wniosek lub z urzędu, zgodnie z przepisem </w:t>
      </w:r>
      <w:r w:rsidRPr="009A3C86">
        <w:rPr>
          <w:rFonts w:ascii="Times New Roman" w:hAnsi="Times New Roman"/>
          <w:b/>
          <w:sz w:val="24"/>
          <w:szCs w:val="24"/>
        </w:rPr>
        <w:t xml:space="preserve">art. </w:t>
      </w:r>
      <w:r w:rsidR="00D239AA" w:rsidRPr="009A3C86">
        <w:rPr>
          <w:rFonts w:ascii="Times New Roman" w:hAnsi="Times New Roman"/>
          <w:b/>
          <w:sz w:val="24"/>
          <w:szCs w:val="24"/>
        </w:rPr>
        <w:t xml:space="preserve">95 </w:t>
      </w:r>
      <w:r w:rsidRPr="009A3C86">
        <w:rPr>
          <w:rFonts w:ascii="Times New Roman" w:hAnsi="Times New Roman"/>
          <w:b/>
          <w:sz w:val="24"/>
          <w:szCs w:val="24"/>
        </w:rPr>
        <w:t>§ 4</w:t>
      </w:r>
      <w:r w:rsidRPr="009A3C86">
        <w:rPr>
          <w:rFonts w:ascii="Times New Roman" w:hAnsi="Times New Roman"/>
          <w:sz w:val="24"/>
          <w:szCs w:val="24"/>
        </w:rPr>
        <w:t xml:space="preserve">.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4. Katalog przesłanek wyłączenia z mocy prawa ma charakter zamknięty. Jednakże w przypadku żądania wyłączenia danej osoby złożonego przez nią, zobowiązanego lub zainteresowanego, a także z urzędu można wyłączyć pracownika także z powodu innych okoliczności mogących budzić wątpliwości co do jego bezstronności. Bez zmian bowiem pozostała zasada, że na żądanie danej osoby podlegającej wyłączeniu, na żądanie zobowiązanego lub zainteresowanego albo z urzędu bezpośredni przełożony pracownika jest obowiązany wyłączyć go od udziału w postępowaniu, jeżeli zostanie uprawdopodobnione istnienie także okoliczności innych niż wymienione w § 1, które mogą wywołać wątpliwości co do bezstronności. Przepis ten będzie mieć także zastosowanie w innych przypadkach budzących wątpliwość co do bezstronności, np. małżonek pracownika organu prowadzi działalność konkurencyjną wobec kontrolowanego podmiotu.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 xml:space="preserve">art. </w:t>
      </w:r>
      <w:r w:rsidR="00D239AA" w:rsidRPr="009A3C86">
        <w:rPr>
          <w:rFonts w:ascii="Times New Roman" w:hAnsi="Times New Roman"/>
          <w:b/>
          <w:sz w:val="24"/>
          <w:szCs w:val="24"/>
        </w:rPr>
        <w:t>9</w:t>
      </w:r>
      <w:r w:rsidR="00DF0FB8" w:rsidRPr="009A3C86">
        <w:rPr>
          <w:rFonts w:ascii="Times New Roman" w:hAnsi="Times New Roman"/>
          <w:b/>
          <w:sz w:val="24"/>
          <w:szCs w:val="24"/>
        </w:rPr>
        <w:t>5</w:t>
      </w:r>
      <w:r w:rsidR="00D239AA" w:rsidRPr="009A3C86">
        <w:rPr>
          <w:rFonts w:ascii="Times New Roman" w:hAnsi="Times New Roman"/>
          <w:b/>
          <w:sz w:val="24"/>
          <w:szCs w:val="24"/>
        </w:rPr>
        <w:t xml:space="preserve"> </w:t>
      </w:r>
      <w:r w:rsidRPr="009A3C86">
        <w:rPr>
          <w:rFonts w:ascii="Times New Roman" w:hAnsi="Times New Roman"/>
          <w:b/>
          <w:sz w:val="24"/>
          <w:szCs w:val="24"/>
        </w:rPr>
        <w:t>§ 5</w:t>
      </w:r>
      <w:r w:rsidRPr="009A3C86">
        <w:rPr>
          <w:rFonts w:ascii="Times New Roman" w:hAnsi="Times New Roman"/>
          <w:sz w:val="24"/>
          <w:szCs w:val="24"/>
        </w:rPr>
        <w:t xml:space="preserve"> wprowadzono możliwość podejmowania przez wyłączonego pracownika czynności niecierpiących zwłoki, jeśli jest to uzasadnione ze względu na interes publiczny lub ważny interes zobowiązanego lub zainteresowanego. Zasada ta będzie miała jednak zastosowanie wyłącznie w przypadku, gdy przesłanki wyłączenia pracownika zaistnieją już po wszczęciu postępowania lub w trakcie załatwiania sprawy. W przypadku gdy przesłanki wyłączenia istniały już przed wszczęciem postępowania, pracownik ten nie będzie mógł podejmować żadnych dalszych czynności w ramach danej sprawy.</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Wyłączenie pracownika następuje w formie postanowienia.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5. W przepisie </w:t>
      </w:r>
      <w:r w:rsidRPr="009A3C86">
        <w:rPr>
          <w:rFonts w:ascii="Times New Roman" w:hAnsi="Times New Roman"/>
          <w:b/>
          <w:sz w:val="24"/>
          <w:szCs w:val="24"/>
        </w:rPr>
        <w:t xml:space="preserve">art. </w:t>
      </w:r>
      <w:r w:rsidR="00D239AA" w:rsidRPr="009A3C86">
        <w:rPr>
          <w:rFonts w:ascii="Times New Roman" w:hAnsi="Times New Roman"/>
          <w:b/>
          <w:sz w:val="24"/>
          <w:szCs w:val="24"/>
        </w:rPr>
        <w:t xml:space="preserve">96 </w:t>
      </w:r>
      <w:r w:rsidRPr="009A3C86">
        <w:rPr>
          <w:rFonts w:ascii="Times New Roman" w:hAnsi="Times New Roman"/>
          <w:b/>
          <w:sz w:val="24"/>
          <w:szCs w:val="24"/>
        </w:rPr>
        <w:t>§ 1</w:t>
      </w:r>
      <w:r w:rsidRPr="009A3C86">
        <w:rPr>
          <w:rFonts w:ascii="Times New Roman" w:hAnsi="Times New Roman"/>
          <w:sz w:val="24"/>
          <w:szCs w:val="24"/>
        </w:rPr>
        <w:t xml:space="preserve"> projektu ordynacji podatkowej przewidziano przypadki wyłączenia całego organu w związku z zaistnieniem przesłanek wyłączenia wobec osoby piastującej funkcję organu podatkowego, jej zastępcy lub piastującej funkcję organu podatkowego wyższego stopnia lub jej zastępcy, skarbnika jednostki samorządu terytorialnego oraz prezesa samorządowego kolegium odwoławczego. Wyłączenie organu będzie miało także zastosowanie, gdy sprawa dotyczy osób pozostających z osobami piastującymi funkcję organu lub ich zastępcami w bliskich stosunkach o charakterze rodzinnym.</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Z kolei zgodnie z </w:t>
      </w:r>
      <w:r w:rsidRPr="009A3C86">
        <w:rPr>
          <w:rFonts w:ascii="Times New Roman" w:hAnsi="Times New Roman"/>
          <w:b/>
          <w:sz w:val="24"/>
          <w:szCs w:val="24"/>
        </w:rPr>
        <w:t xml:space="preserve">art. </w:t>
      </w:r>
      <w:r w:rsidR="00930A42" w:rsidRPr="009A3C86">
        <w:rPr>
          <w:rFonts w:ascii="Times New Roman" w:hAnsi="Times New Roman"/>
          <w:b/>
          <w:sz w:val="24"/>
          <w:szCs w:val="24"/>
        </w:rPr>
        <w:t xml:space="preserve">96 </w:t>
      </w:r>
      <w:r w:rsidRPr="009A3C86">
        <w:rPr>
          <w:rFonts w:ascii="Times New Roman" w:hAnsi="Times New Roman"/>
          <w:b/>
          <w:sz w:val="24"/>
          <w:szCs w:val="24"/>
        </w:rPr>
        <w:t>§ 2</w:t>
      </w:r>
      <w:r w:rsidRPr="009A3C86">
        <w:rPr>
          <w:rFonts w:ascii="Times New Roman" w:hAnsi="Times New Roman"/>
          <w:sz w:val="24"/>
          <w:szCs w:val="24"/>
        </w:rPr>
        <w:t xml:space="preserve"> do wyłączenia organu stosuje się odpowiednio przepisy </w:t>
      </w:r>
      <w:r w:rsidRPr="009A3C86">
        <w:rPr>
          <w:rFonts w:ascii="Times New Roman" w:hAnsi="Times New Roman"/>
          <w:b/>
          <w:sz w:val="24"/>
          <w:szCs w:val="24"/>
        </w:rPr>
        <w:t xml:space="preserve">art. </w:t>
      </w:r>
      <w:r w:rsidR="00930A42" w:rsidRPr="009A3C86">
        <w:rPr>
          <w:rFonts w:ascii="Times New Roman" w:hAnsi="Times New Roman"/>
          <w:b/>
          <w:sz w:val="24"/>
          <w:szCs w:val="24"/>
        </w:rPr>
        <w:t xml:space="preserve">95 </w:t>
      </w:r>
      <w:r w:rsidRPr="009A3C86">
        <w:rPr>
          <w:rFonts w:ascii="Times New Roman" w:hAnsi="Times New Roman"/>
          <w:b/>
          <w:sz w:val="24"/>
          <w:szCs w:val="24"/>
        </w:rPr>
        <w:t>§ 4 i 5</w:t>
      </w:r>
      <w:r w:rsidRPr="009A3C86">
        <w:rPr>
          <w:rFonts w:ascii="Times New Roman" w:hAnsi="Times New Roman"/>
          <w:sz w:val="24"/>
          <w:szCs w:val="24"/>
        </w:rPr>
        <w:t>, co pozwoli także na wyłączenie organu w przypadku wniosku osoby piastującej funkcję organu, zobowiązanego lub zainteresowanego, a także z urzędu. Określa to także zakres czynności, jakie organ może podejmować, gdy przesłanki jego wyłączenia powstaną już w trakcie wszczętego postępowania oraz zobowiązuje do wydawania postanowienia o wyłączeniu organu.</w:t>
      </w:r>
    </w:p>
    <w:p w:rsidR="0003372A" w:rsidRPr="009A3C86" w:rsidRDefault="0003372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930A42" w:rsidRPr="009A3C86">
        <w:rPr>
          <w:rFonts w:ascii="Times New Roman" w:hAnsi="Times New Roman"/>
          <w:b/>
          <w:sz w:val="24"/>
          <w:szCs w:val="24"/>
        </w:rPr>
        <w:t>96</w:t>
      </w:r>
      <w:r w:rsidRPr="009A3C86">
        <w:rPr>
          <w:rFonts w:ascii="Times New Roman" w:hAnsi="Times New Roman"/>
          <w:b/>
          <w:sz w:val="24"/>
          <w:szCs w:val="24"/>
        </w:rPr>
        <w:t xml:space="preserve"> § 3</w:t>
      </w:r>
      <w:r w:rsidRPr="009A3C86">
        <w:rPr>
          <w:rFonts w:ascii="Times New Roman" w:hAnsi="Times New Roman"/>
          <w:sz w:val="24"/>
          <w:szCs w:val="24"/>
        </w:rPr>
        <w:t xml:space="preserve"> projektu przewidziano podstawę prawną do wydawania przez Prezesa Rady Ministrów postanowień w sprawie wyłączenia prezesa samorządowego kolegium odwoławczego.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6. W przypadku wyłączenia pracownika, zgodnie z przepisem </w:t>
      </w:r>
      <w:r w:rsidRPr="009A3C86">
        <w:rPr>
          <w:rFonts w:ascii="Times New Roman" w:hAnsi="Times New Roman"/>
          <w:b/>
          <w:sz w:val="24"/>
          <w:szCs w:val="24"/>
        </w:rPr>
        <w:t xml:space="preserve">art. </w:t>
      </w:r>
      <w:r w:rsidR="00930A42" w:rsidRPr="009A3C86">
        <w:rPr>
          <w:rFonts w:ascii="Times New Roman" w:hAnsi="Times New Roman"/>
          <w:b/>
          <w:sz w:val="24"/>
          <w:szCs w:val="24"/>
        </w:rPr>
        <w:t xml:space="preserve">97 </w:t>
      </w:r>
      <w:r w:rsidRPr="009A3C86">
        <w:rPr>
          <w:rFonts w:ascii="Times New Roman" w:hAnsi="Times New Roman"/>
          <w:b/>
          <w:sz w:val="24"/>
          <w:szCs w:val="24"/>
        </w:rPr>
        <w:t>§ 1</w:t>
      </w:r>
      <w:r w:rsidRPr="009A3C86">
        <w:rPr>
          <w:rFonts w:ascii="Times New Roman" w:hAnsi="Times New Roman"/>
          <w:sz w:val="24"/>
          <w:szCs w:val="24"/>
        </w:rPr>
        <w:t xml:space="preserve">, osoba piastująca funkcję organu wyznacza innego pracownika do prowadzenia i załatwienia sprawy. Nie zdecydowano się na wprowadzenie możliwości wyłączenia ministra właściwego do spraw finansów publicznych, Szefa Krajowej Informacji Skarbowej oraz Dyrektora Krajowej Informacji Skarbowej. Wynika to z faktu, ze organy te mają charakter jednoosobowy oraz brak jest równorzędnych im organów w strukturach administracji, dodatkowo wyłączenie tych organów i konieczność załatwienia sprawy przez organy podległe lub nadrzędne powodowałaby naruszenie właściwości rzeczowej. Ze względu na ograniczony zakres właściwości tych organów trudno spodziewać się by w ogóle mogło dojść do takiej sytuacji by załatwiały one sprawy własne lub osób im najbliższych. Należy także mieć na uwadze, że sprawy te nie są co do zasady realizowane osobiście przez te podmioty, co de facto zapewnia obiektywizm ewentualnego postępowania. Do tych podmiotów także, na gruncie obecnych przepisów nie stosuje się przepisów o wyłączeniu co nie budzi wątpliwości, w tym zakresie utrzymano dotychczasowe zasady.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przepisach </w:t>
      </w:r>
      <w:r w:rsidRPr="009A3C86">
        <w:rPr>
          <w:rFonts w:ascii="Times New Roman" w:hAnsi="Times New Roman"/>
          <w:b/>
          <w:sz w:val="24"/>
          <w:szCs w:val="24"/>
        </w:rPr>
        <w:t xml:space="preserve">art. </w:t>
      </w:r>
      <w:r w:rsidR="00A76AB0" w:rsidRPr="009A3C86">
        <w:rPr>
          <w:rFonts w:ascii="Times New Roman" w:hAnsi="Times New Roman"/>
          <w:b/>
          <w:sz w:val="24"/>
          <w:szCs w:val="24"/>
        </w:rPr>
        <w:t xml:space="preserve">97 </w:t>
      </w:r>
      <w:r w:rsidRPr="009A3C86">
        <w:rPr>
          <w:rFonts w:ascii="Times New Roman" w:hAnsi="Times New Roman"/>
          <w:b/>
          <w:sz w:val="24"/>
          <w:szCs w:val="24"/>
        </w:rPr>
        <w:t>§ 2</w:t>
      </w:r>
      <w:r w:rsidRPr="009A3C86">
        <w:rPr>
          <w:rFonts w:ascii="Times New Roman" w:hAnsi="Times New Roman"/>
          <w:sz w:val="24"/>
          <w:szCs w:val="24"/>
        </w:rPr>
        <w:t xml:space="preserve"> wskazano ograny właściwe do załatwienia sprawy w przypadku wyłączenia organu podatkowego. Co do zasady, będzie to organ wyznaczony przez organ wyższego stopnia nad organem załatwiającym sprawę. W przypadku gdy wyłącznie dotyczy osoby piastującej funkcję organu wyższego stopnia, organ właściwy wyznaczy organ wyższego stopnia wobec organu podatkowego bezpośrednio wyższego stopnia nad organem, który podlega wyłączeniu. Organ podatkowy wyższego stopnia wyznacza, stosownie do przepisu </w:t>
      </w:r>
      <w:r w:rsidRPr="009A3C86">
        <w:rPr>
          <w:rFonts w:ascii="Times New Roman" w:hAnsi="Times New Roman"/>
          <w:b/>
          <w:sz w:val="24"/>
          <w:szCs w:val="24"/>
        </w:rPr>
        <w:t xml:space="preserve">art. </w:t>
      </w:r>
      <w:r w:rsidR="00CF121E" w:rsidRPr="009A3C86">
        <w:rPr>
          <w:rFonts w:ascii="Times New Roman" w:hAnsi="Times New Roman"/>
          <w:b/>
          <w:sz w:val="24"/>
          <w:szCs w:val="24"/>
        </w:rPr>
        <w:t xml:space="preserve">97 </w:t>
      </w:r>
      <w:r w:rsidRPr="009A3C86">
        <w:rPr>
          <w:rFonts w:ascii="Times New Roman" w:hAnsi="Times New Roman"/>
          <w:b/>
          <w:sz w:val="24"/>
          <w:szCs w:val="24"/>
        </w:rPr>
        <w:t>§ 3</w:t>
      </w:r>
      <w:r w:rsidRPr="009A3C86">
        <w:rPr>
          <w:rFonts w:ascii="Times New Roman" w:hAnsi="Times New Roman"/>
          <w:sz w:val="24"/>
          <w:szCs w:val="24"/>
        </w:rPr>
        <w:t>, inny podległy sobie organ, spośród organów równorzędnych organowi wyłączonemu.</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W sytuacji gdy wskutek wyłączenia pracowników dany organ podatkowy stałby się niezdolny do załatwienia sprawy, stosuje się odpowiednio zasady wyznaczania organu właściwego do załatwienia sprawy wskazane w przepisie </w:t>
      </w:r>
      <w:r w:rsidRPr="009A3C86">
        <w:rPr>
          <w:rFonts w:ascii="Times New Roman" w:hAnsi="Times New Roman"/>
          <w:b/>
          <w:sz w:val="24"/>
          <w:szCs w:val="24"/>
        </w:rPr>
        <w:t xml:space="preserve">art. </w:t>
      </w:r>
      <w:r w:rsidR="00CF121E" w:rsidRPr="009A3C86">
        <w:rPr>
          <w:rFonts w:ascii="Times New Roman" w:hAnsi="Times New Roman"/>
          <w:b/>
          <w:sz w:val="24"/>
          <w:szCs w:val="24"/>
        </w:rPr>
        <w:t xml:space="preserve">97 </w:t>
      </w:r>
      <w:r w:rsidRPr="009A3C86">
        <w:rPr>
          <w:rFonts w:ascii="Times New Roman" w:hAnsi="Times New Roman"/>
          <w:b/>
          <w:sz w:val="24"/>
          <w:szCs w:val="24"/>
        </w:rPr>
        <w:t>§ 2</w:t>
      </w:r>
      <w:r w:rsidRPr="009A3C86">
        <w:rPr>
          <w:rFonts w:ascii="Times New Roman" w:hAnsi="Times New Roman"/>
          <w:sz w:val="24"/>
          <w:szCs w:val="24"/>
        </w:rPr>
        <w:t>.</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Wyznaczenie pracownika albo organu właściwego do załatwienia sprawy następuje w formie postanowienia.</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 xml:space="preserve">7. W przypadku samorządowego kolegium odwoławczego o wyłączeniu danego członka kolegium na wniosek zobowiązanego lub zainteresowanego, członka tego samorządowego kolegium odwoławczego lub z urzędu decyduje prezes samorządowego kolegium odwoławczego w drodze postanowienia. </w:t>
      </w:r>
    </w:p>
    <w:p w:rsidR="00FA30AA" w:rsidRPr="009A3C86" w:rsidRDefault="00FA30AA" w:rsidP="00FA30AA">
      <w:pPr>
        <w:spacing w:after="0" w:line="360" w:lineRule="auto"/>
        <w:jc w:val="both"/>
        <w:rPr>
          <w:rFonts w:ascii="Times New Roman" w:hAnsi="Times New Roman"/>
          <w:sz w:val="24"/>
          <w:szCs w:val="24"/>
        </w:rPr>
      </w:pPr>
      <w:r w:rsidRPr="009A3C86">
        <w:rPr>
          <w:rFonts w:ascii="Times New Roman" w:hAnsi="Times New Roman"/>
          <w:sz w:val="24"/>
          <w:szCs w:val="24"/>
        </w:rPr>
        <w:t>W przypadku, gdy dane samorządowe kolegium odwoławcze nie jest zdolne do załatwienia sprawy z braku pełnego składu orzekającego w związku z wyłączeniem jego członków albo przyczyny wyłączenia dotyczą prezesa kolegium lub osób mu bliskich, właściwe do prowadzenia i załatwienia sprawy samorządowe kolegium odwoławcze wyznacza Prezes Rady Ministrów.</w:t>
      </w:r>
    </w:p>
    <w:p w:rsidR="00FA30AA" w:rsidRPr="009A3C86" w:rsidRDefault="00FA30AA" w:rsidP="00D72E74">
      <w:pPr>
        <w:tabs>
          <w:tab w:val="num" w:pos="720"/>
        </w:tabs>
        <w:spacing w:before="120" w:after="0" w:line="360" w:lineRule="auto"/>
        <w:jc w:val="both"/>
        <w:outlineLvl w:val="2"/>
        <w:rPr>
          <w:rFonts w:ascii="Times New Roman" w:eastAsia="Times New Roman" w:hAnsi="Times New Roman"/>
          <w:b/>
          <w:sz w:val="24"/>
          <w:szCs w:val="24"/>
        </w:rPr>
      </w:pPr>
      <w:r w:rsidRPr="009A3C86">
        <w:rPr>
          <w:rFonts w:ascii="Times New Roman" w:eastAsia="Times New Roman" w:hAnsi="Times New Roman"/>
          <w:b/>
          <w:sz w:val="24"/>
          <w:szCs w:val="24"/>
        </w:rPr>
        <w:t xml:space="preserve">Rozdział </w:t>
      </w:r>
      <w:r w:rsidR="00287DAF" w:rsidRPr="009A3C86">
        <w:rPr>
          <w:rFonts w:ascii="Times New Roman" w:eastAsia="Times New Roman" w:hAnsi="Times New Roman"/>
          <w:b/>
          <w:sz w:val="24"/>
          <w:szCs w:val="24"/>
        </w:rPr>
        <w:t>9</w:t>
      </w:r>
      <w:r w:rsidRPr="009A3C86">
        <w:rPr>
          <w:rFonts w:ascii="Times New Roman" w:eastAsia="Times New Roman" w:hAnsi="Times New Roman"/>
          <w:b/>
          <w:sz w:val="24"/>
          <w:szCs w:val="24"/>
        </w:rPr>
        <w:t>. Tajemnica skarbowa</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Realizacja przez zobowiązanych obowiązku ponoszenia ciężarów i świadczeń publicznych wynikającego z art. 84 Konstytucji RP jest związana z przekazywaniem przez nich indywidualnych danych osobowych, majątkowych i innych. Jednocześnie art. 47, art. 51 ust. 1-5, art. 31 ust. 3 Konstytucji RP dają tym podmiotom prawo do ochrony życia prywatnego, wskazując możliwy tryb ujawnienia tych danych. Z drugiej zaś strony zebrane przez organy podatkowe dane indywidualne w aktach spraw podatkowych, dokumentach, posiadane informacje na wszelkiego rodzaju nośnikach stanowią informację publiczną w rozumieniu art. 6 ustawy z dnia 6 września 2001 r. o dostępie do informacji publicznej</w:t>
      </w:r>
      <w:r w:rsidRPr="009A3C86">
        <w:rPr>
          <w:rFonts w:ascii="Times New Roman" w:eastAsia="Times New Roman" w:hAnsi="Times New Roman"/>
          <w:sz w:val="24"/>
          <w:szCs w:val="24"/>
          <w:vertAlign w:val="superscript"/>
        </w:rPr>
        <w:footnoteReference w:id="160"/>
      </w:r>
      <w:r w:rsidRPr="009A3C86">
        <w:rPr>
          <w:rFonts w:ascii="Times New Roman" w:eastAsia="Times New Roman" w:hAnsi="Times New Roman"/>
          <w:sz w:val="24"/>
          <w:szCs w:val="24"/>
        </w:rPr>
        <w:t>, z tym że prawo do informacji publicznej podlega ograniczeniom w zakresie i na zasadach określonych w przepisach o ochronie informacji niejawnych oraz o ochronie innych tajemnic ustawowo chronionych (art. 5 ust. 1 tej ustawy), a także podlega ograniczeniu ze względu na prywatność osoby fizycznej lub tajemnicy przedsiębiorcy (art. 5 ust. 2 tej ustawy)</w:t>
      </w:r>
      <w:r w:rsidRPr="009A3C86">
        <w:rPr>
          <w:rFonts w:ascii="Times New Roman" w:eastAsia="Times New Roman" w:hAnsi="Times New Roman"/>
          <w:sz w:val="24"/>
          <w:szCs w:val="24"/>
          <w:vertAlign w:val="superscript"/>
        </w:rPr>
        <w:footnoteReference w:id="161"/>
      </w:r>
      <w:r w:rsidRPr="009A3C86">
        <w:rPr>
          <w:rFonts w:ascii="Times New Roman" w:eastAsia="Times New Roman" w:hAnsi="Times New Roman"/>
          <w:sz w:val="24"/>
          <w:szCs w:val="24"/>
        </w:rPr>
        <w:t>. Informacją publiczną są objęte np. dane, o których mowa w art. 36 ust. 3 i art. 37 ust. 1 pkt 2 lit. f i g ustawy z dnia 27 sierpnia 2009 r. o finansach publicznych</w:t>
      </w:r>
      <w:r w:rsidRPr="009A3C86">
        <w:rPr>
          <w:rFonts w:ascii="Times New Roman" w:eastAsia="Times New Roman" w:hAnsi="Times New Roman"/>
          <w:sz w:val="24"/>
          <w:szCs w:val="24"/>
          <w:vertAlign w:val="superscript"/>
        </w:rPr>
        <w:footnoteReference w:id="162"/>
      </w:r>
      <w:r w:rsidRPr="009A3C86">
        <w:rPr>
          <w:rFonts w:ascii="Times New Roman" w:eastAsia="Times New Roman" w:hAnsi="Times New Roman"/>
          <w:sz w:val="24"/>
          <w:szCs w:val="24"/>
        </w:rPr>
        <w:t xml:space="preserve">, mimo że odnoszą się one do indywidualnych danych zobowiązanych. Z art. 37 ust. 2 ustawy o finansach publicznych wynika, że podanie do publicznej wiadomości wykazu, o którym mowa w ust. 1 pkt 2 lit. f, czyli wykazu osób prawnych i fizycznych oraz jednostek organizacyjnych nieposiadających osobowości prawnej, </w:t>
      </w:r>
      <w:r w:rsidRPr="009A3C86">
        <w:rPr>
          <w:rFonts w:ascii="Times New Roman" w:eastAsia="Times New Roman" w:hAnsi="Times New Roman"/>
          <w:sz w:val="24"/>
          <w:szCs w:val="24"/>
        </w:rPr>
        <w:lastRenderedPageBreak/>
        <w:t>którym w zakresie podatków lub opłat udzielono ulg, odroczeń lub rozłożono spłatę na raty w kwocie przewyższającej łącznie 500 zł, wraz ze wskazaniem wysokości umorzonych kwot i przyczyn umorzenia – nie narusza przepisów o tajemnicy skarbowej. Oznacza to, że przepisów o tajemnicy skarbowej nie narusza także podanie nazw przedsiębiorców (podatników), którym tych ulg w spłacie udzielono</w:t>
      </w:r>
      <w:r w:rsidRPr="009A3C86">
        <w:rPr>
          <w:rFonts w:ascii="Times New Roman" w:eastAsia="Times New Roman" w:hAnsi="Times New Roman"/>
          <w:sz w:val="24"/>
          <w:szCs w:val="24"/>
          <w:vertAlign w:val="superscript"/>
        </w:rPr>
        <w:footnoteReference w:id="163"/>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Nie są objęte tajemnicą skarbową, także na gruncie obowiązujących uregulowań prawnych dane zawarte w fakturach VAT</w:t>
      </w:r>
      <w:r w:rsidRPr="009A3C86">
        <w:rPr>
          <w:rFonts w:ascii="Times New Roman" w:eastAsia="Times New Roman" w:hAnsi="Times New Roman"/>
          <w:sz w:val="24"/>
          <w:szCs w:val="24"/>
          <w:vertAlign w:val="superscript"/>
        </w:rPr>
        <w:footnoteReference w:id="164"/>
      </w:r>
      <w:r w:rsidRPr="009A3C86">
        <w:rPr>
          <w:rFonts w:ascii="Times New Roman" w:eastAsia="Times New Roman" w:hAnsi="Times New Roman"/>
          <w:sz w:val="24"/>
          <w:szCs w:val="24"/>
        </w:rPr>
        <w:t>, albowiem ochrona danych objętych tajemnicą skarbową nie dotyczy informacji o procesach gospodarczych zachodzących w prowadzonych przez podatników przedsięwzięciach gospodarczych. Natomiast tajemnicą skarbową objęte były na gruncie obowiązującej ustawy - Ordynacja podatkowa np. dane potencjalnego kontrahenta podatnika odnoszące się do terminowości i wysokości zapłaconego przez tegoż podatnika podatku nawet wtedy, gdy byłyby one niezbędne podatnikowi do ubiegania się o zwrot podatku od towarów i usług</w:t>
      </w:r>
      <w:r w:rsidRPr="009A3C86">
        <w:rPr>
          <w:rFonts w:ascii="Times New Roman" w:eastAsia="Times New Roman" w:hAnsi="Times New Roman"/>
          <w:sz w:val="24"/>
          <w:szCs w:val="24"/>
          <w:vertAlign w:val="superscript"/>
        </w:rPr>
        <w:footnoteReference w:id="165"/>
      </w:r>
      <w:r w:rsidRPr="009A3C86">
        <w:rPr>
          <w:rFonts w:ascii="Times New Roman" w:eastAsia="Times New Roman" w:hAnsi="Times New Roman"/>
          <w:sz w:val="24"/>
          <w:szCs w:val="24"/>
        </w:rPr>
        <w:t xml:space="preserve">. Zauważyć tu tylko należy, że projektowany </w:t>
      </w:r>
      <w:r w:rsidRPr="009A3C86">
        <w:rPr>
          <w:rFonts w:ascii="Times New Roman" w:eastAsia="Times New Roman" w:hAnsi="Times New Roman"/>
          <w:b/>
          <w:sz w:val="24"/>
          <w:szCs w:val="24"/>
        </w:rPr>
        <w:t xml:space="preserve">art. </w:t>
      </w:r>
      <w:r w:rsidR="0025561A" w:rsidRPr="009A3C86">
        <w:rPr>
          <w:rFonts w:ascii="Times New Roman" w:eastAsia="Times New Roman" w:hAnsi="Times New Roman"/>
          <w:b/>
          <w:sz w:val="24"/>
          <w:szCs w:val="24"/>
        </w:rPr>
        <w:t xml:space="preserve">99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(art. 293 o.p.) normuje tę sytuację odmiennie. Tajemnicą skarbową, zgodnie z obecnie obowiązującą ustawą – Ordynacja podatkowa, nie są objęte również informacje o podmiotach uczestniczących we wspólnych przedsięwzięciach gospodarczych, w tym także, gdy istnieją między podmiotami powiązania o charakterze kapitałowym, gospodarczym, czy rodzinnym</w:t>
      </w:r>
      <w:r w:rsidRPr="009A3C86">
        <w:rPr>
          <w:rFonts w:ascii="Times New Roman" w:eastAsia="Times New Roman" w:hAnsi="Times New Roman"/>
          <w:sz w:val="24"/>
          <w:szCs w:val="24"/>
          <w:vertAlign w:val="superscript"/>
        </w:rPr>
        <w:footnoteReference w:id="166"/>
      </w:r>
      <w:r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Zwrócić też uwagę trzeba na to, że obecnie obowiązujący art. 181 (art.</w:t>
      </w:r>
      <w:r w:rsidR="00B85EAB" w:rsidRPr="009A3C86">
        <w:rPr>
          <w:rFonts w:ascii="Times New Roman" w:eastAsia="Times New Roman" w:hAnsi="Times New Roman"/>
          <w:sz w:val="24"/>
          <w:szCs w:val="24"/>
        </w:rPr>
        <w:t xml:space="preserve"> </w:t>
      </w:r>
      <w:r w:rsidR="00BD4B29" w:rsidRPr="009A3C86">
        <w:rPr>
          <w:rFonts w:ascii="Times New Roman" w:eastAsia="Times New Roman" w:hAnsi="Times New Roman"/>
          <w:sz w:val="24"/>
          <w:szCs w:val="24"/>
        </w:rPr>
        <w:t xml:space="preserve">381 </w:t>
      </w:r>
      <w:r w:rsidRPr="009A3C86">
        <w:rPr>
          <w:rFonts w:ascii="Times New Roman" w:eastAsia="Times New Roman" w:hAnsi="Times New Roman"/>
          <w:sz w:val="24"/>
          <w:szCs w:val="24"/>
        </w:rPr>
        <w:t xml:space="preserve">projektu) umożliwia wykorzystywanie indywidualnych danych dotyczących jednego podmiotu w postępowaniu odnoszącym się do innego podatnika, albowiem - jak podkreślił Naczelny Sąd Administracyjny w wyroku z dnia 17 stycznia 2017 r., I FSK 1883/16, CBOSA - „czym innym jest ochrona wrażliwych informacji znajdujących się w aktach spraw podatkowych przed nieupoważnionym udostępnieniem osobom trzecim, a czym innym wykorzystanie przez organy podatkowe, np. zeznań świadka złożonych w innym postępowaniu, jeżeli zeznania te są istotne dla ustalania okoliczności faktycznych w prowadzonym postępowaniu”. Wykorzystywanie dowodów zgromadzonych w innym postępowaniu, jak również korzystanie z oświadczeń nie narusza także zasady zapewnienia stronie postępowania czynnego w nim udziału wynikającej z art. 123 </w:t>
      </w:r>
      <w:r w:rsidRPr="009A3C86">
        <w:rPr>
          <w:rFonts w:ascii="Times New Roman" w:eastAsia="Times New Roman" w:hAnsi="Times New Roman"/>
          <w:sz w:val="24"/>
          <w:szCs w:val="24"/>
        </w:rPr>
        <w:lastRenderedPageBreak/>
        <w:t>o.p., albowiem „istotne jest, aby strona miała możliwość wypowiedzenia się co do zebranych dowodów”</w:t>
      </w:r>
      <w:r w:rsidRPr="009A3C86">
        <w:rPr>
          <w:rFonts w:ascii="Times New Roman" w:eastAsia="Times New Roman" w:hAnsi="Times New Roman"/>
          <w:sz w:val="24"/>
          <w:szCs w:val="24"/>
          <w:vertAlign w:val="superscript"/>
        </w:rPr>
        <w:footnoteReference w:id="167"/>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Trybunał Konstytucyjny w wielu orzeczeniach</w:t>
      </w:r>
      <w:r w:rsidRPr="009A3C86">
        <w:rPr>
          <w:rFonts w:ascii="Times New Roman" w:eastAsia="Times New Roman" w:hAnsi="Times New Roman"/>
          <w:sz w:val="24"/>
          <w:szCs w:val="24"/>
          <w:vertAlign w:val="superscript"/>
        </w:rPr>
        <w:footnoteReference w:id="168"/>
      </w:r>
      <w:r w:rsidRPr="009A3C86">
        <w:rPr>
          <w:rFonts w:ascii="Times New Roman" w:eastAsia="Times New Roman" w:hAnsi="Times New Roman"/>
          <w:sz w:val="24"/>
          <w:szCs w:val="24"/>
        </w:rPr>
        <w:t xml:space="preserve"> wskazywał, że „autonomia informacyjna jednostki stanowiąca element ochrony życia prywatnego oznacza prawo do samodzielnego decydowania o ujawnieniu innym informacji dotyczących swej osoby, a także prawo do sprawowania kontroli nad takimi informacjami, jeżeli znajdują się one w posiadaniu innych podmiotów.”</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3. Obowiązujące obecnie przepisy art. 293-305 o.p. oraz art. 14a–15b ustawy z dnia 13 października 1995 r. o zasadach ewidencji i identyfikacji podatników i płatników</w:t>
      </w:r>
      <w:r w:rsidRPr="009A3C86">
        <w:rPr>
          <w:rFonts w:ascii="Times New Roman" w:eastAsia="Times New Roman" w:hAnsi="Times New Roman"/>
          <w:sz w:val="24"/>
          <w:szCs w:val="24"/>
          <w:vertAlign w:val="superscript"/>
        </w:rPr>
        <w:footnoteReference w:id="169"/>
      </w:r>
      <w:r w:rsidRPr="009A3C86">
        <w:rPr>
          <w:rFonts w:ascii="Times New Roman" w:eastAsia="Times New Roman" w:hAnsi="Times New Roman"/>
          <w:sz w:val="24"/>
          <w:szCs w:val="24"/>
        </w:rPr>
        <w:t xml:space="preserve"> w zasadzie odpowiadają powyższym standardom konstytucyjnym i zawartych w ustawie o dostępie do informacji publicznej. Braki w zakresie powyższych standardów, a tym samym braki w zakresie ochrony praw tych podmiotów dotyczą:</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 konieczności zapewnienia zobowiązanym kontroli nad udostępnianiem przez organy podatkowe danych objętych tajemnicą skarbową, a także wiedzy o udzielonych przez organy podatkowe informacjach objętych tajemnicą skarbową;</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b) braku szczególnej ochrony danych objętych tajemnicą przedsiębiorstwa, a przekazywanych przez przedsiębiorców lub zebranych w toku postępowań toczących się z ich udziałem;</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c) możliwości udostępniania przez organy podatkowe (transmisji) danych i informacji przekazywanych przez zobowiązanych innym podmiotom wskazanym przez tych zobowiązanych;</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d) rozproszenia dotychczasowej regulacji w zakresie przepisów o tajemnicy skarbowej.</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Realizując to ostatnie zagadnienie, zdecydowano, by uregulowania stanowiące wyjątek od przepisów o tajemnicy skarbowej, a zawarte w art. 36 i art. 37 ustawy o finansach publicznych pozostały w tejże ustawie, z uwagi na jej horyzontalny charakter i dlatego że implementacja tych przepisów nie mogłaby być całościowa i kompleksowa, gdyż nie mogłaby dotyczyć uregulowań zawartych np. w art. 37 ust. 1 pkt 2 lit. a-e tej ustawy. </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Podobnie rzecz ma się z uregulowaniami dotyczącymi tajemnicy skarbowej zawartymi w:</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ustawie z dnia 16 listopada 2016 r. o Krajowej Administracji Skarbowej</w:t>
      </w:r>
      <w:r w:rsidRPr="009A3C86">
        <w:rPr>
          <w:rFonts w:ascii="Times New Roman" w:eastAsia="Times New Roman" w:hAnsi="Times New Roman"/>
          <w:sz w:val="24"/>
          <w:szCs w:val="24"/>
          <w:vertAlign w:val="superscript"/>
          <w:lang w:eastAsia="pl-PL"/>
        </w:rPr>
        <w:footnoteReference w:id="170"/>
      </w:r>
      <w:r w:rsidRPr="009A3C86">
        <w:rPr>
          <w:rFonts w:ascii="Times New Roman" w:eastAsia="Times New Roman" w:hAnsi="Times New Roman"/>
          <w:sz w:val="24"/>
          <w:szCs w:val="24"/>
          <w:lang w:eastAsia="pl-PL"/>
        </w:rPr>
        <w:t>;</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 ustawie z dnia 29 kwietnia 2016 r. o szczególnych zasadach wykonywania niektórych zadań z zakresu informatyzacji działalności organów Krajowej Administracji Skarbowej</w:t>
      </w:r>
      <w:r w:rsidRPr="009A3C86">
        <w:rPr>
          <w:rFonts w:ascii="Times New Roman" w:eastAsia="Times New Roman" w:hAnsi="Times New Roman"/>
          <w:sz w:val="24"/>
          <w:szCs w:val="24"/>
          <w:vertAlign w:val="superscript"/>
          <w:lang w:eastAsia="pl-PL"/>
        </w:rPr>
        <w:footnoteReference w:id="171"/>
      </w:r>
      <w:r w:rsidRPr="009A3C86">
        <w:rPr>
          <w:rFonts w:ascii="Times New Roman" w:eastAsia="Times New Roman" w:hAnsi="Times New Roman"/>
          <w:sz w:val="24"/>
          <w:szCs w:val="24"/>
          <w:lang w:eastAsia="pl-PL"/>
        </w:rPr>
        <w:t>;</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ustawie z dnia 1 marca 2018 r. o przeciwdziałaniu praniu pieniędzy oraz finansowaniu terroryzmu</w:t>
      </w:r>
      <w:r w:rsidRPr="009A3C86">
        <w:rPr>
          <w:rFonts w:ascii="Times New Roman" w:eastAsia="Times New Roman" w:hAnsi="Times New Roman"/>
          <w:sz w:val="24"/>
          <w:szCs w:val="24"/>
          <w:vertAlign w:val="superscript"/>
          <w:lang w:eastAsia="pl-PL"/>
        </w:rPr>
        <w:footnoteReference w:id="172"/>
      </w:r>
      <w:r w:rsidRPr="009A3C86">
        <w:rPr>
          <w:rFonts w:ascii="Times New Roman" w:eastAsia="Times New Roman" w:hAnsi="Times New Roman"/>
          <w:sz w:val="24"/>
          <w:szCs w:val="24"/>
          <w:lang w:eastAsia="pl-PL"/>
        </w:rPr>
        <w:t>,</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ustawie z dnia 6 kwietnia 1990 r. o Policji</w:t>
      </w:r>
      <w:r w:rsidRPr="009A3C86">
        <w:rPr>
          <w:rFonts w:ascii="Times New Roman" w:eastAsia="Times New Roman" w:hAnsi="Times New Roman"/>
          <w:sz w:val="24"/>
          <w:szCs w:val="24"/>
          <w:vertAlign w:val="superscript"/>
          <w:lang w:eastAsia="pl-PL"/>
        </w:rPr>
        <w:footnoteReference w:id="173"/>
      </w:r>
      <w:r w:rsidRPr="009A3C86">
        <w:rPr>
          <w:rFonts w:ascii="Times New Roman" w:eastAsia="Times New Roman" w:hAnsi="Times New Roman"/>
          <w:sz w:val="24"/>
          <w:szCs w:val="24"/>
          <w:lang w:eastAsia="pl-PL"/>
        </w:rPr>
        <w:t>,</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ustawie z dnia 24 sierpnia 2011 r. o Żandarmerii Wojskowej i wojskowych organach porządkowych</w:t>
      </w:r>
      <w:r w:rsidRPr="009A3C86">
        <w:rPr>
          <w:rFonts w:ascii="Times New Roman" w:eastAsia="Times New Roman" w:hAnsi="Times New Roman"/>
          <w:sz w:val="24"/>
          <w:szCs w:val="24"/>
          <w:vertAlign w:val="superscript"/>
          <w:lang w:eastAsia="pl-PL"/>
        </w:rPr>
        <w:footnoteReference w:id="174"/>
      </w:r>
      <w:r w:rsidRPr="009A3C86">
        <w:rPr>
          <w:rFonts w:ascii="Times New Roman" w:eastAsia="Times New Roman" w:hAnsi="Times New Roman"/>
          <w:sz w:val="24"/>
          <w:szCs w:val="24"/>
          <w:lang w:eastAsia="pl-PL"/>
        </w:rPr>
        <w:t>,</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które zawierają rozwiązania szczególne, przez co nie było potrzeby ich przenoszenia do projektowanej ustawy - Ordynacja podatkowa.</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Zauważyć należy, że w ustawie z dnia 7 kwietnia 2017 r. o zmianie niektórych ustaw w celu ułatwienia dochodzenia wierzytelności</w:t>
      </w:r>
      <w:r w:rsidRPr="009A3C86">
        <w:rPr>
          <w:rFonts w:ascii="Times New Roman" w:eastAsia="Times New Roman" w:hAnsi="Times New Roman"/>
          <w:sz w:val="24"/>
          <w:szCs w:val="24"/>
          <w:vertAlign w:val="superscript"/>
          <w:lang w:eastAsia="pl-PL"/>
        </w:rPr>
        <w:footnoteReference w:id="175"/>
      </w:r>
      <w:r w:rsidRPr="009A3C86">
        <w:rPr>
          <w:rFonts w:ascii="Times New Roman" w:eastAsia="Times New Roman" w:hAnsi="Times New Roman"/>
          <w:sz w:val="24"/>
          <w:szCs w:val="24"/>
          <w:lang w:eastAsia="pl-PL"/>
        </w:rPr>
        <w:t xml:space="preserve"> zgodnie z jej art. 3 pkt 2</w:t>
      </w:r>
      <w:r w:rsidRPr="009A3C86">
        <w:rPr>
          <w:rFonts w:ascii="Times New Roman" w:eastAsia="Times New Roman" w:hAnsi="Times New Roman"/>
          <w:sz w:val="24"/>
          <w:szCs w:val="24"/>
          <w:vertAlign w:val="superscript"/>
          <w:lang w:eastAsia="pl-PL"/>
        </w:rPr>
        <w:footnoteReference w:id="176"/>
      </w:r>
      <w:r w:rsidRPr="009A3C86">
        <w:rPr>
          <w:rFonts w:ascii="Times New Roman" w:eastAsia="Times New Roman" w:hAnsi="Times New Roman"/>
          <w:sz w:val="24"/>
          <w:szCs w:val="24"/>
          <w:lang w:eastAsia="pl-PL"/>
        </w:rPr>
        <w:t>, do ustawy z dnia 17 czerwca 1966 r. o postępowaniu egzekucyjnym w administracji</w:t>
      </w:r>
      <w:r w:rsidRPr="009A3C86">
        <w:rPr>
          <w:rFonts w:ascii="Times New Roman" w:eastAsia="Times New Roman" w:hAnsi="Times New Roman"/>
          <w:sz w:val="24"/>
          <w:szCs w:val="24"/>
          <w:vertAlign w:val="superscript"/>
          <w:lang w:eastAsia="pl-PL"/>
        </w:rPr>
        <w:footnoteReference w:id="177"/>
      </w:r>
      <w:r w:rsidRPr="009A3C86">
        <w:rPr>
          <w:rFonts w:ascii="Times New Roman" w:eastAsia="Times New Roman" w:hAnsi="Times New Roman"/>
          <w:sz w:val="24"/>
          <w:szCs w:val="24"/>
          <w:lang w:eastAsia="pl-PL"/>
        </w:rPr>
        <w:t xml:space="preserve"> dodany został rozdział 1a „Rejestr Należności Publicznoprawnych”. Przepis art. 18j u.p.e.a. umożliwia podmiotowi zainteresowanemu, a także podmiotowi, o którym mowa w art. 18q § 2 (wierzyciel, sądowy lub administracyjny organ egzekucyjny, sąd, organ prokuratury, Szef Centralnego Biura Antykorupcyjnego, instytucja utworzona na podstawie art. 105 ust. 4 ustawy z dnia 29 sierpnia 1997 r. – Prawo bankowe</w:t>
      </w:r>
      <w:r w:rsidRPr="009A3C86">
        <w:rPr>
          <w:rFonts w:ascii="Times New Roman" w:eastAsia="Times New Roman" w:hAnsi="Times New Roman"/>
          <w:sz w:val="24"/>
          <w:szCs w:val="24"/>
          <w:vertAlign w:val="superscript"/>
          <w:lang w:eastAsia="pl-PL"/>
        </w:rPr>
        <w:footnoteReference w:id="178"/>
      </w:r>
      <w:r w:rsidRPr="009A3C86">
        <w:rPr>
          <w:rFonts w:ascii="Times New Roman" w:eastAsia="Times New Roman" w:hAnsi="Times New Roman"/>
          <w:sz w:val="24"/>
          <w:szCs w:val="24"/>
          <w:lang w:eastAsia="pl-PL"/>
        </w:rPr>
        <w:t xml:space="preserve">, biuro informacji gospodarczej), udostępnienie danych dotyczących zobowiązanego, o których mowa w art. 18b § 2 u.p.e.a. Rzecz jednak w tym, że zgodnie z art. 18n u.p.e.a. dane, o których mowa w art. 18b § 2, dotyczące zobowiązanego, o którym mowa w art. 18b § 2 pkt 1 lit. a lub d u.p.e.a. (a więc dotyczące zobowiązanego będącego: osobą fizyczną lub nierezydentem w rozumieniu przepisów prawa dewizowego będącego osobą fizyczną nieprowadzącą działalności gospodarczej), udostępnia się, jeżeli podmiot zainteresowany oświadczy za pośrednictwem systemu teleinformatycznego, w którym prowadzony jest rejestr, że posiada ważne pisemne upoważnienie tego zobowiązanego. Upoważnienie jest ważne nie dłużej niż przez 60 dni od dnia jego udzielenia. Jest charakterystyczne to, że powyższe upoważnienie oznacza wyrażenie zgody przez </w:t>
      </w:r>
      <w:r w:rsidRPr="009A3C86">
        <w:rPr>
          <w:rFonts w:ascii="Times New Roman" w:eastAsia="Times New Roman" w:hAnsi="Times New Roman"/>
          <w:sz w:val="24"/>
          <w:szCs w:val="24"/>
          <w:lang w:eastAsia="pl-PL"/>
        </w:rPr>
        <w:lastRenderedPageBreak/>
        <w:t>zobowiązanego na udzielenie danych o jego zaległościach podmiotowi zainteresowanemu. Konsekwencją tego uregulowania jest to, że dane z Rejestru Należności Publicznoprawnych nie będą podlegały udostępnieniu w trybie ustawy o dostępie do informacji publicznej, a udostępnienie danych zawartych w rejestrze nie stanowi naruszenia przepisów o tajemnicy skarbowej, o których mowa w ustawie – Ordynacja podatkowa (art. 18u u.p.e.a. i art. 5 ustawy o zmianie niektórych ustaw w celu ułatwienia dochodzenia wierzytelności).</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Natomiast zasadne jest włączenie do tej regulacji przepisów art. 14a–15b ustawy o ewidencji i identyfikacji podatników i płatników, albowiem zawiera ona przepisy o charakterze ogólnym i ich implementacja jest całkowita.</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4. Z </w:t>
      </w:r>
      <w:r w:rsidRPr="009A3C86">
        <w:rPr>
          <w:rFonts w:ascii="Times New Roman" w:eastAsia="Times New Roman" w:hAnsi="Times New Roman"/>
          <w:b/>
          <w:sz w:val="24"/>
          <w:szCs w:val="24"/>
          <w:lang w:eastAsia="pl-PL"/>
        </w:rPr>
        <w:t xml:space="preserve">art. </w:t>
      </w:r>
      <w:r w:rsidR="0015284B" w:rsidRPr="009A3C86">
        <w:rPr>
          <w:rFonts w:ascii="Times New Roman" w:eastAsia="Times New Roman" w:hAnsi="Times New Roman"/>
          <w:b/>
          <w:sz w:val="24"/>
          <w:szCs w:val="24"/>
          <w:lang w:eastAsia="pl-PL"/>
        </w:rPr>
        <w:t>99</w:t>
      </w:r>
      <w:r w:rsidR="0015284B"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 xml:space="preserve">w związku z </w:t>
      </w:r>
      <w:r w:rsidRPr="009A3C86">
        <w:rPr>
          <w:rFonts w:ascii="Times New Roman" w:eastAsia="Times New Roman" w:hAnsi="Times New Roman"/>
          <w:b/>
          <w:sz w:val="24"/>
          <w:szCs w:val="24"/>
          <w:lang w:eastAsia="pl-PL"/>
        </w:rPr>
        <w:t xml:space="preserve">art. </w:t>
      </w:r>
      <w:r w:rsidR="00703322" w:rsidRPr="009A3C86">
        <w:rPr>
          <w:rFonts w:ascii="Times New Roman" w:eastAsia="Times New Roman" w:hAnsi="Times New Roman"/>
          <w:b/>
          <w:sz w:val="24"/>
          <w:szCs w:val="24"/>
          <w:lang w:eastAsia="pl-PL"/>
        </w:rPr>
        <w:t>117</w:t>
      </w:r>
      <w:r w:rsidR="00703322"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 xml:space="preserve">(art. 293 w związku z art. 299a o.p.) wynikałoby, że tylko akta i dokumenty opatrzone klauzulą (pieczęcią) „tajemnica skarbowa” objęte są przepisami o tajemnicy skarbowej. Tak jednak nie jest. „Opatrzenie stosowną klauzulą dokumentów jest jedynie czynnością o charakterze deklaratoryjnym – potwierdzającym cechę, wynikającą z ustawy i z racji tego – niezaskarżalną. Brak nadania stosownej klauzuli, czyli </w:t>
      </w:r>
      <w:r w:rsidRPr="009A3C86">
        <w:rPr>
          <w:rFonts w:ascii="Times New Roman" w:eastAsia="Times New Roman" w:hAnsi="Times New Roman"/>
          <w:i/>
          <w:iCs/>
          <w:sz w:val="24"/>
          <w:szCs w:val="24"/>
          <w:lang w:eastAsia="pl-PL"/>
        </w:rPr>
        <w:t>de facto</w:t>
      </w:r>
      <w:r w:rsidRPr="009A3C86">
        <w:rPr>
          <w:rFonts w:ascii="Times New Roman" w:eastAsia="Times New Roman" w:hAnsi="Times New Roman"/>
          <w:sz w:val="24"/>
          <w:szCs w:val="24"/>
          <w:lang w:eastAsia="pl-PL"/>
        </w:rPr>
        <w:t xml:space="preserve"> brak opatrzenia pieczęcią określonego dokumentu, czy akt, nie powoduje, że dane w nich zawarte przestają być chronione, a osoby mające z nimi styczność przestają być zobowiązane do zachowania tych informacji dla siebie. Z powyższego wynika, że nieopatrzenie dokumentów klauzulą «tajemnica skarbowa» nie może być zaskarżone skargą na bezczynność w oparciu o art. 3 § 2 pkt 8 p.p.s.a.”</w:t>
      </w:r>
      <w:r w:rsidRPr="009A3C86">
        <w:rPr>
          <w:rFonts w:ascii="Times New Roman" w:eastAsia="Times New Roman" w:hAnsi="Times New Roman"/>
          <w:sz w:val="24"/>
          <w:szCs w:val="24"/>
          <w:vertAlign w:val="superscript"/>
          <w:lang w:eastAsia="pl-PL"/>
        </w:rPr>
        <w:footnoteReference w:id="179"/>
      </w:r>
      <w:r w:rsidRPr="009A3C86">
        <w:rPr>
          <w:rFonts w:ascii="Times New Roman" w:eastAsia="Times New Roman" w:hAnsi="Times New Roman"/>
          <w:sz w:val="24"/>
          <w:szCs w:val="24"/>
          <w:lang w:eastAsia="pl-PL"/>
        </w:rPr>
        <w:t>. Zasada ta zostaje utrzymana w nowej ustawie – Ordynacja podatkowa.</w:t>
      </w:r>
    </w:p>
    <w:p w:rsidR="00FA30AA" w:rsidRPr="009A3C86" w:rsidRDefault="00FA30AA" w:rsidP="00FA30A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Zwrócić uwagę trzeba na to, że przepisy o tajemnicy skarbowej są powiązane nie tylko z przepisami ustawy o ochronie informacji niejawnych, ustawy o dostępie do informacji publicznej, ale i z przepisami </w:t>
      </w:r>
      <w:r w:rsidR="00EE6AD0" w:rsidRPr="009A3C86">
        <w:rPr>
          <w:rFonts w:ascii="Times New Roman" w:eastAsia="Times New Roman" w:hAnsi="Times New Roman"/>
          <w:sz w:val="24"/>
          <w:szCs w:val="24"/>
          <w:lang w:eastAsia="pl-PL"/>
        </w:rPr>
        <w:t>działu III rozdziału 7 (art. 178 i 179 o.p.).</w:t>
      </w:r>
      <w:r w:rsidRPr="009A3C86">
        <w:rPr>
          <w:rFonts w:ascii="Times New Roman" w:eastAsia="Times New Roman" w:hAnsi="Times New Roman"/>
          <w:sz w:val="24"/>
          <w:szCs w:val="24"/>
          <w:lang w:eastAsia="pl-PL"/>
        </w:rPr>
        <w:t xml:space="preserve"> Zakres </w:t>
      </w:r>
      <w:r w:rsidR="00145D07" w:rsidRPr="009A3C86">
        <w:rPr>
          <w:rFonts w:ascii="Times New Roman" w:eastAsia="Times New Roman" w:hAnsi="Times New Roman"/>
          <w:sz w:val="24"/>
          <w:szCs w:val="24"/>
          <w:lang w:eastAsia="pl-PL"/>
        </w:rPr>
        <w:t>wył</w:t>
      </w:r>
      <w:r w:rsidR="00A2226F" w:rsidRPr="009A3C86">
        <w:rPr>
          <w:rFonts w:ascii="Times New Roman" w:eastAsia="Times New Roman" w:hAnsi="Times New Roman"/>
          <w:sz w:val="24"/>
          <w:szCs w:val="24"/>
          <w:lang w:eastAsia="pl-PL"/>
        </w:rPr>
        <w:t>ą</w:t>
      </w:r>
      <w:r w:rsidR="00145D07" w:rsidRPr="009A3C86">
        <w:rPr>
          <w:rFonts w:ascii="Times New Roman" w:eastAsia="Times New Roman" w:hAnsi="Times New Roman"/>
          <w:sz w:val="24"/>
          <w:szCs w:val="24"/>
          <w:lang w:eastAsia="pl-PL"/>
        </w:rPr>
        <w:t xml:space="preserve">czeń </w:t>
      </w:r>
      <w:r w:rsidRPr="009A3C86">
        <w:rPr>
          <w:rFonts w:ascii="Times New Roman" w:eastAsia="Times New Roman" w:hAnsi="Times New Roman"/>
          <w:sz w:val="24"/>
          <w:szCs w:val="24"/>
          <w:lang w:eastAsia="pl-PL"/>
        </w:rPr>
        <w:t xml:space="preserve">w dostępie do akt sprawy podatkowej został w art. </w:t>
      </w:r>
      <w:r w:rsidR="00EC2A7F" w:rsidRPr="009A3C86">
        <w:rPr>
          <w:rFonts w:ascii="Times New Roman" w:eastAsia="Times New Roman" w:hAnsi="Times New Roman"/>
          <w:sz w:val="24"/>
          <w:szCs w:val="24"/>
          <w:lang w:eastAsia="pl-PL"/>
        </w:rPr>
        <w:t xml:space="preserve">379 </w:t>
      </w:r>
      <w:r w:rsidRPr="009A3C86">
        <w:rPr>
          <w:rFonts w:ascii="Times New Roman" w:eastAsia="Times New Roman" w:hAnsi="Times New Roman"/>
          <w:sz w:val="24"/>
          <w:szCs w:val="24"/>
          <w:lang w:eastAsia="pl-PL"/>
        </w:rPr>
        <w:t xml:space="preserve">projektu (art. 179 o.p.) ograniczony tylko do tych, które są informacją niejawną, albo których nieujawnienia wymaga interes publiczny. Oznacza to możliwość bardziej elastycznego reagowania organu i dlatego przyjąć należy, że użyte w </w:t>
      </w:r>
      <w:r w:rsidRPr="009A3C86">
        <w:rPr>
          <w:rFonts w:ascii="Times New Roman" w:eastAsia="Times New Roman" w:hAnsi="Times New Roman"/>
          <w:b/>
          <w:sz w:val="24"/>
          <w:szCs w:val="24"/>
          <w:lang w:eastAsia="pl-PL"/>
        </w:rPr>
        <w:t xml:space="preserve">art. </w:t>
      </w:r>
      <w:r w:rsidR="0015284B" w:rsidRPr="009A3C86">
        <w:rPr>
          <w:rFonts w:ascii="Times New Roman" w:eastAsia="Times New Roman" w:hAnsi="Times New Roman"/>
          <w:b/>
          <w:sz w:val="24"/>
          <w:szCs w:val="24"/>
          <w:lang w:eastAsia="pl-PL"/>
        </w:rPr>
        <w:t>99</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xml:space="preserve">art. </w:t>
      </w:r>
      <w:r w:rsidR="008F009B" w:rsidRPr="009A3C86">
        <w:rPr>
          <w:rFonts w:ascii="Times New Roman" w:eastAsia="Times New Roman" w:hAnsi="Times New Roman"/>
          <w:b/>
          <w:sz w:val="24"/>
          <w:szCs w:val="24"/>
          <w:lang w:eastAsia="pl-PL"/>
        </w:rPr>
        <w:t>104</w:t>
      </w:r>
      <w:r w:rsidRPr="009A3C86">
        <w:rPr>
          <w:rFonts w:ascii="Times New Roman" w:eastAsia="Times New Roman" w:hAnsi="Times New Roman"/>
          <w:b/>
          <w:sz w:val="24"/>
          <w:szCs w:val="24"/>
          <w:lang w:eastAsia="pl-PL"/>
        </w:rPr>
        <w:t>-</w:t>
      </w:r>
      <w:r w:rsidR="0015284B" w:rsidRPr="009A3C86">
        <w:rPr>
          <w:rFonts w:ascii="Times New Roman" w:eastAsia="Times New Roman" w:hAnsi="Times New Roman"/>
          <w:b/>
          <w:sz w:val="24"/>
          <w:szCs w:val="24"/>
          <w:lang w:eastAsia="pl-PL"/>
        </w:rPr>
        <w:t>10</w:t>
      </w:r>
      <w:r w:rsidR="00BD02C6" w:rsidRPr="009A3C86">
        <w:rPr>
          <w:rFonts w:ascii="Times New Roman" w:eastAsia="Times New Roman" w:hAnsi="Times New Roman"/>
          <w:b/>
          <w:sz w:val="24"/>
          <w:szCs w:val="24"/>
          <w:lang w:eastAsia="pl-PL"/>
        </w:rPr>
        <w:t>9</w:t>
      </w:r>
      <w:r w:rsidRPr="009A3C86">
        <w:rPr>
          <w:rFonts w:ascii="Times New Roman" w:eastAsia="Times New Roman" w:hAnsi="Times New Roman"/>
          <w:sz w:val="24"/>
          <w:szCs w:val="24"/>
          <w:lang w:eastAsia="pl-PL"/>
        </w:rPr>
        <w:t xml:space="preserve">, </w:t>
      </w:r>
      <w:r w:rsidR="005A05C1" w:rsidRPr="009A3C86">
        <w:rPr>
          <w:rFonts w:ascii="Times New Roman" w:eastAsia="Times New Roman" w:hAnsi="Times New Roman"/>
          <w:b/>
          <w:sz w:val="24"/>
          <w:szCs w:val="24"/>
          <w:lang w:eastAsia="pl-PL"/>
        </w:rPr>
        <w:t xml:space="preserve">art. </w:t>
      </w:r>
      <w:r w:rsidRPr="009A3C86">
        <w:rPr>
          <w:rFonts w:ascii="Times New Roman" w:eastAsia="Times New Roman" w:hAnsi="Times New Roman"/>
          <w:b/>
          <w:sz w:val="24"/>
          <w:szCs w:val="24"/>
          <w:lang w:eastAsia="pl-PL"/>
        </w:rPr>
        <w:t>11</w:t>
      </w:r>
      <w:r w:rsidR="0015284B" w:rsidRPr="009A3C86">
        <w:rPr>
          <w:rFonts w:ascii="Times New Roman" w:eastAsia="Times New Roman" w:hAnsi="Times New Roman"/>
          <w:b/>
          <w:sz w:val="24"/>
          <w:szCs w:val="24"/>
          <w:lang w:eastAsia="pl-PL"/>
        </w:rPr>
        <w:t>1</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xml:space="preserve">art. </w:t>
      </w:r>
      <w:r w:rsidR="00466E00" w:rsidRPr="009A3C86">
        <w:rPr>
          <w:rFonts w:ascii="Times New Roman" w:eastAsia="Times New Roman" w:hAnsi="Times New Roman"/>
          <w:b/>
          <w:sz w:val="24"/>
          <w:szCs w:val="24"/>
          <w:lang w:eastAsia="pl-PL"/>
        </w:rPr>
        <w:t>112</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xml:space="preserve">art. </w:t>
      </w:r>
      <w:r w:rsidR="00614116" w:rsidRPr="009A3C86">
        <w:rPr>
          <w:rFonts w:ascii="Times New Roman" w:eastAsia="Times New Roman" w:hAnsi="Times New Roman"/>
          <w:b/>
          <w:sz w:val="24"/>
          <w:szCs w:val="24"/>
          <w:lang w:eastAsia="pl-PL"/>
        </w:rPr>
        <w:t>114</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xml:space="preserve">art. </w:t>
      </w:r>
      <w:r w:rsidR="0015284B" w:rsidRPr="009A3C86">
        <w:rPr>
          <w:rFonts w:ascii="Times New Roman" w:eastAsia="Times New Roman" w:hAnsi="Times New Roman"/>
          <w:b/>
          <w:sz w:val="24"/>
          <w:szCs w:val="24"/>
          <w:lang w:eastAsia="pl-PL"/>
        </w:rPr>
        <w:t>117</w:t>
      </w:r>
      <w:r w:rsidR="0015284B"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 xml:space="preserve">projektu określenie „akta sprawy podatkowej” rozumieć należy jako obejmujące nie tylko całość dokumentacji zebranej przez organ podatkowy, ale i np. materiały z kontroli przeprowadzonej u kontrahenta kontrolowanego, o którym mowa w art. </w:t>
      </w:r>
      <w:r w:rsidR="002256C3" w:rsidRPr="009A3C86">
        <w:rPr>
          <w:rFonts w:ascii="Times New Roman" w:eastAsia="Times New Roman" w:hAnsi="Times New Roman"/>
          <w:sz w:val="24"/>
          <w:szCs w:val="24"/>
          <w:lang w:eastAsia="pl-PL"/>
        </w:rPr>
        <w:t xml:space="preserve">677 </w:t>
      </w:r>
      <w:r w:rsidRPr="009A3C86">
        <w:rPr>
          <w:rFonts w:ascii="Times New Roman" w:eastAsia="Times New Roman" w:hAnsi="Times New Roman"/>
          <w:sz w:val="24"/>
          <w:szCs w:val="24"/>
          <w:lang w:eastAsia="pl-PL"/>
        </w:rPr>
        <w:t xml:space="preserve">projektu (art. 274c o.p.), o ile zostały one włączone do akt sprawy podatkowej. Zatem określenie „akta sprawy podatkowej” na gruncie tych przepisów należy rozumieć jednolicie. Zgodnie z językowym znaczeniem przez akta sprawy </w:t>
      </w:r>
      <w:r w:rsidRPr="009A3C86">
        <w:rPr>
          <w:rFonts w:ascii="Times New Roman" w:eastAsia="Times New Roman" w:hAnsi="Times New Roman"/>
          <w:sz w:val="24"/>
          <w:szCs w:val="24"/>
          <w:lang w:eastAsia="pl-PL"/>
        </w:rPr>
        <w:lastRenderedPageBreak/>
        <w:t>rozumieć należy „zbiór dokumentów odnoszący się do jakiejś sprawy, a także zbiór ksiąg je zawierających”</w:t>
      </w:r>
      <w:r w:rsidRPr="009A3C86">
        <w:rPr>
          <w:rFonts w:ascii="Times New Roman" w:eastAsia="Times New Roman" w:hAnsi="Times New Roman"/>
          <w:sz w:val="24"/>
          <w:szCs w:val="24"/>
          <w:vertAlign w:val="superscript"/>
          <w:lang w:eastAsia="pl-PL"/>
        </w:rPr>
        <w:footnoteReference w:id="180"/>
      </w:r>
      <w:r w:rsidRPr="009A3C86">
        <w:rPr>
          <w:rFonts w:ascii="Times New Roman" w:eastAsia="Times New Roman" w:hAnsi="Times New Roman"/>
          <w:sz w:val="24"/>
          <w:szCs w:val="24"/>
          <w:lang w:eastAsia="pl-PL"/>
        </w:rPr>
        <w:t>.</w:t>
      </w:r>
    </w:p>
    <w:p w:rsidR="00FA30AA" w:rsidRPr="009A3C86" w:rsidRDefault="00FA30AA" w:rsidP="00FA30AA">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color w:val="000000"/>
          <w:sz w:val="24"/>
          <w:szCs w:val="24"/>
        </w:rPr>
        <w:t xml:space="preserve">5. W zakresie realizacji braków, w obecnie obowiązujących unormowaniach, a określonych wyżej, projekt w </w:t>
      </w:r>
      <w:r w:rsidRPr="009A3C86">
        <w:rPr>
          <w:rFonts w:ascii="Times New Roman" w:eastAsia="Times New Roman" w:hAnsi="Times New Roman"/>
          <w:b/>
          <w:color w:val="000000"/>
          <w:sz w:val="24"/>
          <w:szCs w:val="24"/>
        </w:rPr>
        <w:t xml:space="preserve">art. </w:t>
      </w:r>
      <w:r w:rsidR="00C563B6" w:rsidRPr="009A3C86">
        <w:rPr>
          <w:rFonts w:ascii="Times New Roman" w:eastAsia="Times New Roman" w:hAnsi="Times New Roman"/>
          <w:b/>
          <w:color w:val="000000"/>
          <w:sz w:val="24"/>
          <w:szCs w:val="24"/>
        </w:rPr>
        <w:t>99</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8F009B" w:rsidRPr="009A3C86">
        <w:rPr>
          <w:rFonts w:ascii="Times New Roman" w:eastAsia="Times New Roman" w:hAnsi="Times New Roman"/>
          <w:b/>
          <w:color w:val="000000"/>
          <w:sz w:val="24"/>
          <w:szCs w:val="24"/>
        </w:rPr>
        <w:t>104</w:t>
      </w:r>
      <w:r w:rsidRPr="009A3C86">
        <w:rPr>
          <w:rFonts w:ascii="Times New Roman" w:eastAsia="Times New Roman" w:hAnsi="Times New Roman"/>
          <w:b/>
          <w:color w:val="000000"/>
          <w:sz w:val="24"/>
          <w:szCs w:val="24"/>
        </w:rPr>
        <w:t>-</w:t>
      </w:r>
      <w:r w:rsidR="00C563B6" w:rsidRPr="009A3C86">
        <w:rPr>
          <w:rFonts w:ascii="Times New Roman" w:eastAsia="Times New Roman" w:hAnsi="Times New Roman"/>
          <w:b/>
          <w:color w:val="000000"/>
          <w:sz w:val="24"/>
          <w:szCs w:val="24"/>
        </w:rPr>
        <w:t>108</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ar</w:t>
      </w:r>
      <w:r w:rsidR="00E638D6" w:rsidRPr="009A3C86">
        <w:rPr>
          <w:rFonts w:ascii="Times New Roman" w:eastAsia="Times New Roman" w:hAnsi="Times New Roman"/>
          <w:b/>
          <w:color w:val="000000"/>
          <w:sz w:val="24"/>
          <w:szCs w:val="24"/>
        </w:rPr>
        <w:t>t</w:t>
      </w:r>
      <w:r w:rsidRPr="009A3C86">
        <w:rPr>
          <w:rFonts w:ascii="Times New Roman" w:eastAsia="Times New Roman" w:hAnsi="Times New Roman"/>
          <w:b/>
          <w:color w:val="000000"/>
          <w:sz w:val="24"/>
          <w:szCs w:val="24"/>
        </w:rPr>
        <w:t>. 11</w:t>
      </w:r>
      <w:r w:rsidR="00C563B6" w:rsidRPr="009A3C86">
        <w:rPr>
          <w:rFonts w:ascii="Times New Roman" w:eastAsia="Times New Roman" w:hAnsi="Times New Roman"/>
          <w:b/>
          <w:color w:val="000000"/>
          <w:sz w:val="24"/>
          <w:szCs w:val="24"/>
        </w:rPr>
        <w:t>1</w:t>
      </w:r>
      <w:r w:rsidR="008F009B" w:rsidRPr="009A3C86">
        <w:rPr>
          <w:rFonts w:ascii="Times New Roman" w:eastAsia="Times New Roman" w:hAnsi="Times New Roman"/>
          <w:b/>
          <w:color w:val="000000"/>
          <w:sz w:val="24"/>
          <w:szCs w:val="24"/>
        </w:rPr>
        <w:t>-112</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C563B6" w:rsidRPr="009A3C86">
        <w:rPr>
          <w:rFonts w:ascii="Times New Roman" w:eastAsia="Times New Roman" w:hAnsi="Times New Roman"/>
          <w:b/>
          <w:color w:val="000000"/>
          <w:sz w:val="24"/>
          <w:szCs w:val="24"/>
        </w:rPr>
        <w:t>113</w:t>
      </w:r>
      <w:r w:rsidR="00225934" w:rsidRPr="009A3C86">
        <w:rPr>
          <w:rFonts w:ascii="Times New Roman" w:eastAsia="Times New Roman" w:hAnsi="Times New Roman"/>
          <w:color w:val="000000"/>
          <w:sz w:val="24"/>
          <w:szCs w:val="24"/>
        </w:rPr>
        <w:t>-</w:t>
      </w:r>
      <w:r w:rsidRPr="009A3C86">
        <w:rPr>
          <w:rFonts w:ascii="Times New Roman" w:eastAsia="Times New Roman" w:hAnsi="Times New Roman"/>
          <w:b/>
          <w:color w:val="000000"/>
          <w:sz w:val="24"/>
          <w:szCs w:val="24"/>
        </w:rPr>
        <w:t xml:space="preserve"> </w:t>
      </w:r>
      <w:r w:rsidR="00C563B6" w:rsidRPr="009A3C86">
        <w:rPr>
          <w:rFonts w:ascii="Times New Roman" w:eastAsia="Times New Roman" w:hAnsi="Times New Roman"/>
          <w:b/>
          <w:color w:val="000000"/>
          <w:sz w:val="24"/>
          <w:szCs w:val="24"/>
        </w:rPr>
        <w:t>115</w:t>
      </w:r>
      <w:r w:rsidR="000117F5" w:rsidRPr="009A3C86">
        <w:rPr>
          <w:rFonts w:ascii="Times New Roman" w:eastAsia="Times New Roman" w:hAnsi="Times New Roman"/>
          <w:color w:val="000000"/>
          <w:sz w:val="24"/>
          <w:szCs w:val="24"/>
        </w:rPr>
        <w:t>,</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C563B6" w:rsidRPr="009A3C86">
        <w:rPr>
          <w:rFonts w:ascii="Times New Roman" w:eastAsia="Times New Roman" w:hAnsi="Times New Roman"/>
          <w:b/>
          <w:color w:val="000000"/>
          <w:sz w:val="24"/>
          <w:szCs w:val="24"/>
        </w:rPr>
        <w:t>117</w:t>
      </w:r>
      <w:r w:rsidR="000117F5" w:rsidRPr="009A3C86">
        <w:rPr>
          <w:rFonts w:ascii="Times New Roman" w:eastAsia="Times New Roman" w:hAnsi="Times New Roman"/>
          <w:b/>
          <w:color w:val="000000"/>
          <w:sz w:val="24"/>
          <w:szCs w:val="24"/>
        </w:rPr>
        <w:t xml:space="preserve"> i art. 119</w:t>
      </w:r>
      <w:r w:rsidR="00C563B6"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wyraźnie wskazuje, kto i na jakich zasadach może otrzymywać akta spraw podatkowych, dokumenty, dane lub informacje, kto i kiedy oraz komu może je udostępniać. Regulacje te wprost normują, że udostępnienie akt, dokumentów, informacji i danych może nastąpić tylko w celu realizacji zadań ustawowych. Czyni to regulacje te spójnymi z art. 51 ust. 1-2 i 5 w zw. z art. 31 ust. 3 Konstytucji R.P., a także zgodnymi z wymogami wskazanymi w wyroku Trybunału Konstytucyjnego z dnia 17 czerwca 2008 r., K 8/04</w:t>
      </w:r>
      <w:r w:rsidRPr="009A3C86">
        <w:rPr>
          <w:rFonts w:ascii="Times New Roman" w:eastAsia="Times New Roman" w:hAnsi="Times New Roman"/>
          <w:color w:val="000000"/>
          <w:sz w:val="24"/>
          <w:szCs w:val="24"/>
          <w:vertAlign w:val="superscript"/>
        </w:rPr>
        <w:footnoteReference w:id="181"/>
      </w:r>
      <w:r w:rsidRPr="009A3C86">
        <w:rPr>
          <w:rFonts w:ascii="Times New Roman" w:eastAsia="Times New Roman" w:hAnsi="Times New Roman"/>
          <w:color w:val="000000"/>
          <w:sz w:val="24"/>
          <w:szCs w:val="24"/>
        </w:rPr>
        <w:t xml:space="preserve">. </w:t>
      </w:r>
    </w:p>
    <w:p w:rsidR="00FA30AA" w:rsidRPr="009A3C86" w:rsidRDefault="00FA30AA" w:rsidP="00FA30AA">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color w:val="000000"/>
          <w:sz w:val="24"/>
          <w:szCs w:val="24"/>
        </w:rPr>
        <w:t xml:space="preserve">6. Unormowania zawarte w </w:t>
      </w:r>
      <w:r w:rsidRPr="009A3C86">
        <w:rPr>
          <w:rFonts w:ascii="Times New Roman" w:eastAsia="Times New Roman" w:hAnsi="Times New Roman"/>
          <w:b/>
          <w:color w:val="000000"/>
          <w:sz w:val="24"/>
          <w:szCs w:val="24"/>
        </w:rPr>
        <w:t xml:space="preserve">art. </w:t>
      </w:r>
      <w:r w:rsidR="0055037A" w:rsidRPr="009A3C86">
        <w:rPr>
          <w:rFonts w:ascii="Times New Roman" w:eastAsia="Times New Roman" w:hAnsi="Times New Roman"/>
          <w:b/>
          <w:color w:val="000000"/>
          <w:sz w:val="24"/>
          <w:szCs w:val="24"/>
        </w:rPr>
        <w:t xml:space="preserve">99 </w:t>
      </w:r>
      <w:r w:rsidRPr="009A3C86">
        <w:rPr>
          <w:rFonts w:ascii="Times New Roman" w:eastAsia="Times New Roman" w:hAnsi="Times New Roman"/>
          <w:b/>
          <w:color w:val="000000"/>
          <w:sz w:val="24"/>
          <w:szCs w:val="24"/>
        </w:rPr>
        <w:t>§ 1-3</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55037A" w:rsidRPr="009A3C86">
        <w:rPr>
          <w:rFonts w:ascii="Times New Roman" w:eastAsia="Times New Roman" w:hAnsi="Times New Roman"/>
          <w:b/>
          <w:color w:val="000000"/>
          <w:sz w:val="24"/>
          <w:szCs w:val="24"/>
        </w:rPr>
        <w:t xml:space="preserve">100 </w:t>
      </w:r>
      <w:r w:rsidRPr="009A3C86">
        <w:rPr>
          <w:rFonts w:ascii="Times New Roman" w:eastAsia="Times New Roman" w:hAnsi="Times New Roman"/>
          <w:b/>
          <w:color w:val="000000"/>
          <w:sz w:val="24"/>
          <w:szCs w:val="24"/>
        </w:rPr>
        <w:t>§ 1</w:t>
      </w:r>
      <w:r w:rsidRPr="009A3C86">
        <w:rPr>
          <w:rFonts w:ascii="Times New Roman" w:eastAsia="Times New Roman" w:hAnsi="Times New Roman"/>
          <w:color w:val="000000"/>
          <w:sz w:val="24"/>
          <w:szCs w:val="24"/>
        </w:rPr>
        <w:t>,</w:t>
      </w:r>
      <w:r w:rsidRPr="009A3C86">
        <w:rPr>
          <w:rFonts w:ascii="Times New Roman" w:eastAsia="Times New Roman" w:hAnsi="Times New Roman"/>
          <w:b/>
          <w:color w:val="000000"/>
          <w:sz w:val="24"/>
          <w:szCs w:val="24"/>
        </w:rPr>
        <w:t xml:space="preserve"> § 3</w:t>
      </w:r>
      <w:r w:rsidRPr="009A3C86">
        <w:rPr>
          <w:rFonts w:ascii="Times New Roman" w:eastAsia="Times New Roman" w:hAnsi="Times New Roman"/>
          <w:color w:val="000000"/>
          <w:sz w:val="24"/>
          <w:szCs w:val="24"/>
        </w:rPr>
        <w:t>,</w:t>
      </w:r>
      <w:r w:rsidRPr="009A3C86">
        <w:rPr>
          <w:rFonts w:ascii="Times New Roman" w:eastAsia="Times New Roman" w:hAnsi="Times New Roman"/>
          <w:b/>
          <w:color w:val="000000"/>
          <w:sz w:val="24"/>
          <w:szCs w:val="24"/>
        </w:rPr>
        <w:t xml:space="preserve"> § 5</w:t>
      </w:r>
      <w:r w:rsidRPr="009A3C86">
        <w:rPr>
          <w:rFonts w:ascii="Times New Roman" w:eastAsia="Times New Roman" w:hAnsi="Times New Roman"/>
          <w:color w:val="000000"/>
          <w:sz w:val="24"/>
          <w:szCs w:val="24"/>
        </w:rPr>
        <w:t>,</w:t>
      </w:r>
      <w:r w:rsidRPr="009A3C86">
        <w:rPr>
          <w:rFonts w:ascii="Times New Roman" w:eastAsia="Times New Roman" w:hAnsi="Times New Roman"/>
          <w:b/>
          <w:color w:val="000000"/>
          <w:sz w:val="24"/>
          <w:szCs w:val="24"/>
        </w:rPr>
        <w:t xml:space="preserve"> § 7 i 9</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55037A" w:rsidRPr="009A3C86">
        <w:rPr>
          <w:rFonts w:ascii="Times New Roman" w:eastAsia="Times New Roman" w:hAnsi="Times New Roman"/>
          <w:b/>
          <w:color w:val="000000"/>
          <w:sz w:val="24"/>
          <w:szCs w:val="24"/>
        </w:rPr>
        <w:t>101</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55037A" w:rsidRPr="009A3C86">
        <w:rPr>
          <w:rFonts w:ascii="Times New Roman" w:eastAsia="Times New Roman" w:hAnsi="Times New Roman"/>
          <w:b/>
          <w:color w:val="000000"/>
          <w:sz w:val="24"/>
          <w:szCs w:val="24"/>
        </w:rPr>
        <w:t xml:space="preserve">102 </w:t>
      </w:r>
      <w:r w:rsidRPr="009A3C86">
        <w:rPr>
          <w:rFonts w:ascii="Times New Roman" w:eastAsia="Times New Roman" w:hAnsi="Times New Roman"/>
          <w:b/>
          <w:color w:val="000000"/>
          <w:sz w:val="24"/>
          <w:szCs w:val="24"/>
        </w:rPr>
        <w:t>§ 1</w:t>
      </w:r>
      <w:r w:rsidRPr="009A3C86">
        <w:rPr>
          <w:rFonts w:ascii="Times New Roman" w:eastAsia="Times New Roman" w:hAnsi="Times New Roman"/>
          <w:color w:val="000000"/>
          <w:sz w:val="24"/>
          <w:szCs w:val="24"/>
        </w:rPr>
        <w:t xml:space="preserve"> i </w:t>
      </w:r>
      <w:r w:rsidRPr="009A3C86">
        <w:rPr>
          <w:rFonts w:ascii="Times New Roman" w:eastAsia="Times New Roman" w:hAnsi="Times New Roman"/>
          <w:b/>
          <w:color w:val="000000"/>
          <w:sz w:val="24"/>
          <w:szCs w:val="24"/>
        </w:rPr>
        <w:t>2</w:t>
      </w:r>
      <w:r w:rsidRPr="009A3C86">
        <w:rPr>
          <w:rFonts w:ascii="Times New Roman" w:eastAsia="Times New Roman" w:hAnsi="Times New Roman"/>
          <w:color w:val="000000"/>
          <w:sz w:val="24"/>
          <w:szCs w:val="24"/>
        </w:rPr>
        <w:t xml:space="preserve"> oraz </w:t>
      </w:r>
      <w:r w:rsidRPr="009A3C86">
        <w:rPr>
          <w:rFonts w:ascii="Times New Roman" w:eastAsia="Times New Roman" w:hAnsi="Times New Roman"/>
          <w:b/>
          <w:color w:val="000000"/>
          <w:sz w:val="24"/>
          <w:szCs w:val="24"/>
        </w:rPr>
        <w:t xml:space="preserve">art. </w:t>
      </w:r>
      <w:r w:rsidR="0055037A" w:rsidRPr="009A3C86">
        <w:rPr>
          <w:rFonts w:ascii="Times New Roman" w:eastAsia="Times New Roman" w:hAnsi="Times New Roman"/>
          <w:b/>
          <w:color w:val="000000"/>
          <w:sz w:val="24"/>
          <w:szCs w:val="24"/>
        </w:rPr>
        <w:t>103</w:t>
      </w:r>
      <w:r w:rsidR="0055037A"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projektu są odpowiednikami dotychczasowych przepisów (odpowiednio art. 293 § 1-3, art. 294 § 15 oraz art. 295 i art. 295a-295c o.p.) z niezbędnymi dostosowaniami.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Z wyżej wskazanych przepisów dotychczasowej ustawy zmiana dotyczy art. 293 § 2 o.p.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 xml:space="preserve">99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projektu), a polega ona na merytorycznym uporządkowaniu kolejności wyliczeń i uzupełnieniu o akta dokumentujące postępowania podatkowe i postępowania szczególne, o których mowa w dziale III i IV projektu. Ponadto zmiany proponowane w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 xml:space="preserve">99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mają w założeniu poprawić systematykę tego przepisu, a także wyeliminować wątpliwości co do zakresu danych chronionych przez przepisy o tajemnicy skarbowej (wyliczenie przykładowe). W zasadzie bowiem jest tak, że „informacje zawarte w każdym dokumencie będącym w posiadaniu organu podatkowego, który pozwala na zidentyfikowanie konkretnego podmiotu są objęte tajemnicą skarbową. Chodzi tu o wszelkie dokumenty przekazane do celów podatkowych w trybach określonych przepisami prawa podatkowego, co oznacza, że mogą być ponadto chronione innymi przepisami, np. o tajemnicy bankowej”</w:t>
      </w:r>
      <w:r w:rsidRPr="009A3C86">
        <w:rPr>
          <w:rFonts w:ascii="Times New Roman" w:eastAsia="Times New Roman" w:hAnsi="Times New Roman"/>
          <w:sz w:val="24"/>
          <w:szCs w:val="24"/>
          <w:vertAlign w:val="superscript"/>
        </w:rPr>
        <w:footnoteReference w:id="182"/>
      </w:r>
      <w:r w:rsidRPr="009A3C86">
        <w:rPr>
          <w:rFonts w:ascii="Times New Roman" w:eastAsia="Times New Roman" w:hAnsi="Times New Roman"/>
          <w:sz w:val="24"/>
          <w:szCs w:val="24"/>
        </w:rPr>
        <w:t xml:space="preserve">. Przepis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 xml:space="preserve">99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projektu zawiera przypadki przewidujące wyłączenie stosowania przepisów o tajemnicy skarbowej. Tryb udostępniania tych informacji został uregulowany w art. </w:t>
      </w:r>
      <w:r w:rsidR="00BC0850" w:rsidRPr="009A3C86">
        <w:rPr>
          <w:rFonts w:ascii="Times New Roman" w:eastAsia="Times New Roman" w:hAnsi="Times New Roman"/>
          <w:sz w:val="24"/>
          <w:szCs w:val="24"/>
        </w:rPr>
        <w:t>7</w:t>
      </w:r>
      <w:r w:rsidR="009E2C79" w:rsidRPr="009A3C86">
        <w:rPr>
          <w:rFonts w:ascii="Times New Roman" w:eastAsia="Times New Roman" w:hAnsi="Times New Roman"/>
          <w:sz w:val="24"/>
          <w:szCs w:val="24"/>
        </w:rPr>
        <w:t>58</w:t>
      </w:r>
      <w:r w:rsidR="00BC0850"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3 projektu. Rozwiązania te nie wprowadzają warunków podmiotowych uznania za kontrahenta podatnika, </w:t>
      </w:r>
      <w:r w:rsidRPr="009A3C86">
        <w:rPr>
          <w:rFonts w:ascii="Times New Roman" w:eastAsia="Times New Roman" w:hAnsi="Times New Roman"/>
          <w:sz w:val="24"/>
          <w:szCs w:val="24"/>
        </w:rPr>
        <w:lastRenderedPageBreak/>
        <w:t xml:space="preserve">co oznacza, że mogą nimi być wszystkie podmioty, które są stroną transakcji finansowej, mającej na celu wymianę towaru lub usługi. Wprowadzenie art. </w:t>
      </w:r>
      <w:r w:rsidR="0055037A" w:rsidRPr="009A3C86">
        <w:rPr>
          <w:rFonts w:ascii="Times New Roman" w:eastAsia="Times New Roman" w:hAnsi="Times New Roman"/>
          <w:sz w:val="24"/>
          <w:szCs w:val="24"/>
        </w:rPr>
        <w:t xml:space="preserve">99 </w:t>
      </w:r>
      <w:r w:rsidRPr="009A3C86">
        <w:rPr>
          <w:rFonts w:ascii="Times New Roman" w:eastAsia="Times New Roman" w:hAnsi="Times New Roman"/>
          <w:sz w:val="24"/>
          <w:szCs w:val="24"/>
        </w:rPr>
        <w:t>§ 3 projektu ma na celu:</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 ochronę podatników przed poniesieniem konsekwencji nieuczciwości kontrahentów;</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b) wprowadzenie procedury rzetelnej oceny potencjalnych kontrahentów;</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c) umożliwienie przeprowadzenia przez podatnika odpowiedniej weryfikacji dokumentów (deklaracji podatkowych) przyszłych kontrahentów.</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Istotnym celem tej regulacji jest także budowanie pewności obrotu gospodarczego i przyczynienie się do eliminowania nieuczciwych przedsiębiorców.</w:t>
      </w:r>
    </w:p>
    <w:p w:rsidR="00FA30AA" w:rsidRPr="009A3C86" w:rsidRDefault="00C53CAB"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Należy wskazać, że przepis art. 6 ust. 1 rozporządzenia RODO</w:t>
      </w:r>
      <w:r w:rsidRPr="009A3C86">
        <w:rPr>
          <w:rFonts w:ascii="Times New Roman" w:eastAsia="Times New Roman" w:hAnsi="Times New Roman"/>
          <w:sz w:val="24"/>
          <w:szCs w:val="24"/>
          <w:vertAlign w:val="superscript"/>
        </w:rPr>
        <w:footnoteReference w:id="183"/>
      </w:r>
      <w:r w:rsidRPr="009A3C86">
        <w:rPr>
          <w:rFonts w:ascii="Times New Roman" w:eastAsia="Times New Roman" w:hAnsi="Times New Roman"/>
          <w:sz w:val="24"/>
          <w:szCs w:val="24"/>
        </w:rPr>
        <w:t xml:space="preserve"> zawiera przesłanki legalizujące przetwarzanie danych osobowych przez administratora. Pierwszą (podstawową) przesłanką decydującą o dopuszczalności przetwarzania danych osobowych jest zgoda wyrażona przez osobę, której dane dotyczą (lit. a tego przepisu). Nie jest to jednak jedyna przesłanka. Przepis ten wskazuje również, że przetwarzanie jest zgodne z prawem, gdy jest niezbędne do wykonywania zadania realizowanego w interesie publicznym lub w ramach sprawowania władzy publicznej powierzonej administratorowi (lit. e tego przepisu). W tym przypadku RODO przewiduje, że podstawa prawna przetwarzania musi być określona w prawie państwa członkowskiego, któremu podlega administrator (art. 6 ust. 3 lit. b RODO). W związku z tym przepisy RODO przewidują możliwość przetwarzania danych osobowych zarówno za zgodą osoby, której dane dotyczą, jak również przetwarzanie bez zgody tej osoby pod warunkiem jednak, że ustawodawca zdecyduje, że interes publiczny wymaga przetwarzania danych wprost na podstawie przepisu ustawy (bez zgody osoby, której dane dotyczą).</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Natomiast zmiana zawarta w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100</w:t>
      </w:r>
      <w:r w:rsidR="0055037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projektu polega na dodaniu jako podmiotów obowiązanych do przestrzegania tajemnicy skarbowej, ministra właściwego do spraw finansów publicznych, sekretarzy stanu, podsekretarzy stanu, których obowiązek przestrzegania tajemnicy skarbowej nie był dotychczas określony w sposób jasny i zrozumiały (art. 294 § 1 pkt 4 o.p.), mediatorów, osób świadczących na rzecz organu podatkowego czynności na podstawie umowy zlecenia lub umowy o dzieło, sekretarza Rady i członków Rady do spraw </w:t>
      </w:r>
      <w:r w:rsidR="00F85642" w:rsidRPr="009A3C86">
        <w:rPr>
          <w:rFonts w:ascii="Times New Roman" w:eastAsia="Times New Roman" w:hAnsi="Times New Roman"/>
          <w:sz w:val="24"/>
          <w:szCs w:val="24"/>
        </w:rPr>
        <w:t xml:space="preserve">Przeciwdziałania </w:t>
      </w:r>
      <w:r w:rsidRPr="009A3C86">
        <w:rPr>
          <w:rFonts w:ascii="Times New Roman" w:eastAsia="Times New Roman" w:hAnsi="Times New Roman"/>
          <w:sz w:val="24"/>
          <w:szCs w:val="24"/>
        </w:rPr>
        <w:t xml:space="preserve">Unikania Opodatkowania, a także organów i ich pracowników, którym odrębne ustawy przyznają uprawnienia organów podatkowych. W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100</w:t>
      </w:r>
      <w:r w:rsidR="0055037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wprowadzono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lastRenderedPageBreak/>
        <w:t xml:space="preserve">albowiem osoby, które zająć mogą jedno ze stanowisk, o których mowa w art. </w:t>
      </w:r>
      <w:r w:rsidR="0055037A" w:rsidRPr="009A3C86">
        <w:rPr>
          <w:rFonts w:ascii="Times New Roman" w:eastAsia="Times New Roman" w:hAnsi="Times New Roman"/>
          <w:sz w:val="24"/>
          <w:szCs w:val="24"/>
        </w:rPr>
        <w:t xml:space="preserve">100 </w:t>
      </w:r>
      <w:r w:rsidRPr="009A3C86">
        <w:rPr>
          <w:rFonts w:ascii="Times New Roman" w:eastAsia="Times New Roman" w:hAnsi="Times New Roman"/>
          <w:sz w:val="24"/>
          <w:szCs w:val="24"/>
        </w:rPr>
        <w:t xml:space="preserve">§ 1 i § 2 pkt 1-2 np. minister właściwy do spraw finansów publicznych, czy prokurator wskazany przez Ministra Sprawiedliwości, czy Rzecznik Praw Podatnika i jego Zastępcy (zob. projekt ustawy o Rzeczniku Praw Podatnika), mogły wcześniej składać przyrzeczenie o zachowaniu tajemnicy prawnie chronionej i ponowne składanie przez nich przyrzeczenia byłoby zbędne. Przepis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 xml:space="preserve">101 </w:t>
      </w:r>
      <w:r w:rsidRPr="009A3C86">
        <w:rPr>
          <w:rFonts w:ascii="Times New Roman" w:eastAsia="Times New Roman" w:hAnsi="Times New Roman"/>
          <w:sz w:val="24"/>
          <w:szCs w:val="24"/>
        </w:rPr>
        <w:t xml:space="preserve">nie uległ istotnym zmianom poza dostosowawczymi. W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 xml:space="preserve">101 </w:t>
      </w:r>
      <w:r w:rsidRPr="009A3C86">
        <w:rPr>
          <w:rFonts w:ascii="Times New Roman" w:eastAsia="Times New Roman" w:hAnsi="Times New Roman"/>
          <w:b/>
          <w:sz w:val="24"/>
          <w:szCs w:val="24"/>
        </w:rPr>
        <w:t>pkt 1</w:t>
      </w:r>
      <w:r w:rsidR="00BC324A" w:rsidRPr="009A3C86">
        <w:rPr>
          <w:rFonts w:ascii="Times New Roman" w:eastAsia="Times New Roman" w:hAnsi="Times New Roman"/>
          <w:b/>
          <w:sz w:val="24"/>
          <w:szCs w:val="24"/>
        </w:rPr>
        <w:t xml:space="preserve"> i 2,</w:t>
      </w:r>
      <w:r w:rsidRPr="009A3C86">
        <w:rPr>
          <w:rFonts w:ascii="Times New Roman" w:eastAsia="Times New Roman" w:hAnsi="Times New Roman"/>
          <w:sz w:val="24"/>
          <w:szCs w:val="24"/>
        </w:rPr>
        <w:t xml:space="preserve">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 xml:space="preserve">102 </w:t>
      </w:r>
      <w:r w:rsidRPr="009A3C86">
        <w:rPr>
          <w:rFonts w:ascii="Times New Roman" w:eastAsia="Times New Roman" w:hAnsi="Times New Roman"/>
          <w:b/>
          <w:sz w:val="24"/>
          <w:szCs w:val="24"/>
        </w:rPr>
        <w:t>§ 1 i 2</w:t>
      </w:r>
      <w:r w:rsidRPr="009A3C86">
        <w:rPr>
          <w:rFonts w:ascii="Times New Roman" w:eastAsia="Times New Roman" w:hAnsi="Times New Roman"/>
          <w:sz w:val="24"/>
          <w:szCs w:val="24"/>
        </w:rPr>
        <w:t xml:space="preserve"> projektu jest mowa o pracowniku załatwiającym sprawę podatkową. Określenie to rozumieć należy szeroko, a więc także pracownika kontrolującego, pracownika załatwiającego sprawę podatkową związaną, czy pracownika zastępującego danego pracownika, który sprawę załatwia bezpośrednio.</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99</w:t>
      </w:r>
      <w:r w:rsidR="0055037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i </w:t>
      </w:r>
      <w:r w:rsidRPr="009A3C86">
        <w:rPr>
          <w:rFonts w:ascii="Times New Roman" w:eastAsia="Times New Roman" w:hAnsi="Times New Roman"/>
          <w:b/>
          <w:sz w:val="24"/>
          <w:szCs w:val="24"/>
        </w:rPr>
        <w:t xml:space="preserve">art. </w:t>
      </w:r>
      <w:r w:rsidR="0055037A" w:rsidRPr="009A3C86">
        <w:rPr>
          <w:rFonts w:ascii="Times New Roman" w:eastAsia="Times New Roman" w:hAnsi="Times New Roman"/>
          <w:b/>
          <w:sz w:val="24"/>
          <w:szCs w:val="24"/>
        </w:rPr>
        <w:t>100</w:t>
      </w:r>
      <w:r w:rsidR="0055037A"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(art. 293 i art. 294 o.p.) zachowują obecną zasadę, że objęcie tajemnicą skarbową na podstawie art. 49a ustawy z dnia 19 grudnia 1980 r. o zobowiązaniach podatkowych (Dz. U. z 1993 r. Nr 108, poz. 486 z późn. zm.) danych dotyczących indywidualnych cech innych podmiotów gospodarczych, wykorzystanych w metodzie porównawczej (art. 169 § 2 k.p.a. w związku z art. 11 ust. 1 powyższej ustawy), nie uniemożliwia ich wykorzystania w postępowaniu dowodowym. Jest bowiem tak, że w sytuacji, gdy organ podatkowy prowadzi postępowanie dotyczące kilku stron, powinien im udostępniać materiały dotyczące wspólnej dla nich sytuacji procesowej w granicach określonych przedmiotem orzekania oraz bez ograniczeń materiały dotyczące strony występującej z żądaniem ich udostępnienia.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Użyte w </w:t>
      </w:r>
      <w:r w:rsidR="00EF365C" w:rsidRPr="009A3C86">
        <w:rPr>
          <w:rFonts w:ascii="Times New Roman" w:eastAsia="Times New Roman" w:hAnsi="Times New Roman"/>
          <w:b/>
          <w:sz w:val="24"/>
          <w:szCs w:val="24"/>
        </w:rPr>
        <w:t>art. 10</w:t>
      </w:r>
      <w:r w:rsidR="003A2A7F" w:rsidRPr="009A3C86">
        <w:rPr>
          <w:rFonts w:ascii="Times New Roman" w:eastAsia="Times New Roman" w:hAnsi="Times New Roman"/>
          <w:b/>
          <w:sz w:val="24"/>
          <w:szCs w:val="24"/>
        </w:rPr>
        <w:t>0</w:t>
      </w:r>
      <w:r w:rsidR="00EF365C" w:rsidRPr="009A3C86">
        <w:rPr>
          <w:rFonts w:ascii="Times New Roman" w:eastAsia="Times New Roman" w:hAnsi="Times New Roman"/>
          <w:b/>
          <w:sz w:val="24"/>
          <w:szCs w:val="24"/>
        </w:rPr>
        <w:t xml:space="preserve"> § 1 pkt 3, art. 10</w:t>
      </w:r>
      <w:r w:rsidR="003A2A7F" w:rsidRPr="009A3C86">
        <w:rPr>
          <w:rFonts w:ascii="Times New Roman" w:eastAsia="Times New Roman" w:hAnsi="Times New Roman"/>
          <w:b/>
          <w:sz w:val="24"/>
          <w:szCs w:val="24"/>
        </w:rPr>
        <w:t>1</w:t>
      </w:r>
      <w:r w:rsidR="00E952CD" w:rsidRPr="009A3C86">
        <w:rPr>
          <w:rFonts w:ascii="Times New Roman" w:eastAsia="Times New Roman" w:hAnsi="Times New Roman"/>
          <w:b/>
          <w:sz w:val="24"/>
          <w:szCs w:val="24"/>
        </w:rPr>
        <w:t xml:space="preserve"> pkt 1 i 2, art. 10</w:t>
      </w:r>
      <w:r w:rsidR="003A2A7F" w:rsidRPr="009A3C86">
        <w:rPr>
          <w:rFonts w:ascii="Times New Roman" w:eastAsia="Times New Roman" w:hAnsi="Times New Roman"/>
          <w:b/>
          <w:sz w:val="24"/>
          <w:szCs w:val="24"/>
        </w:rPr>
        <w:t>2</w:t>
      </w:r>
      <w:r w:rsidR="00E952CD" w:rsidRPr="009A3C86">
        <w:rPr>
          <w:rFonts w:ascii="Times New Roman" w:eastAsia="Times New Roman" w:hAnsi="Times New Roman"/>
          <w:b/>
          <w:sz w:val="24"/>
          <w:szCs w:val="24"/>
        </w:rPr>
        <w:t xml:space="preserve"> § 1, 2 i </w:t>
      </w:r>
      <w:r w:rsidR="00EF365C" w:rsidRPr="009A3C86">
        <w:rPr>
          <w:rFonts w:ascii="Times New Roman" w:eastAsia="Times New Roman" w:hAnsi="Times New Roman"/>
          <w:b/>
          <w:sz w:val="24"/>
          <w:szCs w:val="24"/>
        </w:rPr>
        <w:t xml:space="preserve">3 pkt </w:t>
      </w:r>
      <w:r w:rsidR="00E952CD" w:rsidRPr="009A3C86">
        <w:rPr>
          <w:rFonts w:ascii="Times New Roman" w:eastAsia="Times New Roman" w:hAnsi="Times New Roman"/>
          <w:b/>
          <w:sz w:val="24"/>
          <w:szCs w:val="24"/>
        </w:rPr>
        <w:t>2</w:t>
      </w:r>
      <w:r w:rsidR="00EF365C" w:rsidRPr="009A3C86">
        <w:rPr>
          <w:rFonts w:ascii="Times New Roman" w:eastAsia="Times New Roman" w:hAnsi="Times New Roman"/>
          <w:b/>
          <w:sz w:val="24"/>
          <w:szCs w:val="24"/>
        </w:rPr>
        <w:t xml:space="preserve"> oraz art. 10</w:t>
      </w:r>
      <w:r w:rsidR="003A2A7F" w:rsidRPr="009A3C86">
        <w:rPr>
          <w:rFonts w:ascii="Times New Roman" w:eastAsia="Times New Roman" w:hAnsi="Times New Roman"/>
          <w:b/>
          <w:sz w:val="24"/>
          <w:szCs w:val="24"/>
        </w:rPr>
        <w:t>3</w:t>
      </w:r>
      <w:r w:rsidR="00EF365C" w:rsidRPr="009A3C86">
        <w:rPr>
          <w:rFonts w:ascii="Times New Roman" w:eastAsia="Times New Roman" w:hAnsi="Times New Roman"/>
          <w:b/>
          <w:sz w:val="24"/>
          <w:szCs w:val="24"/>
        </w:rPr>
        <w:t xml:space="preserve"> projektu</w:t>
      </w:r>
      <w:r w:rsidRPr="009A3C86">
        <w:rPr>
          <w:rFonts w:ascii="Times New Roman" w:eastAsia="Times New Roman" w:hAnsi="Times New Roman"/>
          <w:sz w:val="24"/>
          <w:szCs w:val="24"/>
        </w:rPr>
        <w:t xml:space="preserve"> określenie pracownika rozumieć należy zgodnie z definicją (art. 13 pkt 13 projektu), a więc osobę zatrudnioną w jednostkach organizacyjnych KAS, funkcjonariusza pełniącego służbę w takich jednostkach oraz pracownika urzędu obsługującego organ podatkowy. A pracownik to osoba zatrudniona na podstawie umowy o pracę, powołania, wyboru, mianowania lub spółdzielczej umowy o pracę (art. 2 k.p.).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Przekazanie przez organy podatkowe w trybie </w:t>
      </w:r>
      <w:r w:rsidRPr="009A3C86">
        <w:rPr>
          <w:rFonts w:ascii="Times New Roman" w:eastAsia="Times New Roman" w:hAnsi="Times New Roman"/>
          <w:b/>
          <w:sz w:val="24"/>
          <w:szCs w:val="24"/>
        </w:rPr>
        <w:t xml:space="preserve">art. </w:t>
      </w:r>
      <w:r w:rsidR="00FE1BF3" w:rsidRPr="009A3C86">
        <w:rPr>
          <w:rFonts w:ascii="Times New Roman" w:eastAsia="Times New Roman" w:hAnsi="Times New Roman"/>
          <w:b/>
          <w:sz w:val="24"/>
          <w:szCs w:val="24"/>
        </w:rPr>
        <w:t>106</w:t>
      </w:r>
      <w:r w:rsidR="00FE1BF3"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projektu informacji, o których mowa w </w:t>
      </w:r>
      <w:r w:rsidRPr="009A3C86">
        <w:rPr>
          <w:rFonts w:ascii="Times New Roman" w:eastAsia="Times New Roman" w:hAnsi="Times New Roman"/>
          <w:b/>
          <w:sz w:val="24"/>
          <w:szCs w:val="24"/>
        </w:rPr>
        <w:t xml:space="preserve">art. </w:t>
      </w:r>
      <w:r w:rsidR="00FE1BF3" w:rsidRPr="009A3C86">
        <w:rPr>
          <w:rFonts w:ascii="Times New Roman" w:eastAsia="Times New Roman" w:hAnsi="Times New Roman"/>
          <w:b/>
          <w:sz w:val="24"/>
          <w:szCs w:val="24"/>
        </w:rPr>
        <w:t xml:space="preserve">99 </w:t>
      </w:r>
      <w:r w:rsidRPr="009A3C86">
        <w:rPr>
          <w:rFonts w:ascii="Times New Roman" w:eastAsia="Times New Roman" w:hAnsi="Times New Roman"/>
          <w:b/>
          <w:sz w:val="24"/>
          <w:szCs w:val="24"/>
        </w:rPr>
        <w:t>§ 2 pkt 2</w:t>
      </w:r>
      <w:r w:rsidRPr="009A3C86">
        <w:rPr>
          <w:rFonts w:ascii="Times New Roman" w:eastAsia="Times New Roman" w:hAnsi="Times New Roman"/>
          <w:sz w:val="24"/>
          <w:szCs w:val="24"/>
        </w:rPr>
        <w:t xml:space="preserve"> projektu, nie unicestwia odpowiedzialności za naruszenie tajemnicy bankowej.</w:t>
      </w:r>
    </w:p>
    <w:p w:rsidR="00FA30AA" w:rsidRPr="009A3C86" w:rsidRDefault="00FA30AA" w:rsidP="00FA30AA">
      <w:pPr>
        <w:tabs>
          <w:tab w:val="left" w:pos="6159"/>
        </w:tabs>
        <w:spacing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 xml:space="preserve">Poza tym przepisy </w:t>
      </w:r>
      <w:r w:rsidRPr="009A3C86">
        <w:rPr>
          <w:rFonts w:ascii="Times New Roman" w:eastAsia="Times New Roman" w:hAnsi="Times New Roman"/>
          <w:b/>
          <w:color w:val="000000"/>
          <w:sz w:val="24"/>
          <w:szCs w:val="24"/>
        </w:rPr>
        <w:t xml:space="preserve">art. </w:t>
      </w:r>
      <w:r w:rsidR="00FE1BF3" w:rsidRPr="009A3C86">
        <w:rPr>
          <w:rFonts w:ascii="Times New Roman" w:eastAsia="Times New Roman" w:hAnsi="Times New Roman"/>
          <w:b/>
          <w:color w:val="000000"/>
          <w:sz w:val="24"/>
          <w:szCs w:val="24"/>
        </w:rPr>
        <w:t xml:space="preserve">99 </w:t>
      </w:r>
      <w:r w:rsidRPr="009A3C86">
        <w:rPr>
          <w:rFonts w:ascii="Times New Roman" w:eastAsia="Times New Roman" w:hAnsi="Times New Roman"/>
          <w:b/>
          <w:color w:val="000000"/>
          <w:sz w:val="24"/>
          <w:szCs w:val="24"/>
        </w:rPr>
        <w:t xml:space="preserve">§ </w:t>
      </w:r>
      <w:r w:rsidR="00FC4905" w:rsidRPr="009A3C86">
        <w:rPr>
          <w:rFonts w:ascii="Times New Roman" w:eastAsia="Times New Roman" w:hAnsi="Times New Roman"/>
          <w:b/>
          <w:color w:val="000000"/>
          <w:sz w:val="24"/>
          <w:szCs w:val="24"/>
        </w:rPr>
        <w:t>4</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FE1BF3" w:rsidRPr="009A3C86">
        <w:rPr>
          <w:rFonts w:ascii="Times New Roman" w:eastAsia="Times New Roman" w:hAnsi="Times New Roman"/>
          <w:b/>
          <w:color w:val="000000"/>
          <w:sz w:val="24"/>
          <w:szCs w:val="24"/>
        </w:rPr>
        <w:t xml:space="preserve">100 </w:t>
      </w:r>
      <w:r w:rsidRPr="009A3C86">
        <w:rPr>
          <w:rFonts w:ascii="Times New Roman" w:eastAsia="Times New Roman" w:hAnsi="Times New Roman"/>
          <w:b/>
          <w:color w:val="000000"/>
          <w:sz w:val="24"/>
          <w:szCs w:val="24"/>
        </w:rPr>
        <w:t>§ 2</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371979" w:rsidRPr="009A3C86">
        <w:rPr>
          <w:rFonts w:ascii="Times New Roman" w:eastAsia="Times New Roman" w:hAnsi="Times New Roman"/>
          <w:b/>
          <w:color w:val="000000"/>
          <w:sz w:val="24"/>
          <w:szCs w:val="24"/>
        </w:rPr>
        <w:t>113</w:t>
      </w:r>
      <w:r w:rsidR="00371979"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są </w:t>
      </w:r>
      <w:r w:rsidR="00FC4905" w:rsidRPr="009A3C86">
        <w:rPr>
          <w:rFonts w:ascii="Times New Roman" w:eastAsia="Times New Roman" w:hAnsi="Times New Roman"/>
          <w:color w:val="000000"/>
          <w:sz w:val="24"/>
          <w:szCs w:val="24"/>
        </w:rPr>
        <w:t xml:space="preserve">zasadniczo </w:t>
      </w:r>
      <w:r w:rsidRPr="009A3C86">
        <w:rPr>
          <w:rFonts w:ascii="Times New Roman" w:eastAsia="Times New Roman" w:hAnsi="Times New Roman"/>
          <w:color w:val="000000"/>
          <w:sz w:val="24"/>
          <w:szCs w:val="24"/>
        </w:rPr>
        <w:t xml:space="preserve">odwzorowaniem przepisów, odpowiednio art. 15 ust. </w:t>
      </w:r>
      <w:r w:rsidR="00C64C94" w:rsidRPr="009A3C86">
        <w:rPr>
          <w:rFonts w:ascii="Times New Roman" w:eastAsia="Times New Roman" w:hAnsi="Times New Roman"/>
          <w:color w:val="000000"/>
          <w:sz w:val="24"/>
          <w:szCs w:val="24"/>
        </w:rPr>
        <w:t>6</w:t>
      </w:r>
      <w:r w:rsidRPr="009A3C86">
        <w:rPr>
          <w:rFonts w:ascii="Times New Roman" w:eastAsia="Times New Roman" w:hAnsi="Times New Roman"/>
          <w:color w:val="000000"/>
          <w:sz w:val="24"/>
          <w:szCs w:val="24"/>
        </w:rPr>
        <w:t xml:space="preserve">, art. 15 ust. </w:t>
      </w:r>
      <w:r w:rsidR="00C64C94" w:rsidRPr="009A3C86">
        <w:rPr>
          <w:rFonts w:ascii="Times New Roman" w:eastAsia="Times New Roman" w:hAnsi="Times New Roman"/>
          <w:color w:val="000000"/>
          <w:sz w:val="24"/>
          <w:szCs w:val="24"/>
        </w:rPr>
        <w:t xml:space="preserve">1a pkt 3 i art. 15 </w:t>
      </w:r>
      <w:r w:rsidRPr="009A3C86">
        <w:rPr>
          <w:rFonts w:ascii="Times New Roman" w:eastAsia="Times New Roman" w:hAnsi="Times New Roman"/>
          <w:color w:val="000000"/>
          <w:sz w:val="24"/>
          <w:szCs w:val="24"/>
        </w:rPr>
        <w:t>ust. 2</w:t>
      </w:r>
      <w:r w:rsidR="00866324" w:rsidRPr="009A3C86">
        <w:rPr>
          <w:rFonts w:ascii="Times New Roman" w:eastAsia="Times New Roman" w:hAnsi="Times New Roman"/>
          <w:color w:val="000000"/>
          <w:sz w:val="24"/>
          <w:szCs w:val="24"/>
        </w:rPr>
        <w:t>,</w:t>
      </w:r>
      <w:r w:rsidRPr="009A3C86">
        <w:rPr>
          <w:rFonts w:ascii="Times New Roman" w:eastAsia="Times New Roman" w:hAnsi="Times New Roman"/>
          <w:color w:val="000000"/>
          <w:sz w:val="24"/>
          <w:szCs w:val="24"/>
        </w:rPr>
        <w:t xml:space="preserve"> ustawy o zasadach ewidencji i identyfikacji podatników i płatników, z odpowiednim dostosowaniem do </w:t>
      </w:r>
      <w:r w:rsidR="00F23496" w:rsidRPr="009A3C86">
        <w:rPr>
          <w:rFonts w:ascii="Times New Roman" w:eastAsia="Times New Roman" w:hAnsi="Times New Roman"/>
          <w:color w:val="000000"/>
          <w:sz w:val="24"/>
          <w:szCs w:val="24"/>
        </w:rPr>
        <w:t xml:space="preserve">uregulowań zawartych </w:t>
      </w:r>
      <w:r w:rsidRPr="009A3C86">
        <w:rPr>
          <w:rFonts w:ascii="Times New Roman" w:eastAsia="Times New Roman" w:hAnsi="Times New Roman"/>
          <w:color w:val="000000"/>
          <w:sz w:val="24"/>
          <w:szCs w:val="24"/>
        </w:rPr>
        <w:t xml:space="preserve">w art. 5 ust. 1 pkt 6 i art. 6 ust. 4 ustawy z dnia 6 marca 2018 r. o Centralnej Ewidencji i Informacji o Działalności Gospodarczej. Natomiast do projektu dodano </w:t>
      </w:r>
      <w:r w:rsidRPr="009A3C86">
        <w:rPr>
          <w:rFonts w:ascii="Times New Roman" w:eastAsia="Times New Roman" w:hAnsi="Times New Roman"/>
          <w:b/>
          <w:color w:val="000000"/>
          <w:sz w:val="24"/>
          <w:szCs w:val="24"/>
        </w:rPr>
        <w:t xml:space="preserve">art. </w:t>
      </w:r>
      <w:r w:rsidR="001760A0" w:rsidRPr="009A3C86">
        <w:rPr>
          <w:rFonts w:ascii="Times New Roman" w:eastAsia="Times New Roman" w:hAnsi="Times New Roman"/>
          <w:b/>
          <w:color w:val="000000"/>
          <w:sz w:val="24"/>
          <w:szCs w:val="24"/>
        </w:rPr>
        <w:t xml:space="preserve">114 </w:t>
      </w:r>
      <w:r w:rsidRPr="009A3C86">
        <w:rPr>
          <w:rFonts w:ascii="Times New Roman" w:eastAsia="Times New Roman" w:hAnsi="Times New Roman"/>
          <w:b/>
          <w:color w:val="000000"/>
          <w:sz w:val="24"/>
          <w:szCs w:val="24"/>
        </w:rPr>
        <w:t>§ 4</w:t>
      </w:r>
      <w:r w:rsidRPr="009A3C86">
        <w:rPr>
          <w:rFonts w:ascii="Times New Roman" w:eastAsia="Times New Roman" w:hAnsi="Times New Roman"/>
          <w:color w:val="000000"/>
          <w:sz w:val="24"/>
          <w:szCs w:val="24"/>
        </w:rPr>
        <w:t xml:space="preserve">, który </w:t>
      </w:r>
      <w:r w:rsidRPr="009A3C86">
        <w:rPr>
          <w:rFonts w:ascii="Times New Roman" w:eastAsia="Times New Roman" w:hAnsi="Times New Roman"/>
          <w:color w:val="000000"/>
          <w:sz w:val="24"/>
          <w:szCs w:val="24"/>
        </w:rPr>
        <w:lastRenderedPageBreak/>
        <w:t>umożliwi ustalanie należności i zobowiązań w stosunku do jednostki samorządu terytorialnego poszczególnych kontrahentów, a przez to usprawni kontrolę nad rzeczywistym stanem rozliczeń między daną jednostką samorządu terytorialnego a kontrahentami tej jednostki. Tym samym usprawni to proces dochodzenia należności objętych  tajemnicą skarbową. „Ewidencja podatników i płatników nie stanowi rejestru ogólnodostępnego, jest bazą danych o charakterze wewnętrznym, stworzoną dla potrzeb organów podatkowych. Świadczy o tym ograniczona funkcja informacyjna rejestru, zgromadzone w nim informacje o podatnikach mogą bowiem być udostępniane jedynie wybranym kategoriom podmiotów,</w:t>
      </w:r>
      <w:r w:rsidRPr="009A3C86">
        <w:rPr>
          <w:rFonts w:ascii="Times New Roman" w:eastAsia="Times New Roman" w:hAnsi="Times New Roman"/>
          <w:sz w:val="24"/>
          <w:szCs w:val="24"/>
        </w:rPr>
        <w:t xml:space="preserve"> instytucji oraz organów administracyjnych, wymienionym w art. 15 ustawy o ewidencji i identyfikacji podatników i płatników. Wyłączenie jawności tego rejestru należy uzasadnić jego instytucjonalnym charakterem, który wiąże się z identyfikacją podatników jako adresatów obowiązków fiskalnych. Należy również zauważyć, że udostępnianie informacji zgromadzonych w CRP KEP (Centralnym Rejestrze Podmiotów – Krajowej Ewidencji Podatników) uprawnionym wymienionym przez ustawodawcę podmiotom nie może sprowadzać się do bliżej nieokreślonego obszaru działania, lecz musi się wiązać z faktem prowadzenia postępowania lub realizacją określonych obowiązków ustawowych. Tego typu dane mogą być np. udostępnione komornikom sądowym w związku z prowadzonym postępowaniem egzekucyjnym albo zabezpieczającym, albo wykonywaniem postanowienia o zabezpieczeniu spadku lub ze sporządzeniem spisu inwentarza. Ustawodawca nie przewiduje natomiast możliwości udzielenia informacji wierzycielowi o adresie dłużnika.”</w:t>
      </w:r>
      <w:r w:rsidRPr="009A3C86">
        <w:rPr>
          <w:rFonts w:ascii="Times New Roman" w:eastAsia="Times New Roman" w:hAnsi="Times New Roman"/>
          <w:sz w:val="24"/>
          <w:szCs w:val="24"/>
          <w:vertAlign w:val="superscript"/>
        </w:rPr>
        <w:footnoteReference w:id="184"/>
      </w:r>
      <w:r w:rsidRPr="009A3C86">
        <w:rPr>
          <w:rFonts w:ascii="Times New Roman" w:eastAsia="Times New Roman" w:hAnsi="Times New Roman"/>
          <w:sz w:val="24"/>
          <w:szCs w:val="24"/>
        </w:rPr>
        <w:t xml:space="preserve"> Wierzyciele mogą korzystać jednak z uprawnień wskazanych w </w:t>
      </w:r>
      <w:r w:rsidRPr="009A3C86">
        <w:rPr>
          <w:rFonts w:ascii="Times New Roman" w:eastAsia="Times New Roman" w:hAnsi="Times New Roman"/>
          <w:b/>
          <w:sz w:val="24"/>
          <w:szCs w:val="24"/>
        </w:rPr>
        <w:t xml:space="preserve">art. </w:t>
      </w:r>
      <w:r w:rsidR="001760A0" w:rsidRPr="009A3C86">
        <w:rPr>
          <w:rFonts w:ascii="Times New Roman" w:eastAsia="Times New Roman" w:hAnsi="Times New Roman"/>
          <w:b/>
          <w:sz w:val="24"/>
          <w:szCs w:val="24"/>
        </w:rPr>
        <w:t xml:space="preserve">114 </w:t>
      </w:r>
      <w:r w:rsidRPr="009A3C86">
        <w:rPr>
          <w:rFonts w:ascii="Times New Roman" w:eastAsia="Times New Roman" w:hAnsi="Times New Roman"/>
          <w:b/>
          <w:sz w:val="24"/>
          <w:szCs w:val="24"/>
        </w:rPr>
        <w:t>§ 3 pkt 6-8</w:t>
      </w:r>
      <w:r w:rsidRPr="009A3C86">
        <w:rPr>
          <w:rFonts w:ascii="Times New Roman" w:eastAsia="Times New Roman" w:hAnsi="Times New Roman"/>
          <w:sz w:val="24"/>
          <w:szCs w:val="24"/>
        </w:rPr>
        <w:t xml:space="preserve"> projektu.</w:t>
      </w:r>
    </w:p>
    <w:p w:rsidR="00C262A9" w:rsidRPr="009A3C86" w:rsidRDefault="00FA30AA" w:rsidP="00FA30AA">
      <w:pPr>
        <w:spacing w:before="240"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 xml:space="preserve">Dane zawarte w dokumentacji CRP KEP są objęte tajemnicą skarbową z wyłączeniem zawartym w </w:t>
      </w:r>
      <w:r w:rsidRPr="009A3C86">
        <w:rPr>
          <w:rFonts w:ascii="Times New Roman" w:eastAsia="Times New Roman" w:hAnsi="Times New Roman"/>
          <w:b/>
          <w:color w:val="000000"/>
          <w:sz w:val="24"/>
          <w:szCs w:val="24"/>
        </w:rPr>
        <w:t xml:space="preserve">§ </w:t>
      </w:r>
      <w:r w:rsidR="00CE3EC9" w:rsidRPr="009A3C86">
        <w:rPr>
          <w:rFonts w:ascii="Times New Roman" w:eastAsia="Times New Roman" w:hAnsi="Times New Roman"/>
          <w:b/>
          <w:color w:val="000000"/>
          <w:sz w:val="24"/>
          <w:szCs w:val="24"/>
        </w:rPr>
        <w:t>4</w:t>
      </w:r>
      <w:r w:rsidR="00CE3EC9"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151B85" w:rsidRPr="009A3C86">
        <w:rPr>
          <w:rFonts w:ascii="Times New Roman" w:eastAsia="Times New Roman" w:hAnsi="Times New Roman"/>
          <w:b/>
          <w:color w:val="000000"/>
          <w:sz w:val="24"/>
          <w:szCs w:val="24"/>
        </w:rPr>
        <w:t>99</w:t>
      </w:r>
      <w:r w:rsidR="00151B85"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projektu. Podkreślenia wymaga, że przepisy </w:t>
      </w:r>
      <w:r w:rsidRPr="009A3C86">
        <w:rPr>
          <w:rFonts w:ascii="Times New Roman" w:eastAsia="Times New Roman" w:hAnsi="Times New Roman"/>
          <w:b/>
          <w:color w:val="000000"/>
          <w:sz w:val="24"/>
          <w:szCs w:val="24"/>
        </w:rPr>
        <w:t xml:space="preserve">art. </w:t>
      </w:r>
      <w:r w:rsidR="00151B85" w:rsidRPr="009A3C86">
        <w:rPr>
          <w:rFonts w:ascii="Times New Roman" w:eastAsia="Times New Roman" w:hAnsi="Times New Roman"/>
          <w:b/>
          <w:color w:val="000000"/>
          <w:sz w:val="24"/>
          <w:szCs w:val="24"/>
        </w:rPr>
        <w:t xml:space="preserve">99 </w:t>
      </w:r>
      <w:r w:rsidRPr="009A3C86">
        <w:rPr>
          <w:rFonts w:ascii="Times New Roman" w:eastAsia="Times New Roman" w:hAnsi="Times New Roman"/>
          <w:b/>
          <w:color w:val="000000"/>
          <w:sz w:val="24"/>
          <w:szCs w:val="24"/>
        </w:rPr>
        <w:t>§ 2</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151B85" w:rsidRPr="009A3C86">
        <w:rPr>
          <w:rFonts w:ascii="Times New Roman" w:eastAsia="Times New Roman" w:hAnsi="Times New Roman"/>
          <w:b/>
          <w:color w:val="000000"/>
          <w:sz w:val="24"/>
          <w:szCs w:val="24"/>
        </w:rPr>
        <w:t xml:space="preserve">105 </w:t>
      </w:r>
      <w:r w:rsidRPr="009A3C86">
        <w:rPr>
          <w:rFonts w:ascii="Times New Roman" w:eastAsia="Times New Roman" w:hAnsi="Times New Roman"/>
          <w:b/>
          <w:color w:val="000000"/>
          <w:sz w:val="24"/>
          <w:szCs w:val="24"/>
        </w:rPr>
        <w:t>§ 2-3</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151B85" w:rsidRPr="009A3C86">
        <w:rPr>
          <w:rFonts w:ascii="Times New Roman" w:eastAsia="Times New Roman" w:hAnsi="Times New Roman"/>
          <w:b/>
          <w:color w:val="000000"/>
          <w:sz w:val="24"/>
          <w:szCs w:val="24"/>
        </w:rPr>
        <w:t xml:space="preserve">106 </w:t>
      </w:r>
      <w:r w:rsidRPr="009A3C86">
        <w:rPr>
          <w:rFonts w:ascii="Times New Roman" w:eastAsia="Times New Roman" w:hAnsi="Times New Roman"/>
          <w:b/>
          <w:color w:val="000000"/>
          <w:sz w:val="24"/>
          <w:szCs w:val="24"/>
        </w:rPr>
        <w:t>§ 1 pkt 1-</w:t>
      </w:r>
      <w:r w:rsidR="00B86B74" w:rsidRPr="009A3C86">
        <w:rPr>
          <w:rFonts w:ascii="Times New Roman" w:eastAsia="Times New Roman" w:hAnsi="Times New Roman"/>
          <w:b/>
          <w:color w:val="000000"/>
          <w:sz w:val="24"/>
          <w:szCs w:val="24"/>
        </w:rPr>
        <w:t>11</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151B85" w:rsidRPr="009A3C86">
        <w:rPr>
          <w:rFonts w:ascii="Times New Roman" w:eastAsia="Times New Roman" w:hAnsi="Times New Roman"/>
          <w:b/>
          <w:color w:val="000000"/>
          <w:sz w:val="24"/>
          <w:szCs w:val="24"/>
        </w:rPr>
        <w:t xml:space="preserve">108 </w:t>
      </w:r>
      <w:r w:rsidRPr="009A3C86">
        <w:rPr>
          <w:rFonts w:ascii="Times New Roman" w:eastAsia="Times New Roman" w:hAnsi="Times New Roman"/>
          <w:b/>
          <w:color w:val="000000"/>
          <w:sz w:val="24"/>
          <w:szCs w:val="24"/>
        </w:rPr>
        <w:t>§ 3</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art.</w:t>
      </w:r>
      <w:r w:rsidR="009D22B0" w:rsidRPr="009A3C86">
        <w:rPr>
          <w:rFonts w:ascii="Times New Roman" w:eastAsia="Times New Roman" w:hAnsi="Times New Roman"/>
          <w:b/>
          <w:color w:val="000000"/>
          <w:sz w:val="24"/>
          <w:szCs w:val="24"/>
        </w:rPr>
        <w:t xml:space="preserve"> </w:t>
      </w:r>
      <w:r w:rsidR="007A3463" w:rsidRPr="009A3C86">
        <w:rPr>
          <w:rFonts w:ascii="Times New Roman" w:eastAsia="Times New Roman" w:hAnsi="Times New Roman"/>
          <w:b/>
          <w:color w:val="000000"/>
          <w:sz w:val="24"/>
          <w:szCs w:val="24"/>
        </w:rPr>
        <w:t>110</w:t>
      </w:r>
      <w:r w:rsidR="007A3463"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projektu (zob. też art. </w:t>
      </w:r>
      <w:r w:rsidR="00151B85" w:rsidRPr="009A3C86">
        <w:rPr>
          <w:rFonts w:ascii="Times New Roman" w:eastAsia="Times New Roman" w:hAnsi="Times New Roman"/>
          <w:color w:val="000000"/>
          <w:sz w:val="24"/>
          <w:szCs w:val="24"/>
        </w:rPr>
        <w:t>1</w:t>
      </w:r>
      <w:r w:rsidR="003B60CD" w:rsidRPr="009A3C86">
        <w:rPr>
          <w:rFonts w:ascii="Times New Roman" w:eastAsia="Times New Roman" w:hAnsi="Times New Roman"/>
          <w:color w:val="000000"/>
          <w:sz w:val="24"/>
          <w:szCs w:val="24"/>
        </w:rPr>
        <w:t>17</w:t>
      </w:r>
      <w:r w:rsidR="00151B85"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 1 projektu) są </w:t>
      </w:r>
      <w:r w:rsidR="00563603" w:rsidRPr="009A3C86">
        <w:rPr>
          <w:rFonts w:ascii="Times New Roman" w:eastAsia="Times New Roman" w:hAnsi="Times New Roman"/>
          <w:color w:val="000000"/>
          <w:sz w:val="24"/>
          <w:szCs w:val="24"/>
        </w:rPr>
        <w:t xml:space="preserve">zasadniczo </w:t>
      </w:r>
      <w:r w:rsidRPr="009A3C86">
        <w:rPr>
          <w:rFonts w:ascii="Times New Roman" w:eastAsia="Times New Roman" w:hAnsi="Times New Roman"/>
          <w:color w:val="000000"/>
          <w:sz w:val="24"/>
          <w:szCs w:val="24"/>
        </w:rPr>
        <w:t xml:space="preserve">dostosowanymi odpowiednikami art. 293 § 2, art. 296 § 2-3, art. 297 § 1, art. 297c i art. 297d o.p. Przepis art. </w:t>
      </w:r>
      <w:r w:rsidR="003B60CD" w:rsidRPr="009A3C86">
        <w:rPr>
          <w:rFonts w:ascii="Times New Roman" w:eastAsia="Times New Roman" w:hAnsi="Times New Roman"/>
          <w:color w:val="000000"/>
          <w:sz w:val="24"/>
          <w:szCs w:val="24"/>
        </w:rPr>
        <w:t xml:space="preserve">106 </w:t>
      </w:r>
      <w:r w:rsidRPr="009A3C86">
        <w:rPr>
          <w:rFonts w:ascii="Times New Roman" w:eastAsia="Times New Roman" w:hAnsi="Times New Roman"/>
          <w:color w:val="000000"/>
          <w:sz w:val="24"/>
          <w:szCs w:val="24"/>
        </w:rPr>
        <w:t>§ 1 projektu został uzupełniony</w:t>
      </w:r>
      <w:r w:rsidRPr="009A3C86">
        <w:rPr>
          <w:rFonts w:ascii="Times New Roman" w:eastAsia="Times New Roman" w:hAnsi="Times New Roman"/>
          <w:sz w:val="24"/>
          <w:szCs w:val="24"/>
        </w:rPr>
        <w:t xml:space="preserve"> w stosunku do art. 297 § 1 o.p. m. in. o</w:t>
      </w:r>
      <w:r w:rsidR="00563603" w:rsidRPr="009A3C86">
        <w:rPr>
          <w:rFonts w:ascii="Times New Roman" w:eastAsia="Times New Roman" w:hAnsi="Times New Roman"/>
          <w:sz w:val="24"/>
          <w:szCs w:val="24"/>
        </w:rPr>
        <w:t>:</w:t>
      </w:r>
    </w:p>
    <w:p w:rsidR="0094586B" w:rsidRPr="009A3C86" w:rsidRDefault="00CE6458" w:rsidP="009A3C86">
      <w:pPr>
        <w:pStyle w:val="Akapitzlist"/>
        <w:numPr>
          <w:ilvl w:val="0"/>
          <w:numId w:val="66"/>
        </w:numPr>
        <w:spacing w:before="240"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Rzecznika Praw Podatnika w związku z koniecznością zapewnienia mu możliwości realizacji zadań ustawowych</w:t>
      </w:r>
      <w:r w:rsidR="00C262A9" w:rsidRPr="009A3C86">
        <w:t xml:space="preserve"> </w:t>
      </w:r>
      <w:r w:rsidR="00C262A9" w:rsidRPr="009A3C86">
        <w:rPr>
          <w:rFonts w:ascii="Times New Roman" w:eastAsia="Times New Roman" w:hAnsi="Times New Roman"/>
          <w:sz w:val="24"/>
          <w:szCs w:val="24"/>
        </w:rPr>
        <w:t>(pkt 6);</w:t>
      </w:r>
    </w:p>
    <w:p w:rsidR="0094586B" w:rsidRPr="009A3C86" w:rsidRDefault="00C262A9" w:rsidP="009A3C86">
      <w:pPr>
        <w:pStyle w:val="Akapitzlist"/>
        <w:numPr>
          <w:ilvl w:val="0"/>
          <w:numId w:val="66"/>
        </w:numPr>
        <w:spacing w:after="0" w:line="360" w:lineRule="auto"/>
        <w:ind w:left="777" w:hanging="357"/>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Agencję Bezpieczeństwa Wewnętrznego w zakresie niezbędnym do realizacji zadań wymienionych w art. 5 ust. 1 ustawy z dnia 24 maja 2002 r. o Agencji Bezpieczeństwa Wewnętrznego oraz Agencji Wywiadu (Dz. U. z 2018 r. poz. 2387, 2245 i 2399 oraz z 2019 r. poz. 53 i 125) innych niż określone w pkt 8 (pkt 10).</w:t>
      </w:r>
    </w:p>
    <w:p w:rsidR="00563603" w:rsidRPr="009A3C86" w:rsidRDefault="00563603" w:rsidP="009A3C86">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Jednocześnie </w:t>
      </w:r>
      <w:r w:rsidR="005E0F8E" w:rsidRPr="009A3C86">
        <w:rPr>
          <w:rFonts w:ascii="Times New Roman" w:eastAsia="Times New Roman" w:hAnsi="Times New Roman"/>
          <w:sz w:val="24"/>
          <w:szCs w:val="24"/>
        </w:rPr>
        <w:t xml:space="preserve">w art. 106 § 1 pkt 5 </w:t>
      </w:r>
      <w:r w:rsidRPr="009A3C86">
        <w:rPr>
          <w:rFonts w:ascii="Times New Roman" w:eastAsia="Times New Roman" w:hAnsi="Times New Roman"/>
          <w:sz w:val="24"/>
          <w:szCs w:val="24"/>
        </w:rPr>
        <w:t xml:space="preserve">uprawnienia Rzecznika Praw Obywatelskich w dostępie do akt </w:t>
      </w:r>
      <w:r w:rsidR="005E0F8E" w:rsidRPr="009A3C86">
        <w:rPr>
          <w:rFonts w:ascii="Times New Roman" w:eastAsia="Times New Roman" w:hAnsi="Times New Roman"/>
          <w:sz w:val="24"/>
          <w:szCs w:val="24"/>
        </w:rPr>
        <w:t xml:space="preserve">spraw </w:t>
      </w:r>
      <w:r w:rsidRPr="009A3C86">
        <w:rPr>
          <w:rFonts w:ascii="Times New Roman" w:eastAsia="Times New Roman" w:hAnsi="Times New Roman"/>
          <w:sz w:val="24"/>
          <w:szCs w:val="24"/>
        </w:rPr>
        <w:t xml:space="preserve">podatkowych </w:t>
      </w:r>
      <w:r w:rsidR="005E0F8E" w:rsidRPr="009A3C86">
        <w:rPr>
          <w:rFonts w:ascii="Times New Roman" w:eastAsia="Times New Roman" w:hAnsi="Times New Roman"/>
          <w:sz w:val="24"/>
          <w:szCs w:val="24"/>
        </w:rPr>
        <w:t xml:space="preserve">zawierających informacje pochodzące z banków i innych instytucji finansowych </w:t>
      </w:r>
      <w:r w:rsidRPr="009A3C86">
        <w:rPr>
          <w:rFonts w:ascii="Times New Roman" w:eastAsia="Times New Roman" w:hAnsi="Times New Roman"/>
          <w:sz w:val="24"/>
          <w:szCs w:val="24"/>
        </w:rPr>
        <w:t xml:space="preserve">zostały zrównane z uprawnieniami </w:t>
      </w:r>
      <w:r w:rsidR="00AA4E04" w:rsidRPr="009A3C86">
        <w:rPr>
          <w:rFonts w:ascii="Times New Roman" w:eastAsia="Times New Roman" w:hAnsi="Times New Roman"/>
          <w:sz w:val="24"/>
          <w:szCs w:val="24"/>
        </w:rPr>
        <w:t>Rzecznika Praw Podatnika.</w:t>
      </w:r>
    </w:p>
    <w:p w:rsidR="00563603" w:rsidRPr="009A3C86" w:rsidRDefault="00563603" w:rsidP="009A3C86">
      <w:pPr>
        <w:spacing w:after="0" w:line="360" w:lineRule="auto"/>
        <w:ind w:left="420"/>
        <w:jc w:val="both"/>
        <w:rPr>
          <w:rFonts w:ascii="Times New Roman" w:eastAsia="Times New Roman" w:hAnsi="Times New Roman"/>
          <w:sz w:val="24"/>
          <w:szCs w:val="24"/>
        </w:rPr>
      </w:pPr>
    </w:p>
    <w:p w:rsidR="0094586B" w:rsidRPr="009A3C86" w:rsidRDefault="001E1AC2" w:rsidP="009A3C86">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 kolei </w:t>
      </w:r>
      <w:r w:rsidR="00CE6458" w:rsidRPr="009A3C86">
        <w:rPr>
          <w:rFonts w:ascii="Times New Roman" w:eastAsia="Times New Roman" w:hAnsi="Times New Roman"/>
          <w:b/>
          <w:sz w:val="24"/>
          <w:szCs w:val="24"/>
        </w:rPr>
        <w:t>art. 109</w:t>
      </w:r>
      <w:r w:rsidRPr="009A3C86">
        <w:rPr>
          <w:rFonts w:ascii="Times New Roman" w:eastAsia="Times New Roman" w:hAnsi="Times New Roman"/>
          <w:b/>
          <w:sz w:val="24"/>
          <w:szCs w:val="24"/>
        </w:rPr>
        <w:t xml:space="preserve"> </w:t>
      </w:r>
      <w:r w:rsidR="00CE6458" w:rsidRPr="009A3C86">
        <w:rPr>
          <w:rFonts w:ascii="Times New Roman" w:eastAsia="Times New Roman" w:hAnsi="Times New Roman"/>
          <w:sz w:val="24"/>
          <w:szCs w:val="24"/>
        </w:rPr>
        <w:t>projektu</w:t>
      </w:r>
      <w:r w:rsidRPr="009A3C86">
        <w:rPr>
          <w:rFonts w:ascii="Times New Roman" w:eastAsia="Times New Roman" w:hAnsi="Times New Roman"/>
          <w:sz w:val="24"/>
          <w:szCs w:val="24"/>
        </w:rPr>
        <w:t xml:space="preserve"> pozwoli na udostępnianie przez Szefa Krajowej Administracji Skarbowej za pośrednictwem systemu teleinformatycznego Centralnemu Biuru Antykorupcyjnemu i Agencji Bezpieczeństwa Wewnętrznego danych niezawartych w aktach spraw podatkowych innych niż określone w art. 108 § 3, jeżeli znajdują się w Centralnym Rejestrze Danych Podatkowych. </w:t>
      </w:r>
      <w:r w:rsidR="00456A77" w:rsidRPr="009A3C86">
        <w:rPr>
          <w:rFonts w:ascii="Times New Roman" w:eastAsia="Times New Roman" w:hAnsi="Times New Roman"/>
          <w:sz w:val="24"/>
          <w:szCs w:val="24"/>
        </w:rPr>
        <w:t xml:space="preserve">Udostępnienie tych danych będzie mogło nastąpić </w:t>
      </w:r>
      <w:r w:rsidRPr="009A3C86">
        <w:rPr>
          <w:rFonts w:ascii="Times New Roman" w:eastAsia="Times New Roman" w:hAnsi="Times New Roman"/>
          <w:sz w:val="24"/>
          <w:szCs w:val="24"/>
        </w:rPr>
        <w:t>w zakresie niezbędnym do realizacji zadań określonych odpowiednio w art. 2 ust. 1 ustawy z dnia 9 czerwca 2006 r. o Centralnym Biurze Antykorupcyjnym i art. 5 ust. 1 ustawy z dnia 24 maja 2002 r. o Agencji Bezpieczeństwa We</w:t>
      </w:r>
      <w:r w:rsidR="00456A77" w:rsidRPr="009A3C86">
        <w:rPr>
          <w:rFonts w:ascii="Times New Roman" w:eastAsia="Times New Roman" w:hAnsi="Times New Roman"/>
          <w:sz w:val="24"/>
          <w:szCs w:val="24"/>
        </w:rPr>
        <w:t>wnętrznego oraz Agencji Wywiadu.</w:t>
      </w:r>
      <w:r w:rsidRPr="009A3C86">
        <w:rPr>
          <w:rFonts w:ascii="Times New Roman" w:eastAsia="Times New Roman" w:hAnsi="Times New Roman"/>
          <w:sz w:val="24"/>
          <w:szCs w:val="24"/>
        </w:rPr>
        <w:t xml:space="preserve"> </w:t>
      </w:r>
    </w:p>
    <w:p w:rsidR="0094586B" w:rsidRPr="009A3C86" w:rsidRDefault="00CE6458" w:rsidP="009A3C86">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Projektowane brzmienie </w:t>
      </w:r>
      <w:r w:rsidRPr="009A3C86">
        <w:rPr>
          <w:rFonts w:ascii="Times New Roman" w:eastAsia="Times New Roman" w:hAnsi="Times New Roman"/>
          <w:b/>
          <w:sz w:val="24"/>
          <w:szCs w:val="24"/>
        </w:rPr>
        <w:t xml:space="preserve">art. 102 § </w:t>
      </w:r>
      <w:r w:rsidR="00167B3A" w:rsidRPr="009A3C86">
        <w:rPr>
          <w:rFonts w:ascii="Times New Roman" w:eastAsia="Times New Roman" w:hAnsi="Times New Roman"/>
          <w:b/>
          <w:sz w:val="24"/>
          <w:szCs w:val="24"/>
        </w:rPr>
        <w:t>2</w:t>
      </w:r>
      <w:r w:rsidRPr="009A3C86">
        <w:rPr>
          <w:rFonts w:ascii="Times New Roman" w:eastAsia="Times New Roman" w:hAnsi="Times New Roman"/>
          <w:sz w:val="24"/>
          <w:szCs w:val="24"/>
        </w:rPr>
        <w:t xml:space="preserve"> umożliwi dostęp do akt sprawy podatkowej pracownikom i ich przełożonym wykonującym kontrolę następczą, o której mowa w art. 6</w:t>
      </w:r>
      <w:r w:rsidR="00167B3A" w:rsidRPr="009A3C86">
        <w:rPr>
          <w:rFonts w:ascii="Times New Roman" w:eastAsia="Times New Roman" w:hAnsi="Times New Roman"/>
          <w:sz w:val="24"/>
          <w:szCs w:val="24"/>
        </w:rPr>
        <w:t>83</w:t>
      </w:r>
      <w:r w:rsidRPr="009A3C86">
        <w:rPr>
          <w:rFonts w:ascii="Times New Roman" w:eastAsia="Times New Roman" w:hAnsi="Times New Roman"/>
          <w:sz w:val="24"/>
          <w:szCs w:val="24"/>
        </w:rPr>
        <w:t xml:space="preserve"> § 4 projektu.</w:t>
      </w:r>
    </w:p>
    <w:p w:rsidR="00FA30AA" w:rsidRPr="009A3C86" w:rsidRDefault="00FA30AA" w:rsidP="00FA30AA">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sz w:val="24"/>
          <w:szCs w:val="24"/>
        </w:rPr>
        <w:t xml:space="preserve">9. Nowym proponowanym rozwiązaniem realizującym zasadę budzenia zaufania zobowiązanych do organów podatkowych (art. 19 projektu), a także zasadę udzielania zobowiązanym wsparcia w dobrowolnym wykonywaniu ich praw i obowiązków (art. 16 projektu) jest regulacja zawarta w </w:t>
      </w:r>
      <w:r w:rsidRPr="009A3C86">
        <w:rPr>
          <w:rFonts w:ascii="Times New Roman" w:eastAsia="Times New Roman" w:hAnsi="Times New Roman"/>
          <w:b/>
          <w:sz w:val="24"/>
          <w:szCs w:val="24"/>
        </w:rPr>
        <w:t xml:space="preserve">art. </w:t>
      </w:r>
      <w:r w:rsidR="00FB2AEF" w:rsidRPr="009A3C86">
        <w:rPr>
          <w:rFonts w:ascii="Times New Roman" w:eastAsia="Times New Roman" w:hAnsi="Times New Roman"/>
          <w:b/>
          <w:sz w:val="24"/>
          <w:szCs w:val="24"/>
        </w:rPr>
        <w:t xml:space="preserve">100 </w:t>
      </w:r>
      <w:r w:rsidRPr="009A3C86">
        <w:rPr>
          <w:rFonts w:ascii="Times New Roman" w:eastAsia="Times New Roman" w:hAnsi="Times New Roman"/>
          <w:b/>
          <w:sz w:val="24"/>
          <w:szCs w:val="24"/>
        </w:rPr>
        <w:t>§ 8</w:t>
      </w:r>
      <w:r w:rsidRPr="009A3C86">
        <w:rPr>
          <w:rFonts w:ascii="Times New Roman" w:eastAsia="Times New Roman" w:hAnsi="Times New Roman"/>
          <w:sz w:val="24"/>
          <w:szCs w:val="24"/>
        </w:rPr>
        <w:t xml:space="preserve">, zobowiązująca organy podatkowe do przekazywania innym podmiotom wskazanym, we wniosku zobowiązanego lub zainteresowanego, danych, o których mowa w </w:t>
      </w:r>
      <w:r w:rsidRPr="009A3C86">
        <w:rPr>
          <w:rFonts w:ascii="Times New Roman" w:eastAsia="Times New Roman" w:hAnsi="Times New Roman"/>
          <w:b/>
          <w:sz w:val="24"/>
          <w:szCs w:val="24"/>
        </w:rPr>
        <w:t>art. </w:t>
      </w:r>
      <w:r w:rsidR="00FB2AEF" w:rsidRPr="009A3C86">
        <w:rPr>
          <w:rFonts w:ascii="Times New Roman" w:eastAsia="Times New Roman" w:hAnsi="Times New Roman"/>
          <w:b/>
          <w:sz w:val="24"/>
          <w:szCs w:val="24"/>
        </w:rPr>
        <w:t>99</w:t>
      </w:r>
      <w:r w:rsidR="00FB2AEF"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projektu w zakresie określonym w tym wniosku. Regulacja ta może być wykorzystana w przypadku ubiegania się o wydanie zaświadczeń. W założeniu zmniejszy ona zobowiązanym uciążliwości i przyczyni się do odbiurokratyzowania </w:t>
      </w:r>
      <w:r w:rsidRPr="009A3C86">
        <w:rPr>
          <w:rFonts w:ascii="Times New Roman" w:eastAsia="Times New Roman" w:hAnsi="Times New Roman"/>
          <w:color w:val="000000"/>
          <w:sz w:val="24"/>
          <w:szCs w:val="24"/>
        </w:rPr>
        <w:t xml:space="preserve">administracji publicznej.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 xml:space="preserve">10. Przepisy </w:t>
      </w:r>
      <w:r w:rsidRPr="009A3C86">
        <w:rPr>
          <w:rFonts w:ascii="Times New Roman" w:eastAsia="Times New Roman" w:hAnsi="Times New Roman"/>
          <w:b/>
          <w:color w:val="000000"/>
          <w:sz w:val="24"/>
          <w:szCs w:val="24"/>
        </w:rPr>
        <w:t xml:space="preserve">art. </w:t>
      </w:r>
      <w:r w:rsidR="00FB2AEF" w:rsidRPr="009A3C86">
        <w:rPr>
          <w:rFonts w:ascii="Times New Roman" w:eastAsia="Times New Roman" w:hAnsi="Times New Roman"/>
          <w:b/>
          <w:color w:val="000000"/>
          <w:sz w:val="24"/>
          <w:szCs w:val="24"/>
        </w:rPr>
        <w:t xml:space="preserve">102 </w:t>
      </w:r>
      <w:r w:rsidRPr="009A3C86">
        <w:rPr>
          <w:rFonts w:ascii="Times New Roman" w:eastAsia="Times New Roman" w:hAnsi="Times New Roman"/>
          <w:b/>
          <w:color w:val="000000"/>
          <w:sz w:val="24"/>
          <w:szCs w:val="24"/>
        </w:rPr>
        <w:t xml:space="preserve">§ </w:t>
      </w:r>
      <w:r w:rsidR="00EE1022" w:rsidRPr="009A3C86">
        <w:rPr>
          <w:rFonts w:ascii="Times New Roman" w:eastAsia="Times New Roman" w:hAnsi="Times New Roman"/>
          <w:b/>
          <w:color w:val="000000"/>
          <w:sz w:val="24"/>
          <w:szCs w:val="24"/>
        </w:rPr>
        <w:t xml:space="preserve">2 </w:t>
      </w:r>
      <w:r w:rsidRPr="009A3C86">
        <w:rPr>
          <w:rFonts w:ascii="Times New Roman" w:eastAsia="Times New Roman" w:hAnsi="Times New Roman"/>
          <w:color w:val="000000"/>
          <w:sz w:val="24"/>
          <w:szCs w:val="24"/>
        </w:rPr>
        <w:t>i</w:t>
      </w:r>
      <w:r w:rsidRPr="009A3C86">
        <w:rPr>
          <w:rFonts w:ascii="Times New Roman" w:eastAsia="Times New Roman" w:hAnsi="Times New Roman"/>
          <w:b/>
          <w:color w:val="000000"/>
          <w:sz w:val="24"/>
          <w:szCs w:val="24"/>
        </w:rPr>
        <w:t xml:space="preserve"> </w:t>
      </w:r>
      <w:r w:rsidR="00036576" w:rsidRPr="009A3C86">
        <w:rPr>
          <w:rFonts w:ascii="Times New Roman" w:eastAsia="Times New Roman" w:hAnsi="Times New Roman"/>
          <w:b/>
          <w:color w:val="000000"/>
          <w:sz w:val="24"/>
          <w:szCs w:val="24"/>
        </w:rPr>
        <w:t>4</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FB2AEF" w:rsidRPr="009A3C86">
        <w:rPr>
          <w:rFonts w:ascii="Times New Roman" w:eastAsia="Times New Roman" w:hAnsi="Times New Roman"/>
          <w:b/>
          <w:color w:val="000000"/>
          <w:sz w:val="24"/>
          <w:szCs w:val="24"/>
        </w:rPr>
        <w:t xml:space="preserve">104 </w:t>
      </w:r>
      <w:r w:rsidRPr="009A3C86">
        <w:rPr>
          <w:rFonts w:ascii="Times New Roman" w:eastAsia="Times New Roman" w:hAnsi="Times New Roman"/>
          <w:b/>
          <w:color w:val="000000"/>
          <w:sz w:val="24"/>
          <w:szCs w:val="24"/>
        </w:rPr>
        <w:t>§ 1</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FB2AEF" w:rsidRPr="009A3C86">
        <w:rPr>
          <w:rFonts w:ascii="Times New Roman" w:eastAsia="Times New Roman" w:hAnsi="Times New Roman"/>
          <w:b/>
          <w:color w:val="000000"/>
          <w:sz w:val="24"/>
          <w:szCs w:val="24"/>
        </w:rPr>
        <w:t xml:space="preserve">105 </w:t>
      </w:r>
      <w:r w:rsidRPr="009A3C86">
        <w:rPr>
          <w:rFonts w:ascii="Times New Roman" w:eastAsia="Times New Roman" w:hAnsi="Times New Roman"/>
          <w:b/>
          <w:color w:val="000000"/>
          <w:sz w:val="24"/>
          <w:szCs w:val="24"/>
        </w:rPr>
        <w:t>§ 1</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FB2AEF" w:rsidRPr="009A3C86">
        <w:rPr>
          <w:rFonts w:ascii="Times New Roman" w:eastAsia="Times New Roman" w:hAnsi="Times New Roman"/>
          <w:b/>
          <w:color w:val="000000"/>
          <w:sz w:val="24"/>
          <w:szCs w:val="24"/>
        </w:rPr>
        <w:t xml:space="preserve">106 </w:t>
      </w:r>
      <w:r w:rsidRPr="009A3C86">
        <w:rPr>
          <w:rFonts w:ascii="Times New Roman" w:eastAsia="Times New Roman" w:hAnsi="Times New Roman"/>
          <w:b/>
          <w:color w:val="000000"/>
          <w:sz w:val="24"/>
          <w:szCs w:val="24"/>
        </w:rPr>
        <w:t>§ 6</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FB2AEF" w:rsidRPr="009A3C86">
        <w:rPr>
          <w:rFonts w:ascii="Times New Roman" w:eastAsia="Times New Roman" w:hAnsi="Times New Roman"/>
          <w:b/>
          <w:color w:val="000000"/>
          <w:sz w:val="24"/>
          <w:szCs w:val="24"/>
        </w:rPr>
        <w:t xml:space="preserve">108 </w:t>
      </w:r>
      <w:r w:rsidRPr="009A3C86">
        <w:rPr>
          <w:rFonts w:ascii="Times New Roman" w:eastAsia="Times New Roman" w:hAnsi="Times New Roman"/>
          <w:b/>
          <w:color w:val="000000"/>
          <w:sz w:val="24"/>
          <w:szCs w:val="24"/>
        </w:rPr>
        <w:t>§ 1</w:t>
      </w:r>
      <w:r w:rsidRPr="009A3C86">
        <w:rPr>
          <w:rFonts w:ascii="Times New Roman" w:eastAsia="Times New Roman" w:hAnsi="Times New Roman"/>
          <w:color w:val="000000"/>
          <w:sz w:val="24"/>
          <w:szCs w:val="24"/>
        </w:rPr>
        <w:t xml:space="preserve"> i </w:t>
      </w:r>
      <w:r w:rsidRPr="009A3C86">
        <w:rPr>
          <w:rFonts w:ascii="Times New Roman" w:eastAsia="Times New Roman" w:hAnsi="Times New Roman"/>
          <w:b/>
          <w:color w:val="000000"/>
          <w:sz w:val="24"/>
          <w:szCs w:val="24"/>
        </w:rPr>
        <w:t>2</w:t>
      </w:r>
      <w:r w:rsidRPr="009A3C86">
        <w:rPr>
          <w:rFonts w:ascii="Times New Roman" w:eastAsia="Times New Roman" w:hAnsi="Times New Roman"/>
          <w:color w:val="000000"/>
          <w:sz w:val="24"/>
          <w:szCs w:val="24"/>
        </w:rPr>
        <w:t xml:space="preserve">  w zakresie ograniczonego dostępu do akt sprawy podatkowej i informacji stanowiących tajemnicę przedsiębiorstwa oraz sposobu ich przechowywania (z wyjątkiem dotyczącym akt</w:t>
      </w:r>
      <w:r w:rsidRPr="009A3C86">
        <w:rPr>
          <w:rFonts w:ascii="Times New Roman" w:eastAsia="Times New Roman" w:hAnsi="Times New Roman"/>
          <w:sz w:val="24"/>
          <w:szCs w:val="24"/>
        </w:rPr>
        <w:t xml:space="preserve"> zawierających tajemnicę przedsiębiorstwa) wprowadzają nową instytucję. Istotnym mankamentem obecnie obowiązujących przepisów o tajemnicy skarbowej jest brak ochrony informacji i danych pozyskiwanych w toku szeroko rozumianych postępowań podatkowych od przedsiębiorców, a stanowiących tajemnicę przedsiębiorstwa. Czyni to regulację zawartą w </w:t>
      </w:r>
      <w:r w:rsidRPr="009A3C86">
        <w:rPr>
          <w:rFonts w:ascii="Times New Roman" w:eastAsia="Times New Roman" w:hAnsi="Times New Roman"/>
          <w:sz w:val="24"/>
          <w:szCs w:val="24"/>
        </w:rPr>
        <w:lastRenderedPageBreak/>
        <w:t>obowiązującej ordynacji podatkowej sprzeczną z art. 5 ust. 2 ustawy o dostępie do informacji publicznej. Przepis ten stanowi, że „prawo do informacji publicznej podlega ograniczeniu ze względu na prywatność osoby fizycznej lub tajemnicę przedsiębiorcy. Ograniczenie to nie dotyczy informacji o osobach pełniących funkcje publiczne, mających związek z pełnieniem tych funkcji, w tym o warunkach powierzenia i wykonywania funkcji oraz przypadku, gdy osoba fizyczna lub przedsiębiorca rezygnują z przysługującego im prawa. Zauważyć też należy, że ochrona danych zawierających tajemnicę przedsiębiorstwa została też uregulowana w art. 65 ustawy o ochronie danych osobowych.</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Zgodnie z art. 11 ust. 2 ustawy z dnia 16 kwietnia 1993 r. o zwalczaniu nieuczciwej konkurencji</w:t>
      </w:r>
      <w:r w:rsidRPr="009A3C86">
        <w:rPr>
          <w:rFonts w:ascii="Times New Roman" w:eastAsia="Times New Roman" w:hAnsi="Times New Roman"/>
          <w:color w:val="000000"/>
          <w:sz w:val="24"/>
          <w:szCs w:val="24"/>
          <w:vertAlign w:val="superscript"/>
        </w:rPr>
        <w:footnoteReference w:id="185"/>
      </w:r>
      <w:r w:rsidRPr="009A3C86">
        <w:rPr>
          <w:rFonts w:ascii="Times New Roman" w:eastAsia="Times New Roman" w:hAnsi="Times New Roman"/>
          <w:color w:val="000000"/>
          <w:sz w:val="24"/>
          <w:szCs w:val="24"/>
        </w:rPr>
        <w:t xml:space="preserve">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co do których przedsiębiorca podjął niezbędne działania w celu zachowania ich w poufności” i chociaż przepis ten i powyższa definicja, a także uregulowania zawarte w powyższej ustawie nie wyczerpują możliwości ochrony tej tajemnicy, to są przepisami wiodącymi w tym zakresie (przepisy horyzontalne). Do wyżej przedstawionej</w:t>
      </w:r>
      <w:r w:rsidRPr="009A3C86">
        <w:rPr>
          <w:rFonts w:ascii="Times New Roman" w:eastAsia="Times New Roman" w:hAnsi="Times New Roman"/>
          <w:sz w:val="24"/>
          <w:szCs w:val="24"/>
        </w:rPr>
        <w:t xml:space="preserve"> definicji tajemnicy przedsiębiorstwa nawiązuje wprawdzie art. </w:t>
      </w:r>
      <w:r w:rsidR="00FB2AEF" w:rsidRPr="009A3C86">
        <w:rPr>
          <w:rFonts w:ascii="Times New Roman" w:eastAsia="Times New Roman" w:hAnsi="Times New Roman"/>
          <w:sz w:val="24"/>
          <w:szCs w:val="24"/>
        </w:rPr>
        <w:t xml:space="preserve">104 </w:t>
      </w:r>
      <w:r w:rsidRPr="009A3C86">
        <w:rPr>
          <w:rFonts w:ascii="Times New Roman" w:eastAsia="Times New Roman" w:hAnsi="Times New Roman"/>
          <w:sz w:val="24"/>
          <w:szCs w:val="24"/>
        </w:rPr>
        <w:t>§ 1 projektu to jednak trzeba mieć też na uwadze Dyrektywę Parlamentu Europejskiego i Rady (UE) 2016/943 z dnia 8 czerwca 2016 r. w sprawie ochrony niejawnego know-how i niejawnych informacji handlowych (tajemnic przedsiębiorstwa) przed ich bezprawnym pozyskiwaniem, wykorzystywaniem i ujawnianiem</w:t>
      </w:r>
      <w:r w:rsidRPr="009A3C86">
        <w:rPr>
          <w:rFonts w:ascii="Times New Roman" w:eastAsia="Times New Roman" w:hAnsi="Times New Roman"/>
          <w:sz w:val="24"/>
          <w:szCs w:val="24"/>
          <w:vertAlign w:val="superscript"/>
        </w:rPr>
        <w:footnoteReference w:id="186"/>
      </w:r>
      <w:r w:rsidRPr="009A3C86">
        <w:rPr>
          <w:rFonts w:ascii="Times New Roman" w:eastAsia="Times New Roman" w:hAnsi="Times New Roman"/>
          <w:sz w:val="24"/>
          <w:szCs w:val="24"/>
        </w:rPr>
        <w:t xml:space="preserve">, która w preambule (1) i art. 2 pkt 1 definiuje tajemnicę przedsiębiorstwa jako „informacje, które spełniają wszystkie następujące wymogi: </w:t>
      </w:r>
    </w:p>
    <w:p w:rsidR="00FA30AA" w:rsidRPr="009A3C86" w:rsidRDefault="00FA30AA" w:rsidP="00FA30AA">
      <w:pPr>
        <w:spacing w:after="0" w:line="360" w:lineRule="auto"/>
        <w:ind w:left="284" w:hanging="284"/>
        <w:jc w:val="both"/>
        <w:rPr>
          <w:rFonts w:ascii="Times New Roman" w:eastAsia="Times New Roman" w:hAnsi="Times New Roman"/>
          <w:sz w:val="24"/>
          <w:szCs w:val="24"/>
        </w:rPr>
      </w:pPr>
      <w:r w:rsidRPr="009A3C86">
        <w:rPr>
          <w:rFonts w:ascii="Times New Roman" w:eastAsia="Times New Roman" w:hAnsi="Times New Roman"/>
          <w:sz w:val="24"/>
          <w:szCs w:val="24"/>
        </w:rPr>
        <w:t>a)</w:t>
      </w:r>
      <w:r w:rsidRPr="009A3C86">
        <w:rPr>
          <w:rFonts w:ascii="Times New Roman" w:eastAsia="Times New Roman" w:hAnsi="Times New Roman"/>
          <w:sz w:val="24"/>
          <w:szCs w:val="24"/>
        </w:rPr>
        <w:tab/>
        <w:t>są poufne w tym sensie, że jako całość lub w szczególnym zestawie i zbiorze ich elementów nie są ogólnie znane lub ławo dostępne dla osób z kręgów, które zwykle zajmują się tym rodzajem informacji;</w:t>
      </w:r>
    </w:p>
    <w:p w:rsidR="00FA30AA" w:rsidRPr="009A3C86" w:rsidRDefault="00FA30AA" w:rsidP="00FA30AA">
      <w:pPr>
        <w:spacing w:after="0" w:line="360" w:lineRule="auto"/>
        <w:ind w:left="284" w:hanging="284"/>
        <w:jc w:val="both"/>
        <w:rPr>
          <w:rFonts w:ascii="Times New Roman" w:eastAsia="Times New Roman" w:hAnsi="Times New Roman"/>
          <w:sz w:val="24"/>
          <w:szCs w:val="24"/>
        </w:rPr>
      </w:pPr>
      <w:r w:rsidRPr="009A3C86">
        <w:rPr>
          <w:rFonts w:ascii="Times New Roman" w:eastAsia="Times New Roman" w:hAnsi="Times New Roman"/>
          <w:sz w:val="24"/>
          <w:szCs w:val="24"/>
        </w:rPr>
        <w:t>b)</w:t>
      </w:r>
      <w:r w:rsidRPr="009A3C86">
        <w:rPr>
          <w:rFonts w:ascii="Times New Roman" w:eastAsia="Times New Roman" w:hAnsi="Times New Roman"/>
          <w:sz w:val="24"/>
          <w:szCs w:val="24"/>
        </w:rPr>
        <w:tab/>
        <w:t>mają wartość handlową dlatego, że są objęte tajemnicą;</w:t>
      </w:r>
    </w:p>
    <w:p w:rsidR="00FA30AA" w:rsidRPr="009A3C86" w:rsidRDefault="00FA30AA" w:rsidP="00FA30AA">
      <w:pPr>
        <w:spacing w:after="0" w:line="360" w:lineRule="auto"/>
        <w:ind w:left="284" w:hanging="284"/>
        <w:jc w:val="both"/>
        <w:rPr>
          <w:rFonts w:ascii="Times New Roman" w:eastAsia="Times New Roman" w:hAnsi="Times New Roman"/>
          <w:sz w:val="24"/>
          <w:szCs w:val="24"/>
        </w:rPr>
      </w:pPr>
      <w:r w:rsidRPr="009A3C86">
        <w:rPr>
          <w:rFonts w:ascii="Times New Roman" w:eastAsia="Times New Roman" w:hAnsi="Times New Roman"/>
          <w:sz w:val="24"/>
          <w:szCs w:val="24"/>
        </w:rPr>
        <w:t>c)</w:t>
      </w:r>
      <w:r w:rsidRPr="009A3C86">
        <w:rPr>
          <w:rFonts w:ascii="Times New Roman" w:eastAsia="Times New Roman" w:hAnsi="Times New Roman"/>
          <w:sz w:val="24"/>
          <w:szCs w:val="24"/>
        </w:rPr>
        <w:tab/>
        <w:t>poddane zostały przez osobę, która zgodnie z prawem sprawuje nad nimi kontrolę, rozsądnym, w danych okolicznościach, działaniom dla utrzymania ich w tajemnicy”.</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W szczególności Dyrektywa ta jako tajemnicę przedsiębiorstwa chroni niejawne know-how i niejawne informacje handlowe. Zwrócić też uwagę trzeba na to, że problem ochrony tajemnic przedsiębiorstwa dostrzegany był na arenie międzynarodowej już wcześniej na gruncie Porozumienia w sprawie handlowych aspektów praw własności intelektualnej obowiązującego od dnia 1 stycznia 1995 r.</w:t>
      </w:r>
      <w:r w:rsidRPr="009A3C86">
        <w:rPr>
          <w:rFonts w:ascii="Times New Roman" w:eastAsia="Times New Roman" w:hAnsi="Times New Roman"/>
          <w:sz w:val="24"/>
          <w:szCs w:val="24"/>
          <w:vertAlign w:val="superscript"/>
        </w:rPr>
        <w:footnoteReference w:id="187"/>
      </w:r>
      <w:r w:rsidRPr="009A3C86">
        <w:rPr>
          <w:rFonts w:ascii="Times New Roman" w:eastAsia="Times New Roman" w:hAnsi="Times New Roman"/>
          <w:sz w:val="24"/>
          <w:szCs w:val="24"/>
        </w:rPr>
        <w:t xml:space="preserve"> w zakresie ochrony dostępności, zakresu i korzystania z praw własności intelektualnej, dochodzenia i egzekwowania praw z nich wynikających to jednak nie wprowadzono do niego definicji tajemnicy przedsiębiorstwa. Jednakże w art. 39 Porozumienie TRIPS „po raz pierwszy do klasycznego katalogu praw na dobrach niematerialnych dodano informacje nieujawnione”</w:t>
      </w:r>
      <w:r w:rsidRPr="009A3C86">
        <w:rPr>
          <w:rFonts w:ascii="Times New Roman" w:eastAsia="Times New Roman" w:hAnsi="Times New Roman"/>
          <w:sz w:val="24"/>
          <w:szCs w:val="24"/>
          <w:vertAlign w:val="superscript"/>
        </w:rPr>
        <w:footnoteReference w:id="188"/>
      </w:r>
      <w:r w:rsidRPr="009A3C86">
        <w:rPr>
          <w:rFonts w:ascii="Times New Roman" w:eastAsia="Times New Roman" w:hAnsi="Times New Roman"/>
          <w:sz w:val="24"/>
          <w:szCs w:val="24"/>
        </w:rPr>
        <w:t>. Tajemnica przedsiębiorstwa jest chroniona, między innymi w procedurach uregulowanych w ustawie z dnia z dnia 29 stycznia 2004 r. – Prawo zamówień publicznych</w:t>
      </w:r>
      <w:r w:rsidRPr="009A3C86">
        <w:rPr>
          <w:rFonts w:ascii="Times New Roman" w:eastAsia="Times New Roman" w:hAnsi="Times New Roman"/>
          <w:sz w:val="24"/>
          <w:szCs w:val="24"/>
          <w:vertAlign w:val="superscript"/>
        </w:rPr>
        <w:footnoteReference w:id="189"/>
      </w:r>
      <w:r w:rsidRPr="009A3C86">
        <w:rPr>
          <w:rFonts w:ascii="Times New Roman" w:eastAsia="Times New Roman" w:hAnsi="Times New Roman"/>
          <w:sz w:val="24"/>
          <w:szCs w:val="24"/>
        </w:rPr>
        <w:t xml:space="preserve">, poprzez uregulowanie tej ochrony w art. 8 ust. 3. W związku z tym zebrane albo udostępniane przez przedsiębiorcę w toku postępowań podatkowych informacje stanowiące tajemnicę przedsiębiorstwa powinny być chronione w szczególny sposób poprzez ograniczenie dostępu do nich tylko wskazanym ściśle podmiotom i przez szczególny sposób ich przechowywania, tak jak informacje pochodzące z banków lub instytucji finansowych oraz uzyskanych na podstawie ustawy o wymianie informacji podatkowych z innymi państwami albo uzyskanych w sprawie zawarcia porozumień. Warunkiem jednak udzielenia tej ochrony na gruncie art. </w:t>
      </w:r>
      <w:r w:rsidR="00FB2AEF" w:rsidRPr="009A3C86">
        <w:rPr>
          <w:rFonts w:ascii="Times New Roman" w:eastAsia="Times New Roman" w:hAnsi="Times New Roman"/>
          <w:sz w:val="24"/>
          <w:szCs w:val="24"/>
        </w:rPr>
        <w:t xml:space="preserve">104 </w:t>
      </w:r>
      <w:r w:rsidRPr="009A3C86">
        <w:rPr>
          <w:rFonts w:ascii="Times New Roman" w:eastAsia="Times New Roman" w:hAnsi="Times New Roman"/>
          <w:sz w:val="24"/>
          <w:szCs w:val="24"/>
        </w:rPr>
        <w:t>projektu będzie nie tylko wyrażenie przez przedsiębiorcę takiego żądania, ale i udowodnienie, że przekazane przez niego informacje stanowią tajemnicę przedsiębiorstwa</w:t>
      </w:r>
      <w:r w:rsidR="00572F0F" w:rsidRPr="009A3C86">
        <w:rPr>
          <w:rFonts w:ascii="Times New Roman" w:eastAsia="Times New Roman" w:hAnsi="Times New Roman"/>
          <w:sz w:val="24"/>
          <w:szCs w:val="24"/>
        </w:rPr>
        <w:t>.</w:t>
      </w:r>
      <w:r w:rsidR="003B507C" w:rsidRPr="009A3C86">
        <w:rPr>
          <w:rFonts w:ascii="Times New Roman" w:eastAsia="Times New Roman" w:hAnsi="Times New Roman"/>
          <w:sz w:val="24"/>
          <w:szCs w:val="24"/>
        </w:rPr>
        <w:t xml:space="preserve"> </w:t>
      </w:r>
      <w:r w:rsidR="00572F0F" w:rsidRPr="009A3C86">
        <w:rPr>
          <w:rFonts w:ascii="Times New Roman" w:eastAsia="Times New Roman" w:hAnsi="Times New Roman"/>
          <w:sz w:val="24"/>
          <w:szCs w:val="24"/>
        </w:rPr>
        <w:t>Oznacza to konieczność wykazania przez przedsiębiorcę, że przekazane przez niego informacje spełniają przesłanki określone w definicji tajemnicy przedsiębiorstwa zawartej w art. 11 ust. 2 ustawy o zwal</w:t>
      </w:r>
      <w:r w:rsidR="003B507C" w:rsidRPr="009A3C86">
        <w:rPr>
          <w:rFonts w:ascii="Times New Roman" w:eastAsia="Times New Roman" w:hAnsi="Times New Roman"/>
          <w:sz w:val="24"/>
          <w:szCs w:val="24"/>
        </w:rPr>
        <w:t>czaniu nieuczciwej konkurencji.</w:t>
      </w:r>
      <w:r w:rsidR="00572F0F" w:rsidRPr="009A3C86">
        <w:rPr>
          <w:rFonts w:ascii="Times New Roman" w:eastAsia="Times New Roman" w:hAnsi="Times New Roman"/>
          <w:sz w:val="24"/>
          <w:szCs w:val="24"/>
        </w:rPr>
        <w:t xml:space="preserve"> </w:t>
      </w:r>
      <w:r w:rsidR="00C43C4B" w:rsidRPr="009A3C86">
        <w:rPr>
          <w:rFonts w:ascii="Times New Roman" w:eastAsia="Times New Roman" w:hAnsi="Times New Roman"/>
          <w:sz w:val="24"/>
          <w:szCs w:val="24"/>
        </w:rPr>
        <w:t xml:space="preserve">Udowodnienie polega na wykazaniu prawdziwości określonych twierdzeń o jakimś fakcie. </w:t>
      </w:r>
      <w:r w:rsidR="004824F7" w:rsidRPr="009A3C86">
        <w:rPr>
          <w:rFonts w:ascii="Times New Roman" w:eastAsia="Times New Roman" w:hAnsi="Times New Roman"/>
          <w:sz w:val="24"/>
          <w:szCs w:val="24"/>
        </w:rPr>
        <w:t>Walor „udowodnienia”</w:t>
      </w:r>
      <w:r w:rsidR="003B507C" w:rsidRPr="009A3C86">
        <w:rPr>
          <w:rFonts w:ascii="Times New Roman" w:eastAsia="Times New Roman" w:hAnsi="Times New Roman"/>
          <w:sz w:val="24"/>
          <w:szCs w:val="24"/>
        </w:rPr>
        <w:t xml:space="preserve"> ma większe znaczenie</w:t>
      </w:r>
      <w:r w:rsidR="004824F7" w:rsidRPr="009A3C86">
        <w:rPr>
          <w:rFonts w:ascii="Times New Roman" w:eastAsia="Times New Roman" w:hAnsi="Times New Roman"/>
          <w:sz w:val="24"/>
          <w:szCs w:val="24"/>
        </w:rPr>
        <w:t xml:space="preserve"> od „uprawdopodobnienia”</w:t>
      </w:r>
      <w:r w:rsidR="00572F0F" w:rsidRPr="009A3C86">
        <w:rPr>
          <w:rFonts w:ascii="Times New Roman" w:eastAsia="Times New Roman" w:hAnsi="Times New Roman"/>
          <w:sz w:val="24"/>
          <w:szCs w:val="24"/>
        </w:rPr>
        <w:t>. W przypadku „udowodnienia”</w:t>
      </w:r>
      <w:r w:rsidR="004824F7" w:rsidRPr="009A3C86">
        <w:rPr>
          <w:rFonts w:ascii="Times New Roman" w:eastAsia="Times New Roman" w:hAnsi="Times New Roman"/>
          <w:sz w:val="24"/>
          <w:szCs w:val="24"/>
        </w:rPr>
        <w:t xml:space="preserve"> wykazanie zaistnienia faktu daje prawie całkowitą pewność ustaleń, w odróżnieniu od uprawdopodobnienia, które wskazuje na możliwość zaistnienia faktu.</w:t>
      </w:r>
      <w:r w:rsidR="00572F0F" w:rsidRPr="009A3C86">
        <w:rPr>
          <w:rFonts w:ascii="Times New Roman" w:eastAsia="Times New Roman" w:hAnsi="Times New Roman"/>
          <w:sz w:val="24"/>
          <w:szCs w:val="24"/>
        </w:rPr>
        <w:t xml:space="preserve">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Informacje przekazane w sprawach zawarcia porozumień w sprawie ustalenia cen transakcyjnych, czy o wymianie informacji podatkowych z innymi państwami to wiadomości przekazywane też przez przedsiębiorców i zawierające dane o wartości gospodarczej. Nie ma </w:t>
      </w:r>
      <w:r w:rsidRPr="009A3C86">
        <w:rPr>
          <w:rFonts w:ascii="Times New Roman" w:eastAsia="Times New Roman" w:hAnsi="Times New Roman"/>
          <w:sz w:val="24"/>
          <w:szCs w:val="24"/>
        </w:rPr>
        <w:lastRenderedPageBreak/>
        <w:t xml:space="preserve">podstaw, by powyższe informacje były szerzej chronione niż inne informacje przekazywane przez przedsiębiorców w toku postępowania, zawierające tajemnicę przedsiębiorstwa. Konieczność wyrażenia żądania, udowodnienia, wskazania ich zakresu i uprawnienie organów do ich weryfikacji są niezbędnymi przesłankami przeciwdziałania hermetyczności wewnętrznej w dostępie do akt sprawy pracowników organów podatkowych, załatwiających sprawy podatkowe przedsiębiorców. Należy bowiem zdawać sobie sprawę z możliwości wykorzystywania tej instytucji prawnej przez niesolidne podmioty do przewlekania postępowania podatkowego. Dlatego wprowadzenie powyższych mechanizmów do projektu (art. </w:t>
      </w:r>
      <w:r w:rsidR="00FB2AEF" w:rsidRPr="009A3C86">
        <w:rPr>
          <w:rFonts w:ascii="Times New Roman" w:eastAsia="Times New Roman" w:hAnsi="Times New Roman"/>
          <w:sz w:val="24"/>
          <w:szCs w:val="24"/>
        </w:rPr>
        <w:t xml:space="preserve">104 </w:t>
      </w:r>
      <w:r w:rsidRPr="009A3C86">
        <w:rPr>
          <w:rFonts w:ascii="Times New Roman" w:eastAsia="Times New Roman" w:hAnsi="Times New Roman"/>
          <w:sz w:val="24"/>
          <w:szCs w:val="24"/>
        </w:rPr>
        <w:t>§  2 i 3) było niezbędne. W konsekwencji objęcie tajemnicą skarbową będzie dotyczyło tylko takich sytuacji, w których przedsiębiorca nie tylko wyraził żądanie w tym zakresie, ale i udowodnił, że informacje przez niego przekazane stanowią istotnie tajemnicę przedsiębiorstwa. Okoliczność ta podlegać bowiem będzie ocenie organów podatkowych. Jest charakterystyczne, że w piśmiennictwie wskazywano, że „zakres przedmiotowy informacji należących do tajemnicy przedsiębiorstwa może zawierać również takie, które obejmuje tajemnica skarbowa”</w:t>
      </w:r>
      <w:r w:rsidRPr="009A3C86">
        <w:rPr>
          <w:rFonts w:ascii="Times New Roman" w:eastAsia="Times New Roman" w:hAnsi="Times New Roman"/>
          <w:sz w:val="24"/>
          <w:szCs w:val="24"/>
          <w:vertAlign w:val="superscript"/>
        </w:rPr>
        <w:footnoteReference w:id="190"/>
      </w:r>
      <w:r w:rsidRPr="009A3C86">
        <w:rPr>
          <w:rFonts w:ascii="Times New Roman" w:eastAsia="Times New Roman" w:hAnsi="Times New Roman"/>
          <w:sz w:val="24"/>
          <w:szCs w:val="24"/>
        </w:rPr>
        <w:t xml:space="preserve">. W przepisie </w:t>
      </w:r>
      <w:r w:rsidRPr="009A3C86">
        <w:rPr>
          <w:rFonts w:ascii="Times New Roman" w:eastAsia="Times New Roman" w:hAnsi="Times New Roman"/>
          <w:b/>
          <w:sz w:val="24"/>
          <w:szCs w:val="24"/>
        </w:rPr>
        <w:t xml:space="preserve">art. </w:t>
      </w:r>
      <w:r w:rsidR="00FB2AEF" w:rsidRPr="009A3C86">
        <w:rPr>
          <w:rFonts w:ascii="Times New Roman" w:eastAsia="Times New Roman" w:hAnsi="Times New Roman"/>
          <w:b/>
          <w:sz w:val="24"/>
          <w:szCs w:val="24"/>
        </w:rPr>
        <w:t xml:space="preserve">104 </w:t>
      </w:r>
      <w:r w:rsidRPr="009A3C86">
        <w:rPr>
          <w:rFonts w:ascii="Times New Roman" w:eastAsia="Times New Roman" w:hAnsi="Times New Roman"/>
          <w:b/>
          <w:sz w:val="24"/>
          <w:szCs w:val="24"/>
        </w:rPr>
        <w:t xml:space="preserve">§ </w:t>
      </w:r>
      <w:r w:rsidR="00956FEF" w:rsidRPr="009A3C86">
        <w:rPr>
          <w:rFonts w:ascii="Times New Roman" w:eastAsia="Times New Roman" w:hAnsi="Times New Roman"/>
          <w:b/>
          <w:sz w:val="24"/>
          <w:szCs w:val="24"/>
        </w:rPr>
        <w:t>4</w:t>
      </w:r>
      <w:r w:rsidR="00956FEF"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projektu zawarty jest zróżnicowany poziom środków ochrony przysługujących zainteresowanym i zobowiązanym w przypadku odmowy uznania przekazanych informacji za stanowiące tajemnicę przedsiębiorstwa. Zobowiązany, jako strona postępowania rozumianego jak najszerzej, będzie mógł kwestionować stanowisko organu w sposób pośredni, w odwołaniu od decyzji. Celem tego zróżnicowania jest zapobieżenie dążeniom do przewlekania postępowania i nadużywania tej instytucji przez zobowiązanych.</w:t>
      </w:r>
    </w:p>
    <w:p w:rsidR="009714F1" w:rsidRPr="009A3C86" w:rsidRDefault="001A6BFE" w:rsidP="009714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Regulacja zawarta</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w</w:t>
      </w:r>
      <w:r w:rsidRPr="009A3C86">
        <w:rPr>
          <w:rFonts w:ascii="Times New Roman" w:eastAsia="Times New Roman" w:hAnsi="Times New Roman"/>
          <w:b/>
          <w:sz w:val="24"/>
          <w:szCs w:val="24"/>
        </w:rPr>
        <w:t xml:space="preserve"> a</w:t>
      </w:r>
      <w:r w:rsidR="009714F1" w:rsidRPr="009A3C86">
        <w:rPr>
          <w:rFonts w:ascii="Times New Roman" w:eastAsia="Times New Roman" w:hAnsi="Times New Roman"/>
          <w:b/>
          <w:sz w:val="24"/>
          <w:szCs w:val="24"/>
        </w:rPr>
        <w:t>rt. 102 § 3</w:t>
      </w:r>
      <w:r w:rsidR="009714F1" w:rsidRPr="009A3C86">
        <w:rPr>
          <w:rFonts w:ascii="Times New Roman" w:eastAsia="Times New Roman" w:hAnsi="Times New Roman"/>
          <w:sz w:val="24"/>
          <w:szCs w:val="24"/>
        </w:rPr>
        <w:t xml:space="preserve"> projektu</w:t>
      </w:r>
      <w:r w:rsidR="009714F1" w:rsidRPr="009A3C86">
        <w:rPr>
          <w:rFonts w:ascii="Times New Roman" w:eastAsia="Times New Roman" w:hAnsi="Times New Roman"/>
          <w:b/>
          <w:sz w:val="24"/>
          <w:szCs w:val="24"/>
        </w:rPr>
        <w:t xml:space="preserve"> </w:t>
      </w:r>
      <w:r w:rsidR="009714F1" w:rsidRPr="009A3C86">
        <w:rPr>
          <w:rFonts w:ascii="Times New Roman" w:eastAsia="Times New Roman" w:hAnsi="Times New Roman"/>
          <w:sz w:val="24"/>
          <w:szCs w:val="24"/>
        </w:rPr>
        <w:t>ma na celu zapobieżenie sytuacji, w której podatnik w związku z realizacją audytu podatkowego lub porozumienia podatkowego</w:t>
      </w:r>
      <w:r w:rsidRPr="009A3C86">
        <w:rPr>
          <w:rFonts w:ascii="Times New Roman" w:eastAsia="Times New Roman" w:hAnsi="Times New Roman"/>
          <w:sz w:val="24"/>
          <w:szCs w:val="24"/>
        </w:rPr>
        <w:t>, o</w:t>
      </w:r>
      <w:r w:rsidR="001C718D" w:rsidRPr="009A3C86">
        <w:rPr>
          <w:rFonts w:ascii="Times New Roman" w:eastAsia="Times New Roman" w:hAnsi="Times New Roman"/>
          <w:sz w:val="24"/>
          <w:szCs w:val="24"/>
        </w:rPr>
        <w:t> </w:t>
      </w:r>
      <w:r w:rsidRPr="009A3C86">
        <w:rPr>
          <w:rFonts w:ascii="Times New Roman" w:eastAsia="Times New Roman" w:hAnsi="Times New Roman"/>
          <w:sz w:val="24"/>
          <w:szCs w:val="24"/>
        </w:rPr>
        <w:t>których mowa w dziale IV rozdziale 5,</w:t>
      </w:r>
      <w:r w:rsidR="009714F1" w:rsidRPr="009A3C86">
        <w:rPr>
          <w:rFonts w:ascii="Times New Roman" w:eastAsia="Times New Roman" w:hAnsi="Times New Roman"/>
          <w:sz w:val="24"/>
          <w:szCs w:val="24"/>
        </w:rPr>
        <w:t xml:space="preserve"> będzie musiał ponownie przekazywać Szefowi KAS informacje i dokumenty przekazane uprzednio w toku postępowania dotyczącego </w:t>
      </w:r>
      <w:r w:rsidRPr="009A3C86">
        <w:rPr>
          <w:rFonts w:ascii="Times New Roman" w:eastAsia="Times New Roman" w:hAnsi="Times New Roman"/>
          <w:sz w:val="24"/>
          <w:szCs w:val="24"/>
        </w:rPr>
        <w:t>uprzednich porozumień cenowych</w:t>
      </w:r>
      <w:r w:rsidR="009714F1" w:rsidRPr="009A3C86">
        <w:rPr>
          <w:rFonts w:ascii="Times New Roman" w:eastAsia="Times New Roman" w:hAnsi="Times New Roman"/>
          <w:sz w:val="24"/>
          <w:szCs w:val="24"/>
        </w:rPr>
        <w:t xml:space="preserve">. </w:t>
      </w:r>
    </w:p>
    <w:p w:rsidR="00FA30AA" w:rsidRPr="009A3C86" w:rsidRDefault="00FA30AA" w:rsidP="000B2993">
      <w:pPr>
        <w:spacing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Akta spraw podatkowych zawierających informacje pochodzące z banków lub spółdzielczych kas oszczędnościowo-kredytowych (</w:t>
      </w:r>
      <w:r w:rsidRPr="009A3C86">
        <w:rPr>
          <w:rFonts w:ascii="Times New Roman" w:eastAsia="Times New Roman" w:hAnsi="Times New Roman"/>
          <w:b/>
          <w:sz w:val="24"/>
          <w:szCs w:val="24"/>
        </w:rPr>
        <w:t xml:space="preserve">art. </w:t>
      </w:r>
      <w:r w:rsidR="00FB2AEF" w:rsidRPr="009A3C86">
        <w:rPr>
          <w:rFonts w:ascii="Times New Roman" w:eastAsia="Times New Roman" w:hAnsi="Times New Roman"/>
          <w:b/>
          <w:sz w:val="24"/>
          <w:szCs w:val="24"/>
        </w:rPr>
        <w:t xml:space="preserve">105 </w:t>
      </w:r>
      <w:r w:rsidRPr="009A3C86">
        <w:rPr>
          <w:rFonts w:ascii="Times New Roman" w:eastAsia="Times New Roman" w:hAnsi="Times New Roman"/>
          <w:b/>
          <w:sz w:val="24"/>
          <w:szCs w:val="24"/>
        </w:rPr>
        <w:t>§ 1 pkt 1</w:t>
      </w:r>
      <w:r w:rsidRPr="009A3C86">
        <w:rPr>
          <w:rFonts w:ascii="Times New Roman" w:eastAsia="Times New Roman" w:hAnsi="Times New Roman"/>
          <w:sz w:val="24"/>
          <w:szCs w:val="24"/>
        </w:rPr>
        <w:t xml:space="preserve"> projektu), określone w ustawie z dnia 9 marca 2017 r. o wymianie informacji podatkowych z innymi państwami (</w:t>
      </w:r>
      <w:r w:rsidRPr="009A3C86">
        <w:rPr>
          <w:rFonts w:ascii="Times New Roman" w:eastAsia="Times New Roman" w:hAnsi="Times New Roman"/>
          <w:b/>
          <w:sz w:val="24"/>
          <w:szCs w:val="24"/>
        </w:rPr>
        <w:t xml:space="preserve">art. </w:t>
      </w:r>
      <w:r w:rsidR="00FB2AEF" w:rsidRPr="009A3C86">
        <w:rPr>
          <w:rFonts w:ascii="Times New Roman" w:eastAsia="Times New Roman" w:hAnsi="Times New Roman"/>
          <w:b/>
          <w:sz w:val="24"/>
          <w:szCs w:val="24"/>
        </w:rPr>
        <w:t xml:space="preserve">105 </w:t>
      </w:r>
      <w:r w:rsidRPr="009A3C86">
        <w:rPr>
          <w:rFonts w:ascii="Times New Roman" w:eastAsia="Times New Roman" w:hAnsi="Times New Roman"/>
          <w:b/>
          <w:sz w:val="24"/>
          <w:szCs w:val="24"/>
        </w:rPr>
        <w:t>§ 1 pkt 2</w:t>
      </w:r>
      <w:r w:rsidRPr="009A3C86">
        <w:rPr>
          <w:rFonts w:ascii="Times New Roman" w:eastAsia="Times New Roman" w:hAnsi="Times New Roman"/>
          <w:sz w:val="24"/>
          <w:szCs w:val="24"/>
        </w:rPr>
        <w:t xml:space="preserve"> projektu), uzyskane w postępowaniu w sprawach zawartych porozumień w sprawach ustalenia cen transakcyjnych (</w:t>
      </w:r>
      <w:r w:rsidRPr="009A3C86">
        <w:rPr>
          <w:rFonts w:ascii="Times New Roman" w:eastAsia="Times New Roman" w:hAnsi="Times New Roman"/>
          <w:b/>
          <w:sz w:val="24"/>
          <w:szCs w:val="24"/>
        </w:rPr>
        <w:t xml:space="preserve">art. </w:t>
      </w:r>
      <w:r w:rsidR="00FB2AEF" w:rsidRPr="009A3C86">
        <w:rPr>
          <w:rFonts w:ascii="Times New Roman" w:eastAsia="Times New Roman" w:hAnsi="Times New Roman"/>
          <w:b/>
          <w:sz w:val="24"/>
          <w:szCs w:val="24"/>
        </w:rPr>
        <w:t xml:space="preserve">105 </w:t>
      </w:r>
      <w:r w:rsidRPr="009A3C86">
        <w:rPr>
          <w:rFonts w:ascii="Times New Roman" w:eastAsia="Times New Roman" w:hAnsi="Times New Roman"/>
          <w:b/>
          <w:sz w:val="24"/>
          <w:szCs w:val="24"/>
        </w:rPr>
        <w:t>§ 1 pkt 3</w:t>
      </w:r>
      <w:r w:rsidRPr="009A3C86">
        <w:rPr>
          <w:rFonts w:ascii="Times New Roman" w:eastAsia="Times New Roman" w:hAnsi="Times New Roman"/>
          <w:sz w:val="24"/>
          <w:szCs w:val="24"/>
        </w:rPr>
        <w:t xml:space="preserve"> projektu</w:t>
      </w:r>
      <w:r w:rsidR="008B0663" w:rsidRPr="009A3C86">
        <w:rPr>
          <w:rFonts w:ascii="Times New Roman" w:eastAsia="Times New Roman" w:hAnsi="Times New Roman"/>
          <w:sz w:val="24"/>
          <w:szCs w:val="24"/>
        </w:rPr>
        <w:t xml:space="preserve">), uzyskane w toku realizacji umowy o </w:t>
      </w:r>
      <w:r w:rsidR="008B0663" w:rsidRPr="009A3C86">
        <w:rPr>
          <w:rFonts w:ascii="Times New Roman" w:eastAsia="Times New Roman" w:hAnsi="Times New Roman"/>
          <w:sz w:val="24"/>
          <w:szCs w:val="24"/>
        </w:rPr>
        <w:lastRenderedPageBreak/>
        <w:t>współdziałanie, a także realizacji zadań związanych z prowadzeniem audytu podatkowego w tym zawierające tajemnicę przedsiębiorstwa (</w:t>
      </w:r>
      <w:r w:rsidR="008B0663" w:rsidRPr="009A3C86">
        <w:rPr>
          <w:rFonts w:ascii="Times New Roman" w:eastAsia="Times New Roman" w:hAnsi="Times New Roman"/>
          <w:b/>
          <w:sz w:val="24"/>
          <w:szCs w:val="24"/>
        </w:rPr>
        <w:t>art. 1</w:t>
      </w:r>
      <w:r w:rsidR="00130B64" w:rsidRPr="009A3C86">
        <w:rPr>
          <w:rFonts w:ascii="Times New Roman" w:eastAsia="Times New Roman" w:hAnsi="Times New Roman"/>
          <w:b/>
          <w:sz w:val="24"/>
          <w:szCs w:val="24"/>
        </w:rPr>
        <w:t>05</w:t>
      </w:r>
      <w:r w:rsidR="008B0663" w:rsidRPr="009A3C86">
        <w:rPr>
          <w:rFonts w:ascii="Times New Roman" w:eastAsia="Times New Roman" w:hAnsi="Times New Roman"/>
          <w:b/>
          <w:sz w:val="24"/>
          <w:szCs w:val="24"/>
        </w:rPr>
        <w:t xml:space="preserve"> § 1 pkt 4 projektu</w:t>
      </w:r>
      <w:r w:rsidR="008B0663" w:rsidRPr="009A3C86">
        <w:rPr>
          <w:rFonts w:ascii="Times New Roman" w:eastAsia="Times New Roman" w:hAnsi="Times New Roman"/>
          <w:sz w:val="24"/>
          <w:szCs w:val="24"/>
        </w:rPr>
        <w:t>) będą przechowywane w pomieszczeniach zabezpieczonych z zachowaniem zasad określonych dla informacji niejawnych, o klauzuli „zastrzeżone”.</w:t>
      </w:r>
      <w:r w:rsidRPr="009A3C86">
        <w:rPr>
          <w:rFonts w:ascii="Times New Roman" w:eastAsia="Times New Roman" w:hAnsi="Times New Roman"/>
          <w:sz w:val="24"/>
          <w:szCs w:val="24"/>
        </w:rPr>
        <w:t xml:space="preserve"> Po wykorzystaniu informacji, o których mowa w art. </w:t>
      </w:r>
      <w:r w:rsidR="00130B64" w:rsidRPr="009A3C86">
        <w:rPr>
          <w:rFonts w:ascii="Times New Roman" w:eastAsia="Times New Roman" w:hAnsi="Times New Roman"/>
          <w:sz w:val="24"/>
          <w:szCs w:val="24"/>
        </w:rPr>
        <w:t xml:space="preserve">105 </w:t>
      </w:r>
      <w:r w:rsidRPr="009A3C86">
        <w:rPr>
          <w:rFonts w:ascii="Times New Roman" w:eastAsia="Times New Roman" w:hAnsi="Times New Roman"/>
          <w:sz w:val="24"/>
          <w:szCs w:val="24"/>
        </w:rPr>
        <w:t xml:space="preserve">§ 1 </w:t>
      </w:r>
      <w:r w:rsidR="00B04002" w:rsidRPr="009A3C86">
        <w:rPr>
          <w:rFonts w:ascii="Times New Roman" w:eastAsia="Times New Roman" w:hAnsi="Times New Roman"/>
          <w:sz w:val="24"/>
          <w:szCs w:val="24"/>
        </w:rPr>
        <w:t xml:space="preserve">pkt 1-4 </w:t>
      </w:r>
      <w:r w:rsidRPr="009A3C86">
        <w:rPr>
          <w:rFonts w:ascii="Times New Roman" w:eastAsia="Times New Roman" w:hAnsi="Times New Roman"/>
          <w:sz w:val="24"/>
          <w:szCs w:val="24"/>
        </w:rPr>
        <w:t>projektu, będą one wyłączane z akt sprawy podatkowej i przechowywane w sposób zapewniający ochronę przewidzianą dla informacji niejawnych o klauzuli „zastrzeżone”. Zgodnie bowiem z art. 5 ust. 4 ustawy o ochronie informacji niejawnych „informacjom niejawnym nadaje się klauzulę «zastrzeżone», jeżeli nie nadano im wyższej klauzuli tajności, a ich nieuprawnione ujawnienie może mieć szkodliwy wpływ na wykonywanie przez organy władzy publicznej lub inne jednostki organizacyjne zadań w zakresie obrony narodowej, polityki zagranicznej, bezpieczeństwa publicznego, przestrzegania praw i wolności obywateli, wymiaru sprawiedliwości albo interesów ekonomicznych Rzeczypospolitej Polskiej”. Nie można mieć wątpliwości, że przestrzeganie praw obywateli powinno obejmować przestrzeganie ich praw ekonomicznych, gospodarczych, a także interesów gospodarczych (art. 20 w związku z art. 22 Konstytucji RP), a więc także prawa do objęcia ochroną informacji zawierających tajemnicę przedsiębiorstwa.</w:t>
      </w:r>
    </w:p>
    <w:p w:rsidR="000B2993" w:rsidRPr="009A3C86" w:rsidRDefault="000B2993" w:rsidP="000B2993">
      <w:pPr>
        <w:spacing w:line="360" w:lineRule="auto"/>
        <w:jc w:val="both"/>
        <w:rPr>
          <w:rFonts w:ascii="Times New Roman" w:hAnsi="Times New Roman"/>
          <w:sz w:val="24"/>
          <w:szCs w:val="24"/>
        </w:rPr>
      </w:pPr>
      <w:r w:rsidRPr="009A3C86">
        <w:rPr>
          <w:rFonts w:ascii="Times New Roman" w:hAnsi="Times New Roman"/>
          <w:sz w:val="24"/>
          <w:szCs w:val="24"/>
        </w:rPr>
        <w:t xml:space="preserve">Obecnie obowiązująca ustawa z dnia 29 sierpnia 1997 r. – Ordynacja podatkowa wskazuje, że dane objęte tajemnicą skarbową mogą być udostępniane podmiotom enumeratywnie wymienionym w przepisach. W tym katalogu uprawnionych podmiotów nie znajdują się minister właściwy do spraw gospodarki, minister właściwy do spraw zagranicznych, ani minister właściwy do spraw gospodarki złożami kopalin. Celem zmiany proponowanej </w:t>
      </w:r>
      <w:r w:rsidRPr="009A3C86">
        <w:rPr>
          <w:rFonts w:ascii="Times New Roman" w:hAnsi="Times New Roman"/>
          <w:b/>
          <w:bCs/>
          <w:sz w:val="24"/>
          <w:szCs w:val="24"/>
        </w:rPr>
        <w:t>art. 106 § 7</w:t>
      </w:r>
      <w:r w:rsidRPr="009A3C86">
        <w:rPr>
          <w:rFonts w:ascii="Times New Roman" w:hAnsi="Times New Roman"/>
          <w:sz w:val="24"/>
          <w:szCs w:val="24"/>
        </w:rPr>
        <w:t xml:space="preserve"> projektu jest dodanie ministra właściwego do spraw gospodarki, ministra właściwego do spraw zagranicznych oraz ministra właściwego do spraw gospodarki złożami kopalin do katalogu podmiotów uprawnionych do otrzymywania danych objętych tajemnicą skarbową.  Konieczność dodania wyżej wskazanych podmiotów do katalogu podmiotów uprawnionych do dostępu do danych objętych tajemnicą skarbową wynika z konieczności przekazywania danych z zakresu międzynarodowego handlu towarami, które są niezbędne do realizacji przez pracowników polskich placówek dyplomatycznych zadań w obszarze dyplomacji ekonomicznej oraz realizacji zadań przez pracowników Ministerstwa  Spraw Zagranicznych i Ministerstwa Przedsiębiorczości i Technologii zajmujących się zagadnieniami zagranicznej polityki ekonomicznej i promocji gospodarczej na świecie, a także wykonania obliczeń modelu funkcjonowania sektora górniczego.</w:t>
      </w:r>
    </w:p>
    <w:p w:rsidR="000B2993" w:rsidRPr="009A3C86" w:rsidRDefault="000B2993" w:rsidP="000B2993">
      <w:pPr>
        <w:spacing w:after="0" w:line="360" w:lineRule="auto"/>
        <w:jc w:val="both"/>
        <w:rPr>
          <w:rFonts w:ascii="Times New Roman" w:eastAsia="Times New Roman" w:hAnsi="Times New Roman"/>
          <w:sz w:val="24"/>
          <w:szCs w:val="24"/>
        </w:rPr>
      </w:pPr>
      <w:r w:rsidRPr="009A3C86">
        <w:rPr>
          <w:rFonts w:ascii="Times New Roman" w:hAnsi="Times New Roman"/>
          <w:sz w:val="24"/>
          <w:szCs w:val="24"/>
        </w:rPr>
        <w:lastRenderedPageBreak/>
        <w:t>W związku z powyższym art. 106 § 7  projektu wskazuje, że dane i informacje w zakresie międzynarodowego handlu towarami Szef Krajowej Administracji Skarbowej udostępnia ministrowi właściwemu do spraw gospodarki w zakresie niezbędnym do prowadzenia zagranicznej polityki ekonomicznej i promocji gospodarczej na świecie, ministrowi właściwemu do spraw zagraniczn</w:t>
      </w:r>
      <w:r w:rsidR="00C94453" w:rsidRPr="009A3C86">
        <w:rPr>
          <w:rFonts w:ascii="Times New Roman" w:hAnsi="Times New Roman"/>
          <w:sz w:val="24"/>
          <w:szCs w:val="24"/>
        </w:rPr>
        <w:t>ych</w:t>
      </w:r>
      <w:r w:rsidRPr="009A3C86">
        <w:rPr>
          <w:rFonts w:ascii="Times New Roman" w:hAnsi="Times New Roman"/>
          <w:sz w:val="24"/>
          <w:szCs w:val="24"/>
        </w:rPr>
        <w:t xml:space="preserve"> w zakresie niezbędnym do realizacji zadań w obszarze dyplomacji ekonomicznej oraz ministrowi właściwemu do spraw gospodarki złożami kopalin - w zakresie niezbędnym do realizacji zadań w obszarze funkcjonowania sektora górniczego. Jednocześnie w dodawanym </w:t>
      </w:r>
      <w:r w:rsidRPr="009A3C86">
        <w:rPr>
          <w:rFonts w:ascii="Times New Roman" w:hAnsi="Times New Roman"/>
          <w:b/>
          <w:bCs/>
          <w:sz w:val="24"/>
          <w:szCs w:val="24"/>
        </w:rPr>
        <w:t>art. 106 § 8</w:t>
      </w:r>
      <w:r w:rsidRPr="009A3C86">
        <w:rPr>
          <w:rFonts w:ascii="Times New Roman" w:hAnsi="Times New Roman"/>
          <w:sz w:val="24"/>
          <w:szCs w:val="24"/>
        </w:rPr>
        <w:t xml:space="preserve">  projektu wskazano, że Szef KAS udostępnia te dane w postacie zapewniając ich bezpieczeństwo, wiarygodność i niezaprzeczalność oraz uwzględnia potrzebę ich ochrony przed nieuprawnionym dostępem.</w:t>
      </w:r>
    </w:p>
    <w:p w:rsidR="00FA30AA" w:rsidRPr="009A3C86" w:rsidRDefault="00FA30AA" w:rsidP="000B2993">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sz w:val="24"/>
          <w:szCs w:val="24"/>
        </w:rPr>
        <w:t xml:space="preserve">11. </w:t>
      </w:r>
      <w:r w:rsidR="00A40A74" w:rsidRPr="009A3C86">
        <w:rPr>
          <w:rFonts w:ascii="Times New Roman" w:eastAsia="Times New Roman" w:hAnsi="Times New Roman"/>
          <w:sz w:val="24"/>
          <w:szCs w:val="24"/>
        </w:rPr>
        <w:t xml:space="preserve">Przepisy zawarte w </w:t>
      </w:r>
      <w:r w:rsidR="00A40A74" w:rsidRPr="009A3C86">
        <w:rPr>
          <w:rFonts w:ascii="Times New Roman" w:eastAsia="Times New Roman" w:hAnsi="Times New Roman"/>
          <w:b/>
          <w:sz w:val="24"/>
          <w:szCs w:val="24"/>
        </w:rPr>
        <w:t>art. 1</w:t>
      </w:r>
      <w:r w:rsidR="00DB5B6B" w:rsidRPr="009A3C86">
        <w:rPr>
          <w:rFonts w:ascii="Times New Roman" w:eastAsia="Times New Roman" w:hAnsi="Times New Roman"/>
          <w:b/>
          <w:sz w:val="24"/>
          <w:szCs w:val="24"/>
        </w:rPr>
        <w:t>07</w:t>
      </w:r>
      <w:r w:rsidR="00A40A74" w:rsidRPr="009A3C86">
        <w:rPr>
          <w:rFonts w:ascii="Times New Roman" w:eastAsia="Times New Roman" w:hAnsi="Times New Roman"/>
          <w:sz w:val="24"/>
          <w:szCs w:val="24"/>
        </w:rPr>
        <w:t xml:space="preserve">, </w:t>
      </w:r>
      <w:r w:rsidR="00A40A74" w:rsidRPr="009A3C86">
        <w:rPr>
          <w:rFonts w:ascii="Times New Roman" w:eastAsia="Times New Roman" w:hAnsi="Times New Roman"/>
          <w:b/>
          <w:sz w:val="24"/>
          <w:szCs w:val="24"/>
        </w:rPr>
        <w:t>art. 11</w:t>
      </w:r>
      <w:r w:rsidR="00DB5B6B" w:rsidRPr="009A3C86">
        <w:rPr>
          <w:rFonts w:ascii="Times New Roman" w:eastAsia="Times New Roman" w:hAnsi="Times New Roman"/>
          <w:b/>
          <w:sz w:val="24"/>
          <w:szCs w:val="24"/>
        </w:rPr>
        <w:t>0</w:t>
      </w:r>
      <w:r w:rsidR="003C6A68" w:rsidRPr="009A3C86">
        <w:rPr>
          <w:rFonts w:ascii="Times New Roman" w:eastAsia="Times New Roman" w:hAnsi="Times New Roman"/>
          <w:b/>
          <w:sz w:val="24"/>
          <w:szCs w:val="24"/>
        </w:rPr>
        <w:t>-111</w:t>
      </w:r>
      <w:r w:rsidR="00A40A74" w:rsidRPr="009A3C86">
        <w:rPr>
          <w:rFonts w:ascii="Times New Roman" w:eastAsia="Times New Roman" w:hAnsi="Times New Roman"/>
          <w:sz w:val="24"/>
          <w:szCs w:val="24"/>
        </w:rPr>
        <w:t xml:space="preserve"> i </w:t>
      </w:r>
      <w:r w:rsidR="00A40A74" w:rsidRPr="009A3C86">
        <w:rPr>
          <w:rFonts w:ascii="Times New Roman" w:eastAsia="Times New Roman" w:hAnsi="Times New Roman"/>
          <w:b/>
          <w:sz w:val="24"/>
          <w:szCs w:val="24"/>
        </w:rPr>
        <w:t xml:space="preserve">art. </w:t>
      </w:r>
      <w:r w:rsidR="00B74B62" w:rsidRPr="009A3C86">
        <w:rPr>
          <w:rFonts w:ascii="Times New Roman" w:eastAsia="Times New Roman" w:hAnsi="Times New Roman"/>
          <w:b/>
          <w:sz w:val="24"/>
          <w:szCs w:val="24"/>
        </w:rPr>
        <w:t xml:space="preserve">112 </w:t>
      </w:r>
      <w:r w:rsidR="00A40A74" w:rsidRPr="009A3C86">
        <w:rPr>
          <w:rFonts w:ascii="Times New Roman" w:eastAsia="Times New Roman" w:hAnsi="Times New Roman"/>
          <w:b/>
          <w:sz w:val="24"/>
          <w:szCs w:val="24"/>
        </w:rPr>
        <w:t>§ 1</w:t>
      </w:r>
      <w:r w:rsidR="00A40A74" w:rsidRPr="009A3C86">
        <w:rPr>
          <w:rFonts w:ascii="Times New Roman" w:eastAsia="Times New Roman" w:hAnsi="Times New Roman"/>
          <w:sz w:val="24"/>
          <w:szCs w:val="24"/>
        </w:rPr>
        <w:t xml:space="preserve"> projektu odpowiadają w zasadzie przepisom obecnie obowiązującym (odpowiednio) art. 297a, art. 297d art. 298, art. 299e o.p. z niezbędnymi dostosowaniami. Zmiana zawarta w </w:t>
      </w:r>
      <w:r w:rsidR="00A40A74" w:rsidRPr="009A3C86">
        <w:rPr>
          <w:rFonts w:ascii="Times New Roman" w:eastAsia="Times New Roman" w:hAnsi="Times New Roman"/>
          <w:b/>
          <w:sz w:val="24"/>
          <w:szCs w:val="24"/>
        </w:rPr>
        <w:t>art. 1</w:t>
      </w:r>
      <w:r w:rsidR="00DB5B6B" w:rsidRPr="009A3C86">
        <w:rPr>
          <w:rFonts w:ascii="Times New Roman" w:eastAsia="Times New Roman" w:hAnsi="Times New Roman"/>
          <w:b/>
          <w:sz w:val="24"/>
          <w:szCs w:val="24"/>
        </w:rPr>
        <w:t>06</w:t>
      </w:r>
      <w:r w:rsidR="00A40A74" w:rsidRPr="009A3C86">
        <w:rPr>
          <w:rFonts w:ascii="Times New Roman" w:eastAsia="Times New Roman" w:hAnsi="Times New Roman"/>
          <w:b/>
          <w:sz w:val="24"/>
          <w:szCs w:val="24"/>
        </w:rPr>
        <w:t xml:space="preserve"> § 1 pkt 6</w:t>
      </w:r>
      <w:r w:rsidR="00370F72"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projektu to zmiana umożliwiająca udostępnianie akt spraw podatkowych, w tym akt zawierających informacje wymienione w art. </w:t>
      </w:r>
      <w:r w:rsidR="00B74B62" w:rsidRPr="009A3C86">
        <w:rPr>
          <w:rFonts w:ascii="Times New Roman" w:eastAsia="Times New Roman" w:hAnsi="Times New Roman"/>
          <w:sz w:val="24"/>
          <w:szCs w:val="24"/>
        </w:rPr>
        <w:t xml:space="preserve">402 </w:t>
      </w:r>
      <w:r w:rsidRPr="009A3C86">
        <w:rPr>
          <w:rFonts w:ascii="Times New Roman" w:eastAsia="Times New Roman" w:hAnsi="Times New Roman"/>
          <w:sz w:val="24"/>
          <w:szCs w:val="24"/>
        </w:rPr>
        <w:t xml:space="preserve">projektu m.in. Rzecznikowi Praw Podatnika. Z kolei zmiana wprowadzona do </w:t>
      </w:r>
      <w:r w:rsidRPr="009A3C86">
        <w:rPr>
          <w:rFonts w:ascii="Times New Roman" w:eastAsia="Times New Roman" w:hAnsi="Times New Roman"/>
          <w:b/>
          <w:sz w:val="24"/>
          <w:szCs w:val="24"/>
        </w:rPr>
        <w:t xml:space="preserve">art. </w:t>
      </w:r>
      <w:r w:rsidR="003979A1" w:rsidRPr="009A3C86">
        <w:rPr>
          <w:rFonts w:ascii="Times New Roman" w:eastAsia="Times New Roman" w:hAnsi="Times New Roman"/>
          <w:b/>
          <w:sz w:val="24"/>
          <w:szCs w:val="24"/>
        </w:rPr>
        <w:t xml:space="preserve">111 </w:t>
      </w:r>
      <w:r w:rsidRPr="009A3C86">
        <w:rPr>
          <w:rFonts w:ascii="Times New Roman" w:eastAsia="Times New Roman" w:hAnsi="Times New Roman"/>
          <w:b/>
          <w:sz w:val="24"/>
          <w:szCs w:val="24"/>
        </w:rPr>
        <w:t>pkt 3</w:t>
      </w:r>
      <w:r w:rsidRPr="009A3C86">
        <w:rPr>
          <w:rFonts w:ascii="Times New Roman" w:eastAsia="Times New Roman" w:hAnsi="Times New Roman"/>
          <w:sz w:val="24"/>
          <w:szCs w:val="24"/>
        </w:rPr>
        <w:t xml:space="preserve"> projektu to zmiana o charakterze dostosowawczym, związana z wprowadzonym zmianami do art. 22 ust. 1 (dodany pkt 3a)  ustawy o Krajowej Administracji Skarbowej. Wprawdzie w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 xml:space="preserve">106 </w:t>
      </w:r>
      <w:r w:rsidRPr="009A3C86">
        <w:rPr>
          <w:rFonts w:ascii="Times New Roman" w:eastAsia="Times New Roman" w:hAnsi="Times New Roman"/>
          <w:b/>
          <w:sz w:val="24"/>
          <w:szCs w:val="24"/>
        </w:rPr>
        <w:t>§ 1, § 4</w:t>
      </w:r>
      <w:r w:rsidRPr="009A3C86">
        <w:rPr>
          <w:rFonts w:ascii="Times New Roman" w:eastAsia="Times New Roman" w:hAnsi="Times New Roman"/>
          <w:sz w:val="24"/>
          <w:szCs w:val="24"/>
        </w:rPr>
        <w:t xml:space="preserve"> i </w:t>
      </w:r>
      <w:r w:rsidRPr="009A3C86">
        <w:rPr>
          <w:rFonts w:ascii="Times New Roman" w:eastAsia="Times New Roman" w:hAnsi="Times New Roman"/>
          <w:b/>
          <w:sz w:val="24"/>
          <w:szCs w:val="24"/>
        </w:rPr>
        <w:t>§ 5</w:t>
      </w:r>
      <w:r w:rsidRPr="009A3C86">
        <w:rPr>
          <w:rFonts w:ascii="Times New Roman" w:eastAsia="Times New Roman" w:hAnsi="Times New Roman"/>
          <w:sz w:val="24"/>
          <w:szCs w:val="24"/>
        </w:rPr>
        <w:t xml:space="preserve"> projektu użyto określenia „żądanie”, </w:t>
      </w:r>
      <w:r w:rsidR="00E632B5" w:rsidRPr="009A3C86">
        <w:rPr>
          <w:rFonts w:ascii="Times New Roman" w:eastAsia="Times New Roman" w:hAnsi="Times New Roman"/>
          <w:sz w:val="24"/>
          <w:szCs w:val="24"/>
        </w:rPr>
        <w:t>a w </w:t>
      </w:r>
      <w:r w:rsidRPr="009A3C86">
        <w:rPr>
          <w:rFonts w:ascii="Times New Roman" w:eastAsia="Times New Roman" w:hAnsi="Times New Roman"/>
          <w:b/>
          <w:sz w:val="24"/>
          <w:szCs w:val="24"/>
        </w:rPr>
        <w:t>art</w:t>
      </w:r>
      <w:r w:rsidR="00E632B5" w:rsidRPr="009A3C86">
        <w:rPr>
          <w:rFonts w:ascii="Times New Roman" w:eastAsia="Times New Roman" w:hAnsi="Times New Roman"/>
          <w:b/>
          <w:sz w:val="24"/>
          <w:szCs w:val="24"/>
        </w:rPr>
        <w:t>. </w:t>
      </w:r>
      <w:r w:rsidR="00CE6458" w:rsidRPr="009A3C86">
        <w:rPr>
          <w:rFonts w:ascii="Times New Roman" w:eastAsia="Times New Roman" w:hAnsi="Times New Roman"/>
          <w:b/>
          <w:sz w:val="24"/>
          <w:szCs w:val="24"/>
        </w:rPr>
        <w:t>100 § 8</w:t>
      </w:r>
      <w:r w:rsidR="00CE6458" w:rsidRPr="009A3C86">
        <w:rPr>
          <w:rFonts w:ascii="Times New Roman" w:eastAsia="Times New Roman" w:hAnsi="Times New Roman"/>
          <w:sz w:val="24"/>
          <w:szCs w:val="24"/>
        </w:rPr>
        <w:t xml:space="preserve">, </w:t>
      </w:r>
      <w:r w:rsidR="00CE6458" w:rsidRPr="009A3C86">
        <w:rPr>
          <w:rFonts w:ascii="Times New Roman" w:eastAsia="Times New Roman" w:hAnsi="Times New Roman"/>
          <w:b/>
          <w:sz w:val="24"/>
          <w:szCs w:val="24"/>
        </w:rPr>
        <w:t>art. 106 § 1 pkt 7</w:t>
      </w:r>
      <w:r w:rsidR="00CE6458" w:rsidRPr="009A3C86">
        <w:rPr>
          <w:rFonts w:ascii="Times New Roman" w:eastAsia="Times New Roman" w:hAnsi="Times New Roman"/>
          <w:sz w:val="24"/>
          <w:szCs w:val="24"/>
        </w:rPr>
        <w:t xml:space="preserve"> (art. 297 § 1 pkt 5 o.p.), </w:t>
      </w:r>
      <w:r w:rsidR="00CE6458" w:rsidRPr="009A3C86">
        <w:rPr>
          <w:rFonts w:ascii="Times New Roman" w:eastAsia="Times New Roman" w:hAnsi="Times New Roman"/>
          <w:b/>
          <w:sz w:val="24"/>
          <w:szCs w:val="24"/>
        </w:rPr>
        <w:t>art. 107 § 1</w:t>
      </w:r>
      <w:r w:rsidR="00CE6458" w:rsidRPr="009A3C86">
        <w:rPr>
          <w:rFonts w:ascii="Times New Roman" w:eastAsia="Times New Roman" w:hAnsi="Times New Roman"/>
          <w:sz w:val="24"/>
          <w:szCs w:val="24"/>
        </w:rPr>
        <w:t xml:space="preserve"> (art. 297a § 1 o.p.), </w:t>
      </w:r>
      <w:r w:rsidR="00CE6458" w:rsidRPr="009A3C86">
        <w:rPr>
          <w:rFonts w:ascii="Times New Roman" w:eastAsia="Times New Roman" w:hAnsi="Times New Roman"/>
          <w:b/>
          <w:sz w:val="24"/>
          <w:szCs w:val="24"/>
        </w:rPr>
        <w:t xml:space="preserve">art. </w:t>
      </w:r>
      <w:r w:rsidR="00473A4C" w:rsidRPr="009A3C86">
        <w:rPr>
          <w:rFonts w:ascii="Times New Roman" w:eastAsia="Times New Roman" w:hAnsi="Times New Roman"/>
          <w:b/>
          <w:sz w:val="24"/>
          <w:szCs w:val="24"/>
        </w:rPr>
        <w:t xml:space="preserve">113 </w:t>
      </w:r>
      <w:r w:rsidRPr="009A3C86">
        <w:rPr>
          <w:rFonts w:ascii="Times New Roman" w:eastAsia="Times New Roman" w:hAnsi="Times New Roman"/>
          <w:b/>
          <w:sz w:val="24"/>
          <w:szCs w:val="24"/>
        </w:rPr>
        <w:t>§ 1 pkt 9</w:t>
      </w:r>
      <w:r w:rsidRPr="009A3C86">
        <w:rPr>
          <w:rFonts w:ascii="Times New Roman" w:eastAsia="Times New Roman" w:hAnsi="Times New Roman"/>
          <w:sz w:val="24"/>
          <w:szCs w:val="24"/>
        </w:rPr>
        <w:t xml:space="preserve"> i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(art. 15 ust. 2 pkt 7 u.ew.pod.) oraz </w:t>
      </w:r>
      <w:r w:rsidRPr="009A3C86">
        <w:rPr>
          <w:rFonts w:ascii="Times New Roman" w:eastAsia="Times New Roman" w:hAnsi="Times New Roman"/>
          <w:b/>
          <w:sz w:val="24"/>
          <w:szCs w:val="24"/>
        </w:rPr>
        <w:t xml:space="preserve">art. </w:t>
      </w:r>
      <w:r w:rsidR="00CA5D70" w:rsidRPr="009A3C86">
        <w:rPr>
          <w:rFonts w:ascii="Times New Roman" w:eastAsia="Times New Roman" w:hAnsi="Times New Roman"/>
          <w:b/>
          <w:sz w:val="24"/>
          <w:szCs w:val="24"/>
        </w:rPr>
        <w:t xml:space="preserve">118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(art. 299</w:t>
      </w:r>
      <w:r w:rsidR="00BE44A1" w:rsidRPr="009A3C86">
        <w:rPr>
          <w:rFonts w:ascii="Times New Roman" w:eastAsia="Times New Roman" w:hAnsi="Times New Roman"/>
          <w:sz w:val="24"/>
          <w:szCs w:val="24"/>
        </w:rPr>
        <w:t>b</w:t>
      </w:r>
      <w:r w:rsidRPr="009A3C86">
        <w:rPr>
          <w:rFonts w:ascii="Times New Roman" w:eastAsia="Times New Roman" w:hAnsi="Times New Roman"/>
          <w:sz w:val="24"/>
          <w:szCs w:val="24"/>
        </w:rPr>
        <w:t xml:space="preserve"> </w:t>
      </w:r>
      <w:r w:rsidR="000756B4" w:rsidRPr="009A3C86">
        <w:rPr>
          <w:rFonts w:ascii="Times New Roman" w:eastAsia="Times New Roman" w:hAnsi="Times New Roman"/>
          <w:sz w:val="24"/>
          <w:szCs w:val="24"/>
        </w:rPr>
        <w:t>§ </w:t>
      </w:r>
      <w:r w:rsidRPr="009A3C86">
        <w:rPr>
          <w:rFonts w:ascii="Times New Roman" w:eastAsia="Times New Roman" w:hAnsi="Times New Roman"/>
          <w:sz w:val="24"/>
          <w:szCs w:val="24"/>
        </w:rPr>
        <w:t xml:space="preserve">3 o.p.), określenia „wniosek” to są to z reguły działania ze sfery administracji wewnętrznej, przez co nie kreują one indywidualnych spraw z zakresu administracji publicznej, a to oznacza, że nie ma do nich zastosowania tak jak dotychczas procedura usuwania braków formalnych. Przepis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 xml:space="preserve">110 </w:t>
      </w:r>
      <w:r w:rsidRPr="009A3C86">
        <w:rPr>
          <w:rFonts w:ascii="Times New Roman" w:eastAsia="Times New Roman" w:hAnsi="Times New Roman"/>
          <w:b/>
          <w:sz w:val="24"/>
          <w:szCs w:val="24"/>
        </w:rPr>
        <w:t>pkt 8</w:t>
      </w:r>
      <w:r w:rsidRPr="009A3C86">
        <w:rPr>
          <w:rFonts w:ascii="Times New Roman" w:eastAsia="Times New Roman" w:hAnsi="Times New Roman"/>
          <w:sz w:val="24"/>
          <w:szCs w:val="24"/>
        </w:rPr>
        <w:t xml:space="preserve"> projektu, podobnie jak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 xml:space="preserve">106 </w:t>
      </w:r>
      <w:r w:rsidRPr="009A3C86">
        <w:rPr>
          <w:rFonts w:ascii="Times New Roman" w:eastAsia="Times New Roman" w:hAnsi="Times New Roman"/>
          <w:b/>
          <w:sz w:val="24"/>
          <w:szCs w:val="24"/>
        </w:rPr>
        <w:t xml:space="preserve">§ 1 pkt </w:t>
      </w:r>
      <w:r w:rsidR="00695AD8" w:rsidRPr="009A3C86">
        <w:rPr>
          <w:rFonts w:ascii="Times New Roman" w:eastAsia="Times New Roman" w:hAnsi="Times New Roman"/>
          <w:b/>
          <w:sz w:val="24"/>
          <w:szCs w:val="24"/>
        </w:rPr>
        <w:t>11</w:t>
      </w:r>
      <w:r w:rsidR="00695AD8"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i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projektu odnosi się do Biura Nadzoru Wewnętrznego albo </w:t>
      </w:r>
      <w:r w:rsidR="00DE6DC3" w:rsidRPr="009A3C86">
        <w:rPr>
          <w:rFonts w:ascii="Times New Roman" w:eastAsia="Times New Roman" w:hAnsi="Times New Roman"/>
          <w:sz w:val="24"/>
          <w:szCs w:val="24"/>
        </w:rPr>
        <w:t>Inspektora Nadzoru Wewnętrznego</w:t>
      </w:r>
      <w:r w:rsidRPr="009A3C86">
        <w:rPr>
          <w:rFonts w:ascii="Times New Roman" w:eastAsia="Times New Roman" w:hAnsi="Times New Roman"/>
          <w:sz w:val="24"/>
          <w:szCs w:val="24"/>
        </w:rPr>
        <w:t>, gdyż podmioty te istnieją też w obowiązującej ordynacji podatkowej z mocy ustawy z dnia 21 czerwca 1996 r. o szczególnych formach sprawowania nadzoru przez ministra właściwego do spraw wewnętrznych</w:t>
      </w:r>
      <w:r w:rsidRPr="009A3C86">
        <w:rPr>
          <w:rFonts w:ascii="Times New Roman" w:eastAsia="Times New Roman" w:hAnsi="Times New Roman"/>
          <w:sz w:val="24"/>
          <w:szCs w:val="24"/>
          <w:vertAlign w:val="superscript"/>
        </w:rPr>
        <w:footnoteReference w:id="191"/>
      </w:r>
      <w:r w:rsidRPr="009A3C86">
        <w:rPr>
          <w:rFonts w:ascii="Times New Roman" w:eastAsia="Times New Roman" w:hAnsi="Times New Roman"/>
          <w:sz w:val="24"/>
          <w:szCs w:val="24"/>
        </w:rPr>
        <w:t xml:space="preserve"> - w art. 297 § 1 pkt 9 i art. 298 pkt 5</w:t>
      </w:r>
      <w:r w:rsidR="00547FA3" w:rsidRPr="009A3C86">
        <w:rPr>
          <w:rFonts w:ascii="Times New Roman" w:eastAsia="Times New Roman" w:hAnsi="Times New Roman"/>
          <w:sz w:val="24"/>
          <w:szCs w:val="24"/>
        </w:rPr>
        <w:t>b</w:t>
      </w:r>
      <w:r w:rsidRPr="009A3C86">
        <w:rPr>
          <w:rFonts w:ascii="Times New Roman" w:eastAsia="Times New Roman" w:hAnsi="Times New Roman"/>
          <w:sz w:val="24"/>
          <w:szCs w:val="24"/>
        </w:rPr>
        <w:t xml:space="preserve"> o.p. Oznaczało to konieczność dostosowania do tego rozwiązania </w:t>
      </w:r>
      <w:r w:rsidR="00A2226F" w:rsidRPr="009A3C86">
        <w:rPr>
          <w:rFonts w:ascii="Times New Roman" w:eastAsia="Times New Roman" w:hAnsi="Times New Roman"/>
          <w:sz w:val="24"/>
          <w:szCs w:val="24"/>
        </w:rPr>
        <w:t>art. 1</w:t>
      </w:r>
      <w:r w:rsidR="00DB5B6B" w:rsidRPr="009A3C86">
        <w:rPr>
          <w:rFonts w:ascii="Times New Roman" w:eastAsia="Times New Roman" w:hAnsi="Times New Roman"/>
          <w:sz w:val="24"/>
          <w:szCs w:val="24"/>
        </w:rPr>
        <w:t>06</w:t>
      </w:r>
      <w:r w:rsidR="00A2226F" w:rsidRPr="009A3C86">
        <w:rPr>
          <w:rFonts w:ascii="Times New Roman" w:eastAsia="Times New Roman" w:hAnsi="Times New Roman"/>
          <w:sz w:val="24"/>
          <w:szCs w:val="24"/>
        </w:rPr>
        <w:t xml:space="preserve"> § 1 pkt </w:t>
      </w:r>
      <w:r w:rsidR="002A3A1F" w:rsidRPr="009A3C86">
        <w:rPr>
          <w:rFonts w:ascii="Times New Roman" w:eastAsia="Times New Roman" w:hAnsi="Times New Roman"/>
          <w:sz w:val="24"/>
          <w:szCs w:val="24"/>
        </w:rPr>
        <w:t xml:space="preserve">11 </w:t>
      </w:r>
      <w:r w:rsidRPr="009A3C86">
        <w:rPr>
          <w:rFonts w:ascii="Times New Roman" w:eastAsia="Times New Roman" w:hAnsi="Times New Roman"/>
          <w:sz w:val="24"/>
          <w:szCs w:val="24"/>
        </w:rPr>
        <w:t xml:space="preserve">i art. </w:t>
      </w:r>
      <w:r w:rsidR="00DB5B6B" w:rsidRPr="009A3C86">
        <w:rPr>
          <w:rFonts w:ascii="Times New Roman" w:eastAsia="Times New Roman" w:hAnsi="Times New Roman"/>
          <w:sz w:val="24"/>
          <w:szCs w:val="24"/>
        </w:rPr>
        <w:t xml:space="preserve">110 </w:t>
      </w:r>
      <w:r w:rsidRPr="009A3C86">
        <w:rPr>
          <w:rFonts w:ascii="Times New Roman" w:eastAsia="Times New Roman" w:hAnsi="Times New Roman"/>
          <w:sz w:val="24"/>
          <w:szCs w:val="24"/>
        </w:rPr>
        <w:t xml:space="preserve">pkt </w:t>
      </w:r>
      <w:r w:rsidRPr="009A3C86">
        <w:rPr>
          <w:rFonts w:ascii="Times New Roman" w:eastAsia="Times New Roman" w:hAnsi="Times New Roman"/>
          <w:color w:val="000000"/>
          <w:sz w:val="24"/>
          <w:szCs w:val="24"/>
        </w:rPr>
        <w:t xml:space="preserve">8 </w:t>
      </w:r>
      <w:r w:rsidR="002A3A1F" w:rsidRPr="009A3C86">
        <w:rPr>
          <w:rFonts w:ascii="Times New Roman" w:eastAsia="Times New Roman" w:hAnsi="Times New Roman"/>
          <w:color w:val="000000"/>
          <w:sz w:val="24"/>
          <w:szCs w:val="24"/>
        </w:rPr>
        <w:t>projektu</w:t>
      </w:r>
      <w:r w:rsidR="00581C5F" w:rsidRPr="009A3C86">
        <w:rPr>
          <w:rFonts w:ascii="Times New Roman" w:eastAsia="Times New Roman" w:hAnsi="Times New Roman"/>
          <w:color w:val="000000"/>
          <w:sz w:val="24"/>
          <w:szCs w:val="24"/>
        </w:rPr>
        <w:t>.</w:t>
      </w:r>
      <w:r w:rsidRPr="009A3C86">
        <w:rPr>
          <w:rFonts w:ascii="Times New Roman" w:eastAsia="Times New Roman" w:hAnsi="Times New Roman"/>
          <w:color w:val="FF0000"/>
          <w:sz w:val="24"/>
          <w:szCs w:val="24"/>
        </w:rPr>
        <w:t xml:space="preserve"> </w:t>
      </w:r>
      <w:r w:rsidRPr="009A3C86">
        <w:rPr>
          <w:rFonts w:ascii="Times New Roman" w:eastAsia="Times New Roman" w:hAnsi="Times New Roman"/>
          <w:color w:val="000000"/>
          <w:sz w:val="24"/>
          <w:szCs w:val="24"/>
        </w:rPr>
        <w:t xml:space="preserve">Przepis </w:t>
      </w:r>
      <w:r w:rsidRPr="009A3C86">
        <w:rPr>
          <w:rFonts w:ascii="Times New Roman" w:eastAsia="Times New Roman" w:hAnsi="Times New Roman"/>
          <w:b/>
          <w:color w:val="000000"/>
          <w:sz w:val="24"/>
          <w:szCs w:val="24"/>
        </w:rPr>
        <w:t xml:space="preserve">art. </w:t>
      </w:r>
      <w:r w:rsidR="00DB5B6B" w:rsidRPr="009A3C86">
        <w:rPr>
          <w:rFonts w:ascii="Times New Roman" w:eastAsia="Times New Roman" w:hAnsi="Times New Roman"/>
          <w:b/>
          <w:color w:val="000000"/>
          <w:sz w:val="24"/>
          <w:szCs w:val="24"/>
        </w:rPr>
        <w:t>11</w:t>
      </w:r>
      <w:r w:rsidR="00D103D1" w:rsidRPr="009A3C86">
        <w:rPr>
          <w:rFonts w:ascii="Times New Roman" w:eastAsia="Times New Roman" w:hAnsi="Times New Roman"/>
          <w:b/>
          <w:color w:val="000000"/>
          <w:sz w:val="24"/>
          <w:szCs w:val="24"/>
        </w:rPr>
        <w:t>2</w:t>
      </w:r>
      <w:r w:rsidR="00DB5B6B" w:rsidRPr="009A3C86">
        <w:rPr>
          <w:rFonts w:ascii="Times New Roman" w:eastAsia="Times New Roman" w:hAnsi="Times New Roman"/>
          <w:b/>
          <w:color w:val="000000"/>
          <w:sz w:val="24"/>
          <w:szCs w:val="24"/>
        </w:rPr>
        <w:t xml:space="preserve"> </w:t>
      </w:r>
      <w:r w:rsidRPr="009A3C86">
        <w:rPr>
          <w:rFonts w:ascii="Times New Roman" w:eastAsia="Times New Roman" w:hAnsi="Times New Roman"/>
          <w:b/>
          <w:color w:val="000000"/>
          <w:sz w:val="24"/>
          <w:szCs w:val="24"/>
        </w:rPr>
        <w:t>§ 2</w:t>
      </w:r>
      <w:r w:rsidRPr="009A3C86">
        <w:rPr>
          <w:rFonts w:ascii="Times New Roman" w:eastAsia="Times New Roman" w:hAnsi="Times New Roman"/>
          <w:color w:val="000000"/>
          <w:sz w:val="24"/>
          <w:szCs w:val="24"/>
        </w:rPr>
        <w:t xml:space="preserve"> projektu wprowadza nowe uprawnienie dla Szefa Krajowej Administracji Skarbowej polegające na możliwości udostępnienia przez niego organom, o którym mowa w art.</w:t>
      </w:r>
      <w:r w:rsidR="00AA1B8D" w:rsidRPr="009A3C86">
        <w:rPr>
          <w:rFonts w:ascii="Times New Roman" w:eastAsia="Times New Roman" w:hAnsi="Times New Roman"/>
          <w:color w:val="000000"/>
          <w:sz w:val="24"/>
          <w:szCs w:val="24"/>
        </w:rPr>
        <w:t xml:space="preserve"> </w:t>
      </w:r>
      <w:r w:rsidR="00DB5B6B" w:rsidRPr="009A3C86">
        <w:rPr>
          <w:rFonts w:ascii="Times New Roman" w:eastAsia="Times New Roman" w:hAnsi="Times New Roman"/>
          <w:color w:val="000000"/>
          <w:sz w:val="24"/>
          <w:szCs w:val="24"/>
        </w:rPr>
        <w:t xml:space="preserve">106 </w:t>
      </w:r>
      <w:r w:rsidRPr="009A3C86">
        <w:rPr>
          <w:rFonts w:ascii="Times New Roman" w:eastAsia="Times New Roman" w:hAnsi="Times New Roman"/>
          <w:color w:val="000000"/>
          <w:sz w:val="24"/>
          <w:szCs w:val="24"/>
        </w:rPr>
        <w:t xml:space="preserve">projektu danych z ksiąg podatkowych, dowodów księgowych i prowadzonych ewidencji, o </w:t>
      </w:r>
      <w:r w:rsidRPr="009A3C86">
        <w:rPr>
          <w:rFonts w:ascii="Times New Roman" w:eastAsia="Times New Roman" w:hAnsi="Times New Roman"/>
          <w:color w:val="000000"/>
          <w:sz w:val="24"/>
          <w:szCs w:val="24"/>
        </w:rPr>
        <w:lastRenderedPageBreak/>
        <w:t>której mowa w art. 109 ust. 3 ustawy o podatku od towarów i usług. Przesłanką udzielenia tych danych i informacji jest</w:t>
      </w:r>
      <w:r w:rsidR="00370F72" w:rsidRPr="009A3C86">
        <w:rPr>
          <w:rFonts w:ascii="Times New Roman" w:eastAsia="Times New Roman" w:hAnsi="Times New Roman"/>
          <w:color w:val="000000"/>
          <w:sz w:val="24"/>
          <w:szCs w:val="24"/>
        </w:rPr>
        <w:t>,</w:t>
      </w:r>
      <w:r w:rsidRPr="009A3C86">
        <w:rPr>
          <w:rFonts w:ascii="Times New Roman" w:eastAsia="Times New Roman" w:hAnsi="Times New Roman"/>
          <w:color w:val="000000"/>
          <w:sz w:val="24"/>
          <w:szCs w:val="24"/>
        </w:rPr>
        <w:t xml:space="preserve"> by żądanie miało związek z wykonywaniem przez te organy zadań ustawowych. </w:t>
      </w:r>
      <w:r w:rsidR="00B002CF" w:rsidRPr="009A3C86">
        <w:rPr>
          <w:rFonts w:ascii="Times New Roman" w:eastAsia="Times New Roman" w:hAnsi="Times New Roman"/>
          <w:color w:val="000000"/>
          <w:sz w:val="24"/>
          <w:szCs w:val="24"/>
        </w:rPr>
        <w:t>W</w:t>
      </w:r>
      <w:r w:rsidRPr="009A3C86">
        <w:rPr>
          <w:rFonts w:ascii="Times New Roman" w:eastAsia="Times New Roman" w:hAnsi="Times New Roman"/>
          <w:color w:val="000000"/>
          <w:sz w:val="24"/>
          <w:szCs w:val="24"/>
        </w:rPr>
        <w:t xml:space="preserve"> </w:t>
      </w:r>
      <w:r w:rsidRPr="009A3C86">
        <w:rPr>
          <w:rFonts w:ascii="Times New Roman" w:eastAsia="Times New Roman" w:hAnsi="Times New Roman"/>
          <w:b/>
          <w:color w:val="000000"/>
          <w:sz w:val="24"/>
          <w:szCs w:val="24"/>
        </w:rPr>
        <w:t xml:space="preserve">art. </w:t>
      </w:r>
      <w:r w:rsidR="00D103D1" w:rsidRPr="009A3C86">
        <w:rPr>
          <w:rFonts w:ascii="Times New Roman" w:eastAsia="Times New Roman" w:hAnsi="Times New Roman"/>
          <w:b/>
          <w:color w:val="000000"/>
          <w:sz w:val="24"/>
          <w:szCs w:val="24"/>
        </w:rPr>
        <w:t>111</w:t>
      </w:r>
      <w:r w:rsidR="00D103D1"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dodano </w:t>
      </w:r>
      <w:r w:rsidRPr="009A3C86">
        <w:rPr>
          <w:rFonts w:ascii="Times New Roman" w:eastAsia="Times New Roman" w:hAnsi="Times New Roman"/>
          <w:b/>
          <w:color w:val="000000"/>
          <w:sz w:val="24"/>
          <w:szCs w:val="24"/>
        </w:rPr>
        <w:t xml:space="preserve">pkt </w:t>
      </w:r>
      <w:r w:rsidR="00D103D1" w:rsidRPr="009A3C86">
        <w:rPr>
          <w:rFonts w:ascii="Times New Roman" w:eastAsia="Times New Roman" w:hAnsi="Times New Roman"/>
          <w:b/>
          <w:color w:val="000000"/>
          <w:sz w:val="24"/>
          <w:szCs w:val="24"/>
        </w:rPr>
        <w:t>14</w:t>
      </w:r>
      <w:r w:rsidR="00D103D1"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uprawniający Prezesa Urzędu Regulacji Energetyki do otrzymywania akt spraw podatkowych, bez informacji, o których mowa w art. </w:t>
      </w:r>
      <w:r w:rsidR="00D103D1" w:rsidRPr="009A3C86">
        <w:rPr>
          <w:rFonts w:ascii="Times New Roman" w:eastAsia="Times New Roman" w:hAnsi="Times New Roman"/>
          <w:color w:val="000000"/>
          <w:sz w:val="24"/>
          <w:szCs w:val="24"/>
        </w:rPr>
        <w:t xml:space="preserve">402 </w:t>
      </w:r>
      <w:r w:rsidRPr="009A3C86">
        <w:rPr>
          <w:rFonts w:ascii="Times New Roman" w:eastAsia="Times New Roman" w:hAnsi="Times New Roman"/>
          <w:color w:val="000000"/>
          <w:sz w:val="24"/>
          <w:szCs w:val="24"/>
        </w:rPr>
        <w:t>projektu, w zakresie niezbędnym do udzielania lub cofania koncesji oraz w zakresie dotyczącym podstaw oraz prawidłowości obliczenia opłaty koncesyjnej.</w:t>
      </w:r>
      <w:r w:rsidR="00B002CF" w:rsidRPr="009A3C86">
        <w:rPr>
          <w:rFonts w:ascii="Times New Roman" w:eastAsia="Times New Roman" w:hAnsi="Times New Roman"/>
          <w:color w:val="000000"/>
          <w:sz w:val="24"/>
          <w:szCs w:val="24"/>
        </w:rPr>
        <w:t xml:space="preserve"> Natomiast w </w:t>
      </w:r>
      <w:r w:rsidR="00B002CF" w:rsidRPr="009A3C86">
        <w:rPr>
          <w:rFonts w:ascii="Times New Roman" w:eastAsia="Times New Roman" w:hAnsi="Times New Roman"/>
          <w:b/>
          <w:color w:val="000000"/>
          <w:sz w:val="24"/>
          <w:szCs w:val="24"/>
        </w:rPr>
        <w:t xml:space="preserve">art. </w:t>
      </w:r>
      <w:r w:rsidR="00D103D1" w:rsidRPr="009A3C86">
        <w:rPr>
          <w:rFonts w:ascii="Times New Roman" w:eastAsia="Times New Roman" w:hAnsi="Times New Roman"/>
          <w:b/>
          <w:color w:val="000000"/>
          <w:sz w:val="24"/>
          <w:szCs w:val="24"/>
        </w:rPr>
        <w:t>111</w:t>
      </w:r>
      <w:r w:rsidR="00D103D1" w:rsidRPr="009A3C86">
        <w:rPr>
          <w:rFonts w:ascii="Times New Roman" w:eastAsia="Times New Roman" w:hAnsi="Times New Roman"/>
          <w:color w:val="000000"/>
          <w:sz w:val="24"/>
          <w:szCs w:val="24"/>
        </w:rPr>
        <w:t xml:space="preserve"> </w:t>
      </w:r>
      <w:r w:rsidR="00B002CF" w:rsidRPr="009A3C86">
        <w:rPr>
          <w:rFonts w:ascii="Times New Roman" w:eastAsia="Times New Roman" w:hAnsi="Times New Roman"/>
          <w:color w:val="000000"/>
          <w:sz w:val="24"/>
          <w:szCs w:val="24"/>
        </w:rPr>
        <w:t xml:space="preserve">w </w:t>
      </w:r>
      <w:r w:rsidR="00B002CF" w:rsidRPr="009A3C86">
        <w:rPr>
          <w:rFonts w:ascii="Times New Roman" w:eastAsia="Times New Roman" w:hAnsi="Times New Roman"/>
          <w:b/>
          <w:color w:val="000000"/>
          <w:sz w:val="24"/>
          <w:szCs w:val="24"/>
        </w:rPr>
        <w:t xml:space="preserve">pkt </w:t>
      </w:r>
      <w:r w:rsidR="00D103D1" w:rsidRPr="009A3C86">
        <w:rPr>
          <w:rFonts w:ascii="Times New Roman" w:eastAsia="Times New Roman" w:hAnsi="Times New Roman"/>
          <w:b/>
          <w:color w:val="000000"/>
          <w:sz w:val="24"/>
          <w:szCs w:val="24"/>
        </w:rPr>
        <w:t>16</w:t>
      </w:r>
      <w:r w:rsidR="00D103D1" w:rsidRPr="009A3C86">
        <w:rPr>
          <w:rFonts w:ascii="Times New Roman" w:eastAsia="Cambria" w:hAnsi="Times New Roman"/>
          <w:sz w:val="24"/>
          <w:szCs w:val="24"/>
        </w:rPr>
        <w:t xml:space="preserve"> </w:t>
      </w:r>
      <w:r w:rsidR="00B002CF" w:rsidRPr="009A3C86">
        <w:rPr>
          <w:rFonts w:ascii="Times New Roman" w:eastAsia="Times New Roman" w:hAnsi="Times New Roman"/>
          <w:color w:val="000000"/>
          <w:sz w:val="24"/>
          <w:szCs w:val="24"/>
        </w:rPr>
        <w:t>zapewniono Prezesowi UOKiK dostęp do akt spraw podatkowych na potrzeby toczącego się postępowania</w:t>
      </w:r>
      <w:r w:rsidR="00B002CF" w:rsidRPr="009A3C86">
        <w:rPr>
          <w:rFonts w:eastAsiaTheme="minorEastAsia"/>
        </w:rPr>
        <w:t xml:space="preserve"> </w:t>
      </w:r>
      <w:r w:rsidR="00B002CF" w:rsidRPr="009A3C86">
        <w:rPr>
          <w:rFonts w:ascii="Times New Roman" w:eastAsia="Times New Roman" w:hAnsi="Times New Roman"/>
          <w:color w:val="000000"/>
          <w:sz w:val="24"/>
          <w:szCs w:val="24"/>
        </w:rPr>
        <w:t>prowadzonym na podstawie przepisów ustawy z dnia 16 lutego 2007 r. o ochronie konkurencji i konsumentów (Dz. U. z 2018 r. poz. 798, 650, 1637, 1669, 2243 oraz z 2019 r. poz. 128 i …) oraz przepisów ustawy z dnia 15 grudnia 2016 r. o przeciwdziałaniu nieuczciwemu wykorzystywaniu przewagi kontraktowej w obrocie produktami rolnymi i spożywczymi (Dz. U. z 2017 r. poz. 67 oraz z 2018 r. poz. 650, 1637, 2203 i …).</w:t>
      </w:r>
    </w:p>
    <w:p w:rsidR="00FA30AA" w:rsidRPr="009A3C86" w:rsidRDefault="00FA30AA" w:rsidP="00FA30AA">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Dotychczasowy przepis art. 298 pkt 6 o.p. został w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11</w:t>
      </w:r>
      <w:r w:rsidR="00EE6AA9" w:rsidRPr="009A3C86">
        <w:rPr>
          <w:rFonts w:ascii="Times New Roman" w:eastAsia="Times New Roman" w:hAnsi="Times New Roman"/>
          <w:b/>
          <w:sz w:val="24"/>
          <w:szCs w:val="24"/>
        </w:rPr>
        <w:t>1</w:t>
      </w:r>
      <w:r w:rsidR="00DB5B6B"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pkt 9</w:t>
      </w:r>
      <w:r w:rsidRPr="009A3C86">
        <w:rPr>
          <w:rFonts w:ascii="Times New Roman" w:eastAsia="Times New Roman" w:hAnsi="Times New Roman"/>
          <w:sz w:val="24"/>
          <w:szCs w:val="24"/>
        </w:rPr>
        <w:t xml:space="preserve"> projektu uzupełniony o możliwość udostępniania biegłym akt sprawy podatkowej także w trakcie czynności sprawdzających i postępowania o ustalenie wartości rzeczy lub praw majątkowych. W </w:t>
      </w:r>
      <w:r w:rsidRPr="009A3C86">
        <w:rPr>
          <w:rFonts w:ascii="Times New Roman" w:eastAsia="Times New Roman" w:hAnsi="Times New Roman"/>
          <w:b/>
          <w:sz w:val="24"/>
          <w:szCs w:val="24"/>
        </w:rPr>
        <w:t>art.</w:t>
      </w:r>
      <w:r w:rsidRPr="009A3C86">
        <w:rPr>
          <w:rFonts w:ascii="Times New Roman" w:eastAsia="Times New Roman" w:hAnsi="Times New Roman"/>
          <w:b/>
          <w:bCs/>
          <w:sz w:val="24"/>
          <w:szCs w:val="24"/>
        </w:rPr>
        <w:t xml:space="preserve"> </w:t>
      </w:r>
      <w:r w:rsidR="00497FF3" w:rsidRPr="009A3C86">
        <w:rPr>
          <w:rFonts w:ascii="Times New Roman" w:eastAsia="Times New Roman" w:hAnsi="Times New Roman"/>
          <w:b/>
          <w:sz w:val="24"/>
          <w:szCs w:val="24"/>
        </w:rPr>
        <w:t xml:space="preserve">114 </w:t>
      </w:r>
      <w:r w:rsidRPr="009A3C86">
        <w:rPr>
          <w:rFonts w:ascii="Times New Roman" w:eastAsia="Times New Roman" w:hAnsi="Times New Roman"/>
          <w:b/>
          <w:sz w:val="24"/>
          <w:szCs w:val="24"/>
        </w:rPr>
        <w:t>§ 5 pkt 2</w:t>
      </w:r>
      <w:r w:rsidRPr="009A3C86">
        <w:rPr>
          <w:rFonts w:ascii="Times New Roman" w:eastAsia="Times New Roman" w:hAnsi="Times New Roman"/>
          <w:sz w:val="24"/>
          <w:szCs w:val="24"/>
        </w:rPr>
        <w:t xml:space="preserve"> rozszerzono uprawnienie komorników sądowych i administracyjnych organów egzekucyjnych do otrzymywania informacji o numerach rachunków bankowych, także w postępowaniu zabezpieczającym. Jednakże w </w:t>
      </w:r>
      <w:r w:rsidRPr="009A3C86">
        <w:rPr>
          <w:rFonts w:ascii="Times New Roman" w:eastAsia="Times New Roman" w:hAnsi="Times New Roman"/>
          <w:b/>
          <w:sz w:val="24"/>
          <w:szCs w:val="24"/>
        </w:rPr>
        <w:t xml:space="preserve">art. </w:t>
      </w:r>
      <w:r w:rsidR="00497FF3" w:rsidRPr="009A3C86">
        <w:rPr>
          <w:rFonts w:ascii="Times New Roman" w:eastAsia="Times New Roman" w:hAnsi="Times New Roman"/>
          <w:b/>
          <w:sz w:val="24"/>
          <w:szCs w:val="24"/>
        </w:rPr>
        <w:t xml:space="preserve">115 </w:t>
      </w:r>
      <w:r w:rsidRPr="009A3C86">
        <w:rPr>
          <w:rFonts w:ascii="Times New Roman" w:eastAsia="Times New Roman" w:hAnsi="Times New Roman"/>
          <w:sz w:val="24"/>
          <w:szCs w:val="24"/>
        </w:rPr>
        <w:t xml:space="preserve">projektu przewidziano, że komornicy sądowi będą obciążeni obowiązkiem uiszczania opłaty za udzielenie informacji, o których mowa </w:t>
      </w:r>
      <w:r w:rsidR="00B53BAC" w:rsidRPr="009A3C86">
        <w:rPr>
          <w:rFonts w:ascii="Times New Roman" w:eastAsia="Times New Roman" w:hAnsi="Times New Roman"/>
          <w:sz w:val="24"/>
          <w:szCs w:val="24"/>
        </w:rPr>
        <w:t xml:space="preserve">w art. 113 § 1 pkt 3 oraz art. 114 § 3 pkt 6 i § 5 pkt 2 projektu </w:t>
      </w:r>
      <w:r w:rsidRPr="009A3C86">
        <w:rPr>
          <w:rFonts w:ascii="Times New Roman" w:eastAsia="Times New Roman" w:hAnsi="Times New Roman"/>
          <w:sz w:val="24"/>
          <w:szCs w:val="24"/>
        </w:rPr>
        <w:t xml:space="preserve"> (dotychczas w tym </w:t>
      </w:r>
      <w:r w:rsidR="00480F20" w:rsidRPr="009A3C86">
        <w:rPr>
          <w:rFonts w:ascii="Times New Roman" w:eastAsia="Times New Roman" w:hAnsi="Times New Roman"/>
          <w:sz w:val="24"/>
          <w:szCs w:val="24"/>
        </w:rPr>
        <w:t xml:space="preserve">pierwszym </w:t>
      </w:r>
      <w:r w:rsidRPr="009A3C86">
        <w:rPr>
          <w:rFonts w:ascii="Times New Roman" w:eastAsia="Times New Roman" w:hAnsi="Times New Roman"/>
          <w:sz w:val="24"/>
          <w:szCs w:val="24"/>
        </w:rPr>
        <w:t xml:space="preserve">przypadku opłat nie ponosili). Przepis </w:t>
      </w:r>
      <w:r w:rsidRPr="009A3C86">
        <w:rPr>
          <w:rFonts w:ascii="Times New Roman" w:eastAsia="Times New Roman" w:hAnsi="Times New Roman"/>
          <w:b/>
          <w:sz w:val="24"/>
          <w:szCs w:val="24"/>
        </w:rPr>
        <w:t xml:space="preserve">art. </w:t>
      </w:r>
      <w:r w:rsidR="00422EF1" w:rsidRPr="009A3C86">
        <w:rPr>
          <w:rFonts w:ascii="Times New Roman" w:eastAsia="Times New Roman" w:hAnsi="Times New Roman"/>
          <w:b/>
          <w:sz w:val="24"/>
          <w:szCs w:val="24"/>
        </w:rPr>
        <w:t xml:space="preserve">113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w zakresie </w:t>
      </w:r>
      <w:r w:rsidRPr="009A3C86">
        <w:rPr>
          <w:rFonts w:ascii="Times New Roman" w:eastAsia="Times New Roman" w:hAnsi="Times New Roman"/>
          <w:b/>
          <w:sz w:val="24"/>
          <w:szCs w:val="24"/>
        </w:rPr>
        <w:t>pkt 1-9 i 12</w:t>
      </w:r>
      <w:r w:rsidRPr="009A3C86">
        <w:rPr>
          <w:rFonts w:ascii="Times New Roman" w:eastAsia="Times New Roman" w:hAnsi="Times New Roman"/>
          <w:sz w:val="24"/>
          <w:szCs w:val="24"/>
        </w:rPr>
        <w:t xml:space="preserve"> projektu jest powtórzeniem art. 15 ust. 2 ustawy o ewidencji i identyfikacji podatników, zaś jego </w:t>
      </w:r>
      <w:r w:rsidRPr="009A3C86">
        <w:rPr>
          <w:rFonts w:ascii="Times New Roman" w:eastAsia="Times New Roman" w:hAnsi="Times New Roman"/>
          <w:b/>
          <w:sz w:val="24"/>
          <w:szCs w:val="24"/>
        </w:rPr>
        <w:t>pkt 10</w:t>
      </w:r>
      <w:r w:rsidRPr="009A3C86">
        <w:rPr>
          <w:rFonts w:ascii="Times New Roman" w:eastAsia="Times New Roman" w:hAnsi="Times New Roman"/>
          <w:sz w:val="24"/>
          <w:szCs w:val="24"/>
        </w:rPr>
        <w:t xml:space="preserve"> umożliwi bankom i spółdzielczym kasom oszczędnościowym wykonywanie ich zadań ustawowych. Z kolei przepis</w:t>
      </w:r>
      <w:r w:rsidR="00866324" w:rsidRPr="009A3C86">
        <w:rPr>
          <w:rFonts w:ascii="Times New Roman" w:eastAsia="Times New Roman" w:hAnsi="Times New Roman"/>
          <w:sz w:val="24"/>
          <w:szCs w:val="24"/>
        </w:rPr>
        <w:t>y</w:t>
      </w:r>
      <w:r w:rsidRPr="009A3C86">
        <w:rPr>
          <w:rFonts w:ascii="Times New Roman" w:eastAsia="Times New Roman" w:hAnsi="Times New Roman"/>
          <w:sz w:val="24"/>
          <w:szCs w:val="24"/>
        </w:rPr>
        <w:t xml:space="preserve"> </w:t>
      </w:r>
      <w:r w:rsidRPr="009A3C86">
        <w:rPr>
          <w:rFonts w:ascii="Times New Roman" w:eastAsia="Times New Roman" w:hAnsi="Times New Roman"/>
          <w:b/>
          <w:sz w:val="24"/>
          <w:szCs w:val="24"/>
        </w:rPr>
        <w:t>art. </w:t>
      </w:r>
      <w:r w:rsidR="009B1208" w:rsidRPr="009A3C86">
        <w:rPr>
          <w:rFonts w:ascii="Times New Roman" w:eastAsia="Times New Roman" w:hAnsi="Times New Roman"/>
          <w:b/>
          <w:sz w:val="24"/>
          <w:szCs w:val="24"/>
        </w:rPr>
        <w:t xml:space="preserve">113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w:t>
      </w:r>
      <w:r w:rsidR="00866324" w:rsidRPr="009A3C86">
        <w:rPr>
          <w:rFonts w:ascii="Times New Roman" w:eastAsia="Times New Roman" w:hAnsi="Times New Roman"/>
          <w:sz w:val="24"/>
          <w:szCs w:val="24"/>
        </w:rPr>
        <w:t>i</w:t>
      </w:r>
      <w:r w:rsidR="00866324" w:rsidRPr="009A3C86">
        <w:rPr>
          <w:rFonts w:ascii="Times New Roman" w:eastAsia="Times New Roman" w:hAnsi="Times New Roman"/>
          <w:b/>
          <w:sz w:val="24"/>
          <w:szCs w:val="24"/>
        </w:rPr>
        <w:t xml:space="preserve"> 8</w:t>
      </w:r>
      <w:r w:rsidR="00866324" w:rsidRPr="009A3C86">
        <w:rPr>
          <w:rFonts w:ascii="Times New Roman" w:eastAsia="Times New Roman" w:hAnsi="Times New Roman"/>
          <w:sz w:val="24"/>
          <w:szCs w:val="24"/>
        </w:rPr>
        <w:t xml:space="preserve"> są </w:t>
      </w:r>
      <w:r w:rsidRPr="009A3C86">
        <w:rPr>
          <w:rFonts w:ascii="Times New Roman" w:eastAsia="Times New Roman" w:hAnsi="Times New Roman"/>
          <w:sz w:val="24"/>
          <w:szCs w:val="24"/>
        </w:rPr>
        <w:t>dostosowanym odpowiednikiem art.</w:t>
      </w:r>
      <w:r w:rsidR="00F0592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15 ust. 5 </w:t>
      </w:r>
      <w:r w:rsidR="00866324" w:rsidRPr="009A3C86">
        <w:rPr>
          <w:rFonts w:ascii="Times New Roman" w:eastAsia="Times New Roman" w:hAnsi="Times New Roman"/>
          <w:sz w:val="24"/>
          <w:szCs w:val="24"/>
        </w:rPr>
        <w:t xml:space="preserve">i 6 </w:t>
      </w:r>
      <w:r w:rsidRPr="009A3C86">
        <w:rPr>
          <w:rFonts w:ascii="Times New Roman" w:eastAsia="Times New Roman" w:hAnsi="Times New Roman"/>
          <w:sz w:val="24"/>
          <w:szCs w:val="24"/>
        </w:rPr>
        <w:t xml:space="preserve">ustawy o ewidencji i identyfikacji podatników i płatników. Przepis </w:t>
      </w:r>
      <w:r w:rsidRPr="009A3C86">
        <w:rPr>
          <w:rFonts w:ascii="Times New Roman" w:eastAsia="Times New Roman" w:hAnsi="Times New Roman"/>
          <w:b/>
          <w:sz w:val="24"/>
          <w:szCs w:val="24"/>
        </w:rPr>
        <w:t xml:space="preserve">art. </w:t>
      </w:r>
      <w:r w:rsidR="009B1208" w:rsidRPr="009A3C86">
        <w:rPr>
          <w:rFonts w:ascii="Times New Roman" w:eastAsia="Times New Roman" w:hAnsi="Times New Roman"/>
          <w:b/>
          <w:sz w:val="24"/>
          <w:szCs w:val="24"/>
        </w:rPr>
        <w:t>116</w:t>
      </w:r>
      <w:r w:rsidR="009B1208"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i </w:t>
      </w:r>
      <w:r w:rsidRPr="009A3C86">
        <w:rPr>
          <w:rFonts w:ascii="Times New Roman" w:eastAsia="Times New Roman" w:hAnsi="Times New Roman"/>
          <w:b/>
          <w:sz w:val="24"/>
          <w:szCs w:val="24"/>
        </w:rPr>
        <w:t>art.</w:t>
      </w:r>
      <w:r w:rsidR="004D6061" w:rsidRPr="009A3C86">
        <w:rPr>
          <w:rFonts w:ascii="Times New Roman" w:eastAsia="Times New Roman" w:hAnsi="Times New Roman"/>
          <w:b/>
          <w:sz w:val="24"/>
          <w:szCs w:val="24"/>
        </w:rPr>
        <w:t xml:space="preserve"> </w:t>
      </w:r>
      <w:r w:rsidR="009B1208" w:rsidRPr="009A3C86">
        <w:rPr>
          <w:rFonts w:ascii="Times New Roman" w:eastAsia="Times New Roman" w:hAnsi="Times New Roman"/>
          <w:b/>
          <w:sz w:val="24"/>
          <w:szCs w:val="24"/>
        </w:rPr>
        <w:t>117</w:t>
      </w:r>
      <w:r w:rsidR="009B1208"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projektu jest powtórzeniem odpowiednio art. 15a ustawy o ewidencji i identyfikacji podatników i płatników oraz art. 299a o.p</w:t>
      </w:r>
      <w:r w:rsidRPr="009A3C86">
        <w:rPr>
          <w:rFonts w:ascii="Times New Roman" w:eastAsia="Times New Roman" w:hAnsi="Times New Roman"/>
          <w:color w:val="000000"/>
          <w:sz w:val="24"/>
          <w:szCs w:val="24"/>
        </w:rPr>
        <w:t xml:space="preserve">. Przepis </w:t>
      </w:r>
      <w:r w:rsidRPr="009A3C86">
        <w:rPr>
          <w:rFonts w:ascii="Times New Roman" w:eastAsia="Times New Roman" w:hAnsi="Times New Roman"/>
          <w:b/>
          <w:color w:val="000000"/>
          <w:sz w:val="24"/>
          <w:szCs w:val="24"/>
        </w:rPr>
        <w:t xml:space="preserve">art. </w:t>
      </w:r>
      <w:r w:rsidR="009B1208" w:rsidRPr="009A3C86">
        <w:rPr>
          <w:rFonts w:ascii="Times New Roman" w:eastAsia="Times New Roman" w:hAnsi="Times New Roman"/>
          <w:b/>
          <w:color w:val="000000"/>
          <w:sz w:val="24"/>
          <w:szCs w:val="24"/>
        </w:rPr>
        <w:t xml:space="preserve">118 </w:t>
      </w:r>
      <w:r w:rsidRPr="009A3C86">
        <w:rPr>
          <w:rFonts w:ascii="Times New Roman" w:eastAsia="Times New Roman" w:hAnsi="Times New Roman"/>
          <w:b/>
          <w:color w:val="000000"/>
          <w:sz w:val="24"/>
          <w:szCs w:val="24"/>
        </w:rPr>
        <w:t>§ 2</w:t>
      </w:r>
      <w:r w:rsidRPr="009A3C86">
        <w:rPr>
          <w:rFonts w:ascii="Times New Roman" w:eastAsia="Times New Roman" w:hAnsi="Times New Roman"/>
          <w:color w:val="000000"/>
          <w:sz w:val="24"/>
          <w:szCs w:val="24"/>
        </w:rPr>
        <w:t xml:space="preserve"> jest w zasadzie powtórzeniem obecnej regulacji zawartej w art. 299b § 1 o.p., ale w </w:t>
      </w:r>
      <w:r w:rsidRPr="009A3C86">
        <w:rPr>
          <w:rFonts w:ascii="Times New Roman" w:eastAsia="Times New Roman" w:hAnsi="Times New Roman"/>
          <w:b/>
          <w:color w:val="000000"/>
          <w:sz w:val="24"/>
          <w:szCs w:val="24"/>
        </w:rPr>
        <w:t xml:space="preserve">art. </w:t>
      </w:r>
      <w:r w:rsidR="009B1208" w:rsidRPr="009A3C86">
        <w:rPr>
          <w:rFonts w:ascii="Times New Roman" w:eastAsia="Times New Roman" w:hAnsi="Times New Roman"/>
          <w:b/>
          <w:color w:val="000000"/>
          <w:sz w:val="24"/>
          <w:szCs w:val="24"/>
        </w:rPr>
        <w:t xml:space="preserve">118 </w:t>
      </w:r>
      <w:r w:rsidRPr="009A3C86">
        <w:rPr>
          <w:rFonts w:ascii="Times New Roman" w:eastAsia="Times New Roman" w:hAnsi="Times New Roman"/>
          <w:b/>
          <w:color w:val="000000"/>
          <w:sz w:val="24"/>
          <w:szCs w:val="24"/>
        </w:rPr>
        <w:t>§ 1</w:t>
      </w:r>
      <w:r w:rsidRPr="009A3C86">
        <w:rPr>
          <w:rFonts w:ascii="Times New Roman" w:eastAsia="Times New Roman" w:hAnsi="Times New Roman"/>
          <w:color w:val="000000"/>
          <w:sz w:val="24"/>
          <w:szCs w:val="24"/>
        </w:rPr>
        <w:t xml:space="preserve"> przewidziano możliwość ujawnienia przez Szefa Krajowej Administracji Skarbowej informacji stanowiących tajemnicę skarbową, z wyłączeniem informacji stanowiących informację inną niż skarbowa, o ile zaistnieje przesłanka ważnego interesu publicznego oraz gdy będzie to konieczne dla osiągnięcia celów kontroli podatkowej, kontroli celno-skarbowej lub postępowania podatkowego i jeżeli ujawnienie tych informacji urzeczywistni prawo obywateli do ich rzetelnego informowania o działaniach organów podatkowych i jawności życia publicznego. Warunkiem ujawnienia tych </w:t>
      </w:r>
      <w:r w:rsidRPr="009A3C86">
        <w:rPr>
          <w:rFonts w:ascii="Times New Roman" w:eastAsia="Times New Roman" w:hAnsi="Times New Roman"/>
          <w:color w:val="000000"/>
          <w:sz w:val="24"/>
          <w:szCs w:val="24"/>
        </w:rPr>
        <w:lastRenderedPageBreak/>
        <w:t>informacji przez Szefa Krajowej Administracji Skarbowej jest uzyskanie zgody ministra właściwego do spraw finansów publicznych, na ich ujawnienie. Ponadto ujawnienie informacji dotyczy tylko informacji z zakresu postępowań prowadzonych przez Szefa Krajowej Administracji Skarbowej. Tego</w:t>
      </w:r>
      <w:r w:rsidRPr="009A3C86">
        <w:rPr>
          <w:rFonts w:ascii="Times New Roman" w:eastAsia="Times New Roman" w:hAnsi="Times New Roman"/>
          <w:sz w:val="24"/>
          <w:szCs w:val="24"/>
        </w:rPr>
        <w:t xml:space="preserve"> uprawnienia nie miał dotąd </w:t>
      </w:r>
      <w:r w:rsidR="00F0592B" w:rsidRPr="009A3C86">
        <w:rPr>
          <w:rFonts w:ascii="Times New Roman" w:eastAsia="Times New Roman" w:hAnsi="Times New Roman"/>
          <w:sz w:val="24"/>
          <w:szCs w:val="24"/>
        </w:rPr>
        <w:t>Szef Krajowej Administracji Skarbowej</w:t>
      </w:r>
      <w:r w:rsidRPr="009A3C86">
        <w:rPr>
          <w:rFonts w:ascii="Times New Roman" w:eastAsia="Times New Roman" w:hAnsi="Times New Roman"/>
          <w:sz w:val="24"/>
          <w:szCs w:val="24"/>
        </w:rPr>
        <w:t xml:space="preserve">. Mógł on dotychczas wyrazić tylko zgodę na ujawnienie tych informacji przez naczelników urzędów skarbowych, naczelników urzędów celno-skarbowych, dyrektorów izb administracji skarbowej. Równocześnie w </w:t>
      </w:r>
      <w:r w:rsidRPr="009A3C86">
        <w:rPr>
          <w:rFonts w:ascii="Times New Roman" w:eastAsia="Times New Roman" w:hAnsi="Times New Roman"/>
          <w:b/>
          <w:sz w:val="24"/>
          <w:szCs w:val="24"/>
        </w:rPr>
        <w:t xml:space="preserve">art. </w:t>
      </w:r>
      <w:r w:rsidR="00486560" w:rsidRPr="009A3C86">
        <w:rPr>
          <w:rFonts w:ascii="Times New Roman" w:eastAsia="Times New Roman" w:hAnsi="Times New Roman"/>
          <w:b/>
          <w:sz w:val="24"/>
          <w:szCs w:val="24"/>
        </w:rPr>
        <w:t xml:space="preserve">118 </w:t>
      </w:r>
      <w:r w:rsidRPr="009A3C86">
        <w:rPr>
          <w:rFonts w:ascii="Times New Roman" w:eastAsia="Times New Roman" w:hAnsi="Times New Roman"/>
          <w:b/>
          <w:sz w:val="24"/>
          <w:szCs w:val="24"/>
        </w:rPr>
        <w:t>§ 5</w:t>
      </w:r>
      <w:r w:rsidRPr="009A3C86">
        <w:rPr>
          <w:rFonts w:ascii="Times New Roman" w:eastAsia="Times New Roman" w:hAnsi="Times New Roman"/>
          <w:sz w:val="24"/>
          <w:szCs w:val="24"/>
        </w:rPr>
        <w:t xml:space="preserve"> projektu wprowadzono obowiązek organu ujawniającego informacje stanowiące tajemnicę skarbową, o których mowa w tym przepisie, poinformowania zainteresowanych o tym ujawnieniu. Jest to realizacja zasady ogólnej z art. 19 projektu postępowania w sposób budzący zaufanie do organów podatkowych. Nie naruszy to uprawnienia tych zainteresowanych (zobowiązanych) do ochrony prywatności, gdyż jest to rozwiązanie wyjątkowe, obwarowane przesłankami ważnego interesu publicznego i urzeczywistnienia prawa obywateli do rzetelnego informowania o działaniach organów podatkowych i jawności życia publicznego. Co istotne przesłanki te muszą być spełnione łącznie (</w:t>
      </w:r>
      <w:r w:rsidRPr="009A3C86">
        <w:rPr>
          <w:rFonts w:ascii="Times New Roman" w:eastAsia="Times New Roman" w:hAnsi="Times New Roman"/>
          <w:b/>
          <w:sz w:val="24"/>
          <w:szCs w:val="24"/>
        </w:rPr>
        <w:t xml:space="preserve">art. </w:t>
      </w:r>
      <w:r w:rsidR="00486560" w:rsidRPr="009A3C86">
        <w:rPr>
          <w:rFonts w:ascii="Times New Roman" w:eastAsia="Times New Roman" w:hAnsi="Times New Roman"/>
          <w:b/>
          <w:sz w:val="24"/>
          <w:szCs w:val="24"/>
        </w:rPr>
        <w:t xml:space="preserve">118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w:t>
      </w:r>
    </w:p>
    <w:p w:rsidR="00FA30AA" w:rsidRPr="009A3C86" w:rsidRDefault="00FA30AA" w:rsidP="00FA30AA">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sz w:val="24"/>
          <w:szCs w:val="24"/>
        </w:rPr>
        <w:t xml:space="preserve">Przepis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11</w:t>
      </w:r>
      <w:r w:rsidR="005A5B10" w:rsidRPr="009A3C86">
        <w:rPr>
          <w:rFonts w:ascii="Times New Roman" w:eastAsia="Times New Roman" w:hAnsi="Times New Roman"/>
          <w:b/>
          <w:sz w:val="24"/>
          <w:szCs w:val="24"/>
        </w:rPr>
        <w:t>9</w:t>
      </w:r>
      <w:r w:rsidR="00DB5B6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jest powtórzeniem, z niezbędnym dostosowaniem, art. 299c o.p., a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1</w:t>
      </w:r>
      <w:r w:rsidR="005A5B10" w:rsidRPr="009A3C86">
        <w:rPr>
          <w:rFonts w:ascii="Times New Roman" w:eastAsia="Times New Roman" w:hAnsi="Times New Roman"/>
          <w:b/>
          <w:sz w:val="24"/>
          <w:szCs w:val="24"/>
        </w:rPr>
        <w:t>20</w:t>
      </w:r>
      <w:r w:rsidR="00DB5B6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odpowiednikiem art. 299d, także z odpowiednim dostosowaniem. Zamieszczone w projekcie przepisy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119</w:t>
      </w:r>
      <w:r w:rsidR="00DB5B6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i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120</w:t>
      </w:r>
      <w:r w:rsidR="00DB5B6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są powtórzeniem odpowiednio art. 301 i art. 305 o.p., z niezbędnymi dostosowaniami. Przepis </w:t>
      </w:r>
      <w:r w:rsidRPr="009A3C86">
        <w:rPr>
          <w:rFonts w:ascii="Times New Roman" w:eastAsia="Times New Roman" w:hAnsi="Times New Roman"/>
          <w:b/>
          <w:sz w:val="24"/>
          <w:szCs w:val="24"/>
        </w:rPr>
        <w:t xml:space="preserve">art. </w:t>
      </w:r>
      <w:r w:rsidR="00DB5B6B" w:rsidRPr="009A3C86">
        <w:rPr>
          <w:rFonts w:ascii="Times New Roman" w:eastAsia="Times New Roman" w:hAnsi="Times New Roman"/>
          <w:b/>
          <w:sz w:val="24"/>
          <w:szCs w:val="24"/>
        </w:rPr>
        <w:t>12</w:t>
      </w:r>
      <w:r w:rsidR="005A5B10" w:rsidRPr="009A3C86">
        <w:rPr>
          <w:rFonts w:ascii="Times New Roman" w:eastAsia="Times New Roman" w:hAnsi="Times New Roman"/>
          <w:b/>
          <w:sz w:val="24"/>
          <w:szCs w:val="24"/>
        </w:rPr>
        <w:t>2</w:t>
      </w:r>
      <w:r w:rsidR="00DB5B6B" w:rsidRPr="009A3C86">
        <w:rPr>
          <w:rFonts w:ascii="Times New Roman" w:eastAsia="Times New Roman" w:hAnsi="Times New Roman"/>
          <w:sz w:val="24"/>
          <w:szCs w:val="24"/>
        </w:rPr>
        <w:t xml:space="preserve"> </w:t>
      </w:r>
      <w:r w:rsidR="00CE6458" w:rsidRPr="009A3C86">
        <w:rPr>
          <w:rFonts w:ascii="Times New Roman" w:eastAsia="Times New Roman" w:hAnsi="Times New Roman"/>
          <w:b/>
          <w:sz w:val="24"/>
          <w:szCs w:val="24"/>
        </w:rPr>
        <w:t>§ 1</w:t>
      </w:r>
      <w:r w:rsidR="00975144"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projektu ma zapewnić ministrowi właściwemu do spraw finansów publicznych dostęp do indywidualnych danych podatkowych w celach analitycznych. Organ ten wykonując zadania ustawowe m.in. w zakresie stanowienia prawa, przygotowywania oceny skutków wprowadzonych regulacji musi mieć możliwość korzystania z zasobów danych indywidualnych oraz ze zbiorów gromadzonych przez organy podatkowe w tym i samorządowe. Aby proces legislacyjny przebiegał sprawnie niezbędne jest sporządzenie projektów aktów prawnych w sposób możliwie najbardziej rzetelny i wiarogodny. Duża część przygotowywanych - przez ten organ - projektów aktów prawnych dotyczy prawa podatkowego, a opracowywane dla nich oceny skutków opierają się często o analizę dużych zbiorów indywidualnych deklaracji podatkowych oraz innych danych, rachunkowych, księgowych itp. gromadzonych przez organy podatkowe. Uwzględniając powyższe, niezbędne jest zapewnienie ministrowi właściwemu do spraw finansów publicznych dostępu do powyższych danych. Nie będzie to więc naruszeniem przepisów o </w:t>
      </w:r>
      <w:r w:rsidRPr="009A3C86">
        <w:rPr>
          <w:rFonts w:ascii="Times New Roman" w:eastAsia="Times New Roman" w:hAnsi="Times New Roman"/>
          <w:color w:val="000000"/>
          <w:sz w:val="24"/>
          <w:szCs w:val="24"/>
        </w:rPr>
        <w:t xml:space="preserve">tajemnicy skarbowej. W projekcie NOP dotychczasowy art. 14 § 2 o.p. został przeniesiony do </w:t>
      </w:r>
      <w:r w:rsidRPr="009A3C86">
        <w:rPr>
          <w:rFonts w:ascii="Times New Roman" w:eastAsia="Times New Roman" w:hAnsi="Times New Roman"/>
          <w:b/>
          <w:color w:val="000000"/>
          <w:sz w:val="24"/>
          <w:szCs w:val="24"/>
        </w:rPr>
        <w:t xml:space="preserve">art. </w:t>
      </w:r>
      <w:r w:rsidR="00DB5B6B" w:rsidRPr="009A3C86">
        <w:rPr>
          <w:rFonts w:ascii="Times New Roman" w:eastAsia="Times New Roman" w:hAnsi="Times New Roman"/>
          <w:b/>
          <w:color w:val="000000"/>
          <w:sz w:val="24"/>
          <w:szCs w:val="24"/>
        </w:rPr>
        <w:t>122</w:t>
      </w:r>
      <w:r w:rsidR="00CE6458" w:rsidRPr="009A3C86">
        <w:rPr>
          <w:rFonts w:ascii="Times New Roman" w:eastAsia="Times New Roman" w:hAnsi="Times New Roman"/>
          <w:b/>
          <w:color w:val="000000"/>
          <w:sz w:val="24"/>
          <w:szCs w:val="24"/>
        </w:rPr>
        <w:t xml:space="preserve"> § 2</w:t>
      </w:r>
      <w:r w:rsidR="00975144"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projektu albowiem jest on systemowo powiązany z przepisami o tajemnicy skarbowej. Dlatego też przepis </w:t>
      </w:r>
      <w:r w:rsidR="00CE6458" w:rsidRPr="009A3C86">
        <w:rPr>
          <w:rFonts w:ascii="Times New Roman" w:eastAsia="Times New Roman" w:hAnsi="Times New Roman"/>
          <w:color w:val="000000"/>
          <w:sz w:val="24"/>
          <w:szCs w:val="24"/>
        </w:rPr>
        <w:t xml:space="preserve">art. 122 § </w:t>
      </w:r>
      <w:r w:rsidR="000F43E3" w:rsidRPr="009A3C86">
        <w:rPr>
          <w:rFonts w:ascii="Times New Roman" w:eastAsia="Times New Roman" w:hAnsi="Times New Roman"/>
          <w:color w:val="000000"/>
          <w:sz w:val="24"/>
          <w:szCs w:val="24"/>
        </w:rPr>
        <w:t xml:space="preserve">2 </w:t>
      </w:r>
      <w:r w:rsidRPr="009A3C86">
        <w:rPr>
          <w:rFonts w:ascii="Times New Roman" w:eastAsia="Times New Roman" w:hAnsi="Times New Roman"/>
          <w:color w:val="000000"/>
          <w:sz w:val="24"/>
          <w:szCs w:val="24"/>
        </w:rPr>
        <w:t xml:space="preserve">projektu otrzymał treść uprawniającą ministra właściwego do spraw </w:t>
      </w:r>
      <w:r w:rsidRPr="009A3C86">
        <w:rPr>
          <w:rFonts w:ascii="Times New Roman" w:eastAsia="Times New Roman" w:hAnsi="Times New Roman"/>
          <w:color w:val="000000"/>
          <w:sz w:val="24"/>
          <w:szCs w:val="24"/>
        </w:rPr>
        <w:lastRenderedPageBreak/>
        <w:t>finansów publicznych do przetwarzania danych z deklaracji podatkowych składanych do naczelników urzędów skarbowych i naczelników urzędów celno</w:t>
      </w:r>
      <w:r w:rsidR="0081423D" w:rsidRPr="009A3C86">
        <w:rPr>
          <w:rFonts w:ascii="Times New Roman" w:eastAsia="Times New Roman" w:hAnsi="Times New Roman"/>
          <w:color w:val="000000"/>
          <w:sz w:val="24"/>
          <w:szCs w:val="24"/>
        </w:rPr>
        <w:t>-</w:t>
      </w:r>
      <w:r w:rsidRPr="009A3C86">
        <w:rPr>
          <w:rFonts w:ascii="Times New Roman" w:eastAsia="Times New Roman" w:hAnsi="Times New Roman"/>
          <w:color w:val="000000"/>
          <w:sz w:val="24"/>
          <w:szCs w:val="24"/>
        </w:rPr>
        <w:t>skarbowych. Minister właściwy do spraw finansów publicznych zgodnie z art. 7</w:t>
      </w:r>
      <w:r w:rsidR="001B5B68" w:rsidRPr="009A3C86">
        <w:rPr>
          <w:rFonts w:ascii="Times New Roman" w:eastAsia="Times New Roman" w:hAnsi="Times New Roman"/>
          <w:color w:val="000000"/>
          <w:sz w:val="24"/>
          <w:szCs w:val="24"/>
        </w:rPr>
        <w:t>1</w:t>
      </w:r>
      <w:r w:rsidRPr="009A3C86">
        <w:rPr>
          <w:rFonts w:ascii="Times New Roman" w:eastAsia="Times New Roman" w:hAnsi="Times New Roman"/>
          <w:color w:val="000000"/>
          <w:sz w:val="24"/>
          <w:szCs w:val="24"/>
        </w:rPr>
        <w:t xml:space="preserve"> projektu sprawuje nadzór ogólny w sprawach podatkowych. Odpowiada też za inne zadania przewidziane w ustawach jak. np. w art. 8 ustawy z dnia 4 września 1997 r. o działach administracji rządowej.</w:t>
      </w:r>
      <w:r w:rsidRPr="009A3C86">
        <w:rPr>
          <w:rFonts w:ascii="Times New Roman" w:eastAsia="Times New Roman" w:hAnsi="Times New Roman"/>
          <w:color w:val="000000"/>
          <w:sz w:val="24"/>
          <w:szCs w:val="24"/>
          <w:vertAlign w:val="superscript"/>
        </w:rPr>
        <w:footnoteReference w:id="192"/>
      </w:r>
      <w:r w:rsidRPr="009A3C86">
        <w:rPr>
          <w:rFonts w:ascii="Times New Roman" w:eastAsia="Times New Roman" w:hAnsi="Times New Roman"/>
          <w:color w:val="000000"/>
          <w:sz w:val="24"/>
          <w:szCs w:val="24"/>
        </w:rPr>
        <w:t xml:space="preserve"> Natomiast Szef Krajowej Administracji Skarbowej zgodnie z art. 14 ustawy o Krajowej Administracji Skarbowej wykonuje szereg zadań do realizacji, których niezbędne jest uprawnienie do przetwarzania danych z deklaracji podatkowych uzyskanych przez naczelników urzędów skarbowych i naczelników urzędów celno - skarbowych, oraz informacji</w:t>
      </w:r>
      <w:r w:rsidR="008B4DE4" w:rsidRPr="009A3C86">
        <w:rPr>
          <w:rFonts w:ascii="Times New Roman" w:eastAsia="Times New Roman" w:hAnsi="Times New Roman"/>
          <w:color w:val="000000"/>
          <w:sz w:val="24"/>
          <w:szCs w:val="24"/>
        </w:rPr>
        <w:t>,</w:t>
      </w:r>
      <w:r w:rsidRPr="009A3C86">
        <w:rPr>
          <w:rFonts w:ascii="Times New Roman" w:eastAsia="Times New Roman" w:hAnsi="Times New Roman"/>
          <w:color w:val="000000"/>
          <w:sz w:val="24"/>
          <w:szCs w:val="24"/>
        </w:rPr>
        <w:t xml:space="preserve"> o których mowa w dziale </w:t>
      </w:r>
      <w:r w:rsidR="00411C2B" w:rsidRPr="009A3C86">
        <w:rPr>
          <w:rFonts w:ascii="Times New Roman" w:eastAsia="Times New Roman" w:hAnsi="Times New Roman"/>
          <w:color w:val="000000"/>
          <w:sz w:val="24"/>
          <w:szCs w:val="24"/>
        </w:rPr>
        <w:t xml:space="preserve">II </w:t>
      </w:r>
      <w:r w:rsidRPr="009A3C86">
        <w:rPr>
          <w:rFonts w:ascii="Times New Roman" w:eastAsia="Times New Roman" w:hAnsi="Times New Roman"/>
          <w:color w:val="000000"/>
          <w:sz w:val="24"/>
          <w:szCs w:val="24"/>
        </w:rPr>
        <w:t xml:space="preserve">rozdziale </w:t>
      </w:r>
      <w:r w:rsidR="00411C2B" w:rsidRPr="009A3C86">
        <w:rPr>
          <w:rFonts w:ascii="Times New Roman" w:eastAsia="Times New Roman" w:hAnsi="Times New Roman"/>
          <w:color w:val="000000"/>
          <w:sz w:val="24"/>
          <w:szCs w:val="24"/>
        </w:rPr>
        <w:t xml:space="preserve">15 </w:t>
      </w:r>
      <w:r w:rsidRPr="009A3C86">
        <w:rPr>
          <w:rFonts w:ascii="Times New Roman" w:eastAsia="Times New Roman" w:hAnsi="Times New Roman"/>
          <w:color w:val="000000"/>
          <w:sz w:val="24"/>
          <w:szCs w:val="24"/>
        </w:rPr>
        <w:t xml:space="preserve">projektu. Przepis </w:t>
      </w:r>
      <w:r w:rsidRPr="009A3C86">
        <w:rPr>
          <w:rFonts w:ascii="Times New Roman" w:eastAsia="Times New Roman" w:hAnsi="Times New Roman"/>
          <w:b/>
          <w:color w:val="000000"/>
          <w:sz w:val="24"/>
          <w:szCs w:val="24"/>
        </w:rPr>
        <w:t>art. 12</w:t>
      </w:r>
      <w:r w:rsidR="00DB2630" w:rsidRPr="009A3C86">
        <w:rPr>
          <w:rFonts w:ascii="Times New Roman" w:eastAsia="Times New Roman" w:hAnsi="Times New Roman"/>
          <w:b/>
          <w:color w:val="000000"/>
          <w:sz w:val="24"/>
          <w:szCs w:val="24"/>
        </w:rPr>
        <w:t xml:space="preserve">3 </w:t>
      </w:r>
      <w:r w:rsidRPr="009A3C86">
        <w:rPr>
          <w:rFonts w:ascii="Times New Roman" w:eastAsia="Times New Roman" w:hAnsi="Times New Roman"/>
          <w:color w:val="000000"/>
          <w:sz w:val="24"/>
          <w:szCs w:val="24"/>
        </w:rPr>
        <w:t>projektu jest odpowiednikiem art.</w:t>
      </w:r>
      <w:r w:rsidR="005412CC"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14 § 3 o.p.</w:t>
      </w:r>
    </w:p>
    <w:p w:rsidR="0078491C" w:rsidRPr="009A3C86" w:rsidRDefault="0078491C" w:rsidP="0078491C">
      <w:pPr>
        <w:spacing w:after="0" w:line="360" w:lineRule="auto"/>
        <w:jc w:val="both"/>
        <w:rPr>
          <w:rFonts w:ascii="Times New Roman" w:hAnsi="Times New Roman"/>
          <w:b/>
          <w:kern w:val="24"/>
          <w:sz w:val="24"/>
          <w:szCs w:val="24"/>
        </w:rPr>
      </w:pPr>
      <w:r w:rsidRPr="009A3C86">
        <w:rPr>
          <w:rFonts w:ascii="Times New Roman" w:hAnsi="Times New Roman"/>
          <w:b/>
          <w:kern w:val="24"/>
          <w:sz w:val="24"/>
          <w:szCs w:val="24"/>
        </w:rPr>
        <w:t>Rozdział 12. Terminy</w:t>
      </w:r>
    </w:p>
    <w:p w:rsidR="0078491C" w:rsidRPr="009A3C86" w:rsidRDefault="0078491C" w:rsidP="0078491C">
      <w:pPr>
        <w:spacing w:after="0" w:line="360" w:lineRule="auto"/>
        <w:jc w:val="both"/>
        <w:rPr>
          <w:rFonts w:ascii="Times New Roman" w:hAnsi="Times New Roman"/>
          <w:kern w:val="24"/>
          <w:sz w:val="24"/>
          <w:szCs w:val="24"/>
        </w:rPr>
      </w:pPr>
      <w:r w:rsidRPr="009A3C86">
        <w:rPr>
          <w:rFonts w:ascii="Times New Roman" w:hAnsi="Times New Roman"/>
          <w:kern w:val="24"/>
          <w:sz w:val="24"/>
          <w:szCs w:val="24"/>
        </w:rPr>
        <w:t>1. W dotychczasowym stanie prawnym regulacje dotyczące terminów w prawie podatkowym były rozproszone w różnych miejscach ordynacji podatkowej. W nowym akcie prawnym wyodrębniono w rozdziale 12 działu I zasady obliczania terminów, w tym zasady ich przywracania, celem stworzenia jednolitej regulacji obejmującej wszystkie, zarówno materialne, jak i procesowe terminy występujące w prawie podatkowym</w:t>
      </w:r>
      <w:r w:rsidRPr="009A3C86">
        <w:rPr>
          <w:rFonts w:ascii="Times New Roman" w:hAnsi="Times New Roman"/>
          <w:kern w:val="24"/>
          <w:sz w:val="24"/>
          <w:szCs w:val="24"/>
          <w:vertAlign w:val="superscript"/>
        </w:rPr>
        <w:footnoteReference w:id="193"/>
      </w:r>
      <w:r w:rsidRPr="009A3C86">
        <w:rPr>
          <w:rFonts w:ascii="Times New Roman" w:hAnsi="Times New Roman"/>
          <w:kern w:val="24"/>
          <w:sz w:val="24"/>
          <w:szCs w:val="24"/>
        </w:rPr>
        <w:t>.</w:t>
      </w:r>
      <w:r w:rsidRPr="009A3C86">
        <w:rPr>
          <w:rFonts w:ascii="Times New Roman" w:hAnsi="Times New Roman"/>
          <w:sz w:val="24"/>
          <w:szCs w:val="24"/>
        </w:rPr>
        <w:t xml:space="preserve"> Omawiane przepisy mają zastosowanie do wszystkich spraw podatkowych, stąd ich umiejscowienie w przepisach ogólnych nowego aktu. </w:t>
      </w:r>
    </w:p>
    <w:p w:rsidR="0078491C" w:rsidRPr="009A3C86" w:rsidRDefault="0078491C" w:rsidP="0078491C">
      <w:pPr>
        <w:spacing w:after="0" w:line="360" w:lineRule="auto"/>
        <w:jc w:val="both"/>
        <w:rPr>
          <w:rFonts w:ascii="Times New Roman" w:hAnsi="Times New Roman"/>
          <w:kern w:val="24"/>
          <w:sz w:val="24"/>
          <w:szCs w:val="24"/>
        </w:rPr>
      </w:pPr>
      <w:r w:rsidRPr="009A3C86">
        <w:rPr>
          <w:rFonts w:ascii="Times New Roman" w:hAnsi="Times New Roman"/>
          <w:kern w:val="24"/>
          <w:sz w:val="24"/>
          <w:szCs w:val="24"/>
        </w:rPr>
        <w:t xml:space="preserve">2. Regulacje zawarte w rozdziale 12 opierają się na rozwiązaniach dotychczasowych, z pewnymi modyfikacjami, polegającymi na usystematyzowaniu przepisów związanych z obliczaniem terminów, zasad dotyczących terminów płatności oraz przywracania terminów materialnych i procesowych. </w:t>
      </w:r>
    </w:p>
    <w:p w:rsidR="0078491C" w:rsidRPr="009A3C86" w:rsidRDefault="00810D84" w:rsidP="0078491C">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
          <w:bCs/>
          <w:kern w:val="24"/>
          <w:sz w:val="24"/>
          <w:szCs w:val="24"/>
          <w:lang w:eastAsia="pl-PL"/>
        </w:rPr>
        <w:t>Art. 124</w:t>
      </w:r>
      <w:r w:rsidRPr="009A3C86">
        <w:rPr>
          <w:rFonts w:ascii="Times New Roman" w:eastAsia="Times New Roman" w:hAnsi="Times New Roman"/>
          <w:bCs/>
          <w:kern w:val="24"/>
          <w:sz w:val="24"/>
          <w:szCs w:val="24"/>
          <w:lang w:eastAsia="pl-PL"/>
        </w:rPr>
        <w:t xml:space="preserve"> </w:t>
      </w:r>
      <w:r w:rsidR="0078491C" w:rsidRPr="009A3C86">
        <w:rPr>
          <w:rFonts w:ascii="Times New Roman" w:eastAsia="Times New Roman" w:hAnsi="Times New Roman"/>
          <w:bCs/>
          <w:kern w:val="24"/>
          <w:sz w:val="24"/>
          <w:szCs w:val="24"/>
          <w:lang w:eastAsia="pl-PL"/>
        </w:rPr>
        <w:t>przewiduje</w:t>
      </w:r>
      <w:r w:rsidR="0078491C" w:rsidRPr="009A3C86">
        <w:rPr>
          <w:rFonts w:ascii="Times New Roman" w:eastAsia="Times New Roman" w:hAnsi="Times New Roman"/>
          <w:bCs/>
          <w:sz w:val="24"/>
          <w:szCs w:val="24"/>
          <w:lang w:eastAsia="pl-PL"/>
        </w:rPr>
        <w:t xml:space="preserve"> zasady dotyczące liczenia terminów, stanowiąc odpowiednik dotychczasowego art. 12 o.p. W tym zakresie dokonano modyfikacji brzmienia </w:t>
      </w:r>
      <w:r w:rsidR="0078491C" w:rsidRPr="009A3C86">
        <w:rPr>
          <w:rFonts w:ascii="Times New Roman" w:eastAsia="Times New Roman" w:hAnsi="Times New Roman"/>
          <w:b/>
          <w:bCs/>
          <w:sz w:val="24"/>
          <w:szCs w:val="24"/>
          <w:lang w:eastAsia="pl-PL"/>
        </w:rPr>
        <w:t xml:space="preserve">art. </w:t>
      </w:r>
      <w:r w:rsidR="008C1043" w:rsidRPr="009A3C86">
        <w:rPr>
          <w:rFonts w:ascii="Times New Roman" w:eastAsia="Times New Roman" w:hAnsi="Times New Roman"/>
          <w:b/>
          <w:bCs/>
          <w:sz w:val="24"/>
          <w:szCs w:val="24"/>
          <w:lang w:eastAsia="pl-PL"/>
        </w:rPr>
        <w:t xml:space="preserve">124 </w:t>
      </w:r>
      <w:r w:rsidR="0078491C" w:rsidRPr="009A3C86">
        <w:rPr>
          <w:rFonts w:ascii="Times New Roman" w:eastAsia="Times New Roman" w:hAnsi="Times New Roman"/>
          <w:b/>
          <w:bCs/>
          <w:sz w:val="24"/>
          <w:szCs w:val="24"/>
          <w:lang w:eastAsia="pl-PL"/>
        </w:rPr>
        <w:t>§ 5</w:t>
      </w:r>
      <w:r w:rsidR="0078491C" w:rsidRPr="009A3C86">
        <w:rPr>
          <w:rFonts w:ascii="Times New Roman" w:eastAsia="Times New Roman" w:hAnsi="Times New Roman"/>
          <w:bCs/>
          <w:sz w:val="24"/>
          <w:szCs w:val="24"/>
          <w:lang w:eastAsia="pl-PL"/>
        </w:rPr>
        <w:t xml:space="preserve"> poprzez przyjęcie na gruncie regulacji podatkowych definicji zgodnej z art. 115 ustawy z dnia 23 kwietnia 1964 r. - </w:t>
      </w:r>
      <w:r w:rsidR="0078491C" w:rsidRPr="009A3C86">
        <w:rPr>
          <w:rFonts w:ascii="Times New Roman" w:eastAsia="Times New Roman" w:hAnsi="Times New Roman"/>
          <w:bCs/>
          <w:i/>
          <w:iCs/>
          <w:sz w:val="24"/>
          <w:szCs w:val="24"/>
          <w:lang w:eastAsia="pl-PL"/>
        </w:rPr>
        <w:t>Kodeks cywilny</w:t>
      </w:r>
      <w:r w:rsidR="0078491C" w:rsidRPr="009A3C86">
        <w:rPr>
          <w:rFonts w:ascii="Times New Roman" w:eastAsia="Times New Roman" w:hAnsi="Times New Roman"/>
          <w:bCs/>
          <w:sz w:val="24"/>
          <w:szCs w:val="24"/>
          <w:lang w:eastAsia="pl-PL"/>
        </w:rPr>
        <w:t>, co zniweluje mogące pojawiać się wątpliwości interpretacyjne w zakresie tego czy sobota jest dniem wolnym od pracy na gruncie przepisów podatkowych. Zgodnie z nowym brzmieniem tego przepisu jeżeli koniec terminu do wykonania czynności przypada na dzień uznany ustawowo za wolny od pracy lub na sobotę, termin upływa następnego dnia, który nie jest dniem wolnym od pracy ani sobotą, chyba że ustawy podatkowe stanowią inaczej.</w:t>
      </w:r>
    </w:p>
    <w:p w:rsidR="0078491C" w:rsidRPr="009A3C86" w:rsidRDefault="0078491C" w:rsidP="0078491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Ponadto w § 6 w pkt 1 który wskazuje na okoliczności w których termin uważa się za zachowany, doprecyzowano że jeżeli przed jego upływem pismo zostało wysłane w postaci elektronicznej do organu podatkowego to termin uważa się również za zachowany także w sytuacji gdy nadawca otrzymał urzędowe poświadczenie odbioru po jego upływie. </w:t>
      </w:r>
      <w:r w:rsidR="008C1043" w:rsidRPr="009A3C86">
        <w:rPr>
          <w:rFonts w:ascii="Times New Roman" w:hAnsi="Times New Roman"/>
          <w:b/>
          <w:sz w:val="24"/>
          <w:szCs w:val="24"/>
        </w:rPr>
        <w:t xml:space="preserve">Art. </w:t>
      </w:r>
      <w:r w:rsidR="00A911B6" w:rsidRPr="009A3C86">
        <w:rPr>
          <w:rFonts w:ascii="Times New Roman" w:hAnsi="Times New Roman"/>
          <w:b/>
          <w:sz w:val="24"/>
          <w:szCs w:val="24"/>
        </w:rPr>
        <w:t>12</w:t>
      </w:r>
      <w:r w:rsidR="008C1043" w:rsidRPr="009A3C86">
        <w:rPr>
          <w:rFonts w:ascii="Times New Roman" w:hAnsi="Times New Roman"/>
          <w:b/>
          <w:sz w:val="24"/>
          <w:szCs w:val="24"/>
        </w:rPr>
        <w:t>5</w:t>
      </w:r>
      <w:r w:rsidR="00A911B6" w:rsidRPr="009A3C86">
        <w:rPr>
          <w:rFonts w:ascii="Times New Roman" w:hAnsi="Times New Roman"/>
          <w:sz w:val="24"/>
          <w:szCs w:val="24"/>
        </w:rPr>
        <w:t xml:space="preserve"> </w:t>
      </w:r>
      <w:r w:rsidRPr="009A3C86">
        <w:rPr>
          <w:rFonts w:ascii="Times New Roman" w:hAnsi="Times New Roman"/>
          <w:sz w:val="24"/>
          <w:szCs w:val="24"/>
        </w:rPr>
        <w:t xml:space="preserve">normuje zasady dotyczące terminów płatności, stanowi on odpowiednik dotychczasowego art. 47 o.p. </w:t>
      </w:r>
    </w:p>
    <w:p w:rsidR="0078491C" w:rsidRPr="009A3C86" w:rsidRDefault="008C1043" w:rsidP="0078491C">
      <w:pPr>
        <w:spacing w:after="0" w:line="360" w:lineRule="auto"/>
        <w:jc w:val="both"/>
        <w:rPr>
          <w:rFonts w:ascii="Times New Roman" w:hAnsi="Times New Roman"/>
          <w:sz w:val="24"/>
          <w:szCs w:val="24"/>
        </w:rPr>
      </w:pPr>
      <w:r w:rsidRPr="009A3C86">
        <w:rPr>
          <w:rFonts w:ascii="Times New Roman" w:hAnsi="Times New Roman"/>
          <w:b/>
          <w:sz w:val="24"/>
          <w:szCs w:val="24"/>
        </w:rPr>
        <w:t>Art. 126</w:t>
      </w:r>
      <w:r w:rsidRPr="009A3C86">
        <w:rPr>
          <w:rFonts w:ascii="Times New Roman" w:hAnsi="Times New Roman"/>
          <w:sz w:val="24"/>
          <w:szCs w:val="24"/>
        </w:rPr>
        <w:t xml:space="preserve"> </w:t>
      </w:r>
      <w:r w:rsidR="0078491C" w:rsidRPr="009A3C86">
        <w:rPr>
          <w:rFonts w:ascii="Times New Roman" w:hAnsi="Times New Roman"/>
          <w:sz w:val="24"/>
          <w:szCs w:val="24"/>
        </w:rPr>
        <w:t xml:space="preserve">przewiduje zasady przywracania terminów w prawie podatkowym. Na gruncie dotychczasowych rozwiązań prawnych istniała możliwość przywrócenia jedynie terminu prawa procesowego, o czym stanowił art. 162 o.p. Aktualnie proponowane przepisy przewidują możliwość przywracania terminów procesowych oraz rozszerzają tę instytucję na terminy prawa materialnego, co stanowi najistotniejszą zmianę w aspekcie regulacji odnoszących się do terminów. </w:t>
      </w:r>
    </w:p>
    <w:p w:rsidR="0078491C" w:rsidRPr="009A3C86" w:rsidRDefault="0078491C" w:rsidP="0078491C">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Realizacją założeń nowej ordynacji podatkowej jest wprowadzenie instytucji umożliwiającej przyjęcie, iż termin materialnoprawny mimo jego uchybienia przez zainteresowanego może w wyjątkowych sytuacjach zostać przywrócony. Instytucja ta została przewidziana w art. 130 o.p. i stanowi istotne </w:t>
      </w:r>
      <w:r w:rsidRPr="009A3C86">
        <w:rPr>
          <w:rFonts w:ascii="Times New Roman" w:hAnsi="Times New Roman"/>
          <w:i/>
          <w:sz w:val="24"/>
          <w:szCs w:val="24"/>
        </w:rPr>
        <w:t xml:space="preserve">novum </w:t>
      </w:r>
      <w:r w:rsidRPr="009A3C86">
        <w:rPr>
          <w:rFonts w:ascii="Times New Roman" w:hAnsi="Times New Roman"/>
          <w:sz w:val="24"/>
          <w:szCs w:val="24"/>
        </w:rPr>
        <w:t>w porównaniu do dotychczasowych rozwiązań związanych z możliwością przywrócenia terminu prawa materialnego. Aktualne rozwiązania zastosowane na gruncie postępowania cywilnego (art. 167-178 k.p.c.</w:t>
      </w:r>
      <w:r w:rsidRPr="009A3C86">
        <w:rPr>
          <w:rFonts w:ascii="Times New Roman" w:hAnsi="Times New Roman"/>
          <w:sz w:val="24"/>
          <w:szCs w:val="24"/>
          <w:vertAlign w:val="superscript"/>
        </w:rPr>
        <w:footnoteReference w:id="194"/>
      </w:r>
      <w:r w:rsidRPr="009A3C86">
        <w:rPr>
          <w:rFonts w:ascii="Times New Roman" w:hAnsi="Times New Roman"/>
          <w:sz w:val="24"/>
          <w:szCs w:val="24"/>
        </w:rPr>
        <w:t>), postępowania karnego (art. 122-127c k.p.k.</w:t>
      </w:r>
      <w:r w:rsidRPr="009A3C86">
        <w:rPr>
          <w:rFonts w:ascii="Times New Roman" w:hAnsi="Times New Roman"/>
          <w:sz w:val="24"/>
          <w:szCs w:val="24"/>
          <w:vertAlign w:val="superscript"/>
        </w:rPr>
        <w:footnoteReference w:id="195"/>
      </w:r>
      <w:r w:rsidRPr="009A3C86">
        <w:rPr>
          <w:rFonts w:ascii="Times New Roman" w:hAnsi="Times New Roman"/>
          <w:sz w:val="24"/>
          <w:szCs w:val="24"/>
        </w:rPr>
        <w:t>), czy postępowania administracyjnego (art. 58-60 k.p.a.</w:t>
      </w:r>
      <w:r w:rsidRPr="009A3C86">
        <w:rPr>
          <w:rFonts w:ascii="Times New Roman" w:hAnsi="Times New Roman"/>
          <w:sz w:val="24"/>
          <w:szCs w:val="24"/>
          <w:vertAlign w:val="superscript"/>
        </w:rPr>
        <w:footnoteReference w:id="196"/>
      </w:r>
      <w:r w:rsidRPr="009A3C86">
        <w:rPr>
          <w:rFonts w:ascii="Times New Roman" w:hAnsi="Times New Roman"/>
          <w:sz w:val="24"/>
          <w:szCs w:val="24"/>
        </w:rPr>
        <w:t>) przewidują, co do zasady, możliwość przywrócenia terminu jedynie w aspekcie prawa procesowego. Z kolei w orzecznictwie sądów administracyjnych wskazuje się, że termin prawa materialnego jest terminem, który ogranicza w czasie dochodzenie lub inną realizację praw podmiotowych, a jego skuteczny upływ powoduje wygaśnięcie określonego prawa podmiotowego lub niemożliwość jego realizacji. Termin prawa materialnego podlega przywróceniu tylko wyjątkowo i jedynie wówczas, gdy taką możliwość przewidują przepisy określające dany termin</w:t>
      </w:r>
      <w:r w:rsidRPr="009A3C86">
        <w:rPr>
          <w:rFonts w:ascii="Times New Roman" w:hAnsi="Times New Roman"/>
          <w:sz w:val="24"/>
          <w:szCs w:val="24"/>
          <w:vertAlign w:val="superscript"/>
        </w:rPr>
        <w:footnoteReference w:id="197"/>
      </w:r>
      <w:r w:rsidRPr="009A3C86">
        <w:rPr>
          <w:rFonts w:ascii="Times New Roman" w:hAnsi="Times New Roman"/>
          <w:sz w:val="24"/>
          <w:szCs w:val="24"/>
        </w:rPr>
        <w:t xml:space="preserve">. Wprowadzenie jednej instytucji prawnej obejmującej możliwość przywrócenia terminu prawa materialnego i procesowego wydaje się być potrzebne z uwagi na fakt, iż często na gruncie przepisów materialnego prawa podatkowego istotne konsekwencje podatkowe </w:t>
      </w:r>
      <w:r w:rsidRPr="009A3C86">
        <w:rPr>
          <w:rFonts w:ascii="Times New Roman" w:hAnsi="Times New Roman"/>
          <w:sz w:val="24"/>
          <w:szCs w:val="24"/>
        </w:rPr>
        <w:lastRenderedPageBreak/>
        <w:t xml:space="preserve">związane są z zachowaniem pewnych wymogów formalnych, w określonych terminach, a ich niedopełnienie niejednokrotnie pociąga za sobą konsekwencje nieproporcjonalne do skali naruszenia. Przykładowo może dotyczyć to terminu na złożenie oświadczenia o wyborze formy opodatkowania.  Oczywiście wprowadzanie takich przepisów to kwestia konstruowania systemu podatkowego i jego ewentualnej opresyjności dla podatników. Niemniej jednak nie wydaje się zasadne, aby takie nieproporcjonalne konsekwencje związane z niedopełnieniem terminu spotykały również osoby, które bez swojej winy, z powodu okoliczności trudnych do przezwyciężenia i od siebie niezależnych, nie zachowały tego terminu. Wskazana instytucja w takich wyjątkowych sytuacjach pozwoli na przywrócenie również terminu prawa materialnego. Przesłanki zastosowania tej instytucji pozostaną analogiczne jak w przypadku przywrócenia terminu prawa procesowego. </w:t>
      </w:r>
      <w:r w:rsidRPr="009A3C86">
        <w:rPr>
          <w:rFonts w:ascii="Times New Roman" w:eastAsia="MS ??" w:hAnsi="Times New Roman"/>
          <w:sz w:val="24"/>
          <w:szCs w:val="24"/>
        </w:rPr>
        <w:t xml:space="preserve">Przy konstrukcji przepisu analizie podano czy nie byłoby zasadnym wskazanie, jakich konkretnie przepisów prawa materialnego instytucja mogłaby dotyczyć. Uznano jednak, iż </w:t>
      </w:r>
      <w:r w:rsidRPr="009A3C86">
        <w:rPr>
          <w:rFonts w:ascii="Times New Roman" w:hAnsi="Times New Roman"/>
          <w:bCs/>
          <w:sz w:val="24"/>
          <w:szCs w:val="24"/>
        </w:rPr>
        <w:t xml:space="preserve">nie byłoby celowym przyjęcie konstrukcji enumeratywnego wyliczania przypadków, w których istnieje możliwość przywrócenie terminu prawa materialnego. Taki zabieg byłby niezasadny z kilku powodów: (1) zmiana przepisów prawa materialnego każdorazowo rodziłaby potrzebę analizy czy nie zachodzi potrzeba rozszerzania katalogu; (2) stwierdzenie takie potrzeby rodziłoby konieczność nowelizacji ustawy. Wobec obawy, iż tak ogólne określenie instytucji i dopuszczenie jej wykorzystania względem szerokiej grupy przepisów może rodzić daleko idące skutki niekorzystne dla budżetu wydają się przedwczesne. Każdorazowo, aby instytucja mogła znajdować zastosowanie będzie musiał zostać spełniony warunek uprawdopodobnienia.  Jeśli chodzi o katalog wyjątków, to wskazane w nim terminy mają związek z przedawnieniem. W zamyśle chodzi o to by nie można żądać przywrócenia pewnych terminów z uwagi na działające przedawnienie zobowiązania podatkowego. </w:t>
      </w:r>
      <w:r w:rsidRPr="009A3C86">
        <w:rPr>
          <w:rFonts w:ascii="Times New Roman" w:hAnsi="Times New Roman"/>
          <w:sz w:val="24"/>
          <w:szCs w:val="24"/>
        </w:rPr>
        <w:t xml:space="preserve">Wskazana instytucja nie będzie mogła być wykorzystywana w sytuacjach, w których przepisy ogólnego prawa podatkowego ograniczają prawa podatników w związku z upływem terminu przedawnienia, tj. prawo do złożenia wniosku o stwierdzenie nadpłaty, czy też wniosku o stwierdzenie nieważności decyzji po upływie terminu przedawnienia poboru podatku. Instytucja ta nie znajdzie również zastosowania do </w:t>
      </w:r>
      <w:r w:rsidRPr="009A3C86">
        <w:rPr>
          <w:rFonts w:ascii="Times New Roman" w:eastAsia="MS ??" w:hAnsi="Times New Roman"/>
          <w:sz w:val="24"/>
          <w:szCs w:val="24"/>
        </w:rPr>
        <w:t xml:space="preserve">terminów płatności podatku, co wyraźnie zastrzeżono w </w:t>
      </w:r>
      <w:r w:rsidRPr="009A3C86">
        <w:rPr>
          <w:rFonts w:ascii="Times New Roman" w:eastAsia="MS ??" w:hAnsi="Times New Roman"/>
          <w:b/>
          <w:sz w:val="24"/>
          <w:szCs w:val="24"/>
        </w:rPr>
        <w:t xml:space="preserve">art. </w:t>
      </w:r>
      <w:r w:rsidR="00A911B6" w:rsidRPr="009A3C86">
        <w:rPr>
          <w:rFonts w:ascii="Times New Roman" w:eastAsia="MS ??" w:hAnsi="Times New Roman"/>
          <w:b/>
          <w:sz w:val="24"/>
          <w:szCs w:val="24"/>
        </w:rPr>
        <w:t>12</w:t>
      </w:r>
      <w:r w:rsidR="008E6ACC" w:rsidRPr="009A3C86">
        <w:rPr>
          <w:rFonts w:ascii="Times New Roman" w:eastAsia="MS ??" w:hAnsi="Times New Roman"/>
          <w:b/>
          <w:sz w:val="24"/>
          <w:szCs w:val="24"/>
        </w:rPr>
        <w:t>6</w:t>
      </w:r>
      <w:r w:rsidR="00A911B6" w:rsidRPr="009A3C86">
        <w:rPr>
          <w:rFonts w:ascii="Times New Roman" w:eastAsia="MS ??" w:hAnsi="Times New Roman"/>
          <w:b/>
          <w:sz w:val="24"/>
          <w:szCs w:val="24"/>
        </w:rPr>
        <w:t xml:space="preserve"> </w:t>
      </w:r>
      <w:r w:rsidRPr="009A3C86">
        <w:rPr>
          <w:rFonts w:ascii="Times New Roman" w:hAnsi="Times New Roman"/>
          <w:b/>
          <w:sz w:val="24"/>
          <w:szCs w:val="24"/>
        </w:rPr>
        <w:t xml:space="preserve">§ 1 </w:t>
      </w:r>
      <w:r w:rsidRPr="009A3C86">
        <w:rPr>
          <w:rFonts w:ascii="Times New Roman" w:eastAsia="MS ??" w:hAnsi="Times New Roman"/>
          <w:b/>
          <w:sz w:val="24"/>
          <w:szCs w:val="24"/>
        </w:rPr>
        <w:t>projektu</w:t>
      </w:r>
      <w:r w:rsidRPr="009A3C86">
        <w:rPr>
          <w:rFonts w:ascii="Times New Roman" w:eastAsia="MS ??" w:hAnsi="Times New Roman"/>
          <w:sz w:val="24"/>
          <w:szCs w:val="24"/>
        </w:rPr>
        <w:t>.</w:t>
      </w:r>
    </w:p>
    <w:p w:rsidR="0078491C" w:rsidRPr="009A3C86" w:rsidRDefault="0078491C" w:rsidP="0078491C">
      <w:pPr>
        <w:spacing w:after="0" w:line="360" w:lineRule="auto"/>
        <w:jc w:val="both"/>
        <w:rPr>
          <w:rFonts w:ascii="Times New Roman" w:hAnsi="Times New Roman"/>
          <w:sz w:val="24"/>
          <w:szCs w:val="24"/>
        </w:rPr>
      </w:pPr>
      <w:r w:rsidRPr="009A3C86">
        <w:rPr>
          <w:rFonts w:ascii="Times New Roman" w:hAnsi="Times New Roman"/>
          <w:sz w:val="24"/>
          <w:szCs w:val="24"/>
        </w:rPr>
        <w:t xml:space="preserve">3. W prawie podatkowym podobna instytucja znajdująca zastosowanie do terminów prawa materialnego, do których nie można stosować w aktualnym stanie prawnym art. 162 o.p., znajdowała się w art. 48 o.p. który przewidywał możliwość odroczenia pewnych terminów na wniosek zainteresowanego. Przepis ten, jak wskazuje się w doktrynie, może mieć zastosowanie m.in. do „terminu do złożenia deklaracji podatkowych w podatkach powstających z mocy </w:t>
      </w:r>
      <w:r w:rsidRPr="009A3C86">
        <w:rPr>
          <w:rFonts w:ascii="Times New Roman" w:hAnsi="Times New Roman"/>
          <w:sz w:val="24"/>
          <w:szCs w:val="24"/>
        </w:rPr>
        <w:lastRenderedPageBreak/>
        <w:t>prawa (podatek od towarów i usług, podatek od nieruchomości płacony przez osoby prawne i jednostki organizacyjne niemające osobowości prawnej), terminu do złożenia informacji podatkowych (podatek od nieruchomości, rolny i leśny płacony przez osoby fizyczne), terminu do złożenia oświadczenia w sprawie rezygnacji z karty podatkowej lub ryczałtu od sprzedaży ewidencjonowanej, terminu do wyboru opodatkowania według stawki liniowej w podatku dochodowym od osób fizycznych itp.”. W tym aspekcie istotną modyfikacją w stosunku do aktualnej treści art. 48 o.p. będzie umożliwienie podatnikom złożenia, w przypadku uchybienia terminu, stosownego wniosku o przywrócenie terminu jednocześnie z dopełnieniem czynności, dla której termin był wyznaczony</w:t>
      </w:r>
      <w:r w:rsidRPr="009A3C86">
        <w:rPr>
          <w:rFonts w:ascii="Times New Roman" w:hAnsi="Times New Roman"/>
          <w:sz w:val="24"/>
          <w:szCs w:val="24"/>
          <w:vertAlign w:val="superscript"/>
        </w:rPr>
        <w:footnoteReference w:id="198"/>
      </w:r>
      <w:r w:rsidRPr="009A3C86">
        <w:rPr>
          <w:rFonts w:ascii="Times New Roman" w:hAnsi="Times New Roman"/>
          <w:sz w:val="24"/>
          <w:szCs w:val="24"/>
        </w:rPr>
        <w:t xml:space="preserve">. </w:t>
      </w:r>
    </w:p>
    <w:p w:rsidR="0078491C" w:rsidRPr="009A3C86" w:rsidRDefault="0078491C" w:rsidP="0078491C">
      <w:pPr>
        <w:spacing w:after="0" w:line="360" w:lineRule="auto"/>
        <w:jc w:val="both"/>
        <w:rPr>
          <w:rFonts w:ascii="Times New Roman" w:hAnsi="Times New Roman"/>
          <w:sz w:val="24"/>
          <w:szCs w:val="24"/>
        </w:rPr>
      </w:pPr>
      <w:r w:rsidRPr="009A3C86">
        <w:rPr>
          <w:rFonts w:ascii="Times New Roman" w:hAnsi="Times New Roman"/>
          <w:sz w:val="24"/>
          <w:szCs w:val="24"/>
        </w:rPr>
        <w:t xml:space="preserve">Instytucja ta uruchamiana będzie na wniosek zainteresowanego, który zobowiązany będzie uprawdopodobnić, że uchybienie terminowi prawa materialnego nastąpiło bez jego winy. W przypadku złożonego wniosku organ podatkowy dokona rozstrzygnięcia na zasadach identycznych z wynikającymi z aktualnego art. 162 o.p. Takie rozwiązanie upodobniłoby sytuację podmiotu uchybiającego w sposób niezawiniony terminowi prawa materialnego z sytuacją podmiotu, który dopuszcza się niezawinionego uchybienia terminowi procesowemu. Na gruncie dotychczasowych przepisów prawa materialnego istniała możliwość przywrócenia terminu na złożenie wniosku o przyznanie tzw. ulgi uczniowskiej (art. 27c ust 16 u.p.d.o.f. w brzmieniu obowiązującym w 2003 r.). Była to jednak instytucja wyjątkowa i sprowadzała się do odpowiedniego stosowania do tego wniosku przepisów o przywróceniu terminu procesowego. </w:t>
      </w:r>
    </w:p>
    <w:p w:rsidR="0078491C" w:rsidRPr="009A3C86" w:rsidRDefault="008E6ACC" w:rsidP="0078491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A911B6" w:rsidRPr="009A3C86">
        <w:rPr>
          <w:rFonts w:ascii="Times New Roman" w:hAnsi="Times New Roman"/>
          <w:b/>
          <w:sz w:val="24"/>
          <w:szCs w:val="24"/>
        </w:rPr>
        <w:t>12</w:t>
      </w:r>
      <w:r w:rsidRPr="009A3C86">
        <w:rPr>
          <w:rFonts w:ascii="Times New Roman" w:hAnsi="Times New Roman"/>
          <w:b/>
          <w:sz w:val="24"/>
          <w:szCs w:val="24"/>
        </w:rPr>
        <w:t>7</w:t>
      </w:r>
      <w:r w:rsidR="00A911B6" w:rsidRPr="009A3C86">
        <w:rPr>
          <w:rFonts w:ascii="Times New Roman" w:hAnsi="Times New Roman"/>
          <w:sz w:val="24"/>
          <w:szCs w:val="24"/>
        </w:rPr>
        <w:t xml:space="preserve"> </w:t>
      </w:r>
      <w:r w:rsidR="0078491C" w:rsidRPr="009A3C86">
        <w:rPr>
          <w:rFonts w:ascii="Times New Roman" w:hAnsi="Times New Roman"/>
          <w:sz w:val="24"/>
          <w:szCs w:val="24"/>
        </w:rPr>
        <w:t>zawiera regulacje związane z możliwością przedłużenia terminu przewidzianego w prawie podatkowym, stanowiąc odpowiednik dotychczasowego art. 50 o.p.</w:t>
      </w:r>
    </w:p>
    <w:p w:rsidR="0078491C" w:rsidRPr="009A3C86" w:rsidRDefault="002C4A5B" w:rsidP="0078491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A911B6" w:rsidRPr="009A3C86">
        <w:rPr>
          <w:rFonts w:ascii="Times New Roman" w:hAnsi="Times New Roman"/>
          <w:b/>
          <w:sz w:val="24"/>
          <w:szCs w:val="24"/>
        </w:rPr>
        <w:t>12</w:t>
      </w:r>
      <w:r w:rsidRPr="009A3C86">
        <w:rPr>
          <w:rFonts w:ascii="Times New Roman" w:hAnsi="Times New Roman"/>
          <w:b/>
          <w:sz w:val="24"/>
          <w:szCs w:val="24"/>
        </w:rPr>
        <w:t>8</w:t>
      </w:r>
      <w:r w:rsidR="00A911B6" w:rsidRPr="009A3C86">
        <w:rPr>
          <w:rFonts w:ascii="Times New Roman" w:hAnsi="Times New Roman"/>
          <w:sz w:val="24"/>
          <w:szCs w:val="24"/>
        </w:rPr>
        <w:t xml:space="preserve"> </w:t>
      </w:r>
      <w:r w:rsidR="0078491C" w:rsidRPr="009A3C86">
        <w:rPr>
          <w:rFonts w:ascii="Times New Roman" w:hAnsi="Times New Roman"/>
          <w:sz w:val="24"/>
          <w:szCs w:val="24"/>
        </w:rPr>
        <w:t xml:space="preserve">zawiera unormowania dotyczące możliwości odraczania terminów wynikających z przepisów prawa podatkowego w przypadkach uzasadnionych ważnym interesem zobowiązanego lub interesem publicznym, stanowiące odpowiednik art. 48 o.p. Instytucja ta stanowi zmodyfikowaną wersję dotychczasowych rozwiązań i podobnie jak do tej pory będzie uruchamiana jedynie na wniosek zainteresowanego, na którym spoczywać będzie ciężar uprawdopodobnienia, że odroczenie terminu wynikającego z przepisu prawa podatkowego podyktowane jest jego ważnym interesem lub interesem publicznym. W przypadku złożenia wniosku organ dokona rozstrzygnięcia na zasadach wynikających z aktualnej treści art. 48 o.p. </w:t>
      </w:r>
    </w:p>
    <w:p w:rsidR="008A4042" w:rsidRPr="009A3C86" w:rsidRDefault="008A4042" w:rsidP="00D72E74">
      <w:pPr>
        <w:keepNext/>
        <w:keepLines/>
        <w:spacing w:before="240" w:after="0" w:line="360" w:lineRule="auto"/>
        <w:jc w:val="both"/>
        <w:outlineLvl w:val="1"/>
        <w:rPr>
          <w:rFonts w:ascii="Times New Roman" w:hAnsi="Times New Roman"/>
          <w:b/>
          <w:sz w:val="24"/>
          <w:szCs w:val="24"/>
        </w:rPr>
      </w:pPr>
      <w:r w:rsidRPr="009A3C86">
        <w:rPr>
          <w:rFonts w:ascii="Times New Roman" w:hAnsi="Times New Roman"/>
          <w:b/>
          <w:sz w:val="24"/>
          <w:szCs w:val="24"/>
        </w:rPr>
        <w:lastRenderedPageBreak/>
        <w:t>Dział II. Zobowiązania podatkowe</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projektowanym dziale II znalazły się w większości rozwiązania aktualnie uregulowane w dziale III o.p. „Zobowiązania podatkowe”. Są to przepisy dotyczące sposobów powstawania zobowiązań podatkowych, obowiązków związanych z wykonaniem zobowiązania (deklaracje, informacje podatkowe, przechowywanie ksiąg podatkowych, rachunki) oraz wygasaniem zobowiązań. W tej części ordynacji podatkowej uregulowano też problematykę wadliwego wykonania zobowiązania i konsekwencji takiego stanu rzeczy (zaległość podatkowa i odsetki za zwłokę oraz nadpłaty), a także dodatkowego zobowiązania podatkowego. Dział uzupełniają regulacje dotyczące przedawnienia (rozdział 7), ulg w spłacie (rozdział 9), zasad odpowiedzialności poszczególnych kategorii podmiotów zobowiązanych (rozdziały 10-12), wykonywania zobowiązań solidarnych (rozdział 13) oraz informowania o schematach podatkowych (rozdział 15).</w:t>
      </w:r>
    </w:p>
    <w:p w:rsidR="008A4042" w:rsidRPr="009A3C86" w:rsidRDefault="008A4042" w:rsidP="00D72E74">
      <w:pPr>
        <w:tabs>
          <w:tab w:val="num" w:pos="720"/>
        </w:tabs>
        <w:spacing w:before="120" w:after="0" w:line="360" w:lineRule="auto"/>
        <w:jc w:val="both"/>
        <w:outlineLvl w:val="2"/>
        <w:rPr>
          <w:rFonts w:ascii="Times New Roman" w:eastAsia="Times New Roman" w:hAnsi="Times New Roman"/>
          <w:b/>
          <w:bCs/>
          <w:sz w:val="24"/>
          <w:szCs w:val="24"/>
        </w:rPr>
      </w:pPr>
      <w:bookmarkStart w:id="17" w:name="_Toc494363239"/>
      <w:r w:rsidRPr="009A3C86">
        <w:rPr>
          <w:rFonts w:ascii="Times New Roman" w:eastAsia="Times New Roman" w:hAnsi="Times New Roman"/>
          <w:b/>
          <w:bCs/>
          <w:sz w:val="24"/>
          <w:szCs w:val="24"/>
        </w:rPr>
        <w:t>Rozdział 1. Powstawanie zobowiązań podatkowych</w:t>
      </w:r>
      <w:bookmarkEnd w:id="17"/>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Projektowany rozdział „Powstawanie zobowiązań podatkowych” stanowi odpowiednik rozdziału 1 działu III obowiązującej o.p. Nowością jest pominięcie w nim zagadnień związanych z określeniem podstawy opodatkowania w drodze oszacowania (art. 23-23a o.p.), które uregulowano w rozdziale 3 działu II projektowanej ordynacji podatkowej, a także przepisu art. 22 o.p. W oparciu o ostatnią ze wskazanych regulacji minister właściwy do spraw finansów publicznych lub właściwy organ podatkowy</w:t>
      </w:r>
      <w:r w:rsidR="00BC494B"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uprawnieni są do stosowania określonych preferencji podatkowych (zaniechanie poboru podatku, zwolnienie płatników z obowiązku poboru zaliczek, ograniczenie poboru zaliczek). Regulacje dotyczące uprawnień ministra właściwego do spraw finansów publicznych, ze względu na ich charakter, przeniesiono do rozdziału dotyczącego wygasania zobowiązań podatkowych (art. 1</w:t>
      </w:r>
      <w:r w:rsidR="00EA2F7E" w:rsidRPr="009A3C86">
        <w:rPr>
          <w:rFonts w:ascii="Times New Roman" w:eastAsia="Times New Roman" w:hAnsi="Times New Roman"/>
          <w:sz w:val="24"/>
          <w:szCs w:val="24"/>
        </w:rPr>
        <w:t>59</w:t>
      </w:r>
      <w:r w:rsidRPr="009A3C86">
        <w:rPr>
          <w:rFonts w:ascii="Times New Roman" w:eastAsia="Times New Roman" w:hAnsi="Times New Roman"/>
          <w:sz w:val="24"/>
          <w:szCs w:val="24"/>
        </w:rPr>
        <w:t>). Natomiast instytucje oparte o decyzję organu podatkowego stosowane na wniosek podatnika uregulowano w rozdziale dotyczącym ulg w spłacie (art. 2</w:t>
      </w:r>
      <w:r w:rsidR="00F81D4F" w:rsidRPr="009A3C86">
        <w:rPr>
          <w:rFonts w:ascii="Times New Roman" w:eastAsia="Times New Roman" w:hAnsi="Times New Roman"/>
          <w:sz w:val="24"/>
          <w:szCs w:val="24"/>
        </w:rPr>
        <w:t>40</w:t>
      </w:r>
      <w:r w:rsidRPr="009A3C86">
        <w:rPr>
          <w:rFonts w:ascii="Times New Roman" w:eastAsia="Times New Roman" w:hAnsi="Times New Roman"/>
          <w:sz w:val="24"/>
          <w:szCs w:val="24"/>
        </w:rPr>
        <w:t xml:space="preserve"> § 1 - zwolnienie płatnika z obowiązku poboru podatku oraz art. 2</w:t>
      </w:r>
      <w:r w:rsidR="00F81D4F" w:rsidRPr="009A3C86">
        <w:rPr>
          <w:rFonts w:ascii="Times New Roman" w:eastAsia="Times New Roman" w:hAnsi="Times New Roman"/>
          <w:sz w:val="24"/>
          <w:szCs w:val="24"/>
        </w:rPr>
        <w:t>40</w:t>
      </w:r>
      <w:r w:rsidRPr="009A3C86">
        <w:rPr>
          <w:rFonts w:ascii="Times New Roman" w:eastAsia="Times New Roman" w:hAnsi="Times New Roman"/>
          <w:sz w:val="24"/>
          <w:szCs w:val="24"/>
        </w:rPr>
        <w:t xml:space="preserve"> § </w:t>
      </w:r>
      <w:r w:rsidR="00EA2F7E"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ograniczenie poboru zaliczek).  </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12</w:t>
      </w:r>
      <w:r w:rsidR="00CD4361" w:rsidRPr="009A3C86">
        <w:rPr>
          <w:rFonts w:ascii="Times New Roman" w:eastAsia="Times New Roman" w:hAnsi="Times New Roman"/>
          <w:b/>
          <w:sz w:val="24"/>
          <w:szCs w:val="24"/>
        </w:rPr>
        <w:t>9</w:t>
      </w:r>
      <w:r w:rsidR="00A911B6"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projektowanej ustawy stanowi odpowiednik obowiązującego art. 21 § 1 o.p. Wskazuje on na dwa sposoby powstawania zobowiązań podatkowych.</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uregulowano skutki złożenia przez podatnika deklaracji oraz konsekwencje braku takiej deklaracji lub jej wadliwości. Utrzymano zasadę, wedle której w przypadku zobowiązań podatkowych powstających z mocy prawa, podatek wykazany w deklaracji jest podatkiem do zapłaty, chyba że organ podatkowy wyda w tym zakresie jedną z decyzji wskazanych w § 2 lub 4. Będzie to przede wszystkim decyzja określająca wysokość zobowiązania podatkowego, o </w:t>
      </w:r>
      <w:r w:rsidRPr="009A3C86">
        <w:rPr>
          <w:rFonts w:ascii="Times New Roman" w:eastAsia="Times New Roman" w:hAnsi="Times New Roman"/>
          <w:sz w:val="24"/>
          <w:szCs w:val="24"/>
        </w:rPr>
        <w:lastRenderedPageBreak/>
        <w:t xml:space="preserve">której mowa w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Ponadto proponuje się umożliwienie wydawania decyzji o braku zobowiązania podatkowego, które będą właściwe w tych przypadkach, w których deklaracja z wykazaną kwotą podatku jest składana, </w:t>
      </w:r>
      <w:r w:rsidR="00BC494B" w:rsidRPr="009A3C86">
        <w:rPr>
          <w:rFonts w:ascii="Times New Roman" w:eastAsia="Times New Roman" w:hAnsi="Times New Roman"/>
          <w:sz w:val="24"/>
          <w:szCs w:val="24"/>
        </w:rPr>
        <w:t>a</w:t>
      </w:r>
      <w:r w:rsidRPr="009A3C86">
        <w:rPr>
          <w:rFonts w:ascii="Times New Roman" w:eastAsia="Times New Roman" w:hAnsi="Times New Roman"/>
          <w:sz w:val="24"/>
          <w:szCs w:val="24"/>
        </w:rPr>
        <w:t xml:space="preserve"> zobowiązanie podatkowe nie istnieje. W tym przypadku zakwestionowanie domniemania poprawności deklaracji, o którym mowa w art. 1</w:t>
      </w:r>
      <w:r w:rsidR="00F81D4F" w:rsidRPr="009A3C86">
        <w:rPr>
          <w:rFonts w:ascii="Times New Roman" w:eastAsia="Times New Roman" w:hAnsi="Times New Roman"/>
          <w:sz w:val="24"/>
          <w:szCs w:val="24"/>
        </w:rPr>
        <w:t>30</w:t>
      </w:r>
      <w:r w:rsidRPr="009A3C86">
        <w:rPr>
          <w:rFonts w:ascii="Times New Roman" w:eastAsia="Times New Roman" w:hAnsi="Times New Roman"/>
          <w:sz w:val="24"/>
          <w:szCs w:val="24"/>
        </w:rPr>
        <w:t xml:space="preserve"> § 1, z wykazanym nienależnie podatkiem, będzie możliwe poprzez wydanie wskazanej decyzji, chyba że istnieje podstawa do wydania decyzji na podstawie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4 pkt 1</w:t>
      </w:r>
      <w:r w:rsidRPr="009A3C86">
        <w:rPr>
          <w:rFonts w:ascii="Times New Roman" w:eastAsia="Times New Roman" w:hAnsi="Times New Roman"/>
          <w:sz w:val="24"/>
          <w:szCs w:val="24"/>
        </w:rPr>
        <w:t>.</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Rozstrzygnięcie, o którym mowa w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będzie stosowane również do podatników, którzy byli zobowiązani do zapłaty podatku bez złożenia deklaracji, a tego obowiązku nie wykonali w całości lub w części. Ponieważ z treści tego przepisu wynika, że wobec podatnika, który nie zapłacił podatku w całości lub w części bez względu na to, czy wykazano go w deklaracji, czy też obowiązek złożenia deklaracji nie wystąpił, organ podatkowy wydaje decyzję określającą wysokość zobowiązania podatkowego, zbędny jest odpowiednik obowiązującego art. 21 § 4 o.p. </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projektowanym przepisie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w zakresie decyzji określających wysokość zobowiązania podatkowego znalazły się cztery zastrzeżenia. W pierwszej kolejności (§ 3) decyzja określająca nie będzie musiała być wydawana w przypadku, w którym podatnik nie zapłacił w całości lub w części podatku wykazanego w prawidłowej wysokości w deklaracji, która stanowi podstawę do wystawienia tytułu wykonawczego w rozumieniu przepisów o postępowaniu egzekucyjnym w administracji. Skoro bowiem należny podatek w prawidłowej wysokości został wykazany w deklaracji, to zbędne jest wydawanie w tym przypadku decyzji określającej wysokość zobowiązania identycznego jak w tej deklaracji.</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toku postępowania związanego z weryfikacją rozliczenia podatkowego organ podatkowy będzie mógł także wydać inne, niż określone w art. 1</w:t>
      </w:r>
      <w:r w:rsidR="00F81D4F" w:rsidRPr="009A3C86">
        <w:rPr>
          <w:rFonts w:ascii="Times New Roman" w:eastAsia="Times New Roman" w:hAnsi="Times New Roman"/>
          <w:sz w:val="24"/>
          <w:szCs w:val="24"/>
        </w:rPr>
        <w:t>30</w:t>
      </w:r>
      <w:r w:rsidRPr="009A3C86">
        <w:rPr>
          <w:rFonts w:ascii="Times New Roman" w:eastAsia="Times New Roman" w:hAnsi="Times New Roman"/>
          <w:sz w:val="24"/>
          <w:szCs w:val="24"/>
        </w:rPr>
        <w:t xml:space="preserve"> § 2 projektowanej ustawy, rodzaje decyzji. Przepis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4 w pkt 1</w:t>
      </w:r>
      <w:r w:rsidRPr="009A3C86">
        <w:rPr>
          <w:rFonts w:ascii="Times New Roman" w:eastAsia="Times New Roman" w:hAnsi="Times New Roman"/>
          <w:sz w:val="24"/>
          <w:szCs w:val="24"/>
        </w:rPr>
        <w:t xml:space="preserve"> stanowi w tym zakresie odpowiednik obowiązującego art. 21b o.p., w pkt 2 - art. 24 o.p., a w pkt 3 - art. 21 § 3a o.p. (z tym zastrzeżeniem, że uwzględniono również prawo do wydania decyzji w przypadku wadliwego wykazania w deklaracji kwoty nadwyżki wpłat do rozliczenia. Z kolei § 9 tego artykułu jest odpowiednikiem art. 21a obowiązującej ordynacji podatkowej.</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Kolejne trzy zastrzeżenia, które zawiera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dotyczą tzw. decyzji cząstkowych, a więc określających jedynie część zobowiązania podatkowego za dany okres rozliczeniowy. Są to wyjątki od zasady, że decyzja określająca dotyczy pełnej kwoty zobowiązania podatkowego za cały okres rozliczeniowy. Rozwiązanie to, podobnie jak sytuacje, o których mowa w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5</w:t>
      </w:r>
      <w:r w:rsidRPr="009A3C86">
        <w:rPr>
          <w:rFonts w:ascii="Times New Roman" w:eastAsia="Times New Roman" w:hAnsi="Times New Roman"/>
          <w:sz w:val="24"/>
          <w:szCs w:val="24"/>
        </w:rPr>
        <w:t xml:space="preserve">, stanowi rozszerzenie obowiązującej aktualnie w zakresie postępowań związanych z dochodzeniem nadpłat (art. 75 § 4a o.p.) instytucji tzw. decyzji cząstkowych. </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Zgodnie z </w:t>
      </w:r>
      <w:r w:rsidRPr="009A3C86">
        <w:rPr>
          <w:rFonts w:ascii="Times New Roman" w:eastAsia="Times New Roman" w:hAnsi="Times New Roman"/>
          <w:b/>
          <w:sz w:val="24"/>
          <w:szCs w:val="24"/>
        </w:rPr>
        <w:t xml:space="preserve">art. </w:t>
      </w:r>
      <w:r w:rsidR="00A911B6" w:rsidRPr="009A3C86">
        <w:rPr>
          <w:rFonts w:ascii="Times New Roman" w:eastAsia="Times New Roman" w:hAnsi="Times New Roman"/>
          <w:b/>
          <w:sz w:val="24"/>
          <w:szCs w:val="24"/>
        </w:rPr>
        <w:t>1</w:t>
      </w:r>
      <w:r w:rsidR="00CD4361" w:rsidRPr="009A3C86">
        <w:rPr>
          <w:rFonts w:ascii="Times New Roman" w:eastAsia="Times New Roman" w:hAnsi="Times New Roman"/>
          <w:b/>
          <w:sz w:val="24"/>
          <w:szCs w:val="24"/>
        </w:rPr>
        <w:t>30</w:t>
      </w:r>
      <w:r w:rsidR="00A911B6"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5</w:t>
      </w:r>
      <w:r w:rsidRPr="009A3C86">
        <w:rPr>
          <w:rFonts w:ascii="Times New Roman" w:eastAsia="Times New Roman" w:hAnsi="Times New Roman"/>
          <w:sz w:val="24"/>
          <w:szCs w:val="24"/>
        </w:rPr>
        <w:t xml:space="preserve"> dopuszcza się ograniczenie zakresu prowadzonego postępowania w sprawie określenia wysokości zobowiązania podatkowego do spraw dotyczących:</w:t>
      </w:r>
    </w:p>
    <w:p w:rsidR="008A4042" w:rsidRPr="009A3C86" w:rsidRDefault="008A4042" w:rsidP="008A4042">
      <w:pPr>
        <w:numPr>
          <w:ilvl w:val="0"/>
          <w:numId w:val="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transakcji </w:t>
      </w:r>
      <w:r w:rsidR="00EE037E" w:rsidRPr="009A3C86">
        <w:rPr>
          <w:rFonts w:ascii="Times New Roman" w:eastAsia="Times New Roman" w:hAnsi="Times New Roman"/>
          <w:sz w:val="24"/>
          <w:szCs w:val="24"/>
        </w:rPr>
        <w:t xml:space="preserve">kontrolowanych, w których ceny transferowe </w:t>
      </w:r>
      <w:r w:rsidRPr="009A3C86">
        <w:rPr>
          <w:rFonts w:ascii="Times New Roman" w:eastAsia="Times New Roman" w:hAnsi="Times New Roman"/>
          <w:sz w:val="24"/>
          <w:szCs w:val="24"/>
        </w:rPr>
        <w:t>zostały ustalone lub narzucone między podmiotami powiązanymi w rozumieniu przepisów o podatkach dochodowych,</w:t>
      </w:r>
    </w:p>
    <w:p w:rsidR="008A4042" w:rsidRPr="009A3C86" w:rsidRDefault="008A4042" w:rsidP="008A4042">
      <w:pPr>
        <w:numPr>
          <w:ilvl w:val="0"/>
          <w:numId w:val="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unikania opodatkowania, w rozumieniu art. 3</w:t>
      </w:r>
      <w:r w:rsidR="00ED6B82" w:rsidRPr="009A3C86">
        <w:rPr>
          <w:rFonts w:ascii="Times New Roman" w:eastAsia="Times New Roman" w:hAnsi="Times New Roman"/>
          <w:sz w:val="24"/>
          <w:szCs w:val="24"/>
        </w:rPr>
        <w:t>3</w:t>
      </w:r>
      <w:r w:rsidRPr="009A3C86">
        <w:rPr>
          <w:rFonts w:ascii="Times New Roman" w:eastAsia="Times New Roman" w:hAnsi="Times New Roman"/>
          <w:sz w:val="24"/>
          <w:szCs w:val="24"/>
        </w:rPr>
        <w:t>,</w:t>
      </w:r>
    </w:p>
    <w:p w:rsidR="008A4042" w:rsidRPr="009A3C86" w:rsidRDefault="008A4042" w:rsidP="008A4042">
      <w:pPr>
        <w:numPr>
          <w:ilvl w:val="0"/>
          <w:numId w:val="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określenia dochodu z zysków kapitałowych w rozumieniu przepisów o podatkach dochodowych, </w:t>
      </w:r>
    </w:p>
    <w:p w:rsidR="008A4042" w:rsidRPr="009A3C86" w:rsidRDefault="008A4042" w:rsidP="008A4042">
      <w:pPr>
        <w:numPr>
          <w:ilvl w:val="0"/>
          <w:numId w:val="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transakcji polegających na:</w:t>
      </w:r>
    </w:p>
    <w:p w:rsidR="008A4042" w:rsidRPr="009A3C86" w:rsidRDefault="008A4042" w:rsidP="008A4042">
      <w:pPr>
        <w:autoSpaceDE w:val="0"/>
        <w:autoSpaceDN w:val="0"/>
        <w:spacing w:after="0" w:line="360" w:lineRule="auto"/>
        <w:ind w:firstLine="510"/>
        <w:jc w:val="both"/>
        <w:rPr>
          <w:rFonts w:ascii="Times New Roman" w:eastAsia="Times New Roman" w:hAnsi="Times New Roman"/>
          <w:sz w:val="24"/>
          <w:szCs w:val="24"/>
        </w:rPr>
      </w:pPr>
      <w:r w:rsidRPr="009A3C86">
        <w:rPr>
          <w:rFonts w:ascii="Times New Roman" w:eastAsia="Times New Roman" w:hAnsi="Times New Roman"/>
          <w:sz w:val="24"/>
          <w:szCs w:val="24"/>
        </w:rPr>
        <w:tab/>
        <w:t>a) zbyciu lub nabyciu przedsiębiorstwa lub jego zorganizowanej części;</w:t>
      </w:r>
    </w:p>
    <w:p w:rsidR="008A4042" w:rsidRPr="009A3C86" w:rsidRDefault="008A4042" w:rsidP="008A4042">
      <w:pPr>
        <w:autoSpaceDE w:val="0"/>
        <w:autoSpaceDN w:val="0"/>
        <w:spacing w:after="0" w:line="360" w:lineRule="auto"/>
        <w:ind w:firstLine="510"/>
        <w:jc w:val="both"/>
        <w:rPr>
          <w:rFonts w:ascii="Times New Roman" w:eastAsia="Times New Roman" w:hAnsi="Times New Roman"/>
          <w:sz w:val="24"/>
          <w:szCs w:val="24"/>
        </w:rPr>
      </w:pPr>
      <w:r w:rsidRPr="009A3C86">
        <w:rPr>
          <w:rFonts w:ascii="Times New Roman" w:eastAsia="Times New Roman" w:hAnsi="Times New Roman"/>
          <w:sz w:val="24"/>
          <w:szCs w:val="24"/>
        </w:rPr>
        <w:tab/>
        <w:t>b) zbyciu lub nabyciu nieruchomości;</w:t>
      </w:r>
    </w:p>
    <w:p w:rsidR="008A4042" w:rsidRPr="009A3C86" w:rsidRDefault="008A4042" w:rsidP="008A4042">
      <w:pPr>
        <w:autoSpaceDE w:val="0"/>
        <w:autoSpaceDN w:val="0"/>
        <w:spacing w:after="0" w:line="360" w:lineRule="auto"/>
        <w:ind w:firstLine="510"/>
        <w:jc w:val="both"/>
        <w:rPr>
          <w:rFonts w:ascii="Times New Roman" w:eastAsia="Times New Roman" w:hAnsi="Times New Roman"/>
          <w:sz w:val="24"/>
          <w:szCs w:val="24"/>
        </w:rPr>
      </w:pPr>
      <w:r w:rsidRPr="009A3C86">
        <w:rPr>
          <w:rFonts w:ascii="Times New Roman" w:eastAsia="Times New Roman" w:hAnsi="Times New Roman"/>
          <w:sz w:val="24"/>
          <w:szCs w:val="24"/>
        </w:rPr>
        <w:tab/>
        <w:t>c) połączeniu, podziale lub przekształceniu przedsiębiorcy.</w:t>
      </w:r>
    </w:p>
    <w:p w:rsidR="008A4042" w:rsidRPr="009A3C86" w:rsidRDefault="008A4042" w:rsidP="008A4042">
      <w:pPr>
        <w:autoSpaceDE w:val="0"/>
        <w:autoSpaceDN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Celem wskazanej regulacji jest umożliwienie organom podatkowym weryfikacji poprawności rozliczenia podatnika jedynie w ściśle określonym przepisami prawa obszarze, bez konieczności prowadzenia całościowego postępowania związanego z danym okresem rozliczeniowym. Rozwiązanie to skróci czas prowadzonych postępowań, które aktualnie muszą obejmować całokształt okoliczności faktycznych i prawnych mających wpływ na wysokość zobowiązania podatkowego za dany okres rozliczeniowy. </w:t>
      </w:r>
    </w:p>
    <w:p w:rsidR="008A4042" w:rsidRPr="009A3C86" w:rsidRDefault="008A4042" w:rsidP="008A4042">
      <w:pPr>
        <w:autoSpaceDE w:val="0"/>
        <w:autoSpaceDN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Wydanie decyzji dotyczącej jedynie części zobowiązania podatkowego, w przypadku uprzednio złożonej deklaracji, będzie wymagało wyraźnego wskazania w jej uzasadnieniu, w jaki</w:t>
      </w:r>
      <w:r w:rsidR="00BC494B" w:rsidRPr="009A3C86">
        <w:rPr>
          <w:rFonts w:ascii="Times New Roman" w:eastAsia="Times New Roman" w:hAnsi="Times New Roman"/>
          <w:sz w:val="24"/>
          <w:szCs w:val="24"/>
        </w:rPr>
        <w:t>m</w:t>
      </w:r>
      <w:r w:rsidRPr="009A3C86">
        <w:rPr>
          <w:rFonts w:ascii="Times New Roman" w:eastAsia="Times New Roman" w:hAnsi="Times New Roman"/>
          <w:sz w:val="24"/>
          <w:szCs w:val="24"/>
        </w:rPr>
        <w:t xml:space="preserve"> zakresie uprzednio złożona deklaracja nie wywołuje skutków prawnych. Ponadto taka decyzja „cząstkowa” nie będzie blokowała możliwości późniejszego określenia wysokości zobowiązania podatkowego w zakresie, którego nie obejmowała, w tym za cały okres rozliczeniowy. W tym jednak przypadku organ podatkowy będzie zobowiązany uwzględnić treść decyzji „cząstkowej” przy określeniu całego zobowiązania za dany okres. Rozwiązanie to, podobnie jak zasada wyrażona w § 7 analizowanego przepisu, jest zbieżne z tym, jakie przyjęto na gruncie decyzji, o których mowa w art. 19</w:t>
      </w:r>
      <w:r w:rsidR="00ED6B82"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projektowanej ustawy, o czym niżej.</w:t>
      </w:r>
    </w:p>
    <w:p w:rsidR="008A4042" w:rsidRPr="009A3C86" w:rsidRDefault="008A4042" w:rsidP="008A4042">
      <w:pPr>
        <w:autoSpaceDE w:val="0"/>
        <w:autoSpaceDN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Zgodnie z art. 19</w:t>
      </w:r>
      <w:r w:rsidR="00ED6B82" w:rsidRPr="009A3C86">
        <w:rPr>
          <w:rFonts w:ascii="Times New Roman" w:eastAsia="Times New Roman" w:hAnsi="Times New Roman"/>
          <w:sz w:val="24"/>
          <w:szCs w:val="24"/>
        </w:rPr>
        <w:t>2</w:t>
      </w:r>
      <w:r w:rsidRPr="009A3C86">
        <w:rPr>
          <w:rFonts w:ascii="Times New Roman" w:eastAsia="Times New Roman" w:hAnsi="Times New Roman"/>
          <w:sz w:val="24"/>
          <w:szCs w:val="24"/>
        </w:rPr>
        <w:t>, który stanowi zmodyfikowany odpowiednik obowiązującego art. 75 § 4a o.p., organ podatkowy w decyzji</w:t>
      </w:r>
      <w:r w:rsidRPr="009A3C86">
        <w:rPr>
          <w:rFonts w:ascii="Times New Roman" w:eastAsia="Times New Roman" w:hAnsi="Times New Roman"/>
          <w:bCs/>
          <w:sz w:val="24"/>
          <w:szCs w:val="24"/>
        </w:rPr>
        <w:t xml:space="preserve"> w sprawie nadpłaty </w:t>
      </w:r>
      <w:r w:rsidRPr="009A3C86">
        <w:rPr>
          <w:rFonts w:ascii="Times New Roman" w:eastAsia="Times New Roman" w:hAnsi="Times New Roman"/>
          <w:sz w:val="24"/>
          <w:szCs w:val="24"/>
        </w:rPr>
        <w:t xml:space="preserve">dokonuje </w:t>
      </w:r>
      <w:r w:rsidRPr="009A3C86">
        <w:rPr>
          <w:rFonts w:ascii="Times New Roman" w:eastAsia="Times New Roman" w:hAnsi="Times New Roman"/>
          <w:bCs/>
          <w:sz w:val="24"/>
          <w:szCs w:val="24"/>
        </w:rPr>
        <w:t xml:space="preserve">również </w:t>
      </w:r>
      <w:r w:rsidRPr="009A3C86">
        <w:rPr>
          <w:rFonts w:ascii="Times New Roman" w:eastAsia="Times New Roman" w:hAnsi="Times New Roman"/>
          <w:sz w:val="24"/>
          <w:szCs w:val="24"/>
        </w:rPr>
        <w:t>wymiaru w zakresie objętym wnioskiem o stwierdzenie nadpłaty, jeżeli nadpłata jest związana ze zmianą wysokości wymiaru, chyba że prawidłowa wysokość wymiaru wynika z uprzednio złożonej deklaracji. Decyzja ta może więc określać jedynie część zobowiązania podatkowego, które wiąże się ze złożonym wnioskiem o stwierdzenie nadpłaty. Podobna decyzja, tzw. cząstkowa, może być wydana przez organ podatkowy na podstawie projektowanego art. 5</w:t>
      </w:r>
      <w:r w:rsidR="00F81D4F" w:rsidRPr="009A3C86">
        <w:rPr>
          <w:rFonts w:ascii="Times New Roman" w:eastAsia="Times New Roman" w:hAnsi="Times New Roman"/>
          <w:sz w:val="24"/>
          <w:szCs w:val="24"/>
        </w:rPr>
        <w:t>88</w:t>
      </w:r>
      <w:r w:rsidRPr="009A3C86">
        <w:rPr>
          <w:rFonts w:ascii="Times New Roman" w:eastAsia="Times New Roman" w:hAnsi="Times New Roman"/>
          <w:sz w:val="24"/>
          <w:szCs w:val="24"/>
        </w:rPr>
        <w:t xml:space="preserve">. Przepis ten stanowi, że w przypadku złożenia wniosku o określenie skutków podatkowych czynności lub zdarzeń organ </w:t>
      </w:r>
      <w:r w:rsidRPr="009A3C86">
        <w:rPr>
          <w:rFonts w:ascii="Times New Roman" w:eastAsia="Times New Roman" w:hAnsi="Times New Roman"/>
          <w:sz w:val="24"/>
          <w:szCs w:val="24"/>
        </w:rPr>
        <w:lastRenderedPageBreak/>
        <w:t xml:space="preserve">podatkowy może wydać decyzję, w której dokona wymiaru podatku w zakresie objętym wnioskiem o konsultację. Ponieważ w tym zakresie organ podatkowy orzeka w granicach złożonego wniosku, który może dotyczyć jedynie wybranych transakcji, z którymi wiążą się skutki podatkowe w danym okresie rozliczeniowym, decyzja taka może określać jedynie część zobowiązania podatkowego za dany okres. </w:t>
      </w:r>
    </w:p>
    <w:p w:rsidR="008A4042" w:rsidRPr="009A3C86" w:rsidRDefault="008A4042" w:rsidP="008A404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w:t>
      </w:r>
      <w:r w:rsidRPr="009A3C86">
        <w:rPr>
          <w:rFonts w:ascii="Times New Roman" w:eastAsia="Times New Roman" w:hAnsi="Times New Roman"/>
          <w:b/>
          <w:sz w:val="24"/>
          <w:szCs w:val="24"/>
        </w:rPr>
        <w:t xml:space="preserve">Projektowany art. </w:t>
      </w:r>
      <w:r w:rsidR="00A911B6" w:rsidRPr="009A3C86">
        <w:rPr>
          <w:rFonts w:ascii="Times New Roman" w:eastAsia="Times New Roman" w:hAnsi="Times New Roman"/>
          <w:b/>
          <w:sz w:val="24"/>
          <w:szCs w:val="24"/>
        </w:rPr>
        <w:t>13</w:t>
      </w:r>
      <w:r w:rsidR="00A20FDA" w:rsidRPr="009A3C86">
        <w:rPr>
          <w:rFonts w:ascii="Times New Roman" w:eastAsia="Times New Roman" w:hAnsi="Times New Roman"/>
          <w:b/>
          <w:sz w:val="24"/>
          <w:szCs w:val="24"/>
        </w:rPr>
        <w:t>1</w:t>
      </w:r>
      <w:r w:rsidR="00A911B6"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stanowi odpowiednik obowiązującego art. 21 § 5 o.p., z tym że użyto w nim pojęcia „deklaracja nierzetelna” jako przeciwieństwa zdefiniowanego w </w:t>
      </w:r>
      <w:r w:rsidRPr="009A3C86">
        <w:rPr>
          <w:rFonts w:ascii="Times New Roman" w:eastAsia="Times New Roman" w:hAnsi="Times New Roman"/>
          <w:b/>
          <w:sz w:val="24"/>
          <w:szCs w:val="24"/>
        </w:rPr>
        <w:t>art. 13</w:t>
      </w:r>
      <w:r w:rsidR="00A20FDA" w:rsidRPr="009A3C86">
        <w:rPr>
          <w:rFonts w:ascii="Times New Roman" w:eastAsia="Times New Roman" w:hAnsi="Times New Roman"/>
          <w:b/>
          <w:sz w:val="24"/>
          <w:szCs w:val="24"/>
        </w:rPr>
        <w:t>2</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pojęcia „deklaracja rzetelna”, a więc taka, która odzwierciedla stan rzeczywisty. </w:t>
      </w:r>
    </w:p>
    <w:p w:rsidR="00DB048D" w:rsidRPr="009A3C86" w:rsidRDefault="00DB048D"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2. Deklaracje podatkowe</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1. Materia deklaracji podatkowych została uregulowana kompleksowo w odrębnym rozdziale. Jedynie dokonywanie korekt deklaracji z urzędu przez organ podatkowy pozostawiono w przepisach poświęconych czynnościom sprawdzającym zgodnie z ich dotychczasowym umiejscowieniem. Ujęcie problematyki dotyczącej deklaracji podatkowych w jednym rozdziale stanowi wyjście naprzeciw uwagom doktryny w odniesieniu do rozproszenia regulacji w tym zakresie w obowiązującej ordynacji podatkowej</w:t>
      </w:r>
      <w:r w:rsidRPr="009A3C86">
        <w:rPr>
          <w:rFonts w:ascii="Times New Roman" w:hAnsi="Times New Roman"/>
          <w:sz w:val="24"/>
          <w:szCs w:val="24"/>
          <w:vertAlign w:val="superscript"/>
        </w:rPr>
        <w:footnoteReference w:id="199"/>
      </w:r>
      <w:r w:rsidRPr="009A3C86">
        <w:rPr>
          <w:rFonts w:ascii="Times New Roman" w:hAnsi="Times New Roman"/>
          <w:sz w:val="24"/>
          <w:szCs w:val="24"/>
        </w:rPr>
        <w:t>. Ponadto kompleksowe uregulowanie tego zagadnienia w odrębnej jednostce redakcyjnej nawiązuje do postulatu zwiększenia zainteresowania problematyką samoobliczenia podatku ze strony ustawodawcy</w:t>
      </w:r>
      <w:r w:rsidRPr="009A3C86">
        <w:rPr>
          <w:rFonts w:ascii="Times New Roman" w:hAnsi="Times New Roman"/>
          <w:sz w:val="24"/>
          <w:szCs w:val="24"/>
          <w:vertAlign w:val="superscript"/>
        </w:rPr>
        <w:footnoteReference w:id="200"/>
      </w:r>
      <w:r w:rsidRPr="009A3C86">
        <w:rPr>
          <w:rFonts w:ascii="Times New Roman" w:hAnsi="Times New Roman"/>
          <w:sz w:val="24"/>
          <w:szCs w:val="24"/>
        </w:rPr>
        <w:t xml:space="preserve">.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2. Zgodnie z art. 13 pkt 4 projektu ordynacji podatkowej pod pojęciem deklaracji rozumie się również </w:t>
      </w:r>
      <w:r w:rsidRPr="009A3C86">
        <w:rPr>
          <w:rFonts w:ascii="Times New Roman" w:hAnsi="Times New Roman"/>
          <w:sz w:val="24"/>
          <w:szCs w:val="24"/>
          <w:lang w:eastAsia="pl-PL"/>
        </w:rPr>
        <w:t>zeznania, wykazy, zestawienia, zgłoszenia, oświadczenia, zawiadomienia oraz informacje, do których składania obowiązani są, na podstawie przepisów prawa podatkowego, podatnicy, lub inne podmioty.</w:t>
      </w:r>
      <w:r w:rsidRPr="009A3C86">
        <w:rPr>
          <w:rFonts w:ascii="Times New Roman" w:hAnsi="Times New Roman"/>
          <w:sz w:val="24"/>
          <w:szCs w:val="24"/>
        </w:rPr>
        <w:t xml:space="preserve"> Definicja deklaracji obejmuje zatem szeroki zakres „instrumentów” o charakterze przede wszystkim sprawozdawczym. Zauważyć jednak należy, że w obowiązujących przepisach tylko w dwóch przypadkach deklaracje uzyskały szczególny charakter ze względu na skutki prawne, jakie wywołują. Z art. 21 § 2 o.p. wynika bowiem domniemanie zgodności z prawdą wysokości podatku wykazanego w deklaracji podatkowej. Z kolei art. 21 § 5 o.p. reguluje zasadę wymiaru podatku zgodnie z danymi wynikającymi z deklaracji.</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3. W projekcie ordynacji podatkowej więcej miejsca niż w obowiązującym akcie prawnym poświęcono kwestii charakteru prawnego deklaracji podatkowej. Podkreślenia bowiem </w:t>
      </w:r>
      <w:r w:rsidRPr="009A3C86">
        <w:rPr>
          <w:rFonts w:ascii="Times New Roman" w:hAnsi="Times New Roman"/>
          <w:sz w:val="24"/>
          <w:szCs w:val="24"/>
        </w:rPr>
        <w:lastRenderedPageBreak/>
        <w:t>wymaga, że charakter prawny deklaracji podatkowych budzi istotne wątpliwości w doktrynie prawa podatkowego</w:t>
      </w:r>
      <w:r w:rsidRPr="009A3C86">
        <w:rPr>
          <w:rFonts w:ascii="Times New Roman" w:hAnsi="Times New Roman"/>
          <w:sz w:val="24"/>
          <w:szCs w:val="24"/>
          <w:vertAlign w:val="superscript"/>
        </w:rPr>
        <w:footnoteReference w:id="201"/>
      </w:r>
      <w:r w:rsidRPr="009A3C86">
        <w:rPr>
          <w:rFonts w:ascii="Times New Roman" w:hAnsi="Times New Roman"/>
          <w:sz w:val="24"/>
          <w:szCs w:val="24"/>
        </w:rPr>
        <w:t>.</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4. W </w:t>
      </w:r>
      <w:r w:rsidRPr="009A3C86">
        <w:rPr>
          <w:rFonts w:ascii="Times New Roman" w:hAnsi="Times New Roman"/>
          <w:b/>
          <w:sz w:val="24"/>
          <w:szCs w:val="24"/>
        </w:rPr>
        <w:t>art. 13</w:t>
      </w:r>
      <w:r w:rsidR="00F81D4F" w:rsidRPr="009A3C86">
        <w:rPr>
          <w:rFonts w:ascii="Times New Roman" w:hAnsi="Times New Roman"/>
          <w:b/>
          <w:sz w:val="24"/>
          <w:szCs w:val="24"/>
        </w:rPr>
        <w:t>2</w:t>
      </w:r>
      <w:r w:rsidRPr="009A3C86">
        <w:rPr>
          <w:rFonts w:ascii="Times New Roman" w:hAnsi="Times New Roman"/>
          <w:sz w:val="24"/>
          <w:szCs w:val="24"/>
        </w:rPr>
        <w:t xml:space="preserve"> projektu ordynacji podatkowej uregulowano domniemanie zgodności z prawdą również innych niż kwota podatku informacji zawartych w deklaracji (np. podstawy opodatkowania, kwoty odliczeń itp.). Oznacza to, że zaproponowano wprowadzenie generalnej zasady, zgodnie z którą każda deklaracja korzysta z ochrony prawnej.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art. 13</w:t>
      </w:r>
      <w:r w:rsidR="00F81D4F" w:rsidRPr="009A3C86">
        <w:rPr>
          <w:rFonts w:ascii="Times New Roman" w:hAnsi="Times New Roman"/>
          <w:b/>
          <w:sz w:val="24"/>
          <w:szCs w:val="24"/>
        </w:rPr>
        <w:t>2</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za rzetelną uważa się deklarację, która w zakresie zawartych w niej danych odzwierciedla stan rzeczywisty. Deklaracja uzyskuje zatem moc dowodową równą dokumentom urzędowym. Zgodnie bowiem z art. </w:t>
      </w:r>
      <w:r w:rsidR="00F81D4F" w:rsidRPr="009A3C86">
        <w:rPr>
          <w:rFonts w:ascii="Times New Roman" w:hAnsi="Times New Roman"/>
          <w:sz w:val="24"/>
          <w:szCs w:val="24"/>
        </w:rPr>
        <w:t>400</w:t>
      </w:r>
      <w:r w:rsidRPr="009A3C86">
        <w:rPr>
          <w:rFonts w:ascii="Times New Roman" w:hAnsi="Times New Roman"/>
          <w:sz w:val="24"/>
          <w:szCs w:val="24"/>
        </w:rPr>
        <w:t xml:space="preserve"> § 1 projektu ordynacji podatkowej dokumenty urzędowe sporządzone w formie określonej przepisami prawa przez powołane do tego organy władzy publicznej stanowią dowód tego, co zostało w nich urzędowo stwierdzone. Rzetelność i niewadliwość deklaracji regulują postanowienia </w:t>
      </w:r>
      <w:r w:rsidRPr="009A3C86">
        <w:rPr>
          <w:rFonts w:ascii="Times New Roman" w:hAnsi="Times New Roman"/>
          <w:b/>
          <w:sz w:val="24"/>
          <w:szCs w:val="24"/>
        </w:rPr>
        <w:t>art. 13</w:t>
      </w:r>
      <w:r w:rsidR="00F81D4F" w:rsidRPr="009A3C86">
        <w:rPr>
          <w:rFonts w:ascii="Times New Roman" w:hAnsi="Times New Roman"/>
          <w:b/>
          <w:sz w:val="24"/>
          <w:szCs w:val="24"/>
        </w:rPr>
        <w:t>2</w:t>
      </w:r>
      <w:r w:rsidRPr="009A3C86">
        <w:rPr>
          <w:rFonts w:ascii="Times New Roman" w:hAnsi="Times New Roman"/>
          <w:b/>
          <w:sz w:val="24"/>
          <w:szCs w:val="24"/>
        </w:rPr>
        <w:t xml:space="preserve"> § 2 i 3</w:t>
      </w:r>
      <w:r w:rsidRPr="009A3C86">
        <w:rPr>
          <w:rFonts w:ascii="Times New Roman" w:hAnsi="Times New Roman"/>
          <w:sz w:val="24"/>
          <w:szCs w:val="24"/>
        </w:rPr>
        <w:t xml:space="preserve"> projektu. Natomiast art. 13</w:t>
      </w:r>
      <w:r w:rsidR="00F52AF3" w:rsidRPr="009A3C86">
        <w:rPr>
          <w:rFonts w:ascii="Times New Roman" w:hAnsi="Times New Roman"/>
          <w:sz w:val="24"/>
          <w:szCs w:val="24"/>
        </w:rPr>
        <w:t>2</w:t>
      </w:r>
      <w:r w:rsidRPr="009A3C86">
        <w:rPr>
          <w:rFonts w:ascii="Times New Roman" w:hAnsi="Times New Roman"/>
          <w:sz w:val="24"/>
          <w:szCs w:val="24"/>
        </w:rPr>
        <w:t xml:space="preserve"> § 4 projektu reguluje zasady obalenia szczególnej mocy dowodowej deklaracji podatkowej. Ponadto zgodnie z </w:t>
      </w:r>
      <w:r w:rsidRPr="009A3C86">
        <w:rPr>
          <w:rFonts w:ascii="Times New Roman" w:hAnsi="Times New Roman"/>
          <w:b/>
          <w:sz w:val="24"/>
          <w:szCs w:val="24"/>
        </w:rPr>
        <w:t>art. 13</w:t>
      </w:r>
      <w:r w:rsidR="00F52AF3" w:rsidRPr="009A3C86">
        <w:rPr>
          <w:rFonts w:ascii="Times New Roman" w:hAnsi="Times New Roman"/>
          <w:b/>
          <w:sz w:val="24"/>
          <w:szCs w:val="24"/>
        </w:rPr>
        <w:t>2</w:t>
      </w:r>
      <w:r w:rsidRPr="009A3C86">
        <w:rPr>
          <w:rFonts w:ascii="Times New Roman" w:hAnsi="Times New Roman"/>
          <w:b/>
          <w:sz w:val="24"/>
          <w:szCs w:val="24"/>
        </w:rPr>
        <w:t xml:space="preserve"> § 5</w:t>
      </w:r>
      <w:r w:rsidRPr="009A3C86">
        <w:rPr>
          <w:rFonts w:ascii="Times New Roman" w:hAnsi="Times New Roman"/>
          <w:sz w:val="24"/>
          <w:szCs w:val="24"/>
        </w:rPr>
        <w:t xml:space="preserve"> projektu ordynacji podatkowej organ podatkowy uznaje jednak, w całości lub w części, za dowód w rozumieniu § 1 deklarację sporządzoną wadliwie, jeżeli wady te nie wpływają w sposób istotny na informacje z niej wynikające. Konstrukcja art. 13</w:t>
      </w:r>
      <w:r w:rsidR="00F52AF3" w:rsidRPr="009A3C86">
        <w:rPr>
          <w:rFonts w:ascii="Times New Roman" w:hAnsi="Times New Roman"/>
          <w:sz w:val="24"/>
          <w:szCs w:val="24"/>
        </w:rPr>
        <w:t>2</w:t>
      </w:r>
      <w:r w:rsidRPr="009A3C86">
        <w:rPr>
          <w:rFonts w:ascii="Times New Roman" w:hAnsi="Times New Roman"/>
          <w:sz w:val="24"/>
          <w:szCs w:val="24"/>
        </w:rPr>
        <w:t xml:space="preserve"> projektu jest wzorowana na brzmieniu obowiązującego art. 193 § 1 o.p. dotyczącego mocy dowodowej ksiąg podatkowych. Art. 13</w:t>
      </w:r>
      <w:r w:rsidR="00F52AF3" w:rsidRPr="009A3C86">
        <w:rPr>
          <w:rFonts w:ascii="Times New Roman" w:hAnsi="Times New Roman"/>
          <w:sz w:val="24"/>
          <w:szCs w:val="24"/>
        </w:rPr>
        <w:t>2</w:t>
      </w:r>
      <w:r w:rsidRPr="009A3C86">
        <w:rPr>
          <w:rFonts w:ascii="Times New Roman" w:hAnsi="Times New Roman"/>
          <w:sz w:val="24"/>
          <w:szCs w:val="24"/>
        </w:rPr>
        <w:t xml:space="preserve"> projektu ordynacji podatkowej nie uzależnia mocy dowodowej deklaracji podatkowej od zachowania terminu do jej złożenia. Dlatego też należy przyjąć, że przepis ten dotyczy także deklaracji złożonych po terminie.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5. Zgodnie z </w:t>
      </w:r>
      <w:r w:rsidRPr="009A3C86">
        <w:rPr>
          <w:rFonts w:ascii="Times New Roman" w:hAnsi="Times New Roman"/>
          <w:b/>
          <w:sz w:val="24"/>
          <w:szCs w:val="24"/>
        </w:rPr>
        <w:t>art. 13</w:t>
      </w:r>
      <w:r w:rsidR="00F52AF3" w:rsidRPr="009A3C86">
        <w:rPr>
          <w:rFonts w:ascii="Times New Roman" w:hAnsi="Times New Roman"/>
          <w:b/>
          <w:sz w:val="24"/>
          <w:szCs w:val="24"/>
        </w:rPr>
        <w:t>3</w:t>
      </w:r>
      <w:r w:rsidRPr="009A3C86">
        <w:rPr>
          <w:rFonts w:ascii="Times New Roman" w:hAnsi="Times New Roman"/>
          <w:sz w:val="24"/>
          <w:szCs w:val="24"/>
        </w:rPr>
        <w:t xml:space="preserve"> projektu ordynacji podatkowej deklarację podpisuje osoba uprawniona na podstawie przepisów rozdziału </w:t>
      </w:r>
      <w:r w:rsidR="00F52AF3" w:rsidRPr="009A3C86">
        <w:rPr>
          <w:rFonts w:ascii="Times New Roman" w:hAnsi="Times New Roman"/>
          <w:sz w:val="24"/>
          <w:szCs w:val="24"/>
        </w:rPr>
        <w:t>5</w:t>
      </w:r>
      <w:r w:rsidRPr="009A3C86">
        <w:rPr>
          <w:rFonts w:ascii="Times New Roman" w:hAnsi="Times New Roman"/>
          <w:sz w:val="24"/>
          <w:szCs w:val="24"/>
        </w:rPr>
        <w:t xml:space="preserve"> działu I do reprezentowania podmiotu składającego deklarację. Przepis ten potwierdza zatem zasadę, że poza przypadkami, gdy podmiot składający deklarację może sam (osobiście) podejmować działania w zakresie prawa podatkowego, deklaracja powinna być podpisywana przez osobę reprezentującą taki podmiot. Podkreślenia </w:t>
      </w:r>
      <w:r w:rsidRPr="009A3C86">
        <w:rPr>
          <w:rFonts w:ascii="Times New Roman" w:hAnsi="Times New Roman"/>
          <w:sz w:val="24"/>
          <w:szCs w:val="24"/>
        </w:rPr>
        <w:lastRenderedPageBreak/>
        <w:t xml:space="preserve">wymaga, że pod pojęciem deklaracji podatkowej należy rozumieć każdą deklarację, w tym także korygującą poprzednio złożoną deklarację. </w:t>
      </w:r>
    </w:p>
    <w:p w:rsidR="00DB048D" w:rsidRPr="009A3C86" w:rsidRDefault="00DB048D" w:rsidP="00DB048D">
      <w:pPr>
        <w:suppressAutoHyphen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6. Z kolei </w:t>
      </w:r>
      <w:r w:rsidRPr="009A3C86">
        <w:rPr>
          <w:rFonts w:ascii="Times New Roman" w:hAnsi="Times New Roman"/>
          <w:b/>
          <w:sz w:val="24"/>
          <w:szCs w:val="24"/>
        </w:rPr>
        <w:t>art. 13</w:t>
      </w:r>
      <w:r w:rsidR="00F52AF3" w:rsidRPr="009A3C86">
        <w:rPr>
          <w:rFonts w:ascii="Times New Roman" w:hAnsi="Times New Roman"/>
          <w:b/>
          <w:sz w:val="24"/>
          <w:szCs w:val="24"/>
        </w:rPr>
        <w:t>4</w:t>
      </w:r>
      <w:r w:rsidRPr="009A3C86">
        <w:rPr>
          <w:rFonts w:ascii="Times New Roman" w:hAnsi="Times New Roman"/>
          <w:sz w:val="24"/>
          <w:szCs w:val="24"/>
        </w:rPr>
        <w:t xml:space="preserve"> projektu ordynacji podatkowej jest odpowiednikiem obowiązującego art. 80a o.p. z pewnymi modyfikacjami, które odnoszą się do § 1 i 3 tego artykułu. Zgodnie z </w:t>
      </w:r>
      <w:r w:rsidRPr="009A3C86">
        <w:rPr>
          <w:rFonts w:ascii="Times New Roman" w:hAnsi="Times New Roman"/>
          <w:b/>
          <w:sz w:val="24"/>
          <w:szCs w:val="24"/>
        </w:rPr>
        <w:t>art. 13</w:t>
      </w:r>
      <w:r w:rsidR="00F52AF3" w:rsidRPr="009A3C86">
        <w:rPr>
          <w:rFonts w:ascii="Times New Roman" w:hAnsi="Times New Roman"/>
          <w:b/>
          <w:sz w:val="24"/>
          <w:szCs w:val="24"/>
        </w:rPr>
        <w:t>4</w:t>
      </w:r>
      <w:r w:rsidRPr="009A3C86">
        <w:rPr>
          <w:rFonts w:ascii="Times New Roman" w:hAnsi="Times New Roman"/>
          <w:b/>
          <w:sz w:val="24"/>
          <w:szCs w:val="24"/>
        </w:rPr>
        <w:t xml:space="preserve"> § 1</w:t>
      </w:r>
      <w:r w:rsidRPr="009A3C86">
        <w:rPr>
          <w:rFonts w:ascii="Times New Roman" w:hAnsi="Times New Roman"/>
          <w:sz w:val="24"/>
          <w:szCs w:val="24"/>
        </w:rPr>
        <w:t xml:space="preserve"> projektu, jeżeli odrębne ustawy nie stanowią inaczej, deklaracja może być podpisana przez pełnomocnika ogólnego lub pełnomocnika upoważnionego do podpisywania deklaracji. Zrezygnowano natomiast ze wskazania katalogu mocodawców, w imieniu których deklarację może podpisywać pełnomocnik. Obowiązujący art. 80a § 1 o.p. wskazuje bowiem wyłącznie podatnika, płatnika lub inkasenta. Nie jest to jednak kompletny katalog podmiotów, które mogą składać deklarację podatkową. Przykładowo można wskazać na następcę prawnego. </w:t>
      </w:r>
      <w:r w:rsidR="00F52AF3" w:rsidRPr="009A3C86">
        <w:rPr>
          <w:rFonts w:ascii="Times New Roman" w:hAnsi="Times New Roman"/>
          <w:sz w:val="24"/>
          <w:szCs w:val="24"/>
        </w:rPr>
        <w:t>Z</w:t>
      </w:r>
      <w:r w:rsidRPr="009A3C86">
        <w:rPr>
          <w:rFonts w:ascii="Times New Roman" w:hAnsi="Times New Roman"/>
          <w:sz w:val="24"/>
          <w:szCs w:val="24"/>
        </w:rPr>
        <w:t xml:space="preserve">godnie z </w:t>
      </w:r>
      <w:r w:rsidRPr="009A3C86">
        <w:rPr>
          <w:rFonts w:ascii="Times New Roman" w:hAnsi="Times New Roman"/>
          <w:b/>
          <w:sz w:val="24"/>
          <w:szCs w:val="24"/>
        </w:rPr>
        <w:t>art. 13</w:t>
      </w:r>
      <w:r w:rsidR="00F52AF3" w:rsidRPr="009A3C86">
        <w:rPr>
          <w:rFonts w:ascii="Times New Roman" w:hAnsi="Times New Roman"/>
          <w:b/>
          <w:sz w:val="24"/>
          <w:szCs w:val="24"/>
        </w:rPr>
        <w:t>4</w:t>
      </w:r>
      <w:r w:rsidRPr="009A3C86">
        <w:rPr>
          <w:rFonts w:ascii="Times New Roman" w:hAnsi="Times New Roman"/>
          <w:b/>
          <w:sz w:val="24"/>
          <w:szCs w:val="24"/>
        </w:rPr>
        <w:t xml:space="preserve"> § 3</w:t>
      </w:r>
      <w:r w:rsidRPr="009A3C86">
        <w:rPr>
          <w:rFonts w:ascii="Times New Roman" w:hAnsi="Times New Roman"/>
          <w:sz w:val="24"/>
          <w:szCs w:val="24"/>
        </w:rPr>
        <w:t xml:space="preserve"> projektu pełnomocnictwo do podpisywania deklaracji oraz zawiadomienie o </w:t>
      </w:r>
      <w:r w:rsidR="00F52AF3" w:rsidRPr="009A3C86">
        <w:rPr>
          <w:rFonts w:ascii="Times New Roman" w:hAnsi="Times New Roman"/>
          <w:sz w:val="24"/>
          <w:szCs w:val="24"/>
        </w:rPr>
        <w:t xml:space="preserve">zmianie, </w:t>
      </w:r>
      <w:r w:rsidRPr="009A3C86">
        <w:rPr>
          <w:rFonts w:ascii="Times New Roman" w:hAnsi="Times New Roman"/>
          <w:sz w:val="24"/>
          <w:szCs w:val="24"/>
        </w:rPr>
        <w:t xml:space="preserve">odwołaniu </w:t>
      </w:r>
      <w:r w:rsidR="00F52AF3" w:rsidRPr="009A3C86">
        <w:rPr>
          <w:rFonts w:ascii="Times New Roman" w:hAnsi="Times New Roman"/>
          <w:sz w:val="24"/>
          <w:szCs w:val="24"/>
        </w:rPr>
        <w:t xml:space="preserve">oraz wypowiedzeniu </w:t>
      </w:r>
      <w:r w:rsidRPr="009A3C86">
        <w:rPr>
          <w:rFonts w:ascii="Times New Roman" w:hAnsi="Times New Roman"/>
          <w:sz w:val="24"/>
          <w:szCs w:val="24"/>
        </w:rPr>
        <w:t xml:space="preserve">tego pełnomocnictwa </w:t>
      </w:r>
      <w:r w:rsidR="00F52AF3" w:rsidRPr="009A3C86">
        <w:rPr>
          <w:rFonts w:ascii="Times New Roman" w:hAnsi="Times New Roman"/>
          <w:sz w:val="24"/>
          <w:szCs w:val="24"/>
        </w:rPr>
        <w:t>może być złożone w postaci elektronicznej</w:t>
      </w:r>
      <w:r w:rsidRPr="009A3C86">
        <w:rPr>
          <w:rFonts w:ascii="Times New Roman" w:hAnsi="Times New Roman"/>
          <w:sz w:val="24"/>
          <w:szCs w:val="24"/>
        </w:rPr>
        <w:t xml:space="preserve">. W projekcie </w:t>
      </w:r>
      <w:r w:rsidRPr="009A3C86">
        <w:rPr>
          <w:rFonts w:ascii="Times New Roman" w:hAnsi="Times New Roman"/>
          <w:b/>
          <w:sz w:val="24"/>
          <w:szCs w:val="24"/>
        </w:rPr>
        <w:t>art. 13</w:t>
      </w:r>
      <w:r w:rsidR="00F52AF3" w:rsidRPr="009A3C86">
        <w:rPr>
          <w:rFonts w:ascii="Times New Roman" w:hAnsi="Times New Roman"/>
          <w:b/>
          <w:sz w:val="24"/>
          <w:szCs w:val="24"/>
        </w:rPr>
        <w:t>4</w:t>
      </w:r>
      <w:r w:rsidRPr="009A3C86">
        <w:rPr>
          <w:rFonts w:ascii="Times New Roman" w:hAnsi="Times New Roman"/>
          <w:b/>
          <w:sz w:val="24"/>
          <w:szCs w:val="24"/>
        </w:rPr>
        <w:t xml:space="preserve"> § </w:t>
      </w:r>
      <w:r w:rsidR="00F52AF3" w:rsidRPr="009A3C86">
        <w:rPr>
          <w:rFonts w:ascii="Times New Roman" w:hAnsi="Times New Roman"/>
          <w:b/>
          <w:sz w:val="24"/>
          <w:szCs w:val="24"/>
        </w:rPr>
        <w:t>4</w:t>
      </w:r>
      <w:r w:rsidRPr="009A3C86">
        <w:rPr>
          <w:rFonts w:ascii="Times New Roman" w:hAnsi="Times New Roman"/>
          <w:sz w:val="24"/>
          <w:szCs w:val="24"/>
        </w:rPr>
        <w:t xml:space="preserve"> pełnomocnictwo do podpisywania deklaracji </w:t>
      </w:r>
      <w:r w:rsidR="00F52AF3" w:rsidRPr="009A3C86">
        <w:rPr>
          <w:rFonts w:ascii="Times New Roman" w:hAnsi="Times New Roman"/>
          <w:sz w:val="24"/>
          <w:szCs w:val="24"/>
        </w:rPr>
        <w:t xml:space="preserve">oraz zawiadomienie o zmianie, odwołaniu oraz wypowiedzeniu tego pełnomocnictwa </w:t>
      </w:r>
      <w:r w:rsidR="00B045DC" w:rsidRPr="009A3C86">
        <w:rPr>
          <w:rFonts w:ascii="Times New Roman" w:hAnsi="Times New Roman"/>
          <w:sz w:val="24"/>
          <w:szCs w:val="24"/>
        </w:rPr>
        <w:t>składane</w:t>
      </w:r>
      <w:r w:rsidRPr="009A3C86">
        <w:rPr>
          <w:rFonts w:ascii="Times New Roman" w:hAnsi="Times New Roman"/>
          <w:sz w:val="24"/>
          <w:szCs w:val="24"/>
        </w:rPr>
        <w:t xml:space="preserve"> za pomocą środków komunikacji elektronicznej </w:t>
      </w:r>
      <w:r w:rsidR="00B045DC" w:rsidRPr="009A3C86">
        <w:rPr>
          <w:rFonts w:ascii="Times New Roman" w:hAnsi="Times New Roman"/>
          <w:sz w:val="24"/>
          <w:szCs w:val="24"/>
        </w:rPr>
        <w:t>zobowiązany składa do Szefa Krajowej Administracji Skarbowej</w:t>
      </w:r>
      <w:r w:rsidRPr="009A3C86">
        <w:rPr>
          <w:rFonts w:ascii="Times New Roman" w:hAnsi="Times New Roman"/>
          <w:sz w:val="24"/>
          <w:szCs w:val="24"/>
        </w:rPr>
        <w:t xml:space="preserve">.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Zbędne okazało się natomiast uregulowanie w tym miejscu normy aktualnie ujętej w art. 80a § 3 o.p., zgodnie z którą jeżeli przepisy prawa podatkowego wymagają podpisania deklaracji przez więcej niż jedną osobę, pełnomocnictwo do podpisania tej deklaracji jest skuteczne, jeżeli udzieliły go wszystkie osoby. Uwaga powyższa odnosi się również do normy ujętej w art. 80a § 4 o.p., zgodnie z którym w kwestiach dotyczących pełnomocnictwa do podpisywania deklaracji stosuje się odpowiednio przepisy dotyczące pełnomocnictwa w postępowaniu podatkowym. W obu powyższych przypadkach kwestie te uregulowano w przepisach o reprezentacji i pełnomocnictwie (rozdział </w:t>
      </w:r>
      <w:r w:rsidR="00B045DC" w:rsidRPr="009A3C86">
        <w:rPr>
          <w:rFonts w:ascii="Times New Roman" w:hAnsi="Times New Roman"/>
          <w:sz w:val="24"/>
          <w:szCs w:val="24"/>
        </w:rPr>
        <w:t>5</w:t>
      </w:r>
      <w:r w:rsidRPr="009A3C86">
        <w:rPr>
          <w:rFonts w:ascii="Times New Roman" w:hAnsi="Times New Roman"/>
          <w:sz w:val="24"/>
          <w:szCs w:val="24"/>
        </w:rPr>
        <w:t>, dział I).</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7. Przepis </w:t>
      </w:r>
      <w:r w:rsidRPr="009A3C86">
        <w:rPr>
          <w:rFonts w:ascii="Times New Roman" w:hAnsi="Times New Roman"/>
          <w:b/>
          <w:sz w:val="24"/>
          <w:szCs w:val="24"/>
        </w:rPr>
        <w:t>art. 13</w:t>
      </w:r>
      <w:r w:rsidR="00B045DC" w:rsidRPr="009A3C86">
        <w:rPr>
          <w:rFonts w:ascii="Times New Roman" w:hAnsi="Times New Roman"/>
          <w:b/>
          <w:sz w:val="24"/>
          <w:szCs w:val="24"/>
        </w:rPr>
        <w:t>5</w:t>
      </w:r>
      <w:r w:rsidRPr="009A3C86">
        <w:rPr>
          <w:rFonts w:ascii="Times New Roman" w:hAnsi="Times New Roman"/>
          <w:sz w:val="24"/>
          <w:szCs w:val="24"/>
        </w:rPr>
        <w:t xml:space="preserve"> projektu ordynacji podatkowej jest odpowiednikiem obowiązującego art. 80b o.p.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8. Zgodnie </w:t>
      </w:r>
      <w:r w:rsidRPr="009A3C86">
        <w:rPr>
          <w:rFonts w:ascii="Times New Roman" w:hAnsi="Times New Roman"/>
          <w:b/>
          <w:sz w:val="24"/>
          <w:szCs w:val="24"/>
        </w:rPr>
        <w:t xml:space="preserve">art. </w:t>
      </w:r>
      <w:r w:rsidR="00A911B6" w:rsidRPr="009A3C86">
        <w:rPr>
          <w:rFonts w:ascii="Times New Roman" w:hAnsi="Times New Roman"/>
          <w:b/>
          <w:sz w:val="24"/>
          <w:szCs w:val="24"/>
        </w:rPr>
        <w:t>13</w:t>
      </w:r>
      <w:r w:rsidR="00B045DC" w:rsidRPr="009A3C86">
        <w:rPr>
          <w:rFonts w:ascii="Times New Roman" w:hAnsi="Times New Roman"/>
          <w:b/>
          <w:sz w:val="24"/>
          <w:szCs w:val="24"/>
        </w:rPr>
        <w:t>6</w:t>
      </w:r>
      <w:r w:rsidR="00A911B6" w:rsidRPr="009A3C86">
        <w:rPr>
          <w:rFonts w:ascii="Times New Roman" w:hAnsi="Times New Roman"/>
          <w:b/>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projektu ordynacji podatkowej deklarację składa się do właściwego organu podatkowego w terminach określonych w odrębnych przepisach. Natomiast z </w:t>
      </w:r>
      <w:r w:rsidRPr="009A3C86">
        <w:rPr>
          <w:rFonts w:ascii="Times New Roman" w:hAnsi="Times New Roman"/>
          <w:b/>
          <w:sz w:val="24"/>
          <w:szCs w:val="24"/>
        </w:rPr>
        <w:t xml:space="preserve">art. </w:t>
      </w:r>
      <w:r w:rsidR="00A911B6" w:rsidRPr="009A3C86">
        <w:rPr>
          <w:rFonts w:ascii="Times New Roman" w:hAnsi="Times New Roman"/>
          <w:b/>
          <w:sz w:val="24"/>
          <w:szCs w:val="24"/>
        </w:rPr>
        <w:t>13</w:t>
      </w:r>
      <w:r w:rsidR="00B045DC" w:rsidRPr="009A3C86">
        <w:rPr>
          <w:rFonts w:ascii="Times New Roman" w:hAnsi="Times New Roman"/>
          <w:b/>
          <w:sz w:val="24"/>
          <w:szCs w:val="24"/>
        </w:rPr>
        <w:t>6</w:t>
      </w:r>
      <w:r w:rsidR="00A911B6" w:rsidRPr="009A3C86">
        <w:rPr>
          <w:rFonts w:ascii="Times New Roman" w:hAnsi="Times New Roman"/>
          <w:b/>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xml:space="preserve"> projektu wynika, że złożenie deklaracji po upływie terminu przedawnienia wymiaru nie wywołuje skutków prawnych. Z kolei z </w:t>
      </w:r>
      <w:r w:rsidRPr="009A3C86">
        <w:rPr>
          <w:rFonts w:ascii="Times New Roman" w:hAnsi="Times New Roman"/>
          <w:b/>
          <w:sz w:val="24"/>
          <w:szCs w:val="24"/>
        </w:rPr>
        <w:t xml:space="preserve">art. </w:t>
      </w:r>
      <w:r w:rsidR="00A911B6" w:rsidRPr="009A3C86">
        <w:rPr>
          <w:rFonts w:ascii="Times New Roman" w:hAnsi="Times New Roman"/>
          <w:b/>
          <w:sz w:val="24"/>
          <w:szCs w:val="24"/>
        </w:rPr>
        <w:t>13</w:t>
      </w:r>
      <w:r w:rsidR="00B045DC" w:rsidRPr="009A3C86">
        <w:rPr>
          <w:rFonts w:ascii="Times New Roman" w:hAnsi="Times New Roman"/>
          <w:b/>
          <w:sz w:val="24"/>
          <w:szCs w:val="24"/>
        </w:rPr>
        <w:t>6</w:t>
      </w:r>
      <w:r w:rsidR="00A911B6" w:rsidRPr="009A3C86">
        <w:rPr>
          <w:rFonts w:ascii="Times New Roman" w:hAnsi="Times New Roman"/>
          <w:b/>
          <w:sz w:val="24"/>
          <w:szCs w:val="24"/>
        </w:rPr>
        <w:t xml:space="preserve"> </w:t>
      </w:r>
      <w:r w:rsidRPr="009A3C86">
        <w:rPr>
          <w:rFonts w:ascii="Times New Roman" w:hAnsi="Times New Roman"/>
          <w:b/>
          <w:sz w:val="24"/>
          <w:szCs w:val="24"/>
        </w:rPr>
        <w:t>§ 3</w:t>
      </w:r>
      <w:r w:rsidRPr="009A3C86">
        <w:rPr>
          <w:rFonts w:ascii="Times New Roman" w:hAnsi="Times New Roman"/>
          <w:sz w:val="24"/>
          <w:szCs w:val="24"/>
        </w:rPr>
        <w:t xml:space="preserve"> projektu wynika zasada, że organ podatkowy zobowiązany jest potwierdzić złożenie deklaracji, jeżeli składający tego zażąda. Wyjątkiem od tej zasady jest sytuacja, gdy deklaracja jest składana za pośrednictwem środków komunikacji elektronicznej. W takim przypadku, zgodnie z art. 4</w:t>
      </w:r>
      <w:r w:rsidR="00264D2D" w:rsidRPr="009A3C86">
        <w:rPr>
          <w:rFonts w:ascii="Times New Roman" w:hAnsi="Times New Roman"/>
          <w:sz w:val="24"/>
          <w:szCs w:val="24"/>
        </w:rPr>
        <w:t>4</w:t>
      </w:r>
      <w:r w:rsidRPr="009A3C86">
        <w:rPr>
          <w:rFonts w:ascii="Times New Roman" w:hAnsi="Times New Roman"/>
          <w:sz w:val="24"/>
          <w:szCs w:val="24"/>
        </w:rPr>
        <w:t xml:space="preserve"> § 2 projektu ordynacji podatkowej, organ podatkowy, elektroniczna skrzynka podawcza </w:t>
      </w:r>
      <w:r w:rsidR="00EA2F7E" w:rsidRPr="009A3C86">
        <w:rPr>
          <w:rFonts w:ascii="Times New Roman" w:hAnsi="Times New Roman"/>
          <w:sz w:val="24"/>
          <w:szCs w:val="24"/>
        </w:rPr>
        <w:t xml:space="preserve">systemu teleinformatycznego </w:t>
      </w:r>
      <w:r w:rsidR="00EA2F7E" w:rsidRPr="009A3C86">
        <w:rPr>
          <w:rFonts w:ascii="Times New Roman" w:hAnsi="Times New Roman"/>
          <w:sz w:val="24"/>
          <w:szCs w:val="24"/>
        </w:rPr>
        <w:lastRenderedPageBreak/>
        <w:t xml:space="preserve">administracji podatkowej </w:t>
      </w:r>
      <w:r w:rsidRPr="009A3C86">
        <w:rPr>
          <w:rFonts w:ascii="Times New Roman" w:hAnsi="Times New Roman"/>
          <w:sz w:val="24"/>
          <w:szCs w:val="24"/>
        </w:rPr>
        <w:t>lub portal podatkowy potwierdzają, w postaci elektronicznej, złożenie deklaracji za pomocą środków komunikacji elektronicznej.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A911B6" w:rsidRPr="009A3C86">
        <w:rPr>
          <w:rFonts w:ascii="Times New Roman" w:hAnsi="Times New Roman"/>
          <w:b/>
          <w:sz w:val="24"/>
          <w:szCs w:val="24"/>
        </w:rPr>
        <w:t>13</w:t>
      </w:r>
      <w:r w:rsidR="00B045DC" w:rsidRPr="009A3C86">
        <w:rPr>
          <w:rFonts w:ascii="Times New Roman" w:hAnsi="Times New Roman"/>
          <w:b/>
          <w:sz w:val="24"/>
          <w:szCs w:val="24"/>
        </w:rPr>
        <w:t>6</w:t>
      </w:r>
      <w:r w:rsidR="00A911B6" w:rsidRPr="009A3C86">
        <w:rPr>
          <w:rFonts w:ascii="Times New Roman" w:hAnsi="Times New Roman"/>
          <w:b/>
          <w:sz w:val="24"/>
          <w:szCs w:val="24"/>
        </w:rPr>
        <w:t xml:space="preserve"> </w:t>
      </w:r>
      <w:r w:rsidRPr="009A3C86">
        <w:rPr>
          <w:rFonts w:ascii="Times New Roman" w:hAnsi="Times New Roman"/>
          <w:b/>
          <w:sz w:val="24"/>
          <w:szCs w:val="24"/>
        </w:rPr>
        <w:t xml:space="preserve">§ 4 i 5 </w:t>
      </w:r>
      <w:r w:rsidRPr="009A3C86">
        <w:rPr>
          <w:rFonts w:ascii="Times New Roman" w:hAnsi="Times New Roman"/>
          <w:sz w:val="24"/>
          <w:szCs w:val="24"/>
        </w:rPr>
        <w:t xml:space="preserve">projektu ordynacji podatkowej zastosowano znaną w procedurze podatkowej zasadę fikcji zachowania terminu w przypadku wniesienia podania do organu niewłaściwego (obowiązujący art. 170 o.p.). Jeżeli organ podatkowy, do którego złożono deklarację, jest niewłaściwy, powinien niezwłocznie przekazać deklarację organowi właściwemu. Deklarację wniesioną do organu niewłaściwego przed upływem terminu określonego przepisami prawa uważa się przy tym za wniesioną z zachowaniem terminu (art. </w:t>
      </w:r>
      <w:r w:rsidR="00A911B6" w:rsidRPr="009A3C86">
        <w:rPr>
          <w:rFonts w:ascii="Times New Roman" w:hAnsi="Times New Roman"/>
          <w:sz w:val="24"/>
          <w:szCs w:val="24"/>
        </w:rPr>
        <w:t>13</w:t>
      </w:r>
      <w:r w:rsidR="00B045DC" w:rsidRPr="009A3C86">
        <w:rPr>
          <w:rFonts w:ascii="Times New Roman" w:hAnsi="Times New Roman"/>
          <w:sz w:val="24"/>
          <w:szCs w:val="24"/>
        </w:rPr>
        <w:t>6</w:t>
      </w:r>
      <w:r w:rsidR="00A911B6" w:rsidRPr="009A3C86">
        <w:rPr>
          <w:rFonts w:ascii="Times New Roman" w:hAnsi="Times New Roman"/>
          <w:sz w:val="24"/>
          <w:szCs w:val="24"/>
        </w:rPr>
        <w:t xml:space="preserve"> </w:t>
      </w:r>
      <w:r w:rsidRPr="009A3C86">
        <w:rPr>
          <w:rFonts w:ascii="Times New Roman" w:hAnsi="Times New Roman"/>
          <w:sz w:val="24"/>
          <w:szCs w:val="24"/>
        </w:rPr>
        <w:t>§ 4 i 5). Jest to niewątpliwie rozwiązanie korzystne dla podmiotów, na których spoczywa obowiązek składania deklaracji podatkowych, gdyż przepis ten wymusza na organach podatkowych badanie właściwości już na etapie składania deklaracji podatkowej.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9. Natomiast </w:t>
      </w:r>
      <w:r w:rsidRPr="009A3C86">
        <w:rPr>
          <w:rFonts w:ascii="Times New Roman" w:hAnsi="Times New Roman"/>
          <w:b/>
          <w:sz w:val="24"/>
          <w:szCs w:val="24"/>
        </w:rPr>
        <w:t xml:space="preserve">art. </w:t>
      </w:r>
      <w:r w:rsidR="00A911B6" w:rsidRPr="009A3C86">
        <w:rPr>
          <w:rFonts w:ascii="Times New Roman" w:hAnsi="Times New Roman"/>
          <w:b/>
          <w:sz w:val="24"/>
          <w:szCs w:val="24"/>
        </w:rPr>
        <w:t>13</w:t>
      </w:r>
      <w:r w:rsidR="00B045DC" w:rsidRPr="009A3C86">
        <w:rPr>
          <w:rFonts w:ascii="Times New Roman" w:hAnsi="Times New Roman"/>
          <w:b/>
          <w:sz w:val="24"/>
          <w:szCs w:val="24"/>
        </w:rPr>
        <w:t>7</w:t>
      </w:r>
      <w:r w:rsidR="00A911B6" w:rsidRPr="009A3C86">
        <w:rPr>
          <w:rFonts w:ascii="Times New Roman" w:hAnsi="Times New Roman"/>
          <w:sz w:val="24"/>
          <w:szCs w:val="24"/>
        </w:rPr>
        <w:t xml:space="preserve"> </w:t>
      </w:r>
      <w:r w:rsidRPr="009A3C86">
        <w:rPr>
          <w:rFonts w:ascii="Times New Roman" w:hAnsi="Times New Roman"/>
          <w:sz w:val="24"/>
          <w:szCs w:val="24"/>
        </w:rPr>
        <w:t>projektu reguluje sytuację, w której doszło do doręczenia tzw. decyzji cząstkowych, o których mowa w art. art. 1</w:t>
      </w:r>
      <w:r w:rsidR="00B045DC" w:rsidRPr="009A3C86">
        <w:rPr>
          <w:rFonts w:ascii="Times New Roman" w:hAnsi="Times New Roman"/>
          <w:sz w:val="24"/>
          <w:szCs w:val="24"/>
        </w:rPr>
        <w:t>30</w:t>
      </w:r>
      <w:r w:rsidRPr="009A3C86">
        <w:rPr>
          <w:rFonts w:ascii="Times New Roman" w:hAnsi="Times New Roman"/>
          <w:sz w:val="24"/>
          <w:szCs w:val="24"/>
        </w:rPr>
        <w:t xml:space="preserve"> § 5, art. 19</w:t>
      </w:r>
      <w:r w:rsidR="00264D2D" w:rsidRPr="009A3C86">
        <w:rPr>
          <w:rFonts w:ascii="Times New Roman" w:hAnsi="Times New Roman"/>
          <w:sz w:val="24"/>
          <w:szCs w:val="24"/>
        </w:rPr>
        <w:t>2</w:t>
      </w:r>
      <w:r w:rsidRPr="009A3C86">
        <w:rPr>
          <w:rFonts w:ascii="Times New Roman" w:hAnsi="Times New Roman"/>
          <w:sz w:val="24"/>
          <w:szCs w:val="24"/>
        </w:rPr>
        <w:t xml:space="preserve"> oraz w art. 5</w:t>
      </w:r>
      <w:r w:rsidR="00B045DC" w:rsidRPr="009A3C86">
        <w:rPr>
          <w:rFonts w:ascii="Times New Roman" w:hAnsi="Times New Roman"/>
          <w:sz w:val="24"/>
          <w:szCs w:val="24"/>
        </w:rPr>
        <w:t>88</w:t>
      </w:r>
      <w:r w:rsidRPr="009A3C86">
        <w:rPr>
          <w:rFonts w:ascii="Times New Roman" w:hAnsi="Times New Roman"/>
          <w:sz w:val="24"/>
          <w:szCs w:val="24"/>
        </w:rPr>
        <w:t xml:space="preserve"> projektu. W takich przypadkach deklaracja nie wywołuje skutków prawnych w zakresie, w jakim organ podatkowy określił część zobowiązania podatkowego lub w decyzji stwierdzającej nadpłatę dokonał wymiaru związanego z wnioskiem o stwierdzenie nadpłaty oraz w zakresie, w jakim w decyzji wydanej w następstwie wniosku o konsultację organ ten dokonał wymiaru w zakresie skutków podatkowych transakcji objętej wnioskiem o konsultację.</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Mając na uwadze powyższe, należy zwrócić uwagę, że w zakresie, w jakim w tych przypadkach deklaracje podatkowe wywierają skutki prawne, będzie możliwe ich korygowanie. W tym zakresie deklaracji nie zastąpi bowiem decyzja. Podatnik będzie miał zatem możliwość złożenia korekty deklaracji podatkowej za okres objęty decyzją wydaną przez organ podatkowy w zakresie, w jakim samoobliczenie podatku nie zostało zakwestionowane tą decyzją, a wcześniej złożona deklaracja podatkowa w niezakwestionowanym zakresie wywiera skutki prawne</w:t>
      </w:r>
      <w:r w:rsidRPr="009A3C86">
        <w:rPr>
          <w:rFonts w:ascii="Times New Roman" w:hAnsi="Times New Roman"/>
          <w:sz w:val="24"/>
          <w:szCs w:val="24"/>
          <w:vertAlign w:val="superscript"/>
        </w:rPr>
        <w:footnoteReference w:id="202"/>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10. Przepis </w:t>
      </w:r>
      <w:r w:rsidRPr="009A3C86">
        <w:rPr>
          <w:rFonts w:ascii="Times New Roman" w:hAnsi="Times New Roman"/>
          <w:b/>
          <w:sz w:val="24"/>
          <w:szCs w:val="24"/>
        </w:rPr>
        <w:t>art. 1</w:t>
      </w:r>
      <w:r w:rsidR="00A911B6" w:rsidRPr="009A3C86">
        <w:rPr>
          <w:rFonts w:ascii="Times New Roman" w:hAnsi="Times New Roman"/>
          <w:b/>
          <w:sz w:val="24"/>
          <w:szCs w:val="24"/>
        </w:rPr>
        <w:t>3</w:t>
      </w:r>
      <w:r w:rsidR="00B045DC" w:rsidRPr="009A3C86">
        <w:rPr>
          <w:rFonts w:ascii="Times New Roman" w:hAnsi="Times New Roman"/>
          <w:b/>
          <w:sz w:val="24"/>
          <w:szCs w:val="24"/>
        </w:rPr>
        <w:t>8</w:t>
      </w:r>
      <w:r w:rsidRPr="009A3C86">
        <w:rPr>
          <w:rFonts w:ascii="Times New Roman" w:hAnsi="Times New Roman"/>
          <w:sz w:val="24"/>
          <w:szCs w:val="24"/>
        </w:rPr>
        <w:t xml:space="preserve"> projektu ordynacji podatkowej jest odpowiednikiem obowiązującego art. 81 o.p. po jego znacznej modyfikacji. Zgodnie </w:t>
      </w:r>
      <w:r w:rsidRPr="009A3C86">
        <w:rPr>
          <w:rFonts w:ascii="Times New Roman" w:hAnsi="Times New Roman"/>
          <w:b/>
          <w:sz w:val="24"/>
          <w:szCs w:val="24"/>
        </w:rPr>
        <w:t>z art. 1</w:t>
      </w:r>
      <w:r w:rsidR="00A911B6" w:rsidRPr="009A3C86">
        <w:rPr>
          <w:rFonts w:ascii="Times New Roman" w:hAnsi="Times New Roman"/>
          <w:b/>
          <w:sz w:val="24"/>
          <w:szCs w:val="24"/>
        </w:rPr>
        <w:t>3</w:t>
      </w:r>
      <w:r w:rsidR="00B045DC" w:rsidRPr="009A3C86">
        <w:rPr>
          <w:rFonts w:ascii="Times New Roman" w:hAnsi="Times New Roman"/>
          <w:b/>
          <w:sz w:val="24"/>
          <w:szCs w:val="24"/>
        </w:rPr>
        <w:t>8</w:t>
      </w:r>
      <w:r w:rsidRPr="009A3C86">
        <w:rPr>
          <w:rFonts w:ascii="Times New Roman" w:hAnsi="Times New Roman"/>
          <w:b/>
          <w:sz w:val="24"/>
          <w:szCs w:val="24"/>
        </w:rPr>
        <w:t xml:space="preserve"> § 1</w:t>
      </w:r>
      <w:r w:rsidRPr="009A3C86">
        <w:rPr>
          <w:rFonts w:ascii="Times New Roman" w:hAnsi="Times New Roman"/>
          <w:sz w:val="24"/>
          <w:szCs w:val="24"/>
        </w:rPr>
        <w:t xml:space="preserve"> projektu, jeżeli odrębne przepisy nie stanowią inaczej, podatnik, płatnik, inkasent lub inny podmiot mogą skorygować uprzednio złożoną deklarację. Przepis ten reguluje zatem uprawnienie do skorygowania uprzednio złożonej deklaracji. Przepis ten reguluje w sposób niedookreślony katalog podmiotów, które mogą skorygować deklarację podatkową. Nie oznacza to jednak, że każdy podmiot może taką korektę złożyć, czyli że katalog ten jest otwarty. Możliwość złożenia korekty zależy bowiem od statusu danego podmiotu w sferze stosunków prawnopodatkowych regulowanych prawem </w:t>
      </w:r>
      <w:r w:rsidRPr="009A3C86">
        <w:rPr>
          <w:rFonts w:ascii="Times New Roman" w:hAnsi="Times New Roman"/>
          <w:sz w:val="24"/>
          <w:szCs w:val="24"/>
        </w:rPr>
        <w:lastRenderedPageBreak/>
        <w:t xml:space="preserve">materialnym. Nowe rozwiązanie zawiera natomiast zastrzeżenie w </w:t>
      </w:r>
      <w:r w:rsidRPr="009A3C86">
        <w:rPr>
          <w:rFonts w:ascii="Times New Roman" w:hAnsi="Times New Roman"/>
          <w:b/>
          <w:sz w:val="24"/>
          <w:szCs w:val="24"/>
        </w:rPr>
        <w:t>art. 1</w:t>
      </w:r>
      <w:r w:rsidR="00A911B6" w:rsidRPr="009A3C86">
        <w:rPr>
          <w:rFonts w:ascii="Times New Roman" w:hAnsi="Times New Roman"/>
          <w:b/>
          <w:sz w:val="24"/>
          <w:szCs w:val="24"/>
        </w:rPr>
        <w:t>3</w:t>
      </w:r>
      <w:r w:rsidR="00B045DC" w:rsidRPr="009A3C86">
        <w:rPr>
          <w:rFonts w:ascii="Times New Roman" w:hAnsi="Times New Roman"/>
          <w:b/>
          <w:sz w:val="24"/>
          <w:szCs w:val="24"/>
        </w:rPr>
        <w:t>8</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zgodnie z którym przepis § 1 nie uchybia obowiązkowi skorygowania deklaracji wynikającemu z odrębnych przepisów. Oznacza to, że skorygowanie deklaracji podatkowej może być nie tylko uprawnieniem, ale również obowiązkiem podatnika, płatnika lub inkasenta. W literaturze zasadnie zwrócono uwagę na to, że odrębne przepisy mogą czynności skorygowania deklaracji nadawać charakter obowiązku, rozumianego jako warunek konieczny nabycia innego prawa, np. do stwierdzenia nadpłaty</w:t>
      </w:r>
      <w:r w:rsidRPr="009A3C86">
        <w:rPr>
          <w:rFonts w:ascii="Times New Roman" w:hAnsi="Times New Roman"/>
          <w:sz w:val="24"/>
          <w:szCs w:val="24"/>
          <w:vertAlign w:val="superscript"/>
        </w:rPr>
        <w:footnoteReference w:id="203"/>
      </w:r>
      <w:r w:rsidRPr="009A3C86">
        <w:rPr>
          <w:rFonts w:ascii="Times New Roman" w:hAnsi="Times New Roman"/>
          <w:sz w:val="24"/>
          <w:szCs w:val="24"/>
        </w:rPr>
        <w:t>. Pogląd ten znajduje potwierdzenie w art. 19</w:t>
      </w:r>
      <w:r w:rsidR="00264D2D" w:rsidRPr="009A3C86">
        <w:rPr>
          <w:rFonts w:ascii="Times New Roman" w:hAnsi="Times New Roman"/>
          <w:sz w:val="24"/>
          <w:szCs w:val="24"/>
        </w:rPr>
        <w:t>0</w:t>
      </w:r>
      <w:r w:rsidRPr="009A3C86">
        <w:rPr>
          <w:rFonts w:ascii="Times New Roman" w:hAnsi="Times New Roman"/>
          <w:sz w:val="24"/>
          <w:szCs w:val="24"/>
        </w:rPr>
        <w:t xml:space="preserve"> § 1 projektu ordynacji podatkowej. </w:t>
      </w:r>
    </w:p>
    <w:p w:rsidR="00DB048D" w:rsidRPr="009A3C86" w:rsidRDefault="00DB048D" w:rsidP="00DB048D">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Przepis </w:t>
      </w:r>
      <w:r w:rsidRPr="009A3C86">
        <w:rPr>
          <w:rFonts w:ascii="Times New Roman" w:eastAsia="Times New Roman" w:hAnsi="Times New Roman"/>
          <w:b/>
          <w:bCs/>
          <w:sz w:val="24"/>
          <w:szCs w:val="24"/>
          <w:lang w:eastAsia="pl-PL"/>
        </w:rPr>
        <w:t>art. 1</w:t>
      </w:r>
      <w:r w:rsidR="00A911B6" w:rsidRPr="009A3C86">
        <w:rPr>
          <w:rFonts w:ascii="Times New Roman" w:eastAsia="Times New Roman" w:hAnsi="Times New Roman"/>
          <w:b/>
          <w:bCs/>
          <w:sz w:val="24"/>
          <w:szCs w:val="24"/>
          <w:lang w:eastAsia="pl-PL"/>
        </w:rPr>
        <w:t>3</w:t>
      </w:r>
      <w:r w:rsidR="00B045DC" w:rsidRPr="009A3C86">
        <w:rPr>
          <w:rFonts w:ascii="Times New Roman" w:eastAsia="Times New Roman" w:hAnsi="Times New Roman"/>
          <w:b/>
          <w:bCs/>
          <w:sz w:val="24"/>
          <w:szCs w:val="24"/>
          <w:lang w:eastAsia="pl-PL"/>
        </w:rPr>
        <w:t>8</w:t>
      </w:r>
      <w:r w:rsidRPr="009A3C86">
        <w:rPr>
          <w:rFonts w:ascii="Times New Roman" w:eastAsia="Times New Roman" w:hAnsi="Times New Roman"/>
          <w:b/>
          <w:bCs/>
          <w:sz w:val="24"/>
          <w:szCs w:val="24"/>
          <w:lang w:eastAsia="pl-PL"/>
        </w:rPr>
        <w:t xml:space="preserve"> § 3</w:t>
      </w:r>
      <w:r w:rsidRPr="009A3C86">
        <w:rPr>
          <w:rFonts w:ascii="Times New Roman" w:eastAsia="Times New Roman" w:hAnsi="Times New Roman"/>
          <w:bCs/>
          <w:sz w:val="24"/>
          <w:szCs w:val="24"/>
          <w:lang w:eastAsia="pl-PL"/>
        </w:rPr>
        <w:t xml:space="preserve"> projektu ordynacji podatkowej jest odpowiednikiem obowiązującego art. 81 § 2 o.p. z istotną modyfikacją. Otóż zgodnie z tym przepisem skorygowanie deklaracji następuje przez złożenie deklaracji korygującej wraz z dołączonym pisemnym uzasadnieniem przyczyn korekty. W przypadku niedołączenia pisemnego uzasadnienia przyczyn korekty organ podatkowy wzywa podmiot, o którym mowa w § 1 do dokonania tej czynności. Powrócono zatem do zasady każdorazowego informowania organu podatkowego o motywach składania deklaracji korygującej. Rezygnacja w obowiązującej ordynacji podatkowej z informowania organu podatkowego o przyczynach korekty spowodowała wzrost prowadzonych przez organy podatkowe czynności sprawdzających. Oznacza to, że rezygnacja z obowiązku informowania organów podatkowych o przyczynach korekty, co miało wiązać się z odciążeniem podatników od nadmiernych obowiązków, spowodowała wprost przeciwne skutki. W praktyce obowiązek uzasadnienia dokonanej korekty nie jest szczególnie dolegliwy, a może uchronić przed wchodzeniem w niepotrzebne interakcje z administracją skarbową. Na marginesie należy zaznaczyć, że w przypadku składania wniosku o stwierdzenie nadpłaty wraz z korektą deklaracji podatnik nie będzie zobligowany do składania odrębnego uzasadnienia przyczyn korekty. W takim bowiem przypadku uzasadnienie przyczyn korekty powinno wynikać z takiego wniosku.</w:t>
      </w:r>
    </w:p>
    <w:p w:rsidR="00DB048D" w:rsidRPr="009A3C86" w:rsidRDefault="00DB048D" w:rsidP="00DB048D">
      <w:pPr>
        <w:suppressAutoHyphens/>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Zgodnie z </w:t>
      </w:r>
      <w:r w:rsidRPr="009A3C86">
        <w:rPr>
          <w:rFonts w:ascii="Times New Roman" w:hAnsi="Times New Roman"/>
          <w:b/>
          <w:sz w:val="24"/>
          <w:szCs w:val="24"/>
          <w:lang w:eastAsia="pl-PL"/>
        </w:rPr>
        <w:t>art. 1</w:t>
      </w:r>
      <w:r w:rsidR="00A911B6" w:rsidRPr="009A3C86">
        <w:rPr>
          <w:rFonts w:ascii="Times New Roman" w:hAnsi="Times New Roman"/>
          <w:b/>
          <w:sz w:val="24"/>
          <w:szCs w:val="24"/>
          <w:lang w:eastAsia="pl-PL"/>
        </w:rPr>
        <w:t>3</w:t>
      </w:r>
      <w:r w:rsidR="00B045DC" w:rsidRPr="009A3C86">
        <w:rPr>
          <w:rFonts w:ascii="Times New Roman" w:hAnsi="Times New Roman"/>
          <w:b/>
          <w:sz w:val="24"/>
          <w:szCs w:val="24"/>
          <w:lang w:eastAsia="pl-PL"/>
        </w:rPr>
        <w:t>8</w:t>
      </w:r>
      <w:r w:rsidRPr="009A3C86">
        <w:rPr>
          <w:rFonts w:ascii="Times New Roman" w:hAnsi="Times New Roman"/>
          <w:b/>
          <w:sz w:val="24"/>
          <w:szCs w:val="24"/>
          <w:lang w:eastAsia="pl-PL"/>
        </w:rPr>
        <w:t xml:space="preserve"> § 4</w:t>
      </w:r>
      <w:r w:rsidRPr="009A3C86">
        <w:rPr>
          <w:rFonts w:ascii="Times New Roman" w:hAnsi="Times New Roman"/>
          <w:sz w:val="24"/>
          <w:szCs w:val="24"/>
          <w:lang w:eastAsia="pl-PL"/>
        </w:rPr>
        <w:t xml:space="preserve"> projektu ordynacji podatkowej w przypadku złożenia deklaracji korygującej za pomocą środków komunikacji elektronicznej, uzasadnienie przyczyn korekty następuje w postaci elektronicznej.</w:t>
      </w:r>
    </w:p>
    <w:p w:rsidR="00DB14C8" w:rsidRPr="009A3C86" w:rsidRDefault="00DB14C8" w:rsidP="00DB048D">
      <w:pPr>
        <w:suppressAutoHyphens/>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Przepisy o korekcie deklaracji nie powinny mieć zastosowania do zgłoszeń identyfikacyjnych i aktualizacyjnych, ponieważ przepisy rozdziału 1 działu IV </w:t>
      </w:r>
      <w:r w:rsidR="002C0CE2" w:rsidRPr="009A3C86">
        <w:rPr>
          <w:rFonts w:ascii="Times New Roman" w:hAnsi="Times New Roman"/>
          <w:sz w:val="24"/>
          <w:szCs w:val="24"/>
          <w:lang w:eastAsia="pl-PL"/>
        </w:rPr>
        <w:t xml:space="preserve">projektu </w:t>
      </w:r>
      <w:r w:rsidRPr="009A3C86">
        <w:rPr>
          <w:rFonts w:ascii="Times New Roman" w:hAnsi="Times New Roman"/>
          <w:sz w:val="24"/>
          <w:szCs w:val="24"/>
          <w:lang w:eastAsia="pl-PL"/>
        </w:rPr>
        <w:t>zawierają w tym zakresie odrębne regulacje (</w:t>
      </w:r>
      <w:r w:rsidRPr="009A3C86">
        <w:rPr>
          <w:rFonts w:ascii="Times New Roman" w:hAnsi="Times New Roman"/>
          <w:b/>
          <w:sz w:val="24"/>
          <w:szCs w:val="24"/>
          <w:lang w:eastAsia="pl-PL"/>
        </w:rPr>
        <w:t>art.</w:t>
      </w:r>
      <w:r w:rsidRPr="009A3C86">
        <w:rPr>
          <w:rFonts w:ascii="Times New Roman" w:hAnsi="Times New Roman"/>
          <w:sz w:val="24"/>
          <w:szCs w:val="24"/>
          <w:lang w:eastAsia="pl-PL"/>
        </w:rPr>
        <w:t xml:space="preserve"> </w:t>
      </w:r>
      <w:r w:rsidRPr="009A3C86">
        <w:rPr>
          <w:rFonts w:ascii="Times New Roman" w:hAnsi="Times New Roman"/>
          <w:b/>
          <w:sz w:val="24"/>
          <w:szCs w:val="24"/>
          <w:lang w:eastAsia="pl-PL"/>
        </w:rPr>
        <w:t>138 § 5)</w:t>
      </w:r>
      <w:r w:rsidRPr="009A3C86">
        <w:rPr>
          <w:rFonts w:ascii="Times New Roman" w:hAnsi="Times New Roman"/>
          <w:sz w:val="24"/>
          <w:szCs w:val="24"/>
          <w:lang w:eastAsia="pl-PL"/>
        </w:rPr>
        <w:t xml:space="preserve">.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11. Przepis </w:t>
      </w:r>
      <w:r w:rsidRPr="009A3C86">
        <w:rPr>
          <w:rFonts w:ascii="Times New Roman" w:hAnsi="Times New Roman"/>
          <w:b/>
          <w:sz w:val="24"/>
          <w:szCs w:val="24"/>
        </w:rPr>
        <w:t>art. 1</w:t>
      </w:r>
      <w:r w:rsidR="00A911B6" w:rsidRPr="009A3C86">
        <w:rPr>
          <w:rFonts w:ascii="Times New Roman" w:hAnsi="Times New Roman"/>
          <w:b/>
          <w:sz w:val="24"/>
          <w:szCs w:val="24"/>
        </w:rPr>
        <w:t>3</w:t>
      </w:r>
      <w:r w:rsidR="00B045DC" w:rsidRPr="009A3C86">
        <w:rPr>
          <w:rFonts w:ascii="Times New Roman" w:hAnsi="Times New Roman"/>
          <w:b/>
          <w:sz w:val="24"/>
          <w:szCs w:val="24"/>
        </w:rPr>
        <w:t>9</w:t>
      </w:r>
      <w:r w:rsidRPr="009A3C86">
        <w:rPr>
          <w:rFonts w:ascii="Times New Roman" w:hAnsi="Times New Roman"/>
          <w:sz w:val="24"/>
          <w:szCs w:val="24"/>
        </w:rPr>
        <w:t xml:space="preserve"> projektu ordynacji podatkowej reguluje szczegółowe zasady korygowania deklaracji podatkowej. Przepis ten jest zmodyfikowanym w sposób istotny odpowiednikiem art. 81b o.p. Art. 1</w:t>
      </w:r>
      <w:r w:rsidR="00264D2D" w:rsidRPr="009A3C86">
        <w:rPr>
          <w:rFonts w:ascii="Times New Roman" w:hAnsi="Times New Roman"/>
          <w:sz w:val="24"/>
          <w:szCs w:val="24"/>
        </w:rPr>
        <w:t>3</w:t>
      </w:r>
      <w:r w:rsidR="007D38F2" w:rsidRPr="009A3C86">
        <w:rPr>
          <w:rFonts w:ascii="Times New Roman" w:hAnsi="Times New Roman"/>
          <w:sz w:val="24"/>
          <w:szCs w:val="24"/>
        </w:rPr>
        <w:t>9</w:t>
      </w:r>
      <w:r w:rsidRPr="009A3C86">
        <w:rPr>
          <w:rFonts w:ascii="Times New Roman" w:hAnsi="Times New Roman"/>
          <w:sz w:val="24"/>
          <w:szCs w:val="24"/>
        </w:rPr>
        <w:t xml:space="preserve"> § 1 projektu ordynacji podatkowej wymienia sytuacje, w których skorygowanie deklaracji podatkowej nie wywołuje skutków prawnych. Po pierwsze, skorygowanie deklaracji podatkowej nie będzie zatem skuteczne w czasie trwania postępowania podatkowego lub kontroli podatkowej w zakresie objętym tym postępowaniem lub kontrolą, z zastrzeżeniem art. 1</w:t>
      </w:r>
      <w:r w:rsidR="007D38F2" w:rsidRPr="009A3C86">
        <w:rPr>
          <w:rFonts w:ascii="Times New Roman" w:hAnsi="Times New Roman"/>
          <w:sz w:val="24"/>
          <w:szCs w:val="24"/>
        </w:rPr>
        <w:t>40</w:t>
      </w:r>
      <w:r w:rsidRPr="009A3C86">
        <w:rPr>
          <w:rFonts w:ascii="Times New Roman" w:hAnsi="Times New Roman"/>
          <w:sz w:val="24"/>
          <w:szCs w:val="24"/>
        </w:rPr>
        <w:t xml:space="preserve"> § 1 oraz w czasie trwania kontroli celno – skarbowej, w zakresie objętym tą kontrolą, chyba że przepis szczególny stanowi inaczej (</w:t>
      </w:r>
      <w:r w:rsidRPr="009A3C86">
        <w:rPr>
          <w:rFonts w:ascii="Times New Roman" w:hAnsi="Times New Roman"/>
          <w:b/>
          <w:sz w:val="24"/>
          <w:szCs w:val="24"/>
        </w:rPr>
        <w:t>art. 1</w:t>
      </w:r>
      <w:r w:rsidR="00A911B6" w:rsidRPr="009A3C86">
        <w:rPr>
          <w:rFonts w:ascii="Times New Roman" w:hAnsi="Times New Roman"/>
          <w:b/>
          <w:sz w:val="24"/>
          <w:szCs w:val="24"/>
        </w:rPr>
        <w:t>3</w:t>
      </w:r>
      <w:r w:rsidR="00B045DC" w:rsidRPr="009A3C86">
        <w:rPr>
          <w:rFonts w:ascii="Times New Roman" w:hAnsi="Times New Roman"/>
          <w:b/>
          <w:sz w:val="24"/>
          <w:szCs w:val="24"/>
        </w:rPr>
        <w:t>9</w:t>
      </w:r>
      <w:r w:rsidRPr="009A3C86">
        <w:rPr>
          <w:rFonts w:ascii="Times New Roman" w:hAnsi="Times New Roman"/>
          <w:b/>
          <w:sz w:val="24"/>
          <w:szCs w:val="24"/>
        </w:rPr>
        <w:t xml:space="preserve"> § 1 pkt 1</w:t>
      </w:r>
      <w:r w:rsidRPr="009A3C86">
        <w:rPr>
          <w:rFonts w:ascii="Times New Roman" w:hAnsi="Times New Roman"/>
          <w:sz w:val="24"/>
          <w:szCs w:val="24"/>
        </w:rPr>
        <w:t>). Zauważyć jednak w tym miejscu należy, że art. 1</w:t>
      </w:r>
      <w:r w:rsidR="00264D2D" w:rsidRPr="009A3C86">
        <w:rPr>
          <w:rFonts w:ascii="Times New Roman" w:hAnsi="Times New Roman"/>
          <w:sz w:val="24"/>
          <w:szCs w:val="24"/>
        </w:rPr>
        <w:t>3</w:t>
      </w:r>
      <w:r w:rsidR="00B045DC" w:rsidRPr="009A3C86">
        <w:rPr>
          <w:rFonts w:ascii="Times New Roman" w:hAnsi="Times New Roman"/>
          <w:sz w:val="24"/>
          <w:szCs w:val="24"/>
        </w:rPr>
        <w:t>9</w:t>
      </w:r>
      <w:r w:rsidRPr="009A3C86">
        <w:rPr>
          <w:rFonts w:ascii="Times New Roman" w:hAnsi="Times New Roman"/>
          <w:sz w:val="24"/>
          <w:szCs w:val="24"/>
        </w:rPr>
        <w:t xml:space="preserve"> § 1 projektu ordynacji podatkowej nie czyni bezskuteczną czynność złożenia deklaracji po raz pierwszy (</w:t>
      </w:r>
      <w:r w:rsidRPr="009A3C86">
        <w:rPr>
          <w:rFonts w:ascii="Times New Roman" w:hAnsi="Times New Roman"/>
          <w:b/>
          <w:sz w:val="24"/>
          <w:szCs w:val="24"/>
        </w:rPr>
        <w:t>art. 13</w:t>
      </w:r>
      <w:r w:rsidR="00B045DC" w:rsidRPr="009A3C86">
        <w:rPr>
          <w:rFonts w:ascii="Times New Roman" w:hAnsi="Times New Roman"/>
          <w:b/>
          <w:sz w:val="24"/>
          <w:szCs w:val="24"/>
        </w:rPr>
        <w:t>9</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W związku z pojawiającymi się wątpliwościami interpretacyjnymi</w:t>
      </w:r>
      <w:r w:rsidRPr="009A3C86">
        <w:rPr>
          <w:rFonts w:ascii="Times New Roman" w:hAnsi="Times New Roman"/>
          <w:sz w:val="24"/>
          <w:szCs w:val="24"/>
          <w:vertAlign w:val="superscript"/>
        </w:rPr>
        <w:footnoteReference w:id="204"/>
      </w:r>
      <w:r w:rsidRPr="009A3C86">
        <w:rPr>
          <w:rFonts w:ascii="Times New Roman" w:hAnsi="Times New Roman"/>
          <w:sz w:val="24"/>
          <w:szCs w:val="24"/>
        </w:rPr>
        <w:t xml:space="preserve"> wskazano wprost, że wyłączenie skuteczności prawnej czynności skorygowania deklaracji w czasie trwania postępowania podatkowego lub kontroli podatkowej nie ma wpływu na realizację obowiązku złożenia deklaracji. Ograniczenia w zakresie korygowania deklaracji podatkowej w toku kontroli celno-skarbowej regulują przepisy ustawy o KAS. Ograniczenie odnoszące się do skuteczności skorygowania deklaracji w postępowaniu podatkowym odnosi się także do postępowania prowadzonego w trybie uproszczonym. W odniesieniu do zasady bezskuteczności czynności skorygowania deklaracji w czasie trwania postępowania podatkowego lub kontroli podatkowej należy zwrócić uwagę na wyjątek od tej zasady wynikający z </w:t>
      </w:r>
      <w:r w:rsidRPr="009A3C86">
        <w:rPr>
          <w:rFonts w:ascii="Times New Roman" w:hAnsi="Times New Roman"/>
          <w:b/>
          <w:sz w:val="24"/>
          <w:szCs w:val="24"/>
        </w:rPr>
        <w:t>art. 1</w:t>
      </w:r>
      <w:r w:rsidR="00B045DC" w:rsidRPr="009A3C86">
        <w:rPr>
          <w:rFonts w:ascii="Times New Roman" w:hAnsi="Times New Roman"/>
          <w:b/>
          <w:sz w:val="24"/>
          <w:szCs w:val="24"/>
        </w:rPr>
        <w:t>40</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Zgodnie z tym przepisem strona postępowania podatkowego może, w terminie wyznaczonym przez organ podatkowy pierwszej instancji zgodnie z art. 38</w:t>
      </w:r>
      <w:r w:rsidR="007D38F2" w:rsidRPr="009A3C86">
        <w:rPr>
          <w:rFonts w:ascii="Times New Roman" w:hAnsi="Times New Roman"/>
          <w:sz w:val="24"/>
          <w:szCs w:val="24"/>
        </w:rPr>
        <w:t>9</w:t>
      </w:r>
      <w:r w:rsidR="00C43CF9" w:rsidRPr="009A3C86">
        <w:rPr>
          <w:rFonts w:ascii="Times New Roman" w:hAnsi="Times New Roman"/>
          <w:sz w:val="24"/>
          <w:szCs w:val="24"/>
        </w:rPr>
        <w:t xml:space="preserve"> </w:t>
      </w:r>
      <w:r w:rsidRPr="009A3C86">
        <w:rPr>
          <w:rFonts w:ascii="Times New Roman" w:hAnsi="Times New Roman"/>
          <w:sz w:val="24"/>
          <w:szCs w:val="24"/>
        </w:rPr>
        <w:t>§ 1 projektu (siedem dni) lub zgodnie z art. 38</w:t>
      </w:r>
      <w:r w:rsidR="007D38F2" w:rsidRPr="009A3C86">
        <w:rPr>
          <w:rFonts w:ascii="Times New Roman" w:hAnsi="Times New Roman"/>
          <w:sz w:val="24"/>
          <w:szCs w:val="24"/>
        </w:rPr>
        <w:t>9</w:t>
      </w:r>
      <w:r w:rsidRPr="009A3C86">
        <w:rPr>
          <w:rFonts w:ascii="Times New Roman" w:hAnsi="Times New Roman"/>
          <w:sz w:val="24"/>
          <w:szCs w:val="24"/>
        </w:rPr>
        <w:t xml:space="preserve"> § 3 projektu (czternaście dni), skorygować uprzednio złożoną deklarację, w zakresie objętym postępowaniem podatkowym (zob. szerzej punkt 12). Po drugie, skorygowanie deklaracji nie będzie skuteczne po upływie terminu przedawnienia wymiaru, z zastrzeżeniem art. 2</w:t>
      </w:r>
      <w:r w:rsidR="00110FCB" w:rsidRPr="009A3C86">
        <w:rPr>
          <w:rFonts w:ascii="Times New Roman" w:hAnsi="Times New Roman"/>
          <w:sz w:val="24"/>
          <w:szCs w:val="24"/>
        </w:rPr>
        <w:t>28</w:t>
      </w:r>
      <w:r w:rsidRPr="009A3C86">
        <w:rPr>
          <w:rFonts w:ascii="Times New Roman" w:hAnsi="Times New Roman"/>
          <w:sz w:val="24"/>
          <w:szCs w:val="24"/>
        </w:rPr>
        <w:t xml:space="preserve"> i art. 2</w:t>
      </w:r>
      <w:r w:rsidR="00657054" w:rsidRPr="009A3C86">
        <w:rPr>
          <w:rFonts w:ascii="Times New Roman" w:hAnsi="Times New Roman"/>
          <w:sz w:val="24"/>
          <w:szCs w:val="24"/>
        </w:rPr>
        <w:t>29</w:t>
      </w:r>
      <w:r w:rsidRPr="009A3C86">
        <w:rPr>
          <w:rFonts w:ascii="Times New Roman" w:hAnsi="Times New Roman"/>
          <w:sz w:val="24"/>
          <w:szCs w:val="24"/>
        </w:rPr>
        <w:t xml:space="preserve">. Wprost uregulowano zatem ograniczenie możliwości prawnej skorygowania deklaracji ze względu na upływ terminu przedawnienia wymiaru. Wyjątek w tym zakresie wiąże się natomiast z sytuacją, gdy istnienie nadpłaty wynika z porozumienia zawartego w trybie procedury wzajemnego porozumiewania na podstawie ratyfikowanych umów o unikaniu podwójnego opodatkowania lub innych ratyfikowanych umów międzynarodowych, których </w:t>
      </w:r>
      <w:r w:rsidRPr="009A3C86">
        <w:rPr>
          <w:rFonts w:ascii="Times New Roman" w:hAnsi="Times New Roman"/>
          <w:sz w:val="24"/>
          <w:szCs w:val="24"/>
        </w:rPr>
        <w:lastRenderedPageBreak/>
        <w:t>stroną jest Rzeczpospolita Polska (art. 2</w:t>
      </w:r>
      <w:r w:rsidR="00744DB8" w:rsidRPr="009A3C86">
        <w:rPr>
          <w:rFonts w:ascii="Times New Roman" w:hAnsi="Times New Roman"/>
          <w:sz w:val="24"/>
          <w:szCs w:val="24"/>
        </w:rPr>
        <w:t>2</w:t>
      </w:r>
      <w:r w:rsidR="007D38F2" w:rsidRPr="009A3C86">
        <w:rPr>
          <w:rFonts w:ascii="Times New Roman" w:hAnsi="Times New Roman"/>
          <w:sz w:val="24"/>
          <w:szCs w:val="24"/>
        </w:rPr>
        <w:t>8</w:t>
      </w:r>
      <w:r w:rsidRPr="009A3C86">
        <w:rPr>
          <w:rFonts w:ascii="Times New Roman" w:hAnsi="Times New Roman"/>
          <w:sz w:val="24"/>
          <w:szCs w:val="24"/>
        </w:rPr>
        <w:t xml:space="preserve"> projektu ordynacji podatkowej) oraz gdy nadpłata wynika z orzeczenia Trybunału Konstytucyjnego lub orzeczenia Trybunału Sprawiedliwości Unii Europejskiej, a także w przypadku, gdy nadpłata wynika z usunięcia w przepisach krajowych niezgodności tych przepisów z przepisami prawa Unii Europejskiej oraz z ratyfikowanej umowy o unikaniu podwójnego opodatkowania lub innej ratyfikowanej umowy międzynarodowej, której stroną jest Rzeczpospolita Polska (art. 2</w:t>
      </w:r>
      <w:r w:rsidR="007D38F2" w:rsidRPr="009A3C86">
        <w:rPr>
          <w:rFonts w:ascii="Times New Roman" w:hAnsi="Times New Roman"/>
          <w:sz w:val="24"/>
          <w:szCs w:val="24"/>
        </w:rPr>
        <w:t>29</w:t>
      </w:r>
      <w:r w:rsidRPr="009A3C86">
        <w:rPr>
          <w:rFonts w:ascii="Times New Roman" w:hAnsi="Times New Roman"/>
          <w:sz w:val="24"/>
          <w:szCs w:val="24"/>
        </w:rPr>
        <w:t xml:space="preserve"> projektu ordynacji podatkowej).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Po trzecie, skorygowanie deklaracji będzie bezskuteczne w przypadku niezłożenia wniosku o stwierdzenie nadpłaty, jeżeli skorygowanie deklaracji wiąże się z powstaniem nadpłaty.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Po czwarte, skorygowanie deklaracji będzie bezskuteczne w przypadku odmowy stwierdzenia nadpłaty w całości lub w części.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Po piąte, skorygowanie deklaracji będzie bezskuteczne w przypadku umorzenia postępowania w związku z wycofaniem wniosku o stwierdzenie nadpłaty.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Po szóste, skorygowanie deklaracji będzie bezskuteczne w przypadku ponownego (kolejnego) skorygowania deklaracji w zakresie nieprawidłowości objętych deklaracją korygującą złożoną uprzednio w terminie wyznaczonym na podstawie art. 38</w:t>
      </w:r>
      <w:r w:rsidR="007D38F2" w:rsidRPr="009A3C86">
        <w:rPr>
          <w:rFonts w:ascii="Times New Roman" w:hAnsi="Times New Roman"/>
          <w:sz w:val="24"/>
          <w:szCs w:val="24"/>
        </w:rPr>
        <w:t>9</w:t>
      </w:r>
      <w:r w:rsidRPr="009A3C86">
        <w:rPr>
          <w:rFonts w:ascii="Times New Roman" w:hAnsi="Times New Roman"/>
          <w:sz w:val="24"/>
          <w:szCs w:val="24"/>
        </w:rPr>
        <w:t xml:space="preserve"> § 1, w okolicznościach określonych w art. 1</w:t>
      </w:r>
      <w:r w:rsidR="00744DB8" w:rsidRPr="009A3C86">
        <w:rPr>
          <w:rFonts w:ascii="Times New Roman" w:hAnsi="Times New Roman"/>
          <w:sz w:val="24"/>
          <w:szCs w:val="24"/>
        </w:rPr>
        <w:t>40</w:t>
      </w:r>
      <w:r w:rsidRPr="009A3C86">
        <w:rPr>
          <w:rFonts w:ascii="Times New Roman" w:hAnsi="Times New Roman"/>
          <w:sz w:val="24"/>
          <w:szCs w:val="24"/>
        </w:rPr>
        <w:t xml:space="preserve"> § 2 (zob. szerzej punkt 12). Wyjątek od zasady bezskuteczności skorygowania deklaracji wiąże się z tym, że jeżeli taka korekta zostanie dokonana w okresie 6 miesięcy przed upływem terminu przedawniania wymiaru, termin przedawnienia ulegnie wydłużeniu o 1 rok (art. 1</w:t>
      </w:r>
      <w:r w:rsidR="00264D2D" w:rsidRPr="009A3C86">
        <w:rPr>
          <w:rFonts w:ascii="Times New Roman" w:hAnsi="Times New Roman"/>
          <w:sz w:val="24"/>
          <w:szCs w:val="24"/>
        </w:rPr>
        <w:t>7</w:t>
      </w:r>
      <w:r w:rsidR="00744DB8" w:rsidRPr="009A3C86">
        <w:rPr>
          <w:rFonts w:ascii="Times New Roman" w:hAnsi="Times New Roman"/>
          <w:sz w:val="24"/>
          <w:szCs w:val="24"/>
        </w:rPr>
        <w:t>4</w:t>
      </w:r>
      <w:r w:rsidRPr="009A3C86">
        <w:rPr>
          <w:rFonts w:ascii="Times New Roman" w:hAnsi="Times New Roman"/>
          <w:sz w:val="24"/>
          <w:szCs w:val="24"/>
        </w:rPr>
        <w:t>).</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Po siódme, skorygowanie (ponowne) deklaracji będzie bezskuteczne po zakończeniu postępowania podatkowego, o którym mowa w art. 1</w:t>
      </w:r>
      <w:r w:rsidR="00744DB8" w:rsidRPr="009A3C86">
        <w:rPr>
          <w:rFonts w:ascii="Times New Roman" w:hAnsi="Times New Roman"/>
          <w:sz w:val="24"/>
          <w:szCs w:val="24"/>
        </w:rPr>
        <w:t>40</w:t>
      </w:r>
      <w:r w:rsidRPr="009A3C86">
        <w:rPr>
          <w:rFonts w:ascii="Times New Roman" w:hAnsi="Times New Roman"/>
          <w:sz w:val="24"/>
          <w:szCs w:val="24"/>
        </w:rPr>
        <w:t xml:space="preserve"> § 4 w zakresie, w jakim wcześniej dokonana korekta przewidywała cofnięcie skutków unikania opodatkowania. Przepis ten skonstruowano na podstawie zdania drugiego art. 81b § 1a o.p.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Po ósme, skorygowanie deklaracji będzie bezskuteczne w zakresie objętym decyzją wymiarową.</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art. 1</w:t>
      </w:r>
      <w:r w:rsidR="00A911B6" w:rsidRPr="009A3C86">
        <w:rPr>
          <w:rFonts w:ascii="Times New Roman" w:hAnsi="Times New Roman"/>
          <w:b/>
          <w:sz w:val="24"/>
          <w:szCs w:val="24"/>
        </w:rPr>
        <w:t>3</w:t>
      </w:r>
      <w:r w:rsidR="00744DB8" w:rsidRPr="009A3C86">
        <w:rPr>
          <w:rFonts w:ascii="Times New Roman" w:hAnsi="Times New Roman"/>
          <w:b/>
          <w:sz w:val="24"/>
          <w:szCs w:val="24"/>
        </w:rPr>
        <w:t>9</w:t>
      </w:r>
      <w:r w:rsidRPr="009A3C86">
        <w:rPr>
          <w:rFonts w:ascii="Times New Roman" w:hAnsi="Times New Roman"/>
          <w:b/>
          <w:sz w:val="24"/>
          <w:szCs w:val="24"/>
        </w:rPr>
        <w:t xml:space="preserve"> § 3</w:t>
      </w:r>
      <w:r w:rsidRPr="009A3C86">
        <w:rPr>
          <w:rFonts w:ascii="Times New Roman" w:hAnsi="Times New Roman"/>
          <w:sz w:val="24"/>
          <w:szCs w:val="24"/>
        </w:rPr>
        <w:t xml:space="preserve"> projektu ordynacji podatkowej nakłada na organ podatkowy obowiązek informacyjny. Zgodnie z tym przepisem organ podatkowy zawiadamia pisemnie składającego deklarację korygującą o braku jej skuteczności. Dotyczy to wszystkich sytuacji, w których złożona deklaracja nie wywołuje skutków prawnych. Nie przewiduje się tu środka zaskarżenia, ponieważ bezskuteczność korekty wynika bezpośrednio z przepisów prawa, a zawiadomienie będzie miało jedynie informacyjny charakter.</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Zauważyć ponadto należy, że decyzja o odmowie stwierdzenia nadpłaty lub o umorzeniu postępowania w związku z wycofaniem wniosku powinna zawierać informację o bezskuteczności korekty, co wynika z art. 1</w:t>
      </w:r>
      <w:r w:rsidR="00A911B6" w:rsidRPr="009A3C86">
        <w:rPr>
          <w:rFonts w:ascii="Times New Roman" w:hAnsi="Times New Roman"/>
          <w:sz w:val="24"/>
          <w:szCs w:val="24"/>
        </w:rPr>
        <w:t>9</w:t>
      </w:r>
      <w:r w:rsidR="00744DB8" w:rsidRPr="009A3C86">
        <w:rPr>
          <w:rFonts w:ascii="Times New Roman" w:hAnsi="Times New Roman"/>
          <w:sz w:val="24"/>
          <w:szCs w:val="24"/>
        </w:rPr>
        <w:t>5</w:t>
      </w:r>
      <w:r w:rsidRPr="009A3C86">
        <w:rPr>
          <w:rFonts w:ascii="Times New Roman" w:hAnsi="Times New Roman"/>
          <w:sz w:val="24"/>
          <w:szCs w:val="24"/>
        </w:rPr>
        <w:t xml:space="preserve"> § 1 pkt 1 i § 3 projektu ordynacji podatkowej.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12. Jak wskazano powyżej, </w:t>
      </w:r>
      <w:r w:rsidRPr="009A3C86">
        <w:rPr>
          <w:rFonts w:ascii="Times New Roman" w:hAnsi="Times New Roman"/>
          <w:b/>
          <w:sz w:val="24"/>
          <w:szCs w:val="24"/>
        </w:rPr>
        <w:t>art. 1</w:t>
      </w:r>
      <w:r w:rsidR="00744DB8" w:rsidRPr="009A3C86">
        <w:rPr>
          <w:rFonts w:ascii="Times New Roman" w:hAnsi="Times New Roman"/>
          <w:b/>
          <w:sz w:val="24"/>
          <w:szCs w:val="24"/>
        </w:rPr>
        <w:t>40</w:t>
      </w:r>
      <w:r w:rsidR="00691BF4" w:rsidRPr="009A3C86">
        <w:rPr>
          <w:rFonts w:ascii="Times New Roman" w:hAnsi="Times New Roman"/>
          <w:b/>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projektu ordynacji podatkowej wprowadza wyjątek od zasady ograniczającej możliwość skorygowania deklaracji podatkowej w czasie trwania postępowania podatkowego lub kontroli podatkowej w zakresie objętym tym postępowaniem lub kontrolą. Proponowana regulacja dotyczy strony postępowania podatkowego, która może, w terminie wyznaczonym przez organ pierwszej instancji zgodnie z art. 38</w:t>
      </w:r>
      <w:r w:rsidR="00DD0C19" w:rsidRPr="009A3C86">
        <w:rPr>
          <w:rFonts w:ascii="Times New Roman" w:hAnsi="Times New Roman"/>
          <w:sz w:val="24"/>
          <w:szCs w:val="24"/>
        </w:rPr>
        <w:t>9</w:t>
      </w:r>
      <w:r w:rsidRPr="009A3C86">
        <w:rPr>
          <w:rFonts w:ascii="Times New Roman" w:hAnsi="Times New Roman"/>
          <w:sz w:val="24"/>
          <w:szCs w:val="24"/>
        </w:rPr>
        <w:t xml:space="preserve"> § 1 projektu (siedem dni), skorygować uprzednio złożoną deklarację w zakresie objętym postępowaniem podatkowym. Zaproponowana konstrukcja prawna opiera się na założeniu pierwszeństwa samoobliczenia podatku przez podatnika przed władczym określeniem podatku przez organ podatkowy</w:t>
      </w:r>
      <w:r w:rsidRPr="009A3C86">
        <w:rPr>
          <w:rFonts w:ascii="Times New Roman" w:hAnsi="Times New Roman"/>
          <w:sz w:val="24"/>
          <w:szCs w:val="24"/>
          <w:vertAlign w:val="superscript"/>
        </w:rPr>
        <w:footnoteReference w:id="205"/>
      </w:r>
      <w:r w:rsidRPr="009A3C86">
        <w:rPr>
          <w:rFonts w:ascii="Times New Roman" w:hAnsi="Times New Roman"/>
          <w:sz w:val="24"/>
          <w:szCs w:val="24"/>
        </w:rPr>
        <w:t xml:space="preserve">. Rozwiązanie umożliwiające skorygowanie deklaracji podatkowej w toku postępowania podatkowego przewiduje obowiązujący art. 81b § 1a o.p., przy czym możliwość skorygowania dotyczy wyłącznie postępowania podatkowego, o którym mowa w art. 119g o.p., a zatem postępowania podatkowego w przypadku unikania opodatkowania. Należy jednak przypomnieć, że w nieobowiązujących już przepisach ustawy z dnia 28 września 1991 r. o kontroli skarbowej, regulujących postępowanie kontrolne prowadzone przez organy kontroli skarbowej, w postępowaniu kontrolnym prowadzonym przez te organy kontrolowany mógł złożyć skuteczną korektę deklaracji podatkowej w ostatniej fazie tego postępowania, tuż przed wydaniem decyzji podatkowej, w terminie przewidzianym do wypowiedzenia się w sprawie zebranego materiału dowodowego (art. 14c ust. 2 w zw. z art. 24 ust. 4 u.k.s.). Skorygowanie deklaracji następowało w takiej sytuacji w toku postępowania kontrolnego, które było postępowaniem o charakterze jurysdykcyjnym i mogło zakończyć się wydaniem decyzji podatkowej.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Wychodząc z założenia pierwszeństwa samoobliczenia podatku przez podatnika przed decyzyjnym określeniem podatku przez organ podatkowy, zasadne jest umożliwienie stronie postępowania podatkowego dokonania skutecznego skorygowania deklaracji podatkowej jeszcze przed ewentualnym wydaniem decyzji podatkowej. Rozwiązanie to stanowi również element realizacji zasady efektywności działania organów, wyrażonej w art. 22 § 1 projektu ordynacji podatkowej. Skuteczne skorygowanie deklaracji podatkowej przez podatnika zgodnie z zapatrywaniami (oceną) organu podatkowego czyni bezzasadnym wydawanie decyzji </w:t>
      </w:r>
      <w:r w:rsidRPr="009A3C86">
        <w:rPr>
          <w:rFonts w:ascii="Times New Roman" w:hAnsi="Times New Roman"/>
          <w:sz w:val="24"/>
          <w:szCs w:val="24"/>
        </w:rPr>
        <w:lastRenderedPageBreak/>
        <w:t>określającej zobowiązanie podatkowe lub w inny sposób kończącej merytorycznie to postępowanie. W takim przypadku organ podatkowy kończy postępowanie w formie decyzji umarzającej to postępowanie ze względu na jego bezprzedmiotowość, gdyż podatek wynikający z deklaracji został w pewnym sensie zaakceptowany przez organ podatkowy. W tym przypadku, akceptacja ta materializuje się właśnie w wydanej decyzji umarzającej postępowanie podatkowe. Należy także spodziewać się, że zobowiązany samodzielnie korygując deklarację, dobrowolnie uiści wynikającą z niej zaległość bez potrzeby wszczynania wobec niego postępowania egzekucyjnego. Warto także podkreślić, że skorygowana deklaracja może być od razu egzekwowana, w przeciwieństwie do decyzji wydawanej w pierwszej instancji, która co do zasady nie podlega wykonaniu. Ponadto będzie to prawnie skuteczna korekta deklaracji w rozumieniu art. 16a k.k.s.</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Zaznaczyć należy, że obowiązek organu podatkowego polegający na poinformowaniu strony o prawie skorygowania deklaracji podatkowej wynika z art. 38</w:t>
      </w:r>
      <w:r w:rsidR="00DD0C19" w:rsidRPr="009A3C86">
        <w:rPr>
          <w:rFonts w:ascii="Times New Roman" w:hAnsi="Times New Roman"/>
          <w:sz w:val="24"/>
          <w:szCs w:val="24"/>
        </w:rPr>
        <w:t>9</w:t>
      </w:r>
      <w:r w:rsidRPr="009A3C86">
        <w:rPr>
          <w:rFonts w:ascii="Times New Roman" w:hAnsi="Times New Roman"/>
          <w:sz w:val="24"/>
          <w:szCs w:val="24"/>
        </w:rPr>
        <w:t xml:space="preserve"> § 1 i 3 projektu ordynacji podatkowej.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art. 1</w:t>
      </w:r>
      <w:r w:rsidR="00DD0C19" w:rsidRPr="009A3C86">
        <w:rPr>
          <w:rFonts w:ascii="Times New Roman" w:hAnsi="Times New Roman"/>
          <w:b/>
          <w:sz w:val="24"/>
          <w:szCs w:val="24"/>
        </w:rPr>
        <w:t>40</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reguluje skutki ponownego skorygowania deklaracji podatkowej w zakresie nieprawidłowości objętych wcześniejszą deklaracją korygującą złożoną w terminie wyznaczonym na podstawie art. 38</w:t>
      </w:r>
      <w:r w:rsidR="00EA2F7E" w:rsidRPr="009A3C86">
        <w:rPr>
          <w:rFonts w:ascii="Times New Roman" w:hAnsi="Times New Roman"/>
          <w:sz w:val="24"/>
          <w:szCs w:val="24"/>
        </w:rPr>
        <w:t>9</w:t>
      </w:r>
      <w:r w:rsidRPr="009A3C86">
        <w:rPr>
          <w:rFonts w:ascii="Times New Roman" w:hAnsi="Times New Roman"/>
          <w:sz w:val="24"/>
          <w:szCs w:val="24"/>
        </w:rPr>
        <w:t xml:space="preserve"> § 1 projektu, czyli skutki dokonania każdej kolejnej korekty już po umorzeniu postępowania podatkowego w następstwie zaakceptowania przez organ podatkowy skorygowania deklaracji podatkowej przez stronę postępowania podatkowego na zasadach określonych w art. art. 38</w:t>
      </w:r>
      <w:r w:rsidR="00EA2F7E" w:rsidRPr="009A3C86">
        <w:rPr>
          <w:rFonts w:ascii="Times New Roman" w:hAnsi="Times New Roman"/>
          <w:sz w:val="24"/>
          <w:szCs w:val="24"/>
        </w:rPr>
        <w:t>9</w:t>
      </w:r>
      <w:r w:rsidRPr="009A3C86">
        <w:rPr>
          <w:rFonts w:ascii="Times New Roman" w:hAnsi="Times New Roman"/>
          <w:sz w:val="24"/>
          <w:szCs w:val="24"/>
        </w:rPr>
        <w:t xml:space="preserve"> § 1 projektu. W takim przypadku decyzja umarzająca postępowanie podatkowe wygasa z dniem skorygowania deklaracji podatkowej,</w:t>
      </w:r>
      <w:r w:rsidRPr="009A3C86">
        <w:rPr>
          <w:rFonts w:ascii="Times New Roman" w:hAnsi="Times New Roman"/>
          <w:sz w:val="24"/>
          <w:szCs w:val="24"/>
          <w:lang w:eastAsia="pl-PL"/>
        </w:rPr>
        <w:t xml:space="preserve"> o czym organ podatkowy zawiadamia stronę. Jednocześnie organ podatkowy zawiadamia stronę o prowadzeniu postępowania w sprawie, w której wygasła decyzja umarzająca postępowanie podatkowe. Możliwość prowadzenia postępowania wynika z mocy prawa, na skutek wygaśnięcia decyzji umarzającej postępowanie podatkowe</w:t>
      </w:r>
      <w:r w:rsidRPr="009A3C86">
        <w:rPr>
          <w:rFonts w:ascii="Times New Roman" w:hAnsi="Times New Roman"/>
          <w:sz w:val="24"/>
          <w:szCs w:val="24"/>
        </w:rPr>
        <w:t>. Czynności przeprowadzone w toku wcześniej prowadzonego postępowania podatkowego pozostają w mocy. W takim przypadku art. 38</w:t>
      </w:r>
      <w:r w:rsidR="00EA2F7E" w:rsidRPr="009A3C86">
        <w:rPr>
          <w:rFonts w:ascii="Times New Roman" w:hAnsi="Times New Roman"/>
          <w:sz w:val="24"/>
          <w:szCs w:val="24"/>
        </w:rPr>
        <w:t>9</w:t>
      </w:r>
      <w:r w:rsidRPr="009A3C86">
        <w:rPr>
          <w:rFonts w:ascii="Times New Roman" w:hAnsi="Times New Roman"/>
          <w:sz w:val="24"/>
          <w:szCs w:val="24"/>
        </w:rPr>
        <w:t xml:space="preserve"> § 1 nie ma zastosowania. Ze względu na to, że w omawianym przypadku postępowanie podatkowe zakończone zostało decyzją umarzającą, a zatem decyzją, która nie rozstrzyga sprawy podatkowej co do istoty, zobowiązany mógłby - co do zasady - dokonywać kolejnej korekty deklaracji podatkowej, w tym także w zakresie nieprawidłowości objętych uprzednio złożoną deklaracją korygującą. Tylko bowiem decyzja rozstrzygająca sprawę merytorycznie zamyka etap samoobliczenia podatku i stoi na przeszkodzie skutecznemu skorygowaniu deklaracji podatkowej. Wniosek taki wynika z postanowień art. 1</w:t>
      </w:r>
      <w:r w:rsidR="00A911B6" w:rsidRPr="009A3C86">
        <w:rPr>
          <w:rFonts w:ascii="Times New Roman" w:hAnsi="Times New Roman"/>
          <w:sz w:val="24"/>
          <w:szCs w:val="24"/>
        </w:rPr>
        <w:t>3</w:t>
      </w:r>
      <w:r w:rsidR="00744DB8" w:rsidRPr="009A3C86">
        <w:rPr>
          <w:rFonts w:ascii="Times New Roman" w:hAnsi="Times New Roman"/>
          <w:sz w:val="24"/>
          <w:szCs w:val="24"/>
        </w:rPr>
        <w:t>9</w:t>
      </w:r>
      <w:r w:rsidRPr="009A3C86">
        <w:rPr>
          <w:rFonts w:ascii="Times New Roman" w:hAnsi="Times New Roman"/>
          <w:sz w:val="24"/>
          <w:szCs w:val="24"/>
        </w:rPr>
        <w:t xml:space="preserve"> § 1 pkt 8 projektu ordynacji podatkowej. Skorygowanie deklaracji po </w:t>
      </w:r>
      <w:r w:rsidRPr="009A3C86">
        <w:rPr>
          <w:rFonts w:ascii="Times New Roman" w:hAnsi="Times New Roman"/>
          <w:sz w:val="24"/>
          <w:szCs w:val="24"/>
        </w:rPr>
        <w:lastRenderedPageBreak/>
        <w:t xml:space="preserve">zakończeniu postępowania podatkowego w przypadku, gdy w obrocie prawnym funkcjonuje decyzja umarzająca postępowanie podatkowe ze względu na jego bezprzedmiotowość wynikającą z uprzedniego skorygowania deklaracji podatkowej w toku tego postępowania, nie powinno stać na przeszkodzie ponownemu zawiązaniu stosunku procesowoprawnego, bez konieczności uruchamiania jednego z trybów nadzwyczajnych weryfikacji decyzji ostatecznej.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Decyzja umarzająca postępowanie zamyka jedynie drogę organowi podatkowemu do wydania kolejnej decyzji w trybie zwykłym, a ponowne złożenie deklaracji korygującej nie eliminuje z obrotu prawnego decyzji umarzającej postępowanie podatkowe. Dlatego też w </w:t>
      </w:r>
      <w:r w:rsidRPr="009A3C86">
        <w:rPr>
          <w:rFonts w:ascii="Times New Roman" w:hAnsi="Times New Roman"/>
          <w:b/>
          <w:sz w:val="24"/>
          <w:szCs w:val="24"/>
        </w:rPr>
        <w:t>art. 1</w:t>
      </w:r>
      <w:r w:rsidR="00744DB8" w:rsidRPr="009A3C86">
        <w:rPr>
          <w:rFonts w:ascii="Times New Roman" w:hAnsi="Times New Roman"/>
          <w:b/>
          <w:sz w:val="24"/>
          <w:szCs w:val="24"/>
        </w:rPr>
        <w:t>40</w:t>
      </w:r>
      <w:r w:rsidRPr="009A3C86">
        <w:rPr>
          <w:rFonts w:ascii="Times New Roman" w:hAnsi="Times New Roman"/>
          <w:b/>
          <w:sz w:val="24"/>
          <w:szCs w:val="24"/>
        </w:rPr>
        <w:t xml:space="preserve"> § 2</w:t>
      </w:r>
      <w:r w:rsidRPr="009A3C86">
        <w:rPr>
          <w:rFonts w:ascii="Times New Roman" w:hAnsi="Times New Roman"/>
          <w:sz w:val="24"/>
          <w:szCs w:val="24"/>
        </w:rPr>
        <w:t xml:space="preserve"> wprowadzono rozwiązanie w postaci wygaśnięcia decyzji umarzającej postępowanie podatkowe z dniem skorygowania deklaracji podatkowej. Wygaśnięcie tej decyzji następuje z mocy samego prawa w związku z określoną aktywnością strony postępowania.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W celu wyeliminowania możliwości wielokrotnego korygowania deklaracji w zakresie nieprawidłowości objętych deklaracją korygującą złożoną uprzednio w terminie wyznaczonym na podstawie art. 38</w:t>
      </w:r>
      <w:r w:rsidR="00EA2F7E" w:rsidRPr="009A3C86">
        <w:rPr>
          <w:rFonts w:ascii="Times New Roman" w:hAnsi="Times New Roman"/>
          <w:sz w:val="24"/>
          <w:szCs w:val="24"/>
        </w:rPr>
        <w:t>9</w:t>
      </w:r>
      <w:r w:rsidRPr="009A3C86">
        <w:rPr>
          <w:rFonts w:ascii="Times New Roman" w:hAnsi="Times New Roman"/>
          <w:sz w:val="24"/>
          <w:szCs w:val="24"/>
        </w:rPr>
        <w:t xml:space="preserve"> § 1, w </w:t>
      </w:r>
      <w:r w:rsidRPr="009A3C86">
        <w:rPr>
          <w:rFonts w:ascii="Times New Roman" w:hAnsi="Times New Roman"/>
          <w:b/>
          <w:sz w:val="24"/>
          <w:szCs w:val="24"/>
        </w:rPr>
        <w:t>art. 1</w:t>
      </w:r>
      <w:r w:rsidR="00E74F12" w:rsidRPr="009A3C86">
        <w:rPr>
          <w:rFonts w:ascii="Times New Roman" w:hAnsi="Times New Roman"/>
          <w:b/>
          <w:sz w:val="24"/>
          <w:szCs w:val="24"/>
        </w:rPr>
        <w:t>40</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wprowadzono konstrukcję prawną w istocie pozbawiającą stronę prawa do kolejnego skutecznego skorygowania deklaracji w zakresie nieprawidłowości objętych deklaracją korygującą złożoną uprzednio w toku postępowania podatkowego, czyli w terminie wyznaczonym na podstawie art. 38</w:t>
      </w:r>
      <w:r w:rsidR="00EA2F7E" w:rsidRPr="009A3C86">
        <w:rPr>
          <w:rFonts w:ascii="Times New Roman" w:hAnsi="Times New Roman"/>
          <w:sz w:val="24"/>
          <w:szCs w:val="24"/>
        </w:rPr>
        <w:t>9</w:t>
      </w:r>
      <w:r w:rsidRPr="009A3C86">
        <w:rPr>
          <w:rFonts w:ascii="Times New Roman" w:hAnsi="Times New Roman"/>
          <w:sz w:val="24"/>
          <w:szCs w:val="24"/>
        </w:rPr>
        <w:t xml:space="preserve"> § 1. W takim bowiem przypadku z postanowień </w:t>
      </w:r>
      <w:r w:rsidRPr="009A3C86">
        <w:rPr>
          <w:rFonts w:ascii="Times New Roman" w:hAnsi="Times New Roman"/>
          <w:b/>
          <w:sz w:val="24"/>
          <w:szCs w:val="24"/>
        </w:rPr>
        <w:t>art. 1</w:t>
      </w:r>
      <w:r w:rsidR="00E74F12" w:rsidRPr="009A3C86">
        <w:rPr>
          <w:rFonts w:ascii="Times New Roman" w:hAnsi="Times New Roman"/>
          <w:b/>
          <w:sz w:val="24"/>
          <w:szCs w:val="24"/>
        </w:rPr>
        <w:t>39</w:t>
      </w:r>
      <w:r w:rsidRPr="009A3C86">
        <w:rPr>
          <w:rFonts w:ascii="Times New Roman" w:hAnsi="Times New Roman"/>
          <w:b/>
          <w:sz w:val="24"/>
          <w:szCs w:val="24"/>
        </w:rPr>
        <w:t xml:space="preserve"> § 1 pkt 6</w:t>
      </w:r>
      <w:r w:rsidRPr="009A3C86">
        <w:rPr>
          <w:rFonts w:ascii="Times New Roman" w:hAnsi="Times New Roman"/>
          <w:sz w:val="24"/>
          <w:szCs w:val="24"/>
        </w:rPr>
        <w:t xml:space="preserve"> projektu ordynacji podatkowej wynika bezskuteczność ponownego korygowania deklaracji w zakresie nieprawidłowości objętych deklaracją korygującą złożoną uprzednio w toku postępowania podatkowego. Ponadto w przypadku kontynuacji umorzonego postępowania podatkowego w związku z ponownym skorygowaniem deklaracji w zakresie nieprawidłowości objętych deklaracją korygującą złożoną uprzednio w terminie wyznaczonym na podstawie art. 38</w:t>
      </w:r>
      <w:r w:rsidR="00EA2F7E" w:rsidRPr="009A3C86">
        <w:rPr>
          <w:rFonts w:ascii="Times New Roman" w:hAnsi="Times New Roman"/>
          <w:sz w:val="24"/>
          <w:szCs w:val="24"/>
        </w:rPr>
        <w:t>9</w:t>
      </w:r>
      <w:r w:rsidRPr="009A3C86">
        <w:rPr>
          <w:rFonts w:ascii="Times New Roman" w:hAnsi="Times New Roman"/>
          <w:sz w:val="24"/>
          <w:szCs w:val="24"/>
        </w:rPr>
        <w:t xml:space="preserve"> § 1 nie ma zastosowania art. 38</w:t>
      </w:r>
      <w:r w:rsidR="00EA2F7E" w:rsidRPr="009A3C86">
        <w:rPr>
          <w:rFonts w:ascii="Times New Roman" w:hAnsi="Times New Roman"/>
          <w:sz w:val="24"/>
          <w:szCs w:val="24"/>
        </w:rPr>
        <w:t>9</w:t>
      </w:r>
      <w:r w:rsidRPr="009A3C86">
        <w:rPr>
          <w:rFonts w:ascii="Times New Roman" w:hAnsi="Times New Roman"/>
          <w:sz w:val="24"/>
          <w:szCs w:val="24"/>
        </w:rPr>
        <w:t xml:space="preserve"> § 1. Oznacza to, że organ podatkowy przed wydaniem decyzji nie wyznacza stronie terminu do wypowiedzenia się w sprawie zebranego materiału dowodowego oraz nie informuje o prawie skorygowania deklaracji podatkowej. Istota regulacji ujętych w </w:t>
      </w:r>
      <w:r w:rsidRPr="009A3C86">
        <w:rPr>
          <w:rFonts w:ascii="Times New Roman" w:hAnsi="Times New Roman"/>
          <w:b/>
          <w:sz w:val="24"/>
          <w:szCs w:val="24"/>
        </w:rPr>
        <w:t>art. 1</w:t>
      </w:r>
      <w:r w:rsidR="00744DB8" w:rsidRPr="009A3C86">
        <w:rPr>
          <w:rFonts w:ascii="Times New Roman" w:hAnsi="Times New Roman"/>
          <w:b/>
          <w:sz w:val="24"/>
          <w:szCs w:val="24"/>
        </w:rPr>
        <w:t>40</w:t>
      </w:r>
      <w:r w:rsidRPr="009A3C86">
        <w:rPr>
          <w:rFonts w:ascii="Times New Roman" w:hAnsi="Times New Roman"/>
          <w:b/>
          <w:sz w:val="24"/>
          <w:szCs w:val="24"/>
        </w:rPr>
        <w:t xml:space="preserve"> § 2 i art. 1</w:t>
      </w:r>
      <w:r w:rsidR="00E74F12" w:rsidRPr="009A3C86">
        <w:rPr>
          <w:rFonts w:ascii="Times New Roman" w:hAnsi="Times New Roman"/>
          <w:b/>
          <w:sz w:val="24"/>
          <w:szCs w:val="24"/>
        </w:rPr>
        <w:t>39</w:t>
      </w:r>
      <w:r w:rsidRPr="009A3C86">
        <w:rPr>
          <w:rFonts w:ascii="Times New Roman" w:hAnsi="Times New Roman"/>
          <w:b/>
          <w:sz w:val="24"/>
          <w:szCs w:val="24"/>
        </w:rPr>
        <w:t xml:space="preserve"> § 1 pkt 6</w:t>
      </w:r>
      <w:r w:rsidRPr="009A3C86">
        <w:rPr>
          <w:rFonts w:ascii="Times New Roman" w:hAnsi="Times New Roman"/>
          <w:sz w:val="24"/>
          <w:szCs w:val="24"/>
        </w:rPr>
        <w:t xml:space="preserve"> projektu wiąże się z definitywnym zamknięciem możliwości korygowania deklaracji w tym samym zakresie, w którym uprzednio skorygowano deklarację na podstawie art. 38</w:t>
      </w:r>
      <w:r w:rsidR="00E74F12" w:rsidRPr="009A3C86">
        <w:rPr>
          <w:rFonts w:ascii="Times New Roman" w:hAnsi="Times New Roman"/>
          <w:sz w:val="24"/>
          <w:szCs w:val="24"/>
        </w:rPr>
        <w:t>9</w:t>
      </w:r>
      <w:r w:rsidRPr="009A3C86">
        <w:rPr>
          <w:rFonts w:ascii="Times New Roman" w:hAnsi="Times New Roman"/>
          <w:sz w:val="24"/>
          <w:szCs w:val="24"/>
        </w:rPr>
        <w:t xml:space="preserve"> § 1.</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Zauważyć jednak należy, że wskazane wyżej ograniczenie prawa do wielokrotnego skutecznego korygowania deklaracji podatkowej oraz związana z tym bezskuteczność deklaracji korygującej nie dotyczą przypadków, gdy ponowna korekta dotyczy zagadnień niezwiązanych z nieprawidłowościami objętymi deklaracją korygującą złożoną uprzednio w terminie wyznaczonym na podstawie art. 38</w:t>
      </w:r>
      <w:r w:rsidR="00E74F12" w:rsidRPr="009A3C86">
        <w:rPr>
          <w:rFonts w:ascii="Times New Roman" w:hAnsi="Times New Roman"/>
          <w:sz w:val="24"/>
          <w:szCs w:val="24"/>
        </w:rPr>
        <w:t>9</w:t>
      </w:r>
      <w:r w:rsidRPr="009A3C86">
        <w:rPr>
          <w:rFonts w:ascii="Times New Roman" w:hAnsi="Times New Roman"/>
          <w:sz w:val="24"/>
          <w:szCs w:val="24"/>
        </w:rPr>
        <w:t xml:space="preserve"> § 1. Oznacza to, że możliwe jest wielokrotne </w:t>
      </w:r>
      <w:r w:rsidRPr="009A3C86">
        <w:rPr>
          <w:rFonts w:ascii="Times New Roman" w:hAnsi="Times New Roman"/>
          <w:sz w:val="24"/>
          <w:szCs w:val="24"/>
        </w:rPr>
        <w:lastRenderedPageBreak/>
        <w:t>skuteczne korygowanie deklaracji już po umorzeniu postępowania podatkowego w związku ze złożeniem deklaracji korygującej w terminie wyznaczonym na podstawie art. 38</w:t>
      </w:r>
      <w:r w:rsidR="00E74F12" w:rsidRPr="009A3C86">
        <w:rPr>
          <w:rFonts w:ascii="Times New Roman" w:hAnsi="Times New Roman"/>
          <w:sz w:val="24"/>
          <w:szCs w:val="24"/>
        </w:rPr>
        <w:t>9</w:t>
      </w:r>
      <w:r w:rsidRPr="009A3C86">
        <w:rPr>
          <w:rFonts w:ascii="Times New Roman" w:hAnsi="Times New Roman"/>
          <w:sz w:val="24"/>
          <w:szCs w:val="24"/>
        </w:rPr>
        <w:t xml:space="preserve"> § 1 projektu. Jednakże w takim przypadku ponowna korekta nie może odnosić się do nieprawidłowości objętych deklaracją korygującą złożoną w toku postępowania podatkowego na podstawie art. 38</w:t>
      </w:r>
      <w:r w:rsidR="00E74F12" w:rsidRPr="009A3C86">
        <w:rPr>
          <w:rFonts w:ascii="Times New Roman" w:hAnsi="Times New Roman"/>
          <w:sz w:val="24"/>
          <w:szCs w:val="24"/>
        </w:rPr>
        <w:t>9</w:t>
      </w:r>
      <w:r w:rsidRPr="009A3C86">
        <w:rPr>
          <w:rFonts w:ascii="Times New Roman" w:hAnsi="Times New Roman"/>
          <w:sz w:val="24"/>
          <w:szCs w:val="24"/>
        </w:rPr>
        <w:t xml:space="preserve"> § 1.</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art. 1</w:t>
      </w:r>
      <w:r w:rsidR="00744DB8" w:rsidRPr="009A3C86">
        <w:rPr>
          <w:rFonts w:ascii="Times New Roman" w:hAnsi="Times New Roman"/>
          <w:b/>
          <w:sz w:val="24"/>
          <w:szCs w:val="24"/>
        </w:rPr>
        <w:t>40</w:t>
      </w:r>
      <w:r w:rsidRPr="009A3C86">
        <w:rPr>
          <w:rFonts w:ascii="Times New Roman" w:hAnsi="Times New Roman"/>
          <w:b/>
          <w:sz w:val="24"/>
          <w:szCs w:val="24"/>
        </w:rPr>
        <w:t xml:space="preserve"> § 4 – 8</w:t>
      </w:r>
      <w:r w:rsidRPr="009A3C86">
        <w:rPr>
          <w:rFonts w:ascii="Times New Roman" w:hAnsi="Times New Roman"/>
          <w:sz w:val="24"/>
          <w:szCs w:val="24"/>
        </w:rPr>
        <w:t xml:space="preserve"> projektu dotyczą prawa do skorygowania deklaracji oraz cofnięcia skutków unikania opodatkowania przysługującego podatnikowi lub płatnikowi jednokrotnie, z zastrzeżeniem art. 38</w:t>
      </w:r>
      <w:r w:rsidR="00E74F12" w:rsidRPr="009A3C86">
        <w:rPr>
          <w:rFonts w:ascii="Times New Roman" w:hAnsi="Times New Roman"/>
          <w:sz w:val="24"/>
          <w:szCs w:val="24"/>
        </w:rPr>
        <w:t>9</w:t>
      </w:r>
      <w:r w:rsidRPr="009A3C86">
        <w:rPr>
          <w:rFonts w:ascii="Times New Roman" w:hAnsi="Times New Roman"/>
          <w:sz w:val="24"/>
          <w:szCs w:val="24"/>
        </w:rPr>
        <w:t xml:space="preserve"> § 4, w toku postępowania podatkowego, o którym mowa w art. </w:t>
      </w:r>
      <w:r w:rsidR="00E74F12" w:rsidRPr="009A3C86">
        <w:rPr>
          <w:rFonts w:ascii="Times New Roman" w:hAnsi="Times New Roman"/>
          <w:sz w:val="24"/>
          <w:szCs w:val="24"/>
        </w:rPr>
        <w:t>594</w:t>
      </w:r>
      <w:r w:rsidRPr="009A3C86">
        <w:rPr>
          <w:rFonts w:ascii="Times New Roman" w:hAnsi="Times New Roman"/>
          <w:sz w:val="24"/>
          <w:szCs w:val="24"/>
        </w:rPr>
        <w:t>, przed wydaniem decyzji w pierwszej instancji, w terminie 14 dni od dnia doręczenia zawiadomienia o wyznaczeniu terminu, o którym mowa w art. 38</w:t>
      </w:r>
      <w:r w:rsidR="00E74F12" w:rsidRPr="009A3C86">
        <w:rPr>
          <w:rFonts w:ascii="Times New Roman" w:hAnsi="Times New Roman"/>
          <w:sz w:val="24"/>
          <w:szCs w:val="24"/>
        </w:rPr>
        <w:t>9</w:t>
      </w:r>
      <w:r w:rsidRPr="009A3C86">
        <w:rPr>
          <w:rFonts w:ascii="Times New Roman" w:hAnsi="Times New Roman"/>
          <w:sz w:val="24"/>
          <w:szCs w:val="24"/>
        </w:rPr>
        <w:t xml:space="preserve"> § 3, na zasadach określonych w tym zawiadomieniu. Przepisy te stanowią odwzorowanie art. 81b § 1a – 1e z pewną modyfikacją. Otóż zdanie drugie art. 81b § 1a o.p. zostało uregulowane w </w:t>
      </w:r>
      <w:r w:rsidRPr="009A3C86">
        <w:rPr>
          <w:rFonts w:ascii="Times New Roman" w:hAnsi="Times New Roman"/>
          <w:b/>
          <w:sz w:val="24"/>
          <w:szCs w:val="24"/>
        </w:rPr>
        <w:t>art. 1</w:t>
      </w:r>
      <w:r w:rsidR="00FF4CEF" w:rsidRPr="009A3C86">
        <w:rPr>
          <w:rFonts w:ascii="Times New Roman" w:hAnsi="Times New Roman"/>
          <w:b/>
          <w:sz w:val="24"/>
          <w:szCs w:val="24"/>
        </w:rPr>
        <w:t>3</w:t>
      </w:r>
      <w:r w:rsidR="008359FD" w:rsidRPr="009A3C86">
        <w:rPr>
          <w:rFonts w:ascii="Times New Roman" w:hAnsi="Times New Roman"/>
          <w:b/>
          <w:sz w:val="24"/>
          <w:szCs w:val="24"/>
        </w:rPr>
        <w:t>9</w:t>
      </w:r>
      <w:r w:rsidRPr="009A3C86">
        <w:rPr>
          <w:rFonts w:ascii="Times New Roman" w:hAnsi="Times New Roman"/>
          <w:b/>
          <w:sz w:val="24"/>
          <w:szCs w:val="24"/>
        </w:rPr>
        <w:t xml:space="preserve"> § 1 pkt 7 </w:t>
      </w:r>
      <w:r w:rsidRPr="009A3C86">
        <w:rPr>
          <w:rFonts w:ascii="Times New Roman" w:hAnsi="Times New Roman"/>
          <w:sz w:val="24"/>
          <w:szCs w:val="24"/>
        </w:rPr>
        <w:t xml:space="preserve">projektu. </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W projekcie nie znalazł natomiast odzwierciedlenia art. 81b § 1f o.p. zgodnie z którym korektę, o której mowa w § 4, czyli dokonywaną w toku postępowania o którym mowa w art. 119g, składa się wraz z uzasadnieniem przyczyn korekty. Powyższe wynika z przyjęcia w projekcie jako zasady korygowania deklaracji przez złożenie deklaracji korygującej wraz z dołączonym pisemnym uzasadnieniem przyczyn korekty (art. 1</w:t>
      </w:r>
      <w:r w:rsidR="00FF4CEF" w:rsidRPr="009A3C86">
        <w:rPr>
          <w:rFonts w:ascii="Times New Roman" w:hAnsi="Times New Roman"/>
          <w:sz w:val="24"/>
          <w:szCs w:val="24"/>
        </w:rPr>
        <w:t>3</w:t>
      </w:r>
      <w:r w:rsidR="008359FD" w:rsidRPr="009A3C86">
        <w:rPr>
          <w:rFonts w:ascii="Times New Roman" w:hAnsi="Times New Roman"/>
          <w:sz w:val="24"/>
          <w:szCs w:val="24"/>
        </w:rPr>
        <w:t>8</w:t>
      </w:r>
      <w:r w:rsidRPr="009A3C86">
        <w:rPr>
          <w:rFonts w:ascii="Times New Roman" w:hAnsi="Times New Roman"/>
          <w:sz w:val="24"/>
          <w:szCs w:val="24"/>
        </w:rPr>
        <w:t xml:space="preserve"> § 3).</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13. Zasady składania deklaracji podatkowej oraz jej korekty w przypadku solidarnego obowiązku podatkowego uregulowano </w:t>
      </w:r>
      <w:r w:rsidRPr="009A3C86">
        <w:rPr>
          <w:rFonts w:ascii="Times New Roman" w:hAnsi="Times New Roman"/>
          <w:b/>
          <w:sz w:val="24"/>
          <w:szCs w:val="24"/>
        </w:rPr>
        <w:t>w rozdziale 13 działu II</w:t>
      </w:r>
      <w:r w:rsidRPr="009A3C86">
        <w:rPr>
          <w:rFonts w:ascii="Times New Roman" w:hAnsi="Times New Roman"/>
          <w:sz w:val="24"/>
          <w:szCs w:val="24"/>
        </w:rPr>
        <w:t xml:space="preserve"> projektu ordynacji podatkowej.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14. Uprawnienie do złożenia korekty deklaracji podatkowej spółki cywilnej przez osobę, która była wspólnikiem tej spółki w chwili jej rozwiązania, uregulowano w art. 1</w:t>
      </w:r>
      <w:r w:rsidR="00FF4CEF" w:rsidRPr="009A3C86">
        <w:rPr>
          <w:rFonts w:ascii="Times New Roman" w:hAnsi="Times New Roman"/>
          <w:sz w:val="24"/>
          <w:szCs w:val="24"/>
        </w:rPr>
        <w:t>89</w:t>
      </w:r>
      <w:r w:rsidRPr="009A3C86">
        <w:rPr>
          <w:rFonts w:ascii="Times New Roman" w:hAnsi="Times New Roman"/>
          <w:sz w:val="24"/>
          <w:szCs w:val="24"/>
        </w:rPr>
        <w:t xml:space="preserve"> § 2 pkt 2 w związku z art. 19</w:t>
      </w:r>
      <w:r w:rsidR="00FF4CEF" w:rsidRPr="009A3C86">
        <w:rPr>
          <w:rFonts w:ascii="Times New Roman" w:hAnsi="Times New Roman"/>
          <w:sz w:val="24"/>
          <w:szCs w:val="24"/>
        </w:rPr>
        <w:t>0</w:t>
      </w:r>
      <w:r w:rsidRPr="009A3C86">
        <w:rPr>
          <w:rFonts w:ascii="Times New Roman" w:hAnsi="Times New Roman"/>
          <w:sz w:val="24"/>
          <w:szCs w:val="24"/>
        </w:rPr>
        <w:t xml:space="preserve"> § 2 projektu ordynacji podatkowej.</w:t>
      </w:r>
    </w:p>
    <w:p w:rsidR="00DB048D" w:rsidRPr="009A3C86" w:rsidRDefault="00DB048D" w:rsidP="00DB048D">
      <w:pPr>
        <w:spacing w:after="0" w:line="360" w:lineRule="auto"/>
        <w:jc w:val="both"/>
        <w:rPr>
          <w:rFonts w:ascii="Times New Roman" w:hAnsi="Times New Roman"/>
          <w:sz w:val="24"/>
          <w:szCs w:val="24"/>
        </w:rPr>
      </w:pPr>
      <w:r w:rsidRPr="009A3C86">
        <w:rPr>
          <w:rFonts w:ascii="Times New Roman" w:hAnsi="Times New Roman"/>
          <w:sz w:val="24"/>
          <w:szCs w:val="24"/>
        </w:rPr>
        <w:t xml:space="preserve">15. Nie jest uzasadnione precyzowanie w projekcie ordynacji podatkowej przepisów dotyczących deklaracji jako podstawy do wystawienia tytułu wykonawczego. Jest to bowiem materia postępowania egzekucyjnego w administracji, której aktualnie poświęcony jest art. 3a u.p.e.a. </w:t>
      </w:r>
    </w:p>
    <w:p w:rsidR="00DC1061" w:rsidRPr="009A3C86" w:rsidRDefault="00DC1061" w:rsidP="00D72E74">
      <w:pPr>
        <w:tabs>
          <w:tab w:val="num" w:pos="720"/>
        </w:tabs>
        <w:spacing w:before="120" w:after="0" w:line="360" w:lineRule="auto"/>
        <w:jc w:val="both"/>
        <w:outlineLvl w:val="2"/>
        <w:rPr>
          <w:rFonts w:ascii="Times New Roman" w:hAnsi="Times New Roman"/>
          <w:b/>
          <w:bCs/>
          <w:sz w:val="24"/>
          <w:szCs w:val="24"/>
        </w:rPr>
      </w:pPr>
      <w:bookmarkStart w:id="18" w:name="_Toc494363241"/>
      <w:r w:rsidRPr="009A3C86">
        <w:rPr>
          <w:rFonts w:ascii="Times New Roman" w:hAnsi="Times New Roman"/>
          <w:b/>
          <w:bCs/>
          <w:sz w:val="24"/>
          <w:szCs w:val="24"/>
        </w:rPr>
        <w:t>Rozdział 3. Szacowanie podstawy opodatkowania</w:t>
      </w:r>
      <w:bookmarkEnd w:id="18"/>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1.</w:t>
      </w:r>
      <w:r w:rsidRPr="009A3C86">
        <w:rPr>
          <w:rFonts w:ascii="Times New Roman" w:hAnsi="Times New Roman"/>
          <w:bCs/>
          <w:sz w:val="24"/>
          <w:szCs w:val="24"/>
        </w:rPr>
        <w:t xml:space="preserve"> </w:t>
      </w:r>
      <w:r w:rsidRPr="009A3C86">
        <w:rPr>
          <w:rFonts w:ascii="Times New Roman" w:hAnsi="Times New Roman"/>
          <w:sz w:val="24"/>
          <w:szCs w:val="24"/>
        </w:rPr>
        <w:t xml:space="preserve">Instytucja szacowania podstawy opodatkowania, w swoim zasadniczym założeniu, ma długoletnią historię w ogólnym prawie podatkowym. Podstawowym celem szacowania jest możliwie precyzyjne odtworzenie rzeczywistej wielkości podstawy opodatkowania. Proponowana regulacja różni się od obowiązującej głównie rezygnacją ze wskazania </w:t>
      </w:r>
      <w:r w:rsidRPr="009A3C86">
        <w:rPr>
          <w:rFonts w:ascii="Times New Roman" w:hAnsi="Times New Roman"/>
          <w:sz w:val="24"/>
          <w:szCs w:val="24"/>
        </w:rPr>
        <w:lastRenderedPageBreak/>
        <w:t>przykładowych metod szacowania podstawy opodatkowania oraz zmianą zasady szacowania wysokości zaliczki na podatek.</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2. Organ podatkowy dokonuje szacowania w trzech sytuacjach (</w:t>
      </w:r>
      <w:r w:rsidRPr="009A3C86">
        <w:rPr>
          <w:rFonts w:ascii="Times New Roman" w:hAnsi="Times New Roman"/>
          <w:b/>
          <w:bCs/>
          <w:sz w:val="24"/>
          <w:szCs w:val="24"/>
        </w:rPr>
        <w:t>art. 14</w:t>
      </w:r>
      <w:r w:rsidR="00E57419" w:rsidRPr="009A3C86">
        <w:rPr>
          <w:rFonts w:ascii="Times New Roman" w:hAnsi="Times New Roman"/>
          <w:b/>
          <w:bCs/>
          <w:sz w:val="24"/>
          <w:szCs w:val="24"/>
        </w:rPr>
        <w:t>1</w:t>
      </w:r>
      <w:r w:rsidRPr="009A3C86">
        <w:rPr>
          <w:rFonts w:ascii="Times New Roman" w:hAnsi="Times New Roman"/>
          <w:b/>
          <w:bCs/>
          <w:sz w:val="24"/>
          <w:szCs w:val="24"/>
        </w:rPr>
        <w:t xml:space="preserve"> § 1</w:t>
      </w:r>
      <w:r w:rsidRPr="009A3C86">
        <w:rPr>
          <w:rFonts w:ascii="Times New Roman" w:hAnsi="Times New Roman"/>
          <w:sz w:val="24"/>
          <w:szCs w:val="24"/>
        </w:rPr>
        <w:t>), jeżeli:</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1)</w:t>
      </w:r>
      <w:r w:rsidRPr="009A3C86">
        <w:rPr>
          <w:rFonts w:ascii="Times New Roman" w:hAnsi="Times New Roman"/>
          <w:sz w:val="24"/>
          <w:szCs w:val="24"/>
        </w:rPr>
        <w:tab/>
        <w:t>brak ksiąg podatkowych lub innych danych niezbędnych do określenia podstawy opodatkowania,</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2)</w:t>
      </w:r>
      <w:r w:rsidRPr="009A3C86">
        <w:rPr>
          <w:rFonts w:ascii="Times New Roman" w:hAnsi="Times New Roman"/>
          <w:sz w:val="24"/>
          <w:szCs w:val="24"/>
        </w:rPr>
        <w:tab/>
        <w:t>dane wynikające z ksiąg podatkowych nie pozwalają na określenie podstawy opodatkowania,</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3)</w:t>
      </w:r>
      <w:r w:rsidRPr="009A3C86">
        <w:rPr>
          <w:rFonts w:ascii="Times New Roman" w:hAnsi="Times New Roman"/>
          <w:sz w:val="24"/>
          <w:szCs w:val="24"/>
        </w:rPr>
        <w:tab/>
        <w:t>podatnik naruszył warunki uprawniające do korzystania ze zryczałtowanej formy opodatkowania.</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Jeżeli organ podatkowy dysponuje danymi, na podstawie których da się wyliczyć wielkości niezbędne do określenia podstawy opodatkowania, to szacowanie w postępowaniu zmierzającym do wymiaru podatku będzie niedopuszczalne. W orzecznictwie trafnie jednak zwrócono uwagę, że o ile ewidencja sprzedaży może stanowić wystarczającą podstawę do określenia przychodu, o tyle ewidencja zakupów nie zawsze będzie przydatna, gdyż podatnik, który rozlicza się w formie ryczałtowej, nie ma obowiązku, a czasem i interesu dokumentowania wszystkich wydatków fakturą VAT</w:t>
      </w:r>
      <w:r w:rsidRPr="009A3C86">
        <w:rPr>
          <w:rFonts w:ascii="Times New Roman" w:hAnsi="Times New Roman"/>
          <w:sz w:val="24"/>
          <w:szCs w:val="24"/>
          <w:vertAlign w:val="superscript"/>
        </w:rPr>
        <w:footnoteReference w:id="206"/>
      </w:r>
      <w:r w:rsidRPr="009A3C86">
        <w:rPr>
          <w:rFonts w:ascii="Times New Roman" w:hAnsi="Times New Roman"/>
          <w:sz w:val="24"/>
          <w:szCs w:val="24"/>
        </w:rPr>
        <w:t>.</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Brak innych danych niezbędnych do określenia podstawy opodatkowania zachodzi m.in. wtedy, gdy nie ma dokumentów źródłowych, z którymi można by skonfrontować zapisy podatkowej księgi przychodów i rozchodów</w:t>
      </w:r>
      <w:r w:rsidRPr="009A3C86">
        <w:rPr>
          <w:rFonts w:ascii="Times New Roman" w:hAnsi="Times New Roman"/>
          <w:sz w:val="24"/>
          <w:szCs w:val="24"/>
          <w:vertAlign w:val="superscript"/>
        </w:rPr>
        <w:footnoteReference w:id="207"/>
      </w:r>
      <w:r w:rsidRPr="009A3C86">
        <w:rPr>
          <w:rFonts w:ascii="Times New Roman" w:hAnsi="Times New Roman"/>
          <w:sz w:val="24"/>
          <w:szCs w:val="24"/>
        </w:rPr>
        <w:t>. Czasami jednak, np. gdy wydruki z kasy fiskalnej uległy zniszczeniu, możliwe jest odtworzenie ich treści przy użyciu pamięci fiskalnej tej kasy. W takim wypadku nie ma podstaw do dokonania oszacowania</w:t>
      </w:r>
      <w:r w:rsidRPr="009A3C86">
        <w:rPr>
          <w:rFonts w:ascii="Times New Roman" w:hAnsi="Times New Roman"/>
          <w:sz w:val="24"/>
          <w:szCs w:val="24"/>
          <w:vertAlign w:val="superscript"/>
        </w:rPr>
        <w:footnoteReference w:id="208"/>
      </w:r>
      <w:r w:rsidRPr="009A3C86">
        <w:rPr>
          <w:rFonts w:ascii="Times New Roman" w:hAnsi="Times New Roman"/>
          <w:sz w:val="24"/>
          <w:szCs w:val="24"/>
        </w:rPr>
        <w:t>.</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Dane z ksiąg podatkowych nie pozwalają na określenie podstawy opodatkowania najczęściej wtedy, gdy księgi są nierzetelne lub wadliwe. Księgę uważa się za rzetelną</w:t>
      </w:r>
      <w:r w:rsidRPr="009A3C86">
        <w:rPr>
          <w:rFonts w:ascii="Times New Roman" w:hAnsi="Times New Roman"/>
          <w:bCs/>
          <w:sz w:val="24"/>
          <w:szCs w:val="24"/>
        </w:rPr>
        <w:t>,</w:t>
      </w:r>
      <w:r w:rsidRPr="009A3C86">
        <w:rPr>
          <w:rFonts w:ascii="Times New Roman" w:hAnsi="Times New Roman"/>
          <w:sz w:val="24"/>
          <w:szCs w:val="24"/>
        </w:rPr>
        <w:t xml:space="preserve"> jeżeli dokonywane w niej zapisy odzwierciedlają stan rzeczywisty. Za niewadliwą uważa się księgę prowadzoną zgodnie z odrębnymi przepisami. Nierzetelność księgi zawsze pozbawia ją szczególnej mocy dowodowej, natomiast wadliwość powoduje taki skutek jedynie wtedy, gdy wady mają istotne znaczenie. Na przykład brak chronologii zapisu utrudnia analizę zdarzeń gospodarczych na podstawie księgi, ale jej nie uniemożliwia. Natomiast zapisy nieczytelne lub z dużą liczbą anonimowych poprawek mogą pozbawić księgę mocy dowodowej.</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O naruszeniu warunków uprawniających do korzystania ze zryczałtowanej formy opodatkowania można mówić przede wszystkim w razie niespełnienia wymogów </w:t>
      </w:r>
      <w:r w:rsidRPr="009A3C86">
        <w:rPr>
          <w:rFonts w:ascii="Times New Roman" w:hAnsi="Times New Roman"/>
          <w:sz w:val="24"/>
          <w:szCs w:val="24"/>
        </w:rPr>
        <w:lastRenderedPageBreak/>
        <w:t>przewidzianych w ustawie o zryczałtowanym podatku dochodowym od niektórych przychodów osiąganych przez osoby fizyczne. Wymogi te dotyczą zwłaszcza rodzaju prowadzonej działalności lub wysokości przychodów osiągniętych w roku poprzedzającym rok podatkowy. Ze względu na to, że podmiot korzystający ze zryczałtowanej formy opodatkowania prowadzi uproszczoną ewidencję, stwierdzenie braku podstaw do ryczałtu lub utrata prawa do niego z reguły powodują sytuację, w której organ podatkowy nie dysponuje danymi do określenia rzeczywistej podstawy opodatkowania.</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3. Wystąpienie ustawowych przesłanek szacowania nie jest okolicznością wystarczającą do zastosowania tego sposobu obliczania podstawy opodatkowania (</w:t>
      </w:r>
      <w:r w:rsidRPr="009A3C86">
        <w:rPr>
          <w:rFonts w:ascii="Times New Roman" w:hAnsi="Times New Roman"/>
          <w:b/>
          <w:bCs/>
          <w:sz w:val="24"/>
          <w:szCs w:val="24"/>
        </w:rPr>
        <w:t>art. 14</w:t>
      </w:r>
      <w:r w:rsidR="00E57419" w:rsidRPr="009A3C86">
        <w:rPr>
          <w:rFonts w:ascii="Times New Roman" w:hAnsi="Times New Roman"/>
          <w:b/>
          <w:bCs/>
          <w:sz w:val="24"/>
          <w:szCs w:val="24"/>
        </w:rPr>
        <w:t>1</w:t>
      </w:r>
      <w:r w:rsidRPr="009A3C86">
        <w:rPr>
          <w:rFonts w:ascii="Times New Roman" w:hAnsi="Times New Roman"/>
          <w:b/>
          <w:bCs/>
          <w:sz w:val="24"/>
          <w:szCs w:val="24"/>
        </w:rPr>
        <w:t xml:space="preserve"> § 2</w:t>
      </w:r>
      <w:r w:rsidRPr="009A3C86">
        <w:rPr>
          <w:rFonts w:ascii="Times New Roman" w:hAnsi="Times New Roman"/>
          <w:sz w:val="24"/>
          <w:szCs w:val="24"/>
        </w:rPr>
        <w:t xml:space="preserve">). Organ podatkowy powinien odstąpić od szacowania, jeżeli dane wynikające z ksiąg, uzupełnione dowodami uzyskanymi w toku postępowania, pozwalają na określenie podstawy opodatkowania. Również w przypadku, w którym podatnik nie prowadzi ksiąg podatkowych, ale postępowanie podatkowe pozwoli na odtworzenie podstawy opodatkowania, szacowanie jest zbędne, a przez to – niedopuszczalne. </w:t>
      </w:r>
    </w:p>
    <w:p w:rsidR="00DC1061" w:rsidRPr="009A3C86" w:rsidRDefault="00DC1061" w:rsidP="00DC1061">
      <w:pPr>
        <w:spacing w:after="0" w:line="360" w:lineRule="auto"/>
        <w:jc w:val="both"/>
        <w:rPr>
          <w:rFonts w:ascii="Times New Roman" w:hAnsi="Times New Roman"/>
          <w:sz w:val="24"/>
          <w:szCs w:val="24"/>
        </w:rPr>
      </w:pPr>
      <w:r w:rsidRPr="009A3C86">
        <w:rPr>
          <w:rFonts w:ascii="Times New Roman" w:hAnsi="Times New Roman"/>
          <w:sz w:val="24"/>
          <w:szCs w:val="24"/>
        </w:rPr>
        <w:t>4. W projekcie zrezygnowano z wymieniania przykładowych metod szacowania podstawy opodatkowania. Podstawowym powodem był charakter obecnych norm, które nie wskazują na kolejność stosowania metod szacowania podstawy opodatkowania oraz ustanawiają otwarty katalog tych metod. W praktyce spowoduje to, że organ będzie miał większą swobodę w wyborze metody szacowania i dostosowania jej do okoliczności konkretnej sprawy. Obowiązujące metody szacowania podstawy opodatkowania są nie tylko przykładowe ale także archaiczne. Proponowane zmiany nie wprowadzają żadnego pogorszenia sytuacji podatnika, gdyż katalog metod szacowania nadal pozostaje otwarty i organ podatkowy zobowiązany jest dokonać uzasadnienia wyboru metody szacowania.  Za wskazaniem metod szacowania nie może przemawiać ich wymienienie w podatkach dochodowych. Metody szacowania cen w transakcjach pomiędzy podmiotami powiązanymi mają swoje źródło w wytycznych OECD i są dostosowane do szacowania cen a nie podstawy opodatkowania. Jednak w celu umożliwienia kontroli wyboru metody szacowania, zobowiązuje się organ podatkowy do uzasadnienia, dlaczego wybrał tę, a nie inną metodę. Organ podatkowy będzie zwolniony z tego obowiązku w przypadku, w którym wybór metody opodatkowania zostanie zaaprobowany przez podatnika (</w:t>
      </w:r>
      <w:r w:rsidRPr="009A3C86">
        <w:rPr>
          <w:rFonts w:ascii="Times New Roman" w:hAnsi="Times New Roman"/>
          <w:b/>
          <w:sz w:val="24"/>
          <w:szCs w:val="24"/>
        </w:rPr>
        <w:t>art. 14</w:t>
      </w:r>
      <w:r w:rsidR="00E57419" w:rsidRPr="009A3C86">
        <w:rPr>
          <w:rFonts w:ascii="Times New Roman" w:hAnsi="Times New Roman"/>
          <w:b/>
          <w:sz w:val="24"/>
          <w:szCs w:val="24"/>
        </w:rPr>
        <w:t>1</w:t>
      </w:r>
      <w:r w:rsidRPr="009A3C86">
        <w:rPr>
          <w:rFonts w:ascii="Times New Roman" w:hAnsi="Times New Roman"/>
          <w:b/>
          <w:sz w:val="24"/>
          <w:szCs w:val="24"/>
        </w:rPr>
        <w:t xml:space="preserve">  § 4</w:t>
      </w:r>
      <w:r w:rsidRPr="009A3C86">
        <w:rPr>
          <w:rFonts w:ascii="Times New Roman" w:hAnsi="Times New Roman"/>
          <w:sz w:val="24"/>
          <w:szCs w:val="24"/>
        </w:rPr>
        <w:t>). Organ zapoznaje podatnika z wybraną przez organ metodą szacowania podstawy opodatkowania i wzywa go do wypowiedzenia się, czy wyraża zgodę na jej zastosowanie – wyznaczając na to termin nie krótszy niż 7 dni. Wyrażenie zgody następuje w formie pisemnej bądź ustnie do protokołu (</w:t>
      </w:r>
      <w:r w:rsidRPr="009A3C86">
        <w:rPr>
          <w:rFonts w:ascii="Times New Roman" w:hAnsi="Times New Roman"/>
          <w:b/>
          <w:sz w:val="24"/>
          <w:szCs w:val="24"/>
        </w:rPr>
        <w:t>art. 14</w:t>
      </w:r>
      <w:r w:rsidR="00E57419" w:rsidRPr="009A3C86">
        <w:rPr>
          <w:rFonts w:ascii="Times New Roman" w:hAnsi="Times New Roman"/>
          <w:b/>
          <w:sz w:val="24"/>
          <w:szCs w:val="24"/>
        </w:rPr>
        <w:t>1</w:t>
      </w:r>
      <w:r w:rsidRPr="009A3C86">
        <w:rPr>
          <w:rFonts w:ascii="Times New Roman" w:hAnsi="Times New Roman"/>
          <w:b/>
          <w:sz w:val="24"/>
          <w:szCs w:val="24"/>
        </w:rPr>
        <w:t xml:space="preserve"> § 5</w:t>
      </w:r>
      <w:r w:rsidRPr="009A3C86">
        <w:rPr>
          <w:rFonts w:ascii="Times New Roman" w:hAnsi="Times New Roman"/>
          <w:sz w:val="24"/>
          <w:szCs w:val="24"/>
        </w:rPr>
        <w:t>).</w:t>
      </w:r>
    </w:p>
    <w:p w:rsidR="00DC1061" w:rsidRPr="009A3C86" w:rsidRDefault="00DC1061" w:rsidP="00DC1061">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lastRenderedPageBreak/>
        <w:t>5.</w:t>
      </w:r>
      <w:r w:rsidRPr="009A3C86">
        <w:rPr>
          <w:rFonts w:ascii="Times New Roman" w:hAnsi="Times New Roman"/>
          <w:bCs/>
          <w:sz w:val="24"/>
          <w:szCs w:val="24"/>
        </w:rPr>
        <w:t xml:space="preserve"> </w:t>
      </w:r>
      <w:r w:rsidRPr="009A3C86">
        <w:rPr>
          <w:rFonts w:ascii="Times New Roman" w:hAnsi="Times New Roman"/>
          <w:sz w:val="24"/>
          <w:szCs w:val="24"/>
        </w:rPr>
        <w:t>Szacowanie podstawy opodatkowania może dotyczyć także podatków płaconych zaliczkowo. W takim przypadku, w obecnym stanie prawym, nie szacowano wysokości poszczególnych zaliczek. Wysokość zaliczek wyliczano odnosząc się proporcjonalnie do wysokości zobowiązania podatkowego za dany okres. W projekcie proponuje się, by obecnie obowiązująca zasada była stosowana tylko w przypadku, w którym nie będzie możliwe określenie zaliczek w wysokości zbliżonej do rzeczywistej (</w:t>
      </w:r>
      <w:r w:rsidRPr="009A3C86">
        <w:rPr>
          <w:rFonts w:ascii="Times New Roman" w:hAnsi="Times New Roman"/>
          <w:b/>
          <w:bCs/>
          <w:sz w:val="24"/>
          <w:szCs w:val="24"/>
        </w:rPr>
        <w:t>art. 14</w:t>
      </w:r>
      <w:r w:rsidR="00E57419" w:rsidRPr="009A3C86">
        <w:rPr>
          <w:rFonts w:ascii="Times New Roman" w:hAnsi="Times New Roman"/>
          <w:b/>
          <w:bCs/>
          <w:sz w:val="24"/>
          <w:szCs w:val="24"/>
        </w:rPr>
        <w:t>2</w:t>
      </w:r>
      <w:r w:rsidRPr="009A3C86">
        <w:rPr>
          <w:rFonts w:ascii="Times New Roman" w:hAnsi="Times New Roman"/>
          <w:sz w:val="24"/>
          <w:szCs w:val="24"/>
        </w:rPr>
        <w:t>).</w:t>
      </w:r>
    </w:p>
    <w:p w:rsidR="00BA3F37" w:rsidRPr="009A3C86" w:rsidRDefault="00BA3F37" w:rsidP="00D72E74">
      <w:pPr>
        <w:spacing w:before="120" w:after="0" w:line="360" w:lineRule="auto"/>
        <w:jc w:val="both"/>
        <w:rPr>
          <w:rFonts w:ascii="Times New Roman" w:hAnsi="Times New Roman"/>
          <w:b/>
          <w:sz w:val="24"/>
          <w:szCs w:val="24"/>
        </w:rPr>
      </w:pPr>
      <w:r w:rsidRPr="009A3C86">
        <w:rPr>
          <w:rFonts w:ascii="Times New Roman" w:hAnsi="Times New Roman"/>
          <w:b/>
          <w:sz w:val="24"/>
          <w:szCs w:val="24"/>
        </w:rPr>
        <w:t>Rozdział 4. Dodatkowe zobowiązanie podatkowe</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Przepisy zawarte </w:t>
      </w:r>
      <w:r w:rsidRPr="009A3C86">
        <w:rPr>
          <w:rFonts w:ascii="Times New Roman" w:hAnsi="Times New Roman"/>
          <w:b/>
          <w:sz w:val="24"/>
          <w:szCs w:val="24"/>
        </w:rPr>
        <w:t xml:space="preserve">w rozdziale 4 </w:t>
      </w:r>
      <w:r w:rsidRPr="009A3C86">
        <w:rPr>
          <w:rFonts w:ascii="Times New Roman" w:hAnsi="Times New Roman"/>
          <w:sz w:val="24"/>
          <w:szCs w:val="24"/>
        </w:rPr>
        <w:t>projektu powielają przepisy rozdziału 6a działu III obowiązującej Ordynacji podatkowej, który został dodany ustawą z dnia 23 października 2018 r. o zmianie ustawy o podatku dochodowym od osób fizycznych, ustawy o podatku dochodowym od osób prawnych, ustawy – Ordynacja podatkowa oraz niektórych innych ustaw (Dz. U. poz. 2193). Przepisy te przewidują możliwość określenia dodatkowego zobowiązania podatkowego związanego z unikaniem opodatkowania, zastosowaniem środków ograniczających umowne korzyści lub przepisów o cenach transferowych. Organ podatkowy wydając decyzję z zastosowaniem tych przepisów ustalał będzie dodatkowe zobowiązanie podatkowe odpowiadające ułamkowi stwierdzonej w postępowaniu korzyści podatkowej.</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Zasadniczym powodem wprowadzenia tych uregulowań jest niewystarczający efekt prewencyjny, jaki aktualnie wywierany jest przez przepisy klauzuli przeciwko unikaniu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Pomimo przyjęcia przez projektodawcę założenia, że najistotniejszą funkcją klauzuli powinna być prewencja, to w ocenie projektodawcy trudno uznać, że konsekwencje zastosowania przedmiotowej klauzuli zniechęcają obecnie podatników do unikania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Jak wskazuje się w doktrynie, jedną z wad obecnie obowiązującego kształtu klauzuli przeciwko unikaniu opodatkowania jest jej niewielkie oddziaływanie prewencyjne „(…) gdyż zastosowanie klauzuli nie wymaga poniesienia dodatkowych konsekwencji przekraczających należne zobowiązanie podatkowe (czasami dodatkowe sankcje administracyjne są przewidziane. Występują one w takich państwach jak: Australia, Francja, Irlandia, Nowa Zelandia, Stany Zjednoczone i Węgry). Oznacza to, że unikający opodatkowania mogą być skłonni zaryzykować zastosowanie sztucznych konstrukcji, licząc na to, że konsekwencją zastosowania klauzuli będzie jedynie zapłata wyższego podatku, który byłby i tak zapłacony, gdyby dana konstrukcja służąca unikaniu opodatkowania nie została zastosowana. Z punktu widzenia ekonomicznej analizy prawa brak kar zachęca do unikania opodatkowania, ponieważ unikanie opodatkowania nie zmniejsza użyteczności podatnika (zapłaci on podatek w </w:t>
      </w:r>
      <w:r w:rsidRPr="009A3C86">
        <w:rPr>
          <w:rFonts w:ascii="Times New Roman" w:hAnsi="Times New Roman"/>
          <w:sz w:val="24"/>
          <w:szCs w:val="24"/>
        </w:rPr>
        <w:lastRenderedPageBreak/>
        <w:t>prawidłowej wysokości określonej przez organy podatkowe lub podatek w niższej wysokości, jeśli zastosowane działania nie zostaną zakwestionowane)” (por. J. Kudła, Klauzula przeciwko unikaniu opodatkowania – ujęcie ekonomiczne, Analizy i Studia CASP nr 1(2)/2017).</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W kontekście dodatkowego zobowiązania podatkowego z tytułu zastosowania klauzuli przeciwko unikaniu opodatkowania odwołać się można do teorii gier oraz problematyki analizy ryzyka w kontekście maksymalizacji korzyści podatkowych. Teoria gier jest dziedziną zajmującą się opisem sytuacji, w których uczestniczą podmioty świadomie podejmujące pewne decyzje, w wyniku których następują rozstrzygnięcia mogące zmienić ich położenie. Analogicznie do analizy ryzyka oraz podejmowania racjonalnych działań w teorii gier, planowanie podatkowe cechuje takie kształtowanie zobowiązań podatkowych, by maksymalizować korzyści podatkowe, przy jednoczesnym dążeniu do minimalizowania ryzyka. Celem projektodawcy jest, by sankcje z tytułu stosowania klauzuli przeciwko unikaniu opodatkowania, pozwalały na zminimalizowanie ryzyka kalkulacji przez podatników, czy korzyść podatkowa, przewyższa ryzyko zakwestionowania transakcji.</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W teorii ekonomicznej analizy prawa wskazuje się natomiast, że „(…) na ogół nie uda się odstraszyć złodziei, przez wymaganie, aby wtedy, kiedy udało się ich złapać, musieli oddać, co ukradli. W celu odstraszenia złodziei prawo musi ustanowić wystarczające kary, tak by oczekiwana korzyść netto z przestępstwa była dla przestępcy ujemna” (por. R. Cooter, T. Ulen, Ekonomiczna analiza prawa, Wydanie II C.H. Beck, Warszawa 2011, s. 598). Omawiając zagadnienie „przestępstwa racjonalnego” wskazuje się, że „(…) Karanie przestępców ma charakter probabilistyczny. Sprawca może uniknąć wykrycia lub skazania, albo zostać złapany, ale nie skazany. Osoba racjonalnie podejmująca decyzje bierze pod uwagę prawdopodobieństwo wymierzenia kary, kiedy rozważa popełnienie dowolnego przestępstwa (…). Możemy powiedzieć, że racjonalni oszuści obliczają oczekiwaną wartość przestępstwa, która równa się korzyściom pomniejszonym o wysokość kary pomnożonej przez prawdopodobieństwo bycia schwytanym i skazanym. Jeśli na przykład grzywna za sprzeniewierzenie 1000 USD wynosi 2000 USD, a prawdopodobieństwo, że sprawca zostanie schwytany i skazany wynosi 0,75, oczekiwana wartość kary wynosi 0,75*2000 USD = 1500 USD” (por. tamże, s. 601). Zakłada się, racjonalny przestępca będzie popełniał zakazany czyn, dopóki korzyści z niego wynikające będą przekraczać oczekiwaną karę.</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W ocenie projektodawcy, obecny kształt regulacji zawartych w dziale I rozdziale 4 Ordynacji podatkowej świadczy, że unikanie opodatkowania stanowi „przestępstwo racjonalne” w rozumieniu teorii ekonomicznej analizy prawa, co może wręcz zachęcać do kontynuowania takich działań. Zastosowanie klauzuli przeciwko unikaniu opodatkowania polega bowiem tylko </w:t>
      </w:r>
      <w:r w:rsidRPr="009A3C86">
        <w:rPr>
          <w:rFonts w:ascii="Times New Roman" w:hAnsi="Times New Roman"/>
          <w:sz w:val="24"/>
          <w:szCs w:val="24"/>
        </w:rPr>
        <w:lastRenderedPageBreak/>
        <w:t>na odebraniu nienależnie uzyskanej korzyści podatkowej powiększonej, w niektórych sytuacjach, o należne odsetki z tytułu zaległości podatkowej. Podobny efekt ma zastosowanie umownej klauzuli przeciwko unikaniu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Projektodawca odwołał się do konstrukcji zastosowanej w Ordynacji podatkowej w zakresie odsetek od zaległości podatkowych. Należy wyjaśnić, że konieczność zapłaty odsetek od zaległości podatkowej według podstawowej stawki nie jest elementem szczególnie odstraszającym czy penalizującym działanie podatnika. Podstawowa stawka odsetek za zwłokę wynosi od dnia 10.09.2014 r. 8%. Zastosowanie niektórych schematów unikania opodatkowania nie ma ponadto bezpośrednio na celu zmniejszenia wysokości zobowiązania podatkowego, w przypadku podatków dochodowych niektóre agresywne optymalizacje są przeprowadzane w celu powstania straty podatkowej, która w kolejnych latach będzie obniżała uzyskiwany dochód. Zastosowanie klauzuli przeciwko unikaniu opodatkowania do zniwelowania nienależnie wykazanej straty podatkowej nie spowoduje konieczności zapłaty odsetek za zwłokę. Powyższe jest zasadniczym argumentem przeciw wprowadzeniu rozwiązań tego rodzaju, w myśl których zwiększona stawka odsetek od zaległości podatkowych, np. 250% stawki podstawowej, zniechęcałaby do unikania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Kraje OECD stosują instytucje podobne do proponowanej w celu podniesienia prewencji działania przepisów przeciwdziałających unikaniu opodatkowania. Przykładowo, we Francji stawka dodatkowego podatku wynosi 40% lub 80% w zależności od wystąpienia przesłanek ustawowych. Zastosowanie brytyjskiej klauzuli przeciwko unikaniu opodatkowania wiąże się z zapłaceniem penalty tax w wysokości co najmniej 60% uzyskanej korzyści podatkowej. Australijska Taxation Administration Act 1953 posługuje się natomiast rozbudowanym wzorem matematycznym pozwalającym wyliczyć wysokość karnego podatku w zależności od wystąpienia szeregu ustawowych przesłanek, który w niektórych sytuacjach może przekroczyć 100% korzyści podatkowej.</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Podnieść należy, że projektodawca wspólnotowy w pkt 11 preambuły dyrektywy ATAD wskazuje na możliwość stosowania tego rodzaju instytucji stwierdzając, jak już wspomniano wcześniej, że „Państwa członkowskie powinny mieć możliwość stosowania kar, w przypadku gdy zastosowanie mają przepisy ogólne przeciw unikaniu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W kontekście cen transferowych warto podkreślić, że obecnie istniejące instrumenty sankcyjne przewidziane w art. 19 ust. 4 ustawy o podatku dochodowym od osób prawnych oraz art. 30d ust. 1 ustawy o podatku dochodowym od osób fizycznych w praktyce sankcjonują podatników wyłącznie za nieposiadanie dokumentacji cen transferowych, natomiast nie sankcjonują podatników za stosowanie w rozliczeniach nierynkowych mechanizmów. Innymi słowy nie </w:t>
      </w:r>
      <w:r w:rsidRPr="009A3C86">
        <w:rPr>
          <w:rFonts w:ascii="Times New Roman" w:hAnsi="Times New Roman"/>
          <w:sz w:val="24"/>
          <w:szCs w:val="24"/>
        </w:rPr>
        <w:lastRenderedPageBreak/>
        <w:t>istnieje obecnie w prawie podstawa do sankcjonowania podatnika, który pomimo że posiada kompletną dokumentację cen transferowych, nie stosuje zasady ceny rynkowej i zaniża podstawę opodatkowania. Na gruncie istniejących przepisów podatnik taki od kwoty doszacowanego dochodu płaci bowiem podstawową stawkę podatku dochodowego. Oznacza to, że aktualnie obowiązujące regulacje w zakresie sankcji dotyczących spraw z zakresu cen transferowych nie spełniają założenia o ich prewencyjnym efekcie oddziaływania.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Proponowana konstrukcja sankcji pozwoli na wyeliminowanie ww. problemów. Nadrzędnym celem projektowanej sankcji jest penalizowanie podatników za stosowanie nierynkowych mechanizmów prowadzących do zaniżania podstawy opodatkowania. Ponadto, brak dokumentacji cen transferowych, w przypadkach, w których jest ona wymagana – ze względu na powodowane tym brakiem utrudnienia dla organów w badaniu rozliczeń i podniesienie kosztów kontroli – będzie okolicznością pozwalającą na podwyższenie stawki sankcyjnej w przypadku dokonania doszacowania. </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W ocenie projektodawcy, zawierane przez Rzeczpospolitą Polską umowy o unikaniu podwójnego opodatkowania nie sprzeciwiają się temu, aby konsekwencją zastosowania środków ograniczających umowne korzyści było wymierzenie dodatkowego zobowiązania podatkowego. Umowy te nie regulują konsekwencji zastosowania tego instrumentu i pozostawiają dobór odpowiednich środków umawiającej się państwu-stronie umowy. Jeśli przyjąć, że umawiające się państwo mogłoby w przypadku zastosowania umownej klauzuli przeciwko unikaniu opodatkowania domagać się również zapłaty odsetek za zwłokę, to na tej samej podstawie umawiające się państwo może ustanowić na gruncie krajowym inne środki, takie jak: dodatkowe zobowiązanie podatkowe lub odpowiedzialność karna.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Na mocy proponowanych przepisów </w:t>
      </w:r>
      <w:r w:rsidRPr="009A3C86">
        <w:rPr>
          <w:rFonts w:ascii="Times New Roman" w:hAnsi="Times New Roman"/>
          <w:b/>
          <w:sz w:val="24"/>
          <w:szCs w:val="24"/>
        </w:rPr>
        <w:t>art. 14</w:t>
      </w:r>
      <w:r w:rsidR="00E57419" w:rsidRPr="009A3C86">
        <w:rPr>
          <w:rFonts w:ascii="Times New Roman" w:hAnsi="Times New Roman"/>
          <w:b/>
          <w:sz w:val="24"/>
          <w:szCs w:val="24"/>
        </w:rPr>
        <w:t>3</w:t>
      </w:r>
      <w:r w:rsidRPr="009A3C86">
        <w:rPr>
          <w:rFonts w:ascii="Times New Roman" w:hAnsi="Times New Roman"/>
          <w:b/>
          <w:sz w:val="24"/>
          <w:szCs w:val="24"/>
        </w:rPr>
        <w:t xml:space="preserve"> § 1</w:t>
      </w:r>
      <w:r w:rsidRPr="009A3C86">
        <w:rPr>
          <w:rFonts w:ascii="Times New Roman" w:hAnsi="Times New Roman"/>
          <w:sz w:val="24"/>
          <w:szCs w:val="24"/>
        </w:rPr>
        <w:t xml:space="preserve"> Ordynacji podatkowej, organ podatkowy wydając decyzję z zastosowaniem:</w:t>
      </w:r>
    </w:p>
    <w:p w:rsidR="008F062D" w:rsidRPr="009A3C86" w:rsidRDefault="000E3AC9" w:rsidP="00C15443">
      <w:pPr>
        <w:pStyle w:val="Akapitzlist"/>
        <w:numPr>
          <w:ilvl w:val="0"/>
          <w:numId w:val="62"/>
        </w:numPr>
        <w:spacing w:after="0" w:line="360" w:lineRule="auto"/>
        <w:ind w:hanging="720"/>
        <w:jc w:val="both"/>
        <w:rPr>
          <w:rFonts w:ascii="Times New Roman" w:hAnsi="Times New Roman"/>
          <w:sz w:val="24"/>
          <w:szCs w:val="24"/>
        </w:rPr>
      </w:pPr>
      <w:r w:rsidRPr="009A3C86">
        <w:rPr>
          <w:rFonts w:ascii="Times New Roman" w:hAnsi="Times New Roman"/>
          <w:sz w:val="24"/>
          <w:szCs w:val="24"/>
        </w:rPr>
        <w:t>art. 3</w:t>
      </w:r>
      <w:r w:rsidR="00737345" w:rsidRPr="009A3C86">
        <w:rPr>
          <w:rFonts w:ascii="Times New Roman" w:hAnsi="Times New Roman"/>
          <w:sz w:val="24"/>
          <w:szCs w:val="24"/>
        </w:rPr>
        <w:t>3</w:t>
      </w:r>
      <w:r w:rsidRPr="009A3C86">
        <w:rPr>
          <w:rFonts w:ascii="Times New Roman" w:hAnsi="Times New Roman"/>
          <w:sz w:val="24"/>
          <w:szCs w:val="24"/>
        </w:rPr>
        <w:t xml:space="preserve"> § 1 lub 7 Ordynacji podatkowej, </w:t>
      </w:r>
    </w:p>
    <w:p w:rsidR="000E3AC9" w:rsidRPr="009A3C86" w:rsidRDefault="000E3AC9" w:rsidP="00C15443">
      <w:pPr>
        <w:pStyle w:val="Akapitzlist"/>
        <w:numPr>
          <w:ilvl w:val="0"/>
          <w:numId w:val="62"/>
        </w:numPr>
        <w:spacing w:after="0" w:line="360" w:lineRule="auto"/>
        <w:ind w:hanging="720"/>
        <w:jc w:val="both"/>
        <w:rPr>
          <w:rFonts w:ascii="Times New Roman" w:hAnsi="Times New Roman"/>
          <w:sz w:val="24"/>
          <w:szCs w:val="24"/>
        </w:rPr>
      </w:pPr>
      <w:r w:rsidRPr="009A3C86">
        <w:rPr>
          <w:rFonts w:ascii="Times New Roman" w:hAnsi="Times New Roman"/>
          <w:sz w:val="24"/>
          <w:szCs w:val="24"/>
        </w:rPr>
        <w:t>środków ograniczających umowne korzyści,</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3)</w:t>
      </w:r>
      <w:r w:rsidRPr="009A3C86">
        <w:rPr>
          <w:rFonts w:ascii="Times New Roman" w:hAnsi="Times New Roman"/>
          <w:sz w:val="24"/>
          <w:szCs w:val="24"/>
        </w:rPr>
        <w:tab/>
        <w:t xml:space="preserve">tzw. małych klauzul przeciwko unikaniu opodatkowania, tj. art. 12 ust. 13 i 14 oraz art. 22c ustawy o podatku dochodowym od osób prawnych, a także art. 24 ust. 19 i 20 ustawy o podatku dochodowym od osób fizycznych, </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4)</w:t>
      </w:r>
      <w:r w:rsidRPr="009A3C86">
        <w:rPr>
          <w:rFonts w:ascii="Times New Roman" w:hAnsi="Times New Roman"/>
          <w:sz w:val="24"/>
          <w:szCs w:val="24"/>
        </w:rPr>
        <w:tab/>
        <w:t xml:space="preserve">oddziału 2 rozdziału 1a ustawy o podatku dochodowym od osób prawnych  lub oddziału 2 rozdziału 4b ustawy o podatku dochodowym od osób fizycznych (tj. na podstawie przepisów o cenach transferowych) </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5)</w:t>
      </w:r>
      <w:r w:rsidRPr="009A3C86">
        <w:rPr>
          <w:rFonts w:ascii="Times New Roman" w:hAnsi="Times New Roman"/>
          <w:sz w:val="24"/>
          <w:szCs w:val="24"/>
        </w:rPr>
        <w:tab/>
        <w:t xml:space="preserve">art. </w:t>
      </w:r>
      <w:r w:rsidR="00CA6DEA" w:rsidRPr="009A3C86">
        <w:rPr>
          <w:rFonts w:ascii="Times New Roman" w:hAnsi="Times New Roman"/>
          <w:sz w:val="24"/>
          <w:szCs w:val="24"/>
        </w:rPr>
        <w:t>244</w:t>
      </w:r>
      <w:r w:rsidRPr="009A3C86">
        <w:rPr>
          <w:rFonts w:ascii="Times New Roman" w:hAnsi="Times New Roman"/>
          <w:sz w:val="24"/>
          <w:szCs w:val="24"/>
        </w:rPr>
        <w:t xml:space="preserve"> § 1 Ordynacji podatkowej, gdy oświadczenie, o którym mowa w art. 26 ust. 7a lub 7g ustawy o podatku dochodowym od osób prawnych lub oświadczenie, o którym mowa w </w:t>
      </w:r>
      <w:r w:rsidRPr="009A3C86">
        <w:rPr>
          <w:rFonts w:ascii="Times New Roman" w:hAnsi="Times New Roman"/>
          <w:sz w:val="24"/>
          <w:szCs w:val="24"/>
        </w:rPr>
        <w:lastRenderedPageBreak/>
        <w:t>art. 41 ust. 15 lub 21 ustawy o podatku dochodowym od osób fizycznych, nie było zgodne z prawdą, płatnik nie dokonał wymaganej weryfikacji lub podjęta przez płatnika weryfikacja nie była adekwatna do charakteru i skali działalności płatnika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ustalać będzie dodatkowe zobowiązanie podatkowe. Do dodatkowego zobowiązania podatkowego związanego z zastosowaniem art. 3</w:t>
      </w:r>
      <w:r w:rsidR="00737345" w:rsidRPr="009A3C86">
        <w:rPr>
          <w:rFonts w:ascii="Times New Roman" w:hAnsi="Times New Roman"/>
          <w:sz w:val="24"/>
          <w:szCs w:val="24"/>
        </w:rPr>
        <w:t>3</w:t>
      </w:r>
      <w:r w:rsidRPr="009A3C86">
        <w:rPr>
          <w:rFonts w:ascii="Times New Roman" w:hAnsi="Times New Roman"/>
          <w:sz w:val="24"/>
          <w:szCs w:val="24"/>
        </w:rPr>
        <w:t xml:space="preserve"> § 1 lub 7 lub środków ograniczających umowne korzyści miałaby zastosowanie zasada, iż decyzji tej nie można byłoby nadać rygoru natychmiastowej wykonalności.</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Jednocześnie wprowadzono możliwość odstąpienia od zastosowania tej sankcji (</w:t>
      </w:r>
      <w:r w:rsidRPr="009A3C86">
        <w:rPr>
          <w:rFonts w:ascii="Times New Roman" w:hAnsi="Times New Roman"/>
          <w:b/>
          <w:sz w:val="24"/>
          <w:szCs w:val="24"/>
        </w:rPr>
        <w:t>dodanie § 3 i 4 do art. 14</w:t>
      </w:r>
      <w:r w:rsidR="00E57419" w:rsidRPr="009A3C86">
        <w:rPr>
          <w:rFonts w:ascii="Times New Roman" w:hAnsi="Times New Roman"/>
          <w:b/>
          <w:sz w:val="24"/>
          <w:szCs w:val="24"/>
        </w:rPr>
        <w:t>3</w:t>
      </w:r>
      <w:r w:rsidRPr="009A3C86">
        <w:rPr>
          <w:rFonts w:ascii="Times New Roman" w:hAnsi="Times New Roman"/>
          <w:sz w:val="24"/>
          <w:szCs w:val="24"/>
        </w:rPr>
        <w:t xml:space="preserve">). Intencją projektodawcy jest ograniczenie ryzyka zastosowania instytucji dodatkowego zobowiązania podatkowego względem podmiotów, które nie prowadzą działalności gospodarczej lub z uwagi na jej niewielki rozmiar prowadzonej działalności gospodarczej, nie jest racjonalne oczekiwać, że podmioty te korzystały z usług profesjonalnych kancelarii doradzających w kwestiach podatkowych. Jeśli podmiot taki będzie działał w dobrej wierze (tzn. gdy na podstawie istniejących okoliczności oraz faktów okaże się, że w momencie dokonywania czynności, podatnik pozostawał, w błędnym, ale usprawiedliwionym przekonaniu o zgodności uzyskanej korzyści podatkowej z przedmiotem i celem ustawy podatkowej lub jej przepisu), uznano, że nie jest racjonalnym by stosować wobec niego dodatkową dolegliwość w postaci instytucji dodatkowego zobowiązania podatkowego. Nie zmienia to faktu, że podmiot ten zostanie pozbawiony osiągniętej korzyści podatkowej. Jej osiągnięcie było bowiem obiektywnie sprzeczne z przedmiotem i celem ustawy podatkowej lub jej przepisu. W analizowanym przypadku rozwiązania prawne wskazane w </w:t>
      </w:r>
      <w:r w:rsidRPr="009A3C86">
        <w:rPr>
          <w:rFonts w:ascii="Times New Roman" w:hAnsi="Times New Roman"/>
          <w:b/>
          <w:sz w:val="24"/>
          <w:szCs w:val="24"/>
        </w:rPr>
        <w:t>art. 14</w:t>
      </w:r>
      <w:r w:rsidR="00E57419" w:rsidRPr="009A3C86">
        <w:rPr>
          <w:rFonts w:ascii="Times New Roman" w:hAnsi="Times New Roman"/>
          <w:b/>
          <w:sz w:val="24"/>
          <w:szCs w:val="24"/>
        </w:rPr>
        <w:t>3</w:t>
      </w:r>
      <w:r w:rsidRPr="009A3C86">
        <w:rPr>
          <w:rFonts w:ascii="Times New Roman" w:hAnsi="Times New Roman"/>
          <w:b/>
          <w:sz w:val="24"/>
          <w:szCs w:val="24"/>
        </w:rPr>
        <w:t xml:space="preserve"> § 1 pkt 1-3</w:t>
      </w:r>
      <w:r w:rsidRPr="009A3C86">
        <w:rPr>
          <w:rFonts w:ascii="Times New Roman" w:hAnsi="Times New Roman"/>
          <w:sz w:val="24"/>
          <w:szCs w:val="24"/>
        </w:rPr>
        <w:t xml:space="preserve"> będą mieć zastosowanie. Organ będzie mógł jednak odstąpić od nałożeni</w:t>
      </w:r>
      <w:r w:rsidR="00DD0C19" w:rsidRPr="009A3C86">
        <w:rPr>
          <w:rFonts w:ascii="Times New Roman" w:hAnsi="Times New Roman"/>
          <w:sz w:val="24"/>
          <w:szCs w:val="24"/>
        </w:rPr>
        <w:t>a</w:t>
      </w:r>
      <w:r w:rsidRPr="009A3C86">
        <w:rPr>
          <w:rFonts w:ascii="Times New Roman" w:hAnsi="Times New Roman"/>
          <w:sz w:val="24"/>
          <w:szCs w:val="24"/>
        </w:rPr>
        <w:t xml:space="preserve"> dodatkowego zobowiązania podatkowego. </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Z drugiej strony zgodnie z projektowanymi przepisami ustawy w przypadkach wydania decyzji z zastosowaniem środków określonych w art. 14</w:t>
      </w:r>
      <w:r w:rsidR="00E57419" w:rsidRPr="009A3C86">
        <w:rPr>
          <w:rFonts w:ascii="Times New Roman" w:hAnsi="Times New Roman"/>
          <w:sz w:val="24"/>
          <w:szCs w:val="24"/>
        </w:rPr>
        <w:t>3</w:t>
      </w:r>
      <w:r w:rsidRPr="009A3C86">
        <w:rPr>
          <w:rFonts w:ascii="Times New Roman" w:hAnsi="Times New Roman"/>
          <w:sz w:val="24"/>
          <w:szCs w:val="24"/>
        </w:rPr>
        <w:t xml:space="preserve"> § 1, dodatkowe zobowiązanie wynosi 40% kwoty korzyści podatkowej w rozumieniu przepisów Ordynacji podatkowej. Jeżeli wydawana jest decyzja w zakresie podatku dochodowego od osób prawnych lub podatku dochodowego od osób fizycznych z wyłączeniem zryczałtowanych form opodatkowania, dodatkowe zobowiązanie podatkowe wynosi 10% sumy składników wynikających z tej decyzji. Organ podatkowy oblicza podstawę do ustalenia dodatkowego zobowiązania podatkowego przyjmując, że środki określone w art. 14</w:t>
      </w:r>
      <w:r w:rsidR="00E57419" w:rsidRPr="009A3C86">
        <w:rPr>
          <w:rFonts w:ascii="Times New Roman" w:hAnsi="Times New Roman"/>
          <w:sz w:val="24"/>
          <w:szCs w:val="24"/>
        </w:rPr>
        <w:t>3</w:t>
      </w:r>
      <w:r w:rsidRPr="009A3C86">
        <w:rPr>
          <w:rFonts w:ascii="Times New Roman" w:hAnsi="Times New Roman"/>
          <w:sz w:val="24"/>
          <w:szCs w:val="24"/>
        </w:rPr>
        <w:t xml:space="preserve"> § 1 mają wpływ na rozliczenie podatkowe jako ostatnie. Oznacza to, że w sytuacji, w której w wyniku weryfikacji rozliczeń podatkowych zidentyfikowane zostały inne nieprawidłowości (np. nieuprawnione zaliczenie do kosztów uzyskania przychodów określonych wydatków), to wpływ na wysokość zobowiązania </w:t>
      </w:r>
      <w:r w:rsidRPr="009A3C86">
        <w:rPr>
          <w:rFonts w:ascii="Times New Roman" w:hAnsi="Times New Roman"/>
          <w:sz w:val="24"/>
          <w:szCs w:val="24"/>
        </w:rPr>
        <w:lastRenderedPageBreak/>
        <w:t>podatkowego rozstrzygnięcia z zastosowaniem środków opisanych w art. 14</w:t>
      </w:r>
      <w:r w:rsidR="00E57419" w:rsidRPr="009A3C86">
        <w:rPr>
          <w:rFonts w:ascii="Times New Roman" w:hAnsi="Times New Roman"/>
          <w:sz w:val="24"/>
          <w:szCs w:val="24"/>
        </w:rPr>
        <w:t>3</w:t>
      </w:r>
      <w:r w:rsidRPr="009A3C86">
        <w:rPr>
          <w:rFonts w:ascii="Times New Roman" w:hAnsi="Times New Roman"/>
          <w:sz w:val="24"/>
          <w:szCs w:val="24"/>
        </w:rPr>
        <w:t xml:space="preserve"> § 1, który rzutować będzie na wysokość dodatkowego zobowiązania podatkowego, obliczany będzie jako ostatni. Przez składniki, decyzji, o której mowa powyżej, rozumie się kwoty nienależnego:</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1) zawyżenia straty podatkowej;</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2) powstania straty podatkowej;</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3) zaniżenia dochodu do opodatkowania, lub </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4) niepowstania dochodu do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w zakresie wynikającym z zastosowania przepisów lub środków określonych w art. 14</w:t>
      </w:r>
      <w:r w:rsidR="00E57419" w:rsidRPr="009A3C86">
        <w:rPr>
          <w:rFonts w:ascii="Times New Roman" w:hAnsi="Times New Roman"/>
          <w:sz w:val="24"/>
          <w:szCs w:val="24"/>
        </w:rPr>
        <w:t>3</w:t>
      </w:r>
      <w:r w:rsidRPr="009A3C86">
        <w:rPr>
          <w:rFonts w:ascii="Times New Roman" w:hAnsi="Times New Roman"/>
          <w:sz w:val="24"/>
          <w:szCs w:val="24"/>
        </w:rPr>
        <w:t xml:space="preserve"> § 1.</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W sytuacji określonej powyżej w art. 14</w:t>
      </w:r>
      <w:r w:rsidR="00E57419" w:rsidRPr="009A3C86">
        <w:rPr>
          <w:rFonts w:ascii="Times New Roman" w:hAnsi="Times New Roman"/>
          <w:sz w:val="24"/>
          <w:szCs w:val="24"/>
        </w:rPr>
        <w:t>3</w:t>
      </w:r>
      <w:r w:rsidRPr="009A3C86">
        <w:rPr>
          <w:rFonts w:ascii="Times New Roman" w:hAnsi="Times New Roman"/>
          <w:sz w:val="24"/>
          <w:szCs w:val="24"/>
        </w:rPr>
        <w:t xml:space="preserve"> § 1 pkt 5. dodatkowe zobowiązanie podatkowe ustala się jako 10% podstawy opodatkowania należności, od której płatnik nie pobrał podatku.</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Podwojenie stawki</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projektowanym </w:t>
      </w:r>
      <w:r w:rsidRPr="009A3C86">
        <w:rPr>
          <w:rFonts w:ascii="Times New Roman" w:hAnsi="Times New Roman"/>
          <w:b/>
          <w:sz w:val="24"/>
          <w:szCs w:val="24"/>
        </w:rPr>
        <w:t>§ 1 art. 14</w:t>
      </w:r>
      <w:r w:rsidR="00E57419" w:rsidRPr="009A3C86">
        <w:rPr>
          <w:rFonts w:ascii="Times New Roman" w:hAnsi="Times New Roman"/>
          <w:b/>
          <w:sz w:val="24"/>
          <w:szCs w:val="24"/>
        </w:rPr>
        <w:t>5</w:t>
      </w:r>
      <w:r w:rsidRPr="009A3C86">
        <w:rPr>
          <w:rFonts w:ascii="Times New Roman" w:hAnsi="Times New Roman"/>
          <w:sz w:val="24"/>
          <w:szCs w:val="24"/>
        </w:rPr>
        <w:t xml:space="preserve"> stawki w wysokości 40% oraz 10% opisane powyżej ulegają podwojeniu, jeżeli:</w:t>
      </w:r>
    </w:p>
    <w:p w:rsidR="000E3AC9" w:rsidRPr="009A3C86" w:rsidRDefault="00DD0C1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r w:rsidR="000E3AC9" w:rsidRPr="009A3C86">
        <w:rPr>
          <w:rFonts w:ascii="Times New Roman" w:hAnsi="Times New Roman"/>
          <w:sz w:val="24"/>
          <w:szCs w:val="24"/>
        </w:rPr>
        <w:t>podstawa do ustalenia dodatkowego zobowiązania podatkowego przekracza 15 000 000 zł – w zakresie nadwyżki ponad tę kwotę;</w:t>
      </w:r>
    </w:p>
    <w:p w:rsidR="00283B67" w:rsidRPr="009A3C86" w:rsidRDefault="00DD0C19" w:rsidP="00283B67">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r w:rsidR="000E3AC9" w:rsidRPr="009A3C86">
        <w:rPr>
          <w:rFonts w:ascii="Times New Roman" w:hAnsi="Times New Roman"/>
          <w:sz w:val="24"/>
          <w:szCs w:val="24"/>
        </w:rPr>
        <w:t>nie upłynęło 10 lat od końca roku kalendarzowego, w którym podatnikowi lub płatnikowi doręczono ostateczną decyzję z zastosowaniem przepisów lub środków, o których mowa w art. 14</w:t>
      </w:r>
      <w:r w:rsidR="00E57419" w:rsidRPr="009A3C86">
        <w:rPr>
          <w:rFonts w:ascii="Times New Roman" w:hAnsi="Times New Roman"/>
          <w:sz w:val="24"/>
          <w:szCs w:val="24"/>
        </w:rPr>
        <w:t>3</w:t>
      </w:r>
      <w:r w:rsidR="000E3AC9" w:rsidRPr="009A3C86">
        <w:rPr>
          <w:rFonts w:ascii="Times New Roman" w:hAnsi="Times New Roman"/>
          <w:sz w:val="24"/>
          <w:szCs w:val="24"/>
        </w:rPr>
        <w:t xml:space="preserve"> § 1 pkt 1-3 – w zakresie kwoty stanowiącej podstawę ustalenia dodatkowego zobowiązania podatkowego związanej z zastosowaniem tych przepisów lub środków;</w:t>
      </w:r>
      <w:r w:rsidR="00283B67" w:rsidRPr="009A3C86">
        <w:rPr>
          <w:rFonts w:ascii="Times New Roman" w:hAnsi="Times New Roman"/>
          <w:sz w:val="24"/>
          <w:szCs w:val="24"/>
        </w:rPr>
        <w:t xml:space="preserve"> </w:t>
      </w:r>
      <w:r w:rsidR="00283B67" w:rsidRPr="009A3C86">
        <w:rPr>
          <w:rFonts w:ascii="Times New Roman" w:hAnsi="Times New Roman"/>
          <w:color w:val="000000"/>
          <w:sz w:val="24"/>
          <w:szCs w:val="24"/>
        </w:rPr>
        <w:t>nie musi zachodzić tożsamość użytych instytucji w dwóch decyzjach, przepis znajdzie zastosowanie także wtedy gdy wydawana decyzja stosuje np. środki ograniczające umowne korzyści, zaś uprzednio – w ciągu 10 lat – doręczono decyzję ostateczną z zastosowaniem generalnej klauzuli;</w:t>
      </w:r>
    </w:p>
    <w:p w:rsidR="000E3AC9" w:rsidRPr="009A3C86" w:rsidRDefault="00DD0C1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r w:rsidR="000E3AC9" w:rsidRPr="009A3C86">
        <w:rPr>
          <w:rFonts w:ascii="Times New Roman" w:hAnsi="Times New Roman"/>
          <w:sz w:val="24"/>
          <w:szCs w:val="24"/>
        </w:rPr>
        <w:t xml:space="preserve">strona nie przedłożyła organowi podatkowemu dokumentacji podatkowej w zakresie cen transferowych o której mowa w oddziale 3 rozdziału 1a ustawy o podatku dochodowym od osób prawnych lub oddziale 3 rozdziału 4b ustawy o podatku dochodowym od osób fizycznych – w zakresie tej części podstawy ustalenia dodatkowego zobowiązania podatkowego, która wynika z zastosowania przepisów </w:t>
      </w:r>
      <w:r w:rsidRPr="009A3C86">
        <w:rPr>
          <w:rFonts w:ascii="Times New Roman" w:hAnsi="Times New Roman"/>
          <w:sz w:val="24"/>
          <w:szCs w:val="24"/>
        </w:rPr>
        <w:t xml:space="preserve">rozdziału 4b oddziału 2 ustawy z dnia 26 lipca 1991 r. o podatku dochodowym od osób fizycznych oraz rozdziału 1a oddziału 2 ustawy z dnia 15 lutego 1992 r. o podatku dochodowym od osób prawnych i </w:t>
      </w:r>
      <w:r w:rsidR="000E3AC9" w:rsidRPr="009A3C86">
        <w:rPr>
          <w:rFonts w:ascii="Times New Roman" w:hAnsi="Times New Roman"/>
          <w:sz w:val="24"/>
          <w:szCs w:val="24"/>
        </w:rPr>
        <w:t>dotyczy transakcji, dla której nie przedłożono dokumentacji podatkowej. Należy wskazać, że przedłożenie niekompletnej dokumentacji, a następnie jej uzupełnienie w pełnym zakresie wskazanym w wezwaniu przez organ podatkowy w określonym terminie nie będzie wywierało negatywnych skutków.</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Jedną z przesłanek zastosowania podwojonej stawki, do całej wartości korzyści podatkowej, będzie uprzednie otrzymanie przez stronę postępowania ostatecznej decyzji z zastosowaniem </w:t>
      </w:r>
      <w:r w:rsidRPr="009A3C86">
        <w:rPr>
          <w:rFonts w:ascii="Times New Roman" w:hAnsi="Times New Roman"/>
          <w:sz w:val="24"/>
          <w:szCs w:val="24"/>
        </w:rPr>
        <w:lastRenderedPageBreak/>
        <w:t>art. 3</w:t>
      </w:r>
      <w:r w:rsidR="00737345" w:rsidRPr="009A3C86">
        <w:rPr>
          <w:rFonts w:ascii="Times New Roman" w:hAnsi="Times New Roman"/>
          <w:sz w:val="24"/>
          <w:szCs w:val="24"/>
        </w:rPr>
        <w:t>3</w:t>
      </w:r>
      <w:r w:rsidRPr="009A3C86">
        <w:rPr>
          <w:rFonts w:ascii="Times New Roman" w:hAnsi="Times New Roman"/>
          <w:sz w:val="24"/>
          <w:szCs w:val="24"/>
        </w:rPr>
        <w:t xml:space="preserve"> § 1 lub środków ograniczających umowne korzyści. Regulacja ta ma dodatkowo skłonić podatników do odstąpienia od przeprowadzania agresywnych optymalizacji podatkowych, jeżeli ich działania zostały już wcześniej zakwestionowane przez organ podatkowy. W szczególności jednak ta przesłanka skierowana jest do podatników, którzy stosują schematy optymalizacyjne dające korzyści podatkowe uzyskiwane przez wiele lat. Regulacja ta ma zachęcić podatników, którzy otrzymali już ostateczną decyzję kwestionującą działania optymalizacyjne, do samodzielnej rezygnacji z korzyści podatkowych uzyskiwanych w ten sam sposób w kolejnych okresach rozliczeniowych – już bez przeprowadzania postępowania podatkowego na podstawie i bez określenia dodatkowego zobowiązania podatkowego. Kwestia schematów optymalizacyjnych dających korzyść podatkową przez wiele okresów rozliczeniowych jest kolejnym powodem wprowadzenia instytucji dodatkowego zobowiązania podatkowego w przypadku unikania opodatkowania. W obecnym stanie prawnym odwrócenie skutków takich schematów optymalizacyjnych wymaga bowiem interwencji wyspecjalizowanego organu podatkowego w każdym okresie rozliczeniowym, zaś strona postępowania, z uwagi na ograniczony efekt prewencyjny przepisów zawartych w dziale IIIa Op, nie posiada interesu ekonomicznego do samodzielnej rezygnacji z korzyści podatkowej związanej z unikaniem opodatkowania.</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Projektodawca przewidział ponadto potrojenie stawki, o której mowa </w:t>
      </w:r>
      <w:r w:rsidRPr="009A3C86">
        <w:rPr>
          <w:rFonts w:ascii="Times New Roman" w:hAnsi="Times New Roman"/>
          <w:b/>
          <w:sz w:val="24"/>
          <w:szCs w:val="24"/>
        </w:rPr>
        <w:t>w art. 14</w:t>
      </w:r>
      <w:r w:rsidR="00E57419" w:rsidRPr="009A3C86">
        <w:rPr>
          <w:rFonts w:ascii="Times New Roman" w:hAnsi="Times New Roman"/>
          <w:b/>
          <w:sz w:val="24"/>
          <w:szCs w:val="24"/>
        </w:rPr>
        <w:t>4</w:t>
      </w:r>
      <w:r w:rsidRPr="009A3C86">
        <w:rPr>
          <w:rFonts w:ascii="Times New Roman" w:hAnsi="Times New Roman"/>
          <w:b/>
          <w:sz w:val="24"/>
          <w:szCs w:val="24"/>
        </w:rPr>
        <w:t xml:space="preserve"> § 1</w:t>
      </w:r>
      <w:r w:rsidRPr="009A3C86">
        <w:rPr>
          <w:rFonts w:ascii="Times New Roman" w:hAnsi="Times New Roman"/>
          <w:sz w:val="24"/>
          <w:szCs w:val="24"/>
        </w:rPr>
        <w:t>, w przypadku, gdy:</w:t>
      </w:r>
    </w:p>
    <w:p w:rsidR="000E3AC9" w:rsidRPr="009A3C86" w:rsidRDefault="00DD0C1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r w:rsidR="000E3AC9" w:rsidRPr="009A3C86">
        <w:rPr>
          <w:rFonts w:ascii="Times New Roman" w:hAnsi="Times New Roman"/>
          <w:sz w:val="24"/>
          <w:szCs w:val="24"/>
        </w:rPr>
        <w:t>podstawa do ustalenia dodatkowego zobowiązania podatkowego przekracza 15 000 000 zł – w zakresie nadwyżki ponad tę kwotę;</w:t>
      </w:r>
    </w:p>
    <w:p w:rsidR="000E3AC9" w:rsidRPr="009A3C86" w:rsidRDefault="00DD0C1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 </w:t>
      </w:r>
      <w:r w:rsidR="000E3AC9" w:rsidRPr="009A3C86">
        <w:rPr>
          <w:rFonts w:ascii="Times New Roman" w:hAnsi="Times New Roman"/>
          <w:sz w:val="24"/>
          <w:szCs w:val="24"/>
        </w:rPr>
        <w:t xml:space="preserve">strona nie przedłożyła organowi podatkowemu dokumentacji podatkowej, o której mowa w przepisach oddziału 3 rozdziału 4b ustawy z dnia 26 lipca 1991 r. o podatku dochodowym od osób fizycznych lub oddziału 3 rozdziału 1a ustawy z dnia 15 lutego 1992 r. o podatku dochodowym od osób prawnych – w zakresie tej części podstawy ustalenia dodatkowego zobowiązania podatkowego, która wynika z zastosowania przepisów </w:t>
      </w:r>
      <w:r w:rsidRPr="009A3C86">
        <w:rPr>
          <w:rFonts w:ascii="Times New Roman" w:hAnsi="Times New Roman"/>
          <w:sz w:val="24"/>
          <w:szCs w:val="24"/>
        </w:rPr>
        <w:t xml:space="preserve">rozdziału 4b oddziału 2 ustawy z dnia 26 lipca 1991 r. o podatku dochodowym od osób fizycznych oraz rozdziału 1a oddziału 2 ustawy z dnia 15 lutego 1992 r. o podatku dochodowym od osób prawnych </w:t>
      </w:r>
      <w:r w:rsidR="000E3AC9" w:rsidRPr="009A3C86">
        <w:rPr>
          <w:rFonts w:ascii="Times New Roman" w:hAnsi="Times New Roman"/>
          <w:sz w:val="24"/>
          <w:szCs w:val="24"/>
        </w:rPr>
        <w:t>i dotyczy transakcji, dla której nie przedłożono dokumentacji podatkowej.</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Potrojenie stawki jest celowe z uwagi na penalizację zachowań najbardziej ryzykownych z punktu widzenia potencjalnych strat w budżecie państwa. Zaznaczyć należy, że schematy optymalizacyjne dające znaczące korzyści podatkowe (liczone w mln zł) będą wiązać się z lepszym przygotowaniem i poniesieniem przez podatników lub płatników większych nakładów </w:t>
      </w:r>
      <w:r w:rsidRPr="009A3C86">
        <w:rPr>
          <w:rFonts w:ascii="Times New Roman" w:hAnsi="Times New Roman"/>
          <w:sz w:val="24"/>
          <w:szCs w:val="24"/>
        </w:rPr>
        <w:lastRenderedPageBreak/>
        <w:t xml:space="preserve">na ich implementację. Podatnicy decydujący się na wdrożenie takich schematów powinni w sposób szczególny być świadomi ryzyka ich zakwestionowania. </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Należy podkreślić, że projektowane stawki sankcyjne, które będą mogły mieć zastosowanie do spraw z zakresu cen transferowych nie są wyższe niż aktualnie obowiązująca stawka sankcyjna dla takich spraw tj. 50% wartości doszacowanego dochodu. Co więcej, stawka projektowana dla nadużyć o mniej istotnym znaczeniu dla budżetu państwa będzie znacząco niższa niż stawka obecnie obowiązująca. Natomiast stawka projektowana, która będzie miała zastosowanie dla nierynkowych transakcji o dużej wartości, dla których podatnik uchyli się od przedstawienia dokumentacji cen transferowych, pozostanie na poziomie zbliżonym do obecnie obowiązującej.</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Obniżenie stawki</w:t>
      </w:r>
      <w:r w:rsidR="00E77F6D" w:rsidRPr="009A3C86">
        <w:rPr>
          <w:rFonts w:ascii="Times New Roman" w:hAnsi="Times New Roman"/>
          <w:sz w:val="24"/>
          <w:szCs w:val="24"/>
        </w:rPr>
        <w:t>.</w:t>
      </w:r>
    </w:p>
    <w:p w:rsidR="000E3AC9" w:rsidRPr="009A3C86" w:rsidRDefault="000E3AC9" w:rsidP="000E3AC9">
      <w:pPr>
        <w:spacing w:after="0" w:line="360" w:lineRule="auto"/>
        <w:jc w:val="both"/>
        <w:rPr>
          <w:rFonts w:ascii="Times New Roman" w:hAnsi="Times New Roman"/>
          <w:sz w:val="24"/>
          <w:szCs w:val="24"/>
        </w:rPr>
      </w:pPr>
      <w:r w:rsidRPr="009A3C86">
        <w:rPr>
          <w:rFonts w:ascii="Times New Roman" w:hAnsi="Times New Roman"/>
          <w:sz w:val="24"/>
          <w:szCs w:val="24"/>
        </w:rPr>
        <w:t xml:space="preserve">Projektodawca przewidział obniżenie o połowę stawek wskazanych w </w:t>
      </w:r>
      <w:r w:rsidRPr="009A3C86">
        <w:rPr>
          <w:rFonts w:ascii="Times New Roman" w:hAnsi="Times New Roman"/>
          <w:b/>
          <w:sz w:val="24"/>
          <w:szCs w:val="24"/>
        </w:rPr>
        <w:t>art. 14</w:t>
      </w:r>
      <w:r w:rsidR="00E57419" w:rsidRPr="009A3C86">
        <w:rPr>
          <w:rFonts w:ascii="Times New Roman" w:hAnsi="Times New Roman"/>
          <w:b/>
          <w:sz w:val="24"/>
          <w:szCs w:val="24"/>
        </w:rPr>
        <w:t>4</w:t>
      </w:r>
      <w:r w:rsidRPr="009A3C86">
        <w:rPr>
          <w:rFonts w:ascii="Times New Roman" w:hAnsi="Times New Roman"/>
          <w:b/>
          <w:sz w:val="24"/>
          <w:szCs w:val="24"/>
        </w:rPr>
        <w:t xml:space="preserve"> i art. 14</w:t>
      </w:r>
      <w:r w:rsidR="00E57419" w:rsidRPr="009A3C86">
        <w:rPr>
          <w:rFonts w:ascii="Times New Roman" w:hAnsi="Times New Roman"/>
          <w:b/>
          <w:sz w:val="24"/>
          <w:szCs w:val="24"/>
        </w:rPr>
        <w:t>5</w:t>
      </w:r>
      <w:r w:rsidRPr="009A3C86">
        <w:rPr>
          <w:rFonts w:ascii="Times New Roman" w:hAnsi="Times New Roman"/>
          <w:sz w:val="24"/>
          <w:szCs w:val="24"/>
        </w:rPr>
        <w:t xml:space="preserve"> w przypadku wydania decyzji na podstawie art. 3</w:t>
      </w:r>
      <w:r w:rsidR="00737345" w:rsidRPr="009A3C86">
        <w:rPr>
          <w:rFonts w:ascii="Times New Roman" w:hAnsi="Times New Roman"/>
          <w:sz w:val="24"/>
          <w:szCs w:val="24"/>
        </w:rPr>
        <w:t>3</w:t>
      </w:r>
      <w:r w:rsidRPr="009A3C86">
        <w:rPr>
          <w:rFonts w:ascii="Times New Roman" w:hAnsi="Times New Roman"/>
          <w:sz w:val="24"/>
          <w:szCs w:val="24"/>
        </w:rPr>
        <w:t xml:space="preserve"> § 7 – odnośnie</w:t>
      </w:r>
      <w:r w:rsidR="00E77F6D" w:rsidRPr="009A3C86">
        <w:rPr>
          <w:rFonts w:ascii="Times New Roman" w:hAnsi="Times New Roman"/>
          <w:sz w:val="24"/>
          <w:szCs w:val="24"/>
        </w:rPr>
        <w:t xml:space="preserve"> do</w:t>
      </w:r>
      <w:r w:rsidRPr="009A3C86">
        <w:rPr>
          <w:rFonts w:ascii="Times New Roman" w:hAnsi="Times New Roman"/>
          <w:sz w:val="24"/>
          <w:szCs w:val="24"/>
        </w:rPr>
        <w:t xml:space="preserve"> podstawy ustalenia dodatkowego zobowiązania podatkowego, która związana jest z cofnięciem skutków unikania opodatkowania określonym w art. 1</w:t>
      </w:r>
      <w:r w:rsidR="00E57419" w:rsidRPr="009A3C86">
        <w:rPr>
          <w:rFonts w:ascii="Times New Roman" w:hAnsi="Times New Roman"/>
          <w:sz w:val="24"/>
          <w:szCs w:val="24"/>
        </w:rPr>
        <w:t>40</w:t>
      </w:r>
      <w:r w:rsidRPr="009A3C86">
        <w:rPr>
          <w:rFonts w:ascii="Times New Roman" w:hAnsi="Times New Roman"/>
          <w:sz w:val="24"/>
          <w:szCs w:val="24"/>
        </w:rPr>
        <w:t xml:space="preserve"> § 4. Proponuje się objęcie obniżoną stawką dodatkowego zobowiązania podatkowego tych korzyści podatkowych, które będą przedmiotem korekty deklaracji dokonanej przez stronę postępowania na podstawie art. 1</w:t>
      </w:r>
      <w:r w:rsidR="00E57419" w:rsidRPr="009A3C86">
        <w:rPr>
          <w:rFonts w:ascii="Times New Roman" w:hAnsi="Times New Roman"/>
          <w:sz w:val="24"/>
          <w:szCs w:val="24"/>
        </w:rPr>
        <w:t>40</w:t>
      </w:r>
      <w:r w:rsidRPr="009A3C86">
        <w:rPr>
          <w:rFonts w:ascii="Times New Roman" w:hAnsi="Times New Roman"/>
          <w:sz w:val="24"/>
          <w:szCs w:val="24"/>
        </w:rPr>
        <w:t xml:space="preserve"> § 4 Ordynacji podatkowej, z zastrzeżeniem art. 38</w:t>
      </w:r>
      <w:r w:rsidR="00E77F6D" w:rsidRPr="009A3C86">
        <w:rPr>
          <w:rFonts w:ascii="Times New Roman" w:hAnsi="Times New Roman"/>
          <w:sz w:val="24"/>
          <w:szCs w:val="24"/>
        </w:rPr>
        <w:t>9</w:t>
      </w:r>
      <w:r w:rsidRPr="009A3C86">
        <w:rPr>
          <w:rFonts w:ascii="Times New Roman" w:hAnsi="Times New Roman"/>
          <w:sz w:val="24"/>
          <w:szCs w:val="24"/>
        </w:rPr>
        <w:t xml:space="preserve"> § 4. W tej sytuacji, organ podatkowy w wydanej decyzji stwierdzi zaistnienie unikania opodatkowania w wysokości określonej w przedmiotowej korekcie deklaracji, która będzie uwzględniać treść doręczonego zawiadomienia i ustali dodatkowe zobowiązanie podatkowe w odniesieniu do tej korzyści. Obniżenie stawek nawiązuje do rozwiązań w Ordynacji podatkowej, polegających na obniżeniu stawek odsetek za zwłokę w przypadku złożenia prawnie skutecznej korekty deklaracji nie później niż w terminie 6 miesięcy od dnia upływu terminu do złożenia deklaracji i zapłaty zaległości w całości w ciągu 7 dni od dnia złożenia korekty (art. 1</w:t>
      </w:r>
      <w:r w:rsidR="00D96072" w:rsidRPr="009A3C86">
        <w:rPr>
          <w:rFonts w:ascii="Times New Roman" w:hAnsi="Times New Roman"/>
          <w:sz w:val="24"/>
          <w:szCs w:val="24"/>
        </w:rPr>
        <w:t>6</w:t>
      </w:r>
      <w:r w:rsidRPr="009A3C86">
        <w:rPr>
          <w:rFonts w:ascii="Times New Roman" w:hAnsi="Times New Roman"/>
          <w:sz w:val="24"/>
          <w:szCs w:val="24"/>
        </w:rPr>
        <w:t xml:space="preserve">7 § 1 Ordynacji podatkowej). </w:t>
      </w:r>
    </w:p>
    <w:p w:rsidR="00D33613" w:rsidRPr="009A3C86" w:rsidRDefault="00D33613" w:rsidP="00D72E74">
      <w:pPr>
        <w:tabs>
          <w:tab w:val="num" w:pos="720"/>
        </w:tabs>
        <w:spacing w:before="120" w:after="0" w:line="360" w:lineRule="auto"/>
        <w:jc w:val="both"/>
        <w:outlineLvl w:val="2"/>
        <w:rPr>
          <w:rFonts w:ascii="Times New Roman" w:eastAsia="Times New Roman" w:hAnsi="Times New Roman"/>
          <w:b/>
          <w:bCs/>
          <w:sz w:val="24"/>
          <w:szCs w:val="24"/>
        </w:rPr>
      </w:pPr>
      <w:r w:rsidRPr="009A3C86">
        <w:rPr>
          <w:rFonts w:ascii="Times New Roman" w:eastAsia="Times New Roman" w:hAnsi="Times New Roman"/>
          <w:b/>
          <w:bCs/>
          <w:sz w:val="24"/>
          <w:szCs w:val="24"/>
        </w:rPr>
        <w:t>Rozdział 5. Wygasanie zobowiązań podatkowych</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Obecnie przepisy o.p. regulując sposoby wygasania zobowiązań podatkowych, adresują je zasadniczo do podatników z zastrzeżeniem, że w niektórych przypadkach znajdują one zastosowanie również do innych zobowiązanych (płatników, inkasentów, osób trzecich). W projektowanych przepisach przyjęto zasadę odmienną. Zasadniczo, z uwzględnieniem specyfiki poszczególnych kategorii podmiotów zobowiązanych w rozumieniu art. 13 pkt 23, ich zobowiązania będą mogły wygasnąć w ten sam sposób jak zobowiązanie podatkowe podatnika (</w:t>
      </w:r>
      <w:r w:rsidRPr="009A3C86">
        <w:rPr>
          <w:rFonts w:ascii="Times New Roman" w:eastAsia="Times New Roman" w:hAnsi="Times New Roman"/>
          <w:b/>
          <w:sz w:val="24"/>
          <w:szCs w:val="24"/>
        </w:rPr>
        <w:t>art. 1</w:t>
      </w:r>
      <w:r w:rsidR="00D96072" w:rsidRPr="009A3C86">
        <w:rPr>
          <w:rFonts w:ascii="Times New Roman" w:eastAsia="Times New Roman" w:hAnsi="Times New Roman"/>
          <w:b/>
          <w:sz w:val="24"/>
          <w:szCs w:val="24"/>
        </w:rPr>
        <w:t>4</w:t>
      </w:r>
      <w:r w:rsidR="002325C8" w:rsidRPr="009A3C86">
        <w:rPr>
          <w:rFonts w:ascii="Times New Roman" w:eastAsia="Times New Roman" w:hAnsi="Times New Roman"/>
          <w:b/>
          <w:sz w:val="24"/>
          <w:szCs w:val="24"/>
        </w:rPr>
        <w:t>8</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i, z pewnymi wyjątkami, na takich samych zasadach (</w:t>
      </w:r>
      <w:r w:rsidRPr="009A3C86">
        <w:rPr>
          <w:rFonts w:ascii="Times New Roman" w:eastAsia="Times New Roman" w:hAnsi="Times New Roman"/>
          <w:b/>
          <w:sz w:val="24"/>
          <w:szCs w:val="24"/>
        </w:rPr>
        <w:t>art. 1</w:t>
      </w:r>
      <w:r w:rsidR="00FB4F3F" w:rsidRPr="009A3C86">
        <w:rPr>
          <w:rFonts w:ascii="Times New Roman" w:eastAsia="Times New Roman" w:hAnsi="Times New Roman"/>
          <w:b/>
          <w:sz w:val="24"/>
          <w:szCs w:val="24"/>
        </w:rPr>
        <w:t>5</w:t>
      </w:r>
      <w:r w:rsidR="002325C8" w:rsidRPr="009A3C86">
        <w:rPr>
          <w:rFonts w:ascii="Times New Roman" w:eastAsia="Times New Roman" w:hAnsi="Times New Roman"/>
          <w:b/>
          <w:sz w:val="24"/>
          <w:szCs w:val="24"/>
        </w:rPr>
        <w:t>8</w:t>
      </w:r>
      <w:r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lastRenderedPageBreak/>
        <w:t>Zrezygnowano więc z odrębnego uregulowania sposobów wygasania zobowiązań ciążących na płatnikach lub inkasentach.</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Dokonano uporządkowania katalogu sposobów wygasania zobowiązań podatkowych w ten sposób, iż w pierwszej kolejności wskazano na efektywne sposoby wygasania zobowiązań, które powinny być zasadą.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1</w:t>
      </w:r>
      <w:r w:rsidR="00FB4F3F" w:rsidRPr="009A3C86">
        <w:rPr>
          <w:rFonts w:ascii="Times New Roman" w:eastAsia="Times New Roman" w:hAnsi="Times New Roman"/>
          <w:b/>
          <w:sz w:val="24"/>
          <w:szCs w:val="24"/>
        </w:rPr>
        <w:t>4</w:t>
      </w:r>
      <w:r w:rsidR="002325C8" w:rsidRPr="009A3C86">
        <w:rPr>
          <w:rFonts w:ascii="Times New Roman" w:eastAsia="Times New Roman" w:hAnsi="Times New Roman"/>
          <w:b/>
          <w:sz w:val="24"/>
          <w:szCs w:val="24"/>
        </w:rPr>
        <w:t>8</w:t>
      </w:r>
      <w:r w:rsidRPr="009A3C86">
        <w:rPr>
          <w:rFonts w:ascii="Times New Roman" w:eastAsia="Times New Roman" w:hAnsi="Times New Roman"/>
          <w:b/>
          <w:sz w:val="24"/>
          <w:szCs w:val="24"/>
        </w:rPr>
        <w:t xml:space="preserve"> § 1 pkt 6</w:t>
      </w:r>
      <w:r w:rsidRPr="009A3C86">
        <w:rPr>
          <w:rFonts w:ascii="Times New Roman" w:eastAsia="Times New Roman" w:hAnsi="Times New Roman"/>
          <w:sz w:val="24"/>
          <w:szCs w:val="24"/>
        </w:rPr>
        <w:t xml:space="preserve"> ograniczono wygasanie zobowiązań podatkowych do sytuacji przejęcia w postępowaniu egzekucyjnym nieruchomości, albowiem ustawa egzekucyjna nie przewiduje możliwości przejęcia innych praw majątkowych.</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t>Art. 1</w:t>
      </w:r>
      <w:r w:rsidR="00FB4F3F" w:rsidRPr="009A3C86">
        <w:rPr>
          <w:rFonts w:ascii="Times New Roman" w:eastAsia="Times New Roman" w:hAnsi="Times New Roman"/>
          <w:b/>
          <w:sz w:val="24"/>
          <w:szCs w:val="24"/>
        </w:rPr>
        <w:t>4</w:t>
      </w:r>
      <w:r w:rsidR="002325C8" w:rsidRPr="009A3C86">
        <w:rPr>
          <w:rFonts w:ascii="Times New Roman" w:eastAsia="Times New Roman" w:hAnsi="Times New Roman"/>
          <w:b/>
          <w:sz w:val="24"/>
          <w:szCs w:val="24"/>
        </w:rPr>
        <w:t>8</w:t>
      </w:r>
      <w:r w:rsidRPr="009A3C86">
        <w:rPr>
          <w:rFonts w:ascii="Times New Roman" w:eastAsia="Times New Roman" w:hAnsi="Times New Roman"/>
          <w:b/>
          <w:sz w:val="24"/>
          <w:szCs w:val="24"/>
        </w:rPr>
        <w:t xml:space="preserve"> § 1 pkt 9</w:t>
      </w:r>
      <w:r w:rsidRPr="009A3C86">
        <w:rPr>
          <w:rFonts w:ascii="Times New Roman" w:eastAsia="Times New Roman" w:hAnsi="Times New Roman"/>
          <w:sz w:val="24"/>
          <w:szCs w:val="24"/>
        </w:rPr>
        <w:t xml:space="preserve"> uwzględnia, obok zwolnienia związanego z zastosowaniem się do interpretacji przepisów prawa podatkowego (art. 5</w:t>
      </w:r>
      <w:r w:rsidR="00737345" w:rsidRPr="009A3C86">
        <w:rPr>
          <w:rFonts w:ascii="Times New Roman" w:eastAsia="Times New Roman" w:hAnsi="Times New Roman"/>
          <w:sz w:val="24"/>
          <w:szCs w:val="24"/>
        </w:rPr>
        <w:t>7</w:t>
      </w:r>
      <w:r w:rsidR="002325C8" w:rsidRPr="009A3C86">
        <w:rPr>
          <w:rFonts w:ascii="Times New Roman" w:eastAsia="Times New Roman" w:hAnsi="Times New Roman"/>
          <w:sz w:val="24"/>
          <w:szCs w:val="24"/>
        </w:rPr>
        <w:t>6</w:t>
      </w:r>
      <w:r w:rsidRPr="009A3C86">
        <w:rPr>
          <w:rFonts w:ascii="Times New Roman" w:eastAsia="Times New Roman" w:hAnsi="Times New Roman"/>
          <w:sz w:val="24"/>
          <w:szCs w:val="24"/>
        </w:rPr>
        <w:t>), inne przypadki zwolnień wynikające z przepisów nowej ordynacji podatkowej (art. 4</w:t>
      </w:r>
      <w:r w:rsidR="002325C8" w:rsidRPr="009A3C86">
        <w:rPr>
          <w:rFonts w:ascii="Times New Roman" w:eastAsia="Times New Roman" w:hAnsi="Times New Roman"/>
          <w:sz w:val="24"/>
          <w:szCs w:val="24"/>
        </w:rPr>
        <w:t>70</w:t>
      </w:r>
      <w:r w:rsidRPr="009A3C86">
        <w:rPr>
          <w:rFonts w:ascii="Times New Roman" w:eastAsia="Times New Roman" w:hAnsi="Times New Roman"/>
          <w:sz w:val="24"/>
          <w:szCs w:val="24"/>
        </w:rPr>
        <w:t xml:space="preserve"> § 3 i 4, art. 4</w:t>
      </w:r>
      <w:r w:rsidR="002325C8" w:rsidRPr="009A3C86">
        <w:rPr>
          <w:rFonts w:ascii="Times New Roman" w:eastAsia="Times New Roman" w:hAnsi="Times New Roman"/>
          <w:sz w:val="24"/>
          <w:szCs w:val="24"/>
        </w:rPr>
        <w:t>93</w:t>
      </w:r>
      <w:r w:rsidRPr="009A3C86">
        <w:rPr>
          <w:rFonts w:ascii="Times New Roman" w:eastAsia="Times New Roman" w:hAnsi="Times New Roman"/>
          <w:sz w:val="24"/>
          <w:szCs w:val="24"/>
        </w:rPr>
        <w:t xml:space="preserve"> § 3, art. 4</w:t>
      </w:r>
      <w:r w:rsidR="00737345" w:rsidRPr="009A3C86">
        <w:rPr>
          <w:rFonts w:ascii="Times New Roman" w:eastAsia="Times New Roman" w:hAnsi="Times New Roman"/>
          <w:sz w:val="24"/>
          <w:szCs w:val="24"/>
        </w:rPr>
        <w:t>9</w:t>
      </w:r>
      <w:r w:rsidR="002325C8" w:rsidRPr="009A3C86">
        <w:rPr>
          <w:rFonts w:ascii="Times New Roman" w:eastAsia="Times New Roman" w:hAnsi="Times New Roman"/>
          <w:sz w:val="24"/>
          <w:szCs w:val="24"/>
        </w:rPr>
        <w:t>8</w:t>
      </w:r>
      <w:r w:rsidRPr="009A3C86">
        <w:rPr>
          <w:rFonts w:ascii="Times New Roman" w:eastAsia="Times New Roman" w:hAnsi="Times New Roman"/>
          <w:sz w:val="24"/>
          <w:szCs w:val="24"/>
        </w:rPr>
        <w:t xml:space="preserve"> § 3, art. </w:t>
      </w:r>
      <w:r w:rsidR="002325C8" w:rsidRPr="009A3C86">
        <w:rPr>
          <w:rFonts w:ascii="Times New Roman" w:eastAsia="Times New Roman" w:hAnsi="Times New Roman"/>
          <w:sz w:val="24"/>
          <w:szCs w:val="24"/>
        </w:rPr>
        <w:t>505</w:t>
      </w:r>
      <w:r w:rsidRPr="009A3C86">
        <w:rPr>
          <w:rFonts w:ascii="Times New Roman" w:eastAsia="Times New Roman" w:hAnsi="Times New Roman"/>
          <w:sz w:val="24"/>
          <w:szCs w:val="24"/>
        </w:rPr>
        <w:t xml:space="preserve"> § 4</w:t>
      </w:r>
      <w:r w:rsidR="00E77F6D" w:rsidRPr="009A3C86">
        <w:rPr>
          <w:rFonts w:ascii="Times New Roman" w:eastAsia="Times New Roman" w:hAnsi="Times New Roman"/>
          <w:sz w:val="24"/>
          <w:szCs w:val="24"/>
        </w:rPr>
        <w:t>, art. 576</w:t>
      </w:r>
      <w:r w:rsidRPr="009A3C86">
        <w:rPr>
          <w:rFonts w:ascii="Times New Roman" w:eastAsia="Times New Roman" w:hAnsi="Times New Roman"/>
          <w:sz w:val="24"/>
          <w:szCs w:val="24"/>
        </w:rPr>
        <w:t xml:space="preserv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projektowanym </w:t>
      </w:r>
      <w:r w:rsidRPr="009A3C86">
        <w:rPr>
          <w:rFonts w:ascii="Times New Roman" w:eastAsia="Times New Roman" w:hAnsi="Times New Roman"/>
          <w:b/>
          <w:sz w:val="24"/>
          <w:szCs w:val="24"/>
        </w:rPr>
        <w:t>art. 1</w:t>
      </w:r>
      <w:r w:rsidR="00FB4F3F" w:rsidRPr="009A3C86">
        <w:rPr>
          <w:rFonts w:ascii="Times New Roman" w:eastAsia="Times New Roman" w:hAnsi="Times New Roman"/>
          <w:b/>
          <w:sz w:val="24"/>
          <w:szCs w:val="24"/>
        </w:rPr>
        <w:t>4</w:t>
      </w:r>
      <w:r w:rsidR="002325C8" w:rsidRPr="009A3C86">
        <w:rPr>
          <w:rFonts w:ascii="Times New Roman" w:eastAsia="Times New Roman" w:hAnsi="Times New Roman"/>
          <w:b/>
          <w:sz w:val="24"/>
          <w:szCs w:val="24"/>
        </w:rPr>
        <w:t>8</w:t>
      </w:r>
      <w:r w:rsidRPr="009A3C86">
        <w:rPr>
          <w:rFonts w:ascii="Times New Roman" w:eastAsia="Times New Roman" w:hAnsi="Times New Roman"/>
          <w:b/>
          <w:sz w:val="24"/>
          <w:szCs w:val="24"/>
        </w:rPr>
        <w:t xml:space="preserve"> § 1 pkt 11</w:t>
      </w:r>
      <w:r w:rsidRPr="009A3C86">
        <w:rPr>
          <w:rFonts w:ascii="Times New Roman" w:eastAsia="Times New Roman" w:hAnsi="Times New Roman"/>
          <w:sz w:val="24"/>
          <w:szCs w:val="24"/>
        </w:rPr>
        <w:t xml:space="preserve"> zastrzeżono, iż wygaśnięcie zobowiązania podatkowego następuje poprzez przedawnienie poboru. Regulacja ta jest konsekwencją wyróżnienia w projektowanych przepisach instytucji przedawnienia wymiaru oraz przedawnienia poboru. Stosownie do </w:t>
      </w:r>
      <w:r w:rsidRPr="009A3C86">
        <w:rPr>
          <w:rFonts w:ascii="Times New Roman" w:eastAsia="Times New Roman" w:hAnsi="Times New Roman"/>
          <w:b/>
          <w:sz w:val="24"/>
          <w:szCs w:val="24"/>
        </w:rPr>
        <w:t>art. 1</w:t>
      </w:r>
      <w:r w:rsidR="002325C8" w:rsidRPr="009A3C86">
        <w:rPr>
          <w:rFonts w:ascii="Times New Roman" w:eastAsia="Times New Roman" w:hAnsi="Times New Roman"/>
          <w:b/>
          <w:sz w:val="24"/>
          <w:szCs w:val="24"/>
        </w:rPr>
        <w:t>79</w:t>
      </w:r>
      <w:r w:rsidRPr="009A3C86">
        <w:rPr>
          <w:rFonts w:ascii="Times New Roman" w:eastAsia="Times New Roman" w:hAnsi="Times New Roman"/>
          <w:sz w:val="24"/>
          <w:szCs w:val="24"/>
        </w:rPr>
        <w:t xml:space="preserve"> wygaśnięcie zobowiązania podatkowego jest konsekwencją przedawnienia poboru.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Ponadto </w:t>
      </w:r>
      <w:r w:rsidRPr="009A3C86">
        <w:rPr>
          <w:rFonts w:ascii="Times New Roman" w:eastAsia="Times New Roman" w:hAnsi="Times New Roman"/>
          <w:b/>
          <w:sz w:val="24"/>
          <w:szCs w:val="24"/>
        </w:rPr>
        <w:t>w pkt 12</w:t>
      </w:r>
      <w:r w:rsidRPr="009A3C86">
        <w:rPr>
          <w:rFonts w:ascii="Times New Roman" w:eastAsia="Times New Roman" w:hAnsi="Times New Roman"/>
          <w:sz w:val="24"/>
          <w:szCs w:val="24"/>
        </w:rPr>
        <w:t xml:space="preserve"> wskazuje się na inne, określone w odrębnych przepisach sposoby wygasania zobowiązań podatkowych. Przykładem takiej sytuacji jest wygaśnięcie zobowiązania podatkowego w przypadku orzeczenia przepadku przedmiotów, ściągnięcia ich równowartości pieniężnej lub obowiązku uiszczenia ich równowartości pieniężnej na podstawie art. 15 § 1-2 ustawy z dnia 10 września 1999 r. - Kodeks karny skarbowy.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Przepis § 1 stosuje się odpowiednio do innych zobowiązanych niż podatnik, w zakresie ich zobowiązań.</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Podstawowym sposobem wygaśnięcia zobowiązania podatkowego jest zapłata. W związku z tym po wskazaniu katalogu przypadków, w jakich zobowiązanie wygasa, w kolejnych przepisach projektowanej ustawy proponuje się zawarcie szczegółowych regulacji związanych z zapłatą.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1</w:t>
      </w:r>
      <w:r w:rsidR="00E77F6D" w:rsidRPr="009A3C86">
        <w:rPr>
          <w:rFonts w:ascii="Times New Roman" w:eastAsia="Times New Roman" w:hAnsi="Times New Roman"/>
          <w:b/>
          <w:sz w:val="24"/>
          <w:szCs w:val="24"/>
        </w:rPr>
        <w:t>49</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wskazuje się formy zapłaty podatku, które pozostają bez zmian.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4</w:t>
      </w:r>
      <w:r w:rsidR="002325C8" w:rsidRPr="009A3C86">
        <w:rPr>
          <w:rFonts w:ascii="Times New Roman" w:eastAsia="Times New Roman" w:hAnsi="Times New Roman"/>
          <w:b/>
          <w:sz w:val="24"/>
          <w:szCs w:val="24"/>
        </w:rPr>
        <w:t>9</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nawiązuje do wynikających z przepisów szczególnych uprawnień organów stanowiących jednostek samorządu terytorialnego do wprowadzania poboru podatku w drodze inkasa. Zastrzega się przy tym, celem uniknięcia wątpliwości interpretacyjnych, iż zarządzenie poboru podatku w drodze inkasa nie wyłącza uprawnienia podatnika do wykonania zobowiązania w innych formach, określonych w art. 1</w:t>
      </w:r>
      <w:r w:rsidR="004F27E1" w:rsidRPr="009A3C86">
        <w:rPr>
          <w:rFonts w:ascii="Times New Roman" w:eastAsia="Times New Roman" w:hAnsi="Times New Roman"/>
          <w:sz w:val="24"/>
          <w:szCs w:val="24"/>
        </w:rPr>
        <w:t>4</w:t>
      </w:r>
      <w:r w:rsidR="00E77F6D" w:rsidRPr="009A3C86">
        <w:rPr>
          <w:rFonts w:ascii="Times New Roman" w:eastAsia="Times New Roman" w:hAnsi="Times New Roman"/>
          <w:sz w:val="24"/>
          <w:szCs w:val="24"/>
        </w:rPr>
        <w:t>9</w:t>
      </w:r>
      <w:r w:rsidRPr="009A3C86">
        <w:rPr>
          <w:rFonts w:ascii="Times New Roman" w:eastAsia="Times New Roman" w:hAnsi="Times New Roman"/>
          <w:sz w:val="24"/>
          <w:szCs w:val="24"/>
        </w:rPr>
        <w:t xml:space="preserve"> § 1.</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3. W </w:t>
      </w:r>
      <w:r w:rsidRPr="009A3C86">
        <w:rPr>
          <w:rFonts w:ascii="Times New Roman" w:eastAsia="Times New Roman" w:hAnsi="Times New Roman"/>
          <w:b/>
          <w:sz w:val="24"/>
          <w:szCs w:val="24"/>
        </w:rPr>
        <w:t>art. 1</w:t>
      </w:r>
      <w:r w:rsidR="002325C8" w:rsidRPr="009A3C86">
        <w:rPr>
          <w:rFonts w:ascii="Times New Roman" w:eastAsia="Times New Roman" w:hAnsi="Times New Roman"/>
          <w:b/>
          <w:sz w:val="24"/>
          <w:szCs w:val="24"/>
        </w:rPr>
        <w:t>50</w:t>
      </w:r>
      <w:r w:rsidRPr="009A3C86">
        <w:rPr>
          <w:rFonts w:ascii="Times New Roman" w:eastAsia="Times New Roman" w:hAnsi="Times New Roman"/>
          <w:sz w:val="24"/>
          <w:szCs w:val="24"/>
        </w:rPr>
        <w:t xml:space="preserve"> proponuje się rozszerzenie zasady wynikającej aktualnie z art. 62b o.p. Zapłata podatku będzie mogła w szerokim zakresie być dokonywana przez inne podmioty niż podatników</w:t>
      </w:r>
      <w:r w:rsidR="00AC0E33"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Proponowane rozwiązanie - wobec objęcia w słowniczku ustawy pojęciem „podatek” również opłat oraz niepodatkowych należności budżetowych, a także poprzez odpowiednie odesłanie w art. 1</w:t>
      </w:r>
      <w:r w:rsidR="004F27E1" w:rsidRPr="009A3C86">
        <w:rPr>
          <w:rFonts w:ascii="Times New Roman" w:eastAsia="Times New Roman" w:hAnsi="Times New Roman"/>
          <w:sz w:val="24"/>
          <w:szCs w:val="24"/>
        </w:rPr>
        <w:t>5</w:t>
      </w:r>
      <w:r w:rsidR="002325C8" w:rsidRPr="009A3C86">
        <w:rPr>
          <w:rFonts w:ascii="Times New Roman" w:eastAsia="Times New Roman" w:hAnsi="Times New Roman"/>
          <w:sz w:val="24"/>
          <w:szCs w:val="24"/>
        </w:rPr>
        <w:t>8</w:t>
      </w:r>
      <w:r w:rsidRPr="009A3C86">
        <w:rPr>
          <w:rFonts w:ascii="Times New Roman" w:eastAsia="Times New Roman" w:hAnsi="Times New Roman"/>
          <w:sz w:val="24"/>
          <w:szCs w:val="24"/>
        </w:rPr>
        <w:t xml:space="preserve"> - będzie odnosiło się również do wpłat dokonywanych przez płatników, inkasentów, osoby trzecie oraz następców prawnych, podatku niezapłaconego w terminie płatności (zaległości podatkowej), a także do świadczenia akcesoryjnego, jakim są odsetki za zwłokę.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analizowanej regulacji przyjęto zasadę</w:t>
      </w:r>
      <w:r w:rsidR="00AC0E33"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wedle której w przypadku zapłaty podatku przez inny podmiot niż podatnika, przyjmuje się, że wpłata pochodzi ze środków podatnika a nie ze środków podmiotu dokonującego wpłaty. Rozwiązanie to oznacza, że dokonana wpłata wygasza zobowiązanie podatnika, a zatem i ewentualna nadpłata należna jest podatnikowi a nie podmiotowi, który dokonał za niego wpłaty. Wzajemne rozliczenia pomiędzy wpłacającym a podatnikiem pozostają poza zakresem regulacji ordynacji podatkowej, gdyż opierają się na relacji cywilnoprawnej, w jakiej podmioty te pozostają.</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W projektowanym </w:t>
      </w:r>
      <w:r w:rsidRPr="009A3C86">
        <w:rPr>
          <w:rFonts w:ascii="Times New Roman" w:eastAsia="Times New Roman" w:hAnsi="Times New Roman"/>
          <w:b/>
          <w:sz w:val="24"/>
          <w:szCs w:val="24"/>
        </w:rPr>
        <w:t>art. 15</w:t>
      </w:r>
      <w:r w:rsidR="002325C8" w:rsidRPr="009A3C86">
        <w:rPr>
          <w:rFonts w:ascii="Times New Roman" w:eastAsia="Times New Roman" w:hAnsi="Times New Roman"/>
          <w:b/>
          <w:sz w:val="24"/>
          <w:szCs w:val="24"/>
        </w:rPr>
        <w:t>1</w:t>
      </w:r>
      <w:r w:rsidRPr="009A3C86">
        <w:rPr>
          <w:rFonts w:ascii="Times New Roman" w:eastAsia="Times New Roman" w:hAnsi="Times New Roman"/>
          <w:sz w:val="24"/>
          <w:szCs w:val="24"/>
        </w:rPr>
        <w:t xml:space="preserve">, stanowiącym odpowiednik obowiązującego art. 63 o.p., proponuje się utrzymanie dotychczasowych zasad zaokrąglania. Zmiany w tym zakresie mają jedynie charakter doprecyzowujący. W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proponuje się wskazanie wprost, iż wyłączenie zasad zaokrąglenia odnosi się jedynie do kwot opłat, o których mowa w ustawie z dnia 12 stycznia 1991 r. o podatkach i opłatach lokalnych (miejscowej, uzdrowiskowej, targowej, od posiadania psów, reklamowej). W praktyce kwestia ta nie była oczywista, albowiem obowiązujące regulacje posługują się pojęciem „przepisy o podatkach i opłatach lokalnych”, nie odwołując się wprost do powołanej wyżej ustawy. W konsekwencji zrekonstruowanie normy wynikającej z obowiązującego art. 63 § 2 wymaga sięgnięcia do bliżej niezdefiniowanych przepisów, co stanowiło źródło sygnalizowanych w orzecznictwie sądów administracyjnych wątpliwości</w:t>
      </w:r>
      <w:r w:rsidRPr="009A3C86">
        <w:rPr>
          <w:rFonts w:ascii="Times New Roman" w:eastAsia="Times New Roman" w:hAnsi="Times New Roman"/>
          <w:sz w:val="24"/>
          <w:szCs w:val="24"/>
          <w:vertAlign w:val="superscript"/>
        </w:rPr>
        <w:footnoteReference w:id="209"/>
      </w:r>
      <w:r w:rsidRPr="009A3C86">
        <w:rPr>
          <w:rFonts w:ascii="Times New Roman" w:eastAsia="Times New Roman" w:hAnsi="Times New Roman"/>
          <w:sz w:val="24"/>
          <w:szCs w:val="24"/>
        </w:rPr>
        <w:t xml:space="preserve">. Proponowana zmiana oznacza, że na mocy przepisów ordynacji podatkowej nie będą podlegały zaokrąglaniu kwoty wskazanych wyżej opłat (mając na uwadze ich konstrukcję, wyłączenie zasad zaokrąglania w stosunku do podstawy opodatkowania jest zbędne), co oczywiście nie wyklucza sytuacji, w których na mocy przepisów szczególnych zasada ta może być rozszerzona na inne opłaty (np. opłatę za </w:t>
      </w:r>
      <w:r w:rsidRPr="009A3C86">
        <w:rPr>
          <w:rFonts w:ascii="Times New Roman" w:eastAsia="Times New Roman" w:hAnsi="Times New Roman"/>
          <w:sz w:val="24"/>
          <w:szCs w:val="24"/>
        </w:rPr>
        <w:lastRenderedPageBreak/>
        <w:t xml:space="preserve">gospodarowanie odpadami - </w:t>
      </w:r>
      <w:r w:rsidRPr="009A3C86">
        <w:rPr>
          <w:rFonts w:ascii="Times New Roman" w:eastAsia="Times New Roman" w:hAnsi="Times New Roman"/>
          <w:i/>
          <w:sz w:val="24"/>
          <w:szCs w:val="24"/>
        </w:rPr>
        <w:t>vide</w:t>
      </w:r>
      <w:r w:rsidRPr="009A3C86">
        <w:rPr>
          <w:rFonts w:ascii="Times New Roman" w:eastAsia="Times New Roman" w:hAnsi="Times New Roman"/>
          <w:sz w:val="24"/>
          <w:szCs w:val="24"/>
        </w:rPr>
        <w:t xml:space="preserve"> art. 6q ust. 2 ustawy z dnia 13 września 1996 r. o utrzymaniu czystości i porządku w gminach).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5. Utrzymano obowiązek zapłaty podatków przez określone kategorie podmiotów w formie polecenia przelewu, ale dodatkowo rozszerzono go na inne niż polecenie przelewu instrumenty płatnicze (</w:t>
      </w:r>
      <w:r w:rsidRPr="009A3C86">
        <w:rPr>
          <w:rFonts w:ascii="Times New Roman" w:eastAsia="Times New Roman" w:hAnsi="Times New Roman"/>
          <w:b/>
          <w:sz w:val="24"/>
          <w:szCs w:val="24"/>
        </w:rPr>
        <w:t>art. 15</w:t>
      </w:r>
      <w:r w:rsidR="0089608D" w:rsidRPr="009A3C86">
        <w:rPr>
          <w:rFonts w:ascii="Times New Roman" w:eastAsia="Times New Roman" w:hAnsi="Times New Roman"/>
          <w:b/>
          <w:sz w:val="24"/>
          <w:szCs w:val="24"/>
        </w:rPr>
        <w:t>2</w:t>
      </w:r>
      <w:r w:rsidRPr="009A3C86">
        <w:rPr>
          <w:rFonts w:ascii="Times New Roman" w:eastAsia="Times New Roman" w:hAnsi="Times New Roman"/>
          <w:sz w:val="24"/>
          <w:szCs w:val="24"/>
        </w:rPr>
        <w:t>). Ponadto mając na uwadze, że dokonywanie płatności w formie bezgotówkowej powinno być w obrocie gospodarczym standardem, uznano, że nie znajduje dostatecznego uzasadnienia utrzymywanie wyłączenia z obowiązku zapłaty podatków w tej formie w odniesieniu do mikroprzedsiębiorców. W proponowanym brzmieniu obowiązek zapłaty podatku w formie bezgotówkowej obejmuje więc wszystkie kategorie podatników prowadzących działalność gospodarczą zobowiązanych do prowadzenia ksiąg rachunkowych lub podatkowej księgi przychodów i rozchodów.</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Na mocy zastrzeżenia w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5</w:t>
      </w:r>
      <w:r w:rsidR="0089608D" w:rsidRPr="009A3C86">
        <w:rPr>
          <w:rFonts w:ascii="Times New Roman" w:eastAsia="Times New Roman" w:hAnsi="Times New Roman"/>
          <w:b/>
          <w:sz w:val="24"/>
          <w:szCs w:val="24"/>
        </w:rPr>
        <w:t>8</w:t>
      </w:r>
      <w:r w:rsidRPr="009A3C86">
        <w:rPr>
          <w:rFonts w:ascii="Times New Roman" w:eastAsia="Times New Roman" w:hAnsi="Times New Roman"/>
          <w:sz w:val="24"/>
          <w:szCs w:val="24"/>
        </w:rPr>
        <w:t xml:space="preserve"> wskazany obowiązek nie będzie dotyczył innych zobowiązanych niż podatnik oraz płatnik.</w:t>
      </w:r>
    </w:p>
    <w:p w:rsidR="00B654F2" w:rsidRPr="00B654F2" w:rsidRDefault="00D33613" w:rsidP="00B654F2">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6. W projektowanym</w:t>
      </w:r>
      <w:r w:rsidR="00B654F2">
        <w:rPr>
          <w:rFonts w:ascii="Times New Roman" w:eastAsia="Times New Roman" w:hAnsi="Times New Roman"/>
          <w:sz w:val="24"/>
          <w:szCs w:val="24"/>
        </w:rPr>
        <w:t xml:space="preserve"> </w:t>
      </w:r>
      <w:r w:rsidR="00B654F2" w:rsidRPr="00640FA6">
        <w:rPr>
          <w:rFonts w:ascii="Times New Roman" w:eastAsia="Times New Roman" w:hAnsi="Times New Roman"/>
          <w:b/>
          <w:sz w:val="24"/>
          <w:szCs w:val="24"/>
        </w:rPr>
        <w:t>art. 153</w:t>
      </w:r>
      <w:r w:rsidR="00B654F2">
        <w:rPr>
          <w:rFonts w:ascii="Times New Roman" w:eastAsia="Times New Roman" w:hAnsi="Times New Roman"/>
          <w:sz w:val="24"/>
          <w:szCs w:val="24"/>
        </w:rPr>
        <w:t xml:space="preserve"> </w:t>
      </w:r>
      <w:r w:rsidR="00B654F2" w:rsidRPr="00B654F2">
        <w:rPr>
          <w:rFonts w:ascii="Times New Roman" w:eastAsia="Times New Roman" w:hAnsi="Times New Roman"/>
          <w:sz w:val="24"/>
          <w:szCs w:val="24"/>
        </w:rPr>
        <w:t xml:space="preserve">§ 1-3 wprowadzono regulację dotyczącą indywidualnego rachunku podatkowego. Zgodnie z projektowanym art. </w:t>
      </w:r>
      <w:r w:rsidR="00B654F2">
        <w:rPr>
          <w:rFonts w:ascii="Times New Roman" w:eastAsia="Times New Roman" w:hAnsi="Times New Roman"/>
          <w:sz w:val="24"/>
          <w:szCs w:val="24"/>
        </w:rPr>
        <w:t>153</w:t>
      </w:r>
      <w:r w:rsidR="00B654F2" w:rsidRPr="00B654F2">
        <w:rPr>
          <w:rFonts w:ascii="Times New Roman" w:eastAsia="Times New Roman" w:hAnsi="Times New Roman"/>
          <w:sz w:val="24"/>
          <w:szCs w:val="24"/>
        </w:rPr>
        <w:t xml:space="preserve"> podatnikowi oraz płatnikowi zostanie udostępniony indywidualny rachunek podatkowy, za pomocą którego będą dokonywane wpłaty należności z tytułu podatku dochodowego od osób fizycznych, podatku dochodowego od osób prawnych, podatku od towarów i usług oraz niepodatkowych należności stanowiących dochód budżetu państwa. W projekcie wskazano także, że numer indywidualnego rachunku podatkowego będzie udostępniany, po podaniu identyfikatora podatkowego, za pośrednictwem strony internetowej ministra właściwego do spraw finansów publicznych lub przez urząd skarbowy. Aktualnie każdy z urzędów skarbowych posiada odrębne rachunki bankowe właściwe do gromadzenia ww. dochodów. Powstanie zobowiązania w podatkach PIT i CIT powoduje obowiązek dokonania wpłat na różne rachunki bankowe. Zmiana właściwości miejscowej lub rzeczowej podatnika lub płatnika również wiąże się z potrzebą dokonywania płatności na właściwe rachunki bankowe właściwego urzędu skarbowego, co oznacza konieczność każdorazowego wyszukania takiego numeru rachunku. Projektowane rozwiązania przyczynią się do wyeliminowania tych uciążliwości, a także będą skutkować zwiększeniem komfortu podatnika w obszarze dokonywania płatności oraz oszczędnością czasu, a także zminimalizują ryzyko nieprawidłowego przekazania wpłat. </w:t>
      </w:r>
    </w:p>
    <w:p w:rsidR="00B654F2" w:rsidRPr="00B654F2" w:rsidRDefault="00B654F2" w:rsidP="00B654F2">
      <w:pPr>
        <w:spacing w:after="0" w:line="360" w:lineRule="auto"/>
        <w:jc w:val="both"/>
        <w:rPr>
          <w:rFonts w:ascii="Times New Roman" w:eastAsia="Times New Roman" w:hAnsi="Times New Roman"/>
          <w:sz w:val="24"/>
          <w:szCs w:val="24"/>
        </w:rPr>
      </w:pPr>
      <w:r w:rsidRPr="00B654F2">
        <w:rPr>
          <w:rFonts w:ascii="Times New Roman" w:eastAsia="Times New Roman" w:hAnsi="Times New Roman"/>
          <w:sz w:val="24"/>
          <w:szCs w:val="24"/>
        </w:rPr>
        <w:t>W projekcie określono także strukturę numeru indywidualnego rachunku podatkowego, który będzie zawierał sumę kontrolną, numer rozliczeniowy jednostki organizacyjnej banku oraz identyfikator podatkowy. Identyfikacja podatnika lub płatnika w sposób jednoznaczny jest możliwa jedynie po identyfikatorze podatkowym</w:t>
      </w:r>
      <w:r w:rsidRPr="00B654F2">
        <w:rPr>
          <w:rFonts w:ascii="Times New Roman" w:eastAsia="Times New Roman" w:hAnsi="Times New Roman"/>
          <w:b/>
          <w:sz w:val="24"/>
          <w:szCs w:val="24"/>
        </w:rPr>
        <w:t>,</w:t>
      </w:r>
      <w:r w:rsidRPr="00B654F2">
        <w:rPr>
          <w:rFonts w:ascii="Times New Roman" w:eastAsia="Times New Roman" w:hAnsi="Times New Roman"/>
          <w:sz w:val="24"/>
          <w:szCs w:val="24"/>
        </w:rPr>
        <w:t xml:space="preserve"> tj. w przypadku osób fizycznych </w:t>
      </w:r>
      <w:r w:rsidRPr="00B654F2">
        <w:rPr>
          <w:rFonts w:ascii="Times New Roman" w:eastAsia="Times New Roman" w:hAnsi="Times New Roman"/>
          <w:sz w:val="24"/>
          <w:szCs w:val="24"/>
        </w:rPr>
        <w:lastRenderedPageBreak/>
        <w:t>nieprowadzących działalności gospodarczej lub niebędących zarejestrowanymi podatnikami podatku od towarów i usług jest to numer PESEL, a w przypadku pozostałych podmiotów – NIP, stąd konieczność użycia wskazanych numerów w strukturze indywidulanego rachunku podatkowego. Taki sposób identyfikacji wpłat obowiązuje również dziś poprzez dedykowane pola na deklaracjach bądź formatce przelewu podatkowego. Należy podkreślić, że indywidualny rachunek podatkowy będzie wykorzystywany wyłącznie do dokonywania wpłat i identyfikacji podmiotu na poziomie urzędu skarbowego. Indywidualny rachunek podatkowy nie będzie zawierał historii wpłat podatników. Zwroty nadpłat nie będą dokonywane na indywidualne rachunki podatkowe, lecz tak jak dotychczas na rachunki bankowe zgłoszone</w:t>
      </w:r>
      <w:r w:rsidR="00A63ADC">
        <w:rPr>
          <w:rFonts w:ascii="Times New Roman" w:eastAsia="Times New Roman" w:hAnsi="Times New Roman"/>
          <w:sz w:val="24"/>
          <w:szCs w:val="24"/>
        </w:rPr>
        <w:t xml:space="preserve"> przez podmiot</w:t>
      </w:r>
      <w:r w:rsidRPr="00B654F2">
        <w:rPr>
          <w:rFonts w:ascii="Times New Roman" w:eastAsia="Times New Roman" w:hAnsi="Times New Roman"/>
          <w:sz w:val="24"/>
          <w:szCs w:val="24"/>
        </w:rPr>
        <w:t>. W związku z powyższym nie zachodzi wysokie ryzyko naruszenia praw lub wolności osób fizycznych.</w:t>
      </w:r>
    </w:p>
    <w:p w:rsidR="00D33613" w:rsidRPr="009A3C86" w:rsidRDefault="00B654F2" w:rsidP="00D33613">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W </w:t>
      </w:r>
      <w:r w:rsidR="00D33613" w:rsidRPr="009A3C86">
        <w:rPr>
          <w:rFonts w:ascii="Times New Roman" w:eastAsia="Times New Roman" w:hAnsi="Times New Roman"/>
          <w:b/>
          <w:sz w:val="24"/>
          <w:szCs w:val="24"/>
        </w:rPr>
        <w:t>art. 15</w:t>
      </w:r>
      <w:r w:rsidR="0089608D" w:rsidRPr="009A3C86">
        <w:rPr>
          <w:rFonts w:ascii="Times New Roman" w:eastAsia="Times New Roman" w:hAnsi="Times New Roman"/>
          <w:b/>
          <w:sz w:val="24"/>
          <w:szCs w:val="24"/>
        </w:rPr>
        <w:t>3</w:t>
      </w:r>
      <w:r w:rsidR="00D33613" w:rsidRPr="009A3C86">
        <w:rPr>
          <w:rFonts w:ascii="Times New Roman" w:eastAsia="Times New Roman" w:hAnsi="Times New Roman"/>
          <w:sz w:val="24"/>
          <w:szCs w:val="24"/>
        </w:rPr>
        <w:t xml:space="preserve"> </w:t>
      </w:r>
      <w:r>
        <w:rPr>
          <w:rFonts w:ascii="Times New Roman" w:eastAsia="Times New Roman" w:hAnsi="Times New Roman"/>
          <w:sz w:val="24"/>
          <w:szCs w:val="24"/>
        </w:rPr>
        <w:t xml:space="preserve">§ 4 </w:t>
      </w:r>
      <w:r w:rsidR="00D33613" w:rsidRPr="009A3C86">
        <w:rPr>
          <w:rFonts w:ascii="Times New Roman" w:eastAsia="Times New Roman" w:hAnsi="Times New Roman"/>
          <w:sz w:val="24"/>
          <w:szCs w:val="24"/>
        </w:rPr>
        <w:t xml:space="preserve">wprowadzono ogólną zasadę, wedle której zapłata podatków przez każdego z zobowiązanych za pomocą innego instrumentu płatniczego niż polecenie przelewu jest możliwa w siedzibie organu podatkowego, jeżeli organ podatkowy dysponuje odpowiednimi urządzeniami do autoryzacji transakcji płatniczych. Możliwość zapłaty w tej formie w banku, spółdzielczej kasie oszczędnościowo-kredytowej czy w instytucji płatniczej, nie budzi wątpliwości, gdyż z zasady posiadają one wskazane urządzenia.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Wskazana reguła dotyczy wszystkich organów podatkowych, zarówno państwowych, jak i samorządowych. Nie znajduje bowiem uzasadnienia utrzymanie obowiązującego art. 61 o.p., który upoważnia organy stanowiące jednostek samorządu terytorialnego do podjęcia uchwały w zakresie dopuszczenia zapłaty podatków stanowiących ich dochody innym instrumentem płatniczym. W konsekwencji przyjąć należy domniemanie możliwości zapłaty podatku w tej formie, bez względu na to, czyj budżet zasila.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Określając moment dokonania zapłaty podatku </w:t>
      </w:r>
      <w:r w:rsidRPr="009A3C86">
        <w:rPr>
          <w:rFonts w:ascii="Times New Roman" w:eastAsia="Times New Roman" w:hAnsi="Times New Roman"/>
          <w:b/>
          <w:sz w:val="24"/>
          <w:szCs w:val="24"/>
        </w:rPr>
        <w:t>w art. 15</w:t>
      </w:r>
      <w:r w:rsidR="0089608D" w:rsidRPr="009A3C86">
        <w:rPr>
          <w:rFonts w:ascii="Times New Roman" w:eastAsia="Times New Roman" w:hAnsi="Times New Roman"/>
          <w:b/>
          <w:sz w:val="24"/>
          <w:szCs w:val="24"/>
        </w:rPr>
        <w:t>4</w:t>
      </w:r>
      <w:r w:rsidRPr="009A3C86">
        <w:rPr>
          <w:rFonts w:ascii="Times New Roman" w:eastAsia="Times New Roman" w:hAnsi="Times New Roman"/>
          <w:sz w:val="24"/>
          <w:szCs w:val="24"/>
        </w:rPr>
        <w:t xml:space="preserve"> wskazano, iż datą tą jest to dzień dokonania zapłaty. W obowiązującym brzmieniu przepisy ordynacji podatkowej posługują się pojęciem terminu dokonania zapłaty, co nie jest zasadne, gdyż w analizowanym przepisie nie chodzi o datę do której zapłata powinna być dokonana (termin zapłaty), a konkretną datę (dzień) wygaśnięcia zobowiązania.</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Mając na uwadze przewidzianą projektowaną ustawą regułę, wedle której deklarację złożoną do organu niewłaściwego przed upływem terminu określonego przepisami prawa uważa się za złożoną z zachowaniem terminu (art. 1</w:t>
      </w:r>
      <w:r w:rsidR="004F27E1" w:rsidRPr="009A3C86">
        <w:rPr>
          <w:rFonts w:ascii="Times New Roman" w:eastAsia="Times New Roman" w:hAnsi="Times New Roman"/>
          <w:sz w:val="24"/>
          <w:szCs w:val="24"/>
        </w:rPr>
        <w:t>3</w:t>
      </w:r>
      <w:r w:rsidR="0089608D" w:rsidRPr="009A3C86">
        <w:rPr>
          <w:rFonts w:ascii="Times New Roman" w:eastAsia="Times New Roman" w:hAnsi="Times New Roman"/>
          <w:sz w:val="24"/>
          <w:szCs w:val="24"/>
        </w:rPr>
        <w:t>6</w:t>
      </w:r>
      <w:r w:rsidRPr="009A3C86">
        <w:rPr>
          <w:rFonts w:ascii="Times New Roman" w:eastAsia="Times New Roman" w:hAnsi="Times New Roman"/>
          <w:sz w:val="24"/>
          <w:szCs w:val="24"/>
        </w:rPr>
        <w:t xml:space="preserve"> § 5), zasadne jest przyjęcie analogicznych skutków w przypadku opłacenia podatku wynikającego z takiej deklaracji w niewłaściwym organie podatkowym. W związku z tym w </w:t>
      </w:r>
      <w:r w:rsidRPr="009A3C86">
        <w:rPr>
          <w:rFonts w:ascii="Times New Roman" w:eastAsia="Times New Roman" w:hAnsi="Times New Roman"/>
          <w:b/>
          <w:sz w:val="24"/>
          <w:szCs w:val="24"/>
        </w:rPr>
        <w:t>art. 15</w:t>
      </w:r>
      <w:r w:rsidR="0089608D" w:rsidRPr="009A3C86">
        <w:rPr>
          <w:rFonts w:ascii="Times New Roman" w:eastAsia="Times New Roman" w:hAnsi="Times New Roman"/>
          <w:b/>
          <w:sz w:val="24"/>
          <w:szCs w:val="24"/>
        </w:rPr>
        <w:t>4</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proponuje się, aby zapłata podatku na rzecz niewłaściwego organu podatkowego (bez względu na to czy kwota podatku wynika z </w:t>
      </w:r>
      <w:r w:rsidRPr="009A3C86">
        <w:rPr>
          <w:rFonts w:ascii="Times New Roman" w:eastAsia="Times New Roman" w:hAnsi="Times New Roman"/>
          <w:sz w:val="24"/>
          <w:szCs w:val="24"/>
        </w:rPr>
        <w:lastRenderedPageBreak/>
        <w:t xml:space="preserve">deklaracji, decyzji czy też ma miejsce bez tych dokumentów) dokonana przed upływem terminu płatności, uważana była za dokonaną z zachowaniem terminu. Zasada ta nie dotyczy jednak wpłat dokonywanych na rzecz podatkowych organów samorządowych, które ze względu na odrębność budżetów jednostek samorządu terytorialnego, muszą być dokonywane zawsze z zachowaniem regulacji dotyczących właściwości.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Celem uniknięcia wątpliwości interpretacyjnych w </w:t>
      </w:r>
      <w:r w:rsidRPr="009A3C86">
        <w:rPr>
          <w:rFonts w:ascii="Times New Roman" w:eastAsia="Times New Roman" w:hAnsi="Times New Roman"/>
          <w:b/>
          <w:sz w:val="24"/>
          <w:szCs w:val="24"/>
        </w:rPr>
        <w:t>art. 15</w:t>
      </w:r>
      <w:r w:rsidR="0089608D" w:rsidRPr="009A3C86">
        <w:rPr>
          <w:rFonts w:ascii="Times New Roman" w:eastAsia="Times New Roman" w:hAnsi="Times New Roman"/>
          <w:b/>
          <w:sz w:val="24"/>
          <w:szCs w:val="24"/>
        </w:rPr>
        <w:t>4</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xml:space="preserve"> proponuje się wskazać, że regulacje dotyczące terminów płatności, w tym w przypadku zapłaty bezgotówkowej, stosowane są odpowiednio do podmiotów innych niż podatnik, o których mowa w art. 1</w:t>
      </w:r>
      <w:r w:rsidR="0089608D" w:rsidRPr="009A3C86">
        <w:rPr>
          <w:rFonts w:ascii="Times New Roman" w:eastAsia="Times New Roman" w:hAnsi="Times New Roman"/>
          <w:sz w:val="24"/>
          <w:szCs w:val="24"/>
        </w:rPr>
        <w:t>50</w:t>
      </w:r>
      <w:r w:rsidRPr="009A3C86">
        <w:rPr>
          <w:rFonts w:ascii="Times New Roman" w:eastAsia="Times New Roman" w:hAnsi="Times New Roman"/>
          <w:sz w:val="24"/>
          <w:szCs w:val="24"/>
        </w:rPr>
        <w:t xml:space="preserve"> § 1 projektu. W konsekwencji np. w obrocie bezgotówkowym terminem dokonania zapłaty przez te osoby będzie dzień obciążenia ich rachunku bankowego.</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projektowanym </w:t>
      </w:r>
      <w:r w:rsidRPr="009A3C86">
        <w:rPr>
          <w:rFonts w:ascii="Times New Roman" w:eastAsia="Times New Roman" w:hAnsi="Times New Roman"/>
          <w:b/>
          <w:sz w:val="24"/>
          <w:szCs w:val="24"/>
        </w:rPr>
        <w:t>art. 15</w:t>
      </w:r>
      <w:r w:rsidR="0089608D" w:rsidRPr="009A3C86">
        <w:rPr>
          <w:rFonts w:ascii="Times New Roman" w:eastAsia="Times New Roman" w:hAnsi="Times New Roman"/>
          <w:b/>
          <w:sz w:val="24"/>
          <w:szCs w:val="24"/>
        </w:rPr>
        <w:t>4</w:t>
      </w:r>
      <w:r w:rsidRPr="009A3C86">
        <w:rPr>
          <w:rFonts w:ascii="Times New Roman" w:eastAsia="Times New Roman" w:hAnsi="Times New Roman"/>
          <w:b/>
          <w:sz w:val="24"/>
          <w:szCs w:val="24"/>
        </w:rPr>
        <w:t xml:space="preserve"> § </w:t>
      </w:r>
      <w:r w:rsidR="0012115F" w:rsidRPr="009A3C86">
        <w:rPr>
          <w:rFonts w:ascii="Times New Roman" w:eastAsia="Times New Roman" w:hAnsi="Times New Roman"/>
          <w:b/>
          <w:sz w:val="24"/>
          <w:szCs w:val="24"/>
        </w:rPr>
        <w:t>7</w:t>
      </w:r>
      <w:r w:rsidRPr="009A3C86">
        <w:rPr>
          <w:rFonts w:ascii="Times New Roman" w:eastAsia="Times New Roman" w:hAnsi="Times New Roman"/>
          <w:sz w:val="24"/>
          <w:szCs w:val="24"/>
        </w:rPr>
        <w:t xml:space="preserve"> doprecyzowano, iż rozliczenie płatności na rzecz organów podatkowych następuje m.in. poprzez międzybankowy system rozliczeń elektronicznych w izbie rozliczeniowej, o której mowa w art. 67 ustawy z dnia 29 sierpnia 1997 r. - Prawo bankowe.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W projektowanym </w:t>
      </w:r>
      <w:r w:rsidRPr="009A3C86">
        <w:rPr>
          <w:rFonts w:ascii="Times New Roman" w:eastAsia="Times New Roman" w:hAnsi="Times New Roman"/>
          <w:b/>
          <w:sz w:val="24"/>
          <w:szCs w:val="24"/>
        </w:rPr>
        <w:t>art. 15</w:t>
      </w:r>
      <w:r w:rsidR="0089608D" w:rsidRPr="009A3C86">
        <w:rPr>
          <w:rFonts w:ascii="Times New Roman" w:eastAsia="Times New Roman" w:hAnsi="Times New Roman"/>
          <w:b/>
          <w:sz w:val="24"/>
          <w:szCs w:val="24"/>
        </w:rPr>
        <w:t>5</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utrzymano zasadę, wedle której podatnik ma prawo wskazania, na poczet którego zobowiązania dokonuje wpłaty, z trzema wyjątkami. Dotyczą one zobowiązań, których termin płatności upłynął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kosztów upomnienia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oraz zaliczek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przypadku wpłaty dotyczącej zobowiązania, którego termin płatności upłynął, będzie ona zaliczona na poczet zobowiązania o najwcześniejszym terminie płatności we wskazanym przez podatnika podatku</w:t>
      </w:r>
      <w:r w:rsidR="00E77F6D" w:rsidRPr="009A3C86">
        <w:rPr>
          <w:rFonts w:ascii="Times New Roman" w:eastAsia="Times New Roman" w:hAnsi="Times New Roman"/>
          <w:sz w:val="24"/>
          <w:szCs w:val="24"/>
        </w:rPr>
        <w:t>, a w przypadku braku takiego wskazania, lub braku zaległości we wskazanym podatku – na zaległości o najwcześniejszym terminie płatności spośród wszystkich zaległości podatnika</w:t>
      </w:r>
      <w:r w:rsidRPr="009A3C86">
        <w:rPr>
          <w:rFonts w:ascii="Times New Roman" w:eastAsia="Times New Roman" w:hAnsi="Times New Roman"/>
          <w:sz w:val="24"/>
          <w:szCs w:val="24"/>
        </w:rPr>
        <w:t xml:space="preserve">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Przedstawiona propozycja legislacyjna jest ściśle związana z pracami prowadzonymi nad uproszczeniem formularza polecenia przelewu podatkowego. Wprowadzenie proponowanej zmiany w nowej ordynacji podatkowej umożliwi podatnikowi korzystanie z formularza wpłaty w formie papierowej (tj. właściwego do dokonywania wpłat gotówkowych, np. na poczcie), w której konieczne do wskazania będą jedynie indywidualny rachunek podatkowy, tzw. mikrorachunek zawierający identyfikator podatkowy, kwota, rodzaj podatku i opcjonalnie okres zobowiązania - bez konieczności uzupełniania rodzaju deklaracji (których jest kilkadziesiąt) oraz aktualnie obowiązkowego wielopozycyjnego definiowania typu okresu. Aktualnie obowiązujące polecenie przelewu wymusza wpisanie wszystkich tych danych. W bankowości elektronicznej proponuje się jeszcze większe uproszczenie i ograniczenie obligatoryjnych pozycji w formatce wyłącznie do wskazania kwoty wpłaty i </w:t>
      </w:r>
      <w:r w:rsidRPr="009A3C86">
        <w:rPr>
          <w:rFonts w:ascii="Times New Roman" w:eastAsia="Times New Roman" w:hAnsi="Times New Roman"/>
          <w:sz w:val="24"/>
          <w:szCs w:val="24"/>
        </w:rPr>
        <w:lastRenderedPageBreak/>
        <w:t xml:space="preserve">rodzaju podatku, o ile bank wpłacającego będzie definiował (podpowiadał) mikrorachunek podatnika.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Powyższe stanowi wyjątkowe ułatwienie dla zobowiązanych. Uproszczenie formatki przelewu poprzez ograniczenie obowiązkowych do wypełnienia pozycji umożliwi szybsze i wygodniejsze dokonywanie wpłat podatków, co w następstwie skutkuje oszczędnością czasu dla zobowiązanego. Realnie też zmniejsza się ryzyko nieprawidłowego wypełnienia formularza lub niepoprawnego wskazywania obowiązkowych dziś danych. Warto zauważyć, że Zakład Ubezpieczeń Społecznych, który wcześniej wdrożył podobne ułatwienia dla płatników, zaobserwował spadek liczby nieprawidłowych przelewów z 42 tysięcy przelewów miesięcznie do 44 przelewów na miesiąc. Widoczne jest zatem przełożenie zmiany formatki przelewu na prawidłowość jego realizacji. ZUS zastosował od 1 stycznia 2018 r. standardowe polecenie przelewu i zaliczenie wpłaty na najstarszą zaległość, co okazało się korzystną zmianą zarówno dla organu jak i przedsiębiorców. Warto dążyć do ujednolicenia i spójności w zakresie rozwiązań stosowanych w administracji publicznej.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Dodatkowo podkreślenia wymaga, że projektowana zmiana przyczyni się do szybszego rozliczenia płatności przez organ podatkowy. Dzięki dokonaniu płatności na indywidualny rachunek podatkowy, a także dzięki automatycznemu procesowi księgowania możliwe jest szybkie zaewidencjonowanie wpłaty na właściwym, indywidualnym koncie rozrachunkowym podatnika. Wskazanie przez podatnika numeru mikrorachunku w przelewie będzie skutkowało zminimalizowaniem liczby wpłat niezidentyfikowanych lub pozostających do wyjaśnienia.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Powyższe stanowi kolejne ułatwienie i udogodnienie dla zobowiązanych, ponieważ konieczność wyjaśniania w urzędzie skarbowym przeznaczenia dokonanych wpłat zdecydowanie się zminimalizuje, również dla administracji skarbowej, co wiąże się ze zmniejszeniem liczby korespondencji kierowanej do zobowiązanych.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Ponadto należy zauważyć, że dokonywanie wpłat za pośrednictwem mikrorachunków i automatyzacja czynności księgowych przekłada się na szybsze i skuteczniejsze rozliczenie, a tym samym zwiększa możliwość szybkiego wydania wnioskującemu zaświadczenia o niezaleganiu w podatkach. Ponadto, docelowo planuje się udostępnienie podatnikowi poprzez funkcjonalność Portalu Podatkowego możliwości weryfikacji i kontroli stanu rozliczeń zrealizowanych płatności do urzędu skarbowego.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projektowanego przepisu zawarto katalog przypadków, w których wydaje się </w:t>
      </w:r>
      <w:r w:rsidR="0012115F" w:rsidRPr="009A3C86">
        <w:rPr>
          <w:rFonts w:ascii="Times New Roman" w:eastAsia="Times New Roman" w:hAnsi="Times New Roman"/>
          <w:sz w:val="24"/>
          <w:szCs w:val="24"/>
        </w:rPr>
        <w:t xml:space="preserve">wyłącznie na wniosek </w:t>
      </w:r>
      <w:r w:rsidRPr="009A3C86">
        <w:rPr>
          <w:rFonts w:ascii="Times New Roman" w:eastAsia="Times New Roman" w:hAnsi="Times New Roman"/>
          <w:sz w:val="24"/>
          <w:szCs w:val="24"/>
        </w:rPr>
        <w:t>postanowieni</w:t>
      </w:r>
      <w:r w:rsidR="0012115F" w:rsidRPr="009A3C86">
        <w:rPr>
          <w:rFonts w:ascii="Times New Roman" w:eastAsia="Times New Roman" w:hAnsi="Times New Roman"/>
          <w:sz w:val="24"/>
          <w:szCs w:val="24"/>
        </w:rPr>
        <w:t>e</w:t>
      </w:r>
      <w:r w:rsidRPr="009A3C86">
        <w:rPr>
          <w:rFonts w:ascii="Times New Roman" w:eastAsia="Times New Roman" w:hAnsi="Times New Roman"/>
          <w:sz w:val="24"/>
          <w:szCs w:val="24"/>
        </w:rPr>
        <w:t xml:space="preserve"> w sprawie zaliczenia wpłaty. W porównaniu do obowiązującego stanu prawnego: w pkt 1 proponuje się doprecyzowanie, iż wydaje się takie postanowieni</w:t>
      </w:r>
      <w:r w:rsidR="00135639" w:rsidRPr="009A3C86">
        <w:rPr>
          <w:rFonts w:ascii="Times New Roman" w:eastAsia="Times New Roman" w:hAnsi="Times New Roman"/>
          <w:sz w:val="24"/>
          <w:szCs w:val="24"/>
        </w:rPr>
        <w:t>e</w:t>
      </w:r>
      <w:r w:rsidRPr="009A3C86">
        <w:rPr>
          <w:rFonts w:ascii="Times New Roman" w:eastAsia="Times New Roman" w:hAnsi="Times New Roman"/>
          <w:sz w:val="24"/>
          <w:szCs w:val="24"/>
        </w:rPr>
        <w:t xml:space="preserve">, gdy wpłata pokrywa nie tylko należność główną wraz z odsetkami za zwłokę, ale i koszty </w:t>
      </w:r>
      <w:r w:rsidRPr="009A3C86">
        <w:rPr>
          <w:rFonts w:ascii="Times New Roman" w:eastAsia="Times New Roman" w:hAnsi="Times New Roman"/>
          <w:sz w:val="24"/>
          <w:szCs w:val="24"/>
        </w:rPr>
        <w:lastRenderedPageBreak/>
        <w:t xml:space="preserve">upomnienia, </w:t>
      </w:r>
      <w:r w:rsidR="00135639" w:rsidRPr="009A3C86">
        <w:rPr>
          <w:rFonts w:ascii="Times New Roman" w:eastAsia="Times New Roman" w:hAnsi="Times New Roman"/>
          <w:sz w:val="24"/>
          <w:szCs w:val="24"/>
        </w:rPr>
        <w:t>jeśli zostały one naliczone</w:t>
      </w:r>
      <w:r w:rsidRPr="009A3C86">
        <w:rPr>
          <w:rFonts w:ascii="Times New Roman" w:eastAsia="Times New Roman" w:hAnsi="Times New Roman"/>
          <w:sz w:val="24"/>
          <w:szCs w:val="24"/>
        </w:rPr>
        <w:t xml:space="preserve">, a w pkt. </w:t>
      </w:r>
      <w:r w:rsidR="00135639"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proponuje się zastąpienie mechanizmu waloryzacyjnego stałą kwotą 60 zł. Jest to kwota zbliżona do obowiązującej aktualnie, która wynosi pięciokrotność kosztów upomnienia, a więc 58 zł. </w:t>
      </w:r>
    </w:p>
    <w:p w:rsidR="00D33613" w:rsidRPr="009A3C86" w:rsidRDefault="00CE6458"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Ponadto organ podatkowy zobligowany będzie do wydawania postanowienia w sprawie zaliczenia wpłaty nawet wtedy, gdy jest ono w całości zgodne z wnioskiem podatnika (wykreślenie obowiązującego art. 62 § 4a pkt 2). Jeżeli bowiem taka wpłata nie skutkuje wygaśnięciem zobowiązania w całości, podatnik powinien otrzymać postanowienie o zaliczeniu wpłaty, które umożliwi mu w późniejszym czasie prawidłowe wykonanie zobowiązania. Gdy natomiast dokonana przez niego wpłata pokrywa wszelkie ciążące na nim należności, to zastosowanie znajdzie pkt. 1 projektowanego przepisu.</w:t>
      </w:r>
      <w:r w:rsidR="00D33613" w:rsidRPr="009A3C86">
        <w:rPr>
          <w:rFonts w:ascii="Times New Roman" w:eastAsia="Times New Roman" w:hAnsi="Times New Roman"/>
          <w:sz w:val="24"/>
          <w:szCs w:val="24"/>
        </w:rPr>
        <w:t xml:space="preserv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9. W projektowanym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5</w:t>
      </w:r>
      <w:r w:rsidR="00135639" w:rsidRPr="009A3C86">
        <w:rPr>
          <w:rFonts w:ascii="Times New Roman" w:eastAsia="Times New Roman" w:hAnsi="Times New Roman"/>
          <w:b/>
          <w:sz w:val="24"/>
          <w:szCs w:val="24"/>
        </w:rPr>
        <w:t>6</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zachowano możliwość wygaśnięcia zobowiązania podatkowego przez potrącenie.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Nie uległy zmianie tytuły, które stanowią podstawę do potrącenia, z tym zastrzeżeniem, iż podstawę do potrącenia stanowić będzie wyłącznie ostateczna decyzja właściwego organu stanowiąca podstawę do odszkodowania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5</w:t>
      </w:r>
      <w:r w:rsidR="00135639" w:rsidRPr="009A3C86">
        <w:rPr>
          <w:rFonts w:ascii="Times New Roman" w:eastAsia="Times New Roman" w:hAnsi="Times New Roman"/>
          <w:b/>
          <w:sz w:val="24"/>
          <w:szCs w:val="24"/>
        </w:rPr>
        <w:t>6</w:t>
      </w:r>
      <w:r w:rsidRPr="009A3C86">
        <w:rPr>
          <w:rFonts w:ascii="Times New Roman" w:eastAsia="Times New Roman" w:hAnsi="Times New Roman"/>
          <w:b/>
          <w:sz w:val="24"/>
          <w:szCs w:val="24"/>
        </w:rPr>
        <w:t xml:space="preserve"> § 1 pkt 4</w:t>
      </w:r>
      <w:r w:rsidRPr="009A3C86">
        <w:rPr>
          <w:rFonts w:ascii="Times New Roman" w:eastAsia="Times New Roman" w:hAnsi="Times New Roman"/>
          <w:sz w:val="24"/>
          <w:szCs w:val="24"/>
        </w:rPr>
        <w:t xml:space="preserv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Dokonano zmiany redakcyjnej projektowanego przepisu w porównaniu do obowiązujących art. 64 oraz 65 o.p. Obecnie odrębnie regulują one potrącenie w zakresie podatków stanowiących dochody budżetu państwa oraz gminy, powiatu lub województwa, przy zbliżonym katalogu tytułów do potrącenia oraz tożsamej procedurze stosowania tej instytucji. W związku z tym w § 1 proponuje się wskazanie tytułów stanowiących podstawę do potrącenia z wierzytelności podatnika zarówno wobec Skarbu Państwa, jak i jednostek samorządu terytorialnego, a w § 2 wyłącznie wobec Skarbu Państwa. Zastrzeżono przy tym, iż potrącenie może dotyczyć także kosztów upomnienia, co jest konsekwencją przyjętej w art. 15</w:t>
      </w:r>
      <w:r w:rsidR="00C55E89" w:rsidRPr="009A3C86">
        <w:rPr>
          <w:rFonts w:ascii="Times New Roman" w:eastAsia="Times New Roman" w:hAnsi="Times New Roman"/>
          <w:sz w:val="24"/>
          <w:szCs w:val="24"/>
        </w:rPr>
        <w:t>5</w:t>
      </w:r>
      <w:r w:rsidRPr="009A3C86">
        <w:rPr>
          <w:rFonts w:ascii="Times New Roman" w:eastAsia="Times New Roman" w:hAnsi="Times New Roman"/>
          <w:sz w:val="24"/>
          <w:szCs w:val="24"/>
        </w:rPr>
        <w:t xml:space="preserve"> § 3 zasady, wedle której wpłaty zalicza się w pierwszej kolejności na poczet znanych organowi podatkowemu kosztów upomnienia.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porównaniu do obowiązującego stanu prawnego ujednolicono formę prawną rozstrzygania w zakresie potrącenia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5</w:t>
      </w:r>
      <w:r w:rsidR="00C55E89" w:rsidRPr="009A3C86">
        <w:rPr>
          <w:rFonts w:ascii="Times New Roman" w:eastAsia="Times New Roman" w:hAnsi="Times New Roman"/>
          <w:b/>
          <w:sz w:val="24"/>
          <w:szCs w:val="24"/>
        </w:rPr>
        <w:t>6</w:t>
      </w:r>
      <w:r w:rsidRPr="009A3C86">
        <w:rPr>
          <w:rFonts w:ascii="Times New Roman" w:eastAsia="Times New Roman" w:hAnsi="Times New Roman"/>
          <w:b/>
          <w:sz w:val="24"/>
          <w:szCs w:val="24"/>
        </w:rPr>
        <w:t xml:space="preserve"> § 7</w:t>
      </w:r>
      <w:r w:rsidRPr="009A3C86">
        <w:rPr>
          <w:rFonts w:ascii="Times New Roman" w:eastAsia="Times New Roman" w:hAnsi="Times New Roman"/>
          <w:sz w:val="24"/>
          <w:szCs w:val="24"/>
        </w:rPr>
        <w:t xml:space="preserve">). Aktualnie potrącenie następuje w drodze postanowienia, na które służy zażalenie, a odmowa w drodze decyzji. Proponuje się, aby w każdym z tych przypadków organ podatkowy orzekał w drodze postanowienia, na które służy zażalenie. </w:t>
      </w:r>
    </w:p>
    <w:p w:rsidR="00D33613" w:rsidRPr="009A3C86" w:rsidRDefault="00D33613" w:rsidP="00D33613">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Ponieważ należność, o której mowa w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5</w:t>
      </w:r>
      <w:r w:rsidR="00C55E89" w:rsidRPr="009A3C86">
        <w:rPr>
          <w:rFonts w:ascii="Times New Roman" w:eastAsia="Times New Roman" w:hAnsi="Times New Roman"/>
          <w:b/>
          <w:sz w:val="24"/>
          <w:szCs w:val="24"/>
        </w:rPr>
        <w:t>6</w:t>
      </w:r>
      <w:r w:rsidRPr="009A3C86">
        <w:rPr>
          <w:rFonts w:ascii="Times New Roman" w:eastAsia="Times New Roman" w:hAnsi="Times New Roman"/>
          <w:b/>
          <w:sz w:val="24"/>
          <w:szCs w:val="24"/>
        </w:rPr>
        <w:t xml:space="preserve"> § 8</w:t>
      </w:r>
      <w:r w:rsidRPr="009A3C86">
        <w:rPr>
          <w:rFonts w:ascii="Times New Roman" w:eastAsia="Times New Roman" w:hAnsi="Times New Roman"/>
          <w:sz w:val="24"/>
          <w:szCs w:val="24"/>
        </w:rPr>
        <w:t>, mieści się w pojęciu podatku, o którym mowa w art. 13 pkt 9, a zatem jej niezapłacenie w terminie skutkuje powstaniem zaległości podatkowej, wykreślono zapis, wedle którego naruszenie terminu do dokonania wpłaty powoduje powstanie odsetek za zwłokę. Skutek taki wynikać będzie wprost z art. 1</w:t>
      </w:r>
      <w:r w:rsidR="00C55E89" w:rsidRPr="009A3C86">
        <w:rPr>
          <w:rFonts w:ascii="Times New Roman" w:eastAsia="Times New Roman" w:hAnsi="Times New Roman"/>
          <w:sz w:val="24"/>
          <w:szCs w:val="24"/>
        </w:rPr>
        <w:t>60</w:t>
      </w:r>
      <w:r w:rsidRPr="009A3C86">
        <w:rPr>
          <w:rFonts w:ascii="Times New Roman" w:eastAsia="Times New Roman" w:hAnsi="Times New Roman"/>
          <w:sz w:val="24"/>
          <w:szCs w:val="24"/>
        </w:rPr>
        <w:t xml:space="preserve"> w zw. z art. 13 pkt 9 projektowanej ustawy.</w:t>
      </w:r>
    </w:p>
    <w:p w:rsidR="00D33613" w:rsidRPr="009A3C86" w:rsidRDefault="00D33613" w:rsidP="00D33613">
      <w:pPr>
        <w:spacing w:after="0" w:line="360" w:lineRule="auto"/>
        <w:jc w:val="both"/>
        <w:rPr>
          <w:rFonts w:ascii="Times New Roman" w:eastAsia="Times New Roman" w:hAnsi="Times New Roman"/>
          <w:bCs/>
          <w:sz w:val="24"/>
          <w:szCs w:val="24"/>
        </w:rPr>
      </w:pPr>
      <w:r w:rsidRPr="009A3C86">
        <w:rPr>
          <w:rFonts w:ascii="Times New Roman" w:eastAsia="Times New Roman" w:hAnsi="Times New Roman"/>
          <w:bCs/>
          <w:sz w:val="24"/>
          <w:szCs w:val="24"/>
        </w:rPr>
        <w:lastRenderedPageBreak/>
        <w:t xml:space="preserve">10. Biorąc pod uwagę zmiany w strukturze organów podatkowych wynikające z wejścia w życie regulacji prawnych dotyczących Krajowej Administracji Skarbowej, w </w:t>
      </w:r>
      <w:r w:rsidRPr="009A3C86">
        <w:rPr>
          <w:rFonts w:ascii="Times New Roman" w:eastAsia="Times New Roman" w:hAnsi="Times New Roman"/>
          <w:b/>
          <w:bCs/>
          <w:sz w:val="24"/>
          <w:szCs w:val="24"/>
        </w:rPr>
        <w:t>art. 1</w:t>
      </w:r>
      <w:r w:rsidR="004F27E1" w:rsidRPr="009A3C86">
        <w:rPr>
          <w:rFonts w:ascii="Times New Roman" w:eastAsia="Times New Roman" w:hAnsi="Times New Roman"/>
          <w:b/>
          <w:bCs/>
          <w:sz w:val="24"/>
          <w:szCs w:val="24"/>
        </w:rPr>
        <w:t>5</w:t>
      </w:r>
      <w:r w:rsidR="00C55E89" w:rsidRPr="009A3C86">
        <w:rPr>
          <w:rFonts w:ascii="Times New Roman" w:eastAsia="Times New Roman" w:hAnsi="Times New Roman"/>
          <w:b/>
          <w:bCs/>
          <w:sz w:val="24"/>
          <w:szCs w:val="24"/>
        </w:rPr>
        <w:t>7</w:t>
      </w:r>
      <w:r w:rsidRPr="009A3C86">
        <w:rPr>
          <w:rFonts w:ascii="Times New Roman" w:eastAsia="Times New Roman" w:hAnsi="Times New Roman"/>
          <w:b/>
          <w:bCs/>
          <w:sz w:val="24"/>
          <w:szCs w:val="24"/>
        </w:rPr>
        <w:t xml:space="preserve"> § 2 i 4,</w:t>
      </w:r>
      <w:r w:rsidRPr="009A3C86">
        <w:rPr>
          <w:rFonts w:ascii="Times New Roman" w:eastAsia="Times New Roman" w:hAnsi="Times New Roman"/>
          <w:bCs/>
          <w:sz w:val="24"/>
          <w:szCs w:val="24"/>
        </w:rPr>
        <w:t xml:space="preserve"> który stanowi odpowiednik obowiązującego art. 66 § 2 i 3a o.p., przewidziano wyrażenie zgody na przeniesienie własności rzeczy lub praw majątkowych wyłącznie przez naczelnika urzędu skarbowego. Utrzymano zasadę, wedle której przeniesienie następuje wyłącznie na wniosek, na podstawie stosownej umowy, która powinna mieć formę pisemną, chyba że wymagana jest forma szczególna, np. aktu notarialnego. </w:t>
      </w:r>
    </w:p>
    <w:p w:rsidR="00D33613" w:rsidRPr="009A3C86" w:rsidRDefault="00D33613" w:rsidP="00D33613">
      <w:pPr>
        <w:spacing w:after="0" w:line="360" w:lineRule="auto"/>
        <w:jc w:val="both"/>
        <w:rPr>
          <w:rFonts w:ascii="Times New Roman" w:eastAsia="Times New Roman" w:hAnsi="Times New Roman"/>
          <w:bCs/>
          <w:sz w:val="24"/>
          <w:szCs w:val="24"/>
        </w:rPr>
      </w:pPr>
      <w:r w:rsidRPr="009A3C86">
        <w:rPr>
          <w:rFonts w:ascii="Times New Roman" w:eastAsia="Times New Roman" w:hAnsi="Times New Roman"/>
          <w:bCs/>
          <w:sz w:val="24"/>
          <w:szCs w:val="24"/>
        </w:rPr>
        <w:t xml:space="preserve">W sytuacji, gdy przedmiotem umowy przenoszącej własność - w zamian za zaległości podatkowe w zakresie podatków stanowiących dochód budżetu państwa - są akcje lub udziały, przeniesienie własności będzie wymagało dodatkowej zgody Prezesa Rady Ministrów. </w:t>
      </w:r>
      <w:r w:rsidRPr="009A3C86">
        <w:rPr>
          <w:rFonts w:ascii="Times New Roman" w:eastAsia="Times New Roman" w:hAnsi="Times New Roman"/>
          <w:sz w:val="24"/>
          <w:szCs w:val="24"/>
        </w:rPr>
        <w:t xml:space="preserve">Zgoda taka zapobiegnie przejmowaniu przez Skarb Państwa praw udziałowych w spółkach, w których Skarb Państwa nie ma zamiaru uczestniczyć. </w:t>
      </w:r>
    </w:p>
    <w:p w:rsidR="00D33613" w:rsidRPr="009A3C86" w:rsidRDefault="00D33613" w:rsidP="00D33613">
      <w:pPr>
        <w:spacing w:after="0" w:line="360" w:lineRule="auto"/>
        <w:jc w:val="both"/>
        <w:rPr>
          <w:rFonts w:ascii="Times New Roman" w:eastAsia="Times New Roman" w:hAnsi="Times New Roman"/>
          <w:bCs/>
          <w:sz w:val="24"/>
          <w:szCs w:val="24"/>
        </w:rPr>
      </w:pPr>
      <w:r w:rsidRPr="009A3C86">
        <w:rPr>
          <w:rFonts w:ascii="Times New Roman" w:eastAsia="Times New Roman" w:hAnsi="Times New Roman"/>
          <w:bCs/>
          <w:sz w:val="24"/>
          <w:szCs w:val="24"/>
        </w:rPr>
        <w:t xml:space="preserve">Ponadto w przypadku, gdy przeniesienie własności ma miejsce w zakresie podatków, z których wpływy stanowią dochód budżetu jednostki samorządu terytorialnego, ale realizowanych przez naczelników urzędów skarbowych, odpowiednie zastosowanie znajdzie obowiązek wskazany w </w:t>
      </w:r>
      <w:r w:rsidRPr="009A3C86">
        <w:rPr>
          <w:rFonts w:ascii="Times New Roman" w:eastAsia="Times New Roman" w:hAnsi="Times New Roman"/>
          <w:b/>
          <w:bCs/>
          <w:sz w:val="24"/>
          <w:szCs w:val="24"/>
        </w:rPr>
        <w:t>§ 4</w:t>
      </w:r>
      <w:r w:rsidRPr="009A3C86">
        <w:rPr>
          <w:rFonts w:ascii="Times New Roman" w:eastAsia="Times New Roman" w:hAnsi="Times New Roman"/>
          <w:bCs/>
          <w:sz w:val="24"/>
          <w:szCs w:val="24"/>
        </w:rPr>
        <w:t xml:space="preserve"> analizowanego przepisu. Będzie to oznaczało, że właściwy wójt, burmistrz (prezydent miasta) starosta lub marszałek województwa przekażą naczelnikowi urzędu skarbowego kopię zawartej umowy.</w:t>
      </w:r>
    </w:p>
    <w:p w:rsidR="00D33613" w:rsidRPr="009A3C86" w:rsidRDefault="00D33613" w:rsidP="00D33613">
      <w:pPr>
        <w:spacing w:after="0" w:line="360" w:lineRule="auto"/>
        <w:jc w:val="both"/>
        <w:rPr>
          <w:rFonts w:ascii="Times New Roman" w:eastAsia="Times New Roman" w:hAnsi="Times New Roman"/>
          <w:bCs/>
          <w:sz w:val="24"/>
          <w:szCs w:val="24"/>
        </w:rPr>
      </w:pPr>
      <w:r w:rsidRPr="009A3C86">
        <w:rPr>
          <w:rFonts w:ascii="Times New Roman" w:eastAsia="Times New Roman" w:hAnsi="Times New Roman"/>
          <w:bCs/>
          <w:sz w:val="24"/>
          <w:szCs w:val="24"/>
        </w:rPr>
        <w:t xml:space="preserve">11. Przewidziane w </w:t>
      </w:r>
      <w:r w:rsidRPr="009A3C86">
        <w:rPr>
          <w:rFonts w:ascii="Times New Roman" w:eastAsia="Times New Roman" w:hAnsi="Times New Roman"/>
          <w:b/>
          <w:bCs/>
          <w:sz w:val="24"/>
          <w:szCs w:val="24"/>
        </w:rPr>
        <w:t>art. 1</w:t>
      </w:r>
      <w:r w:rsidR="004F27E1" w:rsidRPr="009A3C86">
        <w:rPr>
          <w:rFonts w:ascii="Times New Roman" w:eastAsia="Times New Roman" w:hAnsi="Times New Roman"/>
          <w:b/>
          <w:bCs/>
          <w:sz w:val="24"/>
          <w:szCs w:val="24"/>
        </w:rPr>
        <w:t>5</w:t>
      </w:r>
      <w:r w:rsidR="00C55E89" w:rsidRPr="009A3C86">
        <w:rPr>
          <w:rFonts w:ascii="Times New Roman" w:eastAsia="Times New Roman" w:hAnsi="Times New Roman"/>
          <w:b/>
          <w:bCs/>
          <w:sz w:val="24"/>
          <w:szCs w:val="24"/>
        </w:rPr>
        <w:t>8</w:t>
      </w:r>
      <w:r w:rsidRPr="009A3C86">
        <w:rPr>
          <w:rFonts w:ascii="Times New Roman" w:eastAsia="Times New Roman" w:hAnsi="Times New Roman"/>
          <w:bCs/>
          <w:sz w:val="24"/>
          <w:szCs w:val="24"/>
        </w:rPr>
        <w:t xml:space="preserve"> odpowiednie stosowanie regulacji dotyczących wygasania zobowiązań podatkowych do innych zobowiązanych niż podatnik stanowi realizację wskazanej na wstępie zasady, wedle której podmioty te zasadniczo będą mogły wykonywać ciążące na nich zobowiązania w sposób taki sam jak podatnik. Jedynym wyjątkiem od tej zasady jest obowiązek zapłaty w formie bezgotówkowej, który dotyczy tylko podatników i płatników.</w:t>
      </w:r>
      <w:r w:rsidRPr="009A3C86">
        <w:rPr>
          <w:rFonts w:ascii="Times New Roman" w:eastAsia="Times New Roman" w:hAnsi="Times New Roman"/>
          <w:sz w:val="24"/>
          <w:szCs w:val="24"/>
        </w:rPr>
        <w:t xml:space="preserve"> </w:t>
      </w:r>
    </w:p>
    <w:p w:rsidR="003C2640" w:rsidRPr="009A3C86" w:rsidRDefault="003C2640" w:rsidP="00D72E74">
      <w:pPr>
        <w:tabs>
          <w:tab w:val="num" w:pos="720"/>
        </w:tabs>
        <w:spacing w:before="120" w:after="0" w:line="360" w:lineRule="auto"/>
        <w:jc w:val="both"/>
        <w:outlineLvl w:val="2"/>
        <w:rPr>
          <w:rFonts w:ascii="Times New Roman" w:eastAsia="Times New Roman" w:hAnsi="Times New Roman"/>
          <w:b/>
          <w:bCs/>
          <w:sz w:val="24"/>
          <w:szCs w:val="24"/>
        </w:rPr>
      </w:pPr>
      <w:r w:rsidRPr="009A3C86">
        <w:rPr>
          <w:rFonts w:ascii="Times New Roman" w:eastAsia="Times New Roman" w:hAnsi="Times New Roman"/>
          <w:b/>
          <w:bCs/>
          <w:sz w:val="24"/>
          <w:szCs w:val="24"/>
        </w:rPr>
        <w:t>Rozdział 6. Zaległość podatkowa i odsetki za zwłokę</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Projektowany </w:t>
      </w:r>
      <w:r w:rsidRPr="009A3C86">
        <w:rPr>
          <w:rFonts w:ascii="Times New Roman" w:eastAsia="Times New Roman" w:hAnsi="Times New Roman"/>
          <w:b/>
          <w:sz w:val="24"/>
          <w:szCs w:val="24"/>
        </w:rPr>
        <w:t>rozdział 6</w:t>
      </w:r>
      <w:r w:rsidRPr="009A3C86">
        <w:rPr>
          <w:rFonts w:ascii="Times New Roman" w:eastAsia="Times New Roman" w:hAnsi="Times New Roman"/>
          <w:sz w:val="24"/>
          <w:szCs w:val="24"/>
        </w:rPr>
        <w:t xml:space="preserve"> „Zaległość podatkowa i odsetki za zwłokę” stanowi w szerokim zakresie odpowiednik rozdziałów 5 i 6 działu III obowiązującej ordynacji podatkowej. Ponieważ odsetki za zwłokę są podstawową konsekwencją powstania zaległości podatkowej, zasadne jest ujęcie tych zagadnień w jednym rozdziale. Z kolei problematyka opłaty prolongacyjnej powiązana jest ściśle z ulgami w spłacie zobowiązań podatkowych, a zatem została uregulowana w rozdziale 9 działu II projektowanej ustawy.</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Mając na uwadze użyte w słowniczku ustawy pojęcie podatku (art. 13 pkt 9), które obejmuje opłaty, niepodatkowe należności, a także raty i zaliczki, pojęcie zaległości podatkowej zostało zdefiniowane poprzez wskazanie, iż jest nią podatek niezapłacony w terminie płatności (</w:t>
      </w:r>
      <w:r w:rsidRPr="009A3C86">
        <w:rPr>
          <w:rFonts w:ascii="Times New Roman" w:eastAsia="Times New Roman" w:hAnsi="Times New Roman"/>
          <w:b/>
          <w:sz w:val="24"/>
          <w:szCs w:val="24"/>
        </w:rPr>
        <w:t xml:space="preserve">art. </w:t>
      </w:r>
      <w:r w:rsidRPr="009A3C86">
        <w:rPr>
          <w:rFonts w:ascii="Times New Roman" w:eastAsia="Times New Roman" w:hAnsi="Times New Roman"/>
          <w:b/>
          <w:sz w:val="24"/>
          <w:szCs w:val="24"/>
        </w:rPr>
        <w:lastRenderedPageBreak/>
        <w:t>1</w:t>
      </w:r>
      <w:r w:rsidR="00C55E89" w:rsidRPr="009A3C86">
        <w:rPr>
          <w:rFonts w:ascii="Times New Roman" w:eastAsia="Times New Roman" w:hAnsi="Times New Roman"/>
          <w:b/>
          <w:sz w:val="24"/>
          <w:szCs w:val="24"/>
        </w:rPr>
        <w:t>60</w:t>
      </w:r>
      <w:r w:rsidRPr="009A3C86">
        <w:rPr>
          <w:rFonts w:ascii="Times New Roman" w:eastAsia="Times New Roman" w:hAnsi="Times New Roman"/>
          <w:sz w:val="24"/>
          <w:szCs w:val="24"/>
        </w:rPr>
        <w:t xml:space="preserve">). W takim ujęciu regulacja ta odpowiada obecnie obowiązującemu zakresowi art. 51 § 1-3 o.p.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W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1</w:t>
      </w:r>
      <w:r w:rsidRPr="009A3C86">
        <w:rPr>
          <w:rFonts w:ascii="Times New Roman" w:eastAsia="Times New Roman" w:hAnsi="Times New Roman"/>
          <w:sz w:val="24"/>
          <w:szCs w:val="24"/>
        </w:rPr>
        <w:t xml:space="preserve"> uregulowano problematykę dochodzenia nienależnie zwróconych lub zaliczonych przez organ podatkowy nadpłat lub zwrotów podatku, modyfikując w pewnym zakresie zasady określone aktualnie w art. 52 o.p. Należało bowiem uwzględnić projektowany art. </w:t>
      </w:r>
      <w:r w:rsidR="00C55E89" w:rsidRPr="009A3C86">
        <w:rPr>
          <w:rFonts w:ascii="Times New Roman" w:eastAsia="Times New Roman" w:hAnsi="Times New Roman"/>
          <w:sz w:val="24"/>
          <w:szCs w:val="24"/>
        </w:rPr>
        <w:t>205</w:t>
      </w:r>
      <w:r w:rsidRPr="009A3C86">
        <w:rPr>
          <w:rFonts w:ascii="Times New Roman" w:eastAsia="Times New Roman" w:hAnsi="Times New Roman"/>
          <w:sz w:val="24"/>
          <w:szCs w:val="24"/>
        </w:rPr>
        <w:t>, który stanowi podstawę do zaliczania nadpłaty na poczet określonych należności.</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Tryb dochodzenia nienależnych nadpłat lub zwrotów nie jest jednolity. Na zasadach zbliżonych do obowiązujących przyjęto, iż w przypadku, gdy nadpłatę lub zwrot podatku wykazano nienależnie lub w wysokości wyższej od należnej w deklaracji lub we wniosku o zwrot podatku w rozumieniu przepisów o podatkach dochodowych, zwrot następuje bez wezwania organu podatkowego, a kwoty podlegające zwrotowi traktuje się jako zaległości podatkowe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1</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a w konsekwencji co do zasady podlegają one wpłacie wraz z odsetkami za zwłokę. Doprecyzowano przy tym, iż w przypadku, gdy nadpłata została zaliczona na poczet bieżących lub przyszłych zobowiązań podatkowych, odsetki naliczane są od dnia, w którym upłynął termin płatności podatku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3</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Z kolei w przypadku nienależnych nadpłat lub zwrotów podatku, o których mowa w art. 16</w:t>
      </w:r>
      <w:r w:rsidR="00C55E89" w:rsidRPr="009A3C86">
        <w:rPr>
          <w:rFonts w:ascii="Times New Roman" w:eastAsia="Times New Roman" w:hAnsi="Times New Roman"/>
          <w:sz w:val="24"/>
          <w:szCs w:val="24"/>
        </w:rPr>
        <w:t>1</w:t>
      </w:r>
      <w:r w:rsidRPr="009A3C86">
        <w:rPr>
          <w:rFonts w:ascii="Times New Roman" w:eastAsia="Times New Roman" w:hAnsi="Times New Roman"/>
          <w:sz w:val="24"/>
          <w:szCs w:val="24"/>
        </w:rPr>
        <w:t xml:space="preserve"> § 1 pkt </w:t>
      </w:r>
      <w:r w:rsidR="00E77F6D" w:rsidRPr="009A3C86">
        <w:rPr>
          <w:rFonts w:ascii="Times New Roman" w:eastAsia="Times New Roman" w:hAnsi="Times New Roman"/>
          <w:sz w:val="24"/>
          <w:szCs w:val="24"/>
        </w:rPr>
        <w:t>1</w:t>
      </w:r>
      <w:r w:rsidRPr="009A3C86">
        <w:rPr>
          <w:rFonts w:ascii="Times New Roman" w:eastAsia="Times New Roman" w:hAnsi="Times New Roman"/>
          <w:sz w:val="24"/>
          <w:szCs w:val="24"/>
        </w:rPr>
        <w:t xml:space="preserve"> (odpowiednik obowiązującego art. 52 § 1 pkt 2 o.p.), ponieważ wiążą się one z wadliwym rozstrzygnięciem organu podatkowego (wadliwym stwierdzeniem ich w drodze decyzji) albo wadliwym działaniem tego organu (zwrotem lub zaliczeniem nadpłaty bez wydawania decyzji lub tzw. korektą deklaracji z urzędu), zasady dochodzenia ich zwrotu są odmienne. Przede wszystkim podlegają one zwrotowi na wezwanie organu podatkowego, a termin dokonania zwrotu wynosi 30 dni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1</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Po jego upływie kwotę podlegającą zwrotowi traktuje się jak zaległość podatkową, a organ podatkowy bez zbędnej zwłoki wydaje decyzję, w której określa obowiązek jej zwrotu. Na podstawie projektowanego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3</w:t>
      </w:r>
      <w:r w:rsidRPr="009A3C86">
        <w:rPr>
          <w:rFonts w:ascii="Times New Roman" w:eastAsia="Times New Roman" w:hAnsi="Times New Roman"/>
          <w:b/>
          <w:sz w:val="24"/>
          <w:szCs w:val="24"/>
        </w:rPr>
        <w:t xml:space="preserve"> § 5</w:t>
      </w:r>
      <w:r w:rsidRPr="009A3C86">
        <w:rPr>
          <w:rFonts w:ascii="Times New Roman" w:eastAsia="Times New Roman" w:hAnsi="Times New Roman"/>
          <w:sz w:val="24"/>
          <w:szCs w:val="24"/>
        </w:rPr>
        <w:t xml:space="preserve">, od następnego dnia po upływie wskazanego terminu od niezwróconej nadpłaty lub zwrotu podatku naliczane są odsetki za zwłokę. Brak jest bowiem uzasadnienia dla sytuacji, w której pomimo upływu wskazanego 30-dniowego terminu zwrotu nadpłata lub zwrotu podatku, które traktowane są jak zaległość podatkowa, nie podlegałyby one zwrotowi z odsetkami. Podkreślić przy tym trzeba, że taka konstrukcja przepisu oznacza, że zobowiązany, który dokonuje zwrotu w terminie, nie jest obciążany odsetkami za zwłokę.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3</w:t>
      </w:r>
      <w:r w:rsidRPr="009A3C86">
        <w:rPr>
          <w:rFonts w:ascii="Times New Roman" w:eastAsia="Times New Roman" w:hAnsi="Times New Roman"/>
          <w:sz w:val="24"/>
          <w:szCs w:val="24"/>
        </w:rPr>
        <w:t xml:space="preserve">, z pewnymi zmianami, które mają zasadniczo charakter terminologiczny i porządkujący, stanowi odpowiednik obowiązującego art. 53 o.p. Przede wszystkim w następstwie objęcia pojęciem podatku również zaliczek na podatek, czyni to bezprzedmiotowym obowiązujący art. 53 § 2 o.p. Ponadto użyte w projektowanej ustawie </w:t>
      </w:r>
      <w:r w:rsidRPr="009A3C86">
        <w:rPr>
          <w:rFonts w:ascii="Times New Roman" w:eastAsia="Times New Roman" w:hAnsi="Times New Roman"/>
          <w:sz w:val="24"/>
          <w:szCs w:val="24"/>
        </w:rPr>
        <w:lastRenderedPageBreak/>
        <w:t>pojęcie „zobowiązany” (art. 13 pkt 23) uzasadnia modyfikację obowiązującego art. 53 § 3 o.p., który wymienia kategorie podmiotów nim objęte.</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Zmianą o charakterze merytorycznym jest natomiast rozszerzenie, z przyczyn wyżej wskazanych, obowiązku naliczania odsetek za zwłokę również na przypadki, o których mowa w art. 16</w:t>
      </w:r>
      <w:r w:rsidR="00C55E89" w:rsidRPr="009A3C86">
        <w:rPr>
          <w:rFonts w:ascii="Times New Roman" w:eastAsia="Times New Roman" w:hAnsi="Times New Roman"/>
          <w:sz w:val="24"/>
          <w:szCs w:val="24"/>
        </w:rPr>
        <w:t>1</w:t>
      </w:r>
      <w:r w:rsidRPr="009A3C86">
        <w:rPr>
          <w:rFonts w:ascii="Times New Roman" w:eastAsia="Times New Roman" w:hAnsi="Times New Roman"/>
          <w:sz w:val="24"/>
          <w:szCs w:val="24"/>
        </w:rPr>
        <w:t xml:space="preserve"> § 1 pkt 1 oraz § 3 (odpowiednik obowiązującego art. 52 § 1). Skutkowało to koniecznością pominięcia tej sytuacji jako wyjątku od zasady wskazanej w § 1, jak i doregulowaniem okresu naliczania odsetek </w:t>
      </w:r>
      <w:r w:rsidRPr="009A3C86">
        <w:rPr>
          <w:rFonts w:ascii="Times New Roman" w:eastAsia="Times New Roman" w:hAnsi="Times New Roman"/>
          <w:b/>
          <w:sz w:val="24"/>
          <w:szCs w:val="24"/>
        </w:rPr>
        <w:t>(§ 4 i 5</w:t>
      </w:r>
      <w:r w:rsidRPr="009A3C86">
        <w:rPr>
          <w:rFonts w:ascii="Times New Roman" w:eastAsia="Times New Roman" w:hAnsi="Times New Roman"/>
          <w:sz w:val="24"/>
          <w:szCs w:val="24"/>
        </w:rPr>
        <w:t xml:space="preserve">).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Projektowany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4</w:t>
      </w:r>
      <w:r w:rsidRPr="009A3C86">
        <w:rPr>
          <w:rFonts w:ascii="Times New Roman" w:eastAsia="Times New Roman" w:hAnsi="Times New Roman"/>
          <w:sz w:val="24"/>
          <w:szCs w:val="24"/>
        </w:rPr>
        <w:t xml:space="preserve"> jest odpowiednikiem obowiązującego art. 53a o.p. z tym zastrzeżeniem, iż w związku ze zmianami w zakresie podatku od towarów i usług, które weszły w życie z dniem 1 stycznia 2017 r., należało wyłączyć zastosowanie tego przepisu w zakresie zaliczek na podatek od towarów i usług. Ponadto usunięto zastrzeżenie dotyczące odpowiedniego stosowania art. 53a § 1 o.p. do zaliczek na specjalny podatek węglowodorowy, albowiem mając na uwadze zakres tego przepisu, w tym przypadku znajduje on wprost zastosowanie.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Odpowiednikiem obowiązującego art. 54 jest projektowany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5</w:t>
      </w:r>
      <w:r w:rsidRPr="009A3C86">
        <w:rPr>
          <w:rFonts w:ascii="Times New Roman" w:eastAsia="Times New Roman" w:hAnsi="Times New Roman"/>
          <w:b/>
          <w:sz w:val="24"/>
          <w:szCs w:val="24"/>
        </w:rPr>
        <w:t>.</w:t>
      </w:r>
      <w:r w:rsidRPr="009A3C86">
        <w:rPr>
          <w:rFonts w:ascii="Times New Roman" w:eastAsia="Times New Roman" w:hAnsi="Times New Roman"/>
          <w:sz w:val="24"/>
          <w:szCs w:val="24"/>
        </w:rPr>
        <w:t xml:space="preserve"> W zakresie przerw w naliczaniu odsetek za zwłokę od zaległości podatkowych proponuje się uporządkowanie, modyfikację i rozszerzenie regulacji prawnych w porównaniu do obowiązującego stanu prawnego.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Katalog wyjątków, o których mowa w </w:t>
      </w:r>
      <w:r w:rsidRPr="009A3C86">
        <w:rPr>
          <w:rFonts w:ascii="Times New Roman" w:eastAsia="Times New Roman" w:hAnsi="Times New Roman"/>
          <w:b/>
          <w:sz w:val="24"/>
          <w:szCs w:val="24"/>
        </w:rPr>
        <w:t>art. 16</w:t>
      </w:r>
      <w:r w:rsidR="00C55E89" w:rsidRPr="009A3C86">
        <w:rPr>
          <w:rFonts w:ascii="Times New Roman" w:eastAsia="Times New Roman" w:hAnsi="Times New Roman"/>
          <w:b/>
          <w:sz w:val="24"/>
          <w:szCs w:val="24"/>
        </w:rPr>
        <w:t>5</w:t>
      </w:r>
      <w:r w:rsidRPr="009A3C86">
        <w:rPr>
          <w:rFonts w:ascii="Times New Roman" w:eastAsia="Times New Roman" w:hAnsi="Times New Roman"/>
          <w:sz w:val="24"/>
          <w:szCs w:val="24"/>
        </w:rPr>
        <w:t xml:space="preserve">, został uporządkowany w ten sposób, iż obejmuje w pierwszej kolejności sytuacje związane z wadliwością deklaracji podatkowej, następnie postępowaniami pierwszej i drugiej instancji.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Nowością jest zasada wyrażona w </w:t>
      </w:r>
      <w:r w:rsidRPr="009A3C86">
        <w:rPr>
          <w:rFonts w:ascii="Times New Roman" w:eastAsia="Times New Roman" w:hAnsi="Times New Roman"/>
          <w:b/>
          <w:sz w:val="24"/>
          <w:szCs w:val="24"/>
        </w:rPr>
        <w:t>§ 1 pkt 1</w:t>
      </w:r>
      <w:r w:rsidRPr="009A3C86">
        <w:rPr>
          <w:rFonts w:ascii="Times New Roman" w:eastAsia="Times New Roman" w:hAnsi="Times New Roman"/>
          <w:sz w:val="24"/>
          <w:szCs w:val="24"/>
        </w:rPr>
        <w:t xml:space="preserve"> analizowanego przepisu, wedle której nie nalicza się odsetek za zwłokę od zaległości podatkowych związanych z popełnionymi w deklaracji błędami rachunkowymi lub oczywistymi omyłkami, jeżeli deklaracja została złożona za pomocą środków komunikacji elektronicznej. Rozwiązanie to, po pierwsze ma motywować do składania deklaracji w postaci elektronicznej, po drugie należy przyjąć, iż co do zasady, złożenie deklaracji w tej formie wiąże się z szybszą weryfikacją jej poprawności w porównaniu do formy papierowej.</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Powyższa zasada będzie dotyczyła również zeznań na podatek dochodowy od osób fizycznych wypełnianych przez organy podatkowe (art. 45ca ustawy o podatku dochodowym od osób fizycznych). Z tego powodu zasadne jest wyeliminowanie mniej korzystnych w tym zakresie dla podatników przepisów art. 45cc ust. 2 i 3 ustawy o podatku dochodowym od osób fizycznych.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lastRenderedPageBreak/>
        <w:t>Art. 16</w:t>
      </w:r>
      <w:r w:rsidR="003365BE" w:rsidRPr="009A3C86">
        <w:rPr>
          <w:rFonts w:ascii="Times New Roman" w:eastAsia="Times New Roman" w:hAnsi="Times New Roman"/>
          <w:b/>
          <w:sz w:val="24"/>
          <w:szCs w:val="24"/>
        </w:rPr>
        <w:t>5</w:t>
      </w:r>
      <w:r w:rsidRPr="009A3C86">
        <w:rPr>
          <w:rFonts w:ascii="Times New Roman" w:eastAsia="Times New Roman" w:hAnsi="Times New Roman"/>
          <w:b/>
          <w:sz w:val="24"/>
          <w:szCs w:val="24"/>
        </w:rPr>
        <w:t xml:space="preserve"> § 1 pkt 2</w:t>
      </w:r>
      <w:r w:rsidRPr="009A3C86">
        <w:rPr>
          <w:rFonts w:ascii="Times New Roman" w:eastAsia="Times New Roman" w:hAnsi="Times New Roman"/>
          <w:sz w:val="24"/>
          <w:szCs w:val="24"/>
        </w:rPr>
        <w:t xml:space="preserve"> jest odpowiednikiem obowiązującego art. 54 § 1 pkt 7a o.p. z tym zastrzeżeniem, że przerwa w naliczaniu odsetek rozpoczyna się następnego dnia po upływie roku, a nie dwóch lat od dnia złożenia deklaracji. W przypadku błędów w deklaracji o charakterze oczywistym zasadne jest przyjęcie, iż rok będzie wystarczającym okresem na ich zweryfikowanie przez organ podatkowy. Ponadto celem doprecyzowania tej regulacji wskazuje się, iż organ podatkowy powinien nie tylko ujawnić tego rodzaju błędy, ale poinformować o nich we wskazanym terminie zobowiązanego.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16</w:t>
      </w:r>
      <w:r w:rsidR="003365BE" w:rsidRPr="009A3C86">
        <w:rPr>
          <w:rFonts w:ascii="Times New Roman" w:eastAsia="Times New Roman" w:hAnsi="Times New Roman"/>
          <w:b/>
          <w:sz w:val="24"/>
          <w:szCs w:val="24"/>
        </w:rPr>
        <w:t>5</w:t>
      </w:r>
      <w:r w:rsidRPr="009A3C86">
        <w:rPr>
          <w:rFonts w:ascii="Times New Roman" w:eastAsia="Times New Roman" w:hAnsi="Times New Roman"/>
          <w:b/>
          <w:sz w:val="24"/>
          <w:szCs w:val="24"/>
        </w:rPr>
        <w:t xml:space="preserve"> § 1 pkt 3</w:t>
      </w:r>
      <w:r w:rsidRPr="009A3C86">
        <w:rPr>
          <w:rFonts w:ascii="Times New Roman" w:eastAsia="Times New Roman" w:hAnsi="Times New Roman"/>
          <w:sz w:val="24"/>
          <w:szCs w:val="24"/>
        </w:rPr>
        <w:t xml:space="preserve"> przewiduje</w:t>
      </w:r>
      <w:r w:rsidR="00AC0E33" w:rsidRPr="009A3C86">
        <w:rPr>
          <w:rFonts w:ascii="Times New Roman" w:eastAsia="Times New Roman" w:hAnsi="Times New Roman"/>
          <w:sz w:val="24"/>
          <w:szCs w:val="24"/>
        </w:rPr>
        <w:t xml:space="preserve"> się</w:t>
      </w:r>
      <w:r w:rsidRPr="009A3C86">
        <w:rPr>
          <w:rFonts w:ascii="Times New Roman" w:eastAsia="Times New Roman" w:hAnsi="Times New Roman"/>
          <w:sz w:val="24"/>
          <w:szCs w:val="24"/>
        </w:rPr>
        <w:t>, podobnie jak jest obecnie, 3 miesięczny termin, którego upływ powoduje przerwę w naliczaniu odsetek za zwłokę. Ponadto w związku z przedłużeniem terminu do załatwienia sprawy dla określonych kategorii podmiotów do 6 miesięcy (art. 3</w:t>
      </w:r>
      <w:r w:rsidR="003365BE" w:rsidRPr="009A3C86">
        <w:rPr>
          <w:rFonts w:ascii="Times New Roman" w:eastAsia="Times New Roman" w:hAnsi="Times New Roman"/>
          <w:sz w:val="24"/>
          <w:szCs w:val="24"/>
        </w:rPr>
        <w:t>25</w:t>
      </w:r>
      <w:r w:rsidRPr="009A3C86">
        <w:rPr>
          <w:rFonts w:ascii="Times New Roman" w:eastAsia="Times New Roman" w:hAnsi="Times New Roman"/>
          <w:sz w:val="24"/>
          <w:szCs w:val="24"/>
        </w:rPr>
        <w:t xml:space="preserve"> § 2 pkt 2), kwestia ta musiała też być uwzględniona w zakresie okresów przerw w naliczaniu odsetek za zwłokę zarówno w przypadku postępowań prowadzonych w pierwszej, jak i drugiej instancji (art. 16</w:t>
      </w:r>
      <w:r w:rsidR="003365BE" w:rsidRPr="009A3C86">
        <w:rPr>
          <w:rFonts w:ascii="Times New Roman" w:eastAsia="Times New Roman" w:hAnsi="Times New Roman"/>
          <w:sz w:val="24"/>
          <w:szCs w:val="24"/>
        </w:rPr>
        <w:t>5</w:t>
      </w:r>
      <w:r w:rsidRPr="009A3C86">
        <w:rPr>
          <w:rFonts w:ascii="Times New Roman" w:eastAsia="Times New Roman" w:hAnsi="Times New Roman"/>
          <w:sz w:val="24"/>
          <w:szCs w:val="24"/>
        </w:rPr>
        <w:t xml:space="preserve"> § 1 pkt 3 oraz 5).</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t>Art. 16</w:t>
      </w:r>
      <w:r w:rsidR="003365BE" w:rsidRPr="009A3C86">
        <w:rPr>
          <w:rFonts w:ascii="Times New Roman" w:eastAsia="Times New Roman" w:hAnsi="Times New Roman"/>
          <w:b/>
          <w:sz w:val="24"/>
          <w:szCs w:val="24"/>
        </w:rPr>
        <w:t>5</w:t>
      </w:r>
      <w:r w:rsidRPr="009A3C86">
        <w:rPr>
          <w:rFonts w:ascii="Times New Roman" w:eastAsia="Times New Roman" w:hAnsi="Times New Roman"/>
          <w:b/>
          <w:sz w:val="24"/>
          <w:szCs w:val="24"/>
        </w:rPr>
        <w:t xml:space="preserve"> § 1 pkt 4-7</w:t>
      </w:r>
      <w:r w:rsidRPr="009A3C86">
        <w:rPr>
          <w:rFonts w:ascii="Times New Roman" w:eastAsia="Times New Roman" w:hAnsi="Times New Roman"/>
          <w:sz w:val="24"/>
          <w:szCs w:val="24"/>
        </w:rPr>
        <w:t xml:space="preserve"> stanowią, ze wskazanym wyżej zastrzeżeniem dotyczącym pkt. 5, odpowiednik obowiązujących regulacji art. 54 § 1 pkt 1-4 o.p.</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Proponuje się wskazanie wprost na wyłączenie naliczania odsetek w przypadku wskazanym w projektowanym </w:t>
      </w:r>
      <w:r w:rsidRPr="009A3C86">
        <w:rPr>
          <w:rFonts w:ascii="Times New Roman" w:eastAsia="Times New Roman" w:hAnsi="Times New Roman"/>
          <w:b/>
          <w:sz w:val="24"/>
          <w:szCs w:val="24"/>
        </w:rPr>
        <w:t>art. 16</w:t>
      </w:r>
      <w:r w:rsidR="003365BE" w:rsidRPr="009A3C86">
        <w:rPr>
          <w:rFonts w:ascii="Times New Roman" w:eastAsia="Times New Roman" w:hAnsi="Times New Roman"/>
          <w:b/>
          <w:sz w:val="24"/>
          <w:szCs w:val="24"/>
        </w:rPr>
        <w:t>5</w:t>
      </w:r>
      <w:r w:rsidRPr="009A3C86">
        <w:rPr>
          <w:rFonts w:ascii="Times New Roman" w:eastAsia="Times New Roman" w:hAnsi="Times New Roman"/>
          <w:b/>
          <w:sz w:val="24"/>
          <w:szCs w:val="24"/>
        </w:rPr>
        <w:t xml:space="preserve"> § 1 pkt 8</w:t>
      </w:r>
      <w:r w:rsidRPr="009A3C86">
        <w:rPr>
          <w:rFonts w:ascii="Times New Roman" w:eastAsia="Times New Roman" w:hAnsi="Times New Roman"/>
          <w:sz w:val="24"/>
          <w:szCs w:val="24"/>
        </w:rPr>
        <w:t xml:space="preserve">. Rozwiązanie to jest realizacją zasady, wedle której zastosowanie się zobowiązanego do udzielonej mu informacji, nie powinno mu szkodzić. Aktualnie zasada taka wyrażona jest wprost w przypadku ogólnych i indywidualnych interpretacji przepisów prawa podatkowego i wiąże się m.in. z nienaliczaniem odsetek za zwłokę, co znajduje wyraz w art. 14k § 3 o.p. Przerwa w naliczaniu odsetek nie została jednak uwzględniona w obowiązującym katalogu z art. 54 o.p.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przypadku indywidualnych i ogólnych interpretacji przepisów prawa podatkowego odsetki nie będą naliczane do 7. dnia po dniu opublikowania lub doręczenia zmienionej interpretacji albo doręczenia postanowienia o stwierdzeniu jej wygaśnięcia. Jest to modyfikacja zasady wynikającej obecnie z art. 14k o.p.</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Wydłużenie okresu nienaliczania odsetek za zwłokę o dodatkowe 7 dni ma na celu umożliwienie wykonania zobowiązania bez odsetek, co byłoby utrudnione, gdyby odsetek nie naliczało się do dnia opublikowania lub doręczenia zmienionej interpretacji lub doręczenia postanowienia o stwierdzeniu jej wygaśnięcia.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Analogicznie jak obecnie (art. 54 § 1 pkt 7b) odsetek za zwłokę nie nalicza się za okres od dnia złożenia wniosku o wydanie decyzji w zakresie cofnięcia skutków unikania opodatkowania, do dnia cofnięcia skutków unikania opodatkowania, od zaległości związanych z osiągnięciem korzyści podatkowej.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Identyczny cel, jak obowiązujący art. 54 § 1 pkt 5 o.p., realizuje projektowany </w:t>
      </w:r>
      <w:r w:rsidRPr="009A3C86">
        <w:rPr>
          <w:rFonts w:ascii="Times New Roman" w:eastAsia="Times New Roman" w:hAnsi="Times New Roman"/>
          <w:b/>
          <w:sz w:val="24"/>
          <w:szCs w:val="24"/>
        </w:rPr>
        <w:t>art. 16</w:t>
      </w:r>
      <w:r w:rsidR="003365BE" w:rsidRPr="009A3C86">
        <w:rPr>
          <w:rFonts w:ascii="Times New Roman" w:eastAsia="Times New Roman" w:hAnsi="Times New Roman"/>
          <w:b/>
          <w:sz w:val="24"/>
          <w:szCs w:val="24"/>
        </w:rPr>
        <w:t>5</w:t>
      </w:r>
      <w:r w:rsidRPr="009A3C86">
        <w:rPr>
          <w:rFonts w:ascii="Times New Roman" w:eastAsia="Times New Roman" w:hAnsi="Times New Roman"/>
          <w:b/>
          <w:sz w:val="24"/>
          <w:szCs w:val="24"/>
        </w:rPr>
        <w:t xml:space="preserve"> § 1 pkt 10</w:t>
      </w:r>
      <w:r w:rsidRPr="009A3C86">
        <w:rPr>
          <w:rFonts w:ascii="Times New Roman" w:eastAsia="Times New Roman" w:hAnsi="Times New Roman"/>
          <w:sz w:val="24"/>
          <w:szCs w:val="24"/>
        </w:rPr>
        <w:t>, przy czym proponuje się, aby w przypadku odsetek w niewielkiej wysokości zastąpić obowiązujący mechanizm - uzależniony od wartości opłaty dodatkowej pobieranej przez operatora wyznaczonego w rozumieniu ustawy - Prawo pocztowe - stałą kwotą wynosząca 10 zł. Jest to kwota nieco wyższa od aktualnego poziomu nienaliczania odsetek, który wynosi 8,70 zł.</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Modyfikacji uległy zasady obliczania przerw w naliczaniu odsetek za zwłokę w sytuacjach, o których mowa § 1 pkt 3 i 5 projektowanego przepisu. Proponuje się uwzględnienie w tym zakresie zasad obliczania terminów do załatwiania spraw podatkowych (art. 3</w:t>
      </w:r>
      <w:r w:rsidR="003365BE" w:rsidRPr="009A3C86">
        <w:rPr>
          <w:rFonts w:ascii="Times New Roman" w:eastAsia="Times New Roman" w:hAnsi="Times New Roman"/>
          <w:sz w:val="24"/>
          <w:szCs w:val="24"/>
        </w:rPr>
        <w:t>25</w:t>
      </w:r>
      <w:r w:rsidRPr="009A3C86">
        <w:rPr>
          <w:rFonts w:ascii="Times New Roman" w:eastAsia="Times New Roman" w:hAnsi="Times New Roman"/>
          <w:sz w:val="24"/>
          <w:szCs w:val="24"/>
        </w:rPr>
        <w:t xml:space="preserve"> § 1 i 2), a w konsekwencji przyjęcie założenia, że w pewnych przypadkach opóźnienie w załatwieniu sprawy, do którego nie przyczynił się organ podatkowy, nie powinno modyfikować ogólnych zasad naliczania odsetek. W porównaniu do obowiązującego stanu prawnego w projekcie rezygnuje się także ze wskazania na przyczynienie się do opóźnienia w wydaniu decyzji przedstawiciela strony. Przyjąć bowiem należy, iż skoro strona postępowania może działać poprzez przedstawiciela lub pełnomocnika, to ich działania w tym zakresie wywołują skutki identyczne jak osobiste działanie strony.</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6. W zakresie podstawowej stawki odsetek za zwłokę od zaległości podatkowych proponuje się utrzymanie zasad jej określania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6</w:t>
      </w:r>
      <w:r w:rsidR="00E77F6D" w:rsidRPr="009A3C86">
        <w:rPr>
          <w:rFonts w:ascii="Times New Roman" w:eastAsia="Times New Roman" w:hAnsi="Times New Roman"/>
          <w:b/>
          <w:sz w:val="24"/>
          <w:szCs w:val="24"/>
        </w:rPr>
        <w:t>7</w:t>
      </w:r>
      <w:r w:rsidRPr="009A3C86">
        <w:rPr>
          <w:rFonts w:ascii="Times New Roman" w:eastAsia="Times New Roman" w:hAnsi="Times New Roman"/>
          <w:sz w:val="24"/>
          <w:szCs w:val="24"/>
        </w:rPr>
        <w:t xml:space="preserve"> będący odpowiednikiem obowiązującego art. 56 o.p.) oraz ogłaszania (</w:t>
      </w: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6</w:t>
      </w:r>
      <w:r w:rsidR="001D5BE6" w:rsidRPr="009A3C86">
        <w:rPr>
          <w:rFonts w:ascii="Times New Roman" w:eastAsia="Times New Roman" w:hAnsi="Times New Roman"/>
          <w:b/>
          <w:sz w:val="24"/>
          <w:szCs w:val="24"/>
        </w:rPr>
        <w:t>9</w:t>
      </w:r>
      <w:r w:rsidRPr="009A3C86">
        <w:rPr>
          <w:rFonts w:ascii="Times New Roman" w:eastAsia="Times New Roman" w:hAnsi="Times New Roman"/>
          <w:sz w:val="24"/>
          <w:szCs w:val="24"/>
        </w:rPr>
        <w:t xml:space="preserve"> </w:t>
      </w:r>
      <w:r w:rsidR="003365BE" w:rsidRPr="009A3C86">
        <w:rPr>
          <w:rFonts w:ascii="Times New Roman" w:eastAsia="Times New Roman" w:hAnsi="Times New Roman"/>
          <w:b/>
          <w:sz w:val="24"/>
          <w:szCs w:val="24"/>
        </w:rPr>
        <w:t xml:space="preserve">§ 2 </w:t>
      </w:r>
      <w:r w:rsidRPr="009A3C86">
        <w:rPr>
          <w:rFonts w:ascii="Times New Roman" w:eastAsia="Times New Roman" w:hAnsi="Times New Roman"/>
          <w:sz w:val="24"/>
          <w:szCs w:val="24"/>
        </w:rPr>
        <w:t xml:space="preserve">będący odpowiednikiem art. 56d). Aktualnie obok stawki podstawowej na gruncie ordynacji podatkowej wyróżnia się także stawkę obniżoną, wynoszącą 50% stawki podstawowej (art. 56a) oraz podwyższoną w wysokości 150% stawki podstawowej (art. 56b).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Mając na uwadze określone w art. 56b o.p. przypadki, w których stosuje się podwyższoną stawkę odsetek za zwłokę, która znajduje zastosowanie wyłącznie do podatku od towarów i usług oraz podatku akcyzowego, za niezasadne należy uznać dalsze funkcjonowanie tej swoistej sankcji na gruncie przepisów ordynacji podatkowej. W szczególności należy podkreślić, iż zbliżony cel od dnia 1 stycznia 2017 r. pełni wprowadzone w art. 112b-112c ustawy o VAT dodatkowe zobowiązanie podatkowe.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przypadku obniżonej stawki odsetek za zwłokę doprecyzowano, iż odnosi się ona jedynie do zaległości podatkowej ujawnionej w złożonej korekcie deklaracji.</w:t>
      </w:r>
    </w:p>
    <w:p w:rsidR="003C2640" w:rsidRPr="009A3C86" w:rsidRDefault="003C2640" w:rsidP="003C2640">
      <w:pPr>
        <w:spacing w:after="0" w:line="360" w:lineRule="auto"/>
        <w:jc w:val="both"/>
        <w:rPr>
          <w:rFonts w:ascii="Times New Roman" w:eastAsia="Times New Roman" w:hAnsi="Times New Roman"/>
          <w:kern w:val="1"/>
          <w:sz w:val="24"/>
          <w:szCs w:val="24"/>
        </w:rPr>
      </w:pPr>
      <w:r w:rsidRPr="009A3C86">
        <w:rPr>
          <w:rFonts w:ascii="Times New Roman" w:eastAsia="Times New Roman" w:hAnsi="Times New Roman"/>
          <w:sz w:val="24"/>
          <w:szCs w:val="24"/>
        </w:rPr>
        <w:t>W</w:t>
      </w:r>
      <w:r w:rsidRPr="009A3C86">
        <w:rPr>
          <w:rFonts w:ascii="Times New Roman" w:eastAsia="Times New Roman" w:hAnsi="Times New Roman"/>
          <w:kern w:val="1"/>
          <w:sz w:val="24"/>
          <w:szCs w:val="24"/>
        </w:rPr>
        <w:t xml:space="preserve"> celu zwiększenia dobrowolności w ponoszeniu ciężarów publicznoprawnych oraz podniesienia efektywności poboru podatków, proponuje się wprowadzenie rozwiązania polegającego na nadaniu uprawnienia do zastosowania obniżonej stawki odsetek za zwłokę w przypadku, gdy podatnik przed podjęciem postępowania podatkowego lub kontroli podatkowej </w:t>
      </w:r>
      <w:r w:rsidRPr="009A3C86">
        <w:rPr>
          <w:rFonts w:ascii="Times New Roman" w:eastAsia="Times New Roman" w:hAnsi="Times New Roman"/>
          <w:kern w:val="1"/>
          <w:sz w:val="24"/>
          <w:szCs w:val="24"/>
        </w:rPr>
        <w:lastRenderedPageBreak/>
        <w:t xml:space="preserve">złoży korektę deklaracji i zapłaci powstałą zaległość. Prawo do niższych odsetek będzie więc przysługiwało również w przypadku korekty dokonanej w toku czynności sprawdzających oraz po zawiadomieniu o zamiarze wszczęcia kontroli podatkowej, ale jeszcze przed wszczęciem tej kontroli.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Ponieważ w projektowanych przepisach dopuszczono możliwość korygowania deklaracji podatkowej również w toku postępowania podatkowego w okresie pomiędzy wyznaczeniem terminu do wypowiedzenia się w zakresie zebranego materiału dowodowego a wydaniem decyzji, proponuje się wyłączyć prawo do niższych odsetek również w tej sytuacji. Ich zastosowanie uzasadnione jest bowiem jedynie sytuacją, w której zobowiązany samodzielnie i z własnej inicjatywy, poza postępowaniem podatkowym, koryguje deklarację. Wykazanie błędów w deklaracji w wyniku prowadzonego postępowania podatkowego nie uzasadnia zastosowania niższych odsetek za zwłokę.</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Podobne uzasadnienie mają rozwiązania przyjęte w związku z procedurą kontroli celno-skarbowej uregulowaną w ustawie o Krajowej Administracji Skarbowej. Należało wyłączyć uprawnienie do zastosowania niższych odsetek za zwłokę w sytuacji, gdy podjęto już kontrolę celno-skarbową lub zakończono ją wskazując nieprawidłowości. Art. 62 ust. 4 powołanej ustawy uprawnia kontrolowanego do korekty deklaracji w trakcie kontroli celno-skarbowej w terminie 14 dni od dnia doręczenia upoważnienia do jej przeprowadzenia. Z kolei art. 82 ust. 3 stanowi podstawę do dokonania korekty deklaracji w terminie 14 dni od dnia doręczenia wyniku kontroli celno-skarbowej. </w:t>
      </w:r>
    </w:p>
    <w:p w:rsidR="003C2640" w:rsidRPr="009A3C86" w:rsidRDefault="003C2640" w:rsidP="003C2640">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t>Art. 1</w:t>
      </w:r>
      <w:r w:rsidR="004F27E1" w:rsidRPr="009A3C86">
        <w:rPr>
          <w:rFonts w:ascii="Times New Roman" w:eastAsia="Times New Roman" w:hAnsi="Times New Roman"/>
          <w:b/>
          <w:sz w:val="24"/>
          <w:szCs w:val="24"/>
        </w:rPr>
        <w:t>6</w:t>
      </w:r>
      <w:r w:rsidR="001D5BE6" w:rsidRPr="009A3C86">
        <w:rPr>
          <w:rFonts w:ascii="Times New Roman" w:eastAsia="Times New Roman" w:hAnsi="Times New Roman"/>
          <w:b/>
          <w:sz w:val="24"/>
          <w:szCs w:val="24"/>
        </w:rPr>
        <w:t>9</w:t>
      </w:r>
      <w:r w:rsidR="003365BE" w:rsidRPr="009A3C86">
        <w:rPr>
          <w:rFonts w:ascii="Times New Roman" w:eastAsia="Times New Roman" w:hAnsi="Times New Roman"/>
          <w:b/>
          <w:sz w:val="24"/>
          <w:szCs w:val="24"/>
        </w:rPr>
        <w:t xml:space="preserve"> § 1</w:t>
      </w:r>
      <w:r w:rsidRPr="009A3C86">
        <w:rPr>
          <w:rFonts w:ascii="Times New Roman" w:eastAsia="Times New Roman" w:hAnsi="Times New Roman"/>
          <w:b/>
          <w:sz w:val="24"/>
          <w:szCs w:val="24"/>
        </w:rPr>
        <w:t xml:space="preserve"> i </w:t>
      </w:r>
      <w:r w:rsidR="003365BE" w:rsidRPr="009A3C86">
        <w:rPr>
          <w:rFonts w:ascii="Times New Roman" w:eastAsia="Times New Roman" w:hAnsi="Times New Roman"/>
          <w:b/>
          <w:sz w:val="24"/>
          <w:szCs w:val="24"/>
        </w:rPr>
        <w:t xml:space="preserve">2 </w:t>
      </w:r>
      <w:r w:rsidRPr="009A3C86">
        <w:rPr>
          <w:rFonts w:ascii="Times New Roman" w:eastAsia="Times New Roman" w:hAnsi="Times New Roman"/>
          <w:sz w:val="24"/>
          <w:szCs w:val="24"/>
        </w:rPr>
        <w:t xml:space="preserve"> projektowanej ustawy stanowią odpowiedniki obowiązujących przepisów ordynacji podatkowej (art. 56c i 56d) z tym zastrzeżeniem, iż uwzględniają zniesienie podwyższonej stawki odsetek za zwłokę.</w:t>
      </w:r>
    </w:p>
    <w:p w:rsidR="00326528" w:rsidRPr="009A3C86" w:rsidRDefault="00326528"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7. Przedawnienie</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 Aktualnie w polskim prawie podatkowym przedawnienie albo uniemożliwia wymiar zobowiązania podatkowego, albo prowadzi do wygaśnięcia tego zobowiązania. Niestety, w następstwie szeregu wyjątków od generalnej zasady jego gwarancyjna funkcja jest osłabiona. Taki stan rzeczy wynika m.in. z tego, iż możliwe jest wielokrotne przerywanie biegu tego terminu. Obecnie termin przedawnienia zobowiązań podatkowych może być bez ograniczeń przedłużany w związku z możliwością przemiennego i wielokrotnego jego przerywania i </w:t>
      </w:r>
      <w:r w:rsidRPr="009A3C86">
        <w:rPr>
          <w:rFonts w:ascii="Times New Roman" w:hAnsi="Times New Roman"/>
          <w:sz w:val="24"/>
          <w:szCs w:val="24"/>
        </w:rPr>
        <w:lastRenderedPageBreak/>
        <w:t>zawieszania</w:t>
      </w:r>
      <w:r w:rsidRPr="009A3C86">
        <w:rPr>
          <w:rFonts w:ascii="Times New Roman" w:hAnsi="Times New Roman"/>
          <w:sz w:val="24"/>
          <w:szCs w:val="24"/>
          <w:vertAlign w:val="superscript"/>
        </w:rPr>
        <w:footnoteReference w:id="210"/>
      </w:r>
      <w:r w:rsidRPr="009A3C86">
        <w:rPr>
          <w:rFonts w:ascii="Times New Roman" w:hAnsi="Times New Roman"/>
          <w:sz w:val="24"/>
          <w:szCs w:val="24"/>
        </w:rPr>
        <w:t>, co oznacza, że w istocie rzeczy mamy do czynienia z instytucją pozorną</w:t>
      </w:r>
      <w:r w:rsidRPr="009A3C86">
        <w:rPr>
          <w:rFonts w:ascii="Times New Roman" w:hAnsi="Times New Roman"/>
          <w:sz w:val="24"/>
          <w:szCs w:val="24"/>
          <w:vertAlign w:val="superscript"/>
        </w:rPr>
        <w:footnoteReference w:id="211"/>
      </w:r>
      <w:r w:rsidRPr="009A3C86">
        <w:rPr>
          <w:rFonts w:ascii="Times New Roman" w:hAnsi="Times New Roman"/>
          <w:sz w:val="24"/>
          <w:szCs w:val="24"/>
        </w:rPr>
        <w:t xml:space="preserve">. Powoduje to, że w praktyce przedawnienie, które powinno nastąpić co do zasady po 5 latach, może mieć miejsce dopiero po kilkunastu latach, choć zdarzać się mogą przypadki, gdy może trwać jeszcze dłużej. Projektowane przepisy mają służyć przywróceniu jego gwarancyjnej funkcji m.in. przez realne ograniczenie możliwości przedłużania okresu, w którym organy podatkowe będą mogły podejmować czynności zmierzające do ustalenia lub określenia i następnie dochodzenia od podatników należności podatkowych.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2. Projektowanej instytucji przedawnienia będzie towarzyszyć przebudowa jej konstrukcji. Będzie ona oparta o wyróżnienie przedawnienia prawa do wymiaru oraz przedawnienia poboru podatku. Nie jest możliwe, często podnoszone i postulowane, proste wyeliminowanie określonych przesłanek powodujących zawieszenie</w:t>
      </w:r>
      <w:r w:rsidRPr="009A3C86">
        <w:rPr>
          <w:rFonts w:ascii="Times New Roman" w:hAnsi="Times New Roman"/>
          <w:sz w:val="24"/>
          <w:szCs w:val="24"/>
          <w:vertAlign w:val="superscript"/>
        </w:rPr>
        <w:footnoteReference w:id="212"/>
      </w:r>
      <w:r w:rsidRPr="009A3C86">
        <w:rPr>
          <w:rFonts w:ascii="Times New Roman" w:hAnsi="Times New Roman"/>
          <w:sz w:val="24"/>
          <w:szCs w:val="24"/>
        </w:rPr>
        <w:t xml:space="preserve"> lub przerwanie biegu terminu przedawnienia</w:t>
      </w:r>
      <w:r w:rsidRPr="009A3C86">
        <w:rPr>
          <w:rFonts w:ascii="Times New Roman" w:hAnsi="Times New Roman"/>
          <w:sz w:val="24"/>
          <w:szCs w:val="24"/>
          <w:vertAlign w:val="superscript"/>
        </w:rPr>
        <w:footnoteReference w:id="213"/>
      </w:r>
      <w:r w:rsidRPr="009A3C86">
        <w:rPr>
          <w:rFonts w:ascii="Times New Roman" w:hAnsi="Times New Roman"/>
          <w:sz w:val="24"/>
          <w:szCs w:val="24"/>
        </w:rPr>
        <w:t>, czy też wprowadzenie ograniczeń czasowych przy pozostawieniu obecnie funkcjonującego modelu przedawnień. Mogłoby to bowiem powodować poważne zagrożenie interesu finansowego państwa w związku z pozbawieniem organów podatkowych realnych możliwości wymierzenia podatnikowi podatku, a następnie jego wyegzekwowania.</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Funkcjonowanie odrębnego przedawnienia wymiaru i poboru podatku jest rozwiązaniem przewidzianym w Modelowych kodeksach podatkowych Międzynarodowego Funduszu Walutowego</w:t>
      </w:r>
      <w:r w:rsidRPr="009A3C86">
        <w:rPr>
          <w:rFonts w:ascii="Times New Roman" w:hAnsi="Times New Roman"/>
          <w:sz w:val="24"/>
          <w:szCs w:val="24"/>
          <w:vertAlign w:val="superscript"/>
        </w:rPr>
        <w:footnoteReference w:id="214"/>
      </w:r>
      <w:r w:rsidRPr="009A3C86">
        <w:rPr>
          <w:rFonts w:ascii="Times New Roman" w:hAnsi="Times New Roman"/>
          <w:sz w:val="24"/>
          <w:szCs w:val="24"/>
        </w:rPr>
        <w:t xml:space="preserve">, a także projekcie Centro Interamericano de Administraciones Tributarias </w:t>
      </w:r>
      <w:r w:rsidRPr="009A3C86">
        <w:rPr>
          <w:rFonts w:ascii="Times New Roman" w:hAnsi="Times New Roman"/>
          <w:sz w:val="24"/>
          <w:szCs w:val="24"/>
        </w:rPr>
        <w:lastRenderedPageBreak/>
        <w:t>(CIAT)</w:t>
      </w:r>
      <w:r w:rsidRPr="009A3C86">
        <w:rPr>
          <w:rFonts w:ascii="Times New Roman" w:hAnsi="Times New Roman"/>
          <w:sz w:val="24"/>
          <w:szCs w:val="24"/>
          <w:vertAlign w:val="superscript"/>
        </w:rPr>
        <w:footnoteReference w:id="215"/>
      </w:r>
      <w:r w:rsidRPr="009A3C86">
        <w:rPr>
          <w:rFonts w:ascii="Times New Roman" w:hAnsi="Times New Roman"/>
          <w:sz w:val="24"/>
          <w:szCs w:val="24"/>
        </w:rPr>
        <w:t>. Stosowane jest także w systemach prawnych innych państw, m.in. w Niemczech</w:t>
      </w:r>
      <w:r w:rsidRPr="009A3C86">
        <w:rPr>
          <w:rFonts w:ascii="Times New Roman" w:hAnsi="Times New Roman"/>
          <w:sz w:val="24"/>
          <w:szCs w:val="24"/>
          <w:vertAlign w:val="superscript"/>
        </w:rPr>
        <w:footnoteReference w:id="216"/>
      </w:r>
      <w:r w:rsidRPr="009A3C86">
        <w:rPr>
          <w:rFonts w:ascii="Times New Roman" w:hAnsi="Times New Roman"/>
          <w:sz w:val="24"/>
          <w:szCs w:val="24"/>
        </w:rPr>
        <w:t>, Estonii</w:t>
      </w:r>
      <w:r w:rsidRPr="009A3C86">
        <w:rPr>
          <w:rFonts w:ascii="Times New Roman" w:hAnsi="Times New Roman"/>
          <w:sz w:val="24"/>
          <w:szCs w:val="24"/>
          <w:vertAlign w:val="superscript"/>
        </w:rPr>
        <w:footnoteReference w:id="217"/>
      </w:r>
      <w:r w:rsidRPr="009A3C86">
        <w:rPr>
          <w:rFonts w:ascii="Times New Roman" w:hAnsi="Times New Roman"/>
          <w:sz w:val="24"/>
          <w:szCs w:val="24"/>
        </w:rPr>
        <w:t>, na Węgrzech</w:t>
      </w:r>
      <w:r w:rsidRPr="009A3C86">
        <w:rPr>
          <w:rFonts w:ascii="Times New Roman" w:hAnsi="Times New Roman"/>
          <w:sz w:val="24"/>
          <w:szCs w:val="24"/>
          <w:vertAlign w:val="superscript"/>
        </w:rPr>
        <w:footnoteReference w:id="218"/>
      </w:r>
      <w:r w:rsidRPr="009A3C86">
        <w:rPr>
          <w:rFonts w:ascii="Times New Roman" w:hAnsi="Times New Roman"/>
          <w:sz w:val="24"/>
          <w:szCs w:val="24"/>
        </w:rPr>
        <w:t>, Hiszpanii</w:t>
      </w:r>
      <w:r w:rsidRPr="009A3C86">
        <w:rPr>
          <w:rFonts w:ascii="Times New Roman" w:hAnsi="Times New Roman"/>
          <w:sz w:val="24"/>
          <w:szCs w:val="24"/>
          <w:vertAlign w:val="superscript"/>
        </w:rPr>
        <w:footnoteReference w:id="219"/>
      </w:r>
      <w:r w:rsidRPr="009A3C86">
        <w:rPr>
          <w:rFonts w:ascii="Times New Roman" w:hAnsi="Times New Roman"/>
          <w:sz w:val="24"/>
          <w:szCs w:val="24"/>
        </w:rPr>
        <w:t xml:space="preserve"> czy w USA</w:t>
      </w:r>
      <w:r w:rsidRPr="009A3C86">
        <w:rPr>
          <w:rFonts w:ascii="Times New Roman" w:hAnsi="Times New Roman"/>
          <w:sz w:val="24"/>
          <w:szCs w:val="24"/>
          <w:vertAlign w:val="superscript"/>
        </w:rPr>
        <w:footnoteReference w:id="220"/>
      </w:r>
      <w:r w:rsidRPr="009A3C86">
        <w:rPr>
          <w:rFonts w:ascii="Times New Roman" w:hAnsi="Times New Roman"/>
          <w:sz w:val="24"/>
          <w:szCs w:val="24"/>
        </w:rPr>
        <w:t>. Jest to również instytucja znana polskim rozwiązaniom funkcjonującym w przeszłości</w:t>
      </w:r>
      <w:r w:rsidRPr="009A3C86">
        <w:rPr>
          <w:rFonts w:ascii="Times New Roman" w:hAnsi="Times New Roman"/>
          <w:sz w:val="24"/>
          <w:szCs w:val="24"/>
          <w:vertAlign w:val="superscript"/>
        </w:rPr>
        <w:footnoteReference w:id="221"/>
      </w:r>
      <w:r w:rsidRPr="009A3C86">
        <w:rPr>
          <w:rFonts w:ascii="Times New Roman" w:hAnsi="Times New Roman"/>
          <w:sz w:val="24"/>
          <w:szCs w:val="24"/>
        </w:rPr>
        <w:t>, jak i mających zastosowanie obecnie. Wyraźne oddzielenie terminu na dokonanie wymiaru zobowiązania oraz na jego pobór występuje obecnie w obowiązujących przepisach zarówno w odniesieniu do podatków, w których zobowiązania powstają na skutek doręczenia decyzji ustalającej wysokość zobowiązania podatkowego</w:t>
      </w:r>
      <w:r w:rsidRPr="009A3C86">
        <w:rPr>
          <w:rFonts w:ascii="Times New Roman" w:hAnsi="Times New Roman"/>
          <w:sz w:val="24"/>
          <w:szCs w:val="24"/>
          <w:vertAlign w:val="superscript"/>
        </w:rPr>
        <w:footnoteReference w:id="222"/>
      </w:r>
      <w:r w:rsidRPr="009A3C86">
        <w:rPr>
          <w:rFonts w:ascii="Times New Roman" w:hAnsi="Times New Roman"/>
          <w:sz w:val="24"/>
          <w:szCs w:val="24"/>
        </w:rPr>
        <w:t>, jak i w przypadku należności przenoszonych na osoby trzecie</w:t>
      </w:r>
      <w:r w:rsidRPr="009A3C86">
        <w:rPr>
          <w:rFonts w:ascii="Times New Roman" w:hAnsi="Times New Roman"/>
          <w:sz w:val="24"/>
          <w:szCs w:val="24"/>
          <w:vertAlign w:val="superscript"/>
        </w:rPr>
        <w:footnoteReference w:id="223"/>
      </w:r>
      <w:r w:rsidRPr="009A3C86">
        <w:rPr>
          <w:rFonts w:ascii="Times New Roman" w:hAnsi="Times New Roman"/>
          <w:sz w:val="24"/>
          <w:szCs w:val="24"/>
        </w:rPr>
        <w:t xml:space="preserve"> przy realizacji kar porządkowych</w:t>
      </w:r>
      <w:r w:rsidRPr="009A3C86">
        <w:rPr>
          <w:rFonts w:ascii="Times New Roman" w:hAnsi="Times New Roman"/>
          <w:sz w:val="24"/>
          <w:szCs w:val="24"/>
          <w:vertAlign w:val="superscript"/>
        </w:rPr>
        <w:footnoteReference w:id="224"/>
      </w:r>
      <w:r w:rsidRPr="009A3C86">
        <w:rPr>
          <w:rFonts w:ascii="Times New Roman" w:hAnsi="Times New Roman"/>
          <w:sz w:val="24"/>
          <w:szCs w:val="24"/>
        </w:rPr>
        <w:t xml:space="preserve"> oraz kosztów postępowania</w:t>
      </w:r>
      <w:r w:rsidRPr="009A3C86">
        <w:rPr>
          <w:rFonts w:ascii="Times New Roman" w:hAnsi="Times New Roman"/>
          <w:sz w:val="24"/>
          <w:szCs w:val="24"/>
          <w:vertAlign w:val="superscript"/>
        </w:rPr>
        <w:footnoteReference w:id="225"/>
      </w:r>
      <w:r w:rsidRPr="009A3C86">
        <w:rPr>
          <w:rFonts w:ascii="Times New Roman" w:hAnsi="Times New Roman"/>
          <w:sz w:val="24"/>
          <w:szCs w:val="24"/>
        </w:rPr>
        <w:t>. Rozwiązanie to ma również obecnie zastosowanie w zakresie nadpłat</w:t>
      </w:r>
      <w:r w:rsidRPr="009A3C86">
        <w:rPr>
          <w:rFonts w:ascii="Times New Roman" w:hAnsi="Times New Roman"/>
          <w:sz w:val="24"/>
          <w:szCs w:val="24"/>
          <w:vertAlign w:val="superscript"/>
        </w:rPr>
        <w:footnoteReference w:id="226"/>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Wyróżnienie terminów przedawnienia wymiaru i poboru w projekcie ordynacji podatkowej, w przeciwieństwie do obowiązujących przepisów, będzie oderwane od sposobu powstawania zobowiązania podatkowego. Aktualnie bowiem w przypadku podatków, w których zobowiązanie powstaje przez doręczenie decyzji (np. od nieruchomości, rolny czy leśny, gdy podatnikami są osoby fizyczne), organ podatkowy jest uprawniony do jego wymiaru przez okres 3 lub 5 lat (art. 68 o.p.), a następnie po jego powstaniu ma 5 lat na pobór podatku (art. 70 </w:t>
      </w:r>
      <w:r w:rsidRPr="009A3C86">
        <w:rPr>
          <w:rFonts w:ascii="Times New Roman" w:hAnsi="Times New Roman"/>
          <w:sz w:val="24"/>
          <w:szCs w:val="24"/>
        </w:rPr>
        <w:lastRenderedPageBreak/>
        <w:t xml:space="preserve">o.p). Natomiast w przypadku podatków powstających z mocy ustawy (np. dochodowym od osób fizycznych, od towarów i usług, podatku od nieruchomości, rolnym i leśnym, gdy podatnikami są osoby prawne lub jednostki organizacyjne bez osobowości prawnej itd.) obowiązuje jednolity termin na wymiar i pobór podatku wynoszący 5 lat (art. 70 o.p.).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Za wprowadzeniem odrębnego okresu przedawnienia wymiaru i poboru podatku przemawiają następujące argumenty. </w:t>
      </w:r>
    </w:p>
    <w:p w:rsidR="00326528" w:rsidRPr="009A3C86" w:rsidRDefault="00326528" w:rsidP="00326528">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Po pierwsze, mechanizm ten będzie prowadził do ujednolicenia zasad przedawnienia w odniesieniu do wszystkich należności podatkowych, niezależnie od sposobu ich powstawania.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Po drugie, wprowadzenie przedawnienia prawa do wymiaru i poboru podatku umożliwi uporządkowanie działań organów podatkowych. Powinno temu służyć wprowadzenie odrębnych ram czasowych na wymiar i pobór podatku, a także zasady, że czynności podjęte w toku wymiaru, niezwiązane z wymiarem, nie powinny mieć wpływu na przedłużenie okresu przedawnienia prawa do wymiaru. W konsekwencji w ramach przedawnienia wymiaru organ skupi się na czynnościach, które mają prowadzić do wydania decyzji. Po wymierzeniu</w:t>
      </w:r>
      <w:r w:rsidRPr="009A3C86">
        <w:rPr>
          <w:rFonts w:ascii="Times New Roman" w:hAnsi="Times New Roman"/>
          <w:sz w:val="16"/>
          <w:szCs w:val="24"/>
        </w:rPr>
        <w:t xml:space="preserve"> </w:t>
      </w:r>
      <w:r w:rsidRPr="009A3C86">
        <w:rPr>
          <w:rFonts w:ascii="Times New Roman" w:hAnsi="Times New Roman"/>
          <w:sz w:val="24"/>
          <w:szCs w:val="24"/>
        </w:rPr>
        <w:t xml:space="preserve">podatku organy będą mogły podjąć działania związane z jego poborem aż do końca okresu odrębnego przedawnienia. Obecnie organy podatkowe, w ramach postępowania wymiarowego, mogą podejmować różne czynności, które mają służyć przede wszystkim przedłużeniu okresu przedawnienia, w którym mogłyby dokończyć wymiar. Przykładem takiego postępowania jest np. stosowanie środka egzekucyjnego na podstawie nieostatecznej decyzji po nadaniu jej rygoru natychmiastowej wykonalności. </w:t>
      </w:r>
    </w:p>
    <w:p w:rsidR="00326528" w:rsidRPr="009A3C86" w:rsidRDefault="00326528" w:rsidP="0032652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Po trzecie, wprowadzenie odrębnych okresów przedawnienia wymiaru i poboru będzie sprzyjało wyeliminowaniu niektórych, obecnie funkcjonujących, przesłanek powodujących przerwanie lub zawieszenie biegu terminu przedawnienia. Koncepcja rozdzielenia przedawnienia prawa do wymiaru od przedawnienia poboru czyni bezprzedmiotowym nadawanie decyzjom rygoru natychmiastowej wykonalności w oparciu o przesłankę wskazaną w art. 239b § 1 pkt 4 o.p. (do upływu terminu przedawnienia zobowiązania podatkowego pozostały mniej niż 3 miesiące). Aktualnie rygor natychmiastowej wykonalności stwarza podstawę do zastosowania środka egzekucyjnego, który z kolei przerywa bieg terminu przedawnienia „wymiaru i poboru”. Podkreślić jednak należy, że realizacja tego postulatu nie ma na celu eliminacji instytucji rygoru natychmiastowej wykonalności. Powinna ona być zachowana i mieć zastosowanie m.in. w przypadkach, gdy podatnicy dokonują czynności polegających na zbywaniu majątku znacznej wartości przed wydaniem decyzji ostatecznej.</w:t>
      </w:r>
    </w:p>
    <w:p w:rsidR="00326528" w:rsidRPr="009A3C86" w:rsidRDefault="00326528" w:rsidP="00326528">
      <w:pPr>
        <w:tabs>
          <w:tab w:val="left" w:pos="284"/>
          <w:tab w:val="left" w:pos="567"/>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Ważnym elementem koncepcji przedawnień przedstawionych w projekcie jest także wyeliminowanie niezwiązanej z wymiarem przesłanki powodującej obecnie zawieszenie biegu </w:t>
      </w:r>
      <w:r w:rsidRPr="009A3C86">
        <w:rPr>
          <w:rFonts w:ascii="Times New Roman" w:hAnsi="Times New Roman"/>
          <w:sz w:val="24"/>
          <w:szCs w:val="24"/>
        </w:rPr>
        <w:lastRenderedPageBreak/>
        <w:t>terminu przedawnienia zobowiązań podatkowych na skutek wszczęcia postępowania karnego skarbowego</w:t>
      </w:r>
      <w:r w:rsidRPr="009A3C86">
        <w:rPr>
          <w:rFonts w:ascii="Times New Roman" w:hAnsi="Times New Roman"/>
          <w:sz w:val="24"/>
          <w:szCs w:val="24"/>
          <w:vertAlign w:val="superscript"/>
        </w:rPr>
        <w:footnoteReference w:id="227"/>
      </w:r>
      <w:r w:rsidRPr="009A3C86">
        <w:rPr>
          <w:rFonts w:ascii="Times New Roman" w:hAnsi="Times New Roman"/>
          <w:sz w:val="24"/>
          <w:szCs w:val="24"/>
        </w:rPr>
        <w:t>. Uzasadniając twierdzenie o braku związku postępowania karnego skarbowego z wymiarem podatku, należy zwrócić uwagę na charakter prawa podatkowego i prawa karnego skarbowego, a także istniejące między nimi relacje. Prawo karne skarbowe ma niewątpliwie charakter wtórny wobec prawa podatkowego</w:t>
      </w:r>
      <w:r w:rsidRPr="009A3C86">
        <w:rPr>
          <w:rFonts w:ascii="Times New Roman" w:hAnsi="Times New Roman"/>
          <w:sz w:val="24"/>
          <w:szCs w:val="24"/>
          <w:vertAlign w:val="superscript"/>
        </w:rPr>
        <w:footnoteReference w:id="228"/>
      </w:r>
      <w:r w:rsidRPr="009A3C86">
        <w:rPr>
          <w:rFonts w:ascii="Times New Roman" w:hAnsi="Times New Roman"/>
          <w:sz w:val="24"/>
          <w:szCs w:val="24"/>
        </w:rPr>
        <w:t>. Rozpoznanie znamion ustawowych czynów zabronionych opisanych w części szczególnej kodeksu karnego skarbowego jest możliwe wyłącznie w oparciu o przepisy prawa podatkowego. Sam opis karalnego zachowania, zakreślonego przepisami prawa karnego skarbowego, nie pozwala na odczytanie jego treści; trzeba bowiem w celu stwierdzenia realizacji znamion bezprawności posiłkować się treścią norm merytorycznych zawartych w przepisach prawa podatkowego, których dany opis dotyczy</w:t>
      </w:r>
      <w:r w:rsidRPr="009A3C86">
        <w:rPr>
          <w:rFonts w:ascii="Times New Roman" w:hAnsi="Times New Roman"/>
          <w:sz w:val="24"/>
          <w:szCs w:val="24"/>
          <w:vertAlign w:val="superscript"/>
        </w:rPr>
        <w:footnoteReference w:id="229"/>
      </w:r>
      <w:r w:rsidRPr="009A3C86">
        <w:rPr>
          <w:rFonts w:ascii="Times New Roman" w:hAnsi="Times New Roman"/>
          <w:sz w:val="24"/>
          <w:szCs w:val="24"/>
        </w:rPr>
        <w:t>. Podkreśla się, że typy czynów zabronionych, opisane w kodeksie karnym skarbowym, oparte są na normach o charakterze blankietowym, a także, że wypełnieniem tych norm są poszczególne regulacje zawarte w przepisach prawa podatkowego</w:t>
      </w:r>
      <w:r w:rsidRPr="009A3C86">
        <w:rPr>
          <w:rFonts w:ascii="Times New Roman" w:hAnsi="Times New Roman"/>
          <w:sz w:val="24"/>
          <w:szCs w:val="24"/>
          <w:vertAlign w:val="superscript"/>
        </w:rPr>
        <w:footnoteReference w:id="230"/>
      </w:r>
      <w:r w:rsidRPr="009A3C86">
        <w:rPr>
          <w:rFonts w:ascii="Times New Roman" w:hAnsi="Times New Roman"/>
          <w:sz w:val="24"/>
          <w:szCs w:val="24"/>
        </w:rPr>
        <w:t>. Innymi słowy, stwierdzenie w postępowaniu karnym skarbowym bezprawności zachowania sprawcy wymaga ustalenia, czy jest ono zgodne, czy nie ze stosownymi normami prawa podatkowego</w:t>
      </w:r>
      <w:r w:rsidRPr="009A3C86">
        <w:rPr>
          <w:rFonts w:ascii="Times New Roman" w:hAnsi="Times New Roman"/>
          <w:sz w:val="24"/>
          <w:szCs w:val="24"/>
          <w:vertAlign w:val="superscript"/>
        </w:rPr>
        <w:footnoteReference w:id="231"/>
      </w:r>
      <w:r w:rsidRPr="009A3C86">
        <w:rPr>
          <w:rFonts w:ascii="Times New Roman" w:hAnsi="Times New Roman"/>
          <w:sz w:val="24"/>
          <w:szCs w:val="24"/>
        </w:rPr>
        <w:t xml:space="preserve">. Możliwość zastosowania norm zawartych w prawie karnym skarbowym zależy więc od ustaleń podjętych w toku rozstrzygania sprawy podatkowej m.in. w toku postępowania podatkowego i zakończonych decyzją wymiarową. W związku z tym brak jest podstaw do zawieszania biegu terminu przedawnienia wymiaru w prawie podatkowym z uwagi na wszczęcie postępowania w sprawie karnej skarbowej. Uzasadnione może być natomiast zawieszenie postępowania </w:t>
      </w:r>
      <w:r w:rsidRPr="009A3C86">
        <w:rPr>
          <w:rFonts w:ascii="Times New Roman" w:hAnsi="Times New Roman"/>
          <w:sz w:val="24"/>
          <w:szCs w:val="24"/>
        </w:rPr>
        <w:lastRenderedPageBreak/>
        <w:t>karnego skarbowego, co obecnie znajduje podstawę w art. 114a Kodeksu karnego skarbowego</w:t>
      </w:r>
      <w:r w:rsidRPr="009A3C86">
        <w:rPr>
          <w:rFonts w:ascii="Times New Roman" w:hAnsi="Times New Roman"/>
          <w:sz w:val="24"/>
          <w:szCs w:val="24"/>
          <w:vertAlign w:val="superscript"/>
        </w:rPr>
        <w:footnoteReference w:id="232"/>
      </w:r>
      <w:r w:rsidRPr="009A3C86">
        <w:rPr>
          <w:rFonts w:ascii="Times New Roman" w:hAnsi="Times New Roman"/>
          <w:sz w:val="24"/>
          <w:szCs w:val="24"/>
        </w:rPr>
        <w:t xml:space="preserve">. </w:t>
      </w:r>
    </w:p>
    <w:p w:rsidR="00326528" w:rsidRPr="009A3C86" w:rsidRDefault="00326528" w:rsidP="00326528">
      <w:pPr>
        <w:tabs>
          <w:tab w:val="left" w:pos="284"/>
          <w:tab w:val="left" w:pos="567"/>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Istotnym elementem spajającym relacje między właściwie funkcjonującym prawem podatkowym i karnym skarbowym musi być możliwość karania sprawcy przez odpowiedni okres, który powinien wykraczać poza przedawnienie wymiaru. Kwestia ta obecnie jest unormowana w art. 44 </w:t>
      </w:r>
      <w:r w:rsidRPr="009A3C86">
        <w:rPr>
          <w:rFonts w:ascii="Times New Roman" w:hAnsi="Times New Roman"/>
          <w:bCs/>
          <w:sz w:val="24"/>
          <w:szCs w:val="24"/>
        </w:rPr>
        <w:t>§</w:t>
      </w:r>
      <w:r w:rsidRPr="009A3C86">
        <w:rPr>
          <w:rFonts w:ascii="Times New Roman" w:hAnsi="Times New Roman"/>
          <w:sz w:val="24"/>
          <w:szCs w:val="24"/>
        </w:rPr>
        <w:t xml:space="preserve"> 2 Kodeksu karnego skarbowego. Regulacja ta przewiduje karalność przestępstw skarbowych polegających na uszczupleniu lub narażeniu na uszczuplenie należności publiczonoprawnych, która ustaje w sytuacji przedawnienia tych należności. Przepis ten powinien być odczytany w kontekście projektowanych regulacji podatkowych w ten sposób, że ustanie karalności powinno następować dopiero w przypadku przedawnienia poboru określonych należności, co będzie miało miejsce dopiero po 5 latach od dnia, w którym upłynął termin przedawnienia wymiaru (przedawnienie wymiaru zob. </w:t>
      </w:r>
      <w:r w:rsidRPr="009A3C86">
        <w:rPr>
          <w:rFonts w:ascii="Times New Roman" w:hAnsi="Times New Roman"/>
          <w:b/>
          <w:sz w:val="24"/>
          <w:szCs w:val="24"/>
        </w:rPr>
        <w:t>art. 17</w:t>
      </w:r>
      <w:r w:rsidR="003365BE" w:rsidRPr="009A3C86">
        <w:rPr>
          <w:rFonts w:ascii="Times New Roman" w:hAnsi="Times New Roman"/>
          <w:b/>
          <w:sz w:val="24"/>
          <w:szCs w:val="24"/>
        </w:rPr>
        <w:t>0</w:t>
      </w:r>
      <w:r w:rsidRPr="009A3C86">
        <w:rPr>
          <w:rFonts w:ascii="Times New Roman" w:hAnsi="Times New Roman"/>
          <w:b/>
          <w:sz w:val="24"/>
          <w:szCs w:val="24"/>
        </w:rPr>
        <w:t>-1</w:t>
      </w:r>
      <w:r w:rsidR="004F27E1" w:rsidRPr="009A3C86">
        <w:rPr>
          <w:rFonts w:ascii="Times New Roman" w:hAnsi="Times New Roman"/>
          <w:b/>
          <w:sz w:val="24"/>
          <w:szCs w:val="24"/>
        </w:rPr>
        <w:t>7</w:t>
      </w:r>
      <w:r w:rsidR="003365BE" w:rsidRPr="009A3C86">
        <w:rPr>
          <w:rFonts w:ascii="Times New Roman" w:hAnsi="Times New Roman"/>
          <w:b/>
          <w:sz w:val="24"/>
          <w:szCs w:val="24"/>
        </w:rPr>
        <w:t>8</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Po czwarte, wprowadzenie przedawnienia wymiaru i poboru podatku umożliwi uporządkowanie przesłanek zawieszenia i przerwania biegu terminu przedawnienia. Obecnie ordynacja podatkowa zawiera dziesięć przesłanek zawieszenia terminu przedawnienia zobowiązania podatkowego oraz dwie przesłanki przerwania prawa do poboru podatku. Ponieważ przesłanki zawieszenia i przerwania są stosowane zarówno w zakresie wymiaru, jak i poboru, to każda z nich ma wpływ zarówno na czas do wymiaru podatku, jak i na czas poboru wymierzonego podatku. Prowadzi to do trudnych do zaakceptowania konsekwencji, gdy np. rozłożenie na raty podatku z deklaracji wydłuża czas na weryfikację prawidłowości całego rozliczenia.</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4. Wprowadzane zmiany w zakresie przedawnienia nie będą realnie prowadzić do wydłużenia, w porównaniu do obecnie obowiązującej sytuacji, okresu przedawnienia, mimo wprowadzenia </w:t>
      </w:r>
      <w:r w:rsidR="00BE52C3" w:rsidRPr="009A3C86">
        <w:rPr>
          <w:rFonts w:ascii="Times New Roman" w:hAnsi="Times New Roman"/>
          <w:sz w:val="24"/>
          <w:szCs w:val="24"/>
        </w:rPr>
        <w:t>3 lat/</w:t>
      </w:r>
      <w:r w:rsidRPr="009A3C86">
        <w:rPr>
          <w:rFonts w:ascii="Times New Roman" w:hAnsi="Times New Roman"/>
          <w:sz w:val="24"/>
          <w:szCs w:val="24"/>
        </w:rPr>
        <w:t xml:space="preserve">5 lat na doręczenie przez organy podatkowe podatnikowi decyzji wydanej w pierwszej instancji oraz 5 lat na pobór podatku. Znajduje to potwierdzenie w następujących argumentach. Po pierwsze, oceniając okres przedawnienia, należy mieć na uwadze całą konstrukcję tej instytucji i porównać jej kształt funkcjonujący do proponowanego. Wadliwe jest zestawienie tylko wybranych jej elementów. Na konstrukcję przedawnień składają się m.in. terminy przedawnienia, ale także rozwiązania dotyczące rozpoczęcia ich biegu oraz mechanizmy powodujące zawieszenie i przerwanie biegu terminu przedawnienia. </w:t>
      </w:r>
    </w:p>
    <w:p w:rsidR="00326528" w:rsidRPr="009A3C86" w:rsidRDefault="00326528" w:rsidP="00326528">
      <w:pPr>
        <w:tabs>
          <w:tab w:val="left" w:pos="284"/>
          <w:tab w:val="left" w:pos="567"/>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Po drugie, zgodnie z projektowanymi przepisami, bieg terminów przedawnienia wymiaru, w zależności od sposobu powstania zobowiązania podatkowego, rozpoczyna się zasadniczo od dnia upływu terminu płatności lub od dnia powstania obowiązku podatkowego. Obecnie okres przedawnienia liczony jest od początku roku następującego po roku, w którym upłynął termin płatności podatku lub powstał obowiązek podatkowy.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Po trzecie, przedstawione w projekcie mechanizmy przedawnienia zakładają wprowadzenie maksymalnego okresu przedłużenia okresu przedawnienia wymiaru (z dwoma tylko wyjątkami przewidzianym w </w:t>
      </w:r>
      <w:r w:rsidRPr="009A3C86">
        <w:rPr>
          <w:rFonts w:ascii="Times New Roman" w:hAnsi="Times New Roman"/>
          <w:b/>
          <w:sz w:val="24"/>
          <w:szCs w:val="24"/>
        </w:rPr>
        <w:t>art. 1</w:t>
      </w:r>
      <w:r w:rsidR="004F27E1" w:rsidRPr="009A3C86">
        <w:rPr>
          <w:rFonts w:ascii="Times New Roman" w:hAnsi="Times New Roman"/>
          <w:b/>
          <w:sz w:val="24"/>
          <w:szCs w:val="24"/>
        </w:rPr>
        <w:t>7</w:t>
      </w:r>
      <w:r w:rsidR="003365BE" w:rsidRPr="009A3C86">
        <w:rPr>
          <w:rFonts w:ascii="Times New Roman" w:hAnsi="Times New Roman"/>
          <w:b/>
          <w:sz w:val="24"/>
          <w:szCs w:val="24"/>
        </w:rPr>
        <w:t>7</w:t>
      </w:r>
      <w:r w:rsidRPr="009A3C86">
        <w:rPr>
          <w:rFonts w:ascii="Times New Roman" w:hAnsi="Times New Roman"/>
          <w:b/>
          <w:sz w:val="24"/>
          <w:szCs w:val="24"/>
        </w:rPr>
        <w:t xml:space="preserve"> § 3</w:t>
      </w:r>
      <w:r w:rsidRPr="009A3C86">
        <w:rPr>
          <w:rFonts w:ascii="Times New Roman" w:hAnsi="Times New Roman"/>
          <w:sz w:val="24"/>
          <w:szCs w:val="24"/>
        </w:rPr>
        <w:t>), jak i przedawnienia poboru. W obowiązujących obecnie przepisach kształtujących przedawnienie zobowiązania podatkowego brak jest podobnego rozwiązania, które kreowałoby realne ramy czasowe ograniczenia przedłużenia przedawnienia tych zobowiązań w tak szerokim zakresie</w:t>
      </w:r>
      <w:r w:rsidRPr="009A3C86">
        <w:rPr>
          <w:rFonts w:ascii="Times New Roman" w:hAnsi="Times New Roman"/>
          <w:sz w:val="24"/>
          <w:szCs w:val="24"/>
          <w:vertAlign w:val="superscript"/>
        </w:rPr>
        <w:footnoteReference w:id="233"/>
      </w:r>
      <w:r w:rsidRPr="009A3C86">
        <w:rPr>
          <w:rFonts w:ascii="Times New Roman" w:hAnsi="Times New Roman"/>
          <w:sz w:val="24"/>
          <w:szCs w:val="24"/>
        </w:rPr>
        <w:t xml:space="preserve">. Prowadzi to do sytuacji, w której przedawnienie zobowiązań podatkowych może w ogóle nie następować lub następować po kilkunastu czy nawet kilkudziesięciu latach. </w:t>
      </w:r>
    </w:p>
    <w:p w:rsidR="00326528" w:rsidRPr="009A3C86" w:rsidRDefault="00326528" w:rsidP="00326528">
      <w:pPr>
        <w:spacing w:after="0" w:line="360" w:lineRule="auto"/>
        <w:jc w:val="both"/>
        <w:rPr>
          <w:rFonts w:ascii="Times New Roman" w:eastAsia="Times New Roman" w:hAnsi="Times New Roman"/>
          <w:sz w:val="24"/>
          <w:szCs w:val="24"/>
          <w:lang w:eastAsia="pl-PL"/>
        </w:rPr>
      </w:pPr>
    </w:p>
    <w:p w:rsidR="00326528" w:rsidRPr="009A3C86" w:rsidRDefault="00326528" w:rsidP="00D72E74">
      <w:pPr>
        <w:keepNext/>
        <w:keepLines/>
        <w:spacing w:before="120" w:after="0" w:line="360" w:lineRule="auto"/>
        <w:jc w:val="both"/>
        <w:outlineLvl w:val="3"/>
        <w:rPr>
          <w:rFonts w:ascii="Times New Roman" w:eastAsia="Times New Roman" w:hAnsi="Times New Roman"/>
          <w:b/>
          <w:iCs/>
          <w:sz w:val="24"/>
          <w:szCs w:val="24"/>
        </w:rPr>
      </w:pPr>
      <w:bookmarkStart w:id="19" w:name="_Toc494363245"/>
      <w:r w:rsidRPr="009A3C86">
        <w:rPr>
          <w:rFonts w:ascii="Times New Roman" w:eastAsia="Times New Roman" w:hAnsi="Times New Roman"/>
          <w:b/>
          <w:iCs/>
          <w:sz w:val="24"/>
          <w:szCs w:val="24"/>
        </w:rPr>
        <w:t>Oddział 1. Przedawnienie wymiaru</w:t>
      </w:r>
      <w:bookmarkEnd w:id="19"/>
    </w:p>
    <w:p w:rsidR="00326528" w:rsidRPr="009A3C86" w:rsidRDefault="00CE645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 W przepisie </w:t>
      </w:r>
      <w:r w:rsidRPr="009A3C86">
        <w:rPr>
          <w:rFonts w:ascii="Times New Roman" w:hAnsi="Times New Roman"/>
          <w:b/>
          <w:bCs/>
          <w:sz w:val="24"/>
          <w:szCs w:val="24"/>
        </w:rPr>
        <w:t>art. 170</w:t>
      </w:r>
      <w:r w:rsidRPr="009A3C86">
        <w:rPr>
          <w:rFonts w:ascii="Times New Roman" w:hAnsi="Times New Roman"/>
          <w:bCs/>
          <w:sz w:val="24"/>
          <w:szCs w:val="24"/>
        </w:rPr>
        <w:t xml:space="preserve"> </w:t>
      </w:r>
      <w:r w:rsidRPr="009A3C86">
        <w:rPr>
          <w:rFonts w:ascii="Times New Roman" w:hAnsi="Times New Roman"/>
          <w:sz w:val="24"/>
          <w:szCs w:val="24"/>
        </w:rPr>
        <w:t xml:space="preserve">uregulowano istotę przedawnienia wymiaru. Zgodnie z tym przepisem doręczenie decyzji wymiarowej organu pierwszej instancji nie wywołuje skutków prawnych, jeśli nastąpiło po upływie </w:t>
      </w:r>
      <w:r w:rsidR="00BE52C3" w:rsidRPr="009A3C86">
        <w:rPr>
          <w:rFonts w:ascii="Times New Roman" w:hAnsi="Times New Roman"/>
          <w:sz w:val="24"/>
          <w:szCs w:val="24"/>
        </w:rPr>
        <w:t xml:space="preserve">3 albo </w:t>
      </w:r>
      <w:r w:rsidRPr="009A3C86">
        <w:rPr>
          <w:rFonts w:ascii="Times New Roman" w:hAnsi="Times New Roman"/>
          <w:sz w:val="24"/>
          <w:szCs w:val="24"/>
        </w:rPr>
        <w:t>5 lat. Okres przedawnienia wymiaru będzie okresem na kwestionowanie poprawności rozliczenia podatku dokonanego przez podatnika, np. w złożonej deklaracji podatkowej, ale też na wydanie decyzji określającej w przypadku braku takiej deklaracji</w:t>
      </w:r>
      <w:r w:rsidRPr="009A3C86">
        <w:rPr>
          <w:rFonts w:ascii="Times New Roman" w:hAnsi="Times New Roman"/>
          <w:sz w:val="24"/>
          <w:szCs w:val="24"/>
          <w:vertAlign w:val="superscript"/>
        </w:rPr>
        <w:footnoteReference w:id="234"/>
      </w:r>
      <w:r w:rsidRPr="009A3C86">
        <w:rPr>
          <w:rFonts w:ascii="Times New Roman" w:hAnsi="Times New Roman"/>
          <w:sz w:val="24"/>
          <w:szCs w:val="24"/>
        </w:rPr>
        <w:t>. Termin przedawnienia wymiaru ma ograniczać organ w zakresie wydania decyzji ustalającej wysokość zobowiązania podatkowego, o ile ustawa przewiduje taki sposób jego powstania, zarówno w przypadku tzw. podatków incydentalnych (np. podatek od spadków i darowizn), jak i okresowych (np. podatek od nieruchomości, rolny i leśny, w podatku dochodowym od osób fizycznych w zakresie dochodów nieujawnionych oraz dodatkowym zobowiązaniu w VAT).</w:t>
      </w:r>
      <w:r w:rsidR="00326528"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proponowanym przepisie organ podatkowy ma zakreślony czas na dokonanie wymiaru podatku rozumianego jako doręczenie przez organ podatkowy pierwszej instancji decyzji </w:t>
      </w:r>
      <w:r w:rsidRPr="009A3C86">
        <w:rPr>
          <w:rFonts w:ascii="Times New Roman" w:hAnsi="Times New Roman"/>
          <w:sz w:val="24"/>
          <w:szCs w:val="24"/>
        </w:rPr>
        <w:lastRenderedPageBreak/>
        <w:t xml:space="preserve">wymiarowej podatnikowi, ale także innym podmiotom zobowiązanym. Jest to czas na doręczenie decyzji wymiarowej określającej lub ustalającej wysokość zobowiązania podatkowego, ale także m.in. o odpowiedzialności spadkobiercy, zapisobiercy windykacyjnego, płatnika, inkasenta. W przypadku osób trzecich termin zostaje określony odrębnie w </w:t>
      </w:r>
      <w:r w:rsidRPr="009A3C86">
        <w:rPr>
          <w:rFonts w:ascii="Times New Roman" w:hAnsi="Times New Roman"/>
          <w:b/>
          <w:sz w:val="24"/>
          <w:szCs w:val="24"/>
        </w:rPr>
        <w:t>art. 2</w:t>
      </w:r>
      <w:r w:rsidR="004F27E1" w:rsidRPr="009A3C86">
        <w:rPr>
          <w:rFonts w:ascii="Times New Roman" w:hAnsi="Times New Roman"/>
          <w:b/>
          <w:sz w:val="24"/>
          <w:szCs w:val="24"/>
        </w:rPr>
        <w:t>5</w:t>
      </w:r>
      <w:r w:rsidR="00983E61" w:rsidRPr="009A3C86">
        <w:rPr>
          <w:rFonts w:ascii="Times New Roman" w:hAnsi="Times New Roman"/>
          <w:b/>
          <w:sz w:val="24"/>
          <w:szCs w:val="24"/>
        </w:rPr>
        <w:t>4</w:t>
      </w:r>
      <w:r w:rsidRPr="009A3C86">
        <w:rPr>
          <w:rFonts w:ascii="Times New Roman" w:hAnsi="Times New Roman"/>
          <w:sz w:val="24"/>
          <w:szCs w:val="24"/>
        </w:rPr>
        <w:t xml:space="preserve"> z uwagi na szczególny charakter odpowiedzialności tych podmiotów, które odpowiadają za długi innych podmiotów.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Za ukształtowaniem przedawnienia wymiaru wyznaczającym końcowy moment, w którym organ może doręczyć skutecznie decyzję wydaną przez organ pierwszej instancji, przemawia fakt, że warunek doręczenia decyzji pierwszej instancji w okresie przedawnienia wymiaru funkcjonuje obecnie w ordynacji podatkowej i nie budzi większych zastrzeżeń w zakresie podatków, w których zobowiązanie powstaje na skutek doręczenia decyzji ustalającej, czy w przypadku decyzji o odpowiedzialności osób trzecich</w:t>
      </w:r>
      <w:r w:rsidRPr="009A3C86">
        <w:rPr>
          <w:rFonts w:ascii="Times New Roman" w:hAnsi="Times New Roman"/>
          <w:sz w:val="24"/>
          <w:szCs w:val="24"/>
          <w:vertAlign w:val="superscript"/>
        </w:rPr>
        <w:footnoteReference w:id="235"/>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Po weryfikacji decyzji, wydanej przez organ pierwszej instancji w trybie odwołania lub tzw. trybie nadzwyczajnym, organ podatkowy pierwszej instancji będzie mógł wydać nową lub nowe decyzje, wyłącznie jeśli nie minął okres przedawnienia wymiaru. Każda decyzja organu pierwszej instancji wydana na skutek uchylenia, zmiany lub stwierdzenia nieważności decyzji, a doręczona po upływie terminu przedawnienia wymiaru nie będzie wywoływać skutków prawnych. Zaproponowany mechanizm przedawnienia ma szansę prowadzić do podniesienia staranności organów podatkowych pierwszej instancji przy wydawaniu decyzji podatkowych, gdyż jak wyżej wskazano, uchylenie decyzji przez organ odwoławczy lub sąd administracyjny, przy jednoczesnym upływie terminu przedawnienia wymiaru, oznaczać będzie, co do zasady, brak możliwości przekazania sprawy do ponownego rozpatrzenia przez organ pierwszej instancji.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Po okresie przedawnienia wymiaru będzie mogła być wydana w postępowaniu odwoławczym decyzja organu drugiej instancji, przy istniejących jednak istotnych ograniczeniach w tym zakresie. Pierwsze z nich wiąże się z brakiem możliwości uchylenia decyzji i przekazania sprawy do ponownego rozstrzygnięcia. Zgodnie z art. 46</w:t>
      </w:r>
      <w:r w:rsidR="00512A12" w:rsidRPr="009A3C86">
        <w:rPr>
          <w:rFonts w:ascii="Times New Roman" w:hAnsi="Times New Roman"/>
          <w:sz w:val="24"/>
          <w:szCs w:val="24"/>
        </w:rPr>
        <w:t>9</w:t>
      </w:r>
      <w:r w:rsidRPr="009A3C86">
        <w:rPr>
          <w:rFonts w:ascii="Times New Roman" w:hAnsi="Times New Roman"/>
          <w:sz w:val="24"/>
          <w:szCs w:val="24"/>
        </w:rPr>
        <w:t xml:space="preserve"> § 2 w zw. z § 3 organ drugiej instancji po przedawnieniu wymiaru nie będzie mógł uchylić zaskarżonej decyzji w całości i przekazać sprawy do ponownego rozpatrzenia organowi pierwszej instancji. Po upływie tego terminu organ odwoławczy będzie mógł jednak samodzielnie przeprowadzić postępowanie wyjaśniające w zakresie niezbędnym do rozstrzygnięcia sprawy, gdy uzna, że decyzja organu pierwszej instancji została wydana z naruszeniem przepisów postępowania, a konieczny do </w:t>
      </w:r>
      <w:r w:rsidRPr="009A3C86">
        <w:rPr>
          <w:rFonts w:ascii="Times New Roman" w:hAnsi="Times New Roman"/>
          <w:sz w:val="24"/>
          <w:szCs w:val="24"/>
        </w:rPr>
        <w:lastRenderedPageBreak/>
        <w:t xml:space="preserve">wyjaśnienia zakres sprawy ma istotny wpływ na jej rozstrzygnięcie. Drugie ograniczenie dotyczące rozstrzygnięć organu drugiej instancji związane jest z zakazem </w:t>
      </w:r>
      <w:r w:rsidRPr="009A3C86">
        <w:rPr>
          <w:rFonts w:ascii="Times New Roman" w:hAnsi="Times New Roman"/>
          <w:i/>
          <w:sz w:val="24"/>
          <w:szCs w:val="24"/>
        </w:rPr>
        <w:t>reformationis in peius</w:t>
      </w:r>
      <w:r w:rsidRPr="009A3C86">
        <w:rPr>
          <w:rFonts w:ascii="Times New Roman" w:hAnsi="Times New Roman"/>
          <w:sz w:val="24"/>
          <w:szCs w:val="24"/>
        </w:rPr>
        <w:t xml:space="preserve"> i ochroną wynikającą z art. </w:t>
      </w:r>
      <w:r w:rsidR="00512A12" w:rsidRPr="009A3C86">
        <w:rPr>
          <w:rFonts w:ascii="Times New Roman" w:hAnsi="Times New Roman"/>
          <w:sz w:val="24"/>
          <w:szCs w:val="24"/>
        </w:rPr>
        <w:t>470 § 1</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Organ podatkowy będzie miał możliwość weryfikacji decyzji po upływie okresu przedawnienia wymiaru w ramach tzw. trybów nadzwyczajnych, tj. np. wznowienia postępowania czy stwierdzenia nieważności decyzji. Zastosowanie tych trybów będzie mogło działać na niekorzyść podatnika jedynie w przypadku, gdy przyczynił się on do zaistnienia przesłanek zastosowania tych trybów (zob. </w:t>
      </w:r>
      <w:r w:rsidRPr="009A3C86">
        <w:rPr>
          <w:rFonts w:ascii="Times New Roman" w:hAnsi="Times New Roman"/>
          <w:bCs/>
          <w:sz w:val="24"/>
          <w:szCs w:val="24"/>
        </w:rPr>
        <w:t>art. 4</w:t>
      </w:r>
      <w:r w:rsidR="00512A12" w:rsidRPr="009A3C86">
        <w:rPr>
          <w:rFonts w:ascii="Times New Roman" w:hAnsi="Times New Roman"/>
          <w:bCs/>
          <w:sz w:val="24"/>
          <w:szCs w:val="24"/>
        </w:rPr>
        <w:t>93</w:t>
      </w:r>
      <w:r w:rsidRPr="009A3C86">
        <w:rPr>
          <w:rFonts w:ascii="Times New Roman" w:hAnsi="Times New Roman"/>
          <w:sz w:val="24"/>
          <w:szCs w:val="24"/>
        </w:rPr>
        <w:t> § 3). Ponadto zastosowanie tych trybów nie będzie mogło nastąpić po upływie przedawnienia poboru.</w:t>
      </w:r>
    </w:p>
    <w:p w:rsidR="00EE75A7" w:rsidRPr="009A3C86" w:rsidRDefault="00E53183" w:rsidP="00EE75A7">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00326528" w:rsidRPr="009A3C86">
        <w:rPr>
          <w:rFonts w:ascii="Times New Roman" w:hAnsi="Times New Roman"/>
          <w:sz w:val="24"/>
          <w:szCs w:val="24"/>
        </w:rPr>
        <w:t>przepis</w:t>
      </w:r>
      <w:r w:rsidR="00B40C4D" w:rsidRPr="009A3C86">
        <w:rPr>
          <w:rFonts w:ascii="Times New Roman" w:hAnsi="Times New Roman"/>
          <w:sz w:val="24"/>
          <w:szCs w:val="24"/>
        </w:rPr>
        <w:t>ie</w:t>
      </w:r>
      <w:r w:rsidR="00326528" w:rsidRPr="009A3C86">
        <w:rPr>
          <w:rFonts w:ascii="Times New Roman" w:hAnsi="Times New Roman"/>
          <w:sz w:val="24"/>
          <w:szCs w:val="24"/>
        </w:rPr>
        <w:t xml:space="preserve"> </w:t>
      </w:r>
      <w:r w:rsidR="00326528" w:rsidRPr="009A3C86">
        <w:rPr>
          <w:rFonts w:ascii="Times New Roman" w:hAnsi="Times New Roman"/>
          <w:b/>
          <w:sz w:val="24"/>
          <w:szCs w:val="24"/>
        </w:rPr>
        <w:t>art. 17</w:t>
      </w:r>
      <w:r w:rsidR="00B40C4D" w:rsidRPr="009A3C86">
        <w:rPr>
          <w:rFonts w:ascii="Times New Roman" w:hAnsi="Times New Roman"/>
          <w:b/>
          <w:sz w:val="24"/>
          <w:szCs w:val="24"/>
        </w:rPr>
        <w:t>0</w:t>
      </w:r>
      <w:r w:rsidR="00326528" w:rsidRPr="009A3C86">
        <w:rPr>
          <w:rFonts w:ascii="Times New Roman" w:hAnsi="Times New Roman"/>
          <w:sz w:val="24"/>
          <w:szCs w:val="24"/>
        </w:rPr>
        <w:t xml:space="preserve"> </w:t>
      </w:r>
      <w:r w:rsidR="00EE75A7" w:rsidRPr="009A3C86">
        <w:rPr>
          <w:rFonts w:ascii="Times New Roman" w:hAnsi="Times New Roman"/>
          <w:sz w:val="24"/>
          <w:szCs w:val="24"/>
        </w:rPr>
        <w:t>określono dwa terminy przedawnienia wymiaru - 3 lub 5 lat. W regulacjach tych została wyrażona zasada, iż prawo do wymiaru wygasa po upływie 3 lat, z wyjątkiem sytuacji wyliczonych enumeratywnie, w których przedawnienie wymiaru nastąpi z upływem 5 lat. Trzyletni okres przedawnienia wymiaru jako okres podstawowy przedawnienia występuje także w innych państwach</w:t>
      </w:r>
      <w:r w:rsidR="00EE75A7" w:rsidRPr="009A3C86">
        <w:rPr>
          <w:rFonts w:ascii="Times New Roman" w:hAnsi="Times New Roman"/>
          <w:sz w:val="24"/>
          <w:szCs w:val="24"/>
          <w:vertAlign w:val="superscript"/>
        </w:rPr>
        <w:footnoteReference w:id="236"/>
      </w:r>
      <w:r w:rsidR="00EE75A7" w:rsidRPr="009A3C86">
        <w:rPr>
          <w:rFonts w:ascii="Times New Roman" w:hAnsi="Times New Roman"/>
          <w:sz w:val="24"/>
          <w:szCs w:val="24"/>
        </w:rPr>
        <w:t xml:space="preserve">. </w:t>
      </w:r>
    </w:p>
    <w:p w:rsidR="00EE75A7" w:rsidRPr="009A3C86" w:rsidRDefault="00EE75A7" w:rsidP="00EE75A7">
      <w:pPr>
        <w:spacing w:after="0" w:line="360" w:lineRule="auto"/>
        <w:jc w:val="both"/>
        <w:rPr>
          <w:rFonts w:ascii="Times New Roman" w:hAnsi="Times New Roman"/>
          <w:sz w:val="24"/>
          <w:szCs w:val="24"/>
        </w:rPr>
      </w:pPr>
      <w:r w:rsidRPr="009A3C86">
        <w:rPr>
          <w:rFonts w:ascii="Times New Roman" w:hAnsi="Times New Roman"/>
          <w:sz w:val="24"/>
          <w:szCs w:val="24"/>
        </w:rPr>
        <w:t>Przedawnienie wymiaru będzie wynosiło 5 lat w przypadku</w:t>
      </w:r>
      <w:r w:rsidRPr="009A3C86">
        <w:rPr>
          <w:rFonts w:ascii="Times New Roman" w:hAnsi="Times New Roman"/>
          <w:bCs/>
          <w:sz w:val="24"/>
          <w:szCs w:val="24"/>
        </w:rPr>
        <w:t>:</w:t>
      </w:r>
      <w:r w:rsidRPr="009A3C86">
        <w:rPr>
          <w:rFonts w:ascii="Times New Roman" w:hAnsi="Times New Roman"/>
          <w:sz w:val="24"/>
          <w:szCs w:val="24"/>
        </w:rPr>
        <w:t xml:space="preserve"> </w:t>
      </w:r>
      <w:r w:rsidRPr="009A3C86">
        <w:rPr>
          <w:rFonts w:ascii="Times New Roman" w:hAnsi="Times New Roman"/>
          <w:bCs/>
          <w:sz w:val="24"/>
          <w:szCs w:val="24"/>
        </w:rPr>
        <w:t xml:space="preserve">podatku od towarów i usług, podatku akcyzowego, specjalnego podatku węglowodorowego, </w:t>
      </w:r>
      <w:r w:rsidRPr="009A3C86">
        <w:rPr>
          <w:rFonts w:ascii="Times New Roman" w:hAnsi="Times New Roman"/>
          <w:sz w:val="24"/>
          <w:szCs w:val="24"/>
        </w:rPr>
        <w:t>podatku od wydobycia niektórych kopalin,</w:t>
      </w:r>
      <w:r w:rsidRPr="009A3C86">
        <w:rPr>
          <w:rFonts w:ascii="Times New Roman" w:hAnsi="Times New Roman"/>
          <w:bCs/>
          <w:sz w:val="24"/>
          <w:szCs w:val="24"/>
        </w:rPr>
        <w:t xml:space="preserve"> podatku dochodowego od osób prawnych, podatku od niektórych instytucji finansowych, a także podatku dochodowego od osób fizycznych. </w:t>
      </w:r>
    </w:p>
    <w:p w:rsidR="00EE75A7" w:rsidRPr="009A3C86" w:rsidRDefault="00EE75A7" w:rsidP="00EE75A7">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Z </w:t>
      </w:r>
      <w:r w:rsidRPr="009A3C86">
        <w:rPr>
          <w:rFonts w:ascii="Times New Roman" w:hAnsi="Times New Roman"/>
          <w:b/>
          <w:sz w:val="24"/>
          <w:szCs w:val="24"/>
        </w:rPr>
        <w:t>art. 170 pkt 2 lit h)</w:t>
      </w:r>
      <w:r w:rsidRPr="009A3C86">
        <w:rPr>
          <w:rFonts w:ascii="Times New Roman" w:hAnsi="Times New Roman"/>
          <w:sz w:val="24"/>
          <w:szCs w:val="24"/>
        </w:rPr>
        <w:t xml:space="preserve"> wynika, że doręczenie decyzji wymiarowej organu podatkowego pierwszej instancji nie wywołuje skutków prawnych (przedawnienie wymiaru) po upływie 5 lat – w przypadku podatków innych niż wskazanych w lit. a-g, jeżeli podatnik nie złożył deklaracji w terminie przewidzianym w przepisach prawa podatkowego lub w złożonej deklaracji nie ujawnił wszystkich danych niezbędnych do dokonania wymiaru. W związku z tym przepis ten będzie miał zastosowanie w przypadku podatków innych niż wskazanych wyżej, czyli np. w podatku od nieruchomości, podatku rolnym, podatku leśnym, podatku od spadków i darowizn, jeżeli podatnik nie złożył deklaracji w terminie przewidzianym w przepisach prawa podatkowego lub w złożonej deklaracji nie ujawnił wszystkich danych niezbędnych do dokonania wymiaru. </w:t>
      </w:r>
    </w:p>
    <w:p w:rsidR="00EE75A7" w:rsidRPr="009A3C86" w:rsidRDefault="00EE75A7" w:rsidP="00EE75A7">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Zgodnie z </w:t>
      </w:r>
      <w:r w:rsidRPr="009A3C86">
        <w:rPr>
          <w:rFonts w:ascii="Times New Roman" w:hAnsi="Times New Roman"/>
          <w:b/>
          <w:bCs/>
          <w:sz w:val="24"/>
          <w:szCs w:val="24"/>
        </w:rPr>
        <w:t>art. 17</w:t>
      </w:r>
      <w:r w:rsidR="00C34AB1" w:rsidRPr="009A3C86">
        <w:rPr>
          <w:rFonts w:ascii="Times New Roman" w:hAnsi="Times New Roman"/>
          <w:b/>
          <w:bCs/>
          <w:sz w:val="24"/>
          <w:szCs w:val="24"/>
        </w:rPr>
        <w:t>0</w:t>
      </w:r>
      <w:r w:rsidRPr="009A3C86">
        <w:rPr>
          <w:rFonts w:ascii="Times New Roman" w:hAnsi="Times New Roman"/>
          <w:bCs/>
          <w:sz w:val="24"/>
          <w:szCs w:val="24"/>
        </w:rPr>
        <w:t xml:space="preserve"> </w:t>
      </w:r>
      <w:r w:rsidRPr="009A3C86">
        <w:rPr>
          <w:rFonts w:ascii="Times New Roman" w:hAnsi="Times New Roman"/>
          <w:b/>
          <w:bCs/>
          <w:sz w:val="24"/>
          <w:szCs w:val="24"/>
        </w:rPr>
        <w:t>pkt 2 lit. i)</w:t>
      </w:r>
      <w:r w:rsidRPr="009A3C86">
        <w:rPr>
          <w:rFonts w:ascii="Times New Roman" w:hAnsi="Times New Roman"/>
          <w:bCs/>
          <w:sz w:val="24"/>
          <w:szCs w:val="24"/>
        </w:rPr>
        <w:t xml:space="preserve"> </w:t>
      </w:r>
      <w:r w:rsidRPr="009A3C86">
        <w:rPr>
          <w:rFonts w:ascii="Times New Roman" w:hAnsi="Times New Roman"/>
          <w:sz w:val="24"/>
          <w:szCs w:val="24"/>
        </w:rPr>
        <w:t xml:space="preserve">pięcioletni okres przedawnienia wymiaru będzie miał również zastosowanie w przypadku płatników. Na podstawie tego przepisu doręczenie decyzji o </w:t>
      </w:r>
      <w:r w:rsidRPr="009A3C86">
        <w:rPr>
          <w:rFonts w:ascii="Times New Roman" w:hAnsi="Times New Roman"/>
          <w:sz w:val="24"/>
          <w:szCs w:val="24"/>
        </w:rPr>
        <w:lastRenderedPageBreak/>
        <w:t>odpowiedzialności płatnika, o której mowa w art. 2</w:t>
      </w:r>
      <w:r w:rsidR="00C34AB1" w:rsidRPr="009A3C86">
        <w:rPr>
          <w:rFonts w:ascii="Times New Roman" w:hAnsi="Times New Roman"/>
          <w:sz w:val="24"/>
          <w:szCs w:val="24"/>
        </w:rPr>
        <w:t>45</w:t>
      </w:r>
      <w:r w:rsidRPr="009A3C86">
        <w:rPr>
          <w:rFonts w:ascii="Times New Roman" w:hAnsi="Times New Roman"/>
          <w:sz w:val="24"/>
          <w:szCs w:val="24"/>
        </w:rPr>
        <w:t xml:space="preserve"> § 1, wydanej przez organ pierwszej instancji, nie będzie wywoływać skutków prawnych po upływie 5 lat. Za wprowadzeniem tego okresu w tym przypadku przemawia m.in. fakt, iż podmioty te pełnią te funkcje, co do zasady, prowadząc działalność gospodarczą. Wskazane wyżej przypadki nie muszą stanowić zamkniętego katalogu przypadków, w których będzie obowiązywał pięcioletni okres przedawniania wymiaru. Można bowiem wyobrazić sobie sytuacje, w których wprowadzone będą w ustawach szczególnych rozwiązania, na podstawie, których np. 5 letni okres przedawnienia wymiaru będzie miał zastosowanie także w przypadku należności innych niż te, które zostały wskazane </w:t>
      </w:r>
      <w:r w:rsidRPr="009A3C86">
        <w:rPr>
          <w:rFonts w:ascii="Times New Roman" w:hAnsi="Times New Roman"/>
          <w:b/>
          <w:sz w:val="24"/>
          <w:szCs w:val="24"/>
        </w:rPr>
        <w:t>w art. 17</w:t>
      </w:r>
      <w:r w:rsidR="00D340A5" w:rsidRPr="009A3C86">
        <w:rPr>
          <w:rFonts w:ascii="Times New Roman" w:hAnsi="Times New Roman"/>
          <w:b/>
          <w:sz w:val="24"/>
          <w:szCs w:val="24"/>
        </w:rPr>
        <w:t>0</w:t>
      </w:r>
      <w:r w:rsidRPr="009A3C86">
        <w:rPr>
          <w:rFonts w:ascii="Times New Roman" w:hAnsi="Times New Roman"/>
          <w:b/>
          <w:sz w:val="24"/>
          <w:szCs w:val="24"/>
        </w:rPr>
        <w:t xml:space="preserve"> pkt 2</w:t>
      </w:r>
      <w:r w:rsidRPr="009A3C86">
        <w:rPr>
          <w:rFonts w:ascii="Times New Roman" w:hAnsi="Times New Roman"/>
          <w:sz w:val="24"/>
          <w:szCs w:val="24"/>
        </w:rPr>
        <w:t xml:space="preserve">. </w:t>
      </w:r>
    </w:p>
    <w:p w:rsidR="005578CF" w:rsidRPr="009A3C86" w:rsidRDefault="00EE75A7" w:rsidP="00EE75A7">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Za wprowadzeniem 5-letniego terminu przedawnienia wymiaru w odniesieniu do wymienionych wyżej w art. 170 podatków przemawia fakt, iż są to podatki związane z prowadzeniem działalności gospodarczej, w których mamy do czynienia z reguły z bardziej skomplikowanym charakterem rozliczeń, a co za tym idzie, koniecznością wykorzystania w ramach postępowania szerszego katalogu środków dowodowych, czy zastosowania większej liczby instytucji prawa podatkowego, np. szacowanie. Termin 5-letni przedawnienia wymiaru występuje w wielu państwach; są także państwa, </w:t>
      </w:r>
      <w:r w:rsidR="00D340A5" w:rsidRPr="009A3C86">
        <w:rPr>
          <w:rFonts w:ascii="Times New Roman" w:hAnsi="Times New Roman"/>
          <w:sz w:val="24"/>
          <w:szCs w:val="24"/>
        </w:rPr>
        <w:t>gdzie okres ten jest dłuższy</w:t>
      </w:r>
      <w:r w:rsidR="00D340A5" w:rsidRPr="009A3C86">
        <w:rPr>
          <w:rFonts w:ascii="Times New Roman" w:hAnsi="Times New Roman"/>
          <w:sz w:val="24"/>
          <w:szCs w:val="24"/>
          <w:vertAlign w:val="superscript"/>
        </w:rPr>
        <w:footnoteReference w:id="237"/>
      </w:r>
      <w:r w:rsidR="00D340A5" w:rsidRPr="009A3C86">
        <w:rPr>
          <w:rFonts w:ascii="Times New Roman" w:hAnsi="Times New Roman"/>
          <w:sz w:val="24"/>
          <w:szCs w:val="24"/>
        </w:rPr>
        <w:t>.</w:t>
      </w:r>
    </w:p>
    <w:p w:rsidR="00326528" w:rsidRPr="009A3C86" w:rsidRDefault="00326528" w:rsidP="00326528">
      <w:pPr>
        <w:spacing w:after="0" w:line="360" w:lineRule="auto"/>
        <w:jc w:val="both"/>
        <w:rPr>
          <w:rFonts w:ascii="Times New Roman" w:eastAsia="Times New Roman" w:hAnsi="Times New Roman"/>
          <w:bCs/>
          <w:color w:val="000000"/>
          <w:sz w:val="24"/>
          <w:szCs w:val="24"/>
          <w:lang w:eastAsia="pl-PL"/>
        </w:rPr>
      </w:pPr>
      <w:r w:rsidRPr="009A3C86">
        <w:rPr>
          <w:rFonts w:ascii="Times New Roman" w:eastAsia="Times New Roman" w:hAnsi="Times New Roman"/>
          <w:color w:val="000000"/>
          <w:sz w:val="24"/>
          <w:szCs w:val="24"/>
          <w:shd w:val="clear" w:color="auto" w:fill="FFFFFF"/>
          <w:lang w:eastAsia="pl-PL"/>
        </w:rPr>
        <w:t xml:space="preserve">2. Przepis </w:t>
      </w:r>
      <w:r w:rsidRPr="009A3C86">
        <w:rPr>
          <w:rFonts w:ascii="Times New Roman" w:eastAsia="Times New Roman" w:hAnsi="Times New Roman"/>
          <w:b/>
          <w:color w:val="000000"/>
          <w:sz w:val="24"/>
          <w:szCs w:val="24"/>
          <w:shd w:val="clear" w:color="auto" w:fill="FFFFFF"/>
          <w:lang w:eastAsia="pl-PL"/>
        </w:rPr>
        <w:t>art. 17</w:t>
      </w:r>
      <w:r w:rsidR="000363B1" w:rsidRPr="009A3C86">
        <w:rPr>
          <w:rFonts w:ascii="Times New Roman" w:eastAsia="Times New Roman" w:hAnsi="Times New Roman"/>
          <w:b/>
          <w:color w:val="000000"/>
          <w:sz w:val="24"/>
          <w:szCs w:val="24"/>
          <w:shd w:val="clear" w:color="auto" w:fill="FFFFFF"/>
          <w:lang w:eastAsia="pl-PL"/>
        </w:rPr>
        <w:t>1</w:t>
      </w:r>
      <w:r w:rsidRPr="009A3C86">
        <w:rPr>
          <w:rFonts w:ascii="Times New Roman" w:eastAsia="Times New Roman" w:hAnsi="Times New Roman"/>
          <w:color w:val="000000"/>
          <w:sz w:val="24"/>
          <w:szCs w:val="24"/>
          <w:shd w:val="clear" w:color="auto" w:fill="FFFFFF"/>
          <w:lang w:eastAsia="pl-PL"/>
        </w:rPr>
        <w:t xml:space="preserve"> stanowi zmodyfikowany przepis art. 68 § 3a o.p. obowiązujący od dnia 1 stycznia 2019 r. Regulacja ta uzupełnia instytucję dodatkowego zobowiązania podatkowego uregulowan</w:t>
      </w:r>
      <w:r w:rsidR="00C3231E" w:rsidRPr="009A3C86">
        <w:rPr>
          <w:rFonts w:ascii="Times New Roman" w:eastAsia="Times New Roman" w:hAnsi="Times New Roman"/>
          <w:color w:val="000000"/>
          <w:sz w:val="24"/>
          <w:szCs w:val="24"/>
          <w:shd w:val="clear" w:color="auto" w:fill="FFFFFF"/>
          <w:lang w:eastAsia="pl-PL"/>
        </w:rPr>
        <w:t>ą</w:t>
      </w:r>
      <w:r w:rsidRPr="009A3C86">
        <w:rPr>
          <w:rFonts w:ascii="Times New Roman" w:eastAsia="Times New Roman" w:hAnsi="Times New Roman"/>
          <w:color w:val="000000"/>
          <w:sz w:val="24"/>
          <w:szCs w:val="24"/>
          <w:shd w:val="clear" w:color="auto" w:fill="FFFFFF"/>
          <w:lang w:eastAsia="pl-PL"/>
        </w:rPr>
        <w:t xml:space="preserve"> w rozdziale 4, która została wprowadzona do o.p. ustawą </w:t>
      </w:r>
      <w:r w:rsidRPr="009A3C86">
        <w:rPr>
          <w:rFonts w:ascii="Times New Roman" w:eastAsia="Times New Roman" w:hAnsi="Times New Roman"/>
          <w:color w:val="000000"/>
          <w:sz w:val="24"/>
          <w:szCs w:val="24"/>
          <w:lang w:eastAsia="pl-PL"/>
        </w:rPr>
        <w:t xml:space="preserve">z dnia 23 października 2018 r. </w:t>
      </w:r>
      <w:r w:rsidRPr="009A3C86">
        <w:rPr>
          <w:rFonts w:ascii="Times New Roman" w:eastAsia="Times New Roman" w:hAnsi="Times New Roman"/>
          <w:bCs/>
          <w:color w:val="000000"/>
          <w:sz w:val="24"/>
          <w:szCs w:val="24"/>
          <w:lang w:eastAsia="pl-PL"/>
        </w:rPr>
        <w:t>o zmianie ustawy o podatku dochodowym od osób fizycznych, ustawy o podatku dochodowym od osób prawnych, ustawy - Ordynacja podatkowa oraz niektórych innych ustaw</w:t>
      </w:r>
      <w:r w:rsidRPr="009A3C86">
        <w:rPr>
          <w:rFonts w:ascii="Times New Roman" w:eastAsia="Times New Roman" w:hAnsi="Times New Roman"/>
          <w:bCs/>
          <w:color w:val="000000"/>
          <w:sz w:val="24"/>
          <w:szCs w:val="24"/>
          <w:vertAlign w:val="superscript"/>
          <w:lang w:eastAsia="pl-PL"/>
        </w:rPr>
        <w:footnoteReference w:id="238"/>
      </w:r>
      <w:r w:rsidRPr="009A3C86">
        <w:rPr>
          <w:rFonts w:ascii="Times New Roman" w:eastAsia="Times New Roman" w:hAnsi="Times New Roman"/>
          <w:bCs/>
          <w:color w:val="000000"/>
          <w:sz w:val="24"/>
          <w:szCs w:val="24"/>
          <w:lang w:eastAsia="pl-PL"/>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17</w:t>
      </w:r>
      <w:r w:rsidR="000363B1" w:rsidRPr="009A3C86">
        <w:rPr>
          <w:rFonts w:ascii="Times New Roman" w:hAnsi="Times New Roman"/>
          <w:b/>
          <w:sz w:val="24"/>
          <w:szCs w:val="24"/>
        </w:rPr>
        <w:t>2</w:t>
      </w:r>
      <w:r w:rsidRPr="009A3C86">
        <w:rPr>
          <w:rFonts w:ascii="Times New Roman" w:hAnsi="Times New Roman"/>
          <w:sz w:val="24"/>
          <w:szCs w:val="24"/>
        </w:rPr>
        <w:t xml:space="preserve"> stanowi, że w przypadkach, o których mowa w art. 2</w:t>
      </w:r>
      <w:r w:rsidR="00D5690F" w:rsidRPr="009A3C86">
        <w:rPr>
          <w:rFonts w:ascii="Times New Roman" w:hAnsi="Times New Roman"/>
          <w:sz w:val="24"/>
          <w:szCs w:val="24"/>
        </w:rPr>
        <w:t>2</w:t>
      </w:r>
      <w:r w:rsidR="000363B1" w:rsidRPr="009A3C86">
        <w:rPr>
          <w:rFonts w:ascii="Times New Roman" w:hAnsi="Times New Roman"/>
          <w:sz w:val="24"/>
          <w:szCs w:val="24"/>
        </w:rPr>
        <w:t>7</w:t>
      </w:r>
      <w:r w:rsidRPr="009A3C86">
        <w:rPr>
          <w:rFonts w:ascii="Times New Roman" w:hAnsi="Times New Roman"/>
          <w:sz w:val="24"/>
          <w:szCs w:val="24"/>
        </w:rPr>
        <w:t>, art. 4</w:t>
      </w:r>
      <w:r w:rsidR="00D5690F" w:rsidRPr="009A3C86">
        <w:rPr>
          <w:rFonts w:ascii="Times New Roman" w:hAnsi="Times New Roman"/>
          <w:sz w:val="24"/>
          <w:szCs w:val="24"/>
        </w:rPr>
        <w:t>64</w:t>
      </w:r>
      <w:r w:rsidRPr="009A3C86">
        <w:rPr>
          <w:rFonts w:ascii="Times New Roman" w:hAnsi="Times New Roman"/>
          <w:sz w:val="24"/>
          <w:szCs w:val="24"/>
        </w:rPr>
        <w:t xml:space="preserve"> § 1, art. 4</w:t>
      </w:r>
      <w:r w:rsidR="00D5690F" w:rsidRPr="009A3C86">
        <w:rPr>
          <w:rFonts w:ascii="Times New Roman" w:hAnsi="Times New Roman"/>
          <w:sz w:val="24"/>
          <w:szCs w:val="24"/>
        </w:rPr>
        <w:t>93</w:t>
      </w:r>
      <w:r w:rsidRPr="009A3C86">
        <w:rPr>
          <w:rFonts w:ascii="Times New Roman" w:hAnsi="Times New Roman"/>
          <w:sz w:val="24"/>
          <w:szCs w:val="24"/>
        </w:rPr>
        <w:t xml:space="preserve"> § 1, art. 4</w:t>
      </w:r>
      <w:r w:rsidR="00D5690F" w:rsidRPr="009A3C86">
        <w:rPr>
          <w:rFonts w:ascii="Times New Roman" w:hAnsi="Times New Roman"/>
          <w:sz w:val="24"/>
          <w:szCs w:val="24"/>
        </w:rPr>
        <w:t>98</w:t>
      </w:r>
      <w:r w:rsidR="00731485" w:rsidRPr="009A3C86">
        <w:rPr>
          <w:rFonts w:ascii="Times New Roman" w:hAnsi="Times New Roman"/>
          <w:sz w:val="24"/>
          <w:szCs w:val="24"/>
        </w:rPr>
        <w:t xml:space="preserve"> </w:t>
      </w:r>
      <w:r w:rsidRPr="009A3C86">
        <w:rPr>
          <w:rFonts w:ascii="Times New Roman" w:hAnsi="Times New Roman"/>
          <w:sz w:val="24"/>
          <w:szCs w:val="24"/>
        </w:rPr>
        <w:t xml:space="preserve">§ 1 i art. </w:t>
      </w:r>
      <w:r w:rsidR="00D5690F" w:rsidRPr="009A3C86">
        <w:rPr>
          <w:rFonts w:ascii="Times New Roman" w:hAnsi="Times New Roman"/>
          <w:sz w:val="24"/>
          <w:szCs w:val="24"/>
        </w:rPr>
        <w:t>505</w:t>
      </w:r>
      <w:r w:rsidRPr="009A3C86">
        <w:rPr>
          <w:rFonts w:ascii="Times New Roman" w:hAnsi="Times New Roman"/>
          <w:sz w:val="24"/>
          <w:szCs w:val="24"/>
        </w:rPr>
        <w:t xml:space="preserve"> decyzja wymiarowa organu podatkowego pierwszej instancji może zostać wydana po upływie terminów, o których mowa w art. 17</w:t>
      </w:r>
      <w:r w:rsidR="00731485" w:rsidRPr="009A3C86">
        <w:rPr>
          <w:rFonts w:ascii="Times New Roman" w:hAnsi="Times New Roman"/>
          <w:sz w:val="24"/>
          <w:szCs w:val="24"/>
        </w:rPr>
        <w:t>0</w:t>
      </w:r>
      <w:r w:rsidRPr="009A3C86">
        <w:rPr>
          <w:rFonts w:ascii="Times New Roman" w:hAnsi="Times New Roman"/>
          <w:sz w:val="24"/>
          <w:szCs w:val="24"/>
        </w:rPr>
        <w:t>. Celem art. 17</w:t>
      </w:r>
      <w:r w:rsidR="000363B1" w:rsidRPr="009A3C86">
        <w:rPr>
          <w:rFonts w:ascii="Times New Roman" w:hAnsi="Times New Roman"/>
          <w:sz w:val="24"/>
          <w:szCs w:val="24"/>
        </w:rPr>
        <w:t>2</w:t>
      </w:r>
      <w:r w:rsidRPr="009A3C86">
        <w:rPr>
          <w:rFonts w:ascii="Times New Roman" w:hAnsi="Times New Roman"/>
          <w:sz w:val="24"/>
          <w:szCs w:val="24"/>
        </w:rPr>
        <w:t xml:space="preserve"> jest umożliwienie, w określonych przypadkach wskazanych w tym przepisie, wydania decyzji wymiarowej po upływie okresu przedawnienie wymiaru. Dotyczy to w szczególności przypadku uchylenia lub zmiany decyzji wymiarowej w trybach nadzwyczajnych. Dodać </w:t>
      </w:r>
      <w:r w:rsidRPr="009A3C86">
        <w:rPr>
          <w:rFonts w:ascii="Times New Roman" w:hAnsi="Times New Roman"/>
          <w:sz w:val="24"/>
          <w:szCs w:val="24"/>
        </w:rPr>
        <w:lastRenderedPageBreak/>
        <w:t>należy, że w sytuacji gdy podatnik nie przyczynił się do powstania okoliczności uzasadniających wznowienie postępowania czy stwierdzenie nieważności (art. 4</w:t>
      </w:r>
      <w:r w:rsidR="00D5690F" w:rsidRPr="009A3C86">
        <w:rPr>
          <w:rFonts w:ascii="Times New Roman" w:hAnsi="Times New Roman"/>
          <w:sz w:val="24"/>
          <w:szCs w:val="24"/>
        </w:rPr>
        <w:t>93</w:t>
      </w:r>
      <w:r w:rsidRPr="009A3C86">
        <w:rPr>
          <w:rFonts w:ascii="Times New Roman" w:hAnsi="Times New Roman"/>
          <w:sz w:val="24"/>
          <w:szCs w:val="24"/>
        </w:rPr>
        <w:t xml:space="preserve"> § 3 czy art. 4</w:t>
      </w:r>
      <w:r w:rsidR="00D5690F" w:rsidRPr="009A3C86">
        <w:rPr>
          <w:rFonts w:ascii="Times New Roman" w:hAnsi="Times New Roman"/>
          <w:sz w:val="24"/>
          <w:szCs w:val="24"/>
        </w:rPr>
        <w:t>98</w:t>
      </w:r>
      <w:r w:rsidRPr="009A3C86">
        <w:rPr>
          <w:rFonts w:ascii="Times New Roman" w:hAnsi="Times New Roman"/>
          <w:sz w:val="24"/>
          <w:szCs w:val="24"/>
        </w:rPr>
        <w:t xml:space="preserve"> § 3) powinno mieć zastosowanie zwolnienia podatnika z obowiązku zapłaty podatku w kwocie przewyższającej kwotę podatku określoną w decyzji uchylonej (zob. szerzej uzasadnienie do tych przepisów).</w:t>
      </w:r>
    </w:p>
    <w:p w:rsidR="00E77F6D" w:rsidRPr="009A3C86" w:rsidRDefault="00E77F6D" w:rsidP="00E77F6D">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Zasadne jest wydanie decyzji wymiarowej po okresie przedawnienia wymiaru w przypadku wznowienia postępowania czy stwierdzenia nieważności decyzji. W przypadku zaistnienia okoliczności stanowiących podstawę do zastosowania tych trybów mamy bowiem do czynienia z poważnymi (kwalifikowanymi) wadami decyzji. Uzasadnia to weryfikację decyzji obarczonej takimi wadami także po okresie przedawnienia wymiaru. Rozwiązanie to jednak nie może prowadzić do negatywnych skutków dla podatnika, który nie przyczynił się do zaistnienia powstania okoliczności uzasadniających wznowienie postępowania albo gdy zaistniały okoliczności do stwierdzenia nieważności decyzji, za które podatnik nie odpowiada. Z tego też względu w takich przypadkach (gdy podatnik nie przyczynił się do powstania okoliczności uzasadniających wznowienie postępowania czy w przypadku zaistnienia okoliczności stanowiących podstawę do stwierdzenie nieważności) powinno mieć zastosowanie zwolnienia podatnika z obowiązku zapłaty podatku w kwocie przewyższającej kwotę podatku określoną w decyzji uchylonej (zob. art. 493 § 3 i </w:t>
      </w:r>
      <w:r w:rsidRPr="009A3C86">
        <w:rPr>
          <w:rFonts w:ascii="Times New Roman" w:hAnsi="Times New Roman"/>
          <w:sz w:val="24"/>
          <w:szCs w:val="24"/>
        </w:rPr>
        <w:t xml:space="preserve">art. 498 § 3 i </w:t>
      </w:r>
      <w:r w:rsidRPr="009A3C86">
        <w:rPr>
          <w:rFonts w:ascii="Times New Roman" w:hAnsi="Times New Roman"/>
          <w:bCs/>
          <w:sz w:val="24"/>
          <w:szCs w:val="24"/>
        </w:rPr>
        <w:t>uzasadnienie do tych przepisów).</w:t>
      </w:r>
    </w:p>
    <w:p w:rsidR="00326528" w:rsidRPr="009A3C86" w:rsidRDefault="005578CF" w:rsidP="00326528">
      <w:pPr>
        <w:spacing w:after="0" w:line="360" w:lineRule="auto"/>
        <w:jc w:val="both"/>
        <w:rPr>
          <w:rFonts w:ascii="Times New Roman" w:hAnsi="Times New Roman"/>
          <w:sz w:val="24"/>
          <w:szCs w:val="24"/>
        </w:rPr>
      </w:pPr>
      <w:r w:rsidRPr="009A3C86">
        <w:rPr>
          <w:rFonts w:ascii="Times New Roman" w:hAnsi="Times New Roman"/>
          <w:sz w:val="24"/>
          <w:szCs w:val="24"/>
        </w:rPr>
        <w:t>4</w:t>
      </w:r>
      <w:r w:rsidR="00326528" w:rsidRPr="009A3C86">
        <w:rPr>
          <w:rFonts w:ascii="Times New Roman" w:hAnsi="Times New Roman"/>
          <w:sz w:val="24"/>
          <w:szCs w:val="24"/>
        </w:rPr>
        <w:t xml:space="preserve">. W </w:t>
      </w:r>
      <w:r w:rsidR="00326528" w:rsidRPr="009A3C86">
        <w:rPr>
          <w:rFonts w:ascii="Times New Roman" w:hAnsi="Times New Roman"/>
          <w:b/>
          <w:sz w:val="24"/>
          <w:szCs w:val="24"/>
        </w:rPr>
        <w:t>art. 17</w:t>
      </w:r>
      <w:r w:rsidR="00D5690F" w:rsidRPr="009A3C86">
        <w:rPr>
          <w:rFonts w:ascii="Times New Roman" w:hAnsi="Times New Roman"/>
          <w:b/>
          <w:sz w:val="24"/>
          <w:szCs w:val="24"/>
        </w:rPr>
        <w:t>3</w:t>
      </w:r>
      <w:r w:rsidR="00326528" w:rsidRPr="009A3C86">
        <w:rPr>
          <w:rFonts w:ascii="Times New Roman" w:hAnsi="Times New Roman"/>
          <w:sz w:val="24"/>
          <w:szCs w:val="24"/>
        </w:rPr>
        <w:t xml:space="preserve"> określono zdarzenia rozpoczynające bieg terminu przedawnienia wymiaru. Rozpoczęcie biegu terminu przedawnienia wymiaru może jednak następować na innych zasadach, jeżeli będzie to wynikać z ustaw podatkowych innych niż ordynacja podatkowa. Przypadek taki ma miejsce m.in. w sytuacji, o której mowa w art. 45 ust. 4b ustawy z dnia 26 lipca 1991 r. o podatku dochodowym od osób fizycznych (tekst jedn. </w:t>
      </w:r>
      <w:r w:rsidR="00326528" w:rsidRPr="009A3C86">
        <w:rPr>
          <w:rFonts w:ascii="Times New Roman" w:hAnsi="Times New Roman"/>
          <w:bCs/>
          <w:sz w:val="24"/>
          <w:szCs w:val="24"/>
        </w:rPr>
        <w:t>Dz.U. z 2016 r. poz. 2032 z</w:t>
      </w:r>
      <w:r w:rsidR="00326528" w:rsidRPr="009A3C86">
        <w:rPr>
          <w:rFonts w:ascii="Times New Roman" w:hAnsi="Times New Roman"/>
          <w:sz w:val="24"/>
          <w:szCs w:val="24"/>
        </w:rPr>
        <w:t xml:space="preserve"> późn.</w:t>
      </w:r>
      <w:r w:rsidR="00326528" w:rsidRPr="009A3C86">
        <w:rPr>
          <w:rFonts w:ascii="Times New Roman" w:hAnsi="Times New Roman"/>
          <w:bCs/>
          <w:sz w:val="24"/>
          <w:szCs w:val="24"/>
        </w:rPr>
        <w:t xml:space="preserve"> zm.)</w:t>
      </w:r>
      <w:r w:rsidR="00326528" w:rsidRPr="009A3C86">
        <w:rPr>
          <w:rFonts w:ascii="Times New Roman" w:hAnsi="Times New Roman"/>
          <w:sz w:val="24"/>
          <w:szCs w:val="24"/>
          <w:vertAlign w:val="superscript"/>
        </w:rPr>
        <w:footnoteReference w:id="239"/>
      </w:r>
      <w:r w:rsidR="00326528" w:rsidRPr="009A3C86">
        <w:rPr>
          <w:rFonts w:ascii="Times New Roman" w:hAnsi="Times New Roman"/>
          <w:bCs/>
          <w:sz w:val="24"/>
          <w:szCs w:val="24"/>
        </w:rPr>
        <w:t>.</w:t>
      </w:r>
      <w:r w:rsidR="00326528"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 przepisu </w:t>
      </w:r>
      <w:r w:rsidRPr="009A3C86">
        <w:rPr>
          <w:rFonts w:ascii="Times New Roman" w:hAnsi="Times New Roman"/>
          <w:b/>
          <w:sz w:val="24"/>
          <w:szCs w:val="24"/>
        </w:rPr>
        <w:t>art. 17</w:t>
      </w:r>
      <w:r w:rsidR="002B76C1" w:rsidRPr="009A3C86">
        <w:rPr>
          <w:rFonts w:ascii="Times New Roman" w:hAnsi="Times New Roman"/>
          <w:b/>
          <w:sz w:val="24"/>
          <w:szCs w:val="24"/>
        </w:rPr>
        <w:t>3</w:t>
      </w:r>
      <w:r w:rsidRPr="009A3C86">
        <w:rPr>
          <w:rFonts w:ascii="Times New Roman" w:hAnsi="Times New Roman"/>
          <w:sz w:val="24"/>
          <w:szCs w:val="24"/>
        </w:rPr>
        <w:t xml:space="preserve"> § 1 wynika, że termin, o który</w:t>
      </w:r>
      <w:r w:rsidR="000F329B" w:rsidRPr="009A3C86">
        <w:rPr>
          <w:rFonts w:ascii="Times New Roman" w:hAnsi="Times New Roman"/>
          <w:sz w:val="24"/>
          <w:szCs w:val="24"/>
        </w:rPr>
        <w:t>m</w:t>
      </w:r>
      <w:r w:rsidRPr="009A3C86">
        <w:rPr>
          <w:rFonts w:ascii="Times New Roman" w:hAnsi="Times New Roman"/>
          <w:sz w:val="24"/>
          <w:szCs w:val="24"/>
        </w:rPr>
        <w:t xml:space="preserve"> mowa w art. 17</w:t>
      </w:r>
      <w:r w:rsidR="000363B1" w:rsidRPr="009A3C86">
        <w:rPr>
          <w:rFonts w:ascii="Times New Roman" w:hAnsi="Times New Roman"/>
          <w:sz w:val="24"/>
          <w:szCs w:val="24"/>
        </w:rPr>
        <w:t>0</w:t>
      </w:r>
      <w:r w:rsidRPr="009A3C86">
        <w:rPr>
          <w:rFonts w:ascii="Times New Roman" w:hAnsi="Times New Roman"/>
          <w:sz w:val="24"/>
          <w:szCs w:val="24"/>
        </w:rPr>
        <w:t xml:space="preserve">, rozpoczyna swój bieg, z zastrzeżeniem § 2, od dnia, w którym upłynął termin płatności podatku wynikający z przepisów prawa podatkowego, a gdy zobowiązanie podatkowe powstaje poprzez doręczenie decyzji ustalającej wysokość zobowiązania podatkowego - od dnia, w którym powstał obowiązek podatkowy. W przepisie tym przyjęto regułę, że termin płatności będzie wyznaczał początek okresu przedawnienia wymiaru we wszystkich podatkach podlegających samoobliczeniu. </w:t>
      </w:r>
      <w:r w:rsidRPr="009A3C86">
        <w:rPr>
          <w:rFonts w:ascii="Times New Roman" w:hAnsi="Times New Roman"/>
          <w:sz w:val="24"/>
          <w:szCs w:val="24"/>
        </w:rPr>
        <w:lastRenderedPageBreak/>
        <w:t xml:space="preserve">Wyjątkiem będą przypadki, gdy zobowiązanie powstaje na skutek doręczenia decyzji ustalającej, gdzie istotnym będzie moment powstania obowiązku podatkowego. W podatkach należących do tej kategorii, które są rozliczane okresowo (np. podatek od nieruchomości), ustawodawca określa najczęściej jedynie moment powstania obowiązku podatkowego w związku z zaistnieniem danego zdarzenia w trakcie danego roku. Zgodnie np. z art. 6 ust. 1 ustawie z 12 stycznia 1991 r. o podatkach i opłatach lokalnych nabycie nieruchomości skutkuje powstaniem obowiązku podatkowego od 1. dnia miesiąca następującego po miesiącu, w którym nastąpiło to zdarzenie. W przypadku kolejnych okresów rozliczeniowych (kolejnych lat), w których organ powinien dokonać wymiaru w decyzji ustalającej wysokość zobowiązania podatkowego, należy przyjąć, iż przedawnienie wymiaru rozpocznie bieg tak jak obecnie, tj. 1 stycznia danego roku.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art. 17</w:t>
      </w:r>
      <w:r w:rsidR="002B76C1" w:rsidRPr="009A3C86">
        <w:rPr>
          <w:rFonts w:ascii="Times New Roman" w:hAnsi="Times New Roman"/>
          <w:b/>
          <w:sz w:val="24"/>
          <w:szCs w:val="24"/>
        </w:rPr>
        <w:t>3</w:t>
      </w:r>
      <w:r w:rsidRPr="009A3C86">
        <w:rPr>
          <w:rFonts w:ascii="Times New Roman" w:hAnsi="Times New Roman"/>
          <w:b/>
          <w:sz w:val="24"/>
          <w:szCs w:val="24"/>
        </w:rPr>
        <w:t xml:space="preserve"> § 2 pkt 1-</w:t>
      </w:r>
      <w:r w:rsidRPr="009A3C86">
        <w:rPr>
          <w:rFonts w:ascii="Times New Roman" w:hAnsi="Times New Roman"/>
          <w:b/>
          <w:strike/>
          <w:sz w:val="24"/>
          <w:szCs w:val="24"/>
        </w:rPr>
        <w:t>4</w:t>
      </w:r>
      <w:r w:rsidRPr="009A3C86">
        <w:rPr>
          <w:rFonts w:ascii="Times New Roman" w:hAnsi="Times New Roman"/>
          <w:sz w:val="24"/>
          <w:szCs w:val="24"/>
        </w:rPr>
        <w:t xml:space="preserve"> wskazano szczególne zdarzenia, które rozpoczynają bieg terminu przedawnienia wymiaru. W przypadku decyzji określającej prawidłową wysokość zwrotu podatku</w:t>
      </w:r>
      <w:r w:rsidR="002B76C1" w:rsidRPr="009A3C86">
        <w:rPr>
          <w:rFonts w:ascii="Times New Roman" w:hAnsi="Times New Roman"/>
          <w:sz w:val="24"/>
          <w:szCs w:val="24"/>
        </w:rPr>
        <w:t>,</w:t>
      </w:r>
      <w:r w:rsidR="002B76C1" w:rsidRPr="009A3C86">
        <w:t xml:space="preserve"> </w:t>
      </w:r>
      <w:r w:rsidR="002B76C1" w:rsidRPr="009A3C86">
        <w:rPr>
          <w:rFonts w:ascii="Times New Roman" w:hAnsi="Times New Roman"/>
          <w:sz w:val="24"/>
          <w:szCs w:val="24"/>
        </w:rPr>
        <w:t>kwoty podatku naliczonego przeniesionego do rozliczenia</w:t>
      </w:r>
      <w:r w:rsidRPr="009A3C86">
        <w:rPr>
          <w:rFonts w:ascii="Times New Roman" w:hAnsi="Times New Roman"/>
          <w:sz w:val="24"/>
          <w:szCs w:val="24"/>
        </w:rPr>
        <w:t xml:space="preserve"> lub nadwyżki podatku naliczonego nad należnym do odliczenia w następnych okresach rozliczeniowych w rozumieniu ustawy o podatku od towarów i usług, termin przedawnienia wymiaru</w:t>
      </w:r>
      <w:r w:rsidR="002B76C1" w:rsidRPr="009A3C86">
        <w:rPr>
          <w:rFonts w:ascii="Times New Roman" w:hAnsi="Times New Roman"/>
          <w:sz w:val="24"/>
          <w:szCs w:val="24"/>
        </w:rPr>
        <w:t xml:space="preserve">, o którym mowa w art. 170, </w:t>
      </w:r>
      <w:r w:rsidRPr="009A3C86">
        <w:rPr>
          <w:rFonts w:ascii="Times New Roman" w:hAnsi="Times New Roman"/>
          <w:sz w:val="24"/>
          <w:szCs w:val="24"/>
        </w:rPr>
        <w:t>rozpocznie bieg od dnia, w którym upłynął termin płatności podatku wynikający z przepisów prawa podatkowego dotyczący okresu, za który wykazano zwrot podatku lub nadwyżkę podatku naliczonego nad należnym do odliczenia w następnych okresach rozliczeniowych w rozumieniu wskazanej ustawy. W przypadku decyzji określającej wysokość straty okres przedawnienia wymiaru rozpocznie natomiast bieg od dnia, w którym upłynął termin płatności podatku wynikający z przepisów prawa podatkowego dotyczący okresu, w którym powstała strata. W sytuacji decyzji określającej zaległość wydawanej w przypadku obowiązku zwrotu kwoty podlegającej zwrotowi, termin przedawnienia wymiaru będzie biegł od dnia, w którym nastąpił ich nienależny zwrot lub zaliczenie. W przypadku decyzji o braku zobowiązania oraz określeniu wysokości dochodu, przychodu lub zysku, termin przedawnienia wymiaru będzie biegł od dnia, w którym upłynął termin płatności podatku wynikający z przepisów prawa podatkowego dotyczący okresu, w którym powstał dochód, przychód lub zysk.</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17</w:t>
      </w:r>
      <w:r w:rsidR="002B76C1" w:rsidRPr="009A3C86">
        <w:rPr>
          <w:rFonts w:ascii="Times New Roman" w:hAnsi="Times New Roman"/>
          <w:b/>
          <w:sz w:val="24"/>
          <w:szCs w:val="24"/>
        </w:rPr>
        <w:t>3</w:t>
      </w:r>
      <w:r w:rsidRPr="009A3C86">
        <w:rPr>
          <w:rFonts w:ascii="Times New Roman" w:hAnsi="Times New Roman"/>
          <w:b/>
          <w:sz w:val="24"/>
          <w:szCs w:val="24"/>
        </w:rPr>
        <w:t xml:space="preserve"> § 2 pkt 5</w:t>
      </w:r>
      <w:r w:rsidRPr="009A3C86">
        <w:rPr>
          <w:rFonts w:ascii="Times New Roman" w:hAnsi="Times New Roman"/>
          <w:sz w:val="24"/>
          <w:szCs w:val="24"/>
        </w:rPr>
        <w:t xml:space="preserve"> jest zmodyfikowanym odpowiednikiem art. 69 § 1 o.p. Zgodnie z tym przepisem w przypadku niedopełnienia przez podatnika warunków uprawniających do skorzystania z uzyskanej ulgi podatkowej termin przedawnienia wymiaru będzie rozpoczynał bieg od dnia, w którym nastąpiło zdarzenie powodujące utratę prawa do ulgi. Z uwagi na przyjętą konstrukcję przedawnienia wymiaru zrezygnowano z regulacji zawartej w art. 60 § 2 </w:t>
      </w:r>
      <w:r w:rsidRPr="009A3C86">
        <w:rPr>
          <w:rFonts w:ascii="Times New Roman" w:hAnsi="Times New Roman"/>
          <w:sz w:val="24"/>
          <w:szCs w:val="24"/>
        </w:rPr>
        <w:lastRenderedPageBreak/>
        <w:t xml:space="preserve">o.p., który uzależniał okres na wydanie decyzji wymiarowej w przypadku niedopełnienia przez podatnika warunków uprawniających do skorzystania z uzyskanej ulgi podatkowej od momentu, w którym podatnik zgłosił organowi podatkowemu utratę prawa do ulgi. Przepis </w:t>
      </w:r>
      <w:r w:rsidRPr="009A3C86">
        <w:rPr>
          <w:rFonts w:ascii="Times New Roman" w:hAnsi="Times New Roman"/>
          <w:b/>
          <w:sz w:val="24"/>
          <w:szCs w:val="24"/>
        </w:rPr>
        <w:t>art. 17</w:t>
      </w:r>
      <w:r w:rsidR="002B76C1" w:rsidRPr="009A3C86">
        <w:rPr>
          <w:rFonts w:ascii="Times New Roman" w:hAnsi="Times New Roman"/>
          <w:b/>
          <w:sz w:val="24"/>
          <w:szCs w:val="24"/>
        </w:rPr>
        <w:t>3</w:t>
      </w:r>
      <w:r w:rsidRPr="009A3C86">
        <w:rPr>
          <w:rFonts w:ascii="Times New Roman" w:hAnsi="Times New Roman"/>
          <w:b/>
          <w:sz w:val="24"/>
          <w:szCs w:val="24"/>
        </w:rPr>
        <w:t xml:space="preserve"> § 3</w:t>
      </w:r>
      <w:r w:rsidRPr="009A3C86">
        <w:rPr>
          <w:rFonts w:ascii="Times New Roman" w:hAnsi="Times New Roman"/>
          <w:sz w:val="24"/>
          <w:szCs w:val="24"/>
        </w:rPr>
        <w:t xml:space="preserve"> jest odpowiednikiem art. 69 § 3 i 4 o.p. </w:t>
      </w:r>
    </w:p>
    <w:p w:rsidR="00326528" w:rsidRPr="009A3C86" w:rsidRDefault="005578CF" w:rsidP="00326528">
      <w:pPr>
        <w:spacing w:after="0" w:line="360" w:lineRule="auto"/>
        <w:jc w:val="both"/>
        <w:rPr>
          <w:rFonts w:ascii="Times New Roman" w:hAnsi="Times New Roman"/>
          <w:sz w:val="24"/>
          <w:szCs w:val="24"/>
        </w:rPr>
      </w:pPr>
      <w:r w:rsidRPr="009A3C86">
        <w:rPr>
          <w:rFonts w:ascii="Times New Roman" w:hAnsi="Times New Roman"/>
          <w:sz w:val="24"/>
          <w:szCs w:val="24"/>
        </w:rPr>
        <w:t>5</w:t>
      </w:r>
      <w:r w:rsidR="00326528" w:rsidRPr="009A3C86">
        <w:rPr>
          <w:rFonts w:ascii="Times New Roman" w:hAnsi="Times New Roman"/>
          <w:sz w:val="24"/>
          <w:szCs w:val="24"/>
        </w:rPr>
        <w:t xml:space="preserve">. Zgodnie z projektowanym </w:t>
      </w:r>
      <w:r w:rsidR="00326528" w:rsidRPr="009A3C86">
        <w:rPr>
          <w:rFonts w:ascii="Times New Roman" w:hAnsi="Times New Roman"/>
          <w:b/>
          <w:sz w:val="24"/>
          <w:szCs w:val="24"/>
        </w:rPr>
        <w:t>art. 1</w:t>
      </w:r>
      <w:r w:rsidR="000363B1" w:rsidRPr="009A3C86">
        <w:rPr>
          <w:rFonts w:ascii="Times New Roman" w:hAnsi="Times New Roman"/>
          <w:b/>
          <w:sz w:val="24"/>
          <w:szCs w:val="24"/>
        </w:rPr>
        <w:t>7</w:t>
      </w:r>
      <w:r w:rsidR="00D5690F" w:rsidRPr="009A3C86">
        <w:rPr>
          <w:rFonts w:ascii="Times New Roman" w:hAnsi="Times New Roman"/>
          <w:b/>
          <w:sz w:val="24"/>
          <w:szCs w:val="24"/>
        </w:rPr>
        <w:t>4</w:t>
      </w:r>
      <w:r w:rsidR="00326528" w:rsidRPr="009A3C86">
        <w:rPr>
          <w:rFonts w:ascii="Times New Roman" w:hAnsi="Times New Roman"/>
          <w:sz w:val="24"/>
          <w:szCs w:val="24"/>
        </w:rPr>
        <w:t xml:space="preserve"> </w:t>
      </w:r>
      <w:r w:rsidR="00326528" w:rsidRPr="009A3C86">
        <w:rPr>
          <w:rFonts w:ascii="Times New Roman" w:hAnsi="Times New Roman"/>
          <w:b/>
          <w:sz w:val="24"/>
          <w:szCs w:val="24"/>
        </w:rPr>
        <w:t>§ 1</w:t>
      </w:r>
      <w:r w:rsidR="00326528" w:rsidRPr="009A3C86">
        <w:rPr>
          <w:rFonts w:ascii="Times New Roman" w:hAnsi="Times New Roman"/>
          <w:sz w:val="24"/>
          <w:szCs w:val="24"/>
        </w:rPr>
        <w:t xml:space="preserve"> w przypadku skorygowania przez zobowiązanego deklaracji, z którym wiąże się zmniejszenie kwoty podatku, wykazanie lub zwiększenie kwoty zwrotu podatku lub nadwyżki podatku naliczonego nad należnym do odliczenia w następnych okresach rozliczeniowych w rozumieniu ustawy o podatku od towarów i usług, wykazanie lub zwiększenie kwoty do przeniesienia lub zwrotu podatku, wykazanie lub zwiększenie straty, w okresie 6 miesięcy przed upływem termin</w:t>
      </w:r>
      <w:r w:rsidR="000F329B" w:rsidRPr="009A3C86">
        <w:rPr>
          <w:rFonts w:ascii="Times New Roman" w:hAnsi="Times New Roman"/>
          <w:sz w:val="24"/>
          <w:szCs w:val="24"/>
        </w:rPr>
        <w:t>u</w:t>
      </w:r>
      <w:r w:rsidR="00326528" w:rsidRPr="009A3C86">
        <w:rPr>
          <w:rFonts w:ascii="Times New Roman" w:hAnsi="Times New Roman"/>
          <w:sz w:val="24"/>
          <w:szCs w:val="24"/>
        </w:rPr>
        <w:t>, o który</w:t>
      </w:r>
      <w:r w:rsidR="000F329B" w:rsidRPr="009A3C86">
        <w:rPr>
          <w:rFonts w:ascii="Times New Roman" w:hAnsi="Times New Roman"/>
          <w:sz w:val="24"/>
          <w:szCs w:val="24"/>
        </w:rPr>
        <w:t>m</w:t>
      </w:r>
      <w:r w:rsidR="00326528" w:rsidRPr="009A3C86">
        <w:rPr>
          <w:rFonts w:ascii="Times New Roman" w:hAnsi="Times New Roman"/>
          <w:sz w:val="24"/>
          <w:szCs w:val="24"/>
        </w:rPr>
        <w:t xml:space="preserve"> mowa w art. 17</w:t>
      </w:r>
      <w:r w:rsidR="000363B1" w:rsidRPr="009A3C86">
        <w:rPr>
          <w:rFonts w:ascii="Times New Roman" w:hAnsi="Times New Roman"/>
          <w:sz w:val="24"/>
          <w:szCs w:val="24"/>
        </w:rPr>
        <w:t>0</w:t>
      </w:r>
      <w:r w:rsidR="00326528" w:rsidRPr="009A3C86">
        <w:rPr>
          <w:rFonts w:ascii="Times New Roman" w:hAnsi="Times New Roman"/>
          <w:sz w:val="24"/>
          <w:szCs w:val="24"/>
        </w:rPr>
        <w:t>, termin te</w:t>
      </w:r>
      <w:r w:rsidR="000F329B" w:rsidRPr="009A3C86">
        <w:rPr>
          <w:rFonts w:ascii="Times New Roman" w:hAnsi="Times New Roman"/>
          <w:sz w:val="24"/>
          <w:szCs w:val="24"/>
        </w:rPr>
        <w:t>n</w:t>
      </w:r>
      <w:r w:rsidR="00326528" w:rsidRPr="009A3C86">
        <w:rPr>
          <w:rFonts w:ascii="Times New Roman" w:hAnsi="Times New Roman"/>
          <w:sz w:val="24"/>
          <w:szCs w:val="24"/>
        </w:rPr>
        <w:t xml:space="preserve"> ulega wydłużeniu o 1 rok. Istotą tego przepisu jest zagwarantowanie organowi podatkowemu minimalnego terminu na wydanie decyzji wymiarowej w pierwszej instancji w przypadku podjęcia przez zobowiązanego działań, o których mowa wyżej. Regulacja ta ma przeciwdziałać ewentualnym nadużyciom zobowiązanych. Korygując bowiem deklaracje w ostatniej fazie biegu okresu przedawnienia wymiaru, podmiot ten mógłby uniemożliwić organowi podatkowemu skuteczną weryfikację rozliczenia i wydanie decyzji wymiarowych w przypadku zakwestionowania korekt deklaracji niemających podstaw prawnych lub faktycznych.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2</w:t>
      </w:r>
      <w:r w:rsidRPr="009A3C86">
        <w:rPr>
          <w:rFonts w:ascii="Times New Roman" w:hAnsi="Times New Roman"/>
          <w:sz w:val="24"/>
          <w:szCs w:val="24"/>
        </w:rPr>
        <w:t xml:space="preserve"> wprowadzono regulację, której celem jest zabezpieczenie możliwości procedowania przez organ podatkowy po kolejnym skorygowaniu deklaracji. Zobowiązany bowiem po skorygowaniu deklaracji w okolicznościach, o których mowa w § 1, będzie mógł dokonać kolejnej korekty deklaracji. Będzie mógł to zrobić np. pod koniec wydłużonego o rok okresu przedawnienia wymiaru, o którym mowa w § 1.  Brak jest bowiem uzasadnienia do wyłączenia możliwości skorygowania zobowiązania w „dodanym” roku. W konsekwencji zgodnie z § 2 jeżeli korekta taka zostanie złożona po upływie termin</w:t>
      </w:r>
      <w:r w:rsidR="00E53183" w:rsidRPr="009A3C86">
        <w:rPr>
          <w:rFonts w:ascii="Times New Roman" w:hAnsi="Times New Roman"/>
          <w:sz w:val="24"/>
          <w:szCs w:val="24"/>
        </w:rPr>
        <w:t>u</w:t>
      </w:r>
      <w:r w:rsidRPr="009A3C86">
        <w:rPr>
          <w:rFonts w:ascii="Times New Roman" w:hAnsi="Times New Roman"/>
          <w:sz w:val="24"/>
          <w:szCs w:val="24"/>
        </w:rPr>
        <w:t xml:space="preserve"> z </w:t>
      </w:r>
      <w:r w:rsidRPr="009A3C86">
        <w:rPr>
          <w:rFonts w:ascii="Times New Roman" w:hAnsi="Times New Roman"/>
          <w:b/>
          <w:sz w:val="24"/>
          <w:szCs w:val="24"/>
        </w:rPr>
        <w:t>art. 17</w:t>
      </w:r>
      <w:r w:rsidR="000363B1" w:rsidRPr="009A3C86">
        <w:rPr>
          <w:rFonts w:ascii="Times New Roman" w:hAnsi="Times New Roman"/>
          <w:b/>
          <w:sz w:val="24"/>
          <w:szCs w:val="24"/>
        </w:rPr>
        <w:t>0</w:t>
      </w:r>
      <w:r w:rsidRPr="009A3C86">
        <w:rPr>
          <w:rFonts w:ascii="Times New Roman" w:hAnsi="Times New Roman"/>
          <w:sz w:val="24"/>
          <w:szCs w:val="24"/>
        </w:rPr>
        <w:t xml:space="preserve">, ale w wydłużonym terminie na podstawie § 1, to termin ten ponownie wydłuża się o rok. Reguła ta będzie miała zastosowanie także gdy podatnik złoży każdą kolejną korektę w trakcie biegu „dodatkowego” roku przedawnienia wymiaru.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7. W przepisie </w:t>
      </w:r>
      <w:r w:rsidRPr="009A3C86">
        <w:rPr>
          <w:rFonts w:ascii="Times New Roman" w:hAnsi="Times New Roman"/>
          <w:b/>
          <w:sz w:val="24"/>
          <w:szCs w:val="24"/>
        </w:rPr>
        <w:t>art. 1</w:t>
      </w:r>
      <w:r w:rsidR="000363B1" w:rsidRPr="009A3C86">
        <w:rPr>
          <w:rFonts w:ascii="Times New Roman" w:hAnsi="Times New Roman"/>
          <w:b/>
          <w:sz w:val="24"/>
          <w:szCs w:val="24"/>
        </w:rPr>
        <w:t>7</w:t>
      </w:r>
      <w:r w:rsidR="00D5690F" w:rsidRPr="009A3C86">
        <w:rPr>
          <w:rFonts w:ascii="Times New Roman" w:hAnsi="Times New Roman"/>
          <w:b/>
          <w:sz w:val="24"/>
          <w:szCs w:val="24"/>
        </w:rPr>
        <w:t>5</w:t>
      </w:r>
      <w:r w:rsidRPr="009A3C86">
        <w:rPr>
          <w:rFonts w:ascii="Times New Roman" w:hAnsi="Times New Roman"/>
          <w:sz w:val="24"/>
          <w:szCs w:val="24"/>
        </w:rPr>
        <w:t xml:space="preserve"> proponuje się wskazać, że bieg terminu przedawnienia wymiaru nie rozpoczyna się, a rozpoczęty ulega zawieszeniu od dnia zaistnienia wskazanych okoliczności. Przepis ten zawiera zatem przypadki zawieszenia biegu terminu przedawnienia wymiaru. Zawarty w tym przepisie katalog nie ma jednak charakteru zamkniętego. Zawieszenie to może bowiem następować także w innych przypadkach, jeśli będzie to wynikać z ustaw podatkowych innych niż ordynacja podatkowa. Sytuacja taka ma miejsce zgodnie m.in. z art. 16 ust. 3 ustawy z dnia 28 lipca 1983 r. o podatku od spadków i darowizn (tekst jedn. </w:t>
      </w:r>
      <w:r w:rsidRPr="009A3C86">
        <w:rPr>
          <w:rFonts w:ascii="Times New Roman" w:hAnsi="Times New Roman"/>
          <w:bCs/>
          <w:sz w:val="24"/>
          <w:szCs w:val="24"/>
        </w:rPr>
        <w:t xml:space="preserve">Dz.U. z 2017 r. poz. 833 </w:t>
      </w:r>
      <w:r w:rsidRPr="009A3C86">
        <w:rPr>
          <w:rFonts w:ascii="Times New Roman" w:hAnsi="Times New Roman"/>
          <w:bCs/>
          <w:sz w:val="24"/>
          <w:szCs w:val="24"/>
        </w:rPr>
        <w:lastRenderedPageBreak/>
        <w:t>z</w:t>
      </w:r>
      <w:r w:rsidRPr="009A3C86">
        <w:rPr>
          <w:rFonts w:ascii="Times New Roman" w:hAnsi="Times New Roman"/>
          <w:sz w:val="24"/>
          <w:szCs w:val="24"/>
        </w:rPr>
        <w:t xml:space="preserve"> późn.</w:t>
      </w:r>
      <w:r w:rsidRPr="009A3C86">
        <w:rPr>
          <w:rFonts w:ascii="Times New Roman" w:hAnsi="Times New Roman"/>
          <w:bCs/>
          <w:sz w:val="24"/>
          <w:szCs w:val="24"/>
        </w:rPr>
        <w:t xml:space="preserve"> zm.)</w:t>
      </w:r>
      <w:r w:rsidRPr="009A3C86">
        <w:rPr>
          <w:rFonts w:ascii="Times New Roman" w:hAnsi="Times New Roman"/>
          <w:bCs/>
          <w:sz w:val="24"/>
          <w:szCs w:val="24"/>
          <w:vertAlign w:val="superscript"/>
        </w:rPr>
        <w:footnoteReference w:id="240"/>
      </w:r>
      <w:r w:rsidRPr="009A3C86">
        <w:rPr>
          <w:rFonts w:ascii="Times New Roman" w:hAnsi="Times New Roman"/>
          <w:bCs/>
          <w:sz w:val="24"/>
          <w:szCs w:val="24"/>
        </w:rPr>
        <w:t>.</w:t>
      </w:r>
      <w:r w:rsidRPr="009A3C86">
        <w:rPr>
          <w:rFonts w:ascii="Times New Roman" w:hAnsi="Times New Roman"/>
          <w:sz w:val="24"/>
          <w:szCs w:val="24"/>
        </w:rPr>
        <w:t xml:space="preserve"> Obecnie kwestionuje się zasadność utrzymywania aktualnie funkcjonującego katalogu przesłanek powodujących zawieszenie lub przerwanie biegu terminu przedawnienia</w:t>
      </w:r>
      <w:r w:rsidRPr="009A3C86">
        <w:rPr>
          <w:rFonts w:ascii="Times New Roman" w:hAnsi="Times New Roman"/>
          <w:sz w:val="24"/>
          <w:szCs w:val="24"/>
          <w:vertAlign w:val="superscript"/>
        </w:rPr>
        <w:footnoteReference w:id="241"/>
      </w:r>
      <w:r w:rsidRPr="009A3C86">
        <w:rPr>
          <w:rFonts w:ascii="Times New Roman" w:hAnsi="Times New Roman"/>
          <w:sz w:val="24"/>
          <w:szCs w:val="24"/>
        </w:rPr>
        <w:t>. Wskazuje się, że z uwagi na jego bardzo rozbudowany charakter przepisy dotyczące przedawnienia nie spełniają swojej funkcji</w:t>
      </w:r>
      <w:r w:rsidRPr="009A3C86">
        <w:rPr>
          <w:rFonts w:ascii="Times New Roman" w:hAnsi="Times New Roman"/>
          <w:sz w:val="24"/>
          <w:szCs w:val="24"/>
          <w:vertAlign w:val="superscript"/>
        </w:rPr>
        <w:footnoteReference w:id="242"/>
      </w:r>
      <w:r w:rsidRPr="009A3C86">
        <w:rPr>
          <w:rFonts w:ascii="Times New Roman" w:hAnsi="Times New Roman"/>
          <w:sz w:val="24"/>
          <w:szCs w:val="24"/>
        </w:rPr>
        <w:t>. Zauważyć przy tym należy, że problematyka przesłanek mających wpływ na przedłużenie okresu przedawnienia jest przedmiotem bogatego orzecznictwa Trybunału Konstytucyjnego</w:t>
      </w:r>
      <w:r w:rsidRPr="009A3C86">
        <w:rPr>
          <w:rFonts w:ascii="Times New Roman" w:hAnsi="Times New Roman"/>
          <w:sz w:val="24"/>
          <w:szCs w:val="24"/>
          <w:vertAlign w:val="superscript"/>
        </w:rPr>
        <w:footnoteReference w:id="243"/>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W konstrukcji przedawnienia wymiaru wyeliminowano możliwość przerwania jego biegu, a jego zawieszenie ma następować tylko z przyczyn obiektywnych, niezależnych od organu podatkowego lub takich, które mogą mieć wpływ na wymiar podatku. W tym miejscu należy zwrócić uwagę, że w niektórych państwach podjęcie przez organ podatkowy jakichkolwiek czynności mających na celu wymiar podatku, m.in. wszczęcie postępowania podatkowego, skutkuje przerwą biegu terminu przedawniania wymiaru</w:t>
      </w:r>
      <w:r w:rsidRPr="009A3C86">
        <w:rPr>
          <w:rFonts w:ascii="Times New Roman" w:hAnsi="Times New Roman"/>
          <w:sz w:val="24"/>
          <w:szCs w:val="24"/>
          <w:vertAlign w:val="superscript"/>
        </w:rPr>
        <w:footnoteReference w:id="244"/>
      </w:r>
      <w:r w:rsidRPr="009A3C86">
        <w:rPr>
          <w:rFonts w:ascii="Times New Roman" w:hAnsi="Times New Roman"/>
          <w:sz w:val="24"/>
          <w:szCs w:val="24"/>
        </w:rPr>
        <w:t xml:space="preserve">. W projektowanym akcie zawieszenie przedawnienia poboru ma miejsce w następstwie zaistnienia takich okoliczności, jak: śmierć zobowiązanego, śmierć przedstawiciela ustawowego zobowiązanego, utrata przez zobowiązanego lub jego przedstawiciela ustawowego zdolności do czynności prawnych, wystąpienie do innego organu lub sądu o rozstrzygnięcie zagadnienia wstępnego, od którego rozstrzygnięcia uzależnione jest wydanie decyzji wymiarowej przez organ podatkowy, wystąpienie przez organ podatkowy do sądu powszechnego o ustalenie istnienia stosunku prawnego lub prawa, od którego rozstrzygnięcia uzależnione jest wydanie decyzji wymiarowej </w:t>
      </w:r>
      <w:r w:rsidRPr="009A3C86">
        <w:rPr>
          <w:rFonts w:ascii="Times New Roman" w:hAnsi="Times New Roman"/>
          <w:sz w:val="24"/>
          <w:szCs w:val="24"/>
        </w:rPr>
        <w:lastRenderedPageBreak/>
        <w:t xml:space="preserve">(na podstawie </w:t>
      </w:r>
      <w:r w:rsidRPr="009A3C86">
        <w:rPr>
          <w:rFonts w:ascii="Times New Roman" w:hAnsi="Times New Roman"/>
          <w:bCs/>
          <w:sz w:val="24"/>
          <w:szCs w:val="24"/>
        </w:rPr>
        <w:t xml:space="preserve">art. 384 § 3 </w:t>
      </w:r>
      <w:r w:rsidRPr="009A3C86">
        <w:rPr>
          <w:rFonts w:ascii="Times New Roman" w:hAnsi="Times New Roman"/>
          <w:sz w:val="24"/>
          <w:szCs w:val="24"/>
        </w:rPr>
        <w:t xml:space="preserve">oraz art. </w:t>
      </w:r>
      <w:r w:rsidRPr="009A3C86">
        <w:rPr>
          <w:rFonts w:ascii="Times New Roman" w:hAnsi="Times New Roman"/>
          <w:bCs/>
          <w:sz w:val="24"/>
          <w:szCs w:val="24"/>
        </w:rPr>
        <w:t>189</w:t>
      </w:r>
      <w:r w:rsidRPr="009A3C86">
        <w:rPr>
          <w:rFonts w:ascii="Times New Roman" w:hAnsi="Times New Roman"/>
          <w:bCs/>
          <w:sz w:val="24"/>
          <w:szCs w:val="24"/>
          <w:vertAlign w:val="superscript"/>
        </w:rPr>
        <w:t>1</w:t>
      </w:r>
      <w:r w:rsidRPr="009A3C86">
        <w:rPr>
          <w:rFonts w:ascii="Times New Roman" w:hAnsi="Times New Roman"/>
          <w:sz w:val="24"/>
          <w:szCs w:val="24"/>
        </w:rPr>
        <w:t xml:space="preserve"> ustawy z dnia 17 listopada 1964 r. - Kodeks postępowania cywilnego Dz.U. z 2018 r. poz. 155), doręczenia postanowienia o zawieszeniu postępowania w związku z rozstrzygnięciem sprawy, o której mowa w art. 4</w:t>
      </w:r>
      <w:r w:rsidR="001F0B80" w:rsidRPr="009A3C86">
        <w:rPr>
          <w:rFonts w:ascii="Times New Roman" w:hAnsi="Times New Roman"/>
          <w:sz w:val="24"/>
          <w:szCs w:val="24"/>
        </w:rPr>
        <w:t>38</w:t>
      </w:r>
      <w:r w:rsidRPr="009A3C86">
        <w:rPr>
          <w:rFonts w:ascii="Times New Roman" w:hAnsi="Times New Roman"/>
          <w:sz w:val="24"/>
          <w:szCs w:val="24"/>
        </w:rPr>
        <w:t>-4</w:t>
      </w:r>
      <w:r w:rsidR="001F0B80" w:rsidRPr="009A3C86">
        <w:rPr>
          <w:rFonts w:ascii="Times New Roman" w:hAnsi="Times New Roman"/>
          <w:sz w:val="24"/>
          <w:szCs w:val="24"/>
        </w:rPr>
        <w:t>40</w:t>
      </w:r>
      <w:r w:rsidRPr="009A3C86">
        <w:rPr>
          <w:rFonts w:ascii="Times New Roman" w:hAnsi="Times New Roman"/>
          <w:bCs/>
          <w:sz w:val="24"/>
          <w:szCs w:val="24"/>
        </w:rPr>
        <w:t xml:space="preserve"> </w:t>
      </w:r>
      <w:r w:rsidRPr="009A3C86">
        <w:rPr>
          <w:rFonts w:ascii="Times New Roman" w:hAnsi="Times New Roman"/>
          <w:sz w:val="24"/>
          <w:szCs w:val="24"/>
        </w:rPr>
        <w:t>albo w związku z wystąpieniem o opinię Rady do spraw Przeciwdziałania Unikaniu Opodatkowania, wniesienie skargi do sądu administracyjnego na decyzję wymiarową, decyzję stwierdzającą nieważność decyzji wymiarowej, decyzję uchylającą w całości decyzję wymiarową organu pierwszej instancji i przekazującą sprawę do ponownego rozpatrzenia lub postanowienie określone w art. 4</w:t>
      </w:r>
      <w:r w:rsidR="00DD7146" w:rsidRPr="009A3C86">
        <w:rPr>
          <w:rFonts w:ascii="Times New Roman" w:hAnsi="Times New Roman"/>
          <w:sz w:val="24"/>
          <w:szCs w:val="24"/>
        </w:rPr>
        <w:t>6</w:t>
      </w:r>
      <w:r w:rsidR="001F0B80" w:rsidRPr="009A3C86">
        <w:rPr>
          <w:rFonts w:ascii="Times New Roman" w:hAnsi="Times New Roman"/>
          <w:sz w:val="24"/>
          <w:szCs w:val="24"/>
        </w:rPr>
        <w:t>6</w:t>
      </w:r>
      <w:r w:rsidRPr="009A3C86">
        <w:rPr>
          <w:rFonts w:ascii="Times New Roman" w:hAnsi="Times New Roman"/>
          <w:sz w:val="24"/>
          <w:szCs w:val="24"/>
        </w:rPr>
        <w:t xml:space="preserve"> § 1, wystąpienie, na podstawie ratyfikowanych umów o unikaniu podwójnego opodatkowania, innych ratyfikowanych umów międzynarodowych, których stroną jest Rzeczpospolita Polska lub przepisów prawa Unii Europejskiej, do organów innego państwa o udzielenie informacji niezbędnych do dokonania wymiaru, złożenia wniosku o wszczęcie procedury wzajemnego porozumiewania lub procedury arbitrażowej na podstawie ratyfikowanej umowy o unikaniu podwójnego opodatkowania lub innej ratyfikowanej umowy międzynarodowej, której stroną jest Rzeczpospolita Polska. O obiektywnym charakterze tych przesłanek świadczy fakt, iż stanowią one podstawę do zawieszenia postępowania podatkowego w oparciu o art. 4</w:t>
      </w:r>
      <w:r w:rsidR="00DD7146" w:rsidRPr="009A3C86">
        <w:rPr>
          <w:rFonts w:ascii="Times New Roman" w:hAnsi="Times New Roman"/>
          <w:sz w:val="24"/>
          <w:szCs w:val="24"/>
        </w:rPr>
        <w:t>35</w:t>
      </w:r>
      <w:r w:rsidRPr="009A3C86">
        <w:rPr>
          <w:rFonts w:ascii="Times New Roman" w:hAnsi="Times New Roman"/>
          <w:sz w:val="24"/>
          <w:szCs w:val="24"/>
        </w:rPr>
        <w:t xml:space="preserve">. Nie oznacza to jednak, że jedynie w przypadku zawieszenia postępowania podatkowego następuje zawieszenie biegu terminu przedawnienia wymiaru. Jeśli bowiem okoliczności, o których mowa, zaistnieją przed lub po zakończeniu postępowania podatkowego, będzie to także powodowało zawieszenie biegu przedawnienia wymiaru. Trudno jest bowiem uzasadnić, aby różne były okresy na wydanie decyzji wymiarowej w ramach przedawnienia wymiaru wobec np. spadkobierców w zależności od tego, czy wobec zmarłego zobowiązanego toczyło się lub nie postępowanie podatkowe w zakresie zobowiązania powstającego z mocy prawa.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4</w:t>
      </w:r>
      <w:r w:rsidRPr="009A3C86">
        <w:rPr>
          <w:rFonts w:ascii="Times New Roman" w:hAnsi="Times New Roman"/>
          <w:sz w:val="24"/>
          <w:szCs w:val="24"/>
        </w:rPr>
        <w:t xml:space="preserve"> jest odpowiednikiem obowiązującego art. 68 § 5 o.p. Zawieszenie biegu terminu przedawnienia wymiaru jest zależne od rozstrzygnięcia zagadnienia wstępnego przez organ inny niż organ podatkowy, od którego rozstrzygnięcia uzależnione jest wydanie decyzji wymiarowej. Okres przedawnienia wymiaru nie może być uzależniony od czasu prowadzonych postępowań podatkowych przez inne organy podatkowe, jeśli wszystkie te organy są nadzorowane przez ten sam podmiot (Szefa KAS). W ramach przysługujących temu podmiotowi uprawnień powinien on sprawić, aby opieszałość podległych mu organów nie wpływała na możliwość działań podejmowanych przez inne podległe mu organy. W przypadku złożonych i trudnych postępowań, np. gdy podmioty występują w łańcuchu powiązań karuzelowych, a także gdy takie sprawy prowadzone są przez różne urzędy skarbowe z całego kraju, należy zadbać o to, aby w ramach nadzoru Szefa KAS postępowania te były prowadzone </w:t>
      </w:r>
      <w:r w:rsidRPr="009A3C86">
        <w:rPr>
          <w:rFonts w:ascii="Times New Roman" w:hAnsi="Times New Roman"/>
          <w:sz w:val="24"/>
          <w:szCs w:val="24"/>
        </w:rPr>
        <w:lastRenderedPageBreak/>
        <w:t xml:space="preserve">sprawnie i aby miała miejsce wymiana informacji pomiędzy tymi organami.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5</w:t>
      </w:r>
      <w:r w:rsidRPr="009A3C86">
        <w:rPr>
          <w:rFonts w:ascii="Times New Roman" w:hAnsi="Times New Roman"/>
          <w:sz w:val="24"/>
          <w:szCs w:val="24"/>
        </w:rPr>
        <w:t xml:space="preserve"> jest zmodyfikowanym odpowiednikiem obowiązującego art. 70 § 6 pkt 3 o.p. Istotne jest, że zawieszenie biegu terminu przedawnienia wymiaru powinno następować w przypadku wystąpienia przez organ podatkowy do sądu powszechnego o ustalenie istnienia stosunku prawnego lub prawa, ale tylko wtedy, gdy od tego rozstrzygnięcia uzależnione jest wydanie decyzji wymiarowej.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6</w:t>
      </w:r>
      <w:r w:rsidRPr="009A3C86">
        <w:rPr>
          <w:rFonts w:ascii="Times New Roman" w:hAnsi="Times New Roman"/>
          <w:sz w:val="24"/>
          <w:szCs w:val="24"/>
        </w:rPr>
        <w:t xml:space="preserve"> wprowadza rozwiązanie, zgodnie z którym zawieszenie biegu terminu przedawnienia następuje od dnia doręczenia postanowienia o zawieszeniu postępowania w przypadku, o którym mowa w </w:t>
      </w:r>
      <w:r w:rsidRPr="009A3C86">
        <w:rPr>
          <w:rFonts w:ascii="Times New Roman" w:hAnsi="Times New Roman"/>
          <w:bCs/>
          <w:sz w:val="24"/>
          <w:szCs w:val="24"/>
        </w:rPr>
        <w:t>art. 4</w:t>
      </w:r>
      <w:r w:rsidR="00DD7146" w:rsidRPr="009A3C86">
        <w:rPr>
          <w:rFonts w:ascii="Times New Roman" w:hAnsi="Times New Roman"/>
          <w:bCs/>
          <w:sz w:val="24"/>
          <w:szCs w:val="24"/>
        </w:rPr>
        <w:t>35</w:t>
      </w:r>
      <w:r w:rsidRPr="009A3C86">
        <w:rPr>
          <w:rFonts w:ascii="Times New Roman" w:hAnsi="Times New Roman"/>
          <w:bCs/>
          <w:sz w:val="24"/>
          <w:szCs w:val="24"/>
        </w:rPr>
        <w:t xml:space="preserve"> </w:t>
      </w:r>
      <w:r w:rsidRPr="009A3C86">
        <w:rPr>
          <w:rFonts w:ascii="Times New Roman" w:hAnsi="Times New Roman"/>
          <w:sz w:val="24"/>
          <w:szCs w:val="24"/>
        </w:rPr>
        <w:t>§ 1 pkt 8 lub art. 4</w:t>
      </w:r>
      <w:r w:rsidR="00DD7146" w:rsidRPr="009A3C86">
        <w:rPr>
          <w:rFonts w:ascii="Times New Roman" w:hAnsi="Times New Roman"/>
          <w:sz w:val="24"/>
          <w:szCs w:val="24"/>
        </w:rPr>
        <w:t>38</w:t>
      </w:r>
      <w:r w:rsidRPr="009A3C86">
        <w:rPr>
          <w:rFonts w:ascii="Times New Roman" w:hAnsi="Times New Roman"/>
          <w:sz w:val="24"/>
          <w:szCs w:val="24"/>
        </w:rPr>
        <w:t>-4</w:t>
      </w:r>
      <w:r w:rsidR="00DD7146" w:rsidRPr="009A3C86">
        <w:rPr>
          <w:rFonts w:ascii="Times New Roman" w:hAnsi="Times New Roman"/>
          <w:sz w:val="24"/>
          <w:szCs w:val="24"/>
        </w:rPr>
        <w:t>40</w:t>
      </w:r>
      <w:r w:rsidRPr="009A3C86">
        <w:rPr>
          <w:rFonts w:ascii="Times New Roman" w:hAnsi="Times New Roman"/>
          <w:sz w:val="24"/>
          <w:szCs w:val="24"/>
        </w:rPr>
        <w:t>. Rozwiązanie to jest konieczne. W przeciwnym wypadku organ podatkowy nie byłby skłonny korzystać z instytucji tzw. sprawy reprezentatywnej, o której mowa w art. 4</w:t>
      </w:r>
      <w:r w:rsidR="00DD7146" w:rsidRPr="009A3C86">
        <w:rPr>
          <w:rFonts w:ascii="Times New Roman" w:hAnsi="Times New Roman"/>
          <w:sz w:val="24"/>
          <w:szCs w:val="24"/>
        </w:rPr>
        <w:t>38</w:t>
      </w:r>
      <w:r w:rsidRPr="009A3C86">
        <w:rPr>
          <w:rFonts w:ascii="Times New Roman" w:hAnsi="Times New Roman"/>
          <w:sz w:val="24"/>
          <w:szCs w:val="24"/>
        </w:rPr>
        <w:t>-4</w:t>
      </w:r>
      <w:r w:rsidR="00DD7146" w:rsidRPr="009A3C86">
        <w:rPr>
          <w:rFonts w:ascii="Times New Roman" w:hAnsi="Times New Roman"/>
          <w:sz w:val="24"/>
          <w:szCs w:val="24"/>
        </w:rPr>
        <w:t>40</w:t>
      </w:r>
      <w:r w:rsidRPr="009A3C86">
        <w:rPr>
          <w:rFonts w:ascii="Times New Roman" w:hAnsi="Times New Roman"/>
          <w:sz w:val="24"/>
          <w:szCs w:val="24"/>
        </w:rPr>
        <w:t xml:space="preserve">. Jej istotą jest zawieszenie postępowania lub postępowań do czasu rozstrzygnięcia sprawy o tożsamym charakterze. Należy także wydłużyć okres na dokonanie wymiaru, w przypadku gdy kwestia ustalenia, czy w sprawie mamy do czynienia z unikaniem opodatkowania, jest badana przez Radę do spraw Przeciwdziałania Unikaniu Opodatkowania. Zgodnie bowiem z art. </w:t>
      </w:r>
      <w:r w:rsidR="001F0B80" w:rsidRPr="009A3C86">
        <w:rPr>
          <w:rFonts w:ascii="Times New Roman" w:hAnsi="Times New Roman"/>
          <w:sz w:val="24"/>
          <w:szCs w:val="24"/>
        </w:rPr>
        <w:t>599</w:t>
      </w:r>
      <w:r w:rsidRPr="009A3C86">
        <w:rPr>
          <w:rFonts w:ascii="Times New Roman" w:hAnsi="Times New Roman"/>
          <w:sz w:val="24"/>
          <w:szCs w:val="24"/>
        </w:rPr>
        <w:t xml:space="preserve"> Szef Krajowej Administracji Skarbowej może, w toku postępowania, zasięgnąć opinii Rady do spraw Przeciwdziałania Unikaniu Opodatkowania co do zasadności zastosowania klauzuli przeciwko unikaniu opodatkowania. Ponadto na wniosek strony zgłoszony w odwołaniu od decyzji wydanej w tej sprawie Szef Krajowej Administracji Skarbowej zasięga opinii tej Rady, chyba że opinia została już wydana.</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7</w:t>
      </w:r>
      <w:r w:rsidRPr="009A3C86">
        <w:rPr>
          <w:rFonts w:ascii="Times New Roman" w:hAnsi="Times New Roman"/>
          <w:sz w:val="24"/>
          <w:szCs w:val="24"/>
        </w:rPr>
        <w:t xml:space="preserve"> wskazuje się, że bieg terminu przedawnienia wymiaru nie rozpoczyna się, a rozpoczęty ulega zawieszeniu od dnia wniesienia skargi do sądu administracyjnego na decyzję wymiarową, decyzję stwierdzającą nieważność decyzji wymiarowej, decyzję uchylającą w całości decyzję wymiarową organu pierwszej instancji i przekazującą sprawę do ponownego rozpatrzenia lub postanowienie określone w art. 4</w:t>
      </w:r>
      <w:r w:rsidR="00DD7146" w:rsidRPr="009A3C86">
        <w:rPr>
          <w:rFonts w:ascii="Times New Roman" w:hAnsi="Times New Roman"/>
          <w:sz w:val="24"/>
          <w:szCs w:val="24"/>
        </w:rPr>
        <w:t>66</w:t>
      </w:r>
      <w:r w:rsidRPr="009A3C86">
        <w:rPr>
          <w:rFonts w:ascii="Times New Roman" w:hAnsi="Times New Roman"/>
          <w:sz w:val="24"/>
          <w:szCs w:val="24"/>
        </w:rPr>
        <w:t xml:space="preserve"> § 1. Zdarzenia te także mają charakter obiektywny i są niezależne od organu podatkowego. Ponadto okres prowadzonego postępowania sądowego nie powinien konsumować czasu na wymiar podatku przysługujący organowi podatkowemu, który wynika z istoty przedawnienia wymiaru. Przyjęcie rozwiązania, w którym złożenie skargi do sądu administracyjnego nie powodowałoby zawieszenia biegu terminu przedawnienia wymiaru, skutkowałoby także zwiększeniem liczby skarg na decyzje administracyjne, jak również przedłużanie procedury sądowoadministracyjnej w związku ze składaniem skarg kasacyjnych  w sprawach oczywiście niezasadnych. Brak tej przesłanki zawieszenia biegu przedawniana wymiaru w praktyce pozbawiłoby lub co najmniej poważnie ograniczyło możliwości uwzględniania i naprawienia mankamentów, które niekoniecznie muszą się wiązać z wadliwym działaniem organu podatkowego, a które zostaną stwierdzone </w:t>
      </w:r>
      <w:r w:rsidRPr="009A3C86">
        <w:rPr>
          <w:rFonts w:ascii="Times New Roman" w:hAnsi="Times New Roman"/>
          <w:sz w:val="24"/>
          <w:szCs w:val="24"/>
        </w:rPr>
        <w:lastRenderedPageBreak/>
        <w:t xml:space="preserve">przez sądy administracyjne. Jeśli nawet organy podatkowe wydałyby decyzję określającą wysokość zobowiązania podatkowego niezwłocznie po upływie terminu płatności, to brak ww. mechanizmu może uniemożliwić im usunięcie uchybień w ramach ponownego postępowania podatkowego zarządzonego przez sąd administracyjny na skutek przedawnienia wymiaru. Podkreślić należy, że w przypadku postępowania sądowego zakończenie tych procedur może trwać nawet kilka lat. Niekiedy rozstrzygnięcie sprawy w sądzie administracyjnym może być zależne od orzeczenia TK lub TSUE, co w istotny sposób wpływa na długość prowadzenia postępowania sądowoadministracyjnego. 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7</w:t>
      </w:r>
      <w:r w:rsidRPr="009A3C86">
        <w:rPr>
          <w:rFonts w:ascii="Times New Roman" w:hAnsi="Times New Roman"/>
          <w:sz w:val="24"/>
          <w:szCs w:val="24"/>
        </w:rPr>
        <w:t xml:space="preserve"> jest zmodyfikowanym odpowiednikiem art. 70 § 6 pkt 2 o.p. W celu eliminacji wątpliwości należy mechanizm zawieszenia biegu terminu przedawnienia rozszerzyć także na przypadki, gdy skarga jest składana na decyzję stwierdzającą nieważność decyzji wymiarowej lub decyzję uchylającą w całości decyzję wymiarową organu pierwszej instancji i przekazującą sprawę do ponownego rozpatrzenia.</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Zawieszenie, o którym mowa w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7</w:t>
      </w:r>
      <w:r w:rsidRPr="009A3C86">
        <w:rPr>
          <w:rFonts w:ascii="Times New Roman" w:hAnsi="Times New Roman"/>
          <w:sz w:val="24"/>
          <w:szCs w:val="24"/>
        </w:rPr>
        <w:t xml:space="preserve"> będzie następowało gdy skarga do sądu administracyjnego zostanie złożona przez podmiot uprawniony tj. zobowiązanego, ale również inny podmiot np. jednostkę samorządu terytorialnego. W projekcie ustawy Przepisy wprowadzające ustawę – Ordynacja podatkowa i ustawę o Rzeczniku Praw Podatnika wprowadza się bowiem zmianę m.in. w ustawie – Prawo o postępowaniu przed sądami administracyjnymi. Zgodnie z projektowanym przepisem tej ustawy jednostka samorządu terytorialnego może wnieść skargę lub sprzeciw do sądu administracyjnego, gdy organ tej jednostki był organem orzekającym w poprzedzającym postępowaniu administracyjnym w sprawach dotyczących określonych podatków lokalnych</w:t>
      </w:r>
      <w:r w:rsidR="00C150F6" w:rsidRPr="009A3C86">
        <w:rPr>
          <w:rFonts w:ascii="Times New Roman" w:hAnsi="Times New Roman"/>
          <w:sz w:val="24"/>
          <w:szCs w:val="24"/>
        </w:rPr>
        <w:t>.</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8</w:t>
      </w:r>
      <w:r w:rsidRPr="009A3C86">
        <w:rPr>
          <w:rFonts w:ascii="Times New Roman" w:hAnsi="Times New Roman"/>
          <w:sz w:val="24"/>
          <w:szCs w:val="24"/>
        </w:rPr>
        <w:t xml:space="preserve"> jest zmodyfikowanym odpowiednikiem </w:t>
      </w:r>
      <w:r w:rsidRPr="009A3C86">
        <w:rPr>
          <w:rFonts w:ascii="Times New Roman" w:hAnsi="Times New Roman"/>
          <w:bCs/>
          <w:sz w:val="24"/>
          <w:szCs w:val="24"/>
        </w:rPr>
        <w:t xml:space="preserve">art. 70a </w:t>
      </w:r>
      <w:r w:rsidRPr="009A3C86">
        <w:rPr>
          <w:rFonts w:ascii="Times New Roman" w:hAnsi="Times New Roman"/>
          <w:sz w:val="24"/>
          <w:szCs w:val="24"/>
        </w:rPr>
        <w:t>§ 1 o.p. Uznano, że zawieszenie biegu przedawnienia wymiaru powinno mieć miejsce także w przypadku wystąpienia przez organ podatkowy do organów innego państwa o udzielenie informacji niezbędnych do dokonania wymiaru, jeśli następuje to na podstawie przepisów prawa Unii Europejskiej. Związane jest to z faktem, że organy podatkowe pozyskują informacje w trybach określonych m.in. w przepisach UE o wzajemnej pomocy w zakresie VAT (rozporządzenie Rady (UE) nr 904/2010 z dnia 7 października 2010 r. w sprawie współpracy administracyjnej oraz zwalczania oszustw w dziedzinie podatku od wartości dodanej) i akcyzy (rozporządzenie Rady (UE) nr 389/2012 z dnia 2 maja 2012 r. w sprawie współpracy administracyjnej w dziedzinie podatków akcyzowych oraz uchylenia rozporządzenia (WE) nr 2073/2004).</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 xml:space="preserve">5 </w:t>
      </w:r>
      <w:r w:rsidRPr="009A3C86">
        <w:rPr>
          <w:rFonts w:ascii="Times New Roman" w:hAnsi="Times New Roman"/>
          <w:b/>
          <w:sz w:val="24"/>
          <w:szCs w:val="24"/>
        </w:rPr>
        <w:t>pkt 9</w:t>
      </w:r>
      <w:r w:rsidRPr="009A3C86">
        <w:rPr>
          <w:rFonts w:ascii="Times New Roman" w:hAnsi="Times New Roman"/>
          <w:sz w:val="24"/>
          <w:szCs w:val="24"/>
        </w:rPr>
        <w:t xml:space="preserve"> jest zmodyfikowanym odpowiednikiem art. 70a § 1a o.p. W przepisie tym uregulowano kwestię zawieszenia biegu terminu przedawnienia wymiaru w związku z </w:t>
      </w:r>
      <w:r w:rsidRPr="009A3C86">
        <w:rPr>
          <w:rFonts w:ascii="Times New Roman" w:hAnsi="Times New Roman"/>
          <w:sz w:val="24"/>
          <w:szCs w:val="24"/>
        </w:rPr>
        <w:lastRenderedPageBreak/>
        <w:t>złożeniem wniosku o wszczęcie procedury wzajemnego porozumiewania lub procedury arbitrażowej, prowadzonej na podstawie ratyfikowanej umowy o unikaniu podwójnego opodatkowania lub innej ratyfikowanej umowy międzynarodowej, której stroną jest Rzeczpospolita Polska. Przepis ten obejmuje swoim zakresem sytuację dotyczącą wszczęcia procedury wzajemnego porozumiewania, ale także procedury arbitrażowej, gdyż istnieją umowy międzynarodowe, w których takie rozwiązanie jest przewidziane</w:t>
      </w:r>
      <w:r w:rsidRPr="009A3C86">
        <w:rPr>
          <w:rFonts w:ascii="Times New Roman" w:hAnsi="Times New Roman"/>
          <w:sz w:val="24"/>
          <w:szCs w:val="24"/>
          <w:vertAlign w:val="superscript"/>
        </w:rPr>
        <w:footnoteReference w:id="245"/>
      </w:r>
      <w:r w:rsidRPr="009A3C86">
        <w:rPr>
          <w:rFonts w:ascii="Times New Roman" w:hAnsi="Times New Roman"/>
          <w:sz w:val="24"/>
          <w:szCs w:val="24"/>
        </w:rPr>
        <w:t>. Projektowany przepis nie zawiera ograniczeń zawartych w ostatnim zdaniu art. 70a § 1a, § 2 i § 3 o.p. Ma w tym przypadku jednak zastosowanie ograniczenie okresu zawieszenia biegu terminu przedawnienia wymiaru zawarte w art. 1</w:t>
      </w:r>
      <w:r w:rsidR="001C0E9C" w:rsidRPr="009A3C86">
        <w:rPr>
          <w:rFonts w:ascii="Times New Roman" w:hAnsi="Times New Roman"/>
          <w:sz w:val="24"/>
          <w:szCs w:val="24"/>
        </w:rPr>
        <w:t>7</w:t>
      </w:r>
      <w:r w:rsidR="00DD7146" w:rsidRPr="009A3C86">
        <w:rPr>
          <w:rFonts w:ascii="Times New Roman" w:hAnsi="Times New Roman"/>
          <w:sz w:val="24"/>
          <w:szCs w:val="24"/>
        </w:rPr>
        <w:t>7</w:t>
      </w:r>
      <w:r w:rsidRPr="009A3C86">
        <w:rPr>
          <w:rFonts w:ascii="Times New Roman" w:hAnsi="Times New Roman"/>
          <w:sz w:val="24"/>
          <w:szCs w:val="24"/>
        </w:rPr>
        <w:t>. W § 1 wskazuje się, że zawieszenie biegu terminu przedawnienia wymiaru może następować wielokrotnie, z tym że łączny okres, w którym trwa zawieszenie biegu tego terminu przedawnienia, nie może przekroczyć 5 lat. Przepis ten ma charakter uniwersalny odnoszący się do wszystkich przesłanek mogących powodować zawieszenie biegu terminu przedawnienia wymiaru. Wyjątek będzie dotyczył zawieszenia biegu terminu przedawnienia wymiaru w okolicznościach, o której mowa w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xml:space="preserve"> pkt 7 i 11, co wynika z art. 1</w:t>
      </w:r>
      <w:r w:rsidR="001C0E9C" w:rsidRPr="009A3C86">
        <w:rPr>
          <w:rFonts w:ascii="Times New Roman" w:hAnsi="Times New Roman"/>
          <w:sz w:val="24"/>
          <w:szCs w:val="24"/>
        </w:rPr>
        <w:t>7</w:t>
      </w:r>
      <w:r w:rsidR="00DD7146" w:rsidRPr="009A3C86">
        <w:rPr>
          <w:rFonts w:ascii="Times New Roman" w:hAnsi="Times New Roman"/>
          <w:sz w:val="24"/>
          <w:szCs w:val="24"/>
        </w:rPr>
        <w:t>7</w:t>
      </w:r>
      <w:r w:rsidRPr="009A3C86">
        <w:rPr>
          <w:rFonts w:ascii="Times New Roman" w:hAnsi="Times New Roman"/>
          <w:sz w:val="24"/>
          <w:szCs w:val="24"/>
        </w:rPr>
        <w:t xml:space="preserve"> § 3.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10</w:t>
      </w:r>
      <w:r w:rsidRPr="009A3C86">
        <w:rPr>
          <w:rFonts w:ascii="Times New Roman" w:hAnsi="Times New Roman"/>
          <w:sz w:val="24"/>
          <w:szCs w:val="24"/>
        </w:rPr>
        <w:t xml:space="preserve"> jest zmodyfikowanym odpowiednikiem </w:t>
      </w:r>
      <w:r w:rsidRPr="009A3C86">
        <w:rPr>
          <w:rFonts w:ascii="Times New Roman" w:hAnsi="Times New Roman"/>
          <w:bCs/>
          <w:sz w:val="24"/>
          <w:szCs w:val="24"/>
        </w:rPr>
        <w:t xml:space="preserve">art. 70 </w:t>
      </w:r>
      <w:r w:rsidRPr="009A3C86">
        <w:rPr>
          <w:rFonts w:ascii="Times New Roman" w:hAnsi="Times New Roman"/>
          <w:sz w:val="24"/>
          <w:szCs w:val="24"/>
        </w:rPr>
        <w:t xml:space="preserve">§ 6 pkt 6 o.p. Uzasadniając wprowadzenie tej regulacji wskazać należy, że </w:t>
      </w:r>
      <w:r w:rsidRPr="009A3C86">
        <w:rPr>
          <w:rFonts w:ascii="Times New Roman" w:hAnsi="Times New Roman"/>
          <w:color w:val="333333"/>
          <w:sz w:val="24"/>
          <w:szCs w:val="24"/>
          <w:lang w:eastAsia="pl-PL"/>
        </w:rPr>
        <w:t>postępowania podatkowe w zakresie zastosowania generalnej klauzuli przeciwko unikaniu opodatkowania lub umownej klauzuli przeciwko unikaniu opodatkowania będą dłuższe niż standardowe. Wpływ na to będzie mieć szereg czynników, takich jak prowadzenie postępowania przez dwa organy podatkowe (inicjujący oraz przejmujący), skomplikowany charakter zagadnień pojawiających się w toku postępowania, konieczność zdefiniowania czynności odpowiedniej oraz możliwość zasięgnięcia opinii Rady do Spraw Przeciwdziałania Unikaniu Opodatkowania. Przypomnieć należy, że Szef Krajowej Administracji Skarbowej obok stosowania klauzuli przeciwko unikaniu opodatkowania w prowadzonych postępowaniach podatkowych pełni rolę także "zwykłego" organu podatkowego uprawnionego do załatwienia sprawy w całości. Decyzje Szefa KAS określają bowiem np. wysokość zobowiązania podatkowego w danym podatku za wskazany okres rozliczeniowy.</w:t>
      </w:r>
      <w:r w:rsidRPr="009A3C86">
        <w:rPr>
          <w:rFonts w:ascii="Times New Roman" w:hAnsi="Times New Roman"/>
          <w:sz w:val="24"/>
          <w:szCs w:val="24"/>
        </w:rPr>
        <w:t xml:space="preserve"> </w:t>
      </w:r>
      <w:r w:rsidRPr="009A3C86">
        <w:rPr>
          <w:rFonts w:ascii="Times New Roman" w:hAnsi="Times New Roman"/>
          <w:color w:val="333333"/>
          <w:sz w:val="24"/>
          <w:szCs w:val="24"/>
          <w:lang w:eastAsia="pl-PL"/>
        </w:rPr>
        <w:t>Można z dużą dozą pewności założyć, że w sprawach, w których podatnik nie uzna argumentacji prawnej Szefa KAS w zakresie unikania opodatkowania, złożone odwołanie będzie zawierać wniosek o zasięgnięcie opinii Rady, o ile taka opinia nie zostanie wydana w postępowaniu podatkowym w I instancji. Zgodnie z brzmieniem art. 6</w:t>
      </w:r>
      <w:r w:rsidR="001F0B80" w:rsidRPr="009A3C86">
        <w:rPr>
          <w:rFonts w:ascii="Times New Roman" w:hAnsi="Times New Roman"/>
          <w:color w:val="333333"/>
          <w:sz w:val="24"/>
          <w:szCs w:val="24"/>
          <w:lang w:eastAsia="pl-PL"/>
        </w:rPr>
        <w:t>00</w:t>
      </w:r>
      <w:r w:rsidRPr="009A3C86">
        <w:rPr>
          <w:rFonts w:ascii="Times New Roman" w:hAnsi="Times New Roman"/>
          <w:color w:val="333333"/>
          <w:sz w:val="24"/>
          <w:szCs w:val="24"/>
          <w:lang w:eastAsia="pl-PL"/>
        </w:rPr>
        <w:t xml:space="preserve"> § 5 zdanie 2 Ordynacji podatkowej, postępowanie przed Radą może trwać </w:t>
      </w:r>
      <w:r w:rsidRPr="009A3C86">
        <w:rPr>
          <w:rFonts w:ascii="Times New Roman" w:hAnsi="Times New Roman"/>
          <w:color w:val="333333"/>
          <w:sz w:val="24"/>
          <w:szCs w:val="24"/>
          <w:lang w:eastAsia="pl-PL"/>
        </w:rPr>
        <w:lastRenderedPageBreak/>
        <w:t>nawet ponad 3 miesiące. Co więcej, w przypadku uchylenia decyzji organu I instancji przez sąd administracyjny, stronie będzie przysługiwać prawo do złożenia wraz z odwołaniem wniosku o ponowne wydanie opinii przez Radę. Nie można wykluczyć również sytuacji, w której Rada z uwagi na utratę co najmniej trzech swoich członków nie będzie mogła przejściowo procedować, a tym samym wydać opinii w przewidzianym terminie. W trakcie rozpatrywania wniosku przez Radę organ podatkowy nie może prowadzić postępowania podatkowego (art.</w:t>
      </w:r>
      <w:r w:rsidRPr="009A3C86">
        <w:rPr>
          <w:rFonts w:ascii="Times New Roman" w:hAnsi="Times New Roman"/>
          <w:b/>
          <w:color w:val="333333"/>
          <w:sz w:val="24"/>
          <w:szCs w:val="24"/>
          <w:lang w:eastAsia="pl-PL"/>
        </w:rPr>
        <w:t xml:space="preserve"> </w:t>
      </w:r>
      <w:r w:rsidRPr="009A3C86">
        <w:rPr>
          <w:rFonts w:ascii="Times New Roman" w:hAnsi="Times New Roman"/>
          <w:color w:val="333333"/>
          <w:sz w:val="24"/>
          <w:szCs w:val="24"/>
          <w:lang w:eastAsia="pl-PL"/>
        </w:rPr>
        <w:t>4</w:t>
      </w:r>
      <w:r w:rsidR="00DD7146" w:rsidRPr="009A3C86">
        <w:rPr>
          <w:rFonts w:ascii="Times New Roman" w:hAnsi="Times New Roman"/>
          <w:color w:val="333333"/>
          <w:sz w:val="24"/>
          <w:szCs w:val="24"/>
          <w:lang w:eastAsia="pl-PL"/>
        </w:rPr>
        <w:t>35</w:t>
      </w:r>
      <w:r w:rsidRPr="009A3C86">
        <w:rPr>
          <w:rFonts w:ascii="Times New Roman" w:hAnsi="Times New Roman"/>
          <w:color w:val="333333"/>
          <w:sz w:val="24"/>
          <w:szCs w:val="24"/>
          <w:lang w:eastAsia="pl-PL"/>
        </w:rPr>
        <w:t xml:space="preserve"> § 1 pkt 8 Ordynacji podatkowej). Aby zapewnić efektywność stosowania klauzuli przeciwko unikaniu opodatkowania i nie pogarszać skuteczności przedmiotowych postępowań podatkowych należy zatem wyłączyć z biegu terminu przedawnienia zobowiązania podatkowego czas przeznaczony dla Rady na wydanie opinii w sprawie (art. 1</w:t>
      </w:r>
      <w:r w:rsidR="001C0E9C" w:rsidRPr="009A3C86">
        <w:rPr>
          <w:rFonts w:ascii="Times New Roman" w:hAnsi="Times New Roman"/>
          <w:color w:val="333333"/>
          <w:sz w:val="24"/>
          <w:szCs w:val="24"/>
          <w:lang w:eastAsia="pl-PL"/>
        </w:rPr>
        <w:t>7</w:t>
      </w:r>
      <w:r w:rsidR="00DD7146" w:rsidRPr="009A3C86">
        <w:rPr>
          <w:rFonts w:ascii="Times New Roman" w:hAnsi="Times New Roman"/>
          <w:color w:val="333333"/>
          <w:sz w:val="24"/>
          <w:szCs w:val="24"/>
          <w:lang w:eastAsia="pl-PL"/>
        </w:rPr>
        <w:t>5</w:t>
      </w:r>
      <w:r w:rsidRPr="009A3C86">
        <w:rPr>
          <w:rFonts w:ascii="Times New Roman" w:hAnsi="Times New Roman"/>
          <w:color w:val="333333"/>
          <w:sz w:val="24"/>
          <w:szCs w:val="24"/>
          <w:lang w:eastAsia="pl-PL"/>
        </w:rPr>
        <w:t xml:space="preserve"> pkt 10). Rozwiązanie to wykluczy ponadto składanie wniosków o wydanie opinii przez Radę tylko w celu obstrukcji postępowania i, ostatecznie, przedawnienia wymiaru.</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5</w:t>
      </w:r>
      <w:r w:rsidRPr="009A3C86">
        <w:rPr>
          <w:rFonts w:ascii="Times New Roman" w:hAnsi="Times New Roman"/>
          <w:b/>
          <w:sz w:val="24"/>
          <w:szCs w:val="24"/>
        </w:rPr>
        <w:t xml:space="preserve"> pkt 11</w:t>
      </w:r>
      <w:r w:rsidRPr="009A3C86">
        <w:rPr>
          <w:rFonts w:ascii="Times New Roman" w:hAnsi="Times New Roman"/>
          <w:sz w:val="24"/>
          <w:szCs w:val="24"/>
        </w:rPr>
        <w:t xml:space="preserve"> jest zmodyfikowanym odpowiednikiem </w:t>
      </w:r>
      <w:r w:rsidRPr="009A3C86">
        <w:rPr>
          <w:rFonts w:ascii="Times New Roman" w:hAnsi="Times New Roman"/>
          <w:bCs/>
          <w:sz w:val="24"/>
          <w:szCs w:val="24"/>
        </w:rPr>
        <w:t xml:space="preserve">art. 70e </w:t>
      </w:r>
      <w:r w:rsidRPr="009A3C86">
        <w:rPr>
          <w:rFonts w:ascii="Times New Roman" w:hAnsi="Times New Roman"/>
          <w:sz w:val="24"/>
          <w:szCs w:val="24"/>
        </w:rPr>
        <w:t>§ 1 o.p.</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8. 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6</w:t>
      </w:r>
      <w:r w:rsidRPr="009A3C86">
        <w:rPr>
          <w:rFonts w:ascii="Times New Roman" w:hAnsi="Times New Roman"/>
          <w:sz w:val="24"/>
          <w:szCs w:val="24"/>
        </w:rPr>
        <w:t xml:space="preserve"> koresponduje bezpośrednio z projektowanym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Wskazano w nim okoliczności, których zaistnienie powoduje, iż bieg terminu przedawnienia wymiaru rozpoczyna się, a po zawieszeniu biegnie dalej. Należy podkreślić, że zaistnienie okoliczności, o których mowa w art. 1</w:t>
      </w:r>
      <w:r w:rsidR="001C0E9C" w:rsidRPr="009A3C86">
        <w:rPr>
          <w:rFonts w:ascii="Times New Roman" w:hAnsi="Times New Roman"/>
          <w:sz w:val="24"/>
          <w:szCs w:val="24"/>
        </w:rPr>
        <w:t>7</w:t>
      </w:r>
      <w:r w:rsidR="00DD7146" w:rsidRPr="009A3C86">
        <w:rPr>
          <w:rFonts w:ascii="Times New Roman" w:hAnsi="Times New Roman"/>
          <w:sz w:val="24"/>
          <w:szCs w:val="24"/>
        </w:rPr>
        <w:t>6</w:t>
      </w:r>
      <w:r w:rsidRPr="009A3C86">
        <w:rPr>
          <w:rFonts w:ascii="Times New Roman" w:hAnsi="Times New Roman"/>
          <w:sz w:val="24"/>
          <w:szCs w:val="24"/>
        </w:rPr>
        <w:t>, nie może spowodować rozpoczęcia biegu terminu przedawniania wymiaru wcześniej niż w dniu, w którym może rozpocząć bieg terminu tego przedawniania, zgodnie z art. 17</w:t>
      </w:r>
      <w:r w:rsidR="00DD7146" w:rsidRPr="009A3C86">
        <w:rPr>
          <w:rFonts w:ascii="Times New Roman" w:hAnsi="Times New Roman"/>
          <w:sz w:val="24"/>
          <w:szCs w:val="24"/>
        </w:rPr>
        <w:t>3</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9. W przepisie </w:t>
      </w:r>
      <w:r w:rsidRPr="009A3C86">
        <w:rPr>
          <w:rFonts w:ascii="Times New Roman" w:hAnsi="Times New Roman"/>
          <w:b/>
          <w:sz w:val="24"/>
          <w:szCs w:val="24"/>
        </w:rPr>
        <w:t>art. 1</w:t>
      </w:r>
      <w:r w:rsidR="001C0E9C" w:rsidRPr="009A3C86">
        <w:rPr>
          <w:rFonts w:ascii="Times New Roman" w:hAnsi="Times New Roman"/>
          <w:b/>
          <w:sz w:val="24"/>
          <w:szCs w:val="24"/>
        </w:rPr>
        <w:t>7</w:t>
      </w:r>
      <w:r w:rsidR="00DD7146" w:rsidRPr="009A3C86">
        <w:rPr>
          <w:rFonts w:ascii="Times New Roman" w:hAnsi="Times New Roman"/>
          <w:b/>
          <w:sz w:val="24"/>
          <w:szCs w:val="24"/>
        </w:rPr>
        <w:t>7</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wprowadzono regulację, zgodnie z którą zastosowanie przesłanek zawieszenia tego przedawnienia nie może prowadzić do wydłużenia okresu przedawnienia wymiaru łącznie o więcej niż pięć lat. W przypadku upływu tego okresu termin przedawnienia wymiaru biegnie dalej od dnia następnego. W przypadku wystąpienia jednocześnie więcej niż jednej okoliczności, o której mowa w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zawieszenie następuje wyłącznie na podstawie tej okoliczności, która zaistniała jako pierwsza. W konsekwencji nie może dojść do sytuacji, w której na potrzeby tego okresu, tj. 5-letniego maksymalnego okresu zawieszenia biegu terminu przedawnienia, może dojść do kumulacji okresu zawieszenia w związku z sumowaniem jednocześnie biegnących okresów zawieszenia biegu terminu przedawnienia wymiaru. Innymi słowy, jeśli zaistnieje okoliczność, o której mowa np. w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xml:space="preserve"> pkt 4, a następnie okoliczność z pkt 5 i przesłanka, o której mowa w pkt 5 wygaśnie przed ustaniem okoliczności z pkt 4, dla potrzeb, o których mowa w </w:t>
      </w:r>
      <w:r w:rsidRPr="009A3C86">
        <w:rPr>
          <w:rFonts w:ascii="Times New Roman" w:hAnsi="Times New Roman"/>
          <w:b/>
          <w:sz w:val="24"/>
          <w:szCs w:val="24"/>
        </w:rPr>
        <w:t>art. 1</w:t>
      </w:r>
      <w:r w:rsidR="001C0E9C" w:rsidRPr="009A3C86">
        <w:rPr>
          <w:rFonts w:ascii="Times New Roman" w:hAnsi="Times New Roman"/>
          <w:b/>
          <w:sz w:val="24"/>
          <w:szCs w:val="24"/>
        </w:rPr>
        <w:t>7</w:t>
      </w:r>
      <w:r w:rsidR="001F0B80" w:rsidRPr="009A3C86">
        <w:rPr>
          <w:rFonts w:ascii="Times New Roman" w:hAnsi="Times New Roman"/>
          <w:b/>
          <w:sz w:val="24"/>
          <w:szCs w:val="24"/>
        </w:rPr>
        <w:t>7</w:t>
      </w:r>
      <w:r w:rsidRPr="009A3C86">
        <w:rPr>
          <w:rFonts w:ascii="Times New Roman" w:hAnsi="Times New Roman"/>
          <w:b/>
          <w:sz w:val="24"/>
          <w:szCs w:val="24"/>
        </w:rPr>
        <w:t xml:space="preserve"> § 1</w:t>
      </w:r>
      <w:r w:rsidRPr="009A3C86">
        <w:rPr>
          <w:rFonts w:ascii="Times New Roman" w:hAnsi="Times New Roman"/>
          <w:sz w:val="24"/>
          <w:szCs w:val="24"/>
        </w:rPr>
        <w:t>, uwzględnia się wyłącznie czas zawieszenia biegu terminu przedawnienia na podstawie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xml:space="preserve"> pkt 4.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Przyjęcie okresu krótszego niż 5 lat jako ograniczenia czasu zawieszenia przedawnienia wymiaru mogłoby doprowadzić do braku realnej możliwości dokonania wymiaru podatku. W </w:t>
      </w:r>
      <w:r w:rsidRPr="009A3C86">
        <w:rPr>
          <w:rFonts w:ascii="Times New Roman" w:hAnsi="Times New Roman"/>
          <w:sz w:val="24"/>
          <w:szCs w:val="24"/>
        </w:rPr>
        <w:lastRenderedPageBreak/>
        <w:t xml:space="preserve">przypadku śmierci podatnika średni okres postępowania sądowego w sądach powszechnych wynosi prawie rok. Prawie rok wynosi także średni okres postępowań sądowych w związku ze złożeniem przez organ podatkowy wniosku do sądu powszechnego o ustalenie istnienia stosunku prawnego lub prawa. W przypadku procedury wymiany informacji odpowiednie postępowania mogą trwać nawet kilka lat. Oznacza to, że w przypadku kumulacji tych zdarzeń zostanie skonsumowany prawie cały 5-letni okres wydłużenia przedawnienia poboru. Podkreślić przy tym należy, że okres, w którym organ nie będzie mógł prowadzić czynności związanych z wymiarem w związku z wyżej wskazanymi okolicznościami, może być dłuższy niż wyżej wskazany. Związane jest to z tym, że podane wyżej dane dotyczą średniego okresu trwania postępowań, co oznacza, że zdarzają się przypadki, gdy postępowania te trwają znacznie dłużej.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art. 1</w:t>
      </w:r>
      <w:r w:rsidR="001C0E9C" w:rsidRPr="009A3C86">
        <w:rPr>
          <w:rFonts w:ascii="Times New Roman" w:hAnsi="Times New Roman"/>
          <w:b/>
          <w:sz w:val="24"/>
          <w:szCs w:val="24"/>
        </w:rPr>
        <w:t>7</w:t>
      </w:r>
      <w:r w:rsidR="001F0B80" w:rsidRPr="009A3C86">
        <w:rPr>
          <w:rFonts w:ascii="Times New Roman" w:hAnsi="Times New Roman"/>
          <w:b/>
          <w:sz w:val="24"/>
          <w:szCs w:val="24"/>
        </w:rPr>
        <w:t>7</w:t>
      </w:r>
      <w:r w:rsidRPr="009A3C86">
        <w:rPr>
          <w:rFonts w:ascii="Times New Roman" w:hAnsi="Times New Roman"/>
          <w:b/>
          <w:sz w:val="24"/>
          <w:szCs w:val="24"/>
        </w:rPr>
        <w:t xml:space="preserve"> § 1</w:t>
      </w:r>
      <w:r w:rsidRPr="009A3C86">
        <w:rPr>
          <w:rFonts w:ascii="Times New Roman" w:hAnsi="Times New Roman"/>
          <w:sz w:val="24"/>
          <w:szCs w:val="24"/>
        </w:rPr>
        <w:t xml:space="preserve"> wskazano także moment, w którym rozpocznie dalszy bieg termin przedawnienia wymiaru po jego zawieszeniu trwającym 5 lat. W takim przypadku termin przedawnienia wymiaru biegnie dalej od dnia następnego.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przepisem </w:t>
      </w:r>
      <w:r w:rsidRPr="009A3C86">
        <w:rPr>
          <w:rFonts w:ascii="Times New Roman" w:hAnsi="Times New Roman"/>
          <w:b/>
          <w:sz w:val="24"/>
          <w:szCs w:val="24"/>
        </w:rPr>
        <w:t>art. 1</w:t>
      </w:r>
      <w:r w:rsidR="001C0E9C" w:rsidRPr="009A3C86">
        <w:rPr>
          <w:rFonts w:ascii="Times New Roman" w:hAnsi="Times New Roman"/>
          <w:b/>
          <w:sz w:val="24"/>
          <w:szCs w:val="24"/>
        </w:rPr>
        <w:t>7</w:t>
      </w:r>
      <w:r w:rsidR="001F0B80" w:rsidRPr="009A3C86">
        <w:rPr>
          <w:rFonts w:ascii="Times New Roman" w:hAnsi="Times New Roman"/>
          <w:b/>
          <w:sz w:val="24"/>
          <w:szCs w:val="24"/>
        </w:rPr>
        <w:t>7</w:t>
      </w:r>
      <w:r w:rsidRPr="009A3C86">
        <w:rPr>
          <w:rFonts w:ascii="Times New Roman" w:hAnsi="Times New Roman"/>
          <w:b/>
          <w:sz w:val="24"/>
          <w:szCs w:val="24"/>
        </w:rPr>
        <w:t xml:space="preserve"> § 2</w:t>
      </w:r>
      <w:r w:rsidRPr="009A3C86">
        <w:rPr>
          <w:rFonts w:ascii="Times New Roman" w:hAnsi="Times New Roman"/>
          <w:sz w:val="24"/>
          <w:szCs w:val="24"/>
        </w:rPr>
        <w:t xml:space="preserve"> przepisy § 1 stosuje się również w razie wystąpienia okoliczności, o których mowa w art. </w:t>
      </w:r>
      <w:r w:rsidR="001F0B80" w:rsidRPr="009A3C86">
        <w:rPr>
          <w:rFonts w:ascii="Times New Roman" w:hAnsi="Times New Roman"/>
          <w:sz w:val="24"/>
          <w:szCs w:val="24"/>
        </w:rPr>
        <w:t>175</w:t>
      </w:r>
      <w:r w:rsidRPr="009A3C86">
        <w:rPr>
          <w:rFonts w:ascii="Times New Roman" w:hAnsi="Times New Roman"/>
          <w:sz w:val="24"/>
          <w:szCs w:val="24"/>
        </w:rPr>
        <w:t>, przed rozpoczęciem biegu terminu przedawnienia wymiaru. W tym przypadku do okresu 5 lat, o którym mowa w § 1, wlicza się również poszczególne okresy od dnia zaistnienia okoliczności, o których mowa w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do dnia zaistnienia okoliczności wskazanych w art. 1</w:t>
      </w:r>
      <w:r w:rsidR="001C0E9C" w:rsidRPr="009A3C86">
        <w:rPr>
          <w:rFonts w:ascii="Times New Roman" w:hAnsi="Times New Roman"/>
          <w:sz w:val="24"/>
          <w:szCs w:val="24"/>
        </w:rPr>
        <w:t>7</w:t>
      </w:r>
      <w:r w:rsidR="00DD7146" w:rsidRPr="009A3C86">
        <w:rPr>
          <w:rFonts w:ascii="Times New Roman" w:hAnsi="Times New Roman"/>
          <w:sz w:val="24"/>
          <w:szCs w:val="24"/>
        </w:rPr>
        <w:t>6</w:t>
      </w:r>
      <w:r w:rsidRPr="009A3C86">
        <w:rPr>
          <w:rFonts w:ascii="Times New Roman" w:hAnsi="Times New Roman"/>
          <w:sz w:val="24"/>
          <w:szCs w:val="24"/>
        </w:rPr>
        <w:t>. Oznacza to, że do maksymalnego 5-letniego okresu zawieszenia biegu terminu przedawnienia wymiaru bierze się pod uwagę okresy zawieszające bieg przedawnienia wymiaru wyznaczone okolicznościami określonymi w art. 1</w:t>
      </w:r>
      <w:r w:rsidR="001C0E9C" w:rsidRPr="009A3C86">
        <w:rPr>
          <w:rFonts w:ascii="Times New Roman" w:hAnsi="Times New Roman"/>
          <w:sz w:val="24"/>
          <w:szCs w:val="24"/>
        </w:rPr>
        <w:t>7</w:t>
      </w:r>
      <w:r w:rsidR="00DD7146" w:rsidRPr="009A3C86">
        <w:rPr>
          <w:rFonts w:ascii="Times New Roman" w:hAnsi="Times New Roman"/>
          <w:sz w:val="24"/>
          <w:szCs w:val="24"/>
        </w:rPr>
        <w:t>5</w:t>
      </w:r>
      <w:r w:rsidRPr="009A3C86">
        <w:rPr>
          <w:rFonts w:ascii="Times New Roman" w:hAnsi="Times New Roman"/>
          <w:sz w:val="24"/>
          <w:szCs w:val="24"/>
        </w:rPr>
        <w:t xml:space="preserve"> i 1</w:t>
      </w:r>
      <w:r w:rsidR="001C0E9C" w:rsidRPr="009A3C86">
        <w:rPr>
          <w:rFonts w:ascii="Times New Roman" w:hAnsi="Times New Roman"/>
          <w:sz w:val="24"/>
          <w:szCs w:val="24"/>
        </w:rPr>
        <w:t>7</w:t>
      </w:r>
      <w:r w:rsidR="00DD7146" w:rsidRPr="009A3C86">
        <w:rPr>
          <w:rFonts w:ascii="Times New Roman" w:hAnsi="Times New Roman"/>
          <w:sz w:val="24"/>
          <w:szCs w:val="24"/>
        </w:rPr>
        <w:t>6</w:t>
      </w:r>
      <w:r w:rsidRPr="009A3C86">
        <w:rPr>
          <w:rFonts w:ascii="Times New Roman" w:hAnsi="Times New Roman"/>
          <w:sz w:val="24"/>
          <w:szCs w:val="24"/>
        </w:rPr>
        <w:t xml:space="preserve">, ale również okresy zakreślone okolicznościami, o których mowa w tych przepisach, które miały miejsce przed rozpoczęciem biegu przedawniania wymiaru. W konsekwencji okres np. od śmierci zobowiązanego do upływu terminu płatności podatku, czyli przed rozpoczęciem biegu przedawnienia wymiaru, będzie uwzględniany przy liczeniu tego 5-letniego okresu. Odesłanie w przepisie </w:t>
      </w:r>
      <w:r w:rsidRPr="009A3C86">
        <w:rPr>
          <w:rFonts w:ascii="Times New Roman" w:hAnsi="Times New Roman"/>
          <w:b/>
          <w:sz w:val="24"/>
          <w:szCs w:val="24"/>
        </w:rPr>
        <w:t>art. 1</w:t>
      </w:r>
      <w:r w:rsidR="001C0E9C" w:rsidRPr="009A3C86">
        <w:rPr>
          <w:rFonts w:ascii="Times New Roman" w:hAnsi="Times New Roman"/>
          <w:b/>
          <w:sz w:val="24"/>
          <w:szCs w:val="24"/>
        </w:rPr>
        <w:t>7</w:t>
      </w:r>
      <w:r w:rsidR="0009383F" w:rsidRPr="009A3C86">
        <w:rPr>
          <w:rFonts w:ascii="Times New Roman" w:hAnsi="Times New Roman"/>
          <w:b/>
          <w:sz w:val="24"/>
          <w:szCs w:val="24"/>
        </w:rPr>
        <w:t>7</w:t>
      </w:r>
      <w:r w:rsidRPr="009A3C86">
        <w:rPr>
          <w:rFonts w:ascii="Times New Roman" w:hAnsi="Times New Roman"/>
          <w:b/>
          <w:sz w:val="24"/>
          <w:szCs w:val="24"/>
        </w:rPr>
        <w:t xml:space="preserve"> § 2</w:t>
      </w:r>
      <w:r w:rsidRPr="009A3C86">
        <w:rPr>
          <w:rFonts w:ascii="Times New Roman" w:hAnsi="Times New Roman"/>
          <w:sz w:val="24"/>
          <w:szCs w:val="24"/>
        </w:rPr>
        <w:t xml:space="preserve"> do przepisu § 1 oznacza także, że określono moment rozpoczęcia biegu okresu przedawniania wymiaru w ww. przypadku. Jeśli więc np. przed upływem terminu przedawnienia wymiaru nastąpi śmierć zobowiązanego lub jego przedstawiciela ustawowego i w okresie 5 lat nie nastąpi uprawomocnienie się postanowienia sądu o stwierdzeniu nabycia spadku lub inna okoliczność z art. 1</w:t>
      </w:r>
      <w:r w:rsidR="0009383F" w:rsidRPr="009A3C86">
        <w:rPr>
          <w:rFonts w:ascii="Times New Roman" w:hAnsi="Times New Roman"/>
          <w:sz w:val="24"/>
          <w:szCs w:val="24"/>
        </w:rPr>
        <w:t>76</w:t>
      </w:r>
      <w:r w:rsidRPr="009A3C86">
        <w:rPr>
          <w:rFonts w:ascii="Times New Roman" w:hAnsi="Times New Roman"/>
          <w:sz w:val="24"/>
          <w:szCs w:val="24"/>
        </w:rPr>
        <w:t xml:space="preserve"> pkt 1 lub 2, przedawnienie wymiaru rozpocznie bieg od dnia, w którym upłynął okres 5 lat od dnia śmierci zobowiązanego albo jego przedstawiciela ustawowego.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 przepisu </w:t>
      </w:r>
      <w:r w:rsidRPr="009A3C86">
        <w:rPr>
          <w:rFonts w:ascii="Times New Roman" w:hAnsi="Times New Roman"/>
          <w:b/>
          <w:sz w:val="24"/>
          <w:szCs w:val="24"/>
        </w:rPr>
        <w:t>art. 1</w:t>
      </w:r>
      <w:r w:rsidR="001C0E9C" w:rsidRPr="009A3C86">
        <w:rPr>
          <w:rFonts w:ascii="Times New Roman" w:hAnsi="Times New Roman"/>
          <w:b/>
          <w:sz w:val="24"/>
          <w:szCs w:val="24"/>
        </w:rPr>
        <w:t>7</w:t>
      </w:r>
      <w:r w:rsidR="0009383F" w:rsidRPr="009A3C86">
        <w:rPr>
          <w:rFonts w:ascii="Times New Roman" w:hAnsi="Times New Roman"/>
          <w:b/>
          <w:sz w:val="24"/>
          <w:szCs w:val="24"/>
        </w:rPr>
        <w:t>7</w:t>
      </w:r>
      <w:r w:rsidRPr="009A3C86">
        <w:rPr>
          <w:rFonts w:ascii="Times New Roman" w:hAnsi="Times New Roman"/>
          <w:b/>
          <w:sz w:val="24"/>
          <w:szCs w:val="24"/>
        </w:rPr>
        <w:t xml:space="preserve"> § 3 </w:t>
      </w:r>
      <w:r w:rsidRPr="009A3C86">
        <w:rPr>
          <w:rFonts w:ascii="Times New Roman" w:hAnsi="Times New Roman"/>
          <w:sz w:val="24"/>
          <w:szCs w:val="24"/>
        </w:rPr>
        <w:t xml:space="preserve">wynika, że do okresu, </w:t>
      </w:r>
      <w:r w:rsidRPr="009A3C86">
        <w:rPr>
          <w:rFonts w:ascii="Times New Roman" w:hAnsi="Times New Roman"/>
          <w:color w:val="000000"/>
          <w:sz w:val="24"/>
          <w:szCs w:val="24"/>
        </w:rPr>
        <w:t>o którym mowa w § 1 nie wlicza się okresu zawieszenia biegu terminu przedawnienia wymiaru na podstawie art. 1</w:t>
      </w:r>
      <w:r w:rsidR="001C0E9C" w:rsidRPr="009A3C86">
        <w:rPr>
          <w:rFonts w:ascii="Times New Roman" w:hAnsi="Times New Roman"/>
          <w:color w:val="000000"/>
          <w:sz w:val="24"/>
          <w:szCs w:val="24"/>
        </w:rPr>
        <w:t>7</w:t>
      </w:r>
      <w:r w:rsidR="0009383F" w:rsidRPr="009A3C86">
        <w:rPr>
          <w:rFonts w:ascii="Times New Roman" w:hAnsi="Times New Roman"/>
          <w:color w:val="000000"/>
          <w:sz w:val="24"/>
          <w:szCs w:val="24"/>
        </w:rPr>
        <w:t>5</w:t>
      </w:r>
      <w:r w:rsidRPr="009A3C86">
        <w:rPr>
          <w:rFonts w:ascii="Times New Roman" w:hAnsi="Times New Roman"/>
          <w:color w:val="000000"/>
          <w:sz w:val="24"/>
          <w:szCs w:val="24"/>
        </w:rPr>
        <w:t xml:space="preserve"> pkt 7</w:t>
      </w:r>
      <w:r w:rsidRPr="009A3C86">
        <w:rPr>
          <w:rFonts w:ascii="Times New Roman" w:hAnsi="Times New Roman"/>
          <w:color w:val="000000"/>
          <w:szCs w:val="24"/>
        </w:rPr>
        <w:t xml:space="preserve"> </w:t>
      </w:r>
      <w:r w:rsidRPr="009A3C86">
        <w:rPr>
          <w:rFonts w:ascii="Times New Roman" w:hAnsi="Times New Roman"/>
          <w:color w:val="000000"/>
          <w:sz w:val="24"/>
          <w:szCs w:val="24"/>
        </w:rPr>
        <w:t xml:space="preserve">a także pkt 11, </w:t>
      </w:r>
      <w:r w:rsidRPr="009A3C86">
        <w:rPr>
          <w:rFonts w:ascii="Times New Roman" w:hAnsi="Times New Roman"/>
          <w:color w:val="000000"/>
          <w:sz w:val="24"/>
          <w:szCs w:val="24"/>
        </w:rPr>
        <w:lastRenderedPageBreak/>
        <w:t>w przypadku wniesienia skargi do sądu administracyjnego na decyzję określającą warunki cofnięcia skutków unikania opodatkowania lub inny akt kończący postępowanie w tej sprawie. W konsekwencji 5-letni limit zawieszenia biegu terminu przedawnienia nie dotyczy przypadku gdy zawieszenie to nastąpi w związku z wniesieniem skargi do sądu administracyjnego na decyzję wymiarową, decyzję stwierdzającą nieważność decyzji wymiarowej, decyzję uchylającą w całości decyzję wymiarową organu pierwszej instancji i przekazującą sprawę do ponownego rozpatrzenia lub postanowienie określone w art. 4</w:t>
      </w:r>
      <w:r w:rsidR="0009383F" w:rsidRPr="009A3C86">
        <w:rPr>
          <w:rFonts w:ascii="Times New Roman" w:hAnsi="Times New Roman"/>
          <w:color w:val="000000"/>
          <w:sz w:val="24"/>
          <w:szCs w:val="24"/>
        </w:rPr>
        <w:t>66</w:t>
      </w:r>
      <w:r w:rsidRPr="009A3C86">
        <w:rPr>
          <w:rFonts w:ascii="Times New Roman" w:hAnsi="Times New Roman"/>
          <w:color w:val="000000"/>
          <w:sz w:val="24"/>
          <w:szCs w:val="24"/>
        </w:rPr>
        <w:t xml:space="preserve"> § 1 a także na decyzję określającą warunki cofnięcia skutków unikania opodatkowania lub inny akt kończący postępowanie w tej sprawie. Brak tego rozwiązania skutkowałoby moż</w:t>
      </w:r>
      <w:r w:rsidRPr="009A3C86">
        <w:rPr>
          <w:rFonts w:ascii="Times New Roman" w:hAnsi="Times New Roman"/>
          <w:sz w:val="24"/>
          <w:szCs w:val="24"/>
        </w:rPr>
        <w:t>liwością nadużycia postępowania sądowoadministracyjnego, składaniem skargi do wojewódzkiego sądu administracyjnego, a następnie skargi kasacyjnych do NSA w przypadkach oczywiście bezzasadnych, szczególnie gdy do przedawnienia wymiaru pozostałoby stosunkowo niewiele czasu. Ponadto należy zwrócić uwagę, że w przypadku postępowania sądowego odpowiednie postępowania mogą trwać nawet kilka lat. Z uzyskanych z MF danych statystycznych</w:t>
      </w:r>
      <w:r w:rsidRPr="009A3C86">
        <w:rPr>
          <w:rFonts w:ascii="Times New Roman" w:hAnsi="Times New Roman"/>
          <w:sz w:val="24"/>
          <w:szCs w:val="24"/>
          <w:vertAlign w:val="superscript"/>
        </w:rPr>
        <w:footnoteReference w:id="246"/>
      </w:r>
      <w:r w:rsidRPr="009A3C86">
        <w:rPr>
          <w:rFonts w:ascii="Times New Roman" w:hAnsi="Times New Roman"/>
          <w:sz w:val="24"/>
          <w:szCs w:val="24"/>
        </w:rPr>
        <w:t xml:space="preserve"> wynika, że średni okres postępowania sądowego przed sądami administracyjnymi, gdy składana jest skarga na decyzję podatkową, kończącego się wyrokiem prawomocnym, w przypadku, gdy w sprawie na wniosek sądu administracyjnego podjęte jest rozstrzygnięcie przez Trybunał Sprawiedliwości Unii Europejskiej lub TK, wynosi ponad dwa i pół roku.</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10. Przepis </w:t>
      </w:r>
      <w:r w:rsidRPr="009A3C86">
        <w:rPr>
          <w:rFonts w:ascii="Times New Roman" w:hAnsi="Times New Roman"/>
          <w:b/>
          <w:sz w:val="24"/>
          <w:szCs w:val="24"/>
        </w:rPr>
        <w:t>art. 1</w:t>
      </w:r>
      <w:r w:rsidR="001C0E9C" w:rsidRPr="009A3C86">
        <w:rPr>
          <w:rFonts w:ascii="Times New Roman" w:hAnsi="Times New Roman"/>
          <w:b/>
          <w:sz w:val="24"/>
          <w:szCs w:val="24"/>
        </w:rPr>
        <w:t>7</w:t>
      </w:r>
      <w:r w:rsidR="0009383F" w:rsidRPr="009A3C86">
        <w:rPr>
          <w:rFonts w:ascii="Times New Roman" w:hAnsi="Times New Roman"/>
          <w:b/>
          <w:sz w:val="24"/>
          <w:szCs w:val="24"/>
        </w:rPr>
        <w:t>8</w:t>
      </w:r>
      <w:r w:rsidRPr="009A3C86">
        <w:rPr>
          <w:rFonts w:ascii="Times New Roman" w:hAnsi="Times New Roman"/>
          <w:sz w:val="24"/>
          <w:szCs w:val="24"/>
        </w:rPr>
        <w:t xml:space="preserve"> nakłada na organ podatkowy prowadzący postępowanie obowiązek niezwłocznego poinformowania zobowiązanego o dwóch kwestiach. Po pierwsze, organ ten informuje go o zawieszeniu biegu terminu przedawnienia wymiaru w związku z zaistnieniem okoliczności, o których mowa w art. 1</w:t>
      </w:r>
      <w:r w:rsidR="001C0E9C" w:rsidRPr="009A3C86">
        <w:rPr>
          <w:rFonts w:ascii="Times New Roman" w:hAnsi="Times New Roman"/>
          <w:sz w:val="24"/>
          <w:szCs w:val="24"/>
        </w:rPr>
        <w:t>7</w:t>
      </w:r>
      <w:r w:rsidR="0009383F" w:rsidRPr="009A3C86">
        <w:rPr>
          <w:rFonts w:ascii="Times New Roman" w:hAnsi="Times New Roman"/>
          <w:sz w:val="24"/>
          <w:szCs w:val="24"/>
        </w:rPr>
        <w:t>5</w:t>
      </w:r>
      <w:r w:rsidRPr="009A3C86">
        <w:rPr>
          <w:rFonts w:ascii="Times New Roman" w:hAnsi="Times New Roman"/>
          <w:sz w:val="24"/>
          <w:szCs w:val="24"/>
        </w:rPr>
        <w:t xml:space="preserve"> pkt 4, 5, 8 lub 9. Po drugie, organ podatkowy ma obowiązek poinformować zobowiązanego o przewidywanej dacie, w której nastąpi przedawnienie wymiaru, po zaistnieniu okoliczności, o których mowa w art. 1</w:t>
      </w:r>
      <w:r w:rsidR="001C0E9C" w:rsidRPr="009A3C86">
        <w:rPr>
          <w:rFonts w:ascii="Times New Roman" w:hAnsi="Times New Roman"/>
          <w:sz w:val="24"/>
          <w:szCs w:val="24"/>
        </w:rPr>
        <w:t>7</w:t>
      </w:r>
      <w:r w:rsidR="0009383F" w:rsidRPr="009A3C86">
        <w:rPr>
          <w:rFonts w:ascii="Times New Roman" w:hAnsi="Times New Roman"/>
          <w:sz w:val="24"/>
          <w:szCs w:val="24"/>
        </w:rPr>
        <w:t>6</w:t>
      </w:r>
      <w:r w:rsidRPr="009A3C86">
        <w:rPr>
          <w:rFonts w:ascii="Times New Roman" w:hAnsi="Times New Roman"/>
          <w:sz w:val="24"/>
          <w:szCs w:val="24"/>
        </w:rPr>
        <w:t xml:space="preserve"> pkt 4, 5, 8 lub 9. Obowiązek informacyjny dotyczy tych zdarzeń, o których zobowiązany nie wie lub może nie wiedzieć, a które mają wpływ na okres przedawnienia wymiaru. W przypadku zaistnienia okoliczności z art. 1</w:t>
      </w:r>
      <w:r w:rsidR="001C0E9C" w:rsidRPr="009A3C86">
        <w:rPr>
          <w:rFonts w:ascii="Times New Roman" w:hAnsi="Times New Roman"/>
          <w:sz w:val="24"/>
          <w:szCs w:val="24"/>
        </w:rPr>
        <w:t>7</w:t>
      </w:r>
      <w:r w:rsidR="0009383F" w:rsidRPr="009A3C86">
        <w:rPr>
          <w:rFonts w:ascii="Times New Roman" w:hAnsi="Times New Roman"/>
          <w:sz w:val="24"/>
          <w:szCs w:val="24"/>
        </w:rPr>
        <w:t>5</w:t>
      </w:r>
      <w:r w:rsidRPr="009A3C86">
        <w:rPr>
          <w:rFonts w:ascii="Times New Roman" w:hAnsi="Times New Roman"/>
          <w:sz w:val="24"/>
          <w:szCs w:val="24"/>
        </w:rPr>
        <w:t xml:space="preserve"> i 1</w:t>
      </w:r>
      <w:r w:rsidR="001C0E9C" w:rsidRPr="009A3C86">
        <w:rPr>
          <w:rFonts w:ascii="Times New Roman" w:hAnsi="Times New Roman"/>
          <w:sz w:val="24"/>
          <w:szCs w:val="24"/>
        </w:rPr>
        <w:t>7</w:t>
      </w:r>
      <w:r w:rsidR="0009383F" w:rsidRPr="009A3C86">
        <w:rPr>
          <w:rFonts w:ascii="Times New Roman" w:hAnsi="Times New Roman"/>
          <w:sz w:val="24"/>
          <w:szCs w:val="24"/>
        </w:rPr>
        <w:t>6</w:t>
      </w:r>
      <w:r w:rsidRPr="009A3C86">
        <w:rPr>
          <w:rFonts w:ascii="Times New Roman" w:hAnsi="Times New Roman"/>
          <w:sz w:val="24"/>
          <w:szCs w:val="24"/>
        </w:rPr>
        <w:t xml:space="preserve">, innych niż wyżej wskazane, zobowiązany będzie o nich wiedział, gdyż sam je inicjuje (np. skarga do sądu administracyjnego) lub dowiaduje się o nich w związku z innymi działaniami organu podatkowego (np. w związku z doręczeniem postanowienia w sprawie zawieszenia postępowania podatkowego dotyczącego rozstrzygnięcia sprawy, o której </w:t>
      </w:r>
      <w:r w:rsidRPr="009A3C86">
        <w:rPr>
          <w:rFonts w:ascii="Times New Roman" w:hAnsi="Times New Roman"/>
          <w:sz w:val="24"/>
          <w:szCs w:val="24"/>
        </w:rPr>
        <w:lastRenderedPageBreak/>
        <w:t>mowa w art. 4</w:t>
      </w:r>
      <w:r w:rsidR="0009383F" w:rsidRPr="009A3C86">
        <w:rPr>
          <w:rFonts w:ascii="Times New Roman" w:hAnsi="Times New Roman"/>
          <w:sz w:val="24"/>
          <w:szCs w:val="24"/>
        </w:rPr>
        <w:t>38</w:t>
      </w:r>
      <w:r w:rsidRPr="009A3C86">
        <w:rPr>
          <w:rFonts w:ascii="Times New Roman" w:hAnsi="Times New Roman"/>
          <w:sz w:val="24"/>
          <w:szCs w:val="24"/>
        </w:rPr>
        <w:t>-4</w:t>
      </w:r>
      <w:r w:rsidR="0009383F" w:rsidRPr="009A3C86">
        <w:rPr>
          <w:rFonts w:ascii="Times New Roman" w:hAnsi="Times New Roman"/>
          <w:sz w:val="24"/>
          <w:szCs w:val="24"/>
        </w:rPr>
        <w:t>40</w:t>
      </w:r>
      <w:r w:rsidRPr="009A3C86">
        <w:rPr>
          <w:rFonts w:ascii="Times New Roman" w:hAnsi="Times New Roman"/>
          <w:sz w:val="24"/>
          <w:szCs w:val="24"/>
        </w:rPr>
        <w:t>. Informacja, o której mowa wyżej powinna być przekazana zobowiązanemu. Jeżeli jednak przed wysłaniem informacji, o której mowa w art. 1</w:t>
      </w:r>
      <w:r w:rsidR="001C0E9C" w:rsidRPr="009A3C86">
        <w:rPr>
          <w:rFonts w:ascii="Times New Roman" w:hAnsi="Times New Roman"/>
          <w:sz w:val="24"/>
          <w:szCs w:val="24"/>
        </w:rPr>
        <w:t>7</w:t>
      </w:r>
      <w:r w:rsidR="0009383F" w:rsidRPr="009A3C86">
        <w:rPr>
          <w:rFonts w:ascii="Times New Roman" w:hAnsi="Times New Roman"/>
          <w:sz w:val="24"/>
          <w:szCs w:val="24"/>
        </w:rPr>
        <w:t>8</w:t>
      </w:r>
      <w:r w:rsidRPr="009A3C86">
        <w:rPr>
          <w:rFonts w:ascii="Times New Roman" w:hAnsi="Times New Roman"/>
          <w:sz w:val="24"/>
          <w:szCs w:val="24"/>
        </w:rPr>
        <w:t xml:space="preserve"> § 1, pełnomocnik ogólny został ujawniony w Centralnym Rejestrze albo zawiadomiono organ podatkowy o ustanowieniu pełnomocnika, informację tę doręcza się pełnomocnikowi. W konsekwencji, jeżeli jest ustanowiony np. pełnomocnik ogólny to on powinien otrzymać tę informację, z wyjątkiem przypadku gdy w sprawie ustanowiony jest pełnomocnik szczególny. W takiej sytuacji organ podatkowy powinien przekazać przedmiotową informację pełnomocnikowi szczególnemu. </w:t>
      </w:r>
    </w:p>
    <w:p w:rsidR="00326528" w:rsidRPr="009A3C86" w:rsidRDefault="00326528" w:rsidP="00D72E74">
      <w:pPr>
        <w:keepNext/>
        <w:keepLines/>
        <w:spacing w:before="120" w:after="0" w:line="360" w:lineRule="auto"/>
        <w:jc w:val="both"/>
        <w:outlineLvl w:val="3"/>
        <w:rPr>
          <w:rFonts w:ascii="Times New Roman" w:eastAsia="Times New Roman" w:hAnsi="Times New Roman"/>
          <w:b/>
          <w:iCs/>
          <w:sz w:val="24"/>
          <w:szCs w:val="24"/>
        </w:rPr>
      </w:pPr>
      <w:bookmarkStart w:id="20" w:name="_Toc494363246"/>
      <w:r w:rsidRPr="009A3C86">
        <w:rPr>
          <w:rFonts w:ascii="Times New Roman" w:eastAsia="Times New Roman" w:hAnsi="Times New Roman"/>
          <w:b/>
          <w:iCs/>
          <w:sz w:val="24"/>
          <w:szCs w:val="24"/>
        </w:rPr>
        <w:t>Oddział 2. Przedawnienie poboru</w:t>
      </w:r>
      <w:bookmarkEnd w:id="20"/>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1.Przepis </w:t>
      </w:r>
      <w:r w:rsidRPr="009A3C86">
        <w:rPr>
          <w:rFonts w:ascii="Times New Roman" w:hAnsi="Times New Roman"/>
          <w:b/>
          <w:sz w:val="24"/>
          <w:szCs w:val="24"/>
        </w:rPr>
        <w:t>art. 1</w:t>
      </w:r>
      <w:r w:rsidR="0009383F" w:rsidRPr="009A3C86">
        <w:rPr>
          <w:rFonts w:ascii="Times New Roman" w:hAnsi="Times New Roman"/>
          <w:b/>
          <w:sz w:val="24"/>
          <w:szCs w:val="24"/>
        </w:rPr>
        <w:t>79</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iż zobowiązanie podatkowe wygasa z upływem 5 lat od dnia, w którym upłynął termin przedawnienia wymiaru (przedawnienie poboru). Istotą tego przepisu jest wskazanie, do kiedy podatek, który jest wymagalny, może być egzekwowany. Z tego przepisu wynika, że 5-letni okres, w którym egzekucja może nastąpić, rozpoczyna się od dnia, którym upłynął termin przedawnienia wymiaru (art. 17</w:t>
      </w:r>
      <w:r w:rsidR="001C0E9C" w:rsidRPr="009A3C86">
        <w:rPr>
          <w:rFonts w:ascii="Times New Roman" w:hAnsi="Times New Roman"/>
          <w:sz w:val="24"/>
          <w:szCs w:val="24"/>
        </w:rPr>
        <w:t>0</w:t>
      </w:r>
      <w:r w:rsidRPr="009A3C86">
        <w:rPr>
          <w:rFonts w:ascii="Times New Roman" w:hAnsi="Times New Roman"/>
          <w:sz w:val="24"/>
          <w:szCs w:val="24"/>
        </w:rPr>
        <w:t xml:space="preserve">). W art. </w:t>
      </w:r>
      <w:r w:rsidRPr="009A3C86">
        <w:rPr>
          <w:rFonts w:ascii="Times New Roman" w:hAnsi="Times New Roman"/>
          <w:b/>
          <w:sz w:val="24"/>
          <w:szCs w:val="24"/>
        </w:rPr>
        <w:t>1</w:t>
      </w:r>
      <w:r w:rsidR="0009383F" w:rsidRPr="009A3C86">
        <w:rPr>
          <w:rFonts w:ascii="Times New Roman" w:hAnsi="Times New Roman"/>
          <w:b/>
          <w:sz w:val="24"/>
          <w:szCs w:val="24"/>
        </w:rPr>
        <w:t>79</w:t>
      </w:r>
      <w:r w:rsidRPr="009A3C86">
        <w:rPr>
          <w:rFonts w:ascii="Times New Roman" w:hAnsi="Times New Roman"/>
          <w:b/>
          <w:sz w:val="24"/>
          <w:szCs w:val="24"/>
        </w:rPr>
        <w:t xml:space="preserve"> § 2</w:t>
      </w:r>
      <w:r w:rsidRPr="009A3C86">
        <w:rPr>
          <w:rFonts w:ascii="Times New Roman" w:hAnsi="Times New Roman"/>
          <w:sz w:val="24"/>
          <w:szCs w:val="24"/>
        </w:rPr>
        <w:t xml:space="preserve"> wskazuje się natomiast, że przepis § 1 stosuje się odpowiednio w przypadku zobowiązania podatkowego powstałego na skutek procedury wzajemnego porozumiewania lub procedury arbitrażowej, prowadzonej na podstawie ratyfikowanej umowy o unikaniu podwójnego opodatkowania lub innej ratyfikowanej umowy międzynarodowej, której stroną jest Rzeczpospolita Polska, gdy ta umowa przewiduje możliwość wprowadzenia w życie zawartego porozumienia bez względu na terminy przedawnienia, z tym, że w tym przypadku 5 letni okres liczony jest od daty wprowadzenia tego porozumienia w życie. Przepis § 2 ma na celu umożliwienie właściwej implementacji porozumień zawartych w ramach procedury wzajemnego porozumiewania, które mogą być zawarte na podstawie umów o unikaniu podwójnego opodatkowania bez względu na upływ terminu przedawnienia. W tym przepisie będzie bowiem precyzyjnie określony termin, po upływie którego zobowiązania podatkowe wynikające z tych porozumień, będą wygasać na skutek przedawniania poboru.</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09383F" w:rsidRPr="009A3C86">
        <w:rPr>
          <w:rFonts w:ascii="Times New Roman" w:hAnsi="Times New Roman"/>
          <w:b/>
          <w:sz w:val="24"/>
          <w:szCs w:val="24"/>
        </w:rPr>
        <w:t>79</w:t>
      </w:r>
      <w:r w:rsidRPr="009A3C86">
        <w:rPr>
          <w:rFonts w:ascii="Times New Roman" w:hAnsi="Times New Roman"/>
          <w:sz w:val="24"/>
          <w:szCs w:val="24"/>
        </w:rPr>
        <w:t xml:space="preserve"> nie określa momentu, od którego organ podatkowy może egzekwować podatek. Kwestia ta np. w zakresie decyzji jest uregulowana w </w:t>
      </w:r>
      <w:r w:rsidRPr="009A3C86">
        <w:rPr>
          <w:rFonts w:ascii="Times New Roman" w:hAnsi="Times New Roman"/>
          <w:bCs/>
          <w:sz w:val="24"/>
          <w:szCs w:val="24"/>
        </w:rPr>
        <w:t>rozdziale 18</w:t>
      </w:r>
      <w:r w:rsidRPr="009A3C86">
        <w:rPr>
          <w:rFonts w:ascii="Times New Roman" w:hAnsi="Times New Roman"/>
          <w:sz w:val="24"/>
          <w:szCs w:val="24"/>
        </w:rPr>
        <w:t>, dziale III „</w:t>
      </w:r>
      <w:r w:rsidRPr="009A3C86">
        <w:rPr>
          <w:rFonts w:ascii="Times New Roman" w:hAnsi="Times New Roman"/>
          <w:bCs/>
          <w:sz w:val="24"/>
          <w:szCs w:val="24"/>
        </w:rPr>
        <w:t>Wykonanie decyzji”</w:t>
      </w:r>
      <w:r w:rsidRPr="009A3C86">
        <w:rPr>
          <w:rFonts w:ascii="Times New Roman" w:hAnsi="Times New Roman"/>
          <w:sz w:val="24"/>
          <w:szCs w:val="24"/>
        </w:rPr>
        <w:t xml:space="preserve">. Może to nastąpić, co do zasady, gdy organ dysponuje ostateczną decyzją wymiarową, a wcześniej gdy decyzji </w:t>
      </w:r>
      <w:r w:rsidRPr="009A3C86">
        <w:rPr>
          <w:rFonts w:ascii="Times New Roman" w:hAnsi="Times New Roman"/>
          <w:bCs/>
          <w:sz w:val="24"/>
          <w:szCs w:val="24"/>
        </w:rPr>
        <w:t>nieostatecznej zostanie nadany rygor natychmiastowej wykonalności, co znajduje wyraz w art. 47</w:t>
      </w:r>
      <w:r w:rsidR="001F0B80" w:rsidRPr="009A3C86">
        <w:rPr>
          <w:rFonts w:ascii="Times New Roman" w:hAnsi="Times New Roman"/>
          <w:bCs/>
          <w:sz w:val="24"/>
          <w:szCs w:val="24"/>
        </w:rPr>
        <w:t>6</w:t>
      </w:r>
      <w:r w:rsidRPr="009A3C86">
        <w:rPr>
          <w:rFonts w:ascii="Times New Roman" w:hAnsi="Times New Roman"/>
          <w:bCs/>
          <w:sz w:val="24"/>
          <w:szCs w:val="24"/>
        </w:rPr>
        <w:t xml:space="preserve">, a także gdy podatek do zapłaty wynika z deklaracji podatkowej. W konsekwencji może być tak, że podatek będzie mógł być już egzekwowany w </w:t>
      </w:r>
      <w:r w:rsidRPr="009A3C86">
        <w:rPr>
          <w:rFonts w:ascii="Times New Roman" w:hAnsi="Times New Roman"/>
          <w:bCs/>
          <w:sz w:val="24"/>
          <w:szCs w:val="24"/>
        </w:rPr>
        <w:lastRenderedPageBreak/>
        <w:t xml:space="preserve">okresie przedawnienia wymiaru. Nastąpi to wtedy, gdy jeszcze przed upływem przedawnienia wymiaru będzie znana kwota wymagalnego podatku, która nie została zapłacona.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Przedawnienie poboru wiąże się z sytuacją, w której zobowiązanie podatkowe istnieje i jego wysokość jest znana. W istocie jest to więc odpowiednik obowiązującego przedawnienia zobowiązania podatkowego, albowiem jego istotą jest wygaśnięcie zobowiązania podatkowego po upływie określonego czasu. Organ podatkowy nie może więc po upływie terminu przedawnienia prawa do poboru podatku skutecznie egzekwować należności, albowiem na skutek upływu czasu takowa należność wygasa.</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art. 1</w:t>
      </w:r>
      <w:r w:rsidR="0009383F" w:rsidRPr="009A3C86">
        <w:rPr>
          <w:rFonts w:ascii="Times New Roman" w:hAnsi="Times New Roman"/>
          <w:b/>
          <w:sz w:val="24"/>
          <w:szCs w:val="24"/>
        </w:rPr>
        <w:t>79</w:t>
      </w:r>
      <w:r w:rsidRPr="009A3C86">
        <w:rPr>
          <w:rFonts w:ascii="Times New Roman" w:hAnsi="Times New Roman"/>
          <w:sz w:val="24"/>
          <w:szCs w:val="24"/>
        </w:rPr>
        <w:t xml:space="preserve"> wprowadzono 5-letni okres przedawnienia poboru. Rozwiązanie to obecnie występuje w przypadku podatków powstających z mocy prawa, gdy podatek wynika z niekwestionowanej przez organy podatkowe deklaracji</w:t>
      </w:r>
      <w:r w:rsidRPr="009A3C86">
        <w:rPr>
          <w:rFonts w:ascii="Times New Roman" w:hAnsi="Times New Roman"/>
          <w:sz w:val="24"/>
          <w:szCs w:val="24"/>
          <w:vertAlign w:val="superscript"/>
        </w:rPr>
        <w:footnoteReference w:id="247"/>
      </w:r>
      <w:r w:rsidRPr="009A3C86">
        <w:rPr>
          <w:rFonts w:ascii="Times New Roman" w:hAnsi="Times New Roman"/>
          <w:sz w:val="24"/>
          <w:szCs w:val="24"/>
        </w:rPr>
        <w:t>, a także w podatkach, w których zobowiązanie powstaje na skutek doręczenia decyzji ustalającej wysokość zobowiązania podatkowego</w:t>
      </w:r>
      <w:r w:rsidRPr="009A3C86">
        <w:rPr>
          <w:rFonts w:ascii="Times New Roman" w:hAnsi="Times New Roman"/>
          <w:sz w:val="24"/>
          <w:szCs w:val="24"/>
          <w:vertAlign w:val="superscript"/>
        </w:rPr>
        <w:footnoteReference w:id="248"/>
      </w:r>
      <w:r w:rsidRPr="009A3C86">
        <w:rPr>
          <w:rFonts w:ascii="Times New Roman" w:hAnsi="Times New Roman"/>
          <w:sz w:val="24"/>
          <w:szCs w:val="24"/>
        </w:rPr>
        <w:t>. Termin ten ma także zastosowanie m.in. w przypadku okresu, w którym podatnik ma prawo dochodzić stwierdzonych nadpłat</w:t>
      </w:r>
      <w:r w:rsidRPr="009A3C86">
        <w:rPr>
          <w:rFonts w:ascii="Times New Roman" w:hAnsi="Times New Roman"/>
          <w:sz w:val="24"/>
          <w:szCs w:val="24"/>
          <w:vertAlign w:val="superscript"/>
        </w:rPr>
        <w:footnoteReference w:id="249"/>
      </w:r>
      <w:r w:rsidRPr="009A3C86">
        <w:rPr>
          <w:rFonts w:ascii="Times New Roman" w:hAnsi="Times New Roman"/>
          <w:sz w:val="24"/>
          <w:szCs w:val="24"/>
        </w:rPr>
        <w:t xml:space="preserve">.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Wprowadzenie 5-letniego okresu przedawnienia poboru nie będzie zagrażać bezpieczeństwu finansowemu państwa w kontekście wprowadzanego czasu na czynności egzekucyjne należności podatkowych i niepodatkowych, tym bardziej że w </w:t>
      </w:r>
      <w:r w:rsidRPr="009A3C86">
        <w:rPr>
          <w:rFonts w:ascii="Times New Roman" w:hAnsi="Times New Roman"/>
          <w:iCs/>
          <w:sz w:val="24"/>
          <w:szCs w:val="24"/>
        </w:rPr>
        <w:t xml:space="preserve">Kierunkach działania i rozwoju krajowej administracji skarbowej na lata 2017-2020 </w:t>
      </w:r>
      <w:r w:rsidRPr="009A3C86">
        <w:rPr>
          <w:rFonts w:ascii="Times New Roman" w:hAnsi="Times New Roman"/>
          <w:sz w:val="24"/>
          <w:szCs w:val="24"/>
        </w:rPr>
        <w:t xml:space="preserve">wskazuje się, iż planuje się </w:t>
      </w:r>
      <w:r w:rsidRPr="009A3C86">
        <w:rPr>
          <w:rFonts w:ascii="Times New Roman" w:hAnsi="Times New Roman"/>
          <w:bCs/>
          <w:sz w:val="24"/>
          <w:szCs w:val="24"/>
        </w:rPr>
        <w:t xml:space="preserve">wzrost skuteczności i efektywności poboru należności podatkowych i niepodatkowych do poziomu 33% kwot </w:t>
      </w:r>
      <w:r w:rsidRPr="009A3C86">
        <w:rPr>
          <w:rFonts w:ascii="Times New Roman" w:hAnsi="Times New Roman"/>
          <w:sz w:val="24"/>
          <w:szCs w:val="24"/>
        </w:rPr>
        <w:t>objętych tytułami wykonawczymi</w:t>
      </w:r>
      <w:r w:rsidRPr="009A3C86">
        <w:rPr>
          <w:rFonts w:ascii="Times New Roman" w:hAnsi="Times New Roman"/>
          <w:bCs/>
          <w:sz w:val="24"/>
          <w:szCs w:val="24"/>
        </w:rPr>
        <w:t xml:space="preserve">, </w:t>
      </w:r>
      <w:r w:rsidRPr="009A3C86">
        <w:rPr>
          <w:rFonts w:ascii="Times New Roman" w:hAnsi="Times New Roman"/>
          <w:sz w:val="24"/>
          <w:szCs w:val="24"/>
        </w:rPr>
        <w:t>przez m.in. poprawę̨ procesu odzyskiwania zaległości oraz skrócenie czasu reakcji na powstające zaległości, a także zwiększenie skuteczności i efektywności wykonywania zadań przez pracowników i funkcjonariuszy KAS</w:t>
      </w:r>
      <w:r w:rsidRPr="009A3C86">
        <w:rPr>
          <w:rFonts w:ascii="Times New Roman" w:hAnsi="Times New Roman"/>
          <w:sz w:val="24"/>
          <w:szCs w:val="24"/>
          <w:vertAlign w:val="superscript"/>
        </w:rPr>
        <w:footnoteReference w:id="250"/>
      </w:r>
      <w:r w:rsidRPr="009A3C86">
        <w:rPr>
          <w:rFonts w:ascii="Times New Roman" w:hAnsi="Times New Roman"/>
          <w:sz w:val="24"/>
          <w:szCs w:val="24"/>
        </w:rPr>
        <w:t xml:space="preserve">. Wprowadzenie krótszego niż 5 lat okresu przedawnienia poboru także nie wydaje się uzasadnione. Jeżeli bowiem zobowiązanie wynika ze złożonej, prawidłowej deklaracji podatkowej lub ostatecznej decyzji (ewentualnie weryfikowanej prawomocnym orzeczeniem sądowym), to powinno być – w myśl zasady sprawiedliwości i powszechności opodatkowania – wykonane. Zatem poza dyskusją powinno być, że jeżeli ktoś jest zobowiązany do zapłaty podatku, którego istnienie i wysokość są prawidłowo ustalone, to powinien go zapłacić. Dlatego egzekwowanie należnego podatku, którego wysokość jest znana i nie jest lub nie może być już </w:t>
      </w:r>
      <w:r w:rsidRPr="009A3C86">
        <w:rPr>
          <w:rFonts w:ascii="Times New Roman" w:hAnsi="Times New Roman"/>
          <w:sz w:val="24"/>
          <w:szCs w:val="24"/>
        </w:rPr>
        <w:lastRenderedPageBreak/>
        <w:t xml:space="preserve">kwestionowana, gdyż wynika z decyzji ostatecznej, nawet w długiej perspektywie czasowej jest uzasadnione.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FC5E30" w:rsidRPr="009A3C86">
        <w:rPr>
          <w:rFonts w:ascii="Times New Roman" w:hAnsi="Times New Roman"/>
          <w:b/>
          <w:sz w:val="24"/>
          <w:szCs w:val="24"/>
        </w:rPr>
        <w:t>180</w:t>
      </w:r>
      <w:r w:rsidR="00FC5E30" w:rsidRPr="009A3C86">
        <w:rPr>
          <w:rFonts w:ascii="Times New Roman" w:hAnsi="Times New Roman"/>
          <w:sz w:val="24"/>
          <w:szCs w:val="24"/>
        </w:rPr>
        <w:t xml:space="preserve"> </w:t>
      </w:r>
      <w:r w:rsidRPr="009A3C86">
        <w:rPr>
          <w:rFonts w:ascii="Times New Roman" w:hAnsi="Times New Roman"/>
          <w:sz w:val="24"/>
          <w:szCs w:val="24"/>
        </w:rPr>
        <w:t>stanowi, że bieg terminu przedawnienia poboru nie rozpoczyna się, a rozpoczęty ulega zawieszeniu od dnia enumeratywnie wskazanych okoliczności. W konstrukcji przedawnienia poboru wskazano, że jego zawieszenie powinno następować tylko z przyczyn obiektywnych, niezależnych od organu podatkowego, które mają wpływ na pobór podatku. Do nich niewątpliwie należą takie okoliczności, jak: śmierć zobowiązanego, śmierć przedstawiciela ustawowego zobowiązanego, utrata przez zobowiązanego lub jego przedstawiciela ustawowego zdolności do czynności prawnych, wydanie decyzji o udzieleniu ulgi w spłacie lub decyzji o odroczeniu terminu złożenia deklaracji, doręczenia postanowienia o przyjęciu zabezpieczenia</w:t>
      </w:r>
      <w:r w:rsidRPr="009A3C86">
        <w:rPr>
          <w:rFonts w:ascii="Times New Roman" w:hAnsi="Times New Roman"/>
          <w:bCs/>
          <w:sz w:val="24"/>
          <w:szCs w:val="24"/>
        </w:rPr>
        <w:t xml:space="preserve"> dobrowolnego</w:t>
      </w:r>
      <w:r w:rsidRPr="009A3C86">
        <w:rPr>
          <w:rFonts w:ascii="Times New Roman" w:hAnsi="Times New Roman"/>
          <w:sz w:val="24"/>
          <w:szCs w:val="24"/>
        </w:rPr>
        <w:t xml:space="preserve"> w przypadku, o którym mowa w a</w:t>
      </w:r>
      <w:r w:rsidRPr="009A3C86">
        <w:rPr>
          <w:rFonts w:ascii="Times New Roman" w:hAnsi="Times New Roman"/>
          <w:bCs/>
          <w:sz w:val="24"/>
          <w:szCs w:val="24"/>
        </w:rPr>
        <w:t>rt. 4</w:t>
      </w:r>
      <w:r w:rsidR="00FC5E30" w:rsidRPr="009A3C86">
        <w:rPr>
          <w:rFonts w:ascii="Times New Roman" w:hAnsi="Times New Roman"/>
          <w:bCs/>
          <w:sz w:val="24"/>
          <w:szCs w:val="24"/>
        </w:rPr>
        <w:t>81</w:t>
      </w:r>
      <w:r w:rsidRPr="009A3C86">
        <w:rPr>
          <w:rFonts w:ascii="Times New Roman" w:hAnsi="Times New Roman"/>
          <w:b/>
          <w:sz w:val="24"/>
          <w:szCs w:val="24"/>
        </w:rPr>
        <w:t> </w:t>
      </w:r>
      <w:r w:rsidRPr="009A3C86">
        <w:rPr>
          <w:rFonts w:ascii="Times New Roman" w:hAnsi="Times New Roman"/>
          <w:sz w:val="24"/>
          <w:szCs w:val="24"/>
        </w:rPr>
        <w:t>§ 1 pkt 1, doręczenie zawiadomienia o przystąpieniu do zabezpieczenia w przypadkach określonych w art. 32a § 3 i art. 35 § 2 ustawy z dnia 17 czerwca 1966 r. o postępowaniu egzekucyjnym w administracji (Dz. U. z 201</w:t>
      </w:r>
      <w:r w:rsidR="00C902AA" w:rsidRPr="009A3C86">
        <w:rPr>
          <w:rFonts w:ascii="Times New Roman" w:hAnsi="Times New Roman"/>
          <w:sz w:val="24"/>
          <w:szCs w:val="24"/>
        </w:rPr>
        <w:t>8</w:t>
      </w:r>
      <w:r w:rsidRPr="009A3C86">
        <w:rPr>
          <w:rFonts w:ascii="Times New Roman" w:hAnsi="Times New Roman"/>
          <w:sz w:val="24"/>
          <w:szCs w:val="24"/>
        </w:rPr>
        <w:t xml:space="preserve"> r. poz. 1</w:t>
      </w:r>
      <w:r w:rsidR="00C902AA" w:rsidRPr="009A3C86">
        <w:rPr>
          <w:rFonts w:ascii="Times New Roman" w:hAnsi="Times New Roman"/>
          <w:sz w:val="24"/>
          <w:szCs w:val="24"/>
        </w:rPr>
        <w:t>3</w:t>
      </w:r>
      <w:r w:rsidRPr="009A3C86">
        <w:rPr>
          <w:rFonts w:ascii="Times New Roman" w:hAnsi="Times New Roman"/>
          <w:sz w:val="24"/>
          <w:szCs w:val="24"/>
        </w:rPr>
        <w:t>1</w:t>
      </w:r>
      <w:r w:rsidR="00C902AA" w:rsidRPr="009A3C86">
        <w:rPr>
          <w:rFonts w:ascii="Times New Roman" w:hAnsi="Times New Roman"/>
          <w:sz w:val="24"/>
          <w:szCs w:val="24"/>
        </w:rPr>
        <w:t>4</w:t>
      </w:r>
      <w:r w:rsidRPr="009A3C86">
        <w:rPr>
          <w:rFonts w:ascii="Times New Roman" w:hAnsi="Times New Roman"/>
          <w:sz w:val="24"/>
          <w:szCs w:val="24"/>
        </w:rPr>
        <w:t xml:space="preserve"> z późn. zm.), ustanowienia hipoteki lub zastawu skarbowego, ogłoszenie upadłości zobowiązanego, otwarcia postępowania restrukturyzacyjnego lub wydania postanowienia o zatwierdzeniu układu w postępowaniu o zatwierdzenie układu w rozumieniu ustawy z dnia 15 maja 2015 r. – Prawo restrukturyzacyjne (Dz. U. z 2017 r. poz. 1508 oraz z 2018 r. poz. 149 i 398).</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Przepisy </w:t>
      </w:r>
      <w:r w:rsidRPr="009A3C86">
        <w:rPr>
          <w:rFonts w:ascii="Times New Roman" w:hAnsi="Times New Roman"/>
          <w:b/>
          <w:sz w:val="24"/>
          <w:szCs w:val="24"/>
        </w:rPr>
        <w:t>art. 18</w:t>
      </w:r>
      <w:r w:rsidR="00FC5E30" w:rsidRPr="009A3C86">
        <w:rPr>
          <w:rFonts w:ascii="Times New Roman" w:hAnsi="Times New Roman"/>
          <w:b/>
          <w:sz w:val="24"/>
          <w:szCs w:val="24"/>
        </w:rPr>
        <w:t>0</w:t>
      </w:r>
      <w:r w:rsidRPr="009A3C86">
        <w:rPr>
          <w:rFonts w:ascii="Times New Roman" w:hAnsi="Times New Roman"/>
          <w:b/>
          <w:sz w:val="24"/>
          <w:szCs w:val="24"/>
        </w:rPr>
        <w:t xml:space="preserve"> pkt 4-6</w:t>
      </w:r>
      <w:r w:rsidRPr="009A3C86">
        <w:rPr>
          <w:rFonts w:ascii="Times New Roman" w:hAnsi="Times New Roman"/>
          <w:sz w:val="24"/>
          <w:szCs w:val="24"/>
        </w:rPr>
        <w:t xml:space="preserve"> są odpowiednikami art. 70 § 2 pkt 1, § 6 pkt 4 oraz § 6 pkt 5 o.p. Z obecnie obowiązującego katalogu przesłanek zawieszenia biegu terminu przedawnienia wyeliminowano przesłankę z art. 70 § 2 pkt 1 o.p. dotyczącą wejścia w życie rozporządzenia w sprawie przedłużenia terminu płatności podatku. Zgodnie z art. 17</w:t>
      </w:r>
      <w:r w:rsidR="00FC5E30" w:rsidRPr="009A3C86">
        <w:rPr>
          <w:rFonts w:ascii="Times New Roman" w:hAnsi="Times New Roman"/>
          <w:sz w:val="24"/>
          <w:szCs w:val="24"/>
        </w:rPr>
        <w:t>3</w:t>
      </w:r>
      <w:r w:rsidRPr="009A3C86">
        <w:rPr>
          <w:rFonts w:ascii="Times New Roman" w:hAnsi="Times New Roman"/>
          <w:sz w:val="24"/>
          <w:szCs w:val="24"/>
        </w:rPr>
        <w:t xml:space="preserve"> § 1 pkt 1 projektu zaistnienie tej okoliczności ma bowiem wpływ na rozpoczęcie biegu terminu przedawnienia wymiaru. Nie powinna mieć ona natomiast znaczenia dla biegu terminu przedawnienia poboru.</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Na podstawie </w:t>
      </w:r>
      <w:r w:rsidRPr="009A3C86">
        <w:rPr>
          <w:rFonts w:ascii="Times New Roman" w:hAnsi="Times New Roman"/>
          <w:b/>
          <w:sz w:val="24"/>
          <w:szCs w:val="24"/>
        </w:rPr>
        <w:t>art. 18</w:t>
      </w:r>
      <w:r w:rsidR="00FC5E30" w:rsidRPr="009A3C86">
        <w:rPr>
          <w:rFonts w:ascii="Times New Roman" w:hAnsi="Times New Roman"/>
          <w:b/>
          <w:sz w:val="24"/>
          <w:szCs w:val="24"/>
        </w:rPr>
        <w:t>0</w:t>
      </w:r>
      <w:r w:rsidRPr="009A3C86">
        <w:rPr>
          <w:rFonts w:ascii="Times New Roman" w:hAnsi="Times New Roman"/>
          <w:b/>
          <w:sz w:val="24"/>
          <w:szCs w:val="24"/>
        </w:rPr>
        <w:t xml:space="preserve"> pkt 7</w:t>
      </w:r>
      <w:r w:rsidRPr="009A3C86">
        <w:rPr>
          <w:rFonts w:ascii="Times New Roman" w:hAnsi="Times New Roman"/>
          <w:sz w:val="24"/>
          <w:szCs w:val="24"/>
        </w:rPr>
        <w:t xml:space="preserve"> bieg terminu przedawnienia poboru nie rozpoczyna się, a rozpoczęty ulega zawieszeniu od dnia ustanowienia hipoteki przymusowej lub zastawu skarbowego. W wyniku tego w jednakowy sposób będzie traktowany każdy sposób zabezpieczenia wykonania zobowiązań podatkowych. Jednocześnie uregulowano kwestię wpływu zabezpieczenia wykonania zobowiązań podatkowych poprzez ustanowienie hipoteki przymusowej lub zastawu skarbowego na przedawnienie poboru podatku, co było postulowane przez TK</w:t>
      </w:r>
      <w:r w:rsidRPr="009A3C86">
        <w:rPr>
          <w:rFonts w:ascii="Times New Roman" w:hAnsi="Times New Roman"/>
          <w:sz w:val="24"/>
          <w:szCs w:val="24"/>
          <w:vertAlign w:val="superscript"/>
        </w:rPr>
        <w:footnoteReference w:id="251"/>
      </w:r>
      <w:r w:rsidRPr="009A3C86">
        <w:rPr>
          <w:rFonts w:ascii="Times New Roman" w:hAnsi="Times New Roman"/>
          <w:sz w:val="24"/>
          <w:szCs w:val="24"/>
        </w:rPr>
        <w:t xml:space="preserve">. W odniesieniu do wierzytelności podatkowych zabezpieczonych hipoteką lub </w:t>
      </w:r>
      <w:r w:rsidRPr="009A3C86">
        <w:rPr>
          <w:rFonts w:ascii="Times New Roman" w:hAnsi="Times New Roman"/>
          <w:sz w:val="24"/>
          <w:szCs w:val="24"/>
        </w:rPr>
        <w:lastRenderedPageBreak/>
        <w:t xml:space="preserve">zastawem skarbowym wprowadzone rozwiązanie w należyty sposób chroni uprawnienia państwa lub j.s.t. do uzyskania zaspokojenia z rzeczy obciążonej. </w:t>
      </w:r>
    </w:p>
    <w:p w:rsidR="00704CA3" w:rsidRPr="009A3C86" w:rsidRDefault="00704CA3" w:rsidP="00704CA3">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18</w:t>
      </w:r>
      <w:r w:rsidR="00FC5E30" w:rsidRPr="009A3C86">
        <w:rPr>
          <w:rFonts w:ascii="Times New Roman" w:hAnsi="Times New Roman"/>
          <w:b/>
          <w:sz w:val="24"/>
          <w:szCs w:val="24"/>
        </w:rPr>
        <w:t>0</w:t>
      </w:r>
      <w:r w:rsidRPr="009A3C86">
        <w:rPr>
          <w:rFonts w:ascii="Times New Roman" w:hAnsi="Times New Roman"/>
          <w:b/>
          <w:sz w:val="24"/>
          <w:szCs w:val="24"/>
        </w:rPr>
        <w:t xml:space="preserve"> pkt 9</w:t>
      </w:r>
      <w:r w:rsidRPr="009A3C86">
        <w:rPr>
          <w:rFonts w:ascii="Times New Roman" w:hAnsi="Times New Roman"/>
          <w:sz w:val="24"/>
          <w:szCs w:val="24"/>
        </w:rPr>
        <w:t xml:space="preserve"> nie ma odpowiednika w obowiązującym stanie prawnym. Przepis art. 18</w:t>
      </w:r>
      <w:r w:rsidR="00FC5E30" w:rsidRPr="009A3C86">
        <w:rPr>
          <w:rFonts w:ascii="Times New Roman" w:hAnsi="Times New Roman"/>
          <w:sz w:val="24"/>
          <w:szCs w:val="24"/>
        </w:rPr>
        <w:t>0</w:t>
      </w:r>
      <w:r w:rsidRPr="009A3C86">
        <w:rPr>
          <w:rFonts w:ascii="Times New Roman" w:hAnsi="Times New Roman"/>
          <w:sz w:val="24"/>
          <w:szCs w:val="24"/>
        </w:rPr>
        <w:t xml:space="preserve"> pkt 9 przewiduje zawieszenie biegu terminu przedawnienia poboru w związku z wystąpieniem do sądu powszechnego na podstawie art. 527 ustawy z dnia 23 kwietnia 1964 r. Kodeks cywilny. Dopuszczalność stosowania skargi paulińskiej na podstawie art. 527 k.c. w ochronie wierzytelności publicznoprawnych była wielokrotnie potwierdzana w orzecznictwie Sądu Najwyższego (np. uchwała składu siedmiu sędziów z 12 marca 2003 r. sygn. akt III CZP 85/02, wyrok z dnia 28 października 2010 r. sygn. akt II CSK 227/10) i zaakceptowana przez Trybunał Konstytucyjny wyrokiem z dnia 18 kwietnia 2018 r. sygn. K 52/16. O ile więc samo zastosowanie konstrukcji skargi pauliańskiej nie budzi wątpliwości, o tyle konieczne jest uzupełnienie przedstawianego projektu o zapis zapobiegający jej nieefektywności wskutek rozbieżności między regulacjami podatkowymi a procedurą cywilną.</w:t>
      </w:r>
    </w:p>
    <w:p w:rsidR="00704CA3" w:rsidRPr="009A3C86" w:rsidRDefault="00704CA3" w:rsidP="00704CA3">
      <w:pPr>
        <w:spacing w:after="0" w:line="360" w:lineRule="auto"/>
        <w:jc w:val="both"/>
        <w:rPr>
          <w:rFonts w:ascii="Times New Roman" w:hAnsi="Times New Roman"/>
          <w:sz w:val="24"/>
          <w:szCs w:val="24"/>
        </w:rPr>
      </w:pPr>
      <w:r w:rsidRPr="009A3C86">
        <w:rPr>
          <w:rFonts w:ascii="Times New Roman" w:hAnsi="Times New Roman"/>
          <w:sz w:val="24"/>
          <w:szCs w:val="24"/>
        </w:rPr>
        <w:t xml:space="preserve">Aktualnie występuje bardzo często sytuacja, że w toku postępowania sądowego zobowiązanie podatkowe wobec dłużnika ulega przedawnieniu. Skutkiem takiej sytuacji jest najczęściej oddalenie powództwa pauliańskiego, mimo, że dłużnik „uciekł" z majątkiem i do przedawniania należności doszło właśnie wskutek tej ucieczki - nie udało się przerwać biegu terminu przedawnienia przez skuteczne czynności egzekucyjne, gdyż całość majątku została już przeniesiona na inne osoby. Nawet, w tych nieczęstych przypadkach, gdy powództwo nie zostaje oddalone, wyrok pozbawiony jest jakiegokolwiek waloru użyteczności. Sytuacja taka powoduje z jednej strony skłonność pozwanych do stosowania wszelkich, nawet nielojalnych wobec sądu, metod torpedowania postępowania. Z drugiej zaś </w:t>
      </w:r>
      <w:r w:rsidRPr="009A3C86">
        <w:rPr>
          <w:rFonts w:ascii="Times New Roman" w:hAnsi="Times New Roman"/>
          <w:sz w:val="24"/>
          <w:szCs w:val="24"/>
          <w:u w:val="single"/>
        </w:rPr>
        <w:t>skutkuje nierównością w traktowaniu podatników na niekorzyść osób, które zachowują się w sposób zgodny z przepisami</w:t>
      </w:r>
      <w:r w:rsidRPr="009A3C86">
        <w:rPr>
          <w:rFonts w:ascii="Times New Roman" w:hAnsi="Times New Roman"/>
          <w:sz w:val="24"/>
          <w:szCs w:val="24"/>
        </w:rPr>
        <w:t xml:space="preserve"> a preferowanie osób zawierających umowy celowo zmierzające do pokrzywdzenia wierzyciela a pośrednio naruszające dobre obyczaje obowiązujące w obrocie gospodarczym.</w:t>
      </w:r>
    </w:p>
    <w:p w:rsidR="00704CA3" w:rsidRPr="009A3C86" w:rsidRDefault="00704CA3" w:rsidP="00704CA3">
      <w:pPr>
        <w:spacing w:after="0" w:line="360" w:lineRule="auto"/>
        <w:jc w:val="both"/>
        <w:rPr>
          <w:rFonts w:ascii="Times New Roman" w:hAnsi="Times New Roman"/>
          <w:sz w:val="24"/>
          <w:szCs w:val="24"/>
        </w:rPr>
      </w:pPr>
      <w:r w:rsidRPr="009A3C86">
        <w:rPr>
          <w:rFonts w:ascii="Times New Roman" w:hAnsi="Times New Roman"/>
          <w:sz w:val="24"/>
          <w:szCs w:val="24"/>
        </w:rPr>
        <w:t>Podnieść także należy, iż w projektowanym art. 17</w:t>
      </w:r>
      <w:r w:rsidR="00FC5E30" w:rsidRPr="009A3C86">
        <w:rPr>
          <w:rFonts w:ascii="Times New Roman" w:hAnsi="Times New Roman"/>
          <w:sz w:val="24"/>
          <w:szCs w:val="24"/>
        </w:rPr>
        <w:t>5</w:t>
      </w:r>
      <w:r w:rsidRPr="009A3C86">
        <w:rPr>
          <w:rFonts w:ascii="Times New Roman" w:hAnsi="Times New Roman"/>
          <w:sz w:val="24"/>
          <w:szCs w:val="24"/>
        </w:rPr>
        <w:t xml:space="preserve"> pkt 5 zawieszenie biegu terminu przedawnienia wymiaru następuje wskutek wytoczenia powództwa o ustalenie przez sąd powszechny istnienia lub nieistnienia stosunku prawnego lub prawa. Wprawdzie ścisła wykładnia tego przepisu wskazuje, iż chodzi wyłącznie o powództwo, o którym mowa w art. 189</w:t>
      </w:r>
      <w:r w:rsidRPr="009A3C86">
        <w:rPr>
          <w:rFonts w:ascii="Times New Roman" w:hAnsi="Times New Roman"/>
          <w:sz w:val="24"/>
          <w:szCs w:val="24"/>
          <w:vertAlign w:val="superscript"/>
        </w:rPr>
        <w:t>1</w:t>
      </w:r>
      <w:r w:rsidRPr="009A3C86">
        <w:rPr>
          <w:rFonts w:ascii="Times New Roman" w:hAnsi="Times New Roman"/>
          <w:sz w:val="24"/>
          <w:szCs w:val="24"/>
        </w:rPr>
        <w:t xml:space="preserve"> ustawy z dnia 17 listopada 1964 r. - Kodeks postępowania cywilnego lecz sama konstrukcja roszczenia jest zbliżona - skarga pauliańska również dotyczy oceny skutków dokonanej czynności i to w węższym zakresie niż powództwo zmierzające do wyeliminowania takiej czynności z obrotu w całości. Proponowany art. 18</w:t>
      </w:r>
      <w:r w:rsidR="00FC5E30" w:rsidRPr="009A3C86">
        <w:rPr>
          <w:rFonts w:ascii="Times New Roman" w:hAnsi="Times New Roman"/>
          <w:sz w:val="24"/>
          <w:szCs w:val="24"/>
        </w:rPr>
        <w:t>0</w:t>
      </w:r>
      <w:r w:rsidRPr="009A3C86">
        <w:rPr>
          <w:rFonts w:ascii="Times New Roman" w:hAnsi="Times New Roman"/>
          <w:sz w:val="24"/>
          <w:szCs w:val="24"/>
        </w:rPr>
        <w:t xml:space="preserve"> pkt 9  ma zatem charakter porządkujący i doprecyzowujący zakres możliwych zastosowań przepisów.</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Dodatkowo przepis </w:t>
      </w:r>
      <w:r w:rsidRPr="009A3C86">
        <w:rPr>
          <w:rFonts w:ascii="Times New Roman" w:hAnsi="Times New Roman"/>
          <w:b/>
          <w:sz w:val="24"/>
          <w:szCs w:val="24"/>
        </w:rPr>
        <w:t>art. 18</w:t>
      </w:r>
      <w:r w:rsidR="00FC5E30" w:rsidRPr="009A3C86">
        <w:rPr>
          <w:rFonts w:ascii="Times New Roman" w:hAnsi="Times New Roman"/>
          <w:b/>
          <w:sz w:val="24"/>
          <w:szCs w:val="24"/>
        </w:rPr>
        <w:t>2</w:t>
      </w:r>
      <w:r w:rsidRPr="009A3C86">
        <w:rPr>
          <w:rFonts w:ascii="Times New Roman" w:hAnsi="Times New Roman"/>
          <w:b/>
          <w:sz w:val="24"/>
          <w:szCs w:val="24"/>
        </w:rPr>
        <w:t xml:space="preserve"> § 1</w:t>
      </w:r>
      <w:r w:rsidRPr="009A3C86">
        <w:rPr>
          <w:rFonts w:ascii="Times New Roman" w:hAnsi="Times New Roman"/>
          <w:sz w:val="24"/>
          <w:szCs w:val="24"/>
        </w:rPr>
        <w:t xml:space="preserve"> stanowi, że zawieszenie biegu terminu przedawnienia poboru może następować wielokrotnie, z tym że łączny okres zawieszenia biegu tego terminu nie może przekroczyć 5 lat (z wyjątkiem wynikającym w art. 18</w:t>
      </w:r>
      <w:r w:rsidR="00FC5E30" w:rsidRPr="009A3C86">
        <w:rPr>
          <w:rFonts w:ascii="Times New Roman" w:hAnsi="Times New Roman"/>
          <w:sz w:val="24"/>
          <w:szCs w:val="24"/>
        </w:rPr>
        <w:t>0</w:t>
      </w:r>
      <w:r w:rsidRPr="009A3C86">
        <w:rPr>
          <w:rFonts w:ascii="Times New Roman" w:hAnsi="Times New Roman"/>
          <w:sz w:val="24"/>
          <w:szCs w:val="24"/>
        </w:rPr>
        <w:t xml:space="preserve"> pkt 8). W przypadku upływu tego okresu termin przedawnienia poboru biegnie dalej od dnia następnego. Regulacja ta wprowadza maksymalny okres przedłużenia przedawnienia poboru na skutek zawieszenia biegu terminu przedawnienia poboru. W konsekwencji ustanowienia hipoteki przymusowej lub zastawu skarbowego przy jednoczesnym upływie okresu przedawnienie poboru, którego okres powinien być odczytany w kontekście art. 1</w:t>
      </w:r>
      <w:r w:rsidR="0044194F" w:rsidRPr="009A3C86">
        <w:rPr>
          <w:rFonts w:ascii="Times New Roman" w:hAnsi="Times New Roman"/>
          <w:sz w:val="24"/>
          <w:szCs w:val="24"/>
        </w:rPr>
        <w:t>7</w:t>
      </w:r>
      <w:r w:rsidR="00FC5E30" w:rsidRPr="009A3C86">
        <w:rPr>
          <w:rFonts w:ascii="Times New Roman" w:hAnsi="Times New Roman"/>
          <w:sz w:val="24"/>
          <w:szCs w:val="24"/>
        </w:rPr>
        <w:t>6</w:t>
      </w:r>
      <w:r w:rsidRPr="009A3C86">
        <w:rPr>
          <w:rFonts w:ascii="Times New Roman" w:hAnsi="Times New Roman"/>
          <w:sz w:val="24"/>
          <w:szCs w:val="24"/>
        </w:rPr>
        <w:t>-1</w:t>
      </w:r>
      <w:r w:rsidR="00FC5E30" w:rsidRPr="009A3C86">
        <w:rPr>
          <w:rFonts w:ascii="Times New Roman" w:hAnsi="Times New Roman"/>
          <w:sz w:val="24"/>
          <w:szCs w:val="24"/>
        </w:rPr>
        <w:t>79</w:t>
      </w:r>
      <w:r w:rsidRPr="009A3C86">
        <w:rPr>
          <w:rFonts w:ascii="Times New Roman" w:hAnsi="Times New Roman"/>
          <w:sz w:val="24"/>
          <w:szCs w:val="24"/>
        </w:rPr>
        <w:t>, skutkuje tym, że zobowiązanie podatkowe, mimo, że jest zabezpieczone hipoteką przymusową lub zastawem skarbowym, wygasa. Nie będzie mogło być zatem dłużej egzekwowane. Hipoteka przymusowa i zastaw skarbowy powinny być po tym okresie wykreślone. Znajduje to podstawę m.in. w art. 94 Ustawy o księgach wieczystych i hipotece. Wygaśnięcie wierzytelności zabezpieczonej hipoteką pociąga za sobą wygaśnięcie hipoteki, co jest zgodne z wyrażoną wyżej intencją przepisów art. 1</w:t>
      </w:r>
      <w:r w:rsidR="00FC5E30" w:rsidRPr="009A3C86">
        <w:rPr>
          <w:rFonts w:ascii="Times New Roman" w:hAnsi="Times New Roman"/>
          <w:sz w:val="24"/>
          <w:szCs w:val="24"/>
        </w:rPr>
        <w:t>79</w:t>
      </w:r>
      <w:r w:rsidRPr="009A3C86">
        <w:rPr>
          <w:rFonts w:ascii="Times New Roman" w:hAnsi="Times New Roman"/>
          <w:sz w:val="24"/>
          <w:szCs w:val="24"/>
        </w:rPr>
        <w:t>-18</w:t>
      </w:r>
      <w:r w:rsidR="00FC5E30" w:rsidRPr="009A3C86">
        <w:rPr>
          <w:rFonts w:ascii="Times New Roman" w:hAnsi="Times New Roman"/>
          <w:sz w:val="24"/>
          <w:szCs w:val="24"/>
        </w:rPr>
        <w:t>2</w:t>
      </w:r>
      <w:r w:rsidRPr="009A3C86">
        <w:rPr>
          <w:rFonts w:ascii="Times New Roman" w:hAnsi="Times New Roman"/>
          <w:sz w:val="24"/>
          <w:szCs w:val="24"/>
        </w:rPr>
        <w:t xml:space="preserve">. Nie można się przy tym zgodzić, iż możliwość dochodzenia zobowiązań podatkowych zabezpieczonych rzeczowo na majątku zobowiązanego w ogóle nie powinno być ograniczone czasowo, analogicznie jak ma to miejsce w przypadku należności o charakterze cywilnoprawnym. Należy bowiem zwrócić uwagę, że należności cywilnoprawne, które są zabezpieczone rzeczowo np. hipoteką, w ogóle nie ulegają przedawnieniu. Wynika to z regulacji zawartej w art. 77 ustawy prawo o księgach wieczystych i hipotece. Należności podatkowe z istoty powinny natomiast podlegać wygaszaniu w związku z przedawnieniem poboru. Za utrzymaniem tego zróżnicowania przemawia fakt, iż zobowiązania cywilnoprawne mają charakter dobrowolny, zobowiązania podatkowe mają natomiast charakter przymusowy. Stąd więc jeśli „dłużnik cywilnoprawny” zgodził się na powstanie sytuacji, w której będzie obciążał go dług, zabezpieczony rzeczowo (np. hipoteką dobrowolnie przez dłużnika ustanowioną), powinien być on wymagalny bez ograniczeń czasowych. Zobowiązania podatkowe wynikają natomiast z ciężaru wynikającego z ustawy, którego istnienie podatnik, nie musi akceptować, podobnie jak zabezpieczenia rzeczowego, które będzie to zobowiązanie chroniło. Z tego też powodu podatnik, po pewnym czasie, zakreślonym instytucją przedawnienia poboru, powinien być z tego długu podatkowego zwolniony, bez względu, czy wierzyciel podatkowy zdołał się zaspokoić, czy też to nie mogło nastąpić. Rozwiązanie to powinno być regułą bez względu na to, czy wierzytelność ta była zabezpieczona hipoteką, czy też takiego zabezpieczenia nie było.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Brak jest również uzasadnienia do tego, aby wprowadzane w nowej ordynacji podatkowej regulacje w zakresie relacji hipoteki i zastawu skarbowego a przedawnienia poboru, odpowiadały tym, które wynikają z obowiązującego obecnie art. 70 § 8 Ordynacji podatkowej. </w:t>
      </w:r>
      <w:r w:rsidRPr="009A3C86">
        <w:rPr>
          <w:rFonts w:ascii="Times New Roman" w:hAnsi="Times New Roman"/>
          <w:sz w:val="24"/>
          <w:szCs w:val="24"/>
        </w:rPr>
        <w:lastRenderedPageBreak/>
        <w:t xml:space="preserve">Należy bowiem zwrócić uwagę, że obecnie funkcjonowanie tego przepisu jest już kwestionowane w orzecznictwie administracyjnym. Znajduje to wyraz m.in. w wyrokach NSA: z 12.04.2016 r., </w:t>
      </w:r>
      <w:hyperlink r:id="rId10" w:tooltip="orzeczenie NSA W-wa II FSK 330/2015(2016-04-12)" w:history="1">
        <w:r w:rsidRPr="009A3C86">
          <w:rPr>
            <w:rFonts w:ascii="Times New Roman" w:hAnsi="Times New Roman"/>
            <w:sz w:val="24"/>
            <w:szCs w:val="24"/>
          </w:rPr>
          <w:t>II FSK 330/15</w:t>
        </w:r>
      </w:hyperlink>
      <w:r w:rsidRPr="009A3C86">
        <w:rPr>
          <w:rFonts w:ascii="Times New Roman" w:hAnsi="Times New Roman"/>
          <w:sz w:val="24"/>
          <w:szCs w:val="24"/>
        </w:rPr>
        <w:t xml:space="preserve">, LEX nr 2064805, z 29.08.2017 r., </w:t>
      </w:r>
      <w:hyperlink r:id="rId11" w:anchor="/jurisprudence/522465096/1/ii-fsk-2048-15-wtorna-niekonstytucyjnosc-przepisu-o-przedawnieniu-wyrok-naczelnego-sadu...?cm=URELATIONS" w:history="1">
        <w:r w:rsidRPr="009A3C86">
          <w:rPr>
            <w:rFonts w:ascii="Times New Roman" w:hAnsi="Times New Roman"/>
            <w:bCs/>
            <w:sz w:val="24"/>
            <w:szCs w:val="24"/>
          </w:rPr>
          <w:t>II FSK 2048/15,</w:t>
        </w:r>
      </w:hyperlink>
      <w:r w:rsidRPr="009A3C86">
        <w:rPr>
          <w:rFonts w:ascii="Times New Roman" w:hAnsi="Times New Roman"/>
          <w:sz w:val="24"/>
          <w:szCs w:val="24"/>
        </w:rPr>
        <w:t xml:space="preserve"> LEX nr 2371400, z 5.07.2017 r. </w:t>
      </w:r>
      <w:r w:rsidRPr="009A3C86">
        <w:rPr>
          <w:rFonts w:ascii="Times New Roman" w:hAnsi="Times New Roman"/>
          <w:bCs/>
          <w:sz w:val="24"/>
          <w:szCs w:val="24"/>
        </w:rPr>
        <w:t>II FSK 1674/15,</w:t>
      </w:r>
      <w:r w:rsidRPr="009A3C86">
        <w:rPr>
          <w:rFonts w:ascii="Times New Roman" w:hAnsi="Times New Roman"/>
          <w:sz w:val="24"/>
          <w:szCs w:val="24"/>
        </w:rPr>
        <w:t xml:space="preserve"> LEX nr 2346679, z dnia 16 września 2014 r., sygn. akt </w:t>
      </w:r>
      <w:hyperlink r:id="rId12" w:anchor="/document/521605621?cm=DOCUMENT" w:history="1">
        <w:r w:rsidRPr="009A3C86">
          <w:rPr>
            <w:rFonts w:ascii="Times New Roman" w:hAnsi="Times New Roman"/>
            <w:sz w:val="24"/>
            <w:szCs w:val="24"/>
          </w:rPr>
          <w:t>I FSK 317/14</w:t>
        </w:r>
      </w:hyperlink>
      <w:r w:rsidRPr="009A3C86">
        <w:rPr>
          <w:rFonts w:ascii="Times New Roman" w:hAnsi="Times New Roman"/>
          <w:sz w:val="24"/>
          <w:szCs w:val="24"/>
        </w:rPr>
        <w:t>, Lex nr 1511925, z dnia 18 lipca 2014 r., sygn. akt </w:t>
      </w:r>
      <w:hyperlink r:id="rId13" w:anchor="/document/521611357?cm=DOCUMENT" w:history="1">
        <w:r w:rsidRPr="009A3C86">
          <w:rPr>
            <w:rFonts w:ascii="Times New Roman" w:hAnsi="Times New Roman"/>
            <w:sz w:val="24"/>
            <w:szCs w:val="24"/>
          </w:rPr>
          <w:t>I FSK 1176/13</w:t>
        </w:r>
      </w:hyperlink>
      <w:r w:rsidRPr="009A3C86">
        <w:rPr>
          <w:rFonts w:ascii="Times New Roman" w:hAnsi="Times New Roman"/>
          <w:sz w:val="24"/>
          <w:szCs w:val="24"/>
        </w:rPr>
        <w:t>, Lex nr 1517661, czy w wyroku WSA w Gliwicach z dnia 9 stycznia 2015 r., </w:t>
      </w:r>
      <w:hyperlink r:id="rId14" w:anchor="/document/521716783?cm=DOCUMENT" w:history="1">
        <w:r w:rsidRPr="009A3C86">
          <w:rPr>
            <w:rFonts w:ascii="Times New Roman" w:hAnsi="Times New Roman"/>
            <w:sz w:val="24"/>
            <w:szCs w:val="24"/>
          </w:rPr>
          <w:t>I SA/Gl 619/14</w:t>
        </w:r>
      </w:hyperlink>
      <w:r w:rsidRPr="009A3C86">
        <w:rPr>
          <w:rFonts w:ascii="Times New Roman" w:hAnsi="Times New Roman"/>
          <w:sz w:val="24"/>
          <w:szCs w:val="24"/>
        </w:rPr>
        <w:t>, Lex nr 1623087. W orzecznictwie sądowym wskazuje się, że zgodnie z literalną wykładnią </w:t>
      </w:r>
      <w:hyperlink r:id="rId15" w:anchor="/document/16799056?unitId=art(70)par(8)&amp;cm=DOCUMENT" w:history="1">
        <w:r w:rsidRPr="009A3C86">
          <w:rPr>
            <w:rFonts w:ascii="Times New Roman" w:hAnsi="Times New Roman"/>
            <w:sz w:val="24"/>
            <w:szCs w:val="24"/>
          </w:rPr>
          <w:t>art. 70 § 8</w:t>
        </w:r>
      </w:hyperlink>
      <w:r w:rsidRPr="009A3C86">
        <w:rPr>
          <w:rFonts w:ascii="Times New Roman" w:hAnsi="Times New Roman"/>
          <w:sz w:val="24"/>
          <w:szCs w:val="24"/>
        </w:rPr>
        <w:t> o.p. nie ulegają przedawnieniu zobowiązania podatkowe zabezpieczone hipoteką lub zastawem skarbowym, jednakże po upływie terminu przedawnienia zobowiązania te mogą być egzekwowane tylko z przedmiotu hipoteki lub zastawu. Podnosi się jednak, że należy zauważyć, iż Trybunał Konstytucyjny w wyroku z dnia 8 października 2013 r., w pkt 2 sentencji stwierdził, że </w:t>
      </w:r>
      <w:hyperlink r:id="rId16" w:anchor="/document/16799056?unitId=art(70)par(6)&amp;cm=DOCUMENT" w:history="1">
        <w:r w:rsidRPr="009A3C86">
          <w:rPr>
            <w:rFonts w:ascii="Times New Roman" w:hAnsi="Times New Roman"/>
            <w:sz w:val="24"/>
            <w:szCs w:val="24"/>
          </w:rPr>
          <w:t>art. 70 § 6</w:t>
        </w:r>
      </w:hyperlink>
      <w:r w:rsidRPr="009A3C86">
        <w:rPr>
          <w:rFonts w:ascii="Times New Roman" w:hAnsi="Times New Roman"/>
          <w:sz w:val="24"/>
          <w:szCs w:val="24"/>
        </w:rPr>
        <w:t> o.p., w brzmieniu obowiązującym od 1 stycznia 1998 r. do 31 grudnia 2002 r., jest niezgodny z </w:t>
      </w:r>
      <w:hyperlink r:id="rId17" w:anchor="/document/16798613?unitId=art(64)ust(2)&amp;cm=DOCUMENT" w:history="1">
        <w:r w:rsidRPr="009A3C86">
          <w:rPr>
            <w:rFonts w:ascii="Times New Roman" w:hAnsi="Times New Roman"/>
            <w:sz w:val="24"/>
            <w:szCs w:val="24"/>
          </w:rPr>
          <w:t>art. 64 ust. 2</w:t>
        </w:r>
      </w:hyperlink>
      <w:r w:rsidRPr="009A3C86">
        <w:rPr>
          <w:rFonts w:ascii="Times New Roman" w:hAnsi="Times New Roman"/>
          <w:sz w:val="24"/>
          <w:szCs w:val="24"/>
        </w:rPr>
        <w:t> Konstytucji. Przepis ten w brzmieniu obowiązującym od 1 stycznia 1998 r. do 31 grudnia 2002 r. stanowił, że nie ulegają przedawnieniu zobowiązania podatkowe zabezpieczone hipoteką, jednakże po upływie terminu przedawnienia zobowiązania te mogą być egzekwowane tylko z przedmiotu hipoteki. Obecnie odpowiednikiem tego przepisu jest właśnie </w:t>
      </w:r>
      <w:hyperlink r:id="rId18" w:anchor="/document/16799056?unitId=art(70)par(8)&amp;cm=DOCUMENT" w:history="1">
        <w:r w:rsidRPr="009A3C86">
          <w:rPr>
            <w:rFonts w:ascii="Times New Roman" w:hAnsi="Times New Roman"/>
            <w:sz w:val="24"/>
            <w:szCs w:val="24"/>
          </w:rPr>
          <w:t>art. 70 § 8</w:t>
        </w:r>
      </w:hyperlink>
      <w:r w:rsidRPr="009A3C86">
        <w:rPr>
          <w:rFonts w:ascii="Times New Roman" w:hAnsi="Times New Roman"/>
          <w:sz w:val="24"/>
          <w:szCs w:val="24"/>
        </w:rPr>
        <w:t> o.p. W orzecznictwie ukształtował się pogląd, że brzmienie obu wskazanych przepisów oraz zawarte w uzasadnieniu wyroku Trybunału Konstytucyjnego konstatacje, uzasadniają wniosek, iż także - obowiązujący od dnia 1 stycznia 2003 r. - </w:t>
      </w:r>
      <w:hyperlink r:id="rId19" w:anchor="/document/16799056?unitId=art(70)par(8)&amp;cm=DOCUMENT" w:history="1">
        <w:r w:rsidRPr="009A3C86">
          <w:rPr>
            <w:rFonts w:ascii="Times New Roman" w:hAnsi="Times New Roman"/>
            <w:sz w:val="24"/>
            <w:szCs w:val="24"/>
          </w:rPr>
          <w:t>art. 70 § 8</w:t>
        </w:r>
      </w:hyperlink>
      <w:r w:rsidRPr="009A3C86">
        <w:rPr>
          <w:rFonts w:ascii="Times New Roman" w:hAnsi="Times New Roman"/>
          <w:sz w:val="24"/>
          <w:szCs w:val="24"/>
        </w:rPr>
        <w:t> o.p. nie spełnia standardów konstytucyjnych. W tej sytuacji więc dokonując wykładni </w:t>
      </w:r>
      <w:hyperlink r:id="rId20" w:anchor="/document/16799056?unitId=art(70)par(8)&amp;cm=DOCUMENT" w:history="1">
        <w:r w:rsidRPr="009A3C86">
          <w:rPr>
            <w:rFonts w:ascii="Times New Roman" w:hAnsi="Times New Roman"/>
            <w:sz w:val="24"/>
            <w:szCs w:val="24"/>
          </w:rPr>
          <w:t>art. 70 § 8</w:t>
        </w:r>
      </w:hyperlink>
      <w:r w:rsidRPr="009A3C86">
        <w:rPr>
          <w:rFonts w:ascii="Times New Roman" w:hAnsi="Times New Roman"/>
          <w:sz w:val="24"/>
          <w:szCs w:val="24"/>
        </w:rPr>
        <w:t> o.p. nie można poprzestać tylko na jego literalnym brzmieniu, jako niezgodnym z </w:t>
      </w:r>
      <w:hyperlink r:id="rId21" w:anchor="/document/16798613?unitId=art(64)ust(2)&amp;cm=DOCUMENT" w:history="1">
        <w:r w:rsidRPr="009A3C86">
          <w:rPr>
            <w:rFonts w:ascii="Times New Roman" w:hAnsi="Times New Roman"/>
            <w:sz w:val="24"/>
            <w:szCs w:val="24"/>
          </w:rPr>
          <w:t>art. 64 ust. 2</w:t>
        </w:r>
      </w:hyperlink>
      <w:r w:rsidRPr="009A3C86">
        <w:rPr>
          <w:rFonts w:ascii="Times New Roman" w:hAnsi="Times New Roman"/>
          <w:sz w:val="24"/>
          <w:szCs w:val="24"/>
        </w:rPr>
        <w:t> Konstytucji RP. Konieczne jest zatem dokonanie wykładni prokonstytucyjnej, która stanowi jedną z najważniejszych reguł wykładni systemowej</w:t>
      </w:r>
      <w:r w:rsidRPr="009A3C86">
        <w:rPr>
          <w:rFonts w:ascii="Times New Roman" w:hAnsi="Times New Roman"/>
          <w:sz w:val="24"/>
          <w:szCs w:val="24"/>
          <w:vertAlign w:val="superscript"/>
        </w:rPr>
        <w:footnoteReference w:id="252"/>
      </w:r>
      <w:r w:rsidRPr="009A3C86">
        <w:rPr>
          <w:rFonts w:ascii="Times New Roman" w:hAnsi="Times New Roman"/>
          <w:sz w:val="24"/>
          <w:szCs w:val="24"/>
        </w:rPr>
        <w:t>. W analizowanej sytuacji zachodzi bowiem tzw. oczywista niekonstytucyjność przepisu. Jak wskazał Naczelny Sąd Administracyjny w wyroku z dnia 18 grudnia 2013 r., sygn. akt </w:t>
      </w:r>
      <w:hyperlink r:id="rId22" w:anchor="/document/521622412?cm=DOCUMENT" w:history="1">
        <w:r w:rsidRPr="009A3C86">
          <w:rPr>
            <w:rFonts w:ascii="Times New Roman" w:hAnsi="Times New Roman"/>
            <w:sz w:val="24"/>
            <w:szCs w:val="24"/>
          </w:rPr>
          <w:t>I FSK 36/13</w:t>
        </w:r>
      </w:hyperlink>
      <w:r w:rsidRPr="009A3C86">
        <w:rPr>
          <w:rFonts w:ascii="Times New Roman" w:hAnsi="Times New Roman"/>
          <w:sz w:val="24"/>
          <w:szCs w:val="24"/>
        </w:rPr>
        <w:t> (Lex nr 1528716) sytuacja oczywistej niekonstytucyjności zachodzi wówczas, gdy porównywane przepisy ustawy i Konstytucji dotyczą regulacji tej samej materii i są ze sobą sprzeczne</w:t>
      </w:r>
      <w:r w:rsidRPr="009A3C86">
        <w:rPr>
          <w:rFonts w:ascii="Times New Roman" w:hAnsi="Times New Roman"/>
          <w:sz w:val="24"/>
          <w:szCs w:val="24"/>
          <w:vertAlign w:val="superscript"/>
        </w:rPr>
        <w:footnoteReference w:id="253"/>
      </w:r>
      <w:r w:rsidRPr="009A3C86">
        <w:rPr>
          <w:rFonts w:ascii="Times New Roman" w:hAnsi="Times New Roman"/>
          <w:sz w:val="24"/>
          <w:szCs w:val="24"/>
        </w:rPr>
        <w:t xml:space="preserve">. W orzecznictwie sądów administracyjnych wskazuje się także, że sprawa art. 70 § 8 o.p wydaje się prosta w odniesieniu do zobowiązań określonych w deklaracjach. Nawet te, które są zabezpieczone hipoteką, ulegają przedawnieniu na ogólnych zasadach z uwagi na „wtórną” niekonstytucyjność art. 70 § 8 o.p. „Wprawdzie stwierdzona niekonstytucyjność dotyczy art. </w:t>
      </w:r>
      <w:r w:rsidRPr="009A3C86">
        <w:rPr>
          <w:rFonts w:ascii="Times New Roman" w:hAnsi="Times New Roman"/>
          <w:sz w:val="24"/>
          <w:szCs w:val="24"/>
        </w:rPr>
        <w:lastRenderedPageBreak/>
        <w:t xml:space="preserve">70 § 6 o.p. w brzmieniu obowiązującym od 1 stycznia 1998 r. do 31 grudnia 2002 r., jednak analogiczna treść tego przepisu w obecnie obowiązującym art. 70 § 8 o.p. powoduje niekonstytucyjność wtórną tego ostatniego. Przepis oceniony jako niekonstytucyjny, nie może zostać uznany za zgodną z prawem podstawę rozstrzygnięcia spraw podatkowych oraz podstawę ich kontroli przez sądy administracyjne. Ponadto wskazuje się, że nie może stanowić podstawy prawnej wszczynania i kontynuowania postępowań podatkowych” (wyrok NSA z 29.08.2017 r., </w:t>
      </w:r>
      <w:hyperlink r:id="rId23" w:anchor="/jurisprudence/522465096/1/ii-fsk-2048-15-wtorna-niekonstytucyjnosc-przepisu-o-przedawnieniu-wyrok-naczelnego-sadu...?cm=URELATIONS" w:history="1">
        <w:r w:rsidRPr="009A3C86">
          <w:rPr>
            <w:rFonts w:ascii="Times New Roman" w:hAnsi="Times New Roman"/>
            <w:bCs/>
            <w:sz w:val="24"/>
            <w:szCs w:val="24"/>
          </w:rPr>
          <w:t>II FSK 2048/15,</w:t>
        </w:r>
      </w:hyperlink>
      <w:r w:rsidRPr="009A3C86">
        <w:rPr>
          <w:rFonts w:ascii="Times New Roman" w:hAnsi="Times New Roman"/>
          <w:sz w:val="24"/>
          <w:szCs w:val="24"/>
        </w:rPr>
        <w:t xml:space="preserve"> LEX nr 2371400). Zwraca się także uwagę, że „wtórna” niekonstytucyjność analizowanego przepisu nie stanowi podstawy do wzruszenia decyzji ostatecznych w trybie wznowienia postępowania. „Warunkiem koniecznym spełnienia przesłanki z art. 240 § 1 pkt 8 o.p. jest, by decyzja ostateczna została wydana na podstawie przepisu, o którego niezgodności z Konstytucją orzekł Trybunał Konstytucyjny. Nie wystarczy stwierdzenie przez Trybunał Konstytucyjny, że wprawdzie art. 70 § 8 o.p. nie był formalnie przedmiotem orzekania, lecz w sposób oczywisty mają do niego odpowiednie zastosowanie te same zastrzeżenia konstytucyjne, jakie zostały podniesione odnośnie do art. 70 § 6 o.p. Moc wiążącą ma tylko rozstrzygnięcie zawarte w sentencji wyroku Trybunału Konstytucyjnego, a nie w jego uzasadnieniu. Dla określenia przedmiotu oceny konstytucyjności dokonywanej przez Trybunał Konstytucyjny znaczenie ma to, co Trybunał zawarł w sentencji swojego orzeczenia” (wyrok NSA z 5.07.2017 r. </w:t>
      </w:r>
      <w:r w:rsidRPr="009A3C86">
        <w:rPr>
          <w:rFonts w:ascii="Times New Roman" w:hAnsi="Times New Roman"/>
          <w:bCs/>
          <w:sz w:val="24"/>
          <w:szCs w:val="24"/>
        </w:rPr>
        <w:t>II FSK 1674/15,</w:t>
      </w:r>
      <w:r w:rsidRPr="009A3C86">
        <w:rPr>
          <w:rFonts w:ascii="Times New Roman" w:hAnsi="Times New Roman"/>
          <w:sz w:val="24"/>
          <w:szCs w:val="24"/>
        </w:rPr>
        <w:t xml:space="preserve"> LEX nr 2346679). Sprawą </w:t>
      </w:r>
      <w:hyperlink r:id="rId24" w:anchor="/document/16799056?unitId=art(70)par(8)&amp;cm=DOCUMENT" w:history="1">
        <w:r w:rsidRPr="009A3C86">
          <w:rPr>
            <w:rFonts w:ascii="Times New Roman" w:hAnsi="Times New Roman"/>
            <w:sz w:val="24"/>
            <w:szCs w:val="24"/>
          </w:rPr>
          <w:t>art. 70 § 8</w:t>
        </w:r>
      </w:hyperlink>
      <w:r w:rsidRPr="009A3C86">
        <w:rPr>
          <w:rFonts w:ascii="Times New Roman" w:hAnsi="Times New Roman"/>
          <w:sz w:val="24"/>
          <w:szCs w:val="24"/>
        </w:rPr>
        <w:t> o.p. zajmował się również Sąd Najwyższy. W wyroku z 17.03.2016 r. (</w:t>
      </w:r>
      <w:hyperlink r:id="rId25" w:tooltip="orzeczenie SN V CSK 377/2015(2016-03-17)" w:history="1">
        <w:r w:rsidRPr="009A3C86">
          <w:rPr>
            <w:rFonts w:ascii="Times New Roman" w:hAnsi="Times New Roman"/>
            <w:sz w:val="24"/>
            <w:szCs w:val="24"/>
          </w:rPr>
          <w:t>V CSK 377/15</w:t>
        </w:r>
      </w:hyperlink>
      <w:r w:rsidRPr="009A3C86">
        <w:rPr>
          <w:rFonts w:ascii="Times New Roman" w:hAnsi="Times New Roman"/>
          <w:sz w:val="24"/>
          <w:szCs w:val="24"/>
        </w:rPr>
        <w:t xml:space="preserve">, LEX nr 2025769) SN, oddalając skargę Skarbu Państwa, stwierdził, że </w:t>
      </w:r>
      <w:hyperlink r:id="rId26" w:tooltip="Dz.U.2015.613(art(70)par(8))" w:history="1">
        <w:r w:rsidRPr="009A3C86">
          <w:rPr>
            <w:rFonts w:ascii="Times New Roman" w:hAnsi="Times New Roman"/>
            <w:sz w:val="24"/>
            <w:szCs w:val="24"/>
          </w:rPr>
          <w:t>art. 70 § 8</w:t>
        </w:r>
      </w:hyperlink>
      <w:r w:rsidRPr="009A3C86">
        <w:rPr>
          <w:rFonts w:ascii="Times New Roman" w:hAnsi="Times New Roman"/>
          <w:sz w:val="24"/>
          <w:szCs w:val="24"/>
        </w:rPr>
        <w:t xml:space="preserve"> o.p. powielał przepis </w:t>
      </w:r>
      <w:hyperlink r:id="rId27" w:tooltip="Dz.U.2015.613(art(70)par(6))(2002-12-30)" w:history="1">
        <w:r w:rsidRPr="009A3C86">
          <w:rPr>
            <w:rFonts w:ascii="Times New Roman" w:hAnsi="Times New Roman"/>
            <w:sz w:val="24"/>
            <w:szCs w:val="24"/>
          </w:rPr>
          <w:t>art. 70 § 6</w:t>
        </w:r>
      </w:hyperlink>
      <w:r w:rsidRPr="009A3C86">
        <w:rPr>
          <w:rFonts w:ascii="Times New Roman" w:hAnsi="Times New Roman"/>
          <w:sz w:val="24"/>
          <w:szCs w:val="24"/>
        </w:rPr>
        <w:t xml:space="preserve"> o.p. obowiązujący do 2002 r. Trybunał Konstytucyjny 8.10.2013 r. uznał wspomniany przepis ordynacji podatkowej za niezgodny z Konstytucją. Przyczyną uznania tego przepisu za niekonstytucyjny była nierówność podmiotów, które zyskują zabezpieczenie. Zdaniem Sądu Najwyższego z wyroku Trybunału wynika jednoznacznie, że przepis, na który powołał się powód, czyli Skarb Państwa, jest niekonstytucyjny, przestaje zatem wywierać skutki prawne i powinien być traktowany jako nieistniejący.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Przedstawione wyżej wywody wynikające z orzecznictwa administracyjnego jak i Sądu Najwyższego, potwierdzają, że przyjęte rozwiązanie w </w:t>
      </w:r>
      <w:hyperlink r:id="rId28" w:anchor="/document/16799056?unitId=art(70)par(8)&amp;cm=DOCUMENT" w:history="1">
        <w:r w:rsidRPr="009A3C86">
          <w:rPr>
            <w:rFonts w:ascii="Times New Roman" w:hAnsi="Times New Roman"/>
            <w:sz w:val="24"/>
            <w:szCs w:val="24"/>
          </w:rPr>
          <w:t>art. 70 § 8</w:t>
        </w:r>
      </w:hyperlink>
      <w:r w:rsidRPr="009A3C86">
        <w:rPr>
          <w:rFonts w:ascii="Times New Roman" w:hAnsi="Times New Roman"/>
          <w:sz w:val="24"/>
          <w:szCs w:val="24"/>
        </w:rPr>
        <w:t xml:space="preserve"> o.p. nie powinno być utrzymane w nowej ordynacji podatkowej. Nie zmieniają tego twierdzenia argumenty, podniesione w stanowisku wyrażonym przez Prokuratora Generalnego w wystąpieniu z dnia 30 stycznia 2017 r. znak PK VIII TK 40.2016 przekazanym do Trybunału Konstytucyjnego w sprawie o sygn. akt K 10/16, gdzie zaprezentowano pogląd o zgodności z Konstytucją przepisu art. 70 § 8 ustawy – Ordynacja podatkowa nie tylko ze względu na obowiązujący system prawa, </w:t>
      </w:r>
      <w:r w:rsidRPr="009A3C86">
        <w:rPr>
          <w:rFonts w:ascii="Times New Roman" w:hAnsi="Times New Roman"/>
          <w:sz w:val="24"/>
          <w:szCs w:val="24"/>
        </w:rPr>
        <w:lastRenderedPageBreak/>
        <w:t xml:space="preserve">lecz również ze względu na pozyskiwanie środków finansowych przez Skarb Państwa i samorządy.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Trudno jest także zaakceptować ewentualne twierdzenie, zgodnie z którym wprowadzone w nowej ordynacji podatkowej rozwiązania, czynią zabezpieczenie w postaci hipoteki przymusowej, czy zastawu skarbowego, iluzorycznym, albowiem przeprowadzenie egzekucji z nieruchomości w celu zaspokojenia wierzyciela hipotecznego jest czasochłonne. Należy podkreślić, że organ podatkowy zgodnie z art. 1</w:t>
      </w:r>
      <w:r w:rsidR="008A73AA" w:rsidRPr="009A3C86">
        <w:rPr>
          <w:rFonts w:ascii="Times New Roman" w:hAnsi="Times New Roman"/>
          <w:sz w:val="24"/>
          <w:szCs w:val="24"/>
        </w:rPr>
        <w:t>79</w:t>
      </w:r>
      <w:r w:rsidRPr="009A3C86">
        <w:rPr>
          <w:rFonts w:ascii="Times New Roman" w:hAnsi="Times New Roman"/>
          <w:sz w:val="24"/>
          <w:szCs w:val="24"/>
        </w:rPr>
        <w:t xml:space="preserve"> w zw. z art. 18</w:t>
      </w:r>
      <w:r w:rsidR="008A73AA" w:rsidRPr="009A3C86">
        <w:rPr>
          <w:rFonts w:ascii="Times New Roman" w:hAnsi="Times New Roman"/>
          <w:sz w:val="24"/>
          <w:szCs w:val="24"/>
        </w:rPr>
        <w:t>2</w:t>
      </w:r>
      <w:r w:rsidRPr="009A3C86">
        <w:rPr>
          <w:rFonts w:ascii="Times New Roman" w:hAnsi="Times New Roman"/>
          <w:sz w:val="24"/>
          <w:szCs w:val="24"/>
        </w:rPr>
        <w:t xml:space="preserve"> będzie dysponować co najmniej okresem 5 letnim okresem na egzekucję w ramach instytucji przedawnienia poboru. Okres ten w związku z instytucją zawieszenie biegu terminu przedawnienie poboru, spowodowaną m.in. ustanowieniem hipoteki czy zastawu skarbowego, może być maksymalnie przedłużona o kolejne 5 lat. Oznacza to, że organ podatkowy może mieć nawet 10 lat, aby wyegzekwować należny podatek. </w:t>
      </w:r>
    </w:p>
    <w:p w:rsidR="00326528" w:rsidRPr="009A3C86" w:rsidRDefault="00326528" w:rsidP="00326528">
      <w:pPr>
        <w:spacing w:after="0" w:line="360" w:lineRule="auto"/>
        <w:jc w:val="both"/>
        <w:rPr>
          <w:rFonts w:ascii="Times New Roman" w:eastAsia="MingLiU" w:hAnsi="Times New Roman"/>
          <w:sz w:val="24"/>
          <w:szCs w:val="24"/>
        </w:rPr>
      </w:pPr>
      <w:r w:rsidRPr="009A3C86">
        <w:rPr>
          <w:rFonts w:ascii="Times New Roman" w:hAnsi="Times New Roman"/>
          <w:sz w:val="24"/>
          <w:szCs w:val="24"/>
        </w:rPr>
        <w:t>W tym miejscu należy także zwrócić uwagę, że budzą wątpliwości, co do zgodności z Konstytucją RP, przepisy dotyczące przedmiotowej kwestii a zawarte w ustawie o księgach wieczystych i hipotece. Trybunał Konstytucyjny w listopadzie 2017 r. postanowił, że rozpozna skargę konstytucyjną dotyczącą art. 77 ww. ustawy. W skardze do TK zarzucono, że art. 77 ww. ustawy narusza konstytucyjną zasadę ochrony prawa własności (art. 64 ust. 2 konstytucji), ponieważ umożliwia prowadzenie egzekucji z nieruchomości, chociaż wierzyciel nie podjął w odpowiednim terminie działań zmierzających do wyegzekwowania przysługujących mu roszczeń. Ograniczenie prawa własności w tym przypadku nie może być uzasadnione ochroną praw wierzyciela, skoro ten przez długi czas tych praw nie dochodzi. Podnosi się także, że art. 77 narusza także zasadę równości, ponieważ różnicuje pozycję dłużników w zależności od sposobu zabezpieczenia. Ogranicza również uprawnienia dłużnika rzeczowego wynikające z art. 73 ww. ustawy, uniemożliwiając powoływanie się na zarzuty przysługujące dłużnikowi osobistemu.</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Wprowadzone w projekcie ustawy rozwiązania nie powinny wpłynąć na obniżenie dochodów Skarbu Państwa i jednostek samorządu terytorialnego. Obecnie Skarb Państwa ma zabezpieczonych rzeczowo wiele zobowiązań podatkowych. Część z tych kwot raczej nie zostanie jednak w praktyce ściągnięte. Zabezpieczenie ich, w formie hipotek przymusowych, ustanowiono bowiem najczęściej na nieruchomościach mieszkalnych. Egzekucja więc tych należności oznaczałaby pozbawienie wielu obywateli mieszkań, co z uwagi na aspekty społecznie, nie może wchodzić w grę, szczególnie gdyby podatnik miałby zostać pozbawiony jedynego, posiadanego przez niego mieszkania. Z tego też powodu, należy uznać, że obecne mechanizmy, powodujące, że należności podatkowe zabezpieczone hipoteką, gwarantują </w:t>
      </w:r>
      <w:r w:rsidRPr="009A3C86">
        <w:rPr>
          <w:rFonts w:ascii="Times New Roman" w:hAnsi="Times New Roman"/>
          <w:sz w:val="24"/>
          <w:szCs w:val="24"/>
        </w:rPr>
        <w:lastRenderedPageBreak/>
        <w:t xml:space="preserve">jedynie formalnie, że te dochody Skarbu Państwa są bez ograniczeń czasowych wykonalne. W praktyce jednak jest to rozwiązanie będące fikcją. Należności te w praktyce nie zostaną uzyskane z uwagi na ww. powody społeczne. Proponowane w nowej ordynacji podatkowej rozwiązanie ma na celu doprowadzenie do tego, aby ww. fikcji nie utrzymywać i wyeliminować, trwające w nieskończoność, zabezpieczenie należności podatkowych, które w praktyce nie mogą być wyegzekwowane. Ponadto rozwiązanie to uwolni, po przedawnieniu poboru, podatników od sytuacji, w której np. ich jedyne mieszkanie, byłoby na zawsze obciążone hipoteką przymusową. Wprowadzone rozwiązania będą także stymulować organy podatkowe do szybszego podejmowania czynności egzekucyjnych, tak aby w ramach przedawnienia poboru możliwe było wyegzekwowanie należności podatkowych, tam gdzie, z uwagi na aspekty społeczne, zostanie to uznane za zasadne, także tych które są zabezpieczone hipoteką przymusową czy zastawem skarbowym. Z drugiej strony projektowane rozwiązania nie muszą powodować konieczności bezwzględnego i szybkiego wszczynania egzekucji z nieruchomości, która w wielu przypadkach może prowadzić do pozbawienia podatnika i jego rodziny nieruchomości stanowiącej jedyny ośrodek życiowy (dom lub lokal mieszkalny), na co zwraca się uwagę, ze względów społecznych byłoby rozwiązaniem niepożądanym. Wprowadzane rozwiązanie bowiem daje organowi podatkowemu do 10 lat, o czym mowa wyżej, na żądanie od podatnika zapłaty podatku. Po tym okresie należności podatkowe będą wygasać, co w przypadku, gdy nie dojdzie do egzekucji, uwolni podatnika od ciężaru podatkowego. Mechanizm ten więc ze względów społecznych jest dla podatników korzystniejszy. Obecnie bowiem podatnicy, których majątek zabezpieczony jest hipoteką, w założeniu przynajmniej wynikającym z art. 70 § 8 o.p., będą zawsze dłużnikami.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art. 18</w:t>
      </w:r>
      <w:r w:rsidR="008A73AA" w:rsidRPr="009A3C86">
        <w:rPr>
          <w:rFonts w:ascii="Times New Roman" w:hAnsi="Times New Roman"/>
          <w:b/>
          <w:sz w:val="24"/>
          <w:szCs w:val="24"/>
        </w:rPr>
        <w:t>0</w:t>
      </w:r>
      <w:r w:rsidRPr="009A3C86">
        <w:rPr>
          <w:rFonts w:ascii="Times New Roman" w:hAnsi="Times New Roman"/>
          <w:b/>
          <w:sz w:val="24"/>
          <w:szCs w:val="24"/>
        </w:rPr>
        <w:t xml:space="preserve"> pkt 8</w:t>
      </w:r>
      <w:r w:rsidRPr="009A3C86">
        <w:rPr>
          <w:rFonts w:ascii="Times New Roman" w:hAnsi="Times New Roman"/>
          <w:sz w:val="24"/>
          <w:szCs w:val="24"/>
        </w:rPr>
        <w:t xml:space="preserve"> ogłoszenie upadłości zobowiązanego lub otwarcie postępowania restrukturyzacyjnego w rozumieniu ustawy z dnia 15 maja 2015 r. – Prawo restrukturyzacyjne, jest przesłanką, która powinna stanowić okoliczność powodującą zawieszenie biegu terminu przedawnienia poboru. Powoduje ona bowiem czasowe ograniczenie w realizacji należności podatkowych. Ogłoszenie upadłości nie powinno jednak powodować, iż bieg terminu przedawnienia biegnie od nowa, co jest charakterystyczne dla przerwania biegu terminu przedawnienia.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18</w:t>
      </w:r>
      <w:r w:rsidR="008A73AA" w:rsidRPr="009A3C86">
        <w:rPr>
          <w:rFonts w:ascii="Times New Roman" w:hAnsi="Times New Roman"/>
          <w:b/>
          <w:sz w:val="24"/>
          <w:szCs w:val="24"/>
        </w:rPr>
        <w:t>1</w:t>
      </w:r>
      <w:r w:rsidRPr="009A3C86">
        <w:rPr>
          <w:rFonts w:ascii="Times New Roman" w:hAnsi="Times New Roman"/>
          <w:sz w:val="24"/>
          <w:szCs w:val="24"/>
        </w:rPr>
        <w:t xml:space="preserve"> koresponduje bezpośrednio z art. 18</w:t>
      </w:r>
      <w:r w:rsidR="008A73AA" w:rsidRPr="009A3C86">
        <w:rPr>
          <w:rFonts w:ascii="Times New Roman" w:hAnsi="Times New Roman"/>
          <w:sz w:val="24"/>
          <w:szCs w:val="24"/>
        </w:rPr>
        <w:t>0</w:t>
      </w:r>
      <w:r w:rsidRPr="009A3C86">
        <w:rPr>
          <w:rFonts w:ascii="Times New Roman" w:hAnsi="Times New Roman"/>
          <w:sz w:val="24"/>
          <w:szCs w:val="24"/>
        </w:rPr>
        <w:t xml:space="preserve"> projektowanej ordynacji. Wskazano w nim okoliczności, których zaistnienie powoduje, iż bieg terminu przedawnienia poboru rozpoczyna się, a po zawieszeniu biegnie dalej. Zaistnienie tych okoliczności nie może jednak spowodować rozpoczęcia biegu terminu przedawnienia poboru wcześniej niż w dniu, w którym upłynął termin przedawnienia wymiaru.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4. Przepis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iż zawieszenie biegu terminu przedawnienia poboru może następować wielokrotnie, z tym że łączny okres zawieszenia biegu tego terminu nie może przekroczyć 5 lat. W przypadku upływu tego okresu termin przedawnienia poboru biegnie dalej od dnia następnego. Regulacja ta wprowadza maksymalny okres przedłużenia przedawnienia poboru na skutek zawieszenia biegu terminu przedawnienia poboru (szerzej zob. uzasadnienie do art. 1</w:t>
      </w:r>
      <w:r w:rsidR="0044194F" w:rsidRPr="009A3C86">
        <w:rPr>
          <w:rFonts w:ascii="Times New Roman" w:hAnsi="Times New Roman"/>
          <w:sz w:val="24"/>
          <w:szCs w:val="24"/>
        </w:rPr>
        <w:t>7</w:t>
      </w:r>
      <w:r w:rsidR="008A73AA" w:rsidRPr="009A3C86">
        <w:rPr>
          <w:rFonts w:ascii="Times New Roman" w:hAnsi="Times New Roman"/>
          <w:sz w:val="24"/>
          <w:szCs w:val="24"/>
        </w:rPr>
        <w:t>7</w:t>
      </w:r>
      <w:r w:rsidRPr="009A3C86">
        <w:rPr>
          <w:rFonts w:ascii="Times New Roman" w:hAnsi="Times New Roman"/>
          <w:sz w:val="24"/>
          <w:szCs w:val="24"/>
        </w:rPr>
        <w:t xml:space="preserve"> a także do art. 18</w:t>
      </w:r>
      <w:r w:rsidR="008A73AA" w:rsidRPr="009A3C86">
        <w:rPr>
          <w:rFonts w:ascii="Times New Roman" w:hAnsi="Times New Roman"/>
          <w:sz w:val="24"/>
          <w:szCs w:val="24"/>
        </w:rPr>
        <w:t>0</w:t>
      </w:r>
      <w:r w:rsidRPr="009A3C86">
        <w:rPr>
          <w:rFonts w:ascii="Times New Roman" w:hAnsi="Times New Roman"/>
          <w:sz w:val="24"/>
          <w:szCs w:val="24"/>
        </w:rPr>
        <w:t xml:space="preserve"> pkt 7). Uzasadniając wprowadzenie okresu maksymalnego wydłużenia okresu przedawnienia poboru, należy wskazać, że z uzyskanych z MF danych statystycznych</w:t>
      </w:r>
      <w:r w:rsidRPr="009A3C86">
        <w:rPr>
          <w:rFonts w:ascii="Times New Roman" w:hAnsi="Times New Roman"/>
          <w:sz w:val="24"/>
          <w:szCs w:val="24"/>
          <w:vertAlign w:val="superscript"/>
        </w:rPr>
        <w:footnoteReference w:id="254"/>
      </w:r>
      <w:r w:rsidRPr="009A3C86">
        <w:rPr>
          <w:rFonts w:ascii="Times New Roman" w:hAnsi="Times New Roman"/>
          <w:sz w:val="24"/>
          <w:szCs w:val="24"/>
        </w:rPr>
        <w:t xml:space="preserve"> wynika, że średni okres postępowania upadłościowego trwa prawie 2 lata. W przypadku rozłożenia na raty średni okres trwa 4 miesiące, a w sytuacji zabezpieczenia dobrowolnego lub egzekucyjnego okres ten trwa prawie 8 miesięcy. Oznacza to, że w przypadku kumulacji tych przesłanek średnio trzy lata będzie trwał okres, w którym organ będzie pozbawiony możliwości podejmowania czynności egzekucyjnych wobec wymagalnych należności podatkowych. W konsekwencji brak w ordynacji podatkowej mechanizmu wydłużającego okres przedawnienia poboru oznaczałby, że organy podatkowe miałyby jedynie dwa lata na podejmowanie czynności egzekucyjnych. Okres ten w praktyce mógłby być jeszcze krótszy, wziąwszy pod uwagę, że podane wyżej dane dotyczą średniego okresu trwania zdarzeń, co oznacza, że zdarzają się przypadki, gdy trwają one znacznie dłużej. Biorąc to pod uwagę, a także wprowadzenie rozwiązania dotyczącego hipoteki i zastawu, po ustanowieniu których, co do zasady, nie będzie prowadzona egzekucja, zasadne jest wprowadzenie 5-letniego okresu wydłużającego okres przedawnienia poboru.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wskazuje się także moment, w którym rozpocznie dalszy bieg termin przedawnienia poboru po jego zawieszeniu trwającym 5 lat. W takim przypadku przedawnienie to biegnie dalej od dnia następnego. Regulacja ta jest istotna, gdyż w przeciwnym wypadku istniałaby wątpliwość co do tego, kiedy następuje rozpoczęcie biegu terminu przedawnienia poboru, po upływie maksymalnego 5-letniego okresu zawieszenia biegu przedawnienia poboru, o którym mowa w § 1.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b/>
          <w:sz w:val="24"/>
          <w:szCs w:val="24"/>
        </w:rPr>
        <w:t xml:space="preserve"> § 2</w:t>
      </w:r>
      <w:r w:rsidRPr="009A3C86">
        <w:rPr>
          <w:rFonts w:ascii="Times New Roman" w:hAnsi="Times New Roman"/>
          <w:sz w:val="24"/>
          <w:szCs w:val="24"/>
        </w:rPr>
        <w:t xml:space="preserve"> jest niezbędny z uwagi na fakt, iż trzy okoliczności są rozpoznawalne zarówno na etapie przedawnienia wymiaru (art. 1</w:t>
      </w:r>
      <w:r w:rsidR="0044194F" w:rsidRPr="009A3C86">
        <w:rPr>
          <w:rFonts w:ascii="Times New Roman" w:hAnsi="Times New Roman"/>
          <w:sz w:val="24"/>
          <w:szCs w:val="24"/>
        </w:rPr>
        <w:t>7</w:t>
      </w:r>
      <w:r w:rsidR="008A73AA" w:rsidRPr="009A3C86">
        <w:rPr>
          <w:rFonts w:ascii="Times New Roman" w:hAnsi="Times New Roman"/>
          <w:sz w:val="24"/>
          <w:szCs w:val="24"/>
        </w:rPr>
        <w:t>5</w:t>
      </w:r>
      <w:r w:rsidRPr="009A3C86">
        <w:rPr>
          <w:rFonts w:ascii="Times New Roman" w:hAnsi="Times New Roman"/>
          <w:sz w:val="24"/>
          <w:szCs w:val="24"/>
        </w:rPr>
        <w:t xml:space="preserve"> pkt 1-3), jak przedawnienia poboru (art. 18</w:t>
      </w:r>
      <w:r w:rsidR="008A73AA" w:rsidRPr="009A3C86">
        <w:rPr>
          <w:rFonts w:ascii="Times New Roman" w:hAnsi="Times New Roman"/>
          <w:sz w:val="24"/>
          <w:szCs w:val="24"/>
        </w:rPr>
        <w:t>0</w:t>
      </w:r>
      <w:r w:rsidRPr="009A3C86">
        <w:rPr>
          <w:rFonts w:ascii="Times New Roman" w:hAnsi="Times New Roman"/>
          <w:sz w:val="24"/>
          <w:szCs w:val="24"/>
        </w:rPr>
        <w:t xml:space="preserve"> pkt 1-3). Dotyczy to: śmierci zobowiązanego, śmierci przedstawiciela ustawowego zobowiązanego, a także utraty przez zobowiązanego lub jego przedstawiciela ustawowego </w:t>
      </w:r>
      <w:r w:rsidRPr="009A3C86">
        <w:rPr>
          <w:rFonts w:ascii="Times New Roman" w:hAnsi="Times New Roman"/>
          <w:sz w:val="24"/>
          <w:szCs w:val="24"/>
        </w:rPr>
        <w:lastRenderedPageBreak/>
        <w:t>zdolności do czynności prawnych. Z tego powodu należy uregulować sytuację, gdy zdarzenia te wystąpią w trakcie przedawnienia wymiaru, ale gdy ich konsekwencje opisane w art. 1</w:t>
      </w:r>
      <w:r w:rsidR="0044194F" w:rsidRPr="009A3C86">
        <w:rPr>
          <w:rFonts w:ascii="Times New Roman" w:hAnsi="Times New Roman"/>
          <w:sz w:val="24"/>
          <w:szCs w:val="24"/>
        </w:rPr>
        <w:t>7</w:t>
      </w:r>
      <w:r w:rsidR="008A73AA" w:rsidRPr="009A3C86">
        <w:rPr>
          <w:rFonts w:ascii="Times New Roman" w:hAnsi="Times New Roman"/>
          <w:sz w:val="24"/>
          <w:szCs w:val="24"/>
        </w:rPr>
        <w:t>6</w:t>
      </w:r>
      <w:r w:rsidRPr="009A3C86">
        <w:rPr>
          <w:rFonts w:ascii="Times New Roman" w:hAnsi="Times New Roman"/>
          <w:sz w:val="24"/>
          <w:szCs w:val="24"/>
        </w:rPr>
        <w:t xml:space="preserve"> pkt 1-3 i art. 18</w:t>
      </w:r>
      <w:r w:rsidR="008A73AA" w:rsidRPr="009A3C86">
        <w:rPr>
          <w:rFonts w:ascii="Times New Roman" w:hAnsi="Times New Roman"/>
          <w:sz w:val="24"/>
          <w:szCs w:val="24"/>
        </w:rPr>
        <w:t>1</w:t>
      </w:r>
      <w:r w:rsidRPr="009A3C86">
        <w:rPr>
          <w:rFonts w:ascii="Times New Roman" w:hAnsi="Times New Roman"/>
          <w:sz w:val="24"/>
          <w:szCs w:val="24"/>
        </w:rPr>
        <w:t xml:space="preserve"> pkt 1-3 wystąpią już po rozpoczęciu biegu terminu przedawnienia poboru. Kwestia ta jest uregulowana w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b/>
          <w:sz w:val="24"/>
          <w:szCs w:val="24"/>
        </w:rPr>
        <w:t xml:space="preserve"> § 2 pkt 1</w:t>
      </w:r>
      <w:r w:rsidRPr="009A3C86">
        <w:rPr>
          <w:rFonts w:ascii="Times New Roman" w:hAnsi="Times New Roman"/>
          <w:sz w:val="24"/>
          <w:szCs w:val="24"/>
        </w:rPr>
        <w:t>. Pozostałe okoliczności mające wpływ na bieg okresu przedawnienia poboru przedstawione w art. 18</w:t>
      </w:r>
      <w:r w:rsidR="008A73AA" w:rsidRPr="009A3C86">
        <w:rPr>
          <w:rFonts w:ascii="Times New Roman" w:hAnsi="Times New Roman"/>
          <w:sz w:val="24"/>
          <w:szCs w:val="24"/>
        </w:rPr>
        <w:t>1</w:t>
      </w:r>
      <w:r w:rsidRPr="009A3C86">
        <w:rPr>
          <w:rFonts w:ascii="Times New Roman" w:hAnsi="Times New Roman"/>
          <w:sz w:val="24"/>
          <w:szCs w:val="24"/>
        </w:rPr>
        <w:t xml:space="preserve"> pkt 4-8 nie mają wpływu na bieg terminu przedawnienia wymiaru. Mogą one jednak wystąpić w trakcie biegu tego terminu, kwestia ta jest uregulowana w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b/>
          <w:sz w:val="24"/>
          <w:szCs w:val="24"/>
        </w:rPr>
        <w:t xml:space="preserve"> § 2 pkt 2</w:t>
      </w:r>
      <w:r w:rsidRPr="009A3C86">
        <w:rPr>
          <w:rFonts w:ascii="Times New Roman" w:hAnsi="Times New Roman"/>
          <w:sz w:val="24"/>
          <w:szCs w:val="24"/>
        </w:rPr>
        <w:t>. Jeśli okoliczności te zaistnieją, będzie to miało wpływ na ograniczenie 5-letniego terminu, o którym mowa w art. 18</w:t>
      </w:r>
      <w:r w:rsidR="008A73AA" w:rsidRPr="009A3C86">
        <w:rPr>
          <w:rFonts w:ascii="Times New Roman" w:hAnsi="Times New Roman"/>
          <w:sz w:val="24"/>
          <w:szCs w:val="24"/>
        </w:rPr>
        <w:t>2</w:t>
      </w:r>
      <w:r w:rsidRPr="009A3C86">
        <w:rPr>
          <w:rFonts w:ascii="Times New Roman" w:hAnsi="Times New Roman"/>
          <w:sz w:val="24"/>
          <w:szCs w:val="24"/>
        </w:rPr>
        <w:t xml:space="preserve"> § 1. Trudno byłoby uzasadnić różne traktowanie tych okoliczności w zależności od tego, kiedy zaistnieją, tj. przed czy po rozpoczęciu biegu terminu przedawnienia poboru. Takie zróżnicowanie nie byłoby uzasadnione, tym bardziej że to organ podatkowy ma wpływ na zaistnienie tych okoliczności, np. składając w określonym momencie wniosek o ustanowienie hipoteki, czy przyznając ulgę w spłacie polegającą na rozłożeniu zaległości podatkowych na raty, czy odroczeniu terminu płatności tej należności. Jeżeli więc w trakcie biegu terminu przedawniania wymiaru organ podatkowy np. odroczy termin zapłaty zaległości na dwa lata, będzie to miało wpływ z jednej strony na późniejsze rozpoczęcie biegu terminu przedawniania poboru (art. 18</w:t>
      </w:r>
      <w:r w:rsidR="008A73AA" w:rsidRPr="009A3C86">
        <w:rPr>
          <w:rFonts w:ascii="Times New Roman" w:hAnsi="Times New Roman"/>
          <w:sz w:val="24"/>
          <w:szCs w:val="24"/>
        </w:rPr>
        <w:t>0</w:t>
      </w:r>
      <w:r w:rsidRPr="009A3C86">
        <w:rPr>
          <w:rFonts w:ascii="Times New Roman" w:hAnsi="Times New Roman"/>
          <w:sz w:val="24"/>
          <w:szCs w:val="24"/>
        </w:rPr>
        <w:t xml:space="preserve"> pkt 4). Z drugiej strony okres, w którym później rozpocznie bieg termin tego przedawniania, nie będzie mógł być oddalony w czasie o więcej niż 5 lat (art. 18</w:t>
      </w:r>
      <w:r w:rsidR="008A73AA" w:rsidRPr="009A3C86">
        <w:rPr>
          <w:rFonts w:ascii="Times New Roman" w:hAnsi="Times New Roman"/>
          <w:sz w:val="24"/>
          <w:szCs w:val="24"/>
        </w:rPr>
        <w:t>2</w:t>
      </w:r>
      <w:r w:rsidRPr="009A3C86">
        <w:rPr>
          <w:rFonts w:ascii="Times New Roman" w:hAnsi="Times New Roman"/>
          <w:sz w:val="24"/>
          <w:szCs w:val="24"/>
        </w:rPr>
        <w:t xml:space="preserve"> § 2 w zw. z § 1). W końcu okres, na który odroczony zostanie termin płatności zaległości, skróci okres maksymalnego zawieszenia biegu terminu przedawniania  poboru (art. 18</w:t>
      </w:r>
      <w:r w:rsidR="008A73AA" w:rsidRPr="009A3C86">
        <w:rPr>
          <w:rFonts w:ascii="Times New Roman" w:hAnsi="Times New Roman"/>
          <w:sz w:val="24"/>
          <w:szCs w:val="24"/>
        </w:rPr>
        <w:t>2</w:t>
      </w:r>
      <w:r w:rsidRPr="009A3C86">
        <w:rPr>
          <w:rFonts w:ascii="Times New Roman" w:hAnsi="Times New Roman"/>
          <w:sz w:val="24"/>
          <w:szCs w:val="24"/>
        </w:rPr>
        <w:t xml:space="preserve"> § 1 w zw. z § 2).</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 przepisu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b/>
          <w:sz w:val="24"/>
          <w:szCs w:val="24"/>
        </w:rPr>
        <w:t xml:space="preserve"> § 3</w:t>
      </w:r>
      <w:r w:rsidRPr="009A3C86">
        <w:rPr>
          <w:rFonts w:ascii="Times New Roman" w:hAnsi="Times New Roman"/>
          <w:sz w:val="24"/>
          <w:szCs w:val="24"/>
        </w:rPr>
        <w:t xml:space="preserve"> wynika, że 5-letni limit zawieszenia biegu terminu przedawnienia poboru nie dotyczy przypadku gdy zawieszenie to nastąpi w związku ogłoszeniem upadłości zobowiązanego, otwarcia postępowania restrukturyzacyjnego lub wydania postanowienia o zatwierdzeniu układu w postępowaniu o zatwierdzenie układu w rozumieniu ustawy z dnia 15 maja 2015 r. – Prawo restrukturyzacyjne. Brak tego rozwiązania mogłoby skutkować m.in. możliwością nadużycia postępowania ze strony innych wierzycieli uczestniczących w postępowaniu upadłościowym, którzy będąc zainteresowanymi w wyeliminowaniu z uczestnictwa w podziale sumy upadłościowej organu podatkowego, mogą to postępowanie celowo przedłużać. Dodać przy tym należy, że co prawda, z uzyskanych z MF danych statystycznych</w:t>
      </w:r>
      <w:r w:rsidRPr="009A3C86">
        <w:rPr>
          <w:rFonts w:ascii="Times New Roman" w:hAnsi="Times New Roman"/>
          <w:sz w:val="24"/>
          <w:szCs w:val="24"/>
          <w:vertAlign w:val="superscript"/>
        </w:rPr>
        <w:footnoteReference w:id="255"/>
      </w:r>
      <w:r w:rsidRPr="009A3C86">
        <w:rPr>
          <w:rFonts w:ascii="Times New Roman" w:hAnsi="Times New Roman"/>
          <w:sz w:val="24"/>
          <w:szCs w:val="24"/>
        </w:rPr>
        <w:t xml:space="preserve"> wynika, że średni okres postępowania upadłościowego trwa prawie 2 lata, to </w:t>
      </w:r>
      <w:r w:rsidRPr="009A3C86">
        <w:rPr>
          <w:rFonts w:ascii="Times New Roman" w:hAnsi="Times New Roman"/>
          <w:sz w:val="24"/>
          <w:szCs w:val="24"/>
        </w:rPr>
        <w:lastRenderedPageBreak/>
        <w:t xml:space="preserve">w praktyce zdarzają się przypadki, w których postępowanie to trwa znacznie dłużej. W takich sytuacjach, bez wprowadzenia regulacji zawartej w </w:t>
      </w:r>
      <w:r w:rsidRPr="009A3C86">
        <w:rPr>
          <w:rFonts w:ascii="Times New Roman" w:hAnsi="Times New Roman"/>
          <w:b/>
          <w:sz w:val="24"/>
          <w:szCs w:val="24"/>
        </w:rPr>
        <w:t>art. 18</w:t>
      </w:r>
      <w:r w:rsidR="008A73AA" w:rsidRPr="009A3C86">
        <w:rPr>
          <w:rFonts w:ascii="Times New Roman" w:hAnsi="Times New Roman"/>
          <w:b/>
          <w:sz w:val="24"/>
          <w:szCs w:val="24"/>
        </w:rPr>
        <w:t>2</w:t>
      </w:r>
      <w:r w:rsidRPr="009A3C86">
        <w:rPr>
          <w:rFonts w:ascii="Times New Roman" w:hAnsi="Times New Roman"/>
          <w:b/>
          <w:sz w:val="24"/>
          <w:szCs w:val="24"/>
        </w:rPr>
        <w:t xml:space="preserve"> § 3</w:t>
      </w:r>
      <w:r w:rsidRPr="009A3C86">
        <w:rPr>
          <w:rFonts w:ascii="Times New Roman" w:hAnsi="Times New Roman"/>
          <w:sz w:val="24"/>
          <w:szCs w:val="24"/>
        </w:rPr>
        <w:t>, często nie byłoby możliwości prowadzenia egzekucji od podmiotu po uprawomocnieniu się postanowienia o zakończeniu lub umorzeniu postępowania upadłościowego albo uprawomocnienia się postanowienia o zatwierdzeniu układu albo o odmowie zatwierdzenia układu albo w przedmiocie umorzenia postępowania restrukturyzacyjnego w rozumieniu ustawy z dnia 15 maja 2015 r. – Prawo restrukturyzacyjne. Ponadto w przypadku podatnika, wobec którego prowadzone jest postępowanie upadłościowe trudno też jest przyjąć, że zawieszenie przedawnienia poboru na cały okres tego postępowania stoi w sprzeczności z prawem do stabilizacji stosunków prawnych przez przedawnienie</w:t>
      </w:r>
      <w:r w:rsidR="0044194F" w:rsidRPr="009A3C86">
        <w:rPr>
          <w:rFonts w:ascii="Times New Roman" w:hAnsi="Times New Roman"/>
          <w:sz w:val="24"/>
          <w:szCs w:val="24"/>
        </w:rPr>
        <w:t>.</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art. 18</w:t>
      </w:r>
      <w:r w:rsidR="008A73AA" w:rsidRPr="009A3C86">
        <w:rPr>
          <w:rFonts w:ascii="Times New Roman" w:hAnsi="Times New Roman"/>
          <w:b/>
          <w:sz w:val="24"/>
          <w:szCs w:val="24"/>
        </w:rPr>
        <w:t>3</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że bieg terminu przedawnienia poboru przerywa zastosowanie pierwszego środka egzekucyjnego, o ile zobowiązanemu, w rozumieniu ustawy z dnia 17 czerwca 1966 r. o postępowaniu egzekucyjnym w administracji (Dz. U. z 2017 r. poz. 1201 z późn. zm.), przed upływem tego terminu doręczono zawiadomienie o jego zastosowaniu. Po przerwaniu biegu terminu przedawnienia poboru biegnie on na nowo od dnia, w którym zastosowano pierwszy środek egzekucyjny. Mechanizm taki funkcjonuje obecnie i nie jest kwestionowany. Przepis </w:t>
      </w:r>
      <w:r w:rsidRPr="009A3C86">
        <w:rPr>
          <w:rFonts w:ascii="Times New Roman" w:hAnsi="Times New Roman"/>
          <w:b/>
          <w:sz w:val="24"/>
          <w:szCs w:val="24"/>
        </w:rPr>
        <w:t>art. 18</w:t>
      </w:r>
      <w:r w:rsidR="008A73AA" w:rsidRPr="009A3C86">
        <w:rPr>
          <w:rFonts w:ascii="Times New Roman" w:hAnsi="Times New Roman"/>
          <w:b/>
          <w:sz w:val="24"/>
          <w:szCs w:val="24"/>
        </w:rPr>
        <w:t>3</w:t>
      </w:r>
      <w:r w:rsidRPr="009A3C86">
        <w:rPr>
          <w:rFonts w:ascii="Times New Roman" w:hAnsi="Times New Roman"/>
          <w:b/>
          <w:sz w:val="24"/>
          <w:szCs w:val="24"/>
        </w:rPr>
        <w:t xml:space="preserve"> § 1</w:t>
      </w:r>
      <w:r w:rsidRPr="009A3C86">
        <w:rPr>
          <w:rFonts w:ascii="Times New Roman" w:hAnsi="Times New Roman"/>
          <w:sz w:val="24"/>
          <w:szCs w:val="24"/>
        </w:rPr>
        <w:t xml:space="preserve"> stanowi zmodyfikowany art. 70 § 4 o.p. Po przerwaniu biegu terminu przedawnienia biegnie on na nowo od dnia następującego po dniu, w którym zastosowano środek egzekucyjny. W art. 18</w:t>
      </w:r>
      <w:r w:rsidR="008A73AA" w:rsidRPr="009A3C86">
        <w:rPr>
          <w:rFonts w:ascii="Times New Roman" w:hAnsi="Times New Roman"/>
          <w:sz w:val="24"/>
          <w:szCs w:val="24"/>
        </w:rPr>
        <w:t>3</w:t>
      </w:r>
      <w:r w:rsidRPr="009A3C86">
        <w:rPr>
          <w:rFonts w:ascii="Times New Roman" w:hAnsi="Times New Roman"/>
          <w:sz w:val="24"/>
          <w:szCs w:val="24"/>
        </w:rPr>
        <w:t xml:space="preserve"> § 1 wprowadzono mechanizm, zgodnie z którym przedawnienie poboru może nastąpić wyłącznie jeden raz, a także iż jedynie zastosowanie pierwszego środka egzekucyjnego prowadzi do tego skutku. Nie będzie zatem powodowało przerwania biegu terminu przedawniania poboru zastosowanie drugiego i kolejnego środka egzekucyjnego. W konsekwencji będzie to eliminowało sytuację, obecnie występującą, w której można praktycznie w nieskończoność przedłużać okres wymagalności podatku. Z drugiej strony przepis ten nie wprowadza ograniczeń dotyczących możliwości dokonania wielu czynności egzekucyjnych, które jednak nie będą powodowały skutku w postaci przerwania biegu terminu przedawnienia poboru.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art. 18</w:t>
      </w:r>
      <w:r w:rsidR="008A73AA" w:rsidRPr="009A3C86">
        <w:rPr>
          <w:rFonts w:ascii="Times New Roman" w:hAnsi="Times New Roman"/>
          <w:b/>
          <w:sz w:val="24"/>
          <w:szCs w:val="24"/>
        </w:rPr>
        <w:t>3</w:t>
      </w:r>
      <w:r w:rsidRPr="009A3C86">
        <w:rPr>
          <w:rFonts w:ascii="Times New Roman" w:hAnsi="Times New Roman"/>
          <w:b/>
          <w:sz w:val="24"/>
          <w:szCs w:val="24"/>
        </w:rPr>
        <w:t xml:space="preserve"> § 2</w:t>
      </w:r>
      <w:r w:rsidRPr="009A3C86">
        <w:rPr>
          <w:rFonts w:ascii="Times New Roman" w:hAnsi="Times New Roman"/>
          <w:sz w:val="24"/>
          <w:szCs w:val="24"/>
        </w:rPr>
        <w:t xml:space="preserve"> wskazuje się, że biegu terminu przedawnienia poboru nie przerywa zastosowanie środka egzekucyjnego, jeżeli środek ten został zastosowany przed rozpoczęciem biegu terminu przedawnienia poboru lub w trakcie zawieszenia biegu terminu przedawnienia poboru. Regulacja ta kształtuje relacje między zawieszeniem i przerwaniem biegu terminu przedawnienia poboru, której brak jest w obecnie obowiązujących unormowaniach dotyczących przedawnienia zobowiązania podatkowego. Regulacja ta ma także na celu podkreślenie, iż przerwanie biegu terminu przedawnienia poboru nie może nastąpić w trakcie </w:t>
      </w:r>
      <w:r w:rsidRPr="009A3C86">
        <w:rPr>
          <w:rFonts w:ascii="Times New Roman" w:hAnsi="Times New Roman"/>
          <w:sz w:val="24"/>
          <w:szCs w:val="24"/>
        </w:rPr>
        <w:lastRenderedPageBreak/>
        <w:t xml:space="preserve">biegu przedawnienia wymiaru, czyli przed rozpoczęciem przedawnienia poboru. Przepis ten nie wprowadza przy tym ograniczeń dotyczących możliwości zastosowania czynności egzekucyjnych w okresie przedawnienia wymiaru, czy w trakcie zawieszenia biegu terminu przedawnienia wymiaru. W tych jednak przypadkach zdarzenia te nie będą prowadziły do przerwania biegu terminu przedawniania poboru.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Przepisy </w:t>
      </w:r>
      <w:r w:rsidRPr="009A3C86">
        <w:rPr>
          <w:rFonts w:ascii="Times New Roman" w:hAnsi="Times New Roman"/>
          <w:b/>
          <w:sz w:val="24"/>
          <w:szCs w:val="24"/>
        </w:rPr>
        <w:t>art. 18</w:t>
      </w:r>
      <w:r w:rsidR="008A73AA" w:rsidRPr="009A3C86">
        <w:rPr>
          <w:rFonts w:ascii="Times New Roman" w:hAnsi="Times New Roman"/>
          <w:b/>
          <w:sz w:val="24"/>
          <w:szCs w:val="24"/>
        </w:rPr>
        <w:t>3</w:t>
      </w:r>
      <w:r w:rsidRPr="009A3C86">
        <w:rPr>
          <w:rFonts w:ascii="Times New Roman" w:hAnsi="Times New Roman"/>
          <w:b/>
          <w:sz w:val="24"/>
          <w:szCs w:val="24"/>
        </w:rPr>
        <w:t xml:space="preserve"> § 3 i 4</w:t>
      </w:r>
      <w:r w:rsidRPr="009A3C86">
        <w:rPr>
          <w:rFonts w:ascii="Times New Roman" w:hAnsi="Times New Roman"/>
          <w:sz w:val="24"/>
          <w:szCs w:val="24"/>
        </w:rPr>
        <w:t xml:space="preserve"> stanowią, iż bieg terminu przedawnienia poboru nie ulega przerwaniu w przypadku, gdy środek egzekucyjny został zastosowany na podstawie wadliwej decyzji wymiarowej lub wadliwego postanowienia w sprawie nadania rygoru natychmiastowej wykonalności. W takim przypadku nie będzie skutku w postaci przerwania biegu terminu przedawnienia poboru, jeżeli środek egzekucyjny został zastosowany na podstawie decyzji wymiarowej lub postanowienia w sprawie nadania rygoru natychmiastowej wykonalności, jeśli stwierdzono nieważność albo zmieniono lub uchylono tę decyzję lub ww. postanowienie z przyczyn wskazanych w art. 4</w:t>
      </w:r>
      <w:r w:rsidR="003A6463" w:rsidRPr="009A3C86">
        <w:rPr>
          <w:rFonts w:ascii="Times New Roman" w:hAnsi="Times New Roman"/>
          <w:sz w:val="24"/>
          <w:szCs w:val="24"/>
        </w:rPr>
        <w:t>94</w:t>
      </w:r>
      <w:r w:rsidRPr="009A3C86">
        <w:rPr>
          <w:rFonts w:ascii="Times New Roman" w:hAnsi="Times New Roman"/>
          <w:sz w:val="24"/>
          <w:szCs w:val="24"/>
        </w:rPr>
        <w:t xml:space="preserve"> albo w art. </w:t>
      </w:r>
      <w:r w:rsidRPr="009A3C86">
        <w:rPr>
          <w:rFonts w:ascii="Times New Roman" w:hAnsi="Times New Roman"/>
          <w:bCs/>
          <w:sz w:val="24"/>
          <w:szCs w:val="24"/>
        </w:rPr>
        <w:t>4</w:t>
      </w:r>
      <w:r w:rsidR="003A6463" w:rsidRPr="009A3C86">
        <w:rPr>
          <w:rFonts w:ascii="Times New Roman" w:hAnsi="Times New Roman"/>
          <w:bCs/>
          <w:sz w:val="24"/>
          <w:szCs w:val="24"/>
        </w:rPr>
        <w:t>88</w:t>
      </w:r>
      <w:r w:rsidRPr="009A3C86">
        <w:rPr>
          <w:rFonts w:ascii="Times New Roman" w:hAnsi="Times New Roman"/>
          <w:b/>
          <w:sz w:val="24"/>
          <w:szCs w:val="24"/>
        </w:rPr>
        <w:t> </w:t>
      </w:r>
      <w:r w:rsidRPr="009A3C86">
        <w:rPr>
          <w:rFonts w:ascii="Times New Roman" w:hAnsi="Times New Roman"/>
          <w:sz w:val="24"/>
          <w:szCs w:val="24"/>
        </w:rPr>
        <w:t>§ 1, z tym że jedynie w okolicznościach wskazanych w art. 18</w:t>
      </w:r>
      <w:r w:rsidR="003A6463" w:rsidRPr="009A3C86">
        <w:rPr>
          <w:rFonts w:ascii="Times New Roman" w:hAnsi="Times New Roman"/>
          <w:sz w:val="24"/>
          <w:szCs w:val="24"/>
        </w:rPr>
        <w:t>3</w:t>
      </w:r>
      <w:r w:rsidRPr="009A3C86">
        <w:rPr>
          <w:rFonts w:ascii="Times New Roman" w:hAnsi="Times New Roman"/>
          <w:sz w:val="24"/>
          <w:szCs w:val="24"/>
        </w:rPr>
        <w:t xml:space="preserve"> § 3. Oznacza to, że nie dojdzie do przerwania biegu terminu przedawnienia w każdym przypadku zastosowania środka egzekucyjnego na podstawie wadliwej decyzji lub postanowienia, ale jedynie gdy ich wadliwość zostanie potwierdzona poprzez stwierdzenie nieważności lub uchylenie tych rozstrzygnięć czy ich zmianę na podstawie okoliczności stanowiących podstawę do stwierdzenia nieważności decyzji. Przerwanie biegu terminu przedawnienia nie nastąpi także w przypadku zastosowania środka egzekucyjnego na podstawie decyzji lub postanowienia, które zostanie uchylone lub zmienione na podstawie przesłanek wznowienia postępowania, o których mowa w</w:t>
      </w:r>
      <w:r w:rsidRPr="009A3C86">
        <w:rPr>
          <w:rFonts w:ascii="Times New Roman" w:hAnsi="Times New Roman"/>
          <w:bCs/>
          <w:sz w:val="24"/>
          <w:szCs w:val="24"/>
        </w:rPr>
        <w:t xml:space="preserve"> art. 4</w:t>
      </w:r>
      <w:r w:rsidR="003A6463" w:rsidRPr="009A3C86">
        <w:rPr>
          <w:rFonts w:ascii="Times New Roman" w:hAnsi="Times New Roman"/>
          <w:bCs/>
          <w:sz w:val="24"/>
          <w:szCs w:val="24"/>
        </w:rPr>
        <w:t>88</w:t>
      </w:r>
      <w:r w:rsidRPr="009A3C86">
        <w:rPr>
          <w:rFonts w:ascii="Times New Roman" w:hAnsi="Times New Roman"/>
          <w:b/>
          <w:sz w:val="24"/>
          <w:szCs w:val="24"/>
        </w:rPr>
        <w:t> </w:t>
      </w:r>
      <w:r w:rsidRPr="009A3C86">
        <w:rPr>
          <w:rFonts w:ascii="Times New Roman" w:hAnsi="Times New Roman"/>
          <w:sz w:val="24"/>
          <w:szCs w:val="24"/>
        </w:rPr>
        <w:t>§ 1 pkt 3, 4, 7-14 lub pkt 1 lub 2 - jeżeli strona nie przyczyniła się do ich powstania albo pkt 5 lub 6- jeżeli niepowołanie przed dniem wydania decyzji nowych okoliczności lub nowych dowodów nastąpiło bez winy strony. Bieg terminu przedawnienia zostanie jednak przerwany w przypadku zastosowania środka egzekucyjnego na podstawie wadliwej decyzji lub ww. postanowienia, jeśli uchylenie lub zmiana tych rozstrzygnięć nastąpi na podstawie przesłanek, o których mowa w</w:t>
      </w:r>
      <w:r w:rsidRPr="009A3C86">
        <w:rPr>
          <w:rFonts w:ascii="Times New Roman" w:hAnsi="Times New Roman"/>
          <w:bCs/>
          <w:sz w:val="24"/>
          <w:szCs w:val="24"/>
        </w:rPr>
        <w:t xml:space="preserve"> art. 4</w:t>
      </w:r>
      <w:r w:rsidR="003A6463" w:rsidRPr="009A3C86">
        <w:rPr>
          <w:rFonts w:ascii="Times New Roman" w:hAnsi="Times New Roman"/>
          <w:bCs/>
          <w:sz w:val="24"/>
          <w:szCs w:val="24"/>
        </w:rPr>
        <w:t>88</w:t>
      </w:r>
      <w:r w:rsidRPr="009A3C86">
        <w:rPr>
          <w:rFonts w:ascii="Times New Roman" w:hAnsi="Times New Roman"/>
          <w:b/>
          <w:sz w:val="24"/>
          <w:szCs w:val="24"/>
        </w:rPr>
        <w:t> </w:t>
      </w:r>
      <w:r w:rsidRPr="009A3C86">
        <w:rPr>
          <w:rFonts w:ascii="Times New Roman" w:hAnsi="Times New Roman"/>
          <w:sz w:val="24"/>
          <w:szCs w:val="24"/>
        </w:rPr>
        <w:t>§ 1 pkt 1 lub 2, w przypadku gdy strona przyczyniła się do ich powstania albo na podstawie pkt 5 lub 6, jeżeli niepowołanie przed dniem wydania decyzji (postanowienia) nowych okoliczności lub nowych dowodów nastąpiło z winy strony.</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 przepisu </w:t>
      </w:r>
      <w:r w:rsidRPr="009A3C86">
        <w:rPr>
          <w:rFonts w:ascii="Times New Roman" w:hAnsi="Times New Roman"/>
          <w:b/>
          <w:sz w:val="24"/>
          <w:szCs w:val="24"/>
        </w:rPr>
        <w:t>art. 18</w:t>
      </w:r>
      <w:r w:rsidR="003A6463" w:rsidRPr="009A3C86">
        <w:rPr>
          <w:rFonts w:ascii="Times New Roman" w:hAnsi="Times New Roman"/>
          <w:b/>
          <w:sz w:val="24"/>
          <w:szCs w:val="24"/>
        </w:rPr>
        <w:t>3</w:t>
      </w:r>
      <w:r w:rsidRPr="009A3C86">
        <w:rPr>
          <w:rFonts w:ascii="Times New Roman" w:hAnsi="Times New Roman"/>
          <w:b/>
          <w:sz w:val="24"/>
          <w:szCs w:val="24"/>
        </w:rPr>
        <w:t xml:space="preserve"> § 5</w:t>
      </w:r>
      <w:r w:rsidRPr="009A3C86">
        <w:rPr>
          <w:rFonts w:ascii="Times New Roman" w:hAnsi="Times New Roman"/>
          <w:sz w:val="24"/>
          <w:szCs w:val="24"/>
        </w:rPr>
        <w:t xml:space="preserve"> wynika, iż środka egzekucyjnego zastosowanego w okolicznościach, o których mowa w § 2-4, nie uważa się za pierwszy środek egzekucyjny w rozumieniu § 1. Przepis ten ma na celu podkreślenie, że organ będzie mógł przerwać bieg terminu przedawnienia poboru, zgodnie z art. 18</w:t>
      </w:r>
      <w:r w:rsidR="003A6463" w:rsidRPr="009A3C86">
        <w:rPr>
          <w:rFonts w:ascii="Times New Roman" w:hAnsi="Times New Roman"/>
          <w:sz w:val="24"/>
          <w:szCs w:val="24"/>
        </w:rPr>
        <w:t>3</w:t>
      </w:r>
      <w:r w:rsidRPr="009A3C86">
        <w:rPr>
          <w:rFonts w:ascii="Times New Roman" w:hAnsi="Times New Roman"/>
          <w:sz w:val="24"/>
          <w:szCs w:val="24"/>
        </w:rPr>
        <w:t xml:space="preserve"> § 1, mimo że podjął czynności egzekucyjne wcześniej, tj.: w trakcie biegu przedawnienia wymiaru, w trakcie zawieszenia przedawnienia </w:t>
      </w:r>
      <w:r w:rsidRPr="009A3C86">
        <w:rPr>
          <w:rFonts w:ascii="Times New Roman" w:hAnsi="Times New Roman"/>
          <w:sz w:val="24"/>
          <w:szCs w:val="24"/>
        </w:rPr>
        <w:lastRenderedPageBreak/>
        <w:t>poboru, a także gdy stwierdzono wadliwość, o której mowa w art. 18</w:t>
      </w:r>
      <w:r w:rsidR="003A6463" w:rsidRPr="009A3C86">
        <w:rPr>
          <w:rFonts w:ascii="Times New Roman" w:hAnsi="Times New Roman"/>
          <w:sz w:val="24"/>
          <w:szCs w:val="24"/>
        </w:rPr>
        <w:t>3</w:t>
      </w:r>
      <w:r w:rsidRPr="009A3C86">
        <w:rPr>
          <w:rFonts w:ascii="Times New Roman" w:hAnsi="Times New Roman"/>
          <w:sz w:val="24"/>
          <w:szCs w:val="24"/>
        </w:rPr>
        <w:t xml:space="preserve"> § 3 lub 4 decyzji wymiarowej lub postanowienia w sprawie nadania rygoru natychmiastowej wykonalności, która uniemożliwiła przerwanie biegu terminu przedawniania poboru. </w:t>
      </w:r>
    </w:p>
    <w:p w:rsidR="00C3231E" w:rsidRPr="009A3C86" w:rsidRDefault="00C3231E"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 przepisu </w:t>
      </w:r>
      <w:r w:rsidRPr="009A3C86">
        <w:rPr>
          <w:rFonts w:ascii="Times New Roman" w:hAnsi="Times New Roman"/>
          <w:b/>
          <w:sz w:val="24"/>
          <w:szCs w:val="24"/>
        </w:rPr>
        <w:t>art. 184</w:t>
      </w:r>
      <w:r w:rsidRPr="009A3C86">
        <w:rPr>
          <w:rFonts w:ascii="Times New Roman" w:hAnsi="Times New Roman"/>
          <w:sz w:val="24"/>
          <w:szCs w:val="24"/>
        </w:rPr>
        <w:t xml:space="preserve"> wynika, że przepisy rozdziału 7 działu II („Przedawnienie”) stosuje się w zakresie, w jakim ratyfikowane umowy o unikaniu podwójnego opodatkowania oraz inne ratyfikowane umowy międzynarodowe, których stroną jest Rzeczpospolita Polska, nie stanowią inaczej. Istnieją umowy międzynarodowe, w których przewiduje się możliwość wprowadzenia w życie porozumienia zawartego w toku procedury wzajemnego porozumiewania, czy w toku procedury arbitrażowej, bez względu na terminy przedawnienia</w:t>
      </w:r>
      <w:r w:rsidRPr="009A3C86">
        <w:rPr>
          <w:rFonts w:ascii="Times New Roman" w:hAnsi="Times New Roman"/>
          <w:sz w:val="24"/>
          <w:szCs w:val="24"/>
          <w:vertAlign w:val="superscript"/>
        </w:rPr>
        <w:footnoteReference w:id="256"/>
      </w:r>
      <w:r w:rsidRPr="009A3C86">
        <w:rPr>
          <w:rFonts w:ascii="Times New Roman" w:hAnsi="Times New Roman"/>
          <w:sz w:val="24"/>
          <w:szCs w:val="24"/>
        </w:rPr>
        <w:t xml:space="preserve">. Nie powinno zatem budzić wątpliwości, że w takich przypadkach przepisy dotyczące przedawnienia (wymiaru i poboru) zawarte w projektowanej ordynacji podatkowej nie powinny ograniczać wdrożenia takiego porozumienia, co będzie możliwe z uwagi na </w:t>
      </w:r>
      <w:r w:rsidRPr="009A3C86">
        <w:rPr>
          <w:rFonts w:ascii="Times New Roman" w:hAnsi="Times New Roman"/>
          <w:b/>
          <w:sz w:val="24"/>
          <w:szCs w:val="24"/>
        </w:rPr>
        <w:t>art. 184</w:t>
      </w:r>
      <w:r w:rsidRPr="009A3C86">
        <w:rPr>
          <w:rFonts w:ascii="Times New Roman" w:hAnsi="Times New Roman"/>
          <w:sz w:val="24"/>
          <w:szCs w:val="24"/>
        </w:rPr>
        <w:t>. Rozwiązanie to będzie miało zastosowanie m.in. przy stosowaniu nadzwyczajnych trybów weryfikacji decyzji ostatecznych. W konsekwencji będzie możliwe np. wznowienie postępowania podatkowego i wdrożenia ww. takiego porozumienia, bez względu na okresy przedawnienia zawarte w rozdziału 7 działu II. Przepis ten jest zmodyfikowanym odpowiednikiem art. 70d o.p.</w:t>
      </w:r>
    </w:p>
    <w:p w:rsidR="00326528" w:rsidRPr="009A3C86" w:rsidRDefault="00326528"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8. Nadpłata i zwrot podatku</w:t>
      </w:r>
    </w:p>
    <w:p w:rsidR="00326528" w:rsidRPr="009A3C86" w:rsidRDefault="00326528" w:rsidP="00326528">
      <w:pPr>
        <w:keepNext/>
        <w:keepLines/>
        <w:spacing w:after="0" w:line="360" w:lineRule="auto"/>
        <w:jc w:val="both"/>
        <w:outlineLvl w:val="3"/>
        <w:rPr>
          <w:rFonts w:ascii="Times New Roman" w:eastAsia="Times New Roman" w:hAnsi="Times New Roman"/>
          <w:b/>
          <w:iCs/>
          <w:strike/>
          <w:sz w:val="24"/>
          <w:szCs w:val="24"/>
        </w:rPr>
      </w:pPr>
      <w:bookmarkStart w:id="21" w:name="_Toc494363248"/>
      <w:r w:rsidRPr="009A3C86">
        <w:rPr>
          <w:rFonts w:ascii="Times New Roman" w:eastAsia="Times New Roman" w:hAnsi="Times New Roman"/>
          <w:b/>
          <w:iCs/>
          <w:sz w:val="24"/>
          <w:szCs w:val="24"/>
        </w:rPr>
        <w:t>Oddział 1. Przepisy ogólne</w:t>
      </w:r>
      <w:bookmarkEnd w:id="21"/>
      <w:r w:rsidRPr="009A3C86">
        <w:rPr>
          <w:rFonts w:ascii="Times New Roman" w:eastAsia="Times New Roman" w:hAnsi="Times New Roman"/>
          <w:b/>
          <w:iCs/>
          <w:sz w:val="24"/>
          <w:szCs w:val="24"/>
        </w:rPr>
        <w:t xml:space="preserve"> </w:t>
      </w:r>
    </w:p>
    <w:p w:rsidR="00326528" w:rsidRPr="009A3C86" w:rsidRDefault="00326528" w:rsidP="00326528">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1. Przepis </w:t>
      </w:r>
      <w:r w:rsidRPr="009A3C86">
        <w:rPr>
          <w:rFonts w:ascii="Times New Roman" w:hAnsi="Times New Roman"/>
          <w:b/>
          <w:sz w:val="24"/>
          <w:szCs w:val="24"/>
        </w:rPr>
        <w:t>art. 1</w:t>
      </w:r>
      <w:r w:rsidR="00FB4F46" w:rsidRPr="009A3C86">
        <w:rPr>
          <w:rFonts w:ascii="Times New Roman" w:hAnsi="Times New Roman"/>
          <w:b/>
          <w:sz w:val="24"/>
          <w:szCs w:val="24"/>
        </w:rPr>
        <w:t>85</w:t>
      </w:r>
      <w:r w:rsidRPr="009A3C86">
        <w:rPr>
          <w:rFonts w:ascii="Times New Roman" w:hAnsi="Times New Roman"/>
          <w:sz w:val="24"/>
          <w:szCs w:val="24"/>
        </w:rPr>
        <w:t xml:space="preserve"> </w:t>
      </w:r>
      <w:r w:rsidRPr="009A3C86">
        <w:rPr>
          <w:rFonts w:ascii="Times New Roman" w:hAnsi="Times New Roman"/>
          <w:b/>
          <w:bCs/>
          <w:sz w:val="24"/>
          <w:szCs w:val="24"/>
        </w:rPr>
        <w:t>§ 1</w:t>
      </w:r>
      <w:r w:rsidRPr="009A3C86">
        <w:rPr>
          <w:rFonts w:ascii="Times New Roman" w:hAnsi="Times New Roman"/>
          <w:bCs/>
          <w:sz w:val="24"/>
          <w:szCs w:val="24"/>
        </w:rPr>
        <w:t xml:space="preserve"> stanowi, że za nadpłatę uważa się kwotę nadpłaconego podatku lub kwotę zapłaconą nienależnie jako podatek. Obowiązująca definicja nadpłaty zawarta w art. 72 o.p. była przedmiotem krytyki</w:t>
      </w:r>
      <w:r w:rsidRPr="009A3C86">
        <w:rPr>
          <w:rFonts w:ascii="Times New Roman" w:hAnsi="Times New Roman"/>
          <w:bCs/>
          <w:sz w:val="24"/>
          <w:szCs w:val="24"/>
          <w:vertAlign w:val="superscript"/>
        </w:rPr>
        <w:footnoteReference w:id="257"/>
      </w:r>
      <w:r w:rsidRPr="009A3C86">
        <w:rPr>
          <w:rFonts w:ascii="Times New Roman" w:hAnsi="Times New Roman"/>
          <w:bCs/>
          <w:sz w:val="24"/>
          <w:szCs w:val="24"/>
        </w:rPr>
        <w:t xml:space="preserve">. Wprowadzana </w:t>
      </w:r>
      <w:r w:rsidRPr="009A3C86">
        <w:rPr>
          <w:rFonts w:ascii="Times New Roman" w:hAnsi="Times New Roman"/>
          <w:sz w:val="24"/>
          <w:szCs w:val="24"/>
        </w:rPr>
        <w:t>definicja dotyczy zarówno sytuacji wpłat dokonanych przez zobowiązanych (podatnika, płatnika, inkasenta, osobę trzecią i następcę prawnego), ale także podmiotów, które nimi nie są, jeżeli wpłacą należność mylnie sądząc, że tymi podmiotami są. W takim bowiem przypadku mamy do czynienia z zapłatą należności jako podatek.</w:t>
      </w:r>
      <w:r w:rsidRPr="009A3C86">
        <w:rPr>
          <w:rFonts w:ascii="Times New Roman" w:hAnsi="Times New Roman"/>
          <w:bCs/>
          <w:sz w:val="24"/>
          <w:szCs w:val="24"/>
        </w:rPr>
        <w:t xml:space="preserve"> Pojęcie podatku, które jest kluczowe w przedmiotowym przepisie, zostało zdefiniowane w art. 13 pkt 9. Zgodnie z tą regulacją pod tym pojęciem należy rozumieć</w:t>
      </w:r>
      <w:r w:rsidRPr="009A3C86">
        <w:rPr>
          <w:rFonts w:ascii="Times New Roman" w:hAnsi="Times New Roman"/>
          <w:sz w:val="24"/>
          <w:szCs w:val="24"/>
        </w:rPr>
        <w:t xml:space="preserve"> również opłaty, niepodatkowe należności budżetowe, a także raty lub zaliczki na podatki, opłaty oraz na niepodatkowe należności budżetowe. </w:t>
      </w:r>
    </w:p>
    <w:p w:rsidR="00326528" w:rsidRPr="009A3C86" w:rsidRDefault="00326528" w:rsidP="00326528">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bCs/>
          <w:sz w:val="24"/>
          <w:szCs w:val="24"/>
        </w:rPr>
        <w:lastRenderedPageBreak/>
        <w:t xml:space="preserve">Przepis </w:t>
      </w:r>
      <w:r w:rsidRPr="009A3C86">
        <w:rPr>
          <w:rFonts w:ascii="Times New Roman" w:hAnsi="Times New Roman"/>
          <w:b/>
          <w:sz w:val="24"/>
          <w:szCs w:val="24"/>
        </w:rPr>
        <w:t>art. 1</w:t>
      </w:r>
      <w:r w:rsidR="00FB4F46" w:rsidRPr="009A3C86">
        <w:rPr>
          <w:rFonts w:ascii="Times New Roman" w:hAnsi="Times New Roman"/>
          <w:b/>
          <w:sz w:val="24"/>
          <w:szCs w:val="24"/>
        </w:rPr>
        <w:t>85</w:t>
      </w:r>
      <w:r w:rsidRPr="009A3C86">
        <w:rPr>
          <w:rFonts w:ascii="Times New Roman" w:hAnsi="Times New Roman"/>
          <w:b/>
          <w:sz w:val="24"/>
          <w:szCs w:val="24"/>
        </w:rPr>
        <w:t xml:space="preserve"> </w:t>
      </w:r>
      <w:r w:rsidR="00FB7DE9" w:rsidRPr="009A3C86">
        <w:rPr>
          <w:rFonts w:ascii="Times New Roman" w:hAnsi="Times New Roman"/>
          <w:b/>
          <w:sz w:val="24"/>
          <w:szCs w:val="24"/>
        </w:rPr>
        <w:t xml:space="preserve">§ 1 </w:t>
      </w:r>
      <w:r w:rsidRPr="009A3C86">
        <w:rPr>
          <w:rFonts w:ascii="Times New Roman" w:hAnsi="Times New Roman"/>
          <w:bCs/>
          <w:sz w:val="24"/>
          <w:szCs w:val="24"/>
        </w:rPr>
        <w:t xml:space="preserve">obejmuje sytuacje, które obecnie są wymienione w art. 72 </w:t>
      </w:r>
      <w:r w:rsidRPr="009A3C86">
        <w:rPr>
          <w:rFonts w:ascii="Times New Roman" w:hAnsi="Times New Roman"/>
          <w:sz w:val="24"/>
          <w:szCs w:val="24"/>
        </w:rPr>
        <w:t>§ 1 i § 2 o.p., w tym: kwoty podatku pobrane przez płatnika nienależnie lub w wysokości większej od należnej; zobowiązania zapłacone przez płatnika lub inkasenta, jeżeli w decyzji, o której mowa w art. 30 § 4, określono je nienależnie lub w wysokości większej od należnej; zobowiązania zapłacone przez osobę trzecią lub spadkobiercę, jeżeli w decyzji o ich odpowiedzialności podatkowej lub decyzji ustalającej wysokość zobowiązania podatkowego spadkodawcy określono je nienależnie lub w wysokości większej od należnej; nienależnie zapłacone zaległości, o których mowa w art. 52 oraz art. 52a o.p.; odsetek za zwłokę od nieuregulowanych w terminie zaliczek na podatek; opłatę prolongacyjną. Podkreślić należy, że opłata prolongacyjna zapłacona nienależnie lub w wysokości wyższej od należnej będzie nadpłatą zgodnie z art. 1</w:t>
      </w:r>
      <w:r w:rsidR="00FB4F46" w:rsidRPr="009A3C86">
        <w:rPr>
          <w:rFonts w:ascii="Times New Roman" w:hAnsi="Times New Roman"/>
          <w:sz w:val="24"/>
          <w:szCs w:val="24"/>
        </w:rPr>
        <w:t>85</w:t>
      </w:r>
      <w:r w:rsidR="00FB7DE9" w:rsidRPr="009A3C86">
        <w:rPr>
          <w:rFonts w:ascii="Times New Roman" w:hAnsi="Times New Roman"/>
          <w:sz w:val="24"/>
          <w:szCs w:val="24"/>
        </w:rPr>
        <w:t xml:space="preserve"> § 1</w:t>
      </w:r>
      <w:r w:rsidRPr="009A3C86">
        <w:rPr>
          <w:rFonts w:ascii="Times New Roman" w:hAnsi="Times New Roman"/>
          <w:sz w:val="24"/>
          <w:szCs w:val="24"/>
        </w:rPr>
        <w:t>. W świetle tego przepisu za nadpłatę uważa się kwotę nadpłaconego podatku lub kwotę zapłaconą nienależnie jako podatek. W świetle natomiast art. 13</w:t>
      </w:r>
      <w:r w:rsidRPr="009A3C86">
        <w:rPr>
          <w:rFonts w:ascii="Times New Roman" w:hAnsi="Times New Roman"/>
          <w:b/>
          <w:sz w:val="24"/>
          <w:szCs w:val="24"/>
        </w:rPr>
        <w:t xml:space="preserve"> </w:t>
      </w:r>
      <w:r w:rsidRPr="009A3C86">
        <w:rPr>
          <w:rFonts w:ascii="Times New Roman" w:hAnsi="Times New Roman"/>
          <w:sz w:val="24"/>
          <w:szCs w:val="24"/>
        </w:rPr>
        <w:t>pkt 9 ilekroć w ustawie jest mowa o podatkach - rozumie się przez to również opłaty, niepodatkowe należności budżetowe, a także raty lub zaliczki na podatki, opłaty lub na niepodatkowe należności budżetowe. Dodatkowo należy zwrócić uwagę na art. 6</w:t>
      </w:r>
      <w:r w:rsidRPr="009A3C86">
        <w:rPr>
          <w:rFonts w:ascii="Times New Roman" w:hAnsi="Times New Roman"/>
          <w:b/>
          <w:sz w:val="24"/>
          <w:szCs w:val="24"/>
        </w:rPr>
        <w:t xml:space="preserve"> </w:t>
      </w:r>
      <w:r w:rsidRPr="009A3C86">
        <w:rPr>
          <w:rFonts w:ascii="Times New Roman" w:hAnsi="Times New Roman"/>
          <w:sz w:val="24"/>
          <w:szCs w:val="24"/>
        </w:rPr>
        <w:t>zgodnie z którym,</w:t>
      </w:r>
      <w:r w:rsidRPr="009A3C86">
        <w:rPr>
          <w:rFonts w:ascii="Times New Roman" w:hAnsi="Times New Roman"/>
          <w:b/>
          <w:sz w:val="24"/>
          <w:szCs w:val="24"/>
        </w:rPr>
        <w:t xml:space="preserve"> </w:t>
      </w:r>
      <w:r w:rsidRPr="009A3C86">
        <w:rPr>
          <w:rFonts w:ascii="Times New Roman" w:hAnsi="Times New Roman"/>
          <w:sz w:val="24"/>
          <w:szCs w:val="24"/>
        </w:rPr>
        <w:t>opłatą jest publicznoprawne, odpłatne, przymusowe oraz bezzwrotne świadczenie pieniężne na rzecz państwa, województwa, powiatu lub gminy, wynikające z ustaw. Biorąc powyższe pod uwagę, nie powinno być wątpliwości, że opłata prolongacyjna jest opłatą w rozumieniu art. 6, a tym samym jest objęta pojęciem podatek, o którym mowa w art. 13 pkt 9. W konsekwencji jako podatek w rozumieniu tego przepisu mieści się również w pojęciu nadpłaty z art. 1</w:t>
      </w:r>
      <w:r w:rsidR="00FB4F46" w:rsidRPr="009A3C86">
        <w:rPr>
          <w:rFonts w:ascii="Times New Roman" w:hAnsi="Times New Roman"/>
          <w:sz w:val="24"/>
          <w:szCs w:val="24"/>
        </w:rPr>
        <w:t>85</w:t>
      </w:r>
      <w:r w:rsidR="003F0835" w:rsidRPr="009A3C86">
        <w:rPr>
          <w:rFonts w:ascii="Times New Roman" w:hAnsi="Times New Roman"/>
          <w:sz w:val="24"/>
          <w:szCs w:val="24"/>
        </w:rPr>
        <w:t xml:space="preserve"> </w:t>
      </w:r>
      <w:r w:rsidR="00FB7DE9" w:rsidRPr="009A3C86">
        <w:rPr>
          <w:rFonts w:ascii="Times New Roman" w:hAnsi="Times New Roman"/>
          <w:sz w:val="24"/>
          <w:szCs w:val="24"/>
        </w:rPr>
        <w:t>§ 1</w:t>
      </w:r>
      <w:r w:rsidRPr="009A3C86">
        <w:rPr>
          <w:rFonts w:ascii="Times New Roman" w:hAnsi="Times New Roman"/>
          <w:sz w:val="24"/>
          <w:szCs w:val="24"/>
        </w:rPr>
        <w:t>. Nie zmienia tego fakt, iż w niektórych przepisach np. art. 15</w:t>
      </w:r>
      <w:r w:rsidR="003A6463" w:rsidRPr="009A3C86">
        <w:rPr>
          <w:rFonts w:ascii="Times New Roman" w:hAnsi="Times New Roman"/>
          <w:sz w:val="24"/>
          <w:szCs w:val="24"/>
        </w:rPr>
        <w:t>1</w:t>
      </w:r>
      <w:r w:rsidRPr="009A3C86">
        <w:rPr>
          <w:rFonts w:ascii="Times New Roman" w:hAnsi="Times New Roman"/>
          <w:sz w:val="24"/>
          <w:szCs w:val="24"/>
        </w:rPr>
        <w:t xml:space="preserve"> o opłacie prolongacyjnej mowa jest odrębnie. </w:t>
      </w:r>
    </w:p>
    <w:p w:rsidR="00FB7DE9" w:rsidRDefault="00FB7DE9" w:rsidP="00FB7DE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bCs/>
          <w:sz w:val="24"/>
          <w:szCs w:val="24"/>
          <w:lang w:eastAsia="pl-PL"/>
        </w:rPr>
        <w:t xml:space="preserve">W </w:t>
      </w:r>
      <w:r w:rsidRPr="009A3C86">
        <w:rPr>
          <w:rFonts w:ascii="Times New Roman" w:eastAsia="Times New Roman" w:hAnsi="Times New Roman"/>
          <w:b/>
          <w:sz w:val="24"/>
          <w:szCs w:val="24"/>
          <w:lang w:eastAsia="pl-PL"/>
        </w:rPr>
        <w:t xml:space="preserve">art. 185 </w:t>
      </w:r>
      <w:r w:rsidRPr="009A3C86">
        <w:rPr>
          <w:rFonts w:ascii="Times New Roman" w:eastAsia="Times New Roman" w:hAnsi="Times New Roman"/>
          <w:b/>
          <w:bCs/>
          <w:sz w:val="24"/>
          <w:szCs w:val="24"/>
          <w:lang w:eastAsia="pl-PL"/>
        </w:rPr>
        <w:t>§ 2</w:t>
      </w:r>
      <w:r w:rsidRPr="009A3C86">
        <w:rPr>
          <w:rFonts w:ascii="Times New Roman" w:eastAsia="Times New Roman" w:hAnsi="Times New Roman"/>
          <w:bCs/>
          <w:sz w:val="24"/>
          <w:szCs w:val="24"/>
          <w:lang w:eastAsia="pl-PL"/>
        </w:rPr>
        <w:t xml:space="preserve"> wskazuje się warunek wyłączający uznanie kwoty za nadpłatę. Zgodnie z tą regulacją, </w:t>
      </w:r>
      <w:r w:rsidRPr="009A3C86">
        <w:rPr>
          <w:rFonts w:ascii="Times New Roman" w:eastAsia="Times New Roman" w:hAnsi="Times New Roman"/>
          <w:sz w:val="24"/>
          <w:szCs w:val="24"/>
          <w:lang w:eastAsia="pl-PL"/>
        </w:rPr>
        <w:t>przepisu § 1 nie stosuje się, jeżeli organ podatkowy udowodni, że w wyniku zwrotu kwot, o których mowa w § 1, nastąpi bezpodstawne wzbogacenie</w:t>
      </w:r>
      <w:r w:rsidRPr="009A3C86">
        <w:rPr>
          <w:rFonts w:ascii="Times New Roman" w:eastAsia="Times New Roman" w:hAnsi="Times New Roman"/>
          <w:bCs/>
          <w:sz w:val="24"/>
          <w:szCs w:val="24"/>
          <w:lang w:eastAsia="pl-PL"/>
        </w:rPr>
        <w:t>.</w:t>
      </w:r>
      <w:r w:rsidRPr="009A3C86">
        <w:rPr>
          <w:rFonts w:ascii="Times New Roman" w:eastAsia="Times New Roman" w:hAnsi="Times New Roman"/>
          <w:sz w:val="24"/>
          <w:szCs w:val="24"/>
          <w:lang w:eastAsia="pl-PL"/>
        </w:rPr>
        <w:t xml:space="preserve"> Oznacza to, że organ podatkowy będzie mógł odmówić dokonania zwrotu należności, która spełnia warunki określone w art. 185 </w:t>
      </w:r>
      <w:r w:rsidRPr="009A3C86">
        <w:rPr>
          <w:rFonts w:ascii="Times New Roman" w:eastAsia="Times New Roman" w:hAnsi="Times New Roman"/>
          <w:bCs/>
          <w:sz w:val="24"/>
          <w:szCs w:val="24"/>
          <w:lang w:eastAsia="pl-PL"/>
        </w:rPr>
        <w:t>§ 1, jeśli wykaże, że w wyniku zwrotu tej kwoty nastąpi bezpodstawne wzbogacenie</w:t>
      </w:r>
      <w:r w:rsidRPr="009A3C86">
        <w:rPr>
          <w:rFonts w:ascii="Times New Roman" w:eastAsia="Times New Roman" w:hAnsi="Times New Roman"/>
          <w:sz w:val="24"/>
          <w:szCs w:val="24"/>
          <w:lang w:eastAsia="pl-PL"/>
        </w:rPr>
        <w:t xml:space="preserve"> osoby uprawnionej do uzyskania nadpłaty</w:t>
      </w:r>
      <w:r w:rsidRPr="009A3C86">
        <w:rPr>
          <w:rFonts w:ascii="Times New Roman" w:eastAsia="Times New Roman" w:hAnsi="Times New Roman"/>
          <w:bCs/>
          <w:sz w:val="24"/>
          <w:szCs w:val="24"/>
          <w:lang w:eastAsia="pl-PL"/>
        </w:rPr>
        <w:t xml:space="preserve">. Uzasadniając potrzebę takiej regulacji, należy wskazać, że </w:t>
      </w:r>
      <w:r w:rsidRPr="009A3C86">
        <w:rPr>
          <w:rFonts w:ascii="Times New Roman" w:eastAsia="Times New Roman" w:hAnsi="Times New Roman"/>
          <w:sz w:val="24"/>
          <w:szCs w:val="24"/>
          <w:lang w:eastAsia="pl-PL"/>
        </w:rPr>
        <w:t xml:space="preserve">konstrukcja podatku, zwłaszcza w podatkach pośrednich, umożliwia przeniesienie obciążenia z tego tytułu na konsumenta towaru lub usługi. Rozwiązania prawne w zakresie nadpłaty nie powinny jednak prowadzić do bezpodstawnego wzbogacenia podatnika. Podkreślić należy, że przedmiotowy przepis nie tworzy generalnego domniemania, iż każdy uiszczony podatek akcyzowy lub inne podatki pośrednie są w całości, zawsze przerzucane na konsumenta, kosztem którego następuje przysporzenie Skarbu Państwa. Ocena czy w danych okolicznościach doszło do nieuprawnionego wzbogacenia powinna być </w:t>
      </w:r>
      <w:r w:rsidRPr="009A3C86">
        <w:rPr>
          <w:rFonts w:ascii="Times New Roman" w:eastAsia="Times New Roman" w:hAnsi="Times New Roman"/>
          <w:sz w:val="24"/>
          <w:szCs w:val="24"/>
          <w:lang w:eastAsia="pl-PL"/>
        </w:rPr>
        <w:lastRenderedPageBreak/>
        <w:t>każdorazowo dokonana z uwzględnieniem oceny przez organ przesłanek ekonomicznych dotyczących zarówno zakresu, jak i możności przerzucenia ciężaru podatkowego.</w:t>
      </w:r>
    </w:p>
    <w:p w:rsidR="00D27913" w:rsidRPr="00D27913" w:rsidRDefault="00D27913" w:rsidP="00D27913">
      <w:pPr>
        <w:spacing w:after="0" w:line="360" w:lineRule="auto"/>
        <w:jc w:val="both"/>
        <w:rPr>
          <w:rFonts w:ascii="Times New Roman" w:eastAsia="Times New Roman" w:hAnsi="Times New Roman"/>
          <w:sz w:val="24"/>
          <w:szCs w:val="24"/>
          <w:lang w:val="pl" w:eastAsia="pl-PL"/>
        </w:rPr>
      </w:pPr>
      <w:r w:rsidRPr="00D27913">
        <w:rPr>
          <w:rFonts w:ascii="Times New Roman" w:eastAsia="Times New Roman" w:hAnsi="Times New Roman"/>
          <w:sz w:val="24"/>
          <w:szCs w:val="24"/>
          <w:lang w:val="pl" w:eastAsia="pl-PL"/>
        </w:rPr>
        <w:t>Zastosowanie instytucji odmowy prawa do zwrotu nadpłaty w przypadku, gdyby w jego wyniku nastąpiło bezpodstawne wzbogacenie, nie jest zawężone do określonych podatków, ponieważ zwrot nadpłaty w takich okolicznościach należy uznać za niezasadny bez względu na to, jakiego podatku dotyczy. Nie istnieje przy tym ryzyko zastosowania instytucji bezpodstawnego wzbogacenia do standardowych konstrukcji prawnych występujących w podatkach np. dochodowych czy lokalnych, w których płatność podatku jest dokonywana do urzędu skarbowego bezpośrednio przez podatnika ponoszącego ciężar podatku. Warunkiem zastosowania tego przepisu jest bowiem wystąpienie bezpodstawnego wzbogacenia, które z istoty swej wymaga wystąpienia określonych przesłanek (konstrukcji) z udziałem podmiotów trzecich czy pośredników (tak jak w przypadku podatku u źródła). Wymaga podkreślenia, że istota przepisu sprowadza się do potwierdzenia akceptowanego obecnie w orzecznictwie sądów posługiwania się konstrukcją bezpodstawnego wzbogacenia na etapie określania nadpłaty, a nie określenia szczegółowych warunków, w tym podatków, w których przepis ten znajdzie zastosowanie. Ostatecznie granice zastosowania tego przepisu i zwrotu „bezpodstawne wzbogacenie" zostanie określone przez orzecznictwo, podobnie jak w przypadku innych konstrukcji opartych o klauzule ogólne (pojęcia nieostre, niezdefiniowane).</w:t>
      </w:r>
    </w:p>
    <w:p w:rsidR="00D27913" w:rsidRPr="00D27913" w:rsidRDefault="00D27913" w:rsidP="00D27913">
      <w:pPr>
        <w:spacing w:after="0" w:line="360" w:lineRule="auto"/>
        <w:jc w:val="both"/>
        <w:rPr>
          <w:rFonts w:ascii="Times New Roman" w:eastAsia="Times New Roman" w:hAnsi="Times New Roman"/>
          <w:sz w:val="24"/>
          <w:szCs w:val="24"/>
          <w:lang w:val="pl" w:eastAsia="pl-PL"/>
        </w:rPr>
      </w:pPr>
      <w:r w:rsidRPr="00D27913">
        <w:rPr>
          <w:rFonts w:ascii="Times New Roman" w:eastAsia="Times New Roman" w:hAnsi="Times New Roman"/>
          <w:sz w:val="24"/>
          <w:szCs w:val="24"/>
          <w:lang w:val="pl" w:eastAsia="pl-PL"/>
        </w:rPr>
        <w:t>Przyjęcie rozwiązania polegającego na wyłączeniu niektórych podatków z zakresu tego przepisu nie jest zasadne ze względu na możliwość wykorzystywania go w celu stosowania optymalizacji podatkowej (unikania opodatkowania). Wyłączenie z zakresu tej instytucji jakiegokolwiek podatku lub zdarzeń w obrębie danego podatku dopuszczałoby możliwość przyznania zwrotu nadpłaty niewłaściwemu podmiotowi i jednocześnie wykluczało możliwość uzyskania tego</w:t>
      </w:r>
      <w:r w:rsidRPr="00D27913">
        <w:rPr>
          <w:rFonts w:ascii="Times New Roman" w:eastAsia="Arial Unicode MS" w:hAnsi="Times New Roman"/>
          <w:color w:val="000000"/>
          <w:sz w:val="23"/>
          <w:szCs w:val="23"/>
          <w:lang w:val="pl" w:eastAsia="pl-PL"/>
        </w:rPr>
        <w:t xml:space="preserve"> </w:t>
      </w:r>
      <w:r w:rsidRPr="00D27913">
        <w:rPr>
          <w:rFonts w:ascii="Times New Roman" w:eastAsia="Times New Roman" w:hAnsi="Times New Roman"/>
          <w:sz w:val="24"/>
          <w:szCs w:val="24"/>
          <w:lang w:val="pl" w:eastAsia="pl-PL"/>
        </w:rPr>
        <w:t>zwrotu podmiotom, które poniosły ekonomiczny ciężar zapłaty podatku w trybie przepisów oddziału 4 rozdziału 8 działu II projektu. Tego rodzaju zawężenie nie wydaje się również zasadne z perspektywy przedmiotu regulacji ustawy - Ordynacja podatkowa, jaką są przepisy ogólnego prawa podatkowego, które co do zasady powinny mieć charakter systemowy i odnosić się do wszystkich podatków.</w:t>
      </w:r>
    </w:p>
    <w:p w:rsidR="00B745DC" w:rsidRPr="009A3C86" w:rsidRDefault="00FB7DE9" w:rsidP="00FB7DE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Istota regulacji zawartej w art. 185 § 2 pozostaje słuszna także na gruncie podatków dochodowych, w tym w szczególności podatk</w:t>
      </w:r>
      <w:r w:rsidR="00B745DC" w:rsidRPr="009A3C86">
        <w:rPr>
          <w:rFonts w:ascii="Times New Roman" w:eastAsia="Times New Roman" w:hAnsi="Times New Roman"/>
          <w:sz w:val="24"/>
          <w:szCs w:val="24"/>
          <w:lang w:eastAsia="pl-PL"/>
        </w:rPr>
        <w:t xml:space="preserve">u, do którego pobrania zobowiązany jest płatnik (szczególne miejsce w tym obszarze zajmuje tzw. podatek u źródła). Pobór podatku przez płatnika oznacza, że podmiot ten co do zasady nie jest podmiotem, który ponosi ekonomiczny ciężar (koszt) rozliczanego podatku. Ciężar ten ponoszony jest przez podatnika, którego środki są przez płatnika pobierane i przekazywane na rachunek właściwego urzędu. W takiej sytuacji, </w:t>
      </w:r>
      <w:r w:rsidR="00B745DC" w:rsidRPr="009A3C86">
        <w:rPr>
          <w:rFonts w:ascii="Times New Roman" w:eastAsia="Times New Roman" w:hAnsi="Times New Roman"/>
          <w:sz w:val="24"/>
          <w:szCs w:val="24"/>
          <w:lang w:eastAsia="pl-PL"/>
        </w:rPr>
        <w:lastRenderedPageBreak/>
        <w:t xml:space="preserve">to właśnie podatnik jest podmiotem, któremu powinno przysługiwać prawo do otrzymania zwrotu nienależnie rozliczonego podatku. Jednocześnie celowe jest, aby obowiązujące w ramach systemu podatkowego przepisy nie uniemożliwiały płatnikowi występowania o zwrot podatku w przypadku, gdy to on, a nie podatnik, poniósł jego ciężar. </w:t>
      </w:r>
      <w:r w:rsidRPr="009A3C86">
        <w:rPr>
          <w:rFonts w:ascii="Times New Roman" w:eastAsia="Times New Roman" w:hAnsi="Times New Roman"/>
          <w:sz w:val="24"/>
          <w:szCs w:val="24"/>
          <w:lang w:eastAsia="pl-PL"/>
        </w:rPr>
        <w:t xml:space="preserve">Taka sytuacja może nastąpić w szczególności w przypadku umownego „ubruttowienia” </w:t>
      </w:r>
      <w:r w:rsidR="00B745DC" w:rsidRPr="009A3C86">
        <w:rPr>
          <w:rFonts w:ascii="Times New Roman" w:eastAsia="Times New Roman" w:hAnsi="Times New Roman"/>
          <w:sz w:val="24"/>
          <w:szCs w:val="24"/>
          <w:lang w:eastAsia="pl-PL"/>
        </w:rPr>
        <w:t xml:space="preserve">(ang.: </w:t>
      </w:r>
      <w:r w:rsidR="00B745DC" w:rsidRPr="009A3C86">
        <w:rPr>
          <w:rFonts w:ascii="Times New Roman" w:eastAsia="Times New Roman" w:hAnsi="Times New Roman"/>
          <w:i/>
          <w:sz w:val="24"/>
          <w:szCs w:val="24"/>
          <w:lang w:eastAsia="pl-PL"/>
        </w:rPr>
        <w:t>gross-up</w:t>
      </w:r>
      <w:r w:rsidR="00B745DC"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 xml:space="preserve">należności o podatek u źródła (tzw. klauzula </w:t>
      </w:r>
      <w:r w:rsidRPr="009A3C86">
        <w:rPr>
          <w:rFonts w:ascii="Times New Roman" w:eastAsia="Times New Roman" w:hAnsi="Times New Roman"/>
          <w:i/>
          <w:sz w:val="24"/>
          <w:szCs w:val="24"/>
          <w:lang w:eastAsia="pl-PL"/>
        </w:rPr>
        <w:t>net-of-tax</w:t>
      </w:r>
      <w:r w:rsidRPr="009A3C86">
        <w:rPr>
          <w:rFonts w:ascii="Times New Roman" w:eastAsia="Times New Roman" w:hAnsi="Times New Roman"/>
          <w:sz w:val="24"/>
          <w:szCs w:val="24"/>
          <w:lang w:eastAsia="pl-PL"/>
        </w:rPr>
        <w:t xml:space="preserve">). W takim przypadku zwrot nadpłaty na rzecz podatnika nie jest zasadny. </w:t>
      </w:r>
      <w:r w:rsidR="00B745DC" w:rsidRPr="009A3C86">
        <w:rPr>
          <w:rFonts w:ascii="Times New Roman" w:eastAsia="Times New Roman" w:hAnsi="Times New Roman"/>
          <w:sz w:val="24"/>
          <w:szCs w:val="24"/>
          <w:lang w:eastAsia="pl-PL"/>
        </w:rPr>
        <w:t>Celem wprowadzanego przepisu na gruncie podatków dochodowych jest uniemożliwienie odpowiednio płatnikowi lub podatnikowi zwrotu podatku w sytuacji, w której wnioskujący o zwrot nie poniósł ekonomicznego ciężaru podatku. Powyższe koresponduje z wprowadzonymi z dniem 1 stycznia 2019 r. regulacjami dotyczącymi zasad poboru i zwrotu podatku u źródła (przepisy te zostały zawarte w ustawie z dnia 23 października 2018 r. o zmianie ustawy o podatku dochodowym od osób fizycznych, ustawy o podatku dochodowym od osób prawnych, ustawy – Ordynacja podatkowa oraz niektórych innych ustaw, Dz.U. poz. 2193). Zgodnie z przyjętym na podstawie ww. ustawy art. 44f ust. 2 ustawy o podatku dochodowym od osób fizycznych oraz art. 28b ust. 2 ustawy o podatku dochodowym od osób prawnych, w przypadku podatku pobranego według zasad obowiązujących od dnia 1 stycznia 2019 r. (ogólnie można stwierdzić, że dotyczy to podatku pobranego od dokonywanych wypłat należności ponad kwotę 2 mln zł na rzecz tego samego podatnika w roku podatkowym), wniosek o jego zwrot może złożyć podatnik bądź płatnik, jednak w przypadku płatnika zaakcentowano, że możliwe jest to jedynie wówczas, gdy wpłacił on podatek z własnych środków i poniósł ekonomiczny ciężar tego podatku.</w:t>
      </w:r>
    </w:p>
    <w:p w:rsidR="00FB7DE9" w:rsidRPr="009A3C86" w:rsidRDefault="00FB7DE9" w:rsidP="00FB7DE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Obecny brak regulacji dotyczącej bezpodstawnego wzbogacenia stanowił przyczynę rozbieżności w orzecznictwie</w:t>
      </w:r>
      <w:r w:rsidRPr="009A3C86">
        <w:rPr>
          <w:rFonts w:ascii="Times New Roman" w:eastAsia="Times New Roman" w:hAnsi="Times New Roman"/>
          <w:sz w:val="24"/>
          <w:szCs w:val="24"/>
          <w:vertAlign w:val="superscript"/>
          <w:lang w:eastAsia="pl-PL"/>
        </w:rPr>
        <w:footnoteReference w:id="258"/>
      </w:r>
      <w:r w:rsidRPr="009A3C86">
        <w:rPr>
          <w:rFonts w:ascii="Times New Roman" w:eastAsia="Times New Roman" w:hAnsi="Times New Roman"/>
          <w:sz w:val="24"/>
          <w:szCs w:val="24"/>
          <w:lang w:eastAsia="pl-PL"/>
        </w:rPr>
        <w:t>, był też przedmiotem ożywionej dyskusji w literaturze</w:t>
      </w:r>
      <w:r w:rsidRPr="009A3C86">
        <w:rPr>
          <w:rFonts w:ascii="Times New Roman" w:eastAsia="Times New Roman" w:hAnsi="Times New Roman"/>
          <w:sz w:val="24"/>
          <w:szCs w:val="24"/>
          <w:vertAlign w:val="superscript"/>
          <w:lang w:eastAsia="pl-PL"/>
        </w:rPr>
        <w:footnoteReference w:id="259"/>
      </w:r>
      <w:r w:rsidRPr="009A3C86">
        <w:rPr>
          <w:rFonts w:ascii="Times New Roman" w:eastAsia="Times New Roman" w:hAnsi="Times New Roman"/>
          <w:sz w:val="24"/>
          <w:szCs w:val="24"/>
          <w:lang w:eastAsia="pl-PL"/>
        </w:rPr>
        <w:t>. Proponowane w tym zakresie rozwiązania powinny uwzględniać orzecznictwo TSUE</w:t>
      </w:r>
      <w:r w:rsidRPr="009A3C86">
        <w:rPr>
          <w:rFonts w:ascii="Times New Roman" w:eastAsia="Times New Roman" w:hAnsi="Times New Roman"/>
          <w:sz w:val="24"/>
          <w:szCs w:val="24"/>
          <w:vertAlign w:val="superscript"/>
          <w:lang w:eastAsia="pl-PL"/>
        </w:rPr>
        <w:footnoteReference w:id="260"/>
      </w:r>
      <w:r w:rsidRPr="009A3C86">
        <w:rPr>
          <w:rFonts w:ascii="Times New Roman" w:eastAsia="Times New Roman" w:hAnsi="Times New Roman"/>
          <w:sz w:val="24"/>
          <w:szCs w:val="24"/>
          <w:lang w:eastAsia="pl-PL"/>
        </w:rPr>
        <w:t xml:space="preserve">. </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lastRenderedPageBreak/>
        <w:t>Należy przypomnieć, że prawo wspólnotowe nie sprzeciwia się temu, aby krajowy system prawny odmawiał zwrotu podatków nienależnie pobranych, w sytuacji gdyby zwrot ten powodował bezpodstawne wzbogacenie osób mających do niego prawo</w:t>
      </w:r>
      <w:r w:rsidRPr="009A3C86">
        <w:rPr>
          <w:rStyle w:val="Odwoanieprzypisudolnego"/>
          <w:rFonts w:eastAsia="Times New Roman"/>
          <w:sz w:val="24"/>
          <w:szCs w:val="24"/>
          <w:shd w:val="clear" w:color="auto" w:fill="FFFFFF"/>
          <w:lang w:eastAsia="pl-PL"/>
        </w:rPr>
        <w:footnoteReference w:id="261"/>
      </w:r>
      <w:r w:rsidRPr="009A3C86">
        <w:rPr>
          <w:rFonts w:ascii="Times New Roman" w:eastAsia="Times New Roman" w:hAnsi="Times New Roman"/>
          <w:sz w:val="24"/>
          <w:szCs w:val="24"/>
          <w:shd w:val="clear" w:color="auto" w:fill="FFFFFF"/>
          <w:lang w:eastAsia="pl-PL"/>
        </w:rPr>
        <w:t xml:space="preserve">. W przypadku jednak, gdy podatek został nienależnie pobrany, jeśli wykazane zostanie, że jedynie część podatku została przerzucona na inne podmioty, organy podatkowe powinny dokonać zwrotu kwoty, która nie została przerzucona. </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lang w:eastAsia="pl-PL"/>
        </w:rPr>
        <w:t>Pozostawienie tego elementu nieuregulowanego będzie z dużym prawdopodobieństwem powodowało rozbieżności na gruncie projektowanych przepisów dotyczących nadpłaty. Uregulowanie kwestii bezpodstawnego wzbogacenia nie będzie oznaczało, że uzasadnienie wniosku o stwierdzenie nadpłaty przez podatnika będzie utrudnione w zakresie przeprowadzenia dowodu w porównaniu do rozwiązań obecnie obowiązujących. To organ podatkowy będzie musiał udowodnić, że podatnik uzyska bezpodstawne wzbogacenie w wyniku zwrotu nadpłaty, aby móc odmówić jej zwrotu. Omawiany przepis wskazuje bowiem wprost, iż ciężar dowodu bezpodstawnego wzbogacenia ciąży na organie podatkowym.  Przyjmowane działania przez organ podatkowy powinny jednocześnie opierać się na założeniu, że obowiązek zebrania materiału dowodowego obciąża organ podatkowy, z możliwością żądania od podatnika określonych dowodów</w:t>
      </w:r>
      <w:r w:rsidR="0083774A" w:rsidRPr="009A3C86">
        <w:rPr>
          <w:rFonts w:ascii="Times New Roman" w:eastAsia="Times New Roman" w:hAnsi="Times New Roman"/>
          <w:sz w:val="24"/>
          <w:szCs w:val="24"/>
          <w:lang w:eastAsia="pl-PL"/>
        </w:rPr>
        <w:t xml:space="preserve"> – tylko tych dokumentów, których obowiązek posiadania wynika z przepisów prawa</w:t>
      </w:r>
      <w:r w:rsidRPr="009A3C86">
        <w:rPr>
          <w:rFonts w:ascii="Times New Roman" w:eastAsia="Times New Roman" w:hAnsi="Times New Roman"/>
          <w:sz w:val="24"/>
          <w:szCs w:val="24"/>
          <w:lang w:eastAsia="pl-PL"/>
        </w:rPr>
        <w:t xml:space="preserve">, szczególnie dokumentacji, której prowadzenie jest obowiązkiem tego podmiotu. Zastosowanie ww. mechanizmów nie będzie powodować w efekcie przerzucenia ciężaru dowodu na podmiot uprawniony do zwrotu. Nie oznacza to jednak, że podatnik może odmówić dostarczenia wnioskowanych przez organ podatkowy informacji i dokumentów, na podstawie których możliwe byłoby przeprowadzenie weryfikacji czy w danych okolicznościach doszło do bezpodstawnego wzbogacenia. </w:t>
      </w:r>
      <w:r w:rsidRPr="009A3C86">
        <w:rPr>
          <w:rFonts w:ascii="Times New Roman" w:eastAsia="Times New Roman" w:hAnsi="Times New Roman"/>
          <w:sz w:val="24"/>
          <w:szCs w:val="24"/>
          <w:shd w:val="clear" w:color="auto" w:fill="FFFFFF"/>
          <w:lang w:eastAsia="pl-PL"/>
        </w:rPr>
        <w:t xml:space="preserve">Działania organu podatkowego powinny być przy tym odczytane również w kontekście aspektów ekonomicznych oceny, czy zwrot nadpłaty może doprowadzić do nienależnego z punktu widzenia ekonomicznego przysporzenia po stronie podmiotu wnioskującego o stwierdzenie nadpłaty. </w:t>
      </w:r>
    </w:p>
    <w:p w:rsidR="00FB7DE9" w:rsidRPr="009A3C86" w:rsidRDefault="00FB7DE9" w:rsidP="00FB7DE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shd w:val="clear" w:color="auto" w:fill="FFFFFF"/>
          <w:lang w:eastAsia="pl-PL"/>
        </w:rPr>
        <w:t>W związku z tym weryfikacja, czy i w jakim zakresie doszło do bezpodstawnego wzbogacenia, które powstałoby po stronie podatnika w związku ze zwrotem nadpłaty podatku, mogą zostać ustalone w oparciu o analizę ekonomiczną uwzględniającą  stosowne okoliczności.</w:t>
      </w:r>
      <w:r w:rsidRPr="009A3C86">
        <w:rPr>
          <w:rFonts w:ascii="Times New Roman" w:eastAsia="Times New Roman" w:hAnsi="Times New Roman"/>
          <w:sz w:val="24"/>
          <w:szCs w:val="24"/>
          <w:lang w:eastAsia="pl-PL"/>
        </w:rPr>
        <w:t xml:space="preserve"> Organ </w:t>
      </w:r>
      <w:r w:rsidRPr="009A3C86">
        <w:rPr>
          <w:rFonts w:ascii="Times New Roman" w:eastAsia="Times New Roman" w:hAnsi="Times New Roman"/>
          <w:sz w:val="24"/>
          <w:szCs w:val="24"/>
          <w:lang w:eastAsia="pl-PL"/>
        </w:rPr>
        <w:lastRenderedPageBreak/>
        <w:t xml:space="preserve">podatkowy badając aspekty ekonomiczne związane z zapłaconym podatkiem powinien uwzględnić przy tym orzecznictwo TSUE, w tym takie elementy jak: zakaz przyjmowania domniemania przerzucalności ciężaru opodatkowania na konsumenta i obarczanie podatnika obowiązkiem wykazania, że podatek nie został przerzucony na podmioty trzecie, zakaz przyjmowania domniemania, że podwyższenie ceny o kwotę podatku automatycznie oznacza przerzucenie ciężaru tego podatku. </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W tym celu organ podatkowy może uwzględniać w szczególności następujące okoliczności:</w:t>
      </w:r>
    </w:p>
    <w:p w:rsidR="00FB7DE9" w:rsidRPr="009A3C86" w:rsidRDefault="00FB7DE9" w:rsidP="00FB7DE9">
      <w:pPr>
        <w:pStyle w:val="Akapitzlist"/>
        <w:numPr>
          <w:ilvl w:val="0"/>
          <w:numId w:val="64"/>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 xml:space="preserve">zmienność cen oferowanych przez wnioskodawcę dóbr lub usług, które są objęte wnioskiem o stwierdzenie nadpłaty, oraz ich relację do rynkowego poziomu cen w danym segmencie rynku. </w:t>
      </w:r>
    </w:p>
    <w:p w:rsidR="00FB7DE9" w:rsidRPr="009A3C86" w:rsidRDefault="00FB7DE9" w:rsidP="00FB7DE9">
      <w:pPr>
        <w:pStyle w:val="Akapitzlist"/>
        <w:numPr>
          <w:ilvl w:val="0"/>
          <w:numId w:val="64"/>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elastyczność cenową popytu na dobra lub usługi, na które został nałożony podatek;</w:t>
      </w:r>
    </w:p>
    <w:p w:rsidR="00FB7DE9" w:rsidRPr="009A3C86" w:rsidRDefault="00FB7DE9" w:rsidP="00FB7DE9">
      <w:pPr>
        <w:pStyle w:val="Akapitzlist"/>
        <w:numPr>
          <w:ilvl w:val="0"/>
          <w:numId w:val="64"/>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rodzaj rynku, na jakim funkcjonuje podmiot wnioskujący o stwierdzenie nadpłaty;</w:t>
      </w:r>
    </w:p>
    <w:p w:rsidR="00FB7DE9" w:rsidRPr="009A3C86" w:rsidRDefault="00FB7DE9" w:rsidP="00FB7DE9">
      <w:pPr>
        <w:pStyle w:val="Akapitzlist"/>
        <w:numPr>
          <w:ilvl w:val="0"/>
          <w:numId w:val="64"/>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porównanie marży osiąganej lub oczekiwanej przez podmiot występujący z wnioskiem o stwierdzenie nadpłaty z wysokością marży osiąganej przez inne podmioty w danym segmencie rynku;</w:t>
      </w:r>
    </w:p>
    <w:p w:rsidR="00FB7DE9" w:rsidRPr="009A3C86" w:rsidRDefault="00FB7DE9" w:rsidP="00FB7DE9">
      <w:pPr>
        <w:pStyle w:val="Akapitzlist"/>
        <w:numPr>
          <w:ilvl w:val="0"/>
          <w:numId w:val="64"/>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długość okresu, w jakim podmiot wnioskujący o stwierdzenie nadpłaty nadpłacał podatek lub uiszczał podatek w nienależnej wysokości.</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Analizując, czy w wyniku nadpłaty podatku lub zapłacenia kwoty nienależnie jako podatek doszło do przerzucenia ekonomicznego ciężaru opodatkowania, organ podatkowy powinien uwzględnić także skutki ekonomiczne po stronie wnioskodawcy wpływające na ocenę, czy w danych okolicznościach bezpodstawne wzbogacenie mogłoby wystąpić np.:</w:t>
      </w:r>
    </w:p>
    <w:p w:rsidR="00FB7DE9" w:rsidRPr="009A3C86" w:rsidRDefault="00FB7DE9" w:rsidP="00FB7DE9">
      <w:pPr>
        <w:pStyle w:val="Akapitzlist"/>
        <w:numPr>
          <w:ilvl w:val="0"/>
          <w:numId w:val="65"/>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 xml:space="preserve">spadek popytu na dobra lub usługi, w stosunku do których został nadpłacony podatek lub została zapłacona kwota nienależna jako podatek, </w:t>
      </w:r>
    </w:p>
    <w:p w:rsidR="00FB7DE9" w:rsidRPr="009A3C86" w:rsidRDefault="00FB7DE9" w:rsidP="00FB7DE9">
      <w:pPr>
        <w:pStyle w:val="Akapitzlist"/>
        <w:numPr>
          <w:ilvl w:val="0"/>
          <w:numId w:val="65"/>
        </w:num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spadek wygenerowanego zysku lub marży, które były wynikiem nadpłaconego podatku lub zapłacenia kwoty nienależnie jako podatek</w:t>
      </w:r>
      <w:r w:rsidRPr="009A3C86">
        <w:rPr>
          <w:rStyle w:val="Odwoanieprzypisudolnego"/>
          <w:rFonts w:eastAsia="Times New Roman"/>
          <w:sz w:val="24"/>
          <w:szCs w:val="24"/>
          <w:shd w:val="clear" w:color="auto" w:fill="FFFFFF"/>
          <w:lang w:eastAsia="pl-PL"/>
        </w:rPr>
        <w:footnoteReference w:id="262"/>
      </w:r>
      <w:r w:rsidRPr="009A3C86">
        <w:rPr>
          <w:rFonts w:ascii="Times New Roman" w:eastAsia="Times New Roman" w:hAnsi="Times New Roman"/>
          <w:sz w:val="24"/>
          <w:szCs w:val="24"/>
          <w:shd w:val="clear" w:color="auto" w:fill="FFFFFF"/>
          <w:lang w:eastAsia="pl-PL"/>
        </w:rPr>
        <w:t xml:space="preserve">. </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 xml:space="preserve">W tym przypadku jednak organ powinien mieć możliwość weryfikacji podnoszonych przez wnioskodawcę przesłanek np. w oparciu o dostarczone informacje lub dokumenty wskazujące na rzeczywistą wartość poniesionego w związku z nadpłatą podatku uszczerbku ekonomicznego. Nie będzie skutecznym podniesienie przez podatnika zarzutu poniesienia </w:t>
      </w:r>
      <w:r w:rsidRPr="009A3C86">
        <w:rPr>
          <w:rFonts w:ascii="Times New Roman" w:eastAsia="Times New Roman" w:hAnsi="Times New Roman"/>
          <w:sz w:val="24"/>
          <w:szCs w:val="24"/>
          <w:shd w:val="clear" w:color="auto" w:fill="FFFFFF"/>
          <w:lang w:eastAsia="pl-PL"/>
        </w:rPr>
        <w:lastRenderedPageBreak/>
        <w:t>ogólnego i niemożliwego do skwantyfikowania uszczerbku ekonomicznego w wyniku nadpłacenia podatku lub zapłacenia kwoty nienależnie jako podatek.</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 xml:space="preserve">Mając na uwadze weryfikację przesłanki bezpodstawnego wzbogacenia, przy ocenie, czy ciężar ekonomiczny podatków bezpośrednich został przerzucony, nie należy przyjmować, że każdy przedsiębiorca, który wypracował zysk operacyjny, a podatek na potrzeby podatku został zaliczony do kosztów uzyskania przychodu, przeniósł ciężar ekonomiczny tego rodzaju podatków na nabywcę jego towarów czy usług. </w:t>
      </w:r>
    </w:p>
    <w:p w:rsidR="00FB7DE9" w:rsidRPr="009A3C86" w:rsidRDefault="00FB7DE9" w:rsidP="00FB7DE9">
      <w:pPr>
        <w:spacing w:after="0" w:line="360" w:lineRule="auto"/>
        <w:jc w:val="both"/>
        <w:rPr>
          <w:rFonts w:ascii="Times New Roman" w:eastAsia="Times New Roman" w:hAnsi="Times New Roman"/>
          <w:sz w:val="24"/>
          <w:szCs w:val="24"/>
          <w:shd w:val="clear" w:color="auto" w:fill="FFFFFF"/>
          <w:lang w:eastAsia="pl-PL"/>
        </w:rPr>
      </w:pPr>
      <w:r w:rsidRPr="009A3C86">
        <w:rPr>
          <w:rFonts w:ascii="Times New Roman" w:eastAsia="Times New Roman" w:hAnsi="Times New Roman"/>
          <w:sz w:val="24"/>
          <w:szCs w:val="24"/>
          <w:shd w:val="clear" w:color="auto" w:fill="FFFFFF"/>
          <w:lang w:eastAsia="pl-PL"/>
        </w:rPr>
        <w:t xml:space="preserve">Co do zasady jednak, jeśli przeniesienie ekonomicznego ciężaru opodatkowania wynika z postanowień umownych </w:t>
      </w:r>
      <w:r w:rsidRPr="009A3C86">
        <w:rPr>
          <w:rFonts w:ascii="Times New Roman" w:eastAsia="Times New Roman" w:hAnsi="Times New Roman"/>
          <w:sz w:val="24"/>
          <w:szCs w:val="24"/>
          <w:lang w:eastAsia="pl-PL"/>
        </w:rPr>
        <w:t>(np. doszło do ubruttowienia należności i płatnik będący nabywcą usługi poniósł ciężar podatku), należy przyjąć, że doszło do przerzucenia ciężaru ekonomicznego opodatkowania i w wyniku zwrotu nadpłaty doszłoby do bezpodstawnego wzbogacenia.</w:t>
      </w:r>
    </w:p>
    <w:p w:rsidR="00FB7DE9" w:rsidRPr="009A3C86" w:rsidRDefault="00FB7DE9" w:rsidP="00FB7DE9">
      <w:pPr>
        <w:spacing w:after="0" w:line="360" w:lineRule="auto"/>
        <w:jc w:val="both"/>
        <w:rPr>
          <w:rFonts w:ascii="Times New Roman" w:hAnsi="Times New Roman"/>
          <w:sz w:val="24"/>
          <w:szCs w:val="24"/>
        </w:rPr>
      </w:pPr>
      <w:r w:rsidRPr="009A3C86">
        <w:rPr>
          <w:rFonts w:ascii="Times New Roman" w:eastAsia="Times New Roman" w:hAnsi="Times New Roman"/>
          <w:sz w:val="24"/>
          <w:szCs w:val="24"/>
          <w:lang w:eastAsia="pl-PL"/>
        </w:rPr>
        <w:t xml:space="preserve">Zawarte w przepisie </w:t>
      </w:r>
      <w:r w:rsidRPr="009A3C86">
        <w:rPr>
          <w:rFonts w:ascii="Times New Roman" w:eastAsia="Times New Roman" w:hAnsi="Times New Roman"/>
          <w:b/>
          <w:sz w:val="24"/>
          <w:szCs w:val="24"/>
          <w:lang w:eastAsia="pl-PL"/>
        </w:rPr>
        <w:t xml:space="preserve">art. 185 </w:t>
      </w:r>
      <w:r w:rsidRPr="009A3C86">
        <w:rPr>
          <w:rFonts w:ascii="Times New Roman" w:eastAsia="Times New Roman" w:hAnsi="Times New Roman"/>
          <w:b/>
          <w:bCs/>
          <w:sz w:val="24"/>
          <w:szCs w:val="24"/>
          <w:lang w:eastAsia="pl-PL"/>
        </w:rPr>
        <w:t>§ 2</w:t>
      </w:r>
      <w:r w:rsidRPr="009A3C86">
        <w:rPr>
          <w:rFonts w:ascii="Times New Roman" w:eastAsia="Times New Roman" w:hAnsi="Times New Roman"/>
          <w:bCs/>
          <w:sz w:val="24"/>
          <w:szCs w:val="24"/>
          <w:lang w:eastAsia="pl-PL"/>
        </w:rPr>
        <w:t xml:space="preserve"> </w:t>
      </w:r>
      <w:r w:rsidRPr="009A3C86">
        <w:rPr>
          <w:rFonts w:ascii="Times New Roman" w:eastAsia="Times New Roman" w:hAnsi="Times New Roman"/>
          <w:sz w:val="24"/>
          <w:szCs w:val="24"/>
          <w:lang w:eastAsia="pl-PL"/>
        </w:rPr>
        <w:t>pojęcie „</w:t>
      </w:r>
      <w:r w:rsidRPr="009A3C86">
        <w:rPr>
          <w:rFonts w:ascii="Times New Roman" w:eastAsia="Times New Roman" w:hAnsi="Times New Roman"/>
          <w:bCs/>
          <w:sz w:val="24"/>
          <w:szCs w:val="24"/>
          <w:lang w:eastAsia="pl-PL"/>
        </w:rPr>
        <w:t>bezpodstawne wzbogacenie”</w:t>
      </w:r>
      <w:r w:rsidRPr="009A3C86">
        <w:rPr>
          <w:rFonts w:ascii="Times New Roman" w:eastAsia="Times New Roman" w:hAnsi="Times New Roman"/>
          <w:sz w:val="24"/>
          <w:szCs w:val="24"/>
          <w:lang w:eastAsia="pl-PL"/>
        </w:rPr>
        <w:t xml:space="preserve"> pojawiło się w orzecznictwie TSUE, akceptującym regulacje prawa krajowego, które przewidują odmowę zwrotu podatków pobranych nienależnie w sytuacji, gdyby taki zwrot powodował bezpodstawne wzbogacenie podmiotów uprawnionych (zob. np. wyroki TSUE: w sprawie 68/79 Hans Just, ECLI:EU:C:1980:57; w sprawie C-343/96 Dilexport, ECLI:EU:C:1999:59; w sprawie C-309/06 Marks &amp; Spencer, ECLI:EU:C:2008:211).</w:t>
      </w:r>
      <w:r w:rsidRPr="009A3C86">
        <w:rPr>
          <w:rFonts w:ascii="Times New Roman" w:eastAsia="Times New Roman" w:hAnsi="Times New Roman"/>
          <w:strike/>
          <w:sz w:val="24"/>
          <w:szCs w:val="24"/>
          <w:lang w:eastAsia="pl-PL"/>
        </w:rPr>
        <w:t xml:space="preserve"> </w:t>
      </w:r>
    </w:p>
    <w:p w:rsidR="00FB7DE9" w:rsidRPr="009A3C86" w:rsidRDefault="00FB7DE9" w:rsidP="00FB7DE9">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hAnsi="Times New Roman"/>
          <w:sz w:val="24"/>
          <w:szCs w:val="24"/>
        </w:rPr>
        <w:t>Ustalając znaczenie pojęcia „bezpodstawnego wzbogacenia”, nie należy utożsamiać go z instytucją prawną uregulowaną w art. 405 in. ustawy z dnia 23 kwietnia 1964 r. Kodeks cywilny</w:t>
      </w:r>
      <w:r w:rsidRPr="009A3C86">
        <w:rPr>
          <w:rFonts w:ascii="Times New Roman" w:hAnsi="Times New Roman"/>
          <w:sz w:val="24"/>
          <w:szCs w:val="24"/>
          <w:shd w:val="clear" w:color="auto" w:fill="FFFFFF"/>
        </w:rPr>
        <w:t xml:space="preserve">. Prawo cywilne i podatkowe należą do dwóch różnych gałęzi prawa, co oznacza, że to samo zdarzenie faktyczne mogą odmiennie oceniać i przypisywać mu odmienne skutki prawne. Oznacza to, że ocena sytuacji, czy </w:t>
      </w:r>
      <w:r w:rsidRPr="009A3C86">
        <w:rPr>
          <w:rFonts w:ascii="Times New Roman" w:hAnsi="Times New Roman"/>
          <w:color w:val="000000"/>
          <w:sz w:val="24"/>
          <w:szCs w:val="24"/>
        </w:rPr>
        <w:t xml:space="preserve">w wyniku zwrotu kwot wskazanych w </w:t>
      </w:r>
      <w:r w:rsidRPr="009A3C86">
        <w:rPr>
          <w:rFonts w:ascii="Times New Roman" w:hAnsi="Times New Roman"/>
          <w:b/>
          <w:color w:val="000000"/>
          <w:sz w:val="24"/>
          <w:szCs w:val="24"/>
        </w:rPr>
        <w:t xml:space="preserve">art. 185 </w:t>
      </w:r>
      <w:r w:rsidRPr="009A3C86">
        <w:rPr>
          <w:rFonts w:ascii="Times New Roman" w:eastAsia="Times New Roman" w:hAnsi="Times New Roman"/>
          <w:b/>
          <w:bCs/>
          <w:sz w:val="24"/>
          <w:szCs w:val="24"/>
          <w:lang w:eastAsia="pl-PL"/>
        </w:rPr>
        <w:t xml:space="preserve">§ 1 </w:t>
      </w:r>
      <w:r w:rsidRPr="009A3C86">
        <w:rPr>
          <w:rFonts w:ascii="Times New Roman" w:hAnsi="Times New Roman"/>
          <w:color w:val="000000"/>
          <w:sz w:val="24"/>
          <w:szCs w:val="24"/>
        </w:rPr>
        <w:t>nastąpi bezpodstawne wzbogacenie,</w:t>
      </w:r>
      <w:r w:rsidRPr="009A3C86">
        <w:rPr>
          <w:rFonts w:ascii="Times New Roman" w:hAnsi="Times New Roman"/>
          <w:sz w:val="24"/>
          <w:szCs w:val="24"/>
          <w:shd w:val="clear" w:color="auto" w:fill="FFFFFF"/>
        </w:rPr>
        <w:t xml:space="preserve"> powinno być rozpatrywane na gruncie ustaw podatkowych, zgodnie z zasadami ogólnymi prawa podatkowego, prawami i obowiązkami zobowiązanego wynikającymi z Ordynacji podatkowej a także orzecznictwem TK oraz TSUE wydanym na gruncie przepisów prawa podatkowego. </w:t>
      </w:r>
    </w:p>
    <w:p w:rsidR="00FB7DE9" w:rsidRPr="009A3C86" w:rsidRDefault="00FB7DE9" w:rsidP="00FB7DE9">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Przepis </w:t>
      </w:r>
      <w:r w:rsidRPr="009A3C86">
        <w:rPr>
          <w:rFonts w:ascii="Times New Roman" w:eastAsia="Times New Roman" w:hAnsi="Times New Roman"/>
          <w:b/>
          <w:sz w:val="24"/>
          <w:szCs w:val="24"/>
          <w:lang w:eastAsia="pl-PL"/>
        </w:rPr>
        <w:t xml:space="preserve">art. 185 </w:t>
      </w:r>
      <w:r w:rsidRPr="009A3C86">
        <w:rPr>
          <w:rFonts w:ascii="Times New Roman" w:eastAsia="Times New Roman" w:hAnsi="Times New Roman"/>
          <w:b/>
          <w:bCs/>
          <w:sz w:val="24"/>
          <w:szCs w:val="24"/>
          <w:lang w:eastAsia="pl-PL"/>
        </w:rPr>
        <w:t>§ 2</w:t>
      </w:r>
      <w:r w:rsidRPr="009A3C86">
        <w:rPr>
          <w:rFonts w:ascii="Times New Roman" w:eastAsia="Times New Roman" w:hAnsi="Times New Roman"/>
          <w:sz w:val="24"/>
          <w:szCs w:val="24"/>
          <w:lang w:eastAsia="pl-PL"/>
        </w:rPr>
        <w:t xml:space="preserve"> ma „zapobiegać” możliwości powstania bezpodstawnego wzbogacenia. Z tego powodu w przepisie tym użyto czasu przyszłego – w wyniku zwrotu „nastąpi” bezpodstawne wzbogacenie. Rozwiązanie to powinno jednocześnie jasno określać moment istotny dla badania okoliczności mogących świadczyć o bezpodstawnym wzbogaceniu. Zaistnienie bezpodstawnego wzbogacenia u podmiotu ubiegającego się o nadpłatę może być bowiem okolicznością zmienną w czasie. Na przykład w sytuacji zaliczenia czy zwrotu nadpłaty w ustawowym terminie może nie nastąpić bezpodstawne wzbogacenie, ale może ono </w:t>
      </w:r>
      <w:r w:rsidRPr="009A3C86">
        <w:rPr>
          <w:rFonts w:ascii="Times New Roman" w:eastAsia="Times New Roman" w:hAnsi="Times New Roman"/>
          <w:sz w:val="24"/>
          <w:szCs w:val="24"/>
          <w:lang w:eastAsia="pl-PL"/>
        </w:rPr>
        <w:lastRenderedPageBreak/>
        <w:t>mieć miejsce w przypadku dokonywania takiego zwrotu po dłuższym czasie, zależnym przede wszystkim od organu kwestionującego zwrot i dowodzącego bezpodstawne wzbogacenie. Jako zasadne należy przyjąć, że organ prowadzący postępowanie powinien zbadać wszelkie dotyczące możliwości powstania bezpodstawnego wzbogacenia, uwzględniając stan faktyczny istniejący do dnia wydawania decyzji w sprawie nadpłaty. Gdy decyzja w sprawie nadpłaty nie będzie wydawana, organ prowadzący postępowanie powinien zbadać wszelkie okoliczności dotyczące możliwości powstania bezpodstawnego wzbogacenia, uwzględniając stan faktyczny istniejący do dnia dokonania zwrotu lub zaliczenia nadpłaty . W celu ograniczenia możliwości przedłużania terminu do wydawania ww. decyzji przez organ podatkowy powinno zostać wprowadzone ograniczenie w art. 185. Z tego też względu zostały wprowadzone regulacje zawarte w</w:t>
      </w:r>
      <w:r w:rsidR="00F71431" w:rsidRPr="009A3C86">
        <w:rPr>
          <w:rFonts w:ascii="Times New Roman" w:eastAsia="Times New Roman" w:hAnsi="Times New Roman"/>
          <w:sz w:val="24"/>
          <w:szCs w:val="24"/>
          <w:lang w:eastAsia="pl-PL"/>
        </w:rPr>
        <w:t xml:space="preserve"> </w:t>
      </w:r>
      <w:r w:rsidR="00F71431" w:rsidRPr="009A3C86">
        <w:t>§</w:t>
      </w:r>
      <w:r w:rsidRPr="009A3C86">
        <w:rPr>
          <w:rFonts w:ascii="Times New Roman" w:eastAsia="Times New Roman" w:hAnsi="Times New Roman"/>
          <w:sz w:val="24"/>
          <w:szCs w:val="24"/>
          <w:lang w:eastAsia="pl-PL"/>
        </w:rPr>
        <w:t xml:space="preserve"> 3 i 4. Jeżeli zatem organ podatkowy wyda decyzję w sprawie nadpłaty po upływie 2 miesięcy od złożenia wniosku o stwierdzenie nadpłaty lub złożeniu deklaracji, o której mowa w art. 186 § 2, powinien on uwzględnić stan faktyczny na dzień upływu tego okresu. W ten sposób będziemy mieli do czynienia z „zamrożeniem” stanu faktycznego, w którym może zostać przeprowadzona weryfikacja pod kątem bezpodstawnego wzbogacenia. Uzasadniając wprowadzenie 2 miesięcznego okresu, należy zwrócić uwagę na art. 2</w:t>
      </w:r>
      <w:r w:rsidR="00CD5D3E" w:rsidRPr="009A3C86">
        <w:rPr>
          <w:rFonts w:ascii="Times New Roman" w:eastAsia="Times New Roman" w:hAnsi="Times New Roman"/>
          <w:sz w:val="24"/>
          <w:szCs w:val="24"/>
          <w:lang w:eastAsia="pl-PL"/>
        </w:rPr>
        <w:t>20</w:t>
      </w:r>
      <w:r w:rsidRPr="009A3C86">
        <w:rPr>
          <w:rFonts w:ascii="Times New Roman" w:eastAsia="Times New Roman" w:hAnsi="Times New Roman"/>
          <w:sz w:val="24"/>
          <w:szCs w:val="24"/>
          <w:lang w:eastAsia="pl-PL"/>
        </w:rPr>
        <w:t xml:space="preserve"> pkt 3, z którego wynika, że organ podatkowy powinien w ciągu 2 miesięcy zakończyć postępowanie w sprawie nadpłaty wszczęte wnioskiem podatnika w sprawie nadpłaty, pod rygorem zwrotu nadpłaty wraz z oprocentowaniem. Okres taki jest zatem, co do zasady, wystarczający do wydania ww. decyzji także w zakresie weryfikacji przesłanki bezpodstawnego wzbogacenia. </w:t>
      </w:r>
    </w:p>
    <w:p w:rsidR="00FB7DE9" w:rsidRPr="009A3C86" w:rsidRDefault="00FB7DE9" w:rsidP="00FB7DE9">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 przypadku gdy nadpłata nie będzie stwierdzana w drodze decyzji organ podatkowy, badając przesłankę bezpodstawności wzbogacenia, powinien weryfikację w tym zakresie ograniczyć do dnia wynikającego z przepisów prawa podatkowego dokonania zwrotu. Terminy zwrotu nadpłaty zostały określone zostały określone w art. 2</w:t>
      </w:r>
      <w:r w:rsidR="00E37FA5" w:rsidRPr="009A3C86">
        <w:rPr>
          <w:rFonts w:ascii="Times New Roman" w:eastAsia="Times New Roman" w:hAnsi="Times New Roman"/>
          <w:sz w:val="24"/>
          <w:szCs w:val="24"/>
          <w:lang w:eastAsia="pl-PL"/>
        </w:rPr>
        <w:t>14</w:t>
      </w:r>
      <w:r w:rsidRPr="009A3C86">
        <w:rPr>
          <w:rFonts w:ascii="Times New Roman" w:eastAsia="Times New Roman" w:hAnsi="Times New Roman"/>
          <w:sz w:val="24"/>
          <w:szCs w:val="24"/>
          <w:lang w:eastAsia="pl-PL"/>
        </w:rPr>
        <w:t>-2</w:t>
      </w:r>
      <w:r w:rsidR="00E37FA5" w:rsidRPr="009A3C86">
        <w:rPr>
          <w:rFonts w:ascii="Times New Roman" w:eastAsia="Times New Roman" w:hAnsi="Times New Roman"/>
          <w:sz w:val="24"/>
          <w:szCs w:val="24"/>
          <w:lang w:eastAsia="pl-PL"/>
        </w:rPr>
        <w:t>18</w:t>
      </w:r>
      <w:r w:rsidRPr="009A3C86">
        <w:rPr>
          <w:rFonts w:ascii="Times New Roman" w:eastAsia="Times New Roman" w:hAnsi="Times New Roman"/>
          <w:sz w:val="24"/>
          <w:szCs w:val="24"/>
          <w:lang w:eastAsia="pl-PL"/>
        </w:rPr>
        <w:t xml:space="preserve">. Mamy więc w tym przypadku regulację, która zapewnia „zamrożenie” stanu faktycznego analogicznym jak wskazano powyżej. W przypadku gdy będzie zasadne zaliczenia nadpłaty, a w sprawie nie będzie wydawana decyzja w sprawie nadpłaty, dniem, na który będzie następowało ustalenie bezpodstawnego wzbogacenia będzie dzień wydania postanowienia o zaliczenia nadpłaty, a jeżeli organ podatkowy wyda to postanowienie po upływie 7 dni od zaistnienia okoliczności uzasadniającej wydanie tego postanowienia, organ podatkowy uwzględni stan faktyczny na dzień upływu tego okresu. Termin ten jest wystarczający do wydania postanowienia w tej sprawie. Wydanie tego rozstrzygnięcia nie wymaga bowiem np. postępowania dowodowego. Termin taki występuje również w innych regulacjach NOP wyznaczając czas na podjęcia </w:t>
      </w:r>
      <w:r w:rsidRPr="009A3C86">
        <w:rPr>
          <w:rFonts w:ascii="Times New Roman" w:eastAsia="Times New Roman" w:hAnsi="Times New Roman"/>
          <w:sz w:val="24"/>
          <w:szCs w:val="24"/>
          <w:lang w:eastAsia="pl-PL"/>
        </w:rPr>
        <w:lastRenderedPageBreak/>
        <w:t>określonych czynności odnoszących się zarówno do podatnika jak i organu podatkowego (np. art. 3</w:t>
      </w:r>
      <w:r w:rsidR="00E37FA5" w:rsidRPr="009A3C86">
        <w:rPr>
          <w:rFonts w:ascii="Times New Roman" w:eastAsia="Times New Roman" w:hAnsi="Times New Roman"/>
          <w:sz w:val="24"/>
          <w:szCs w:val="24"/>
          <w:lang w:eastAsia="pl-PL"/>
        </w:rPr>
        <w:t>27</w:t>
      </w:r>
      <w:r w:rsidRPr="009A3C86">
        <w:rPr>
          <w:rFonts w:ascii="Times New Roman" w:eastAsia="Times New Roman" w:hAnsi="Times New Roman"/>
          <w:sz w:val="24"/>
          <w:szCs w:val="24"/>
          <w:lang w:eastAsia="pl-PL"/>
        </w:rPr>
        <w:t xml:space="preserve"> </w:t>
      </w:r>
      <w:r w:rsidR="00F71431" w:rsidRPr="009A3C86">
        <w:t>§</w:t>
      </w:r>
      <w:r w:rsidRPr="009A3C86">
        <w:rPr>
          <w:rFonts w:ascii="Times New Roman" w:eastAsia="Times New Roman" w:hAnsi="Times New Roman"/>
          <w:sz w:val="24"/>
          <w:szCs w:val="24"/>
          <w:lang w:eastAsia="pl-PL"/>
        </w:rPr>
        <w:t xml:space="preserve"> 3, 3</w:t>
      </w:r>
      <w:r w:rsidR="00E37FA5" w:rsidRPr="009A3C86">
        <w:rPr>
          <w:rFonts w:ascii="Times New Roman" w:eastAsia="Times New Roman" w:hAnsi="Times New Roman"/>
          <w:sz w:val="24"/>
          <w:szCs w:val="24"/>
          <w:lang w:eastAsia="pl-PL"/>
        </w:rPr>
        <w:t>52</w:t>
      </w:r>
      <w:r w:rsidRPr="009A3C86">
        <w:rPr>
          <w:rFonts w:ascii="Times New Roman" w:eastAsia="Times New Roman" w:hAnsi="Times New Roman"/>
          <w:sz w:val="24"/>
          <w:szCs w:val="24"/>
          <w:lang w:eastAsia="pl-PL"/>
        </w:rPr>
        <w:t xml:space="preserve"> </w:t>
      </w:r>
      <w:r w:rsidR="00F71431" w:rsidRPr="009A3C86">
        <w:t>§</w:t>
      </w:r>
      <w:r w:rsidRPr="009A3C86">
        <w:rPr>
          <w:rFonts w:ascii="Times New Roman" w:eastAsia="Times New Roman" w:hAnsi="Times New Roman"/>
          <w:sz w:val="24"/>
          <w:szCs w:val="24"/>
          <w:lang w:eastAsia="pl-PL"/>
        </w:rPr>
        <w:t xml:space="preserve"> 3, 3</w:t>
      </w:r>
      <w:r w:rsidR="00E37FA5" w:rsidRPr="009A3C86">
        <w:rPr>
          <w:rFonts w:ascii="Times New Roman" w:eastAsia="Times New Roman" w:hAnsi="Times New Roman"/>
          <w:sz w:val="24"/>
          <w:szCs w:val="24"/>
          <w:lang w:eastAsia="pl-PL"/>
        </w:rPr>
        <w:t>67</w:t>
      </w:r>
      <w:r w:rsidRPr="009A3C86">
        <w:rPr>
          <w:rFonts w:ascii="Times New Roman" w:eastAsia="Times New Roman" w:hAnsi="Times New Roman"/>
          <w:sz w:val="24"/>
          <w:szCs w:val="24"/>
          <w:lang w:eastAsia="pl-PL"/>
        </w:rPr>
        <w:t xml:space="preserve"> </w:t>
      </w:r>
      <w:r w:rsidR="00F71431" w:rsidRPr="009A3C86">
        <w:t xml:space="preserve">§ </w:t>
      </w:r>
      <w:r w:rsidRPr="009A3C86">
        <w:rPr>
          <w:rFonts w:ascii="Times New Roman" w:eastAsia="Times New Roman" w:hAnsi="Times New Roman"/>
          <w:sz w:val="24"/>
          <w:szCs w:val="24"/>
          <w:lang w:eastAsia="pl-PL"/>
        </w:rPr>
        <w:t>1).</w:t>
      </w:r>
    </w:p>
    <w:p w:rsidR="00FB7DE9" w:rsidRPr="009A3C86" w:rsidRDefault="00FB7DE9" w:rsidP="00FB7DE9">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Przyjęcie takiego rozwiązania w art. 185 § 3 i 4 jest bardziej zasadne niż np. ustalenie bezpodstawnego wzbogacenia na dzień, w którym powstała nadpłata (zob. art. 186). Często dopiero po tym dniu może dojść do zdarzeń, które mogą prowadzić np. do przerzucenia ciężaru ekonomicznego podatku w VAT lub podatku akcyzowym. Ewentualne zaistnienie okoliczności prowadzących do powstania bezpodstawnego wzbogacenia po wydaniu decyzji, o której mowa wyżej nie będzie skutkowało możliwością odebrania podatnikowi prawa do nadpłaty. Wyjątkiem będzie jednak np. sytuacja, w której nastąpi weryfikacja decyzji ostatecznej w ramach tzw. nadzwyczajnych trybów weryfikacji decyzji ostatecznej, gdy m.in. nadpłata zostanie zwrócona w oparciu o fałszywe dowody. Przedstawione wyżej rozwiązanie zapewnia organowi podatkowemu możliwości zbadania okoliczności, które miały miejsce po powstaniu nadpłaty, a nawet po złożeniu wniosku w sprawie nadpłaty. Nie narusza to jednocześnie praw podatnika, gdyż ciężar dowodzenia w zakresie wszelkich okoliczności dotyczących bezpodstawnego wzbogacenia w kontekście nadpłaty jest po stronie organu podatkowego.  </w:t>
      </w:r>
    </w:p>
    <w:p w:rsidR="00FB7DE9" w:rsidRPr="009A3C86" w:rsidRDefault="00FB7DE9" w:rsidP="00463D52">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Podatnikowi rozwiązanie to daje bowiem stabilizację jego sytuacji wynikającej z wydanego rozstrzygnięcia dotyczącego nadpłaty albo zwróconej lub zaliczonej nadpłaty bez wydawanie tej decyzji.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bCs/>
          <w:sz w:val="24"/>
          <w:szCs w:val="24"/>
        </w:rPr>
        <w:t xml:space="preserve">2. Przepis </w:t>
      </w:r>
      <w:r w:rsidRPr="009A3C86">
        <w:rPr>
          <w:rFonts w:ascii="Times New Roman" w:hAnsi="Times New Roman"/>
          <w:b/>
          <w:sz w:val="24"/>
          <w:szCs w:val="24"/>
        </w:rPr>
        <w:t>art. 1</w:t>
      </w:r>
      <w:r w:rsidR="00FB4F46" w:rsidRPr="009A3C86">
        <w:rPr>
          <w:rFonts w:ascii="Times New Roman" w:hAnsi="Times New Roman"/>
          <w:b/>
          <w:sz w:val="24"/>
          <w:szCs w:val="24"/>
        </w:rPr>
        <w:t>86</w:t>
      </w:r>
      <w:r w:rsidRPr="009A3C86">
        <w:rPr>
          <w:rFonts w:ascii="Times New Roman" w:hAnsi="Times New Roman"/>
          <w:sz w:val="24"/>
          <w:szCs w:val="24"/>
        </w:rPr>
        <w:t xml:space="preserve"> jest odpowiednikiem art. 73 o.p. Projektowany przepis został jednak uproszczony w związku z eliminacją kazuistyki zawartej w art. 73 o.p. Było to możliwe na skutek przyjęcia nowej definicji nadpłaty zawartej w art. 1</w:t>
      </w:r>
      <w:r w:rsidR="00A3208B" w:rsidRPr="009A3C86">
        <w:rPr>
          <w:rFonts w:ascii="Times New Roman" w:hAnsi="Times New Roman"/>
          <w:sz w:val="24"/>
          <w:szCs w:val="24"/>
        </w:rPr>
        <w:t>85</w:t>
      </w:r>
      <w:r w:rsidRPr="009A3C86">
        <w:rPr>
          <w:rFonts w:ascii="Times New Roman" w:hAnsi="Times New Roman"/>
          <w:sz w:val="24"/>
          <w:szCs w:val="24"/>
        </w:rPr>
        <w:t xml:space="preserve">. Przepisy </w:t>
      </w:r>
      <w:r w:rsidRPr="009A3C86">
        <w:rPr>
          <w:rFonts w:ascii="Times New Roman" w:hAnsi="Times New Roman"/>
          <w:b/>
          <w:sz w:val="24"/>
          <w:szCs w:val="24"/>
        </w:rPr>
        <w:t>art. 1</w:t>
      </w:r>
      <w:r w:rsidR="00FB4F46" w:rsidRPr="009A3C86">
        <w:rPr>
          <w:rFonts w:ascii="Times New Roman" w:hAnsi="Times New Roman"/>
          <w:b/>
          <w:sz w:val="24"/>
          <w:szCs w:val="24"/>
        </w:rPr>
        <w:t>86</w:t>
      </w:r>
      <w:r w:rsidRPr="009A3C86">
        <w:rPr>
          <w:rFonts w:ascii="Times New Roman" w:hAnsi="Times New Roman"/>
          <w:b/>
          <w:sz w:val="24"/>
          <w:szCs w:val="24"/>
        </w:rPr>
        <w:t xml:space="preserve"> § 1- 2</w:t>
      </w:r>
      <w:r w:rsidRPr="009A3C86">
        <w:rPr>
          <w:rFonts w:ascii="Times New Roman" w:hAnsi="Times New Roman"/>
          <w:sz w:val="24"/>
          <w:szCs w:val="24"/>
        </w:rPr>
        <w:t xml:space="preserve"> nie mogą być odczytane w oderwaniu od definicji nadpłaty zawartej w art. 1</w:t>
      </w:r>
      <w:r w:rsidR="00A3208B" w:rsidRPr="009A3C86">
        <w:rPr>
          <w:rFonts w:ascii="Times New Roman" w:hAnsi="Times New Roman"/>
          <w:sz w:val="24"/>
          <w:szCs w:val="24"/>
        </w:rPr>
        <w:t>85</w:t>
      </w:r>
      <w:r w:rsidRPr="009A3C86">
        <w:rPr>
          <w:rFonts w:ascii="Times New Roman" w:hAnsi="Times New Roman"/>
          <w:sz w:val="24"/>
          <w:szCs w:val="24"/>
        </w:rPr>
        <w:t>. Rodzi to określone konsekwencje. Jedną z nich jest to, iż powstanie nadpłaty następuje w dniu zapłaty podatku, o którym mowa w § 1 lub złożenia deklaracji, o której mowa w § 2, ale jedynie w przypadku spełnienia warunków, o których mowa w art. 1</w:t>
      </w:r>
      <w:r w:rsidR="00FB4F46" w:rsidRPr="009A3C86">
        <w:rPr>
          <w:rFonts w:ascii="Times New Roman" w:hAnsi="Times New Roman"/>
          <w:sz w:val="24"/>
          <w:szCs w:val="24"/>
        </w:rPr>
        <w:t>86</w:t>
      </w:r>
      <w:r w:rsidRPr="009A3C86">
        <w:rPr>
          <w:rFonts w:ascii="Times New Roman" w:hAnsi="Times New Roman"/>
          <w:sz w:val="24"/>
          <w:szCs w:val="24"/>
        </w:rPr>
        <w:t xml:space="preserve"> § 1, tj. gdy zapłacono podatek w wysokości wyższej od należnej lub gdy wpłacona kwota jest w ogóle nienależna, ale została wpłacona w przeświadczeniu istnienia obowiązku zapłaty podatku.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86</w:t>
      </w:r>
      <w:r w:rsidRPr="009A3C86">
        <w:rPr>
          <w:rFonts w:ascii="Times New Roman" w:hAnsi="Times New Roman"/>
          <w:b/>
          <w:sz w:val="24"/>
          <w:szCs w:val="24"/>
        </w:rPr>
        <w:t xml:space="preserve"> § 1</w:t>
      </w:r>
      <w:r w:rsidRPr="009A3C86">
        <w:rPr>
          <w:rFonts w:ascii="Times New Roman" w:hAnsi="Times New Roman"/>
          <w:sz w:val="24"/>
          <w:szCs w:val="24"/>
        </w:rPr>
        <w:t xml:space="preserve"> zawiera ogólną zasadę, zgodnie z którą nadpłata powstaje w dniu zapłaty podatku. Ma on zastosowanie w każdym przypadku, z wyjątkiem sytuacji określonych w art. 1</w:t>
      </w:r>
      <w:r w:rsidR="00A3208B" w:rsidRPr="009A3C86">
        <w:rPr>
          <w:rFonts w:ascii="Times New Roman" w:hAnsi="Times New Roman"/>
          <w:sz w:val="24"/>
          <w:szCs w:val="24"/>
        </w:rPr>
        <w:t>86</w:t>
      </w:r>
      <w:r w:rsidRPr="009A3C86">
        <w:rPr>
          <w:rFonts w:ascii="Times New Roman" w:hAnsi="Times New Roman"/>
          <w:sz w:val="24"/>
          <w:szCs w:val="24"/>
        </w:rPr>
        <w:t xml:space="preserve"> § 2. Przepis ten ma zatem zastosowanie m.in. w sytuacji, gdy nadpłata jest wykazywana we wniosku o stwierdzenie nadpłaty (art. 1</w:t>
      </w:r>
      <w:r w:rsidR="00A3208B" w:rsidRPr="009A3C86">
        <w:rPr>
          <w:rFonts w:ascii="Times New Roman" w:hAnsi="Times New Roman"/>
          <w:sz w:val="24"/>
          <w:szCs w:val="24"/>
        </w:rPr>
        <w:t>89</w:t>
      </w:r>
      <w:r w:rsidRPr="009A3C86">
        <w:rPr>
          <w:rFonts w:ascii="Times New Roman" w:hAnsi="Times New Roman"/>
          <w:sz w:val="24"/>
          <w:szCs w:val="24"/>
        </w:rPr>
        <w:t>), bez korekty deklaracji, ale także gdy organ podatkowy zwraca nadpłatę bez wydawania decyzji, w trybie art. 18</w:t>
      </w:r>
      <w:r w:rsidR="00A3208B" w:rsidRPr="009A3C86">
        <w:rPr>
          <w:rFonts w:ascii="Times New Roman" w:hAnsi="Times New Roman"/>
          <w:sz w:val="24"/>
          <w:szCs w:val="24"/>
        </w:rPr>
        <w:t>5</w:t>
      </w:r>
      <w:r w:rsidRPr="009A3C86">
        <w:rPr>
          <w:rFonts w:ascii="Times New Roman" w:hAnsi="Times New Roman"/>
          <w:sz w:val="24"/>
          <w:szCs w:val="24"/>
        </w:rPr>
        <w:t xml:space="preserve">, gdy podatnik np. zapłacił podatek w wysokości wyższej niż wykazana w deklaracji lub decyzji.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bCs/>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86</w:t>
      </w:r>
      <w:r w:rsidRPr="009A3C86">
        <w:rPr>
          <w:rFonts w:ascii="Times New Roman" w:hAnsi="Times New Roman"/>
          <w:b/>
          <w:sz w:val="24"/>
          <w:szCs w:val="24"/>
        </w:rPr>
        <w:t xml:space="preserve"> § 2</w:t>
      </w:r>
      <w:r w:rsidRPr="009A3C86">
        <w:rPr>
          <w:rFonts w:ascii="Times New Roman" w:hAnsi="Times New Roman"/>
          <w:sz w:val="24"/>
          <w:szCs w:val="24"/>
        </w:rPr>
        <w:t xml:space="preserve"> zawiera wyjątek od zasady wyrażonej w art. 1</w:t>
      </w:r>
      <w:r w:rsidR="00A3208B" w:rsidRPr="009A3C86">
        <w:rPr>
          <w:rFonts w:ascii="Times New Roman" w:hAnsi="Times New Roman"/>
          <w:sz w:val="24"/>
          <w:szCs w:val="24"/>
        </w:rPr>
        <w:t>86</w:t>
      </w:r>
      <w:r w:rsidRPr="009A3C86">
        <w:rPr>
          <w:rFonts w:ascii="Times New Roman" w:hAnsi="Times New Roman"/>
          <w:sz w:val="24"/>
          <w:szCs w:val="24"/>
        </w:rPr>
        <w:t xml:space="preserve"> § 1. Ma on zastosowanie </w:t>
      </w:r>
      <w:r w:rsidRPr="009A3C86">
        <w:rPr>
          <w:rFonts w:ascii="Times New Roman" w:hAnsi="Times New Roman"/>
          <w:sz w:val="24"/>
          <w:szCs w:val="24"/>
        </w:rPr>
        <w:lastRenderedPageBreak/>
        <w:t>w przypadku, gdy wysokość nadpłaty jest określana przez zobowiązanego w deklaracjach. Dotyczy to sytuacji, gdy z ustawy podatkowej wynika obowiązek zapłaty zaliczek na podatek. W konsekwencji nadpłata powstaje w dniu złożenia: zeznania rocznego (deklaracji) dla podatników podatku dochodowego; deklaracji rocznej dla podatników specjalnego podatku węglowodorowego; deklaracji dla podatku akcyzowego dla podatników podatku akcyzowego; deklaracji o wpłatach z zysku za rok obrotowy dla jednoosobowych spółek</w:t>
      </w:r>
      <w:r w:rsidRPr="009A3C86">
        <w:rPr>
          <w:rFonts w:ascii="Times New Roman" w:eastAsia="MS Mincho" w:hAnsi="Times New Roman"/>
          <w:sz w:val="24"/>
          <w:szCs w:val="24"/>
        </w:rPr>
        <w:t xml:space="preserve"> </w:t>
      </w:r>
      <w:r w:rsidRPr="009A3C86">
        <w:rPr>
          <w:rFonts w:ascii="Times New Roman" w:hAnsi="Times New Roman"/>
          <w:sz w:val="24"/>
          <w:szCs w:val="24"/>
        </w:rPr>
        <w:t xml:space="preserve">Skarbu Państwa i przedsiębiorstw państwowych.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86</w:t>
      </w:r>
      <w:r w:rsidRPr="009A3C86">
        <w:rPr>
          <w:rFonts w:ascii="Times New Roman" w:hAnsi="Times New Roman"/>
          <w:b/>
          <w:sz w:val="24"/>
          <w:szCs w:val="24"/>
        </w:rPr>
        <w:t xml:space="preserve"> § 2</w:t>
      </w:r>
      <w:r w:rsidRPr="009A3C86">
        <w:rPr>
          <w:rFonts w:ascii="Times New Roman" w:hAnsi="Times New Roman"/>
          <w:sz w:val="24"/>
          <w:szCs w:val="24"/>
        </w:rPr>
        <w:t xml:space="preserve"> nie dotyczy natomiast innych przypadków niż w nim wskazane, w których istnieje obowiązek złożenia deklaracji podatkowej, np. podatku od towarów i usług, podatku od środków transportowych, podatku od nieruchomości. Oznacza to, że w takich podatkach nadpłata powstaje w dniu zapłaty podatku, nie zaś w dniu złożenia deklaracji podatkowej, nawet jeśli przepisy zobowiązują do jej złożenia.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eastAsia="MS Mincho"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191 § 2</w:t>
      </w:r>
      <w:r w:rsidRPr="009A3C86">
        <w:rPr>
          <w:rFonts w:ascii="Times New Roman" w:hAnsi="Times New Roman"/>
          <w:sz w:val="24"/>
          <w:szCs w:val="24"/>
        </w:rPr>
        <w:t xml:space="preserve"> ma również bezpośrednie zastosowanie w przypadku wykazania nadpłaty lub jej zwiększenia dopiero w korekcie deklaracji, o których mowa w tych przypisach. Przykładowo, jeżeli podatnik złożył zeznanie, np. w PIT w dniu 20 kwietnia 2017 r. i zapłacił 30 kwietnia 2017 r. podatek w wysokości 10 tys. zł (oprócz tego wcześniej na podstawie zaliczek w trakcie 2016 r. zapłacił 5 tys. zł), a następnie 20 czerwca 2017 r. skorygował deklarację, z której wynikała nadpłata, np. w kwocie 15 tys. zł, należy uznać, że nadpłata ta powstała w kwocie 5 tys. zł w dniu złożenia deklaracji (20 kwietnia) i dodatkowo w kwocie 10 tys. zł w dniu zapłaty podatku (30 kwietnia), nie zaś korekty deklaracji (20 czerwca). Nadpłata w kwocie 5 tys. zł jest bowiem konsekwencją nadwyżki wpłaconych w trakcie roku podatkowego zaliczek, a 10 tys. zł zostało nadpłaconych już po złożeniu deklaracji. W tym przypadku ma bowiem zastosowanie sformułowanie z art. 1</w:t>
      </w:r>
      <w:r w:rsidR="00A3208B" w:rsidRPr="009A3C86">
        <w:rPr>
          <w:rFonts w:ascii="Times New Roman" w:hAnsi="Times New Roman"/>
          <w:sz w:val="24"/>
          <w:szCs w:val="24"/>
        </w:rPr>
        <w:t>86</w:t>
      </w:r>
      <w:r w:rsidRPr="009A3C86">
        <w:rPr>
          <w:rFonts w:ascii="Times New Roman" w:hAnsi="Times New Roman"/>
          <w:sz w:val="24"/>
          <w:szCs w:val="24"/>
        </w:rPr>
        <w:t xml:space="preserve"> § 2, na podstawie którego nadpłata powstaje z dniem złożenia deklaracji, ale jedynie </w:t>
      </w:r>
      <w:r w:rsidRPr="009A3C86">
        <w:rPr>
          <w:rFonts w:ascii="Times New Roman" w:eastAsia="MS Mincho" w:hAnsi="Times New Roman"/>
          <w:sz w:val="24"/>
          <w:szCs w:val="24"/>
        </w:rPr>
        <w:t xml:space="preserve">w zakresie podatku zapłaconego przed złożeniem deklaracji. Należy zwrócić uwagę, że nadpłata w przypadkach, o których mowa w </w:t>
      </w:r>
      <w:r w:rsidRPr="009A3C86">
        <w:rPr>
          <w:rFonts w:ascii="Times New Roman" w:hAnsi="Times New Roman"/>
          <w:sz w:val="24"/>
          <w:szCs w:val="24"/>
        </w:rPr>
        <w:t>art. 1</w:t>
      </w:r>
      <w:r w:rsidR="00A3208B" w:rsidRPr="009A3C86">
        <w:rPr>
          <w:rFonts w:ascii="Times New Roman" w:hAnsi="Times New Roman"/>
          <w:sz w:val="24"/>
          <w:szCs w:val="24"/>
        </w:rPr>
        <w:t>86</w:t>
      </w:r>
      <w:r w:rsidRPr="009A3C86">
        <w:rPr>
          <w:rFonts w:ascii="Times New Roman" w:hAnsi="Times New Roman"/>
          <w:sz w:val="24"/>
          <w:szCs w:val="24"/>
        </w:rPr>
        <w:t xml:space="preserve"> § 2, może powstać z dniem złożeniem deklaracji, ale także po tym terminie.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Rozwiązanie zawarte w </w:t>
      </w:r>
      <w:r w:rsidRPr="009A3C86">
        <w:rPr>
          <w:rFonts w:ascii="Times New Roman" w:hAnsi="Times New Roman"/>
          <w:b/>
          <w:sz w:val="24"/>
          <w:szCs w:val="24"/>
        </w:rPr>
        <w:t>art. 1</w:t>
      </w:r>
      <w:r w:rsidR="00A3208B" w:rsidRPr="009A3C86">
        <w:rPr>
          <w:rFonts w:ascii="Times New Roman" w:hAnsi="Times New Roman"/>
          <w:b/>
          <w:sz w:val="24"/>
          <w:szCs w:val="24"/>
        </w:rPr>
        <w:t>86</w:t>
      </w:r>
      <w:r w:rsidRPr="009A3C86">
        <w:rPr>
          <w:rFonts w:ascii="Times New Roman" w:hAnsi="Times New Roman"/>
          <w:b/>
          <w:sz w:val="24"/>
          <w:szCs w:val="24"/>
        </w:rPr>
        <w:t xml:space="preserve"> § 2</w:t>
      </w:r>
      <w:r w:rsidRPr="009A3C86">
        <w:rPr>
          <w:rFonts w:ascii="Times New Roman" w:hAnsi="Times New Roman"/>
          <w:sz w:val="24"/>
          <w:szCs w:val="24"/>
        </w:rPr>
        <w:t xml:space="preserve"> ma decydujące znaczenie dla zasad zaliczania nadpłaty na rzecz zaległości podatkowych lub innych należności, które są określone w art. </w:t>
      </w:r>
      <w:r w:rsidR="00E37FA5" w:rsidRPr="009A3C86">
        <w:rPr>
          <w:rFonts w:ascii="Times New Roman" w:hAnsi="Times New Roman"/>
          <w:sz w:val="24"/>
          <w:szCs w:val="24"/>
        </w:rPr>
        <w:t>205</w:t>
      </w:r>
      <w:r w:rsidRPr="009A3C86">
        <w:rPr>
          <w:rFonts w:ascii="Times New Roman" w:hAnsi="Times New Roman"/>
          <w:sz w:val="24"/>
          <w:szCs w:val="24"/>
        </w:rPr>
        <w:t xml:space="preserve"> i art. </w:t>
      </w:r>
      <w:r w:rsidR="00E37FA5" w:rsidRPr="009A3C86">
        <w:rPr>
          <w:rFonts w:ascii="Times New Roman" w:hAnsi="Times New Roman"/>
          <w:sz w:val="24"/>
          <w:szCs w:val="24"/>
        </w:rPr>
        <w:t>206</w:t>
      </w:r>
      <w:r w:rsidRPr="009A3C86">
        <w:rPr>
          <w:rFonts w:ascii="Times New Roman" w:hAnsi="Times New Roman"/>
          <w:sz w:val="24"/>
          <w:szCs w:val="24"/>
        </w:rPr>
        <w:t xml:space="preserve">. Prowadzi ono do sprawiedliwego i wzajemnego zniesienia ciężarów organu podatkowego i zobowiązanego. Jeśli bowiem podatnik, o którym mowa wyżej, ma jednocześnie zaległość, np. w VAT, w kwocie 5 tys. zł, powstałą 25 marca 2017 r., to wykazana w korekcie nadpłata w PIT będzie zaliczona na tę zaległość z dniem 20 kwietnia (termin złożenia przez podatnika zeznania PIT, nie zaś dopiero z dniem skorygowania deklaracji PIT). Trudno jest uzasadnić rozwiązanie, w którym organ podatkowy dysponowałby nadpłatą w PIT i jednocześnie naliczałby odsetki od </w:t>
      </w:r>
      <w:r w:rsidRPr="009A3C86">
        <w:rPr>
          <w:rFonts w:ascii="Times New Roman" w:hAnsi="Times New Roman"/>
          <w:sz w:val="24"/>
          <w:szCs w:val="24"/>
        </w:rPr>
        <w:lastRenderedPageBreak/>
        <w:t xml:space="preserve">zaległości w VAT, aż do dnia złożenia korekty deklaracji lub złożenia wniosku o stwierdzenie nadpłaty. Zaliczenie, o którym mowa wyżej, może oczywiście nastąpić, jeśli na dzień korekty deklaracji w PIT, czyli dzień ujawnienia nadpłaty, zaległość w VAT nie została zapłacona przez podatnika lub od niego wyegzekwowana. W przeciwnym przypadku nie można byłoby dokonać zaliczenia, gdyż zgodnie z art. </w:t>
      </w:r>
      <w:r w:rsidR="001B5342" w:rsidRPr="009A3C86">
        <w:rPr>
          <w:rFonts w:ascii="Times New Roman" w:hAnsi="Times New Roman"/>
          <w:sz w:val="24"/>
          <w:szCs w:val="24"/>
        </w:rPr>
        <w:t>205</w:t>
      </w:r>
      <w:r w:rsidRPr="009A3C86">
        <w:rPr>
          <w:rFonts w:ascii="Times New Roman" w:hAnsi="Times New Roman"/>
          <w:sz w:val="24"/>
          <w:szCs w:val="24"/>
        </w:rPr>
        <w:t xml:space="preserve"> w zw. z art. </w:t>
      </w:r>
      <w:r w:rsidR="001B5342" w:rsidRPr="009A3C86">
        <w:rPr>
          <w:rFonts w:ascii="Times New Roman" w:hAnsi="Times New Roman"/>
          <w:sz w:val="24"/>
          <w:szCs w:val="24"/>
        </w:rPr>
        <w:t>206</w:t>
      </w:r>
      <w:r w:rsidRPr="009A3C86">
        <w:rPr>
          <w:rFonts w:ascii="Times New Roman" w:hAnsi="Times New Roman"/>
          <w:sz w:val="24"/>
          <w:szCs w:val="24"/>
        </w:rPr>
        <w:t xml:space="preserve"> zaliczenie nadpłaty na poczet należności, o których mowa w art. </w:t>
      </w:r>
      <w:r w:rsidR="001B5342" w:rsidRPr="009A3C86">
        <w:rPr>
          <w:rFonts w:ascii="Times New Roman" w:hAnsi="Times New Roman"/>
          <w:sz w:val="24"/>
          <w:szCs w:val="24"/>
        </w:rPr>
        <w:t>205</w:t>
      </w:r>
      <w:r w:rsidRPr="009A3C86">
        <w:rPr>
          <w:rFonts w:ascii="Times New Roman" w:hAnsi="Times New Roman"/>
          <w:sz w:val="24"/>
          <w:szCs w:val="24"/>
        </w:rPr>
        <w:t xml:space="preserve"> § 1, następuje z dniem powstania nadpłaty. </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A3208B" w:rsidRPr="009A3C86">
        <w:rPr>
          <w:rFonts w:ascii="Times New Roman" w:hAnsi="Times New Roman"/>
          <w:b/>
          <w:sz w:val="24"/>
          <w:szCs w:val="24"/>
        </w:rPr>
        <w:t>186</w:t>
      </w:r>
      <w:r w:rsidRPr="009A3C86">
        <w:rPr>
          <w:rFonts w:ascii="Times New Roman" w:hAnsi="Times New Roman"/>
          <w:b/>
          <w:sz w:val="24"/>
          <w:szCs w:val="24"/>
        </w:rPr>
        <w:t xml:space="preserve"> § 2</w:t>
      </w:r>
      <w:r w:rsidRPr="009A3C86">
        <w:rPr>
          <w:rFonts w:ascii="Times New Roman" w:hAnsi="Times New Roman"/>
          <w:sz w:val="24"/>
          <w:szCs w:val="24"/>
        </w:rPr>
        <w:t xml:space="preserve"> reguluje również przypadek, w którym nie złożono zeznania lub deklaracji, o których mowa w § </w:t>
      </w:r>
      <w:r w:rsidR="00D50A70" w:rsidRPr="009A3C86">
        <w:rPr>
          <w:rFonts w:ascii="Times New Roman" w:hAnsi="Times New Roman"/>
          <w:sz w:val="24"/>
          <w:szCs w:val="24"/>
        </w:rPr>
        <w:t>1</w:t>
      </w:r>
      <w:r w:rsidRPr="009A3C86">
        <w:rPr>
          <w:rFonts w:ascii="Times New Roman" w:hAnsi="Times New Roman"/>
          <w:sz w:val="24"/>
          <w:szCs w:val="24"/>
        </w:rPr>
        <w:t>. W takiej sytuacji nadpłata powstaje w dniu upływu terminu do jej złożenia</w:t>
      </w:r>
      <w:r w:rsidRPr="009A3C86">
        <w:rPr>
          <w:rFonts w:ascii="Times New Roman" w:eastAsia="MS Mincho" w:hAnsi="Times New Roman"/>
          <w:sz w:val="24"/>
          <w:szCs w:val="24"/>
        </w:rPr>
        <w:t xml:space="preserve"> w zakresie podatku zapłaconego przed terminem złożenia deklaracji</w:t>
      </w:r>
      <w:r w:rsidRPr="009A3C86">
        <w:rPr>
          <w:rFonts w:ascii="Times New Roman" w:hAnsi="Times New Roman"/>
          <w:sz w:val="24"/>
          <w:szCs w:val="24"/>
        </w:rPr>
        <w:t>. Celem tej regulacji jest wyeliminowanie wątpliwości, kiedy powstaje nadpłata np. w przypadku PIT, gdy podatek został zapłacony w wysokości wyższej od należnej, ale nie zostanie złożone zeznanie roczne w terminie wynikającym z przepisów prawa podatkowego. W takim przypadku należy przyjąć, że nadpłata powstała z końcem kwietnia roku następującego po roku podatkowym, gdyż w tym dniu upływa termin do złożenia tego zeznania.</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1</w:t>
      </w:r>
      <w:r w:rsidR="00A3208B" w:rsidRPr="009A3C86">
        <w:rPr>
          <w:rFonts w:ascii="Times New Roman" w:hAnsi="Times New Roman"/>
          <w:b/>
          <w:sz w:val="24"/>
          <w:szCs w:val="24"/>
        </w:rPr>
        <w:t>87</w:t>
      </w:r>
      <w:r w:rsidRPr="009A3C86">
        <w:rPr>
          <w:rFonts w:ascii="Times New Roman" w:hAnsi="Times New Roman"/>
          <w:sz w:val="24"/>
          <w:szCs w:val="24"/>
        </w:rPr>
        <w:t xml:space="preserve"> stanowi, że przepisy niniejszego rozdziału stosuje się odpowiednio do odsetek za zwłokę, a także przypadków, o których mowa w </w:t>
      </w:r>
      <w:r w:rsidRPr="009A3C86">
        <w:rPr>
          <w:rFonts w:ascii="Times New Roman" w:hAnsi="Times New Roman"/>
          <w:bCs/>
          <w:sz w:val="24"/>
          <w:szCs w:val="24"/>
        </w:rPr>
        <w:t>art. 1</w:t>
      </w:r>
      <w:r w:rsidR="00A3208B" w:rsidRPr="009A3C86">
        <w:rPr>
          <w:rFonts w:ascii="Times New Roman" w:hAnsi="Times New Roman"/>
          <w:bCs/>
          <w:sz w:val="24"/>
          <w:szCs w:val="24"/>
        </w:rPr>
        <w:t>4</w:t>
      </w:r>
      <w:r w:rsidR="001B5342" w:rsidRPr="009A3C86">
        <w:rPr>
          <w:rFonts w:ascii="Times New Roman" w:hAnsi="Times New Roman"/>
          <w:bCs/>
          <w:sz w:val="24"/>
          <w:szCs w:val="24"/>
        </w:rPr>
        <w:t>8</w:t>
      </w:r>
      <w:r w:rsidRPr="009A3C86">
        <w:rPr>
          <w:rFonts w:ascii="Times New Roman" w:hAnsi="Times New Roman"/>
          <w:bCs/>
          <w:sz w:val="24"/>
          <w:szCs w:val="24"/>
        </w:rPr>
        <w:t xml:space="preserve"> </w:t>
      </w:r>
      <w:r w:rsidRPr="009A3C86">
        <w:rPr>
          <w:rFonts w:ascii="Times New Roman" w:hAnsi="Times New Roman"/>
          <w:sz w:val="24"/>
          <w:szCs w:val="24"/>
        </w:rPr>
        <w:t xml:space="preserve">§ 1 pkt 2-6. </w:t>
      </w:r>
      <w:r w:rsidRPr="009A3C86">
        <w:rPr>
          <w:rFonts w:ascii="Times New Roman" w:hAnsi="Times New Roman"/>
          <w:bCs/>
          <w:sz w:val="24"/>
          <w:szCs w:val="24"/>
        </w:rPr>
        <w:t xml:space="preserve">Przepis ten rozszerza definicję nadpłaty, o której mowa w art. 190, z którą będziemy mieli do czynienia, gdy podatnik zapłacił nienależnie nie tylko podatek, ale także odsetki za zwłokę. </w:t>
      </w:r>
      <w:r w:rsidRPr="009A3C86">
        <w:rPr>
          <w:rFonts w:ascii="Times New Roman" w:hAnsi="Times New Roman"/>
          <w:sz w:val="24"/>
          <w:szCs w:val="24"/>
        </w:rPr>
        <w:t>Analizowana regulacja obejmuje także odsetki za zwłokę od nieuregulowanych w terminie zaliczek na podatek.</w:t>
      </w:r>
      <w:r w:rsidRPr="009A3C86">
        <w:rPr>
          <w:rFonts w:ascii="Times New Roman" w:hAnsi="Times New Roman"/>
          <w:bCs/>
          <w:sz w:val="24"/>
          <w:szCs w:val="24"/>
        </w:rPr>
        <w:t xml:space="preserve"> Ponadto nadpłata może powstać nie tylko na skutek zapłaty podatku, ale także w</w:t>
      </w:r>
      <w:r w:rsidRPr="009A3C86">
        <w:rPr>
          <w:rFonts w:ascii="Times New Roman" w:hAnsi="Times New Roman"/>
          <w:sz w:val="24"/>
          <w:szCs w:val="24"/>
        </w:rPr>
        <w:t xml:space="preserve"> przypadkach, o których mowa w art. 1</w:t>
      </w:r>
      <w:r w:rsidR="00A3208B" w:rsidRPr="009A3C86">
        <w:rPr>
          <w:rFonts w:ascii="Times New Roman" w:hAnsi="Times New Roman"/>
          <w:sz w:val="24"/>
          <w:szCs w:val="24"/>
        </w:rPr>
        <w:t>4</w:t>
      </w:r>
      <w:r w:rsidR="001B5342" w:rsidRPr="009A3C86">
        <w:rPr>
          <w:rFonts w:ascii="Times New Roman" w:hAnsi="Times New Roman"/>
          <w:sz w:val="24"/>
          <w:szCs w:val="24"/>
        </w:rPr>
        <w:t>8</w:t>
      </w:r>
      <w:r w:rsidRPr="009A3C86">
        <w:rPr>
          <w:rFonts w:ascii="Times New Roman" w:hAnsi="Times New Roman"/>
          <w:sz w:val="24"/>
          <w:szCs w:val="24"/>
        </w:rPr>
        <w:t xml:space="preserve"> § 1 pkt 2-6, tj. </w:t>
      </w:r>
      <w:r w:rsidRPr="009A3C86">
        <w:rPr>
          <w:rFonts w:ascii="Times New Roman" w:hAnsi="Times New Roman"/>
          <w:bCs/>
          <w:sz w:val="24"/>
          <w:szCs w:val="24"/>
        </w:rPr>
        <w:t xml:space="preserve">gdy będzie miało miejsce: </w:t>
      </w:r>
      <w:r w:rsidRPr="009A3C86">
        <w:rPr>
          <w:rFonts w:ascii="Times New Roman" w:hAnsi="Times New Roman"/>
          <w:sz w:val="24"/>
          <w:szCs w:val="24"/>
        </w:rPr>
        <w:t>pobranie podatku przez płatnika lub inkasenta, zaliczenie nadpłaty lub zaliczenie zwrotu podatku, potrącenie, przeniesienie własności rzeczy lub praw majątkowych, przejęcie własności nieruchomości w postępowaniu egzekucyjnym czy orzeczenia przepadku przedmiotów, ściągnięcia ich równowartości pieniężnej lub obowiązku uiszczenia ich równowartości pieniężnej na podstawie przepisów ustawy z dnia 10 września 1999 r. - Kodeks karny skarbowy. Przepis ten obejmuje zatem m.in. sytuacje</w:t>
      </w:r>
      <w:r w:rsidRPr="009A3C86">
        <w:rPr>
          <w:rFonts w:ascii="Times New Roman" w:hAnsi="Times New Roman"/>
          <w:bCs/>
          <w:sz w:val="24"/>
          <w:szCs w:val="24"/>
        </w:rPr>
        <w:t xml:space="preserve"> wymienione obecnie w art. 72 </w:t>
      </w:r>
      <w:r w:rsidRPr="009A3C86">
        <w:rPr>
          <w:rFonts w:ascii="Times New Roman" w:hAnsi="Times New Roman"/>
          <w:sz w:val="24"/>
          <w:szCs w:val="24"/>
        </w:rPr>
        <w:t xml:space="preserve">§ 2 o.p., tj. gdy część wpłaty została zaliczona na poczet odsetek za zwłokę, jeżeli wpłata ta dotyczyła zaległości podatkowej.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
          <w:sz w:val="24"/>
          <w:szCs w:val="24"/>
        </w:rPr>
        <w:t>Art. 1</w:t>
      </w:r>
      <w:r w:rsidR="00A3208B" w:rsidRPr="009A3C86">
        <w:rPr>
          <w:rFonts w:ascii="Times New Roman" w:hAnsi="Times New Roman"/>
          <w:b/>
          <w:sz w:val="24"/>
          <w:szCs w:val="24"/>
        </w:rPr>
        <w:t>87</w:t>
      </w:r>
      <w:r w:rsidRPr="009A3C86">
        <w:rPr>
          <w:rFonts w:ascii="Times New Roman" w:hAnsi="Times New Roman"/>
          <w:sz w:val="24"/>
          <w:szCs w:val="24"/>
        </w:rPr>
        <w:t xml:space="preserve"> jest także uzupełnieniem art. 1</w:t>
      </w:r>
      <w:r w:rsidR="00A3208B" w:rsidRPr="009A3C86">
        <w:rPr>
          <w:rFonts w:ascii="Times New Roman" w:hAnsi="Times New Roman"/>
          <w:sz w:val="24"/>
          <w:szCs w:val="24"/>
        </w:rPr>
        <w:t>86</w:t>
      </w:r>
      <w:r w:rsidRPr="009A3C86">
        <w:rPr>
          <w:rFonts w:ascii="Times New Roman" w:hAnsi="Times New Roman"/>
          <w:sz w:val="24"/>
          <w:szCs w:val="24"/>
        </w:rPr>
        <w:t xml:space="preserve"> § 1-2. Oznacza to, że nadpłata powstaje w określonym, zgodnie z art. 1</w:t>
      </w:r>
      <w:r w:rsidR="00A3208B" w:rsidRPr="009A3C86">
        <w:rPr>
          <w:rFonts w:ascii="Times New Roman" w:hAnsi="Times New Roman"/>
          <w:sz w:val="24"/>
          <w:szCs w:val="24"/>
        </w:rPr>
        <w:t>86</w:t>
      </w:r>
      <w:r w:rsidRPr="009A3C86">
        <w:rPr>
          <w:rFonts w:ascii="Times New Roman" w:hAnsi="Times New Roman"/>
          <w:sz w:val="24"/>
          <w:szCs w:val="24"/>
        </w:rPr>
        <w:t xml:space="preserve"> § 1-2, dniu także wówczas, gdy zaistniały okoliczności traktowane jako tzw. efektywny sposób wygaśnięcia zobowiązania podatkowego inny niż zapłata. Przedmiotowa regulacja stanowi również uzupełnienie art. 1</w:t>
      </w:r>
      <w:r w:rsidR="00A3208B" w:rsidRPr="009A3C86">
        <w:rPr>
          <w:rFonts w:ascii="Times New Roman" w:hAnsi="Times New Roman"/>
          <w:sz w:val="24"/>
          <w:szCs w:val="24"/>
        </w:rPr>
        <w:t>89</w:t>
      </w:r>
      <w:r w:rsidRPr="009A3C86">
        <w:rPr>
          <w:rFonts w:ascii="Times New Roman" w:hAnsi="Times New Roman"/>
          <w:sz w:val="24"/>
          <w:szCs w:val="24"/>
        </w:rPr>
        <w:t xml:space="preserve"> § 2 pkt 1. Nie powinno bowiem budzić wątpliwości, że uprawnienie do złożenia wniosku o stwierdzenie nadpłaty </w:t>
      </w:r>
      <w:r w:rsidRPr="009A3C86">
        <w:rPr>
          <w:rFonts w:ascii="Times New Roman" w:hAnsi="Times New Roman"/>
          <w:sz w:val="24"/>
          <w:szCs w:val="24"/>
        </w:rPr>
        <w:lastRenderedPageBreak/>
        <w:t xml:space="preserve">powinno przysługiwać również podmiotom niebędącym zobowiązanymi, gdy doszło do zaistnienia okoliczności, o których mowa w </w:t>
      </w:r>
      <w:r w:rsidRPr="009A3C86">
        <w:rPr>
          <w:rFonts w:ascii="Times New Roman" w:hAnsi="Times New Roman"/>
          <w:bCs/>
          <w:sz w:val="24"/>
          <w:szCs w:val="24"/>
        </w:rPr>
        <w:t>art. 1</w:t>
      </w:r>
      <w:r w:rsidR="00A3208B" w:rsidRPr="009A3C86">
        <w:rPr>
          <w:rFonts w:ascii="Times New Roman" w:hAnsi="Times New Roman"/>
          <w:bCs/>
          <w:sz w:val="24"/>
          <w:szCs w:val="24"/>
        </w:rPr>
        <w:t>4</w:t>
      </w:r>
      <w:r w:rsidR="001B5342" w:rsidRPr="009A3C86">
        <w:rPr>
          <w:rFonts w:ascii="Times New Roman" w:hAnsi="Times New Roman"/>
          <w:bCs/>
          <w:sz w:val="24"/>
          <w:szCs w:val="24"/>
        </w:rPr>
        <w:t>8</w:t>
      </w:r>
      <w:r w:rsidRPr="009A3C86">
        <w:rPr>
          <w:rFonts w:ascii="Times New Roman" w:hAnsi="Times New Roman"/>
          <w:bCs/>
          <w:sz w:val="24"/>
          <w:szCs w:val="24"/>
        </w:rPr>
        <w:t xml:space="preserve"> </w:t>
      </w:r>
      <w:r w:rsidRPr="009A3C86">
        <w:rPr>
          <w:rFonts w:ascii="Times New Roman" w:hAnsi="Times New Roman"/>
          <w:sz w:val="24"/>
          <w:szCs w:val="24"/>
        </w:rPr>
        <w:t>§ 1 pkt 2-6, tj. gdy np. nastąpiła egzekucja należności traktowanej jako podatek. Art. 1</w:t>
      </w:r>
      <w:r w:rsidR="00A3208B" w:rsidRPr="009A3C86">
        <w:rPr>
          <w:rFonts w:ascii="Times New Roman" w:hAnsi="Times New Roman"/>
          <w:sz w:val="24"/>
          <w:szCs w:val="24"/>
        </w:rPr>
        <w:t>87</w:t>
      </w:r>
      <w:r w:rsidRPr="009A3C86">
        <w:rPr>
          <w:rFonts w:ascii="Times New Roman" w:hAnsi="Times New Roman"/>
          <w:sz w:val="24"/>
          <w:szCs w:val="24"/>
        </w:rPr>
        <w:t xml:space="preserve"> odnosi się także do art. 2</w:t>
      </w:r>
      <w:r w:rsidR="001B5342" w:rsidRPr="009A3C86">
        <w:rPr>
          <w:rFonts w:ascii="Times New Roman" w:hAnsi="Times New Roman"/>
          <w:sz w:val="24"/>
          <w:szCs w:val="24"/>
        </w:rPr>
        <w:t>27</w:t>
      </w:r>
      <w:r w:rsidRPr="009A3C86">
        <w:rPr>
          <w:rFonts w:ascii="Times New Roman" w:hAnsi="Times New Roman"/>
          <w:sz w:val="24"/>
          <w:szCs w:val="24"/>
        </w:rPr>
        <w:t>. Oznacza to, że w decyzji, wydanej w okolicznościach przedstawionych w tym przepisie, na podstawie art. 19</w:t>
      </w:r>
      <w:r w:rsidR="00A3208B" w:rsidRPr="009A3C86">
        <w:rPr>
          <w:rFonts w:ascii="Times New Roman" w:hAnsi="Times New Roman"/>
          <w:sz w:val="24"/>
          <w:szCs w:val="24"/>
        </w:rPr>
        <w:t>1</w:t>
      </w:r>
      <w:r w:rsidRPr="009A3C86">
        <w:rPr>
          <w:rFonts w:ascii="Times New Roman" w:hAnsi="Times New Roman"/>
          <w:sz w:val="24"/>
          <w:szCs w:val="24"/>
        </w:rPr>
        <w:t xml:space="preserve"> § 2, art. 19</w:t>
      </w:r>
      <w:r w:rsidR="00A3208B" w:rsidRPr="009A3C86">
        <w:rPr>
          <w:rFonts w:ascii="Times New Roman" w:hAnsi="Times New Roman"/>
          <w:sz w:val="24"/>
          <w:szCs w:val="24"/>
        </w:rPr>
        <w:t>2</w:t>
      </w:r>
      <w:r w:rsidRPr="009A3C86">
        <w:rPr>
          <w:rFonts w:ascii="Times New Roman" w:hAnsi="Times New Roman"/>
          <w:sz w:val="24"/>
          <w:szCs w:val="24"/>
        </w:rPr>
        <w:t xml:space="preserve"> lub art.</w:t>
      </w:r>
      <w:r w:rsidRPr="009A3C86">
        <w:rPr>
          <w:rFonts w:ascii="Times New Roman" w:hAnsi="Times New Roman"/>
          <w:b/>
          <w:sz w:val="24"/>
          <w:szCs w:val="24"/>
        </w:rPr>
        <w:t xml:space="preserve"> </w:t>
      </w:r>
      <w:r w:rsidR="00A3208B" w:rsidRPr="009A3C86">
        <w:rPr>
          <w:rFonts w:ascii="Times New Roman" w:hAnsi="Times New Roman"/>
          <w:sz w:val="24"/>
          <w:szCs w:val="24"/>
        </w:rPr>
        <w:t>19</w:t>
      </w:r>
      <w:r w:rsidR="001B5342" w:rsidRPr="009A3C86">
        <w:rPr>
          <w:rFonts w:ascii="Times New Roman" w:hAnsi="Times New Roman"/>
          <w:sz w:val="24"/>
          <w:szCs w:val="24"/>
        </w:rPr>
        <w:t>6</w:t>
      </w:r>
      <w:r w:rsidRPr="009A3C86">
        <w:rPr>
          <w:rFonts w:ascii="Times New Roman" w:hAnsi="Times New Roman"/>
          <w:b/>
          <w:sz w:val="24"/>
          <w:szCs w:val="24"/>
        </w:rPr>
        <w:t> </w:t>
      </w:r>
      <w:r w:rsidRPr="009A3C86">
        <w:rPr>
          <w:rFonts w:ascii="Times New Roman" w:hAnsi="Times New Roman"/>
          <w:sz w:val="24"/>
          <w:szCs w:val="24"/>
        </w:rPr>
        <w:t xml:space="preserve">§ 1, nie </w:t>
      </w:r>
      <w:r w:rsidRPr="009A3C86">
        <w:rPr>
          <w:rFonts w:ascii="Times New Roman" w:hAnsi="Times New Roman"/>
          <w:iCs/>
          <w:sz w:val="24"/>
          <w:szCs w:val="24"/>
        </w:rPr>
        <w:t xml:space="preserve">można </w:t>
      </w:r>
      <w:r w:rsidRPr="009A3C86">
        <w:rPr>
          <w:rFonts w:ascii="Times New Roman" w:hAnsi="Times New Roman"/>
          <w:sz w:val="24"/>
          <w:szCs w:val="24"/>
        </w:rPr>
        <w:t>określić wysokości zobowiązania w kwocie wyżej niż ta, która została np. pobrana przez płatnika, czy przejęta przez państwo w wyniku zaliczenia nadpłaty na poczet zaległości podatkowej. Przepis art. 1</w:t>
      </w:r>
      <w:r w:rsidR="00A3208B" w:rsidRPr="009A3C86">
        <w:rPr>
          <w:rFonts w:ascii="Times New Roman" w:hAnsi="Times New Roman"/>
          <w:sz w:val="24"/>
          <w:szCs w:val="24"/>
        </w:rPr>
        <w:t>87</w:t>
      </w:r>
      <w:r w:rsidRPr="009A3C86">
        <w:rPr>
          <w:rFonts w:ascii="Times New Roman" w:hAnsi="Times New Roman"/>
          <w:sz w:val="24"/>
          <w:szCs w:val="24"/>
        </w:rPr>
        <w:t xml:space="preserve"> będzie także miał zastosowanie w przypadku, o którym mowa w art. 2</w:t>
      </w:r>
      <w:r w:rsidR="001B5342" w:rsidRPr="009A3C86">
        <w:rPr>
          <w:rFonts w:ascii="Times New Roman" w:hAnsi="Times New Roman"/>
          <w:sz w:val="24"/>
          <w:szCs w:val="24"/>
        </w:rPr>
        <w:t>30</w:t>
      </w:r>
      <w:r w:rsidRPr="009A3C86">
        <w:rPr>
          <w:rFonts w:ascii="Times New Roman" w:hAnsi="Times New Roman"/>
          <w:sz w:val="24"/>
          <w:szCs w:val="24"/>
        </w:rPr>
        <w:t xml:space="preserve">, tj. gdy podatek został np. wyegzekwowany w wysokości wyższej niż wynikająca z ostatecznej decyzji lub prawidłowej deklaracji podatkowej. </w:t>
      </w:r>
    </w:p>
    <w:p w:rsidR="00326528" w:rsidRPr="009A3C86" w:rsidRDefault="00326528" w:rsidP="00326528">
      <w:pPr>
        <w:keepNext/>
        <w:keepLines/>
        <w:spacing w:after="0" w:line="360" w:lineRule="auto"/>
        <w:jc w:val="both"/>
        <w:outlineLvl w:val="3"/>
        <w:rPr>
          <w:rFonts w:ascii="Times New Roman" w:eastAsia="Times New Roman" w:hAnsi="Times New Roman"/>
          <w:sz w:val="24"/>
          <w:szCs w:val="24"/>
        </w:rPr>
      </w:pPr>
      <w:bookmarkStart w:id="22" w:name="_Toc494363249"/>
    </w:p>
    <w:p w:rsidR="00326528" w:rsidRPr="009A3C86" w:rsidRDefault="00326528" w:rsidP="00D72E74">
      <w:pPr>
        <w:keepNext/>
        <w:keepLines/>
        <w:spacing w:before="120" w:after="0" w:line="360" w:lineRule="auto"/>
        <w:jc w:val="both"/>
        <w:outlineLvl w:val="3"/>
        <w:rPr>
          <w:rFonts w:ascii="Times New Roman" w:eastAsia="Times New Roman" w:hAnsi="Times New Roman"/>
          <w:b/>
          <w:iCs/>
          <w:sz w:val="24"/>
          <w:szCs w:val="24"/>
        </w:rPr>
      </w:pPr>
      <w:r w:rsidRPr="009A3C86">
        <w:rPr>
          <w:rFonts w:ascii="Times New Roman" w:eastAsia="Times New Roman" w:hAnsi="Times New Roman"/>
          <w:b/>
          <w:iCs/>
          <w:sz w:val="24"/>
          <w:szCs w:val="24"/>
        </w:rPr>
        <w:t>Oddział 2. Podmioty uprawnione do nadpłaty</w:t>
      </w:r>
      <w:bookmarkEnd w:id="22"/>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1. Z </w:t>
      </w:r>
      <w:r w:rsidRPr="009A3C86">
        <w:rPr>
          <w:rFonts w:ascii="Times New Roman" w:hAnsi="Times New Roman"/>
          <w:b/>
          <w:sz w:val="24"/>
          <w:szCs w:val="24"/>
        </w:rPr>
        <w:t>art. 1</w:t>
      </w:r>
      <w:r w:rsidR="00A3208B" w:rsidRPr="009A3C86">
        <w:rPr>
          <w:rFonts w:ascii="Times New Roman" w:hAnsi="Times New Roman"/>
          <w:b/>
          <w:sz w:val="24"/>
          <w:szCs w:val="24"/>
        </w:rPr>
        <w:t>88</w:t>
      </w:r>
      <w:r w:rsidRPr="009A3C86">
        <w:rPr>
          <w:rFonts w:ascii="Times New Roman" w:hAnsi="Times New Roman"/>
          <w:sz w:val="24"/>
          <w:szCs w:val="24"/>
        </w:rPr>
        <w:t xml:space="preserve"> wynika, iż wysokość nadpłaty określa zobowiązany w deklaracji lub zeznaniu, o których mowa w art. 1</w:t>
      </w:r>
      <w:r w:rsidR="00A3208B" w:rsidRPr="009A3C86">
        <w:rPr>
          <w:rFonts w:ascii="Times New Roman" w:hAnsi="Times New Roman"/>
          <w:sz w:val="24"/>
          <w:szCs w:val="24"/>
        </w:rPr>
        <w:t>86</w:t>
      </w:r>
      <w:r w:rsidRPr="009A3C86">
        <w:rPr>
          <w:rFonts w:ascii="Times New Roman" w:hAnsi="Times New Roman"/>
          <w:sz w:val="24"/>
          <w:szCs w:val="24"/>
        </w:rPr>
        <w:t xml:space="preserve"> § 2 albo we wniosku o stwierdzenie nadpłaty. Regulacja ta wskazuje na dwie kategorie podmiotów uprawnionych do dochodzenia nadpłaty. Przepis art. 1</w:t>
      </w:r>
      <w:r w:rsidR="00A3208B" w:rsidRPr="009A3C86">
        <w:rPr>
          <w:rFonts w:ascii="Times New Roman" w:hAnsi="Times New Roman"/>
          <w:sz w:val="24"/>
          <w:szCs w:val="24"/>
        </w:rPr>
        <w:t>88</w:t>
      </w:r>
      <w:r w:rsidRPr="009A3C86">
        <w:rPr>
          <w:rFonts w:ascii="Times New Roman" w:hAnsi="Times New Roman"/>
          <w:sz w:val="24"/>
          <w:szCs w:val="24"/>
        </w:rPr>
        <w:t xml:space="preserve"> stanowi odpowiednik art. 73 § 2 o.p., w którym wskazano przypadki, gdy nadpłata jest wykazywana w deklaracji składanej przez podatników lub inne podmioty będące zobowiązanymi. W przepisie </w:t>
      </w:r>
      <w:r w:rsidRPr="009A3C86">
        <w:rPr>
          <w:rFonts w:ascii="Times New Roman" w:hAnsi="Times New Roman"/>
          <w:b/>
          <w:sz w:val="24"/>
          <w:szCs w:val="24"/>
        </w:rPr>
        <w:t>art. 1</w:t>
      </w:r>
      <w:r w:rsidR="00A3208B" w:rsidRPr="009A3C86">
        <w:rPr>
          <w:rFonts w:ascii="Times New Roman" w:hAnsi="Times New Roman"/>
          <w:b/>
          <w:sz w:val="24"/>
          <w:szCs w:val="24"/>
        </w:rPr>
        <w:t>88</w:t>
      </w:r>
      <w:r w:rsidRPr="009A3C86">
        <w:rPr>
          <w:rFonts w:ascii="Times New Roman" w:hAnsi="Times New Roman"/>
          <w:sz w:val="24"/>
          <w:szCs w:val="24"/>
        </w:rPr>
        <w:t xml:space="preserve"> zrezygnowano z wyliczenia tych przypadków, aczkolwiek w związku z odesłaniem do art. 1</w:t>
      </w:r>
      <w:r w:rsidR="00A3208B" w:rsidRPr="009A3C86">
        <w:rPr>
          <w:rFonts w:ascii="Times New Roman" w:hAnsi="Times New Roman"/>
          <w:sz w:val="24"/>
          <w:szCs w:val="24"/>
        </w:rPr>
        <w:t>86</w:t>
      </w:r>
      <w:r w:rsidRPr="009A3C86">
        <w:rPr>
          <w:rFonts w:ascii="Times New Roman" w:hAnsi="Times New Roman"/>
          <w:sz w:val="24"/>
          <w:szCs w:val="24"/>
        </w:rPr>
        <w:t xml:space="preserve"> § 2 nadpłata i jej wysokość może być wykazana w: zeznaniu rocznym w podatkach dochodowych, deklaracji rocznej w specjalnym podatku węglowodorowym, deklaracji w podatku akcyzowym, deklaracji o wpłatach z zysku za rok obrotowy dotyczącej jednoosobowych spółek</w:t>
      </w:r>
      <w:r w:rsidRPr="009A3C86">
        <w:rPr>
          <w:rFonts w:ascii="Times New Roman" w:eastAsia="MS Mincho" w:hAnsi="Times New Roman"/>
          <w:sz w:val="24"/>
          <w:szCs w:val="24"/>
        </w:rPr>
        <w:t xml:space="preserve"> </w:t>
      </w:r>
      <w:r w:rsidRPr="009A3C86">
        <w:rPr>
          <w:rFonts w:ascii="Times New Roman" w:hAnsi="Times New Roman"/>
          <w:sz w:val="24"/>
          <w:szCs w:val="24"/>
        </w:rPr>
        <w:t xml:space="preserve">Skarbu Państwa i przedsiębiorstw państwowych. W </w:t>
      </w:r>
      <w:r w:rsidRPr="009A3C86">
        <w:rPr>
          <w:rFonts w:ascii="Times New Roman" w:hAnsi="Times New Roman"/>
          <w:b/>
          <w:sz w:val="24"/>
          <w:szCs w:val="24"/>
        </w:rPr>
        <w:t>art. 1</w:t>
      </w:r>
      <w:r w:rsidR="00A3208B" w:rsidRPr="009A3C86">
        <w:rPr>
          <w:rFonts w:ascii="Times New Roman" w:hAnsi="Times New Roman"/>
          <w:b/>
          <w:sz w:val="24"/>
          <w:szCs w:val="24"/>
        </w:rPr>
        <w:t>88</w:t>
      </w:r>
      <w:r w:rsidRPr="009A3C86">
        <w:rPr>
          <w:rFonts w:ascii="Times New Roman" w:hAnsi="Times New Roman"/>
          <w:sz w:val="24"/>
          <w:szCs w:val="24"/>
        </w:rPr>
        <w:t xml:space="preserve"> zrezygnowano także z określenia momentu, w którym powstaje nadpłata, gdyż kwestia ta jest uregulowana całościowo w art. 1</w:t>
      </w:r>
      <w:r w:rsidR="00A3208B" w:rsidRPr="009A3C86">
        <w:rPr>
          <w:rFonts w:ascii="Times New Roman" w:hAnsi="Times New Roman"/>
          <w:sz w:val="24"/>
          <w:szCs w:val="24"/>
        </w:rPr>
        <w:t>86</w:t>
      </w:r>
      <w:r w:rsidRPr="009A3C86">
        <w:rPr>
          <w:rFonts w:ascii="Times New Roman" w:hAnsi="Times New Roman"/>
          <w:sz w:val="24"/>
          <w:szCs w:val="24"/>
        </w:rPr>
        <w:t xml:space="preserve">, także w odniesieniu do innych przypadków, w których powstaje nadpłata.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art. 1</w:t>
      </w:r>
      <w:r w:rsidR="00A3208B" w:rsidRPr="009A3C86">
        <w:rPr>
          <w:rFonts w:ascii="Times New Roman" w:hAnsi="Times New Roman"/>
          <w:b/>
          <w:sz w:val="24"/>
          <w:szCs w:val="24"/>
        </w:rPr>
        <w:t>89</w:t>
      </w:r>
      <w:r w:rsidRPr="009A3C86">
        <w:rPr>
          <w:rFonts w:ascii="Times New Roman" w:hAnsi="Times New Roman"/>
          <w:sz w:val="24"/>
          <w:szCs w:val="24"/>
        </w:rPr>
        <w:t xml:space="preserve"> dotyczy drugiej kategorii podmiotów uprawnionych do dochodzenia nadpłaty poprzez wniosek o stwierdzenie nadpłaty, w której określają wysokość nadpłaty. W niektórych podatkach mogą mieć zastosowanie oba tryby. Podatnik np. PIT będzie wykazywał nadpłatę w rocznym zeznaniu, działając na podstawie art. 1</w:t>
      </w:r>
      <w:r w:rsidR="00A3208B" w:rsidRPr="009A3C86">
        <w:rPr>
          <w:rFonts w:ascii="Times New Roman" w:hAnsi="Times New Roman"/>
          <w:sz w:val="24"/>
          <w:szCs w:val="24"/>
        </w:rPr>
        <w:t>88</w:t>
      </w:r>
      <w:r w:rsidRPr="009A3C86">
        <w:rPr>
          <w:rFonts w:ascii="Times New Roman" w:hAnsi="Times New Roman"/>
          <w:sz w:val="24"/>
          <w:szCs w:val="24"/>
        </w:rPr>
        <w:t>. Ten sam podatnik, korygując to zeznanie, będzie mógł domagać się jej stwierdzenia na podstawie art. 1</w:t>
      </w:r>
      <w:r w:rsidR="00A3208B" w:rsidRPr="009A3C86">
        <w:rPr>
          <w:rFonts w:ascii="Times New Roman" w:hAnsi="Times New Roman"/>
          <w:sz w:val="24"/>
          <w:szCs w:val="24"/>
        </w:rPr>
        <w:t>89</w:t>
      </w:r>
      <w:r w:rsidRPr="009A3C86">
        <w:rPr>
          <w:rFonts w:ascii="Times New Roman" w:hAnsi="Times New Roman"/>
          <w:sz w:val="24"/>
          <w:szCs w:val="24"/>
        </w:rPr>
        <w:t xml:space="preserve"> w zw. z art. 1</w:t>
      </w:r>
      <w:r w:rsidR="00A3208B" w:rsidRPr="009A3C86">
        <w:rPr>
          <w:rFonts w:ascii="Times New Roman" w:hAnsi="Times New Roman"/>
          <w:sz w:val="24"/>
          <w:szCs w:val="24"/>
        </w:rPr>
        <w:t>88</w:t>
      </w:r>
      <w:r w:rsidRPr="009A3C86">
        <w:rPr>
          <w:rFonts w:ascii="Times New Roman" w:hAnsi="Times New Roman"/>
          <w:sz w:val="24"/>
          <w:szCs w:val="24"/>
        </w:rPr>
        <w:t xml:space="preserve">.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89</w:t>
      </w:r>
      <w:r w:rsidRPr="009A3C86">
        <w:rPr>
          <w:rFonts w:ascii="Times New Roman" w:hAnsi="Times New Roman"/>
          <w:b/>
          <w:sz w:val="24"/>
          <w:szCs w:val="24"/>
        </w:rPr>
        <w:t xml:space="preserve"> § 1</w:t>
      </w:r>
      <w:r w:rsidRPr="009A3C86">
        <w:rPr>
          <w:rFonts w:ascii="Times New Roman" w:hAnsi="Times New Roman"/>
          <w:sz w:val="24"/>
          <w:szCs w:val="24"/>
        </w:rPr>
        <w:t xml:space="preserve"> wprowadza zasadę, iż uprawnienie do złożenia wniosku o stwierdzenie nadpłaty przysługuje zobowiązanemu, u którego ona powstała. W tym wniosku powinna być nie tylko wyrażona przez zobowiązanego wola dochodzenia nadpłaty, ale także określona przez ten podmiot jej wysokość. Zgodnie z art. 13 pkt 23 zobowiązanym jest: podatnik, płatnik, </w:t>
      </w:r>
      <w:r w:rsidRPr="009A3C86">
        <w:rPr>
          <w:rFonts w:ascii="Times New Roman" w:hAnsi="Times New Roman"/>
          <w:sz w:val="24"/>
          <w:szCs w:val="24"/>
        </w:rPr>
        <w:lastRenderedPageBreak/>
        <w:t>inkasent, osoba trzecia i następca prawny. Na podstawie tego przepisu uprawnienie do złożenia wniosku o stwierdzenie nadpłaty przysługuje zatem m.in. następcy prawnemu w zakresie w jakim nadpłata powstała u niego, ale także u jego poprzednika. Z drugiej strony oznacza to, że uprawnienie do złożenia wniosku o stwierdzenie nadpłaty nie przysługuje podmiotom innym niż wyżej wskazane, np. konsumentom, którzy ponieśli ciężar ekonomiczny VAT, podatku akcyzowego, czy innego świadczenia. Prawo do złożenia wniosku o stwierdzenie nadpłaty na podstawie art. 1</w:t>
      </w:r>
      <w:r w:rsidR="00A3208B" w:rsidRPr="009A3C86">
        <w:rPr>
          <w:rFonts w:ascii="Times New Roman" w:hAnsi="Times New Roman"/>
          <w:sz w:val="24"/>
          <w:szCs w:val="24"/>
        </w:rPr>
        <w:t>89</w:t>
      </w:r>
      <w:r w:rsidRPr="009A3C86">
        <w:rPr>
          <w:rFonts w:ascii="Times New Roman" w:hAnsi="Times New Roman"/>
          <w:sz w:val="24"/>
          <w:szCs w:val="24"/>
        </w:rPr>
        <w:t xml:space="preserve"> § 1 nie przysługuje również w przypadku, gdy podatek został zapłacony nienależnie w związku z wadliwą decyzją. W takiej bowiem sytuacji podatnik powinien w pierwszej kolejności domagać się zmiany, uchylenia lub stwierdzenia nieważności takiej decyzji. Po dokonaniu takiej modyfikacji nadpłata powinna zostać stwierdzona z urzędu przez organ podatkowy i zwrócona na podstawie art. 18</w:t>
      </w:r>
      <w:r w:rsidR="00C07FC9" w:rsidRPr="009A3C86">
        <w:rPr>
          <w:rFonts w:ascii="Times New Roman" w:hAnsi="Times New Roman"/>
          <w:sz w:val="24"/>
          <w:szCs w:val="24"/>
        </w:rPr>
        <w:t>9</w:t>
      </w:r>
      <w:r w:rsidRPr="009A3C86">
        <w:rPr>
          <w:rFonts w:ascii="Times New Roman" w:hAnsi="Times New Roman"/>
          <w:sz w:val="24"/>
          <w:szCs w:val="24"/>
        </w:rPr>
        <w:t xml:space="preserve"> projektowanej ustawy.</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89</w:t>
      </w:r>
      <w:r w:rsidRPr="009A3C86">
        <w:rPr>
          <w:rFonts w:ascii="Times New Roman" w:hAnsi="Times New Roman"/>
          <w:b/>
          <w:sz w:val="24"/>
          <w:szCs w:val="24"/>
        </w:rPr>
        <w:t xml:space="preserve"> § 1</w:t>
      </w:r>
      <w:r w:rsidRPr="009A3C86">
        <w:rPr>
          <w:rFonts w:ascii="Times New Roman" w:hAnsi="Times New Roman"/>
          <w:sz w:val="24"/>
          <w:szCs w:val="24"/>
        </w:rPr>
        <w:t xml:space="preserve"> wprowadza także kryterium umożliwiające rozgraniczenie prawa do złożenia wniosku o stwierdzenie nadpłaty przez różne podmioty, tak aby nie mogły one jednocześnie, w tej samej sytuacji, rościć sobie prawa do złożenia takiego wniosku. Jest nim powstanie nadpłaty u podmiotu uprawnionego. Element ten jest konieczny, gdyż przedmiotowe uprawnienie nie powinno prowadzić do sytuacji, w których więcej niż jeden podmiot będzie uprawniony do dochodzenia tej samej nadpłaty. W kontekście art. 1</w:t>
      </w:r>
      <w:r w:rsidR="00A3208B" w:rsidRPr="009A3C86">
        <w:rPr>
          <w:rFonts w:ascii="Times New Roman" w:hAnsi="Times New Roman"/>
          <w:sz w:val="24"/>
          <w:szCs w:val="24"/>
        </w:rPr>
        <w:t>85</w:t>
      </w:r>
      <w:r w:rsidRPr="009A3C86">
        <w:rPr>
          <w:rFonts w:ascii="Times New Roman" w:hAnsi="Times New Roman"/>
          <w:sz w:val="24"/>
          <w:szCs w:val="24"/>
        </w:rPr>
        <w:t xml:space="preserve"> </w:t>
      </w:r>
      <w:r w:rsidRPr="009A3C86">
        <w:rPr>
          <w:rFonts w:ascii="Times New Roman" w:hAnsi="Times New Roman"/>
          <w:bCs/>
          <w:sz w:val="24"/>
          <w:szCs w:val="24"/>
        </w:rPr>
        <w:t>§ 2 oznacza to, że wniosek o stwierdzenie nadpłaty przysługuje wyłącznie podmiotowi, który poniósł ciężar ekonomiczny podatku i w wyniku zwrotu nadpłaty nie mogłoby nastąpić jego bezpodstawne wzbogacenie</w:t>
      </w:r>
      <w:r w:rsidRPr="009A3C86">
        <w:rPr>
          <w:rFonts w:ascii="Times New Roman" w:hAnsi="Times New Roman"/>
          <w:sz w:val="24"/>
          <w:szCs w:val="24"/>
        </w:rPr>
        <w:t xml:space="preserve">. Oznacza to np. że jeśli płatnik pobierze od podatnika zaliczkę na podatek, zawyżając jej wysokość, prawo do złożenia wniosku przysługuje podatnikowi, nie zaś płatnikowi. Jeśli natomiast płatnik przekaże organowi podatkowemu więcej podatku niż pobrał od podatnika, prawo do złożenia wniosku przysługuje płatnikowi.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Od zasady wynikającej z art. 1</w:t>
      </w:r>
      <w:r w:rsidR="00A3208B" w:rsidRPr="009A3C86">
        <w:rPr>
          <w:rFonts w:ascii="Times New Roman" w:hAnsi="Times New Roman"/>
          <w:sz w:val="24"/>
          <w:szCs w:val="24"/>
        </w:rPr>
        <w:t>85</w:t>
      </w:r>
      <w:r w:rsidRPr="009A3C86">
        <w:rPr>
          <w:rFonts w:ascii="Times New Roman" w:hAnsi="Times New Roman"/>
          <w:sz w:val="24"/>
          <w:szCs w:val="24"/>
        </w:rPr>
        <w:t xml:space="preserve"> § 1 wprowadzono wyjątki. Zgodnie m.in. z art. </w:t>
      </w:r>
      <w:r w:rsidRPr="009A3C86">
        <w:rPr>
          <w:rFonts w:ascii="Times New Roman" w:hAnsi="Times New Roman"/>
          <w:b/>
          <w:sz w:val="24"/>
          <w:szCs w:val="24"/>
        </w:rPr>
        <w:t>1</w:t>
      </w:r>
      <w:r w:rsidR="00A3208B" w:rsidRPr="009A3C86">
        <w:rPr>
          <w:rFonts w:ascii="Times New Roman" w:hAnsi="Times New Roman"/>
          <w:b/>
          <w:sz w:val="24"/>
          <w:szCs w:val="24"/>
        </w:rPr>
        <w:t>89</w:t>
      </w:r>
      <w:r w:rsidRPr="009A3C86">
        <w:rPr>
          <w:rFonts w:ascii="Times New Roman" w:hAnsi="Times New Roman"/>
          <w:b/>
          <w:sz w:val="24"/>
          <w:szCs w:val="24"/>
        </w:rPr>
        <w:t xml:space="preserve"> § 2 pkt 1</w:t>
      </w:r>
      <w:r w:rsidRPr="009A3C86">
        <w:rPr>
          <w:rFonts w:ascii="Times New Roman" w:hAnsi="Times New Roman"/>
          <w:sz w:val="24"/>
          <w:szCs w:val="24"/>
        </w:rPr>
        <w:t xml:space="preserve"> uprawnienie do złożenia wniosku o stwierdzenie nadpłaty przysługuje </w:t>
      </w:r>
      <w:r w:rsidRPr="009A3C86">
        <w:rPr>
          <w:rFonts w:ascii="Times New Roman" w:hAnsi="Times New Roman"/>
          <w:bCs/>
          <w:sz w:val="24"/>
          <w:szCs w:val="24"/>
        </w:rPr>
        <w:t>podmiotom, które zapłaciły kwotę nienależnie jako podatek</w:t>
      </w:r>
      <w:r w:rsidRPr="009A3C86">
        <w:rPr>
          <w:rFonts w:ascii="Times New Roman" w:hAnsi="Times New Roman"/>
          <w:sz w:val="24"/>
          <w:szCs w:val="24"/>
        </w:rPr>
        <w:t>. Prawo do złożenia wniosku o stwierdzenie nadpłaty powinno przysługiwać bowiem podmiotom, które obiektywnie nie były zobowiązanymi, ale wpłacając daną należność, uiszczały ją jako zobowiązani lub od których dana należność została pobrana w okolicznościach, które świadczą, że byli oni traktowani jak zobowiązani (np. przez organy podatkowe lub płatnika) lub za nich sami się uważali. Jeśli więc dany podmiot, który wpłacił np. 5 tys. zł podatku dochodowego, stwierdzi następnie, że nie ciążył na nim obowiązek podatkowy, będzie miał prawo złożyć wniosek o stwierdzenie nadpłaty. Podkreślić jednocześnie należy, że uprawnienie, o którym mowa w art. 1</w:t>
      </w:r>
      <w:r w:rsidR="00A3208B" w:rsidRPr="009A3C86">
        <w:rPr>
          <w:rFonts w:ascii="Times New Roman" w:hAnsi="Times New Roman"/>
          <w:sz w:val="24"/>
          <w:szCs w:val="24"/>
        </w:rPr>
        <w:t>89</w:t>
      </w:r>
      <w:r w:rsidRPr="009A3C86">
        <w:rPr>
          <w:rFonts w:ascii="Times New Roman" w:hAnsi="Times New Roman"/>
          <w:sz w:val="24"/>
          <w:szCs w:val="24"/>
        </w:rPr>
        <w:t xml:space="preserve"> § 2 pkt 1 nie może przysługiwać nabywcom towarów i usług, od których pobrano podatki pośrednie (podatek od </w:t>
      </w:r>
      <w:r w:rsidRPr="009A3C86">
        <w:rPr>
          <w:rFonts w:ascii="Times New Roman" w:hAnsi="Times New Roman"/>
          <w:sz w:val="24"/>
          <w:szCs w:val="24"/>
        </w:rPr>
        <w:lastRenderedPageBreak/>
        <w:t xml:space="preserve">towarów i usług lub podatek akcyzowy). Podmioty te nie będą uprawnione do złożenia wniosku o stwierdzenie nadpłaty w podatku od towarów i usług lub podatku akcyzowym nawet, gdy zapłaciły one zbywcy „cenę” towaru, w którą mógł zostać wliczony „podatek”, który okazał się nienależny. Wskazać przy tym należy, że przepisy podatkowe w tym dotyczące nadpłaty powinny bowiem odnosić się do podatnika, nie zaś konsumenta, którego roszczenie wykracza poza ramy klasycznej relacji podatkowoprawnej. Brak możliwości odzyskania na gruncie projektowanego aktu nadpłaty przez konsumentów w podatku akcyzowym czy VAT nie umożliwia im domagania się nienależnie poniesionej kwoty. Konsument, który nie jest podatnikiem, powinien mieć uprawnienie na gruncie prawa cywilnego, domagania się od państwa zwrotu nienależnie zapłaconego podatku, jeśli poniósł on ciężar ekonomiczny nienależnie zapłaconego podatku.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89</w:t>
      </w:r>
      <w:r w:rsidRPr="009A3C86">
        <w:rPr>
          <w:rFonts w:ascii="Times New Roman" w:hAnsi="Times New Roman"/>
          <w:b/>
          <w:sz w:val="24"/>
          <w:szCs w:val="24"/>
        </w:rPr>
        <w:t xml:space="preserve"> § 2</w:t>
      </w:r>
      <w:r w:rsidRPr="009A3C86">
        <w:rPr>
          <w:rFonts w:ascii="Times New Roman" w:hAnsi="Times New Roman"/>
          <w:sz w:val="24"/>
          <w:szCs w:val="24"/>
        </w:rPr>
        <w:t xml:space="preserve"> zawiera także inne wyjątki od zasady określonej w § 1. Dotyczy to podmiotów, które powinny móc domagać się stwierdzenia nadpłaty powstałej po ustaniu bytu prawnego zobowiązanego, mimo że nie są one jego następcami prawnymi. Regulacja ta odnosi się do podmiotów, które były wspólnikami spółki cywilnej w momencie rozwiązania spółki w zakresie zobowiązań spółki, a także spółek, które tworzyły podatkową grupę kapitałową w rozumieniu przepisów o podatku dochodowym od osób prawnych, w momencie utraty przez grupę statusu podatnika, w zakresie zobowiązań tej grupy. Oznacza to </w:t>
      </w:r>
      <w:r w:rsidRPr="009A3C86">
        <w:rPr>
          <w:rFonts w:ascii="Times New Roman" w:hAnsi="Times New Roman"/>
          <w:bCs/>
          <w:sz w:val="24"/>
          <w:szCs w:val="24"/>
        </w:rPr>
        <w:t xml:space="preserve">m.in., że </w:t>
      </w:r>
      <w:r w:rsidRPr="009A3C86">
        <w:rPr>
          <w:rFonts w:ascii="Times New Roman" w:hAnsi="Times New Roman"/>
          <w:sz w:val="24"/>
          <w:szCs w:val="24"/>
        </w:rPr>
        <w:t>rozwiązanie przewidziane w dotychczasowym art. 133 § 2b</w:t>
      </w:r>
      <w:r w:rsidRPr="009A3C86">
        <w:rPr>
          <w:rFonts w:ascii="Times New Roman" w:hAnsi="Times New Roman"/>
          <w:bCs/>
          <w:sz w:val="24"/>
          <w:szCs w:val="24"/>
        </w:rPr>
        <w:t xml:space="preserve"> o.p. </w:t>
      </w:r>
      <w:r w:rsidRPr="009A3C86">
        <w:rPr>
          <w:rFonts w:ascii="Times New Roman" w:hAnsi="Times New Roman"/>
          <w:sz w:val="24"/>
          <w:szCs w:val="24"/>
        </w:rPr>
        <w:t>zgodnie z którym stroną w postępowaniu podatkowym w sprawie stwierdzenia nadpłaty w zakresie zobowiązań byłej spółki cywilnej może być osoba, która była wspólnikiem spółki cywilnej w chwili rozwiązania spółki, znajduje</w:t>
      </w:r>
      <w:r w:rsidRPr="009A3C86">
        <w:rPr>
          <w:rFonts w:ascii="Times New Roman" w:hAnsi="Times New Roman"/>
          <w:bCs/>
          <w:sz w:val="24"/>
          <w:szCs w:val="24"/>
        </w:rPr>
        <w:t xml:space="preserve"> </w:t>
      </w:r>
      <w:r w:rsidRPr="009A3C86">
        <w:rPr>
          <w:rFonts w:ascii="Times New Roman" w:hAnsi="Times New Roman"/>
          <w:sz w:val="24"/>
          <w:szCs w:val="24"/>
        </w:rPr>
        <w:t>się obecnie w art. 1</w:t>
      </w:r>
      <w:r w:rsidR="00A3208B" w:rsidRPr="009A3C86">
        <w:rPr>
          <w:rFonts w:ascii="Times New Roman" w:hAnsi="Times New Roman"/>
          <w:sz w:val="24"/>
          <w:szCs w:val="24"/>
        </w:rPr>
        <w:t>89</w:t>
      </w:r>
      <w:r w:rsidRPr="009A3C86">
        <w:rPr>
          <w:rFonts w:ascii="Times New Roman" w:hAnsi="Times New Roman"/>
          <w:sz w:val="24"/>
          <w:szCs w:val="24"/>
        </w:rPr>
        <w:t xml:space="preserve"> § 2 pkt 2.</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89</w:t>
      </w:r>
      <w:r w:rsidRPr="009A3C86">
        <w:rPr>
          <w:rFonts w:ascii="Times New Roman" w:hAnsi="Times New Roman"/>
          <w:b/>
          <w:sz w:val="24"/>
          <w:szCs w:val="24"/>
        </w:rPr>
        <w:t xml:space="preserve"> § 3</w:t>
      </w:r>
      <w:r w:rsidRPr="009A3C86">
        <w:rPr>
          <w:rFonts w:ascii="Times New Roman" w:hAnsi="Times New Roman"/>
          <w:sz w:val="24"/>
          <w:szCs w:val="24"/>
        </w:rPr>
        <w:t xml:space="preserve"> stanowi, iż uprawnienie do złożenia wniosku o stwierdzenie nadpłaty ulega zawieszeniu na czas trwania postępowania podatkowego, kontroli podatkowej lub kontroli celno-skarbowej w zakresie dotyczącym tego postępowania lub kontroli. Rozwiązanie to jest odpowiednikiem art. 79 § 1 o.p. W konsekwencji uprawnienie do złożenia wniosku o stwierdzenie nadpłaty ulega zawieszeniu na czas trwania postępowania podatkowego, kontroli podatkowej lub kontroli celno-skarbowej w zakresie np. ustalenia lub określenia wysokości zobowiązania podatkowego, ale także dochodu, przychodu, zysku, straty, zwrotu podatku czy nadwyżki podatku naliczonego nad należnym do odliczenia w następnych okresach rozliczeniowych w rozumieniu ustawy o podatku od towarów i usług, których dotyczy postępowanie lub kontrola.</w:t>
      </w:r>
    </w:p>
    <w:p w:rsidR="00326528" w:rsidRPr="009A3C86" w:rsidRDefault="00326528" w:rsidP="00326528">
      <w:pPr>
        <w:spacing w:after="0" w:line="360" w:lineRule="auto"/>
        <w:jc w:val="both"/>
        <w:rPr>
          <w:rFonts w:ascii="Times New Roman" w:hAnsi="Times New Roman"/>
          <w:b/>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w:t>
      </w:r>
      <w:r w:rsidR="00A3208B" w:rsidRPr="009A3C86">
        <w:rPr>
          <w:rFonts w:ascii="Times New Roman" w:hAnsi="Times New Roman"/>
          <w:b/>
          <w:sz w:val="24"/>
          <w:szCs w:val="24"/>
        </w:rPr>
        <w:t>89</w:t>
      </w:r>
      <w:r w:rsidRPr="009A3C86">
        <w:rPr>
          <w:rFonts w:ascii="Times New Roman" w:hAnsi="Times New Roman"/>
          <w:b/>
          <w:sz w:val="24"/>
          <w:szCs w:val="24"/>
        </w:rPr>
        <w:t xml:space="preserve"> § 4</w:t>
      </w:r>
      <w:r w:rsidRPr="009A3C86">
        <w:rPr>
          <w:rFonts w:ascii="Times New Roman" w:hAnsi="Times New Roman"/>
          <w:sz w:val="24"/>
          <w:szCs w:val="24"/>
        </w:rPr>
        <w:t xml:space="preserve"> jest przepisem kompetencyjnym, który daje ministrowi właściwemu do spraw finansów publicznych upoważnienie do określenia w drodze rozporządzenia wzoru </w:t>
      </w:r>
      <w:r w:rsidRPr="009A3C86">
        <w:rPr>
          <w:rFonts w:ascii="Times New Roman" w:hAnsi="Times New Roman"/>
          <w:sz w:val="24"/>
          <w:szCs w:val="24"/>
        </w:rPr>
        <w:lastRenderedPageBreak/>
        <w:t>wniosku o stwierdzenie nadpłaty, zawierający dane umożliwiające stwierdzenie i zwrot nadpłaty, w szczególności oznaczenie podmiotu uprawnionego do nadpłaty, wskazanie podatku jakiego dotyczy nadpłata, kwoty nadpłaty, przyczyny jej powstania oraz sposób jej zwrotu mając na względzie ułatwienie składania wniosków i usprawnienie ich rozpatrywania. Wzór taki powinien zatem spełniać wymogi określone w art. 3</w:t>
      </w:r>
      <w:r w:rsidR="00C07FC9" w:rsidRPr="009A3C86">
        <w:rPr>
          <w:rFonts w:ascii="Times New Roman" w:hAnsi="Times New Roman"/>
          <w:sz w:val="24"/>
          <w:szCs w:val="24"/>
        </w:rPr>
        <w:t>66</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19</w:t>
      </w:r>
      <w:r w:rsidR="00B01B79" w:rsidRPr="009A3C86">
        <w:rPr>
          <w:rFonts w:ascii="Times New Roman" w:hAnsi="Times New Roman"/>
          <w:b/>
          <w:sz w:val="24"/>
          <w:szCs w:val="24"/>
        </w:rPr>
        <w:t>0</w:t>
      </w:r>
      <w:r w:rsidRPr="009A3C86">
        <w:rPr>
          <w:rFonts w:ascii="Times New Roman" w:hAnsi="Times New Roman"/>
          <w:sz w:val="24"/>
          <w:szCs w:val="24"/>
        </w:rPr>
        <w:t xml:space="preserve"> określa elementy dodatkowe, które powinny towarzyszyć wnioskowi o stwierdzenie nadpłaty. Zgodnie z przepisem </w:t>
      </w:r>
      <w:r w:rsidRPr="009A3C86">
        <w:rPr>
          <w:rFonts w:ascii="Times New Roman" w:hAnsi="Times New Roman"/>
          <w:b/>
          <w:sz w:val="24"/>
          <w:szCs w:val="24"/>
        </w:rPr>
        <w:t>art. 19</w:t>
      </w:r>
      <w:r w:rsidR="00B01B79" w:rsidRPr="009A3C86">
        <w:rPr>
          <w:rFonts w:ascii="Times New Roman" w:hAnsi="Times New Roman"/>
          <w:b/>
          <w:sz w:val="24"/>
          <w:szCs w:val="24"/>
        </w:rPr>
        <w:t>0</w:t>
      </w:r>
      <w:r w:rsidRPr="009A3C86">
        <w:rPr>
          <w:rFonts w:ascii="Times New Roman" w:hAnsi="Times New Roman"/>
          <w:b/>
          <w:sz w:val="24"/>
          <w:szCs w:val="24"/>
        </w:rPr>
        <w:t xml:space="preserve"> § 1,</w:t>
      </w:r>
      <w:r w:rsidRPr="009A3C86">
        <w:rPr>
          <w:rFonts w:ascii="Times New Roman" w:hAnsi="Times New Roman"/>
          <w:sz w:val="24"/>
          <w:szCs w:val="24"/>
        </w:rPr>
        <w:t xml:space="preserve"> jeżeli z przepisów prawa podatkowego wynika obowiązek złożenia deklaracji, to podmioty, o których mowa w art. 1</w:t>
      </w:r>
      <w:r w:rsidR="00B01B79" w:rsidRPr="009A3C86">
        <w:rPr>
          <w:rFonts w:ascii="Times New Roman" w:hAnsi="Times New Roman"/>
          <w:sz w:val="24"/>
          <w:szCs w:val="24"/>
        </w:rPr>
        <w:t>89</w:t>
      </w:r>
      <w:r w:rsidRPr="009A3C86">
        <w:rPr>
          <w:rFonts w:ascii="Times New Roman" w:hAnsi="Times New Roman"/>
          <w:sz w:val="24"/>
          <w:szCs w:val="24"/>
        </w:rPr>
        <w:t xml:space="preserve"> § 1 i § 2 pkt 2 i 3, wraz z wnioskiem o stwierdzenie nadpłaty składają skorygowaną deklarację, chyba że uprzednio złożona deklaracja jest prawidłowa. Oznacza to, że wraz z wnioskiem o stwierdzenie nadpłaty powinna być złożona korekta deklaracji. Brak w tym zakresie należy traktować jako wadę formalną wniosku. Zgodnie bowiem z </w:t>
      </w:r>
      <w:r w:rsidRPr="009A3C86">
        <w:rPr>
          <w:rFonts w:ascii="Times New Roman" w:hAnsi="Times New Roman"/>
          <w:bCs/>
          <w:sz w:val="24"/>
          <w:szCs w:val="24"/>
        </w:rPr>
        <w:t>art. 3</w:t>
      </w:r>
      <w:r w:rsidR="00C07FC9" w:rsidRPr="009A3C86">
        <w:rPr>
          <w:rFonts w:ascii="Times New Roman" w:hAnsi="Times New Roman"/>
          <w:bCs/>
          <w:sz w:val="24"/>
          <w:szCs w:val="24"/>
        </w:rPr>
        <w:t>67</w:t>
      </w:r>
      <w:r w:rsidRPr="009A3C86">
        <w:rPr>
          <w:rFonts w:ascii="Times New Roman" w:hAnsi="Times New Roman"/>
          <w:b/>
          <w:sz w:val="24"/>
          <w:szCs w:val="24"/>
        </w:rPr>
        <w:t> </w:t>
      </w:r>
      <w:r w:rsidRPr="009A3C86">
        <w:rPr>
          <w:rFonts w:ascii="Times New Roman" w:hAnsi="Times New Roman"/>
          <w:sz w:val="24"/>
          <w:szCs w:val="24"/>
        </w:rPr>
        <w:t>§ 2 pkt 1, w przypadku złożenia wniosku o stwierdzenie nadpłaty, jako brak formalny wniosku należy traktować brak korekty deklaracji. Złożenie samej skorygowanej deklaracji bez wniosku o stwierdzenie nadpłaty reguluje natomiast art. 1</w:t>
      </w:r>
      <w:r w:rsidR="00B01B79" w:rsidRPr="009A3C86">
        <w:rPr>
          <w:rFonts w:ascii="Times New Roman" w:hAnsi="Times New Roman"/>
          <w:sz w:val="24"/>
          <w:szCs w:val="24"/>
        </w:rPr>
        <w:t>3</w:t>
      </w:r>
      <w:r w:rsidR="00C07FC9" w:rsidRPr="009A3C86">
        <w:rPr>
          <w:rFonts w:ascii="Times New Roman" w:hAnsi="Times New Roman"/>
          <w:sz w:val="24"/>
          <w:szCs w:val="24"/>
        </w:rPr>
        <w:t>9</w:t>
      </w:r>
      <w:r w:rsidRPr="009A3C86">
        <w:rPr>
          <w:rFonts w:ascii="Times New Roman" w:hAnsi="Times New Roman"/>
          <w:sz w:val="24"/>
          <w:szCs w:val="24"/>
        </w:rPr>
        <w:t xml:space="preserve"> § 1 pkt 3 projektu. Wymóg złożenia korekty deklaracji nie będzie ciążył w przypadku, np. gdy podatnik złoży deklarację z wykazaną prawidłową kwotą podatku, ale jednak uiści kwotę wyższą od zadeklarowanej.</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Wnioskowi o stwierdzenie nadpłaty powinna towarzyszyć prawidłowa korekta deklaracji. W praktyce często się jednak zdarza, iż podatnik składając taki wniosek załącza korektę deklaracji, nie spełniającą wymogów określonych przepisami prawa np. w uchwale organu stanowiącego jednostki samorządu terytorialnego. Może się bowiem zdarzyć się, że np. podatnik nie złoży wraz z wnioskiem o stwierdzenie nadpłaty załączników do tych deklaracji, stanowiących integralną, obowiązkową, część druku deklaracji. Organ podatkowy w takim przypadku przed rozpatrzeniem wniosku musi więc wezwać podatnika o uzupełnienie złożonej korekty, co znacznie skraca okres do rozpatrzenia wniosku (art. </w:t>
      </w:r>
      <w:r w:rsidR="00C07FC9" w:rsidRPr="009A3C86">
        <w:rPr>
          <w:rFonts w:ascii="Times New Roman" w:hAnsi="Times New Roman"/>
          <w:sz w:val="24"/>
          <w:szCs w:val="24"/>
        </w:rPr>
        <w:t>221</w:t>
      </w:r>
      <w:r w:rsidRPr="009A3C86">
        <w:rPr>
          <w:rFonts w:ascii="Times New Roman" w:hAnsi="Times New Roman"/>
          <w:sz w:val="24"/>
          <w:szCs w:val="24"/>
        </w:rPr>
        <w:t xml:space="preserve"> § 2). Do czasu dostarczenia prawidłowo złożonej korekty deklaracji organ podatkowy nie może również prowadzić postępowania dowodowego. W takim jednak przypadku zastosowanie znajduje art</w:t>
      </w:r>
      <w:r w:rsidRPr="009A3C86">
        <w:rPr>
          <w:rFonts w:ascii="Times New Roman" w:hAnsi="Times New Roman"/>
          <w:b/>
          <w:sz w:val="24"/>
          <w:szCs w:val="24"/>
        </w:rPr>
        <w:t>. </w:t>
      </w:r>
      <w:r w:rsidRPr="009A3C86">
        <w:rPr>
          <w:rFonts w:ascii="Times New Roman" w:hAnsi="Times New Roman"/>
          <w:sz w:val="24"/>
          <w:szCs w:val="24"/>
        </w:rPr>
        <w:t>2</w:t>
      </w:r>
      <w:r w:rsidR="00752148" w:rsidRPr="009A3C86">
        <w:rPr>
          <w:rFonts w:ascii="Times New Roman" w:hAnsi="Times New Roman"/>
          <w:sz w:val="24"/>
          <w:szCs w:val="24"/>
        </w:rPr>
        <w:t>23</w:t>
      </w:r>
      <w:r w:rsidRPr="009A3C86">
        <w:rPr>
          <w:rFonts w:ascii="Times New Roman" w:hAnsi="Times New Roman"/>
          <w:b/>
          <w:sz w:val="24"/>
          <w:szCs w:val="24"/>
        </w:rPr>
        <w:t xml:space="preserve"> </w:t>
      </w:r>
      <w:r w:rsidRPr="009A3C86">
        <w:rPr>
          <w:rFonts w:ascii="Times New Roman" w:hAnsi="Times New Roman"/>
          <w:sz w:val="24"/>
          <w:szCs w:val="24"/>
        </w:rPr>
        <w:t>pkt 2</w:t>
      </w:r>
      <w:r w:rsidRPr="009A3C86">
        <w:rPr>
          <w:rFonts w:ascii="Times New Roman" w:hAnsi="Times New Roman"/>
          <w:b/>
          <w:sz w:val="24"/>
          <w:szCs w:val="24"/>
        </w:rPr>
        <w:t> </w:t>
      </w:r>
      <w:r w:rsidRPr="009A3C86">
        <w:rPr>
          <w:rFonts w:ascii="Times New Roman" w:hAnsi="Times New Roman"/>
          <w:sz w:val="24"/>
          <w:szCs w:val="24"/>
        </w:rPr>
        <w:t>projektu. Zgodnie z tym przepisem oprocentowanie nadpłaty nie przysługuje w przypadku, o którym mowa w art. 2</w:t>
      </w:r>
      <w:r w:rsidR="00752148" w:rsidRPr="009A3C86">
        <w:rPr>
          <w:rFonts w:ascii="Times New Roman" w:hAnsi="Times New Roman"/>
          <w:sz w:val="24"/>
          <w:szCs w:val="24"/>
        </w:rPr>
        <w:t>20</w:t>
      </w:r>
      <w:r w:rsidRPr="009A3C86">
        <w:rPr>
          <w:rFonts w:ascii="Times New Roman" w:hAnsi="Times New Roman"/>
          <w:sz w:val="24"/>
          <w:szCs w:val="24"/>
        </w:rPr>
        <w:t xml:space="preserve"> pkt 2, jeżeli do opóźnienia w zwrocie nadpłaty przyczynił się uprawniony do nadpłaty lub powstało ono z przyczyn niezależnych od organu podatkowego, a także, gdy opóźnienie wynika z dokonania określonych czynności dla których przepisy prawa podatkowego określają terminy. W konsekwencji w przypadku zaistnienia opisanych wyżej sytuacji (złożenia wadliwej deklaracji wraz z wnioskiem o stwierdzenie nadpłaty) organ </w:t>
      </w:r>
      <w:r w:rsidRPr="009A3C86">
        <w:rPr>
          <w:rFonts w:ascii="Times New Roman" w:hAnsi="Times New Roman"/>
          <w:sz w:val="24"/>
          <w:szCs w:val="24"/>
        </w:rPr>
        <w:lastRenderedPageBreak/>
        <w:t>podatkowy nie będzie ponosił negatywnych skutków w przypadku nie zwrócenia nadpłaty w terminach do zwrotu nadpłaty określonych w art. 2</w:t>
      </w:r>
      <w:r w:rsidR="00752148" w:rsidRPr="009A3C86">
        <w:rPr>
          <w:rFonts w:ascii="Times New Roman" w:hAnsi="Times New Roman"/>
          <w:sz w:val="24"/>
          <w:szCs w:val="24"/>
        </w:rPr>
        <w:t>21</w:t>
      </w:r>
      <w:r w:rsidRPr="009A3C86">
        <w:rPr>
          <w:rFonts w:ascii="Times New Roman" w:hAnsi="Times New Roman"/>
          <w:sz w:val="24"/>
          <w:szCs w:val="24"/>
        </w:rPr>
        <w:t xml:space="preserve">. </w:t>
      </w:r>
    </w:p>
    <w:p w:rsidR="00326528" w:rsidRPr="009A3C86" w:rsidRDefault="00326528"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19</w:t>
      </w:r>
      <w:r w:rsidR="00B01B79" w:rsidRPr="009A3C86">
        <w:rPr>
          <w:rFonts w:ascii="Times New Roman" w:hAnsi="Times New Roman"/>
          <w:b/>
          <w:sz w:val="24"/>
          <w:szCs w:val="24"/>
        </w:rPr>
        <w:t>0</w:t>
      </w:r>
      <w:r w:rsidRPr="009A3C86">
        <w:rPr>
          <w:rFonts w:ascii="Times New Roman" w:hAnsi="Times New Roman"/>
          <w:b/>
          <w:sz w:val="24"/>
          <w:szCs w:val="24"/>
        </w:rPr>
        <w:t xml:space="preserve"> § 2</w:t>
      </w:r>
      <w:r w:rsidRPr="009A3C86">
        <w:rPr>
          <w:rFonts w:ascii="Times New Roman" w:hAnsi="Times New Roman"/>
          <w:sz w:val="24"/>
          <w:szCs w:val="24"/>
        </w:rPr>
        <w:t xml:space="preserve"> zobowiązuje wspólników rozwiązanej spółki cywilnej, do złożenia umowy spółki aktualnej na dzień jej rozwiązania. Brak załączenia tego dokumentu, podobnie jak korekty deklaracji, należy traktować jako brak formalny wniosku (</w:t>
      </w:r>
      <w:r w:rsidRPr="009A3C86">
        <w:rPr>
          <w:rFonts w:ascii="Times New Roman" w:hAnsi="Times New Roman"/>
          <w:bCs/>
          <w:sz w:val="24"/>
          <w:szCs w:val="24"/>
        </w:rPr>
        <w:t>art. 3</w:t>
      </w:r>
      <w:r w:rsidR="00752148" w:rsidRPr="009A3C86">
        <w:rPr>
          <w:rFonts w:ascii="Times New Roman" w:hAnsi="Times New Roman"/>
          <w:bCs/>
          <w:sz w:val="24"/>
          <w:szCs w:val="24"/>
        </w:rPr>
        <w:t>67</w:t>
      </w:r>
      <w:r w:rsidRPr="009A3C86">
        <w:rPr>
          <w:rFonts w:ascii="Times New Roman" w:hAnsi="Times New Roman"/>
          <w:b/>
          <w:sz w:val="24"/>
          <w:szCs w:val="24"/>
        </w:rPr>
        <w:t> </w:t>
      </w:r>
      <w:r w:rsidRPr="009A3C86">
        <w:rPr>
          <w:rFonts w:ascii="Times New Roman" w:hAnsi="Times New Roman"/>
          <w:sz w:val="24"/>
          <w:szCs w:val="24"/>
        </w:rPr>
        <w:t>§ 2 pkt 2).</w:t>
      </w:r>
    </w:p>
    <w:p w:rsidR="00326528" w:rsidRPr="009A3C86" w:rsidRDefault="00326528" w:rsidP="00D72E74">
      <w:pPr>
        <w:spacing w:before="120" w:after="0" w:line="360" w:lineRule="auto"/>
        <w:jc w:val="both"/>
        <w:rPr>
          <w:rFonts w:ascii="Times New Roman" w:eastAsia="Times New Roman" w:hAnsi="Times New Roman"/>
          <w:b/>
          <w:iCs/>
          <w:sz w:val="24"/>
          <w:szCs w:val="24"/>
        </w:rPr>
      </w:pPr>
      <w:r w:rsidRPr="009A3C86">
        <w:rPr>
          <w:rFonts w:ascii="Times New Roman" w:hAnsi="Times New Roman"/>
          <w:sz w:val="24"/>
          <w:szCs w:val="24"/>
        </w:rPr>
        <w:t xml:space="preserve"> </w:t>
      </w:r>
      <w:bookmarkStart w:id="23" w:name="_Toc494363250"/>
      <w:r w:rsidRPr="009A3C86">
        <w:rPr>
          <w:rFonts w:ascii="Times New Roman" w:eastAsia="Times New Roman" w:hAnsi="Times New Roman"/>
          <w:b/>
          <w:iCs/>
          <w:sz w:val="24"/>
          <w:szCs w:val="24"/>
        </w:rPr>
        <w:t xml:space="preserve">Oddział 3. </w:t>
      </w:r>
      <w:r w:rsidR="00752148" w:rsidRPr="009A3C86">
        <w:rPr>
          <w:rFonts w:ascii="Times New Roman" w:eastAsia="Times New Roman" w:hAnsi="Times New Roman"/>
          <w:b/>
          <w:iCs/>
          <w:sz w:val="24"/>
          <w:szCs w:val="24"/>
        </w:rPr>
        <w:t>S</w:t>
      </w:r>
      <w:r w:rsidRPr="009A3C86">
        <w:rPr>
          <w:rFonts w:ascii="Times New Roman" w:eastAsia="Times New Roman" w:hAnsi="Times New Roman"/>
          <w:b/>
          <w:iCs/>
          <w:sz w:val="24"/>
          <w:szCs w:val="24"/>
        </w:rPr>
        <w:t>twierdzeni</w:t>
      </w:r>
      <w:r w:rsidR="00752148" w:rsidRPr="009A3C86">
        <w:rPr>
          <w:rFonts w:ascii="Times New Roman" w:eastAsia="Times New Roman" w:hAnsi="Times New Roman"/>
          <w:b/>
          <w:iCs/>
          <w:sz w:val="24"/>
          <w:szCs w:val="24"/>
        </w:rPr>
        <w:t>e</w:t>
      </w:r>
      <w:r w:rsidRPr="009A3C86">
        <w:rPr>
          <w:rFonts w:ascii="Times New Roman" w:eastAsia="Times New Roman" w:hAnsi="Times New Roman"/>
          <w:b/>
          <w:iCs/>
          <w:sz w:val="24"/>
          <w:szCs w:val="24"/>
        </w:rPr>
        <w:t xml:space="preserve"> nadpłaty</w:t>
      </w:r>
      <w:bookmarkEnd w:id="23"/>
      <w:r w:rsidRPr="009A3C86">
        <w:rPr>
          <w:rFonts w:ascii="Times New Roman" w:eastAsia="Times New Roman" w:hAnsi="Times New Roman"/>
          <w:b/>
          <w:iCs/>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1. Przepisy zawarte w tym oddziale regulują kilka podstawowych kwestii proceduralnych dotyczących stwierdzenia nadpłaty: regułę bezdecyzyjnego zaliczenia lub zwrotu nadpłaty (</w:t>
      </w:r>
      <w:r w:rsidRPr="009A3C86">
        <w:rPr>
          <w:rFonts w:ascii="Times New Roman" w:hAnsi="Times New Roman"/>
          <w:b/>
          <w:sz w:val="24"/>
          <w:szCs w:val="24"/>
        </w:rPr>
        <w:t>art. 19</w:t>
      </w:r>
      <w:r w:rsidR="00B01B79" w:rsidRPr="009A3C86">
        <w:rPr>
          <w:rFonts w:ascii="Times New Roman" w:hAnsi="Times New Roman"/>
          <w:b/>
          <w:sz w:val="24"/>
          <w:szCs w:val="24"/>
        </w:rPr>
        <w:t>1</w:t>
      </w:r>
      <w:r w:rsidRPr="009A3C86">
        <w:rPr>
          <w:rFonts w:ascii="Times New Roman" w:hAnsi="Times New Roman"/>
          <w:bCs/>
          <w:sz w:val="24"/>
          <w:szCs w:val="24"/>
        </w:rPr>
        <w:t xml:space="preserve">), zwrot na podstawie decyzji stwierdzającej nadpłatę </w:t>
      </w:r>
      <w:r w:rsidRPr="009A3C86">
        <w:rPr>
          <w:rFonts w:ascii="Times New Roman" w:hAnsi="Times New Roman"/>
          <w:sz w:val="24"/>
          <w:szCs w:val="24"/>
        </w:rPr>
        <w:t>(</w:t>
      </w:r>
      <w:r w:rsidRPr="009A3C86">
        <w:rPr>
          <w:rFonts w:ascii="Times New Roman" w:hAnsi="Times New Roman"/>
          <w:b/>
          <w:sz w:val="24"/>
          <w:szCs w:val="24"/>
        </w:rPr>
        <w:t>art. 19</w:t>
      </w:r>
      <w:r w:rsidR="00B01B79" w:rsidRPr="009A3C86">
        <w:rPr>
          <w:rFonts w:ascii="Times New Roman" w:hAnsi="Times New Roman"/>
          <w:b/>
          <w:sz w:val="24"/>
          <w:szCs w:val="24"/>
        </w:rPr>
        <w:t>1</w:t>
      </w:r>
      <w:r w:rsidRPr="009A3C86">
        <w:rPr>
          <w:rFonts w:ascii="Times New Roman" w:hAnsi="Times New Roman"/>
          <w:bCs/>
          <w:sz w:val="24"/>
          <w:szCs w:val="24"/>
        </w:rPr>
        <w:t xml:space="preserve">), odmowę zwrotu na podstawie decyzji o odmowie stwierdzenia nadpłaty </w:t>
      </w:r>
      <w:r w:rsidRPr="009A3C86">
        <w:rPr>
          <w:rFonts w:ascii="Times New Roman" w:hAnsi="Times New Roman"/>
          <w:sz w:val="24"/>
          <w:szCs w:val="24"/>
        </w:rPr>
        <w:t>(</w:t>
      </w:r>
      <w:r w:rsidRPr="009A3C86">
        <w:rPr>
          <w:rFonts w:ascii="Times New Roman" w:hAnsi="Times New Roman"/>
          <w:b/>
          <w:sz w:val="24"/>
          <w:szCs w:val="24"/>
        </w:rPr>
        <w:t>art. 19</w:t>
      </w:r>
      <w:r w:rsidR="00B01B79" w:rsidRPr="009A3C86">
        <w:rPr>
          <w:rFonts w:ascii="Times New Roman" w:hAnsi="Times New Roman"/>
          <w:b/>
          <w:sz w:val="24"/>
          <w:szCs w:val="24"/>
        </w:rPr>
        <w:t>1</w:t>
      </w:r>
      <w:r w:rsidRPr="009A3C86">
        <w:rPr>
          <w:rFonts w:ascii="Times New Roman" w:hAnsi="Times New Roman"/>
          <w:bCs/>
          <w:sz w:val="24"/>
          <w:szCs w:val="24"/>
        </w:rPr>
        <w:t>), tzw. decyzję cząstkową dotyczącą nadpłaty (</w:t>
      </w:r>
      <w:r w:rsidRPr="009A3C86">
        <w:rPr>
          <w:rFonts w:ascii="Times New Roman" w:hAnsi="Times New Roman"/>
          <w:b/>
          <w:sz w:val="24"/>
          <w:szCs w:val="24"/>
        </w:rPr>
        <w:t>art. 19</w:t>
      </w:r>
      <w:r w:rsidR="00B01B79" w:rsidRPr="009A3C86">
        <w:rPr>
          <w:rFonts w:ascii="Times New Roman" w:hAnsi="Times New Roman"/>
          <w:b/>
          <w:sz w:val="24"/>
          <w:szCs w:val="24"/>
        </w:rPr>
        <w:t>2</w:t>
      </w:r>
      <w:r w:rsidRPr="009A3C86">
        <w:rPr>
          <w:rFonts w:ascii="Times New Roman" w:hAnsi="Times New Roman"/>
          <w:sz w:val="24"/>
          <w:szCs w:val="24"/>
        </w:rPr>
        <w:t>)</w:t>
      </w:r>
      <w:r w:rsidRPr="009A3C86">
        <w:rPr>
          <w:rFonts w:ascii="Times New Roman" w:hAnsi="Times New Roman"/>
          <w:bCs/>
          <w:sz w:val="24"/>
          <w:szCs w:val="24"/>
        </w:rPr>
        <w:t>, pełną decyzję wymiarową, której elementem jest rozpatrzenie wniosku o stwierdzenie nadpłaty (</w:t>
      </w:r>
      <w:r w:rsidRPr="009A3C86">
        <w:rPr>
          <w:rFonts w:ascii="Times New Roman" w:hAnsi="Times New Roman"/>
          <w:b/>
          <w:sz w:val="24"/>
          <w:szCs w:val="24"/>
        </w:rPr>
        <w:t xml:space="preserve">art. </w:t>
      </w:r>
      <w:r w:rsidR="00B01B79" w:rsidRPr="009A3C86">
        <w:rPr>
          <w:rFonts w:ascii="Times New Roman" w:hAnsi="Times New Roman"/>
          <w:b/>
          <w:sz w:val="24"/>
          <w:szCs w:val="24"/>
        </w:rPr>
        <w:t>195</w:t>
      </w:r>
      <w:r w:rsidRPr="009A3C86">
        <w:rPr>
          <w:rFonts w:ascii="Times New Roman" w:hAnsi="Times New Roman"/>
          <w:sz w:val="24"/>
          <w:szCs w:val="24"/>
        </w:rPr>
        <w:t xml:space="preserve">), a także szczególne elementy decyzji </w:t>
      </w:r>
      <w:r w:rsidRPr="009A3C86">
        <w:rPr>
          <w:rFonts w:ascii="Times New Roman" w:hAnsi="Times New Roman"/>
          <w:bCs/>
          <w:sz w:val="24"/>
          <w:szCs w:val="24"/>
        </w:rPr>
        <w:t>(</w:t>
      </w:r>
      <w:r w:rsidRPr="009A3C86">
        <w:rPr>
          <w:rFonts w:ascii="Times New Roman" w:hAnsi="Times New Roman"/>
          <w:b/>
          <w:sz w:val="24"/>
          <w:szCs w:val="24"/>
        </w:rPr>
        <w:t>art. 19</w:t>
      </w:r>
      <w:r w:rsidR="00B01B79" w:rsidRPr="009A3C86">
        <w:rPr>
          <w:rFonts w:ascii="Times New Roman" w:hAnsi="Times New Roman"/>
          <w:b/>
          <w:sz w:val="24"/>
          <w:szCs w:val="24"/>
        </w:rPr>
        <w:t>2</w:t>
      </w:r>
      <w:r w:rsidRPr="009A3C86">
        <w:rPr>
          <w:rFonts w:ascii="Times New Roman" w:hAnsi="Times New Roman"/>
          <w:b/>
          <w:sz w:val="24"/>
          <w:szCs w:val="24"/>
        </w:rPr>
        <w:t>, art. 1</w:t>
      </w:r>
      <w:r w:rsidR="00B01B79" w:rsidRPr="009A3C86">
        <w:rPr>
          <w:rFonts w:ascii="Times New Roman" w:hAnsi="Times New Roman"/>
          <w:b/>
          <w:sz w:val="24"/>
          <w:szCs w:val="24"/>
        </w:rPr>
        <w:t>86</w:t>
      </w:r>
      <w:r w:rsidRPr="009A3C86">
        <w:rPr>
          <w:rFonts w:ascii="Times New Roman" w:hAnsi="Times New Roman"/>
          <w:sz w:val="24"/>
          <w:szCs w:val="24"/>
        </w:rPr>
        <w:t>), ale i uzasadnienia decyzji w sprawie nadpłaty (</w:t>
      </w:r>
      <w:r w:rsidRPr="009A3C86">
        <w:rPr>
          <w:rFonts w:ascii="Times New Roman" w:hAnsi="Times New Roman"/>
          <w:b/>
          <w:sz w:val="24"/>
          <w:szCs w:val="24"/>
        </w:rPr>
        <w:t>art. 19</w:t>
      </w:r>
      <w:r w:rsidR="00B01B79" w:rsidRPr="009A3C86">
        <w:rPr>
          <w:rFonts w:ascii="Times New Roman" w:hAnsi="Times New Roman"/>
          <w:b/>
          <w:sz w:val="24"/>
          <w:szCs w:val="24"/>
        </w:rPr>
        <w:t>4</w:t>
      </w:r>
      <w:r w:rsidRPr="009A3C86">
        <w:rPr>
          <w:rFonts w:ascii="Times New Roman" w:hAnsi="Times New Roman"/>
          <w:sz w:val="24"/>
          <w:szCs w:val="24"/>
        </w:rPr>
        <w:t>).</w:t>
      </w:r>
      <w:r w:rsidRPr="009A3C86">
        <w:rPr>
          <w:rFonts w:ascii="Times New Roman" w:hAnsi="Times New Roman"/>
          <w:bCs/>
          <w:sz w:val="24"/>
          <w:szCs w:val="24"/>
        </w:rPr>
        <w:t xml:space="preserve"> </w:t>
      </w:r>
      <w:r w:rsidRPr="009A3C86">
        <w:rPr>
          <w:rFonts w:ascii="Times New Roman" w:hAnsi="Times New Roman"/>
          <w:sz w:val="24"/>
          <w:szCs w:val="24"/>
        </w:rPr>
        <w:t>Określając relacje między tymi przepisami, należy wskazać na następujący mechanizm. Po pierwsze, organ podatkowy powinien analizować, czy są spełnione przesłanki do zaliczenia lub zwrotu nadpłaty bez wydawania decyzji, na podstawie art. 19</w:t>
      </w:r>
      <w:r w:rsidR="00B01B79" w:rsidRPr="009A3C86">
        <w:rPr>
          <w:rFonts w:ascii="Times New Roman" w:hAnsi="Times New Roman"/>
          <w:sz w:val="24"/>
          <w:szCs w:val="24"/>
        </w:rPr>
        <w:t>1</w:t>
      </w:r>
      <w:r w:rsidRPr="009A3C86">
        <w:rPr>
          <w:rFonts w:ascii="Times New Roman" w:hAnsi="Times New Roman"/>
          <w:sz w:val="24"/>
          <w:szCs w:val="24"/>
        </w:rPr>
        <w:t>. Po drugie, w przypadku złożenia wniosku o stwierdzenie nadpłaty i braku możliwości bezdecyzyjnego zaliczenia lub zwrotu nadpłaty przez organ podatkowy organ ten powinien wydać decyzję w sprawie nadpłaty</w:t>
      </w:r>
      <w:r w:rsidRPr="009A3C86">
        <w:rPr>
          <w:rFonts w:ascii="Times New Roman" w:hAnsi="Times New Roman"/>
          <w:bCs/>
          <w:sz w:val="24"/>
          <w:szCs w:val="24"/>
        </w:rPr>
        <w:t xml:space="preserve"> art. 19</w:t>
      </w:r>
      <w:r w:rsidR="00B01B79" w:rsidRPr="009A3C86">
        <w:rPr>
          <w:rFonts w:ascii="Times New Roman" w:hAnsi="Times New Roman"/>
          <w:bCs/>
          <w:sz w:val="24"/>
          <w:szCs w:val="24"/>
        </w:rPr>
        <w:t>1</w:t>
      </w:r>
      <w:r w:rsidRPr="009A3C86">
        <w:rPr>
          <w:rFonts w:ascii="Times New Roman" w:hAnsi="Times New Roman"/>
          <w:bCs/>
          <w:sz w:val="24"/>
          <w:szCs w:val="24"/>
        </w:rPr>
        <w:t>, tj. decyzję stwierdzającą nadpłatę lub o odmowie stwierdzenia nadpłaty</w:t>
      </w:r>
      <w:r w:rsidRPr="009A3C86">
        <w:rPr>
          <w:rFonts w:ascii="Times New Roman" w:hAnsi="Times New Roman"/>
          <w:sz w:val="24"/>
          <w:szCs w:val="24"/>
        </w:rPr>
        <w:t>, która może być też decyzją cząstkową (art. 19</w:t>
      </w:r>
      <w:r w:rsidR="00B01B79" w:rsidRPr="009A3C86">
        <w:rPr>
          <w:rFonts w:ascii="Times New Roman" w:hAnsi="Times New Roman"/>
          <w:sz w:val="24"/>
          <w:szCs w:val="24"/>
        </w:rPr>
        <w:t>2</w:t>
      </w:r>
      <w:r w:rsidRPr="009A3C86">
        <w:rPr>
          <w:rFonts w:ascii="Times New Roman" w:hAnsi="Times New Roman"/>
          <w:sz w:val="24"/>
          <w:szCs w:val="24"/>
        </w:rPr>
        <w:t xml:space="preserve">). </w:t>
      </w:r>
      <w:r w:rsidRPr="009A3C86">
        <w:rPr>
          <w:rFonts w:ascii="Times New Roman" w:hAnsi="Times New Roman"/>
          <w:bCs/>
          <w:sz w:val="24"/>
          <w:szCs w:val="24"/>
        </w:rPr>
        <w:t xml:space="preserve">Organ wyda tzw. </w:t>
      </w:r>
      <w:r w:rsidRPr="009A3C86">
        <w:rPr>
          <w:rFonts w:ascii="Times New Roman" w:hAnsi="Times New Roman"/>
          <w:sz w:val="24"/>
          <w:szCs w:val="24"/>
        </w:rPr>
        <w:t>decyzję cząstkową w sprawie nadpłaty (art. 19</w:t>
      </w:r>
      <w:r w:rsidR="00B01B79" w:rsidRPr="009A3C86">
        <w:rPr>
          <w:rFonts w:ascii="Times New Roman" w:hAnsi="Times New Roman"/>
          <w:sz w:val="24"/>
          <w:szCs w:val="24"/>
        </w:rPr>
        <w:t>2</w:t>
      </w:r>
      <w:r w:rsidRPr="009A3C86">
        <w:rPr>
          <w:rFonts w:ascii="Times New Roman" w:hAnsi="Times New Roman"/>
          <w:sz w:val="24"/>
          <w:szCs w:val="24"/>
        </w:rPr>
        <w:t xml:space="preserve">), jeśli wniosek jest nieprawidłowy w zakresie wymiaru, którego dotyczy nadpłata. Organ może także wydać </w:t>
      </w:r>
      <w:r w:rsidRPr="009A3C86">
        <w:rPr>
          <w:rFonts w:ascii="Times New Roman" w:hAnsi="Times New Roman"/>
          <w:bCs/>
          <w:sz w:val="24"/>
          <w:szCs w:val="24"/>
        </w:rPr>
        <w:t xml:space="preserve">pełną decyzję wymiarową, której elementem jest rozstrzygnięcie w sprawie wniosku o stwierdzenie nadpłaty (art. </w:t>
      </w:r>
      <w:r w:rsidR="00B01B79" w:rsidRPr="009A3C86">
        <w:rPr>
          <w:rFonts w:ascii="Times New Roman" w:hAnsi="Times New Roman"/>
          <w:bCs/>
          <w:sz w:val="24"/>
          <w:szCs w:val="24"/>
        </w:rPr>
        <w:t>195</w:t>
      </w:r>
      <w:r w:rsidRPr="009A3C86">
        <w:rPr>
          <w:rFonts w:ascii="Times New Roman" w:hAnsi="Times New Roman"/>
          <w:bCs/>
          <w:sz w:val="24"/>
          <w:szCs w:val="24"/>
        </w:rPr>
        <w:t xml:space="preserve">). </w:t>
      </w:r>
      <w:r w:rsidRPr="009A3C86">
        <w:rPr>
          <w:rFonts w:ascii="Times New Roman" w:hAnsi="Times New Roman"/>
          <w:sz w:val="24"/>
          <w:szCs w:val="24"/>
        </w:rPr>
        <w:t>Ta ostatnia decyzja (pełna) może być niezbędna, gdy w trakcie wstępnej analizy wniosku organ podatkowy uzna np., że skorygowana deklaracja nie uwzględnia elementów dotyczących przedmiotu opodatkowania. Będzie tak np. jeśli podatnik domaga się nadpłaty w zakresie podatku od dochodu z pracy, a organ stwierdzi zaległość podatkową w zakresie dochodów z działalności gospodarczej. Możliwość zastosowania art. 19</w:t>
      </w:r>
      <w:r w:rsidR="00B01B79" w:rsidRPr="009A3C86">
        <w:rPr>
          <w:rFonts w:ascii="Times New Roman" w:hAnsi="Times New Roman"/>
          <w:sz w:val="24"/>
          <w:szCs w:val="24"/>
        </w:rPr>
        <w:t>1</w:t>
      </w:r>
      <w:r w:rsidRPr="009A3C86">
        <w:rPr>
          <w:rFonts w:ascii="Times New Roman" w:hAnsi="Times New Roman"/>
          <w:sz w:val="24"/>
          <w:szCs w:val="24"/>
        </w:rPr>
        <w:t>, 19</w:t>
      </w:r>
      <w:r w:rsidR="00B01B79" w:rsidRPr="009A3C86">
        <w:rPr>
          <w:rFonts w:ascii="Times New Roman" w:hAnsi="Times New Roman"/>
          <w:sz w:val="24"/>
          <w:szCs w:val="24"/>
        </w:rPr>
        <w:t>2</w:t>
      </w:r>
      <w:r w:rsidRPr="009A3C86">
        <w:rPr>
          <w:rFonts w:ascii="Times New Roman" w:hAnsi="Times New Roman"/>
          <w:sz w:val="24"/>
          <w:szCs w:val="24"/>
        </w:rPr>
        <w:t xml:space="preserve"> lub art. </w:t>
      </w:r>
      <w:r w:rsidR="00B01B79" w:rsidRPr="009A3C86">
        <w:rPr>
          <w:rFonts w:ascii="Times New Roman" w:hAnsi="Times New Roman"/>
          <w:sz w:val="24"/>
          <w:szCs w:val="24"/>
        </w:rPr>
        <w:t>195</w:t>
      </w:r>
      <w:r w:rsidRPr="009A3C86">
        <w:rPr>
          <w:rFonts w:ascii="Times New Roman" w:hAnsi="Times New Roman"/>
          <w:sz w:val="24"/>
          <w:szCs w:val="24"/>
        </w:rPr>
        <w:t xml:space="preserve"> zależy więc od okoliczności sprawy, ale także od wyboru organu podatkowego. Nie można uznać za błąd działania organu podatkowego, który podejmuje czynności i wydaje decyzję na podstawie art. </w:t>
      </w:r>
      <w:r w:rsidR="00B01B79" w:rsidRPr="009A3C86">
        <w:rPr>
          <w:rFonts w:ascii="Times New Roman" w:hAnsi="Times New Roman"/>
          <w:sz w:val="24"/>
          <w:szCs w:val="24"/>
        </w:rPr>
        <w:t>195</w:t>
      </w:r>
      <w:r w:rsidRPr="009A3C86">
        <w:rPr>
          <w:rFonts w:ascii="Times New Roman" w:hAnsi="Times New Roman"/>
          <w:sz w:val="24"/>
          <w:szCs w:val="24"/>
        </w:rPr>
        <w:t xml:space="preserve">, nawet jeśli istnieje możliwość wykorzystania regulacji zawartej w innych przepisach.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art. 19</w:t>
      </w:r>
      <w:r w:rsidR="00B01B79" w:rsidRPr="009A3C86">
        <w:rPr>
          <w:rFonts w:ascii="Times New Roman" w:hAnsi="Times New Roman"/>
          <w:b/>
          <w:sz w:val="24"/>
          <w:szCs w:val="24"/>
        </w:rPr>
        <w:t>1</w:t>
      </w:r>
      <w:r w:rsidRPr="009A3C86">
        <w:rPr>
          <w:rFonts w:ascii="Times New Roman" w:hAnsi="Times New Roman"/>
          <w:b/>
          <w:sz w:val="24"/>
          <w:szCs w:val="24"/>
        </w:rPr>
        <w:t xml:space="preserve"> </w:t>
      </w:r>
      <w:r w:rsidRPr="009A3C86">
        <w:rPr>
          <w:rFonts w:ascii="Times New Roman" w:hAnsi="Times New Roman"/>
          <w:b/>
          <w:bCs/>
          <w:sz w:val="24"/>
          <w:szCs w:val="24"/>
        </w:rPr>
        <w:t>§ 1</w:t>
      </w:r>
      <w:r w:rsidRPr="009A3C86">
        <w:rPr>
          <w:rFonts w:ascii="Times New Roman" w:hAnsi="Times New Roman"/>
          <w:bCs/>
          <w:sz w:val="24"/>
          <w:szCs w:val="24"/>
        </w:rPr>
        <w:t xml:space="preserve"> stanowi, że organ podatkowy </w:t>
      </w:r>
      <w:r w:rsidRPr="009A3C86">
        <w:rPr>
          <w:rFonts w:ascii="Times New Roman" w:hAnsi="Times New Roman"/>
          <w:sz w:val="24"/>
          <w:szCs w:val="24"/>
        </w:rPr>
        <w:t xml:space="preserve">z urzędu lub na wniosek </w:t>
      </w:r>
      <w:r w:rsidRPr="009A3C86">
        <w:rPr>
          <w:rFonts w:ascii="Times New Roman" w:hAnsi="Times New Roman"/>
          <w:bCs/>
          <w:sz w:val="24"/>
          <w:szCs w:val="24"/>
        </w:rPr>
        <w:t xml:space="preserve">dokonuje zaliczenia lub zwraca nadpłatę bez wydawania decyzji, </w:t>
      </w:r>
      <w:r w:rsidRPr="009A3C86">
        <w:rPr>
          <w:rFonts w:ascii="Times New Roman" w:hAnsi="Times New Roman"/>
          <w:sz w:val="24"/>
          <w:szCs w:val="24"/>
        </w:rPr>
        <w:t xml:space="preserve">z zastrzeżeniem § 2. W </w:t>
      </w:r>
      <w:r w:rsidRPr="009A3C86">
        <w:rPr>
          <w:rFonts w:ascii="Times New Roman" w:hAnsi="Times New Roman"/>
          <w:b/>
          <w:sz w:val="24"/>
          <w:szCs w:val="24"/>
        </w:rPr>
        <w:t>§ 2</w:t>
      </w:r>
      <w:r w:rsidRPr="009A3C86">
        <w:rPr>
          <w:rFonts w:ascii="Times New Roman" w:hAnsi="Times New Roman"/>
          <w:sz w:val="24"/>
          <w:szCs w:val="24"/>
        </w:rPr>
        <w:t xml:space="preserve"> podkreśla </w:t>
      </w:r>
      <w:r w:rsidRPr="009A3C86">
        <w:rPr>
          <w:rFonts w:ascii="Times New Roman" w:hAnsi="Times New Roman"/>
          <w:sz w:val="24"/>
          <w:szCs w:val="24"/>
        </w:rPr>
        <w:lastRenderedPageBreak/>
        <w:t>się natomiast, że jeżeli nadpłata została określona nienależnie lub w nieprawidłowej wysokości w deklaracji, o której mowa w art. 1</w:t>
      </w:r>
      <w:r w:rsidR="00B01B79" w:rsidRPr="009A3C86">
        <w:rPr>
          <w:rFonts w:ascii="Times New Roman" w:hAnsi="Times New Roman"/>
          <w:sz w:val="24"/>
          <w:szCs w:val="24"/>
        </w:rPr>
        <w:t>96</w:t>
      </w:r>
      <w:r w:rsidRPr="009A3C86">
        <w:rPr>
          <w:rFonts w:ascii="Times New Roman" w:hAnsi="Times New Roman"/>
          <w:sz w:val="24"/>
          <w:szCs w:val="24"/>
        </w:rPr>
        <w:t xml:space="preserve"> § 2, lub wniosku o stwierdzenie nadpłaty, o którym mowa w art. 1</w:t>
      </w:r>
      <w:r w:rsidR="00B01B79" w:rsidRPr="009A3C86">
        <w:rPr>
          <w:rFonts w:ascii="Times New Roman" w:hAnsi="Times New Roman"/>
          <w:sz w:val="24"/>
          <w:szCs w:val="24"/>
        </w:rPr>
        <w:t>89</w:t>
      </w:r>
      <w:r w:rsidRPr="009A3C86">
        <w:rPr>
          <w:rFonts w:ascii="Times New Roman" w:hAnsi="Times New Roman"/>
          <w:b/>
          <w:sz w:val="24"/>
          <w:szCs w:val="24"/>
        </w:rPr>
        <w:t>,</w:t>
      </w:r>
      <w:r w:rsidRPr="009A3C86">
        <w:rPr>
          <w:rFonts w:ascii="Times New Roman" w:hAnsi="Times New Roman"/>
          <w:sz w:val="24"/>
          <w:szCs w:val="24"/>
        </w:rPr>
        <w:t xml:space="preserve"> organ wydaje decyzję w sprawie nadpłaty. </w:t>
      </w:r>
      <w:r w:rsidRPr="009A3C86">
        <w:rPr>
          <w:rFonts w:ascii="Times New Roman" w:hAnsi="Times New Roman"/>
          <w:bCs/>
          <w:sz w:val="24"/>
          <w:szCs w:val="24"/>
        </w:rPr>
        <w:t xml:space="preserve">W przepisach tych wprowadzono regułę bezdecyzyjnego zaliczenia lub zwrotu nadpłaty. Przepis ten dotyczy sytuacji, w której nadpłatę określa zobowiązany, zarówno w deklaracji na podstawie </w:t>
      </w:r>
      <w:r w:rsidRPr="009A3C86">
        <w:rPr>
          <w:rFonts w:ascii="Times New Roman" w:hAnsi="Times New Roman"/>
          <w:sz w:val="24"/>
          <w:szCs w:val="24"/>
        </w:rPr>
        <w:t>art. 1</w:t>
      </w:r>
      <w:r w:rsidR="00B01B79" w:rsidRPr="009A3C86">
        <w:rPr>
          <w:rFonts w:ascii="Times New Roman" w:hAnsi="Times New Roman"/>
          <w:sz w:val="24"/>
          <w:szCs w:val="24"/>
        </w:rPr>
        <w:t>86</w:t>
      </w:r>
      <w:r w:rsidRPr="009A3C86">
        <w:rPr>
          <w:rFonts w:ascii="Times New Roman" w:hAnsi="Times New Roman"/>
          <w:sz w:val="24"/>
          <w:szCs w:val="24"/>
        </w:rPr>
        <w:t xml:space="preserve"> § 2</w:t>
      </w:r>
      <w:r w:rsidRPr="009A3C86">
        <w:rPr>
          <w:rFonts w:ascii="Times New Roman" w:hAnsi="Times New Roman"/>
          <w:bCs/>
          <w:sz w:val="24"/>
          <w:szCs w:val="24"/>
        </w:rPr>
        <w:t>, jak i wniosku o stwierdzenie nadpłaty, o którym mowa w art. 1</w:t>
      </w:r>
      <w:r w:rsidR="00B01B79" w:rsidRPr="009A3C86">
        <w:rPr>
          <w:rFonts w:ascii="Times New Roman" w:hAnsi="Times New Roman"/>
          <w:bCs/>
          <w:sz w:val="24"/>
          <w:szCs w:val="24"/>
        </w:rPr>
        <w:t>89</w:t>
      </w:r>
      <w:r w:rsidRPr="009A3C86">
        <w:rPr>
          <w:rFonts w:ascii="Times New Roman" w:hAnsi="Times New Roman"/>
          <w:bCs/>
          <w:sz w:val="24"/>
          <w:szCs w:val="24"/>
        </w:rPr>
        <w:t xml:space="preserve">. Przepis ten zobowiązuje organ podatkowy do bezdecyzyjnego zaliczenia lub zwrotu nadpłaty także w każdym innym przypadku, gdy stwierdzi jej istnienie z urzędu np. po zmianie, uchyleniu lub stwierdzeniu nieważności decyzji, ale również gdy to nastąpi </w:t>
      </w:r>
      <w:r w:rsidRPr="009A3C86">
        <w:rPr>
          <w:rFonts w:ascii="Times New Roman" w:hAnsi="Times New Roman"/>
          <w:sz w:val="24"/>
          <w:szCs w:val="24"/>
        </w:rPr>
        <w:t>w ramach czynności sprawdzających czy kontroli podatkowej.  Organ podatkowy nie będzie więc wydawał decyzji w sprawie nadpłaty, w przypadku gdy sam stwierdzi jej istnienie, a nie będzie np. złożonego wniosku o stwierdzenie nadpłaty. Sytuacja taka będzie miał</w:t>
      </w:r>
      <w:r w:rsidR="00EA63D2" w:rsidRPr="009A3C86">
        <w:rPr>
          <w:rFonts w:ascii="Times New Roman" w:hAnsi="Times New Roman"/>
          <w:sz w:val="24"/>
          <w:szCs w:val="24"/>
        </w:rPr>
        <w:t>a</w:t>
      </w:r>
      <w:r w:rsidRPr="009A3C86">
        <w:rPr>
          <w:rFonts w:ascii="Times New Roman" w:hAnsi="Times New Roman"/>
          <w:sz w:val="24"/>
          <w:szCs w:val="24"/>
        </w:rPr>
        <w:t xml:space="preserve"> miejsce np. w przypadku wykazania podatku do zapłaty w deklaracji w wysokości 1000 zł a wpłacenia przez pomyłkę kwoty 1100 zł. W takim przypadku organ powinien na podstawie art. 18</w:t>
      </w:r>
      <w:r w:rsidR="00B01B79" w:rsidRPr="009A3C86">
        <w:rPr>
          <w:rFonts w:ascii="Times New Roman" w:hAnsi="Times New Roman"/>
          <w:sz w:val="24"/>
          <w:szCs w:val="24"/>
        </w:rPr>
        <w:t>4</w:t>
      </w:r>
      <w:r w:rsidRPr="009A3C86">
        <w:rPr>
          <w:rFonts w:ascii="Times New Roman" w:hAnsi="Times New Roman"/>
          <w:sz w:val="24"/>
          <w:szCs w:val="24"/>
        </w:rPr>
        <w:t xml:space="preserve"> § 1 z urzędu dokonać zaliczenia lub zwrócić nadpłatę bez wydawania decyzji. Przyjęte rozwiązanie stanowi realizację postulatu zaliczenia lub zwrotu nadpłaty w możliwie uproszczonej procedurze, m.in. poprzez rezygnację z konieczności wydawania postanowienia o wszczęciu postępowania, czy wyznaczeniu 7-dniowego termin do zapoznania się z zebranym materiałem dowodowym. Zgodnie bowiem z art. 3</w:t>
      </w:r>
      <w:r w:rsidR="00752148" w:rsidRPr="009A3C86">
        <w:rPr>
          <w:rFonts w:ascii="Times New Roman" w:hAnsi="Times New Roman"/>
          <w:sz w:val="24"/>
          <w:szCs w:val="24"/>
        </w:rPr>
        <w:t>58</w:t>
      </w:r>
      <w:r w:rsidRPr="009A3C86">
        <w:rPr>
          <w:rFonts w:ascii="Times New Roman" w:hAnsi="Times New Roman"/>
          <w:sz w:val="24"/>
          <w:szCs w:val="24"/>
        </w:rPr>
        <w:t xml:space="preserve"> § 1 pkt 2 lit.</w:t>
      </w:r>
      <w:r w:rsidRPr="009A3C86">
        <w:rPr>
          <w:rFonts w:ascii="Times New Roman" w:hAnsi="Times New Roman"/>
          <w:bCs/>
          <w:sz w:val="24"/>
          <w:szCs w:val="24"/>
        </w:rPr>
        <w:t xml:space="preserve"> i) </w:t>
      </w:r>
      <w:r w:rsidRPr="009A3C86">
        <w:rPr>
          <w:rFonts w:ascii="Times New Roman" w:hAnsi="Times New Roman"/>
          <w:sz w:val="24"/>
          <w:szCs w:val="24"/>
        </w:rPr>
        <w:t>organ podatkowy nie wydaje postanowienia o wszczęciu postępowania</w:t>
      </w:r>
      <w:r w:rsidRPr="009A3C86">
        <w:rPr>
          <w:rFonts w:ascii="Times New Roman" w:hAnsi="Times New Roman"/>
          <w:bCs/>
          <w:sz w:val="24"/>
          <w:szCs w:val="24"/>
        </w:rPr>
        <w:t xml:space="preserve"> w sprawie stwierdzenia nadpłaty.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art. 19</w:t>
      </w:r>
      <w:r w:rsidR="00B01B79" w:rsidRPr="009A3C86">
        <w:rPr>
          <w:rFonts w:ascii="Times New Roman" w:hAnsi="Times New Roman"/>
          <w:b/>
          <w:bCs/>
          <w:sz w:val="24"/>
          <w:szCs w:val="24"/>
        </w:rPr>
        <w:t>1</w:t>
      </w:r>
      <w:r w:rsidRPr="009A3C86">
        <w:rPr>
          <w:rFonts w:ascii="Times New Roman" w:hAnsi="Times New Roman"/>
          <w:b/>
          <w:bCs/>
          <w:sz w:val="24"/>
          <w:szCs w:val="24"/>
        </w:rPr>
        <w:t xml:space="preserve"> § 2</w:t>
      </w:r>
      <w:r w:rsidRPr="009A3C86">
        <w:rPr>
          <w:rFonts w:ascii="Times New Roman" w:hAnsi="Times New Roman"/>
          <w:bCs/>
          <w:sz w:val="24"/>
          <w:szCs w:val="24"/>
        </w:rPr>
        <w:t xml:space="preserve"> zawiera podstawę do wydania decyzji w sprawie nadpłaty (decyzji stwierdzającej nadpłatę lub o odmowie stwierdzenia nadpłaty), gdy nie będzie podstaw do bezdecyzyjnego zaliczenia lub zwrotu nadpłaty. W tych przypadkach decyzja taka również </w:t>
      </w:r>
      <w:r w:rsidRPr="009A3C86">
        <w:rPr>
          <w:rFonts w:ascii="Times New Roman" w:hAnsi="Times New Roman"/>
          <w:sz w:val="24"/>
          <w:szCs w:val="24"/>
        </w:rPr>
        <w:t>jest wydawana w uproszczonej procedurze</w:t>
      </w:r>
      <w:r w:rsidRPr="009A3C86">
        <w:rPr>
          <w:rFonts w:ascii="Times New Roman" w:hAnsi="Times New Roman"/>
          <w:bCs/>
          <w:sz w:val="24"/>
          <w:szCs w:val="24"/>
        </w:rPr>
        <w:t xml:space="preserve">. Decyzja taka powinna być wydana w przypadku wniosku o stwierdzenia nadpłaty, jeśli nadpłata została określona nienależnie lub w nieprawidłowej wysokości we wniosku o stwierdzenie nadpłaty. </w:t>
      </w:r>
      <w:r w:rsidRPr="009A3C86">
        <w:rPr>
          <w:rFonts w:ascii="Times New Roman" w:hAnsi="Times New Roman"/>
          <w:sz w:val="24"/>
          <w:szCs w:val="24"/>
        </w:rPr>
        <w:t xml:space="preserve">Organ podatkowy powinien wydawać decyzję dotyczącą nadpłaty na </w:t>
      </w:r>
      <w:r w:rsidRPr="009A3C86">
        <w:rPr>
          <w:rFonts w:ascii="Times New Roman" w:hAnsi="Times New Roman"/>
          <w:bCs/>
          <w:sz w:val="24"/>
          <w:szCs w:val="24"/>
        </w:rPr>
        <w:t>podstawie art. 19</w:t>
      </w:r>
      <w:r w:rsidR="00B01B79" w:rsidRPr="009A3C86">
        <w:rPr>
          <w:rFonts w:ascii="Times New Roman" w:hAnsi="Times New Roman"/>
          <w:bCs/>
          <w:sz w:val="24"/>
          <w:szCs w:val="24"/>
        </w:rPr>
        <w:t>1</w:t>
      </w:r>
      <w:r w:rsidRPr="009A3C86">
        <w:rPr>
          <w:rFonts w:ascii="Times New Roman" w:hAnsi="Times New Roman"/>
          <w:sz w:val="24"/>
          <w:szCs w:val="24"/>
        </w:rPr>
        <w:t xml:space="preserve"> m.in. w przypadku wykazania wysokości nadpłaty w deklaracji, jeśli </w:t>
      </w:r>
      <w:r w:rsidRPr="009A3C86">
        <w:rPr>
          <w:rFonts w:ascii="Times New Roman" w:hAnsi="Times New Roman"/>
          <w:bCs/>
          <w:sz w:val="24"/>
          <w:szCs w:val="24"/>
        </w:rPr>
        <w:t xml:space="preserve">kwota ta została określona w tym dokumencie w nieprawidłowej wysokości lub nienależnie. Przepis ten będzie także podstawą do wydania decyzji o stwierdzeniu nadpłaty w przypadku, gdy nadpłata będzie wykazana w nieprawidłowej wysokości we wniosku o stwierdzenie nadpłaty, który został złożony bez konieczności korekty deklaracji (np. podatek wykazany w deklaracji jest prawidłowy, ale podatnik wpłacił kwotę wyższą niż zadeklarował). Regulacja ta będzie również miała zastosowanie, gdy nadpłata będzie wykazana w nieprawidłowej wysokości we wniosku o stwierdzenie nadpłaty, który </w:t>
      </w:r>
      <w:r w:rsidRPr="009A3C86">
        <w:rPr>
          <w:rFonts w:ascii="Times New Roman" w:hAnsi="Times New Roman"/>
          <w:bCs/>
          <w:sz w:val="24"/>
          <w:szCs w:val="24"/>
        </w:rPr>
        <w:lastRenderedPageBreak/>
        <w:t xml:space="preserve">został złożony wraz z korektą deklaracji, której organ podatkowy nie kwestionuje. </w:t>
      </w:r>
      <w:r w:rsidRPr="009A3C86">
        <w:rPr>
          <w:rFonts w:ascii="Times New Roman" w:hAnsi="Times New Roman"/>
          <w:sz w:val="24"/>
          <w:szCs w:val="24"/>
        </w:rPr>
        <w:t xml:space="preserve">Organ podatkowy powinien odmówić stwierdzenia nadpłaty zarówno w przypadku, gdy wniosek jest niezasadny w całości, jak i w części. W obydwu przypadkach podatnik powinien wprost uzyskać informację, że jego wniosek nie został uwzględniony w całości.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19</w:t>
      </w:r>
      <w:r w:rsidR="00B01B79" w:rsidRPr="009A3C86">
        <w:rPr>
          <w:rFonts w:ascii="Times New Roman" w:hAnsi="Times New Roman"/>
          <w:b/>
          <w:sz w:val="24"/>
          <w:szCs w:val="24"/>
        </w:rPr>
        <w:t>1</w:t>
      </w:r>
      <w:r w:rsidRPr="009A3C86">
        <w:rPr>
          <w:rFonts w:ascii="Times New Roman" w:hAnsi="Times New Roman"/>
          <w:b/>
          <w:sz w:val="24"/>
          <w:szCs w:val="24"/>
        </w:rPr>
        <w:t xml:space="preserve"> § 3</w:t>
      </w:r>
      <w:r w:rsidRPr="009A3C86">
        <w:rPr>
          <w:rFonts w:ascii="Times New Roman" w:hAnsi="Times New Roman"/>
          <w:sz w:val="24"/>
          <w:szCs w:val="24"/>
        </w:rPr>
        <w:t xml:space="preserve"> stanowi, iż jeżeli zaliczenia lub zwrotu nadpłaty stwierdzonej bez wydawania decyzji na podstawie § 1 dokonano nienależnie lub w wysokości wyższej od należnej, w zakresie nadpłaty będącej przedmiotem wniosku nie wszczyna się postępowania w sprawach o przestępstwa i wykroczenia skarbowe. Przepis ten jest odpowiednikiem art. 75 § 5 o.p.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19</w:t>
      </w:r>
      <w:r w:rsidR="00B01B79" w:rsidRPr="009A3C86">
        <w:rPr>
          <w:rFonts w:ascii="Times New Roman" w:hAnsi="Times New Roman"/>
          <w:b/>
          <w:sz w:val="24"/>
          <w:szCs w:val="24"/>
        </w:rPr>
        <w:t>1</w:t>
      </w:r>
      <w:r w:rsidRPr="009A3C86">
        <w:rPr>
          <w:rFonts w:ascii="Times New Roman" w:hAnsi="Times New Roman"/>
          <w:b/>
          <w:sz w:val="24"/>
          <w:szCs w:val="24"/>
        </w:rPr>
        <w:t xml:space="preserve"> §  4</w:t>
      </w:r>
      <w:r w:rsidRPr="009A3C86">
        <w:rPr>
          <w:rFonts w:ascii="Times New Roman" w:hAnsi="Times New Roman"/>
          <w:sz w:val="24"/>
          <w:szCs w:val="24"/>
        </w:rPr>
        <w:t xml:space="preserve"> stanowi, że minister właściwy do spraw finansów publicznych określi, w drodze rozporządzenia, właściwość miejscową organów podatkowych w sprawach dotyczących stwierdzenia nadpłaty, o których mowa w </w:t>
      </w:r>
      <w:r w:rsidRPr="009A3C86">
        <w:rPr>
          <w:rFonts w:ascii="Times New Roman" w:hAnsi="Times New Roman"/>
          <w:bCs/>
          <w:sz w:val="24"/>
          <w:szCs w:val="24"/>
        </w:rPr>
        <w:t xml:space="preserve">§ 1, w zakresie </w:t>
      </w:r>
      <w:r w:rsidRPr="009A3C86">
        <w:rPr>
          <w:rFonts w:ascii="Times New Roman" w:hAnsi="Times New Roman"/>
          <w:sz w:val="24"/>
          <w:szCs w:val="24"/>
        </w:rPr>
        <w:t xml:space="preserve">podatków pobieranych przez płatników, uwzględniając w szczególności rodzaj podatku i przypadki poboru podatku przez płatnika. Przepis ten jest odpowiednikiem art. 75 § 7 o.p.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19</w:t>
      </w:r>
      <w:r w:rsidR="00B01B79" w:rsidRPr="009A3C86">
        <w:rPr>
          <w:rFonts w:ascii="Times New Roman" w:hAnsi="Times New Roman"/>
          <w:b/>
          <w:sz w:val="24"/>
          <w:szCs w:val="24"/>
        </w:rPr>
        <w:t>2</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że organ podatkowy w decyzji</w:t>
      </w:r>
      <w:r w:rsidRPr="009A3C86">
        <w:rPr>
          <w:rFonts w:ascii="Times New Roman" w:hAnsi="Times New Roman"/>
          <w:bCs/>
          <w:sz w:val="24"/>
          <w:szCs w:val="24"/>
        </w:rPr>
        <w:t xml:space="preserve"> stwierdzającej nadpłatę </w:t>
      </w:r>
      <w:r w:rsidRPr="009A3C86">
        <w:rPr>
          <w:rFonts w:ascii="Times New Roman" w:hAnsi="Times New Roman"/>
          <w:sz w:val="24"/>
          <w:szCs w:val="24"/>
        </w:rPr>
        <w:t xml:space="preserve">dokonuje </w:t>
      </w:r>
      <w:r w:rsidRPr="009A3C86">
        <w:rPr>
          <w:rFonts w:ascii="Times New Roman" w:hAnsi="Times New Roman"/>
          <w:bCs/>
          <w:sz w:val="24"/>
          <w:szCs w:val="24"/>
        </w:rPr>
        <w:t xml:space="preserve">również </w:t>
      </w:r>
      <w:r w:rsidRPr="009A3C86">
        <w:rPr>
          <w:rFonts w:ascii="Times New Roman" w:hAnsi="Times New Roman"/>
          <w:sz w:val="24"/>
          <w:szCs w:val="24"/>
        </w:rPr>
        <w:t xml:space="preserve">wymiaru w zakresie objętym wnioskiem o stwierdzenie nadpłaty, jeżeli nadpłata jest związana ze zmianą wysokości zobowiązania podatkowego, chyba że prawidłowa wysokość zobowiązania podatkowego wynika z uprzednio złożonej deklaracji. Regulacja ta określa relacje postępowania o stwierdzenie nadpłaty do postępowania wymiarowego, np. w którym następuje określenie wysokości zobowiązania podatkowego. Na jego podstawie organ podatkowy jest uprawniony do rozstrzygnięcia w sprawie nadpłaty i weryfikacji wysokości zobowiązania podatkowego w jednym postępowaniu wszczętym na wniosek strony. Mamy tu do czynienia z tzw. cząstkową decyzją lub cząstkowym wymiarem dokonanym w związku z wnioskiem o stwierdzenie nadpłaty. Oznacza to, że w decyzji stwierdzającej nadpłatę organ dokonuje wymiaru w zakresie, w jakim nadpłata związana jest ze zmianą wysokości tego zobowiązania. Decyzje cząstkowe dotyczące nadpłaty i dotyczące części zobowiązania będą mogły funkcjonować z innymi decyzjami cząstkowymi, ale będą mogły być zastąpione pełną decyzją wymiarową, o której mowa w art. </w:t>
      </w:r>
      <w:r w:rsidR="00B01B79" w:rsidRPr="009A3C86">
        <w:rPr>
          <w:rFonts w:ascii="Times New Roman" w:hAnsi="Times New Roman"/>
          <w:sz w:val="24"/>
          <w:szCs w:val="24"/>
        </w:rPr>
        <w:t>195</w:t>
      </w:r>
      <w:r w:rsidRPr="009A3C86">
        <w:rPr>
          <w:rFonts w:ascii="Times New Roman" w:hAnsi="Times New Roman"/>
          <w:sz w:val="24"/>
          <w:szCs w:val="24"/>
        </w:rPr>
        <w:t xml:space="preserve">. W takim przypadku będzie następowało wygaśnięcie decyzji cząstkowych wydanych wcześniej, na skutek późniejszego wydania decyzji wymiarowej.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Z </w:t>
      </w:r>
      <w:r w:rsidRPr="009A3C86">
        <w:rPr>
          <w:rFonts w:ascii="Times New Roman" w:hAnsi="Times New Roman"/>
          <w:b/>
          <w:sz w:val="24"/>
          <w:szCs w:val="24"/>
        </w:rPr>
        <w:t>art. 19</w:t>
      </w:r>
      <w:r w:rsidR="00B01B79" w:rsidRPr="009A3C86">
        <w:rPr>
          <w:rFonts w:ascii="Times New Roman" w:hAnsi="Times New Roman"/>
          <w:b/>
          <w:sz w:val="24"/>
          <w:szCs w:val="24"/>
        </w:rPr>
        <w:t>2</w:t>
      </w:r>
      <w:r w:rsidRPr="009A3C86">
        <w:rPr>
          <w:rFonts w:ascii="Times New Roman" w:hAnsi="Times New Roman"/>
          <w:b/>
          <w:sz w:val="24"/>
          <w:szCs w:val="24"/>
        </w:rPr>
        <w:t xml:space="preserve"> § 2</w:t>
      </w:r>
      <w:r w:rsidRPr="009A3C86">
        <w:rPr>
          <w:rFonts w:ascii="Times New Roman" w:hAnsi="Times New Roman"/>
          <w:sz w:val="24"/>
          <w:szCs w:val="24"/>
        </w:rPr>
        <w:t xml:space="preserve"> wynika, że przepis § 1 stosuje się odpowiednio, jeżeli nadpłata jest związana ze zmianą wysokości dochodu, przychodu, zysku lub straty. Rozpatrywaniu wniosku o stwierdzeniu nadpłaty towarzyszyć może bowiem nie tylko określenie wysokości zobowiązania podatkowego, ale np. określenie wysokości straty podatkowej. Podatnik we wniosku o </w:t>
      </w:r>
      <w:r w:rsidRPr="009A3C86">
        <w:rPr>
          <w:rFonts w:ascii="Times New Roman" w:hAnsi="Times New Roman"/>
          <w:sz w:val="24"/>
          <w:szCs w:val="24"/>
        </w:rPr>
        <w:lastRenderedPageBreak/>
        <w:t>stwierdzenie nadpłaty może wykazać określoną kwotę nadpłaty np. 7 tys. Wnioskowi temu towarzyszyć może korekta deklaracji z wykazaniem określonej wysokości straty np. 10 tys. zł. Organ podatkowy, który zakwestionuje wysokość nadpłaty i straty, ale nie ich istnienie, będzie wydawał decyzję wymiarową o wysokości straty, nie zaś decyzję określającą wysokość zobowiązania podatkowego, a także decyzję stwierdzającą nadpłatę. Przepis art. 19</w:t>
      </w:r>
      <w:r w:rsidR="00B01B79" w:rsidRPr="009A3C86">
        <w:rPr>
          <w:rFonts w:ascii="Times New Roman" w:hAnsi="Times New Roman"/>
          <w:sz w:val="24"/>
          <w:szCs w:val="24"/>
        </w:rPr>
        <w:t>2</w:t>
      </w:r>
      <w:r w:rsidRPr="009A3C86">
        <w:rPr>
          <w:rFonts w:ascii="Times New Roman" w:hAnsi="Times New Roman"/>
          <w:sz w:val="24"/>
          <w:szCs w:val="24"/>
        </w:rPr>
        <w:t xml:space="preserve"> § 1 i 2 stanowią zmodyfikowane brzmienie art. 75 § 4a o.p.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Z </w:t>
      </w:r>
      <w:r w:rsidRPr="009A3C86">
        <w:rPr>
          <w:rFonts w:ascii="Times New Roman" w:hAnsi="Times New Roman"/>
          <w:b/>
          <w:sz w:val="24"/>
          <w:szCs w:val="24"/>
        </w:rPr>
        <w:t>art. 19</w:t>
      </w:r>
      <w:r w:rsidR="00B01B79" w:rsidRPr="009A3C86">
        <w:rPr>
          <w:rFonts w:ascii="Times New Roman" w:hAnsi="Times New Roman"/>
          <w:b/>
          <w:sz w:val="24"/>
          <w:szCs w:val="24"/>
        </w:rPr>
        <w:t>2</w:t>
      </w:r>
      <w:r w:rsidRPr="009A3C86">
        <w:rPr>
          <w:rFonts w:ascii="Times New Roman" w:hAnsi="Times New Roman"/>
          <w:b/>
          <w:sz w:val="24"/>
          <w:szCs w:val="24"/>
        </w:rPr>
        <w:t xml:space="preserve"> § 3</w:t>
      </w:r>
      <w:r w:rsidRPr="009A3C86">
        <w:rPr>
          <w:rFonts w:ascii="Times New Roman" w:hAnsi="Times New Roman"/>
          <w:sz w:val="24"/>
          <w:szCs w:val="24"/>
        </w:rPr>
        <w:t xml:space="preserve"> wynika, że przepis § 1 i 2 stosuje się odpowiednio w przypadku decyzji o odmowie stwierdzenia nadpłaty. Regulacja ta umożliwia organowi podatkowemu dokonanie wymiaru w decyzji o odmowie stwierdzenia nadpłaty. Rozwiązanie to może mieć zastosowanie, w przypadku gdy z jednej strony podatnik wraz z wnioskiem o stwierdzenie  nadpłaty koryguje deklarację i np. zmniejsza podstawę opodatkowania, a z drugiej strony organ podatkowy stwierdza, że podstawa opodatkowania jest inna niż wykazana w deklaracji pierwotnej, ale jednak większa niż w korekcie deklaracji, a także że zapłata na ten podatek, którą podatnik chce odzyskać jako nadpłatę, w ogóle nie nastąpiła albo nastąpiła, ale została zaliczona na inny wcześniej wymagalny podatek.</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art. 19</w:t>
      </w:r>
      <w:r w:rsidR="00A5613A" w:rsidRPr="009A3C86">
        <w:rPr>
          <w:rFonts w:ascii="Times New Roman" w:hAnsi="Times New Roman"/>
          <w:b/>
          <w:sz w:val="24"/>
          <w:szCs w:val="24"/>
        </w:rPr>
        <w:t>4</w:t>
      </w:r>
      <w:r w:rsidRPr="009A3C86">
        <w:rPr>
          <w:rFonts w:ascii="Times New Roman" w:hAnsi="Times New Roman"/>
          <w:sz w:val="24"/>
          <w:szCs w:val="24"/>
        </w:rPr>
        <w:t xml:space="preserve"> stanowi, że decyzja</w:t>
      </w:r>
      <w:r w:rsidRPr="009A3C86">
        <w:rPr>
          <w:rFonts w:ascii="Times New Roman" w:hAnsi="Times New Roman"/>
          <w:bCs/>
          <w:sz w:val="24"/>
          <w:szCs w:val="24"/>
        </w:rPr>
        <w:t xml:space="preserve"> stwierdzająca nadpłatę</w:t>
      </w:r>
      <w:r w:rsidRPr="009A3C86">
        <w:rPr>
          <w:rFonts w:ascii="Times New Roman" w:hAnsi="Times New Roman"/>
          <w:sz w:val="24"/>
          <w:szCs w:val="24"/>
        </w:rPr>
        <w:t xml:space="preserve"> określa również, na dzień jej wydania, czy i za jaki okres przysługuje oprocentowanie nadpłaty. W konsekwencji w każdym przypadku, w którym organ podatkowy wyda decyzję stwierdzającą nadpłatę będzie zobowiązany do wskazania, czy z tą nadpłatą wiąże się oprocentowanie przysługujące na podstawie przepisów, o których mowa w art. 2</w:t>
      </w:r>
      <w:r w:rsidR="00A5613A" w:rsidRPr="009A3C86">
        <w:rPr>
          <w:rFonts w:ascii="Times New Roman" w:hAnsi="Times New Roman"/>
          <w:sz w:val="24"/>
          <w:szCs w:val="24"/>
        </w:rPr>
        <w:t>19</w:t>
      </w:r>
      <w:r w:rsidRPr="009A3C86">
        <w:rPr>
          <w:rFonts w:ascii="Times New Roman" w:hAnsi="Times New Roman"/>
          <w:sz w:val="24"/>
          <w:szCs w:val="24"/>
        </w:rPr>
        <w:t>-2</w:t>
      </w:r>
      <w:r w:rsidR="00A5613A" w:rsidRPr="009A3C86">
        <w:rPr>
          <w:rFonts w:ascii="Times New Roman" w:hAnsi="Times New Roman"/>
          <w:sz w:val="24"/>
          <w:szCs w:val="24"/>
        </w:rPr>
        <w:t>24</w:t>
      </w:r>
      <w:r w:rsidRPr="009A3C86">
        <w:rPr>
          <w:rFonts w:ascii="Times New Roman" w:hAnsi="Times New Roman"/>
          <w:sz w:val="24"/>
          <w:szCs w:val="24"/>
        </w:rPr>
        <w:t>. W momencie stwierdzenia nadpłaty istnieje możliwość ustalenia, czy powinna być ona przyznana wraz z oprocentowaniem. Z takim przypadkiem mamy do czynienia, gdy wynika ona z wadliwego stanowienia (orzeczenie TK lub TSUE) lub stosowania prawa. Oznacza to, że organ podatkowy w ramach postępowania dotyczącego nadpłaty powinien także zweryfikować spełnienie przesłanek uprawniających podatnika do zwrotu nadpłaty wraz z oprocentowaniem. Badanie przez organ podatkowy kwestii oprocentowania, w ramach postępowania dotyczącego nadpłaty, uzasadnić należy następującymi względami: zasadą proporcjonalnego zaliczenia i pewności, że się zwróciło całą nadpłatę, krótszym okresem oczekiwania na rozstrzygnięcie sprawy przez podatnika, a także niższymi kosztami postępowania, gdyż orzekanie o oprocentowaniu w odrębnym postępowaniu powoduje dodatkowe koszty zarówno dla organu podatkowego, jak i podatnika. Przedmiotem rozstrzygnięcia, o którym mowa w art. 19</w:t>
      </w:r>
      <w:r w:rsidR="00A5613A" w:rsidRPr="009A3C86">
        <w:rPr>
          <w:rFonts w:ascii="Times New Roman" w:hAnsi="Times New Roman"/>
          <w:sz w:val="24"/>
          <w:szCs w:val="24"/>
        </w:rPr>
        <w:t>4</w:t>
      </w:r>
      <w:r w:rsidRPr="009A3C86">
        <w:rPr>
          <w:rFonts w:ascii="Times New Roman" w:hAnsi="Times New Roman"/>
          <w:sz w:val="24"/>
          <w:szCs w:val="24"/>
        </w:rPr>
        <w:t xml:space="preserve">, nie może być wyliczenie kwoty przysługującego oprocentowania. W sprawie oprocentowania nie będzie konieczne wszczęcie odrębnego postępowania. Należy zwrócić uwagę, że jeżeli podatnik nie kwestionuje decyzji w części </w:t>
      </w:r>
      <w:r w:rsidRPr="009A3C86">
        <w:rPr>
          <w:rFonts w:ascii="Times New Roman" w:hAnsi="Times New Roman"/>
          <w:sz w:val="24"/>
          <w:szCs w:val="24"/>
        </w:rPr>
        <w:lastRenderedPageBreak/>
        <w:t xml:space="preserve">dotyczącej nadpłaty, a składa odwołanie jedynie w odniesieniu do oprocentowania, w części niekwestionowanej decyzja powinna być wykonana. </w:t>
      </w:r>
      <w:r w:rsidRPr="009A3C86">
        <w:rPr>
          <w:rFonts w:ascii="Times New Roman" w:hAnsi="Times New Roman"/>
          <w:bCs/>
          <w:sz w:val="24"/>
          <w:szCs w:val="24"/>
        </w:rPr>
        <w:t xml:space="preserve">  </w:t>
      </w:r>
      <w:r w:rsidRPr="009A3C86">
        <w:rPr>
          <w:rFonts w:ascii="Times New Roman" w:hAnsi="Times New Roman"/>
          <w:sz w:val="24"/>
          <w:szCs w:val="24"/>
        </w:rPr>
        <w:t xml:space="preserve">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art. 19</w:t>
      </w:r>
      <w:r w:rsidR="00A5613A" w:rsidRPr="009A3C86">
        <w:rPr>
          <w:rFonts w:ascii="Times New Roman" w:hAnsi="Times New Roman"/>
          <w:b/>
          <w:sz w:val="24"/>
          <w:szCs w:val="24"/>
        </w:rPr>
        <w:t>5</w:t>
      </w:r>
      <w:r w:rsidRPr="009A3C86">
        <w:rPr>
          <w:rFonts w:ascii="Times New Roman" w:hAnsi="Times New Roman"/>
          <w:sz w:val="24"/>
          <w:szCs w:val="24"/>
        </w:rPr>
        <w:t xml:space="preserve"> nakłada na organ podatkowy obowiązek informacyjny, który powinien być zrealizowany w uzasadnieniu decyzji </w:t>
      </w:r>
      <w:r w:rsidRPr="009A3C86">
        <w:rPr>
          <w:rFonts w:ascii="Times New Roman" w:hAnsi="Times New Roman"/>
          <w:bCs/>
          <w:sz w:val="24"/>
          <w:szCs w:val="24"/>
        </w:rPr>
        <w:t>w sprawie nadpłaty</w:t>
      </w:r>
      <w:r w:rsidRPr="009A3C86">
        <w:rPr>
          <w:rFonts w:ascii="Times New Roman" w:hAnsi="Times New Roman"/>
          <w:sz w:val="24"/>
          <w:szCs w:val="24"/>
        </w:rPr>
        <w:t xml:space="preserve">. Konsekwencją odmowy stwierdzenia nadpłaty będzie najczęściej uznanie </w:t>
      </w:r>
      <w:r w:rsidRPr="009A3C86">
        <w:rPr>
          <w:rFonts w:ascii="Times New Roman" w:hAnsi="Times New Roman"/>
          <w:bCs/>
          <w:sz w:val="24"/>
          <w:szCs w:val="24"/>
        </w:rPr>
        <w:t xml:space="preserve">deklaracji korygującej </w:t>
      </w:r>
      <w:r w:rsidRPr="009A3C86">
        <w:rPr>
          <w:rFonts w:ascii="Times New Roman" w:hAnsi="Times New Roman"/>
          <w:sz w:val="24"/>
          <w:szCs w:val="24"/>
        </w:rPr>
        <w:t>za nieprawidłową, jeśli została z tym wnioskiem złożona. Nie jest to jednak element konieczny. Może bowiem zaistnieć sytuacja, gdy wniosek o stwierdzenie zawiera wady, np. zawyżono kwotę nadpłaty, ale jednocześnie korekta deklaracji jest prawidłowa. Nie zawsze więc decyzja o odmowie stwierdzenia nadpłaty powinna bezwzględnie oznaczać, że korekta deklaracji nie wywołuje skutku prawnego. Organ podatkowy wydający decyzję o odmowie stwierdzenia nadpłaty powinien zawsze w uzasadnieniu takiej decyzji wskazać jednak, że korekta deklaracji złożona wraz z wnioskiem o stwierdzenia nadpłaty nie wywołuje skutku prawnego, jeżeli wynikająca z niej wysokość zobowiązania podatkowego nie jest prawidłowa.</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W przypadku gdy prawidłowa wysokość zobowiązania podatkowego wynika z uprzednio złożonej deklaracji, organ podatkowy w decyzji w sprawie nadpłaty powinien poinformować w uzasadnieniu, że zobowiązanie to wynika z uprzednio złożonej deklaracji. W takim przypadku organ podatkowy nie powinien bowiem określać zobowiązania podatkowego. Mechanizm ten będzie miał zastosowanie wyłącznie w przypadku, gdy organ podatkowy uzna, że korekta deklaracji złożona przez podatnika jest wadliwa, ale gdy jednocześnie stwierdzi, że prawidłowa jest deklaracja złożona wcześniej. Przepis ten będzie miał zastosowanie, jeśli np. podatnik w zeznaniu rocznym PIT wykaże kwotę podatku 10 tys. zł, a następnie skoryguje tę deklarację i wystąpi o stwierdzenie nadpłaty, zaś organ podatkowy uzna, że wniosek jest niezasadny, a wysokość podatku wykazana w tzw. deklaracji pierwotnej jest prawidłowa. W takim przypadku w decyzji w sprawie nadpłaty organ nie będzie określał zobowiązania podatkowego. W uzasadnieniu takiej decyzji będzie musiał jedynie poinformować podatnika o tym, że zobowiązanie podatkowe wynika z uprzednio złożonej deklaracji.</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Regulacja </w:t>
      </w:r>
      <w:r w:rsidRPr="009A3C86">
        <w:rPr>
          <w:rFonts w:ascii="Times New Roman" w:hAnsi="Times New Roman"/>
          <w:b/>
          <w:sz w:val="24"/>
          <w:szCs w:val="24"/>
        </w:rPr>
        <w:t>art. 19</w:t>
      </w:r>
      <w:r w:rsidR="00A5613A" w:rsidRPr="009A3C86">
        <w:rPr>
          <w:rFonts w:ascii="Times New Roman" w:hAnsi="Times New Roman"/>
          <w:b/>
          <w:sz w:val="24"/>
          <w:szCs w:val="24"/>
        </w:rPr>
        <w:t>5</w:t>
      </w:r>
      <w:r w:rsidRPr="009A3C86">
        <w:rPr>
          <w:rFonts w:ascii="Times New Roman" w:hAnsi="Times New Roman"/>
          <w:sz w:val="24"/>
          <w:szCs w:val="24"/>
        </w:rPr>
        <w:t xml:space="preserve"> stanowi, w zakresie ostatniej jego części, odpowiednik art. 75 § 4b o.p., zgodnie z którym przepis § 4</w:t>
      </w:r>
      <w:r w:rsidR="0063487D" w:rsidRPr="009A3C86">
        <w:rPr>
          <w:rFonts w:ascii="Times New Roman" w:hAnsi="Times New Roman"/>
          <w:sz w:val="24"/>
          <w:szCs w:val="24"/>
        </w:rPr>
        <w:t>a</w:t>
      </w:r>
      <w:r w:rsidRPr="009A3C86">
        <w:rPr>
          <w:rFonts w:ascii="Times New Roman" w:hAnsi="Times New Roman"/>
          <w:sz w:val="24"/>
          <w:szCs w:val="24"/>
        </w:rPr>
        <w:t xml:space="preserve"> nie ogranicza możliwości wydania decyzji w trybie art. 21 § 3 o.p., o czym informuje się adresata w decyzji stwierdzającej nadpłatę̨. W projektowanym art. 19</w:t>
      </w:r>
      <w:r w:rsidR="0063487D" w:rsidRPr="009A3C86">
        <w:rPr>
          <w:rFonts w:ascii="Times New Roman" w:hAnsi="Times New Roman"/>
          <w:sz w:val="24"/>
          <w:szCs w:val="24"/>
        </w:rPr>
        <w:t>5</w:t>
      </w:r>
      <w:r w:rsidRPr="009A3C86">
        <w:rPr>
          <w:rFonts w:ascii="Times New Roman" w:hAnsi="Times New Roman"/>
          <w:sz w:val="24"/>
          <w:szCs w:val="24"/>
        </w:rPr>
        <w:t xml:space="preserve"> doprecyzowano, że obowiązek poinformowania o możliwości dokonania późniejszego, tzw. pełnego wymiaru, powinien nastąpić w każdej decyzji wydawanej przez organ podatkowy w sprawie nadpłaty, zarówno w tej, w której stwierdzono nadpłatę, jak i w decyzji odmawiającej jej stwierdzenia. Ponadto wskazano, że brak jest obowiązku przekazywania takiej informacji w przypadku, gdy decyzja w sprawie nadpłaty jest wydawana w </w:t>
      </w:r>
      <w:r w:rsidRPr="009A3C86">
        <w:rPr>
          <w:rFonts w:ascii="Times New Roman" w:hAnsi="Times New Roman"/>
          <w:sz w:val="24"/>
          <w:szCs w:val="24"/>
        </w:rPr>
        <w:lastRenderedPageBreak/>
        <w:t>okolicznościach, o których mowa w art. 2</w:t>
      </w:r>
      <w:r w:rsidR="00A5613A" w:rsidRPr="009A3C86">
        <w:rPr>
          <w:rFonts w:ascii="Times New Roman" w:hAnsi="Times New Roman"/>
          <w:sz w:val="24"/>
          <w:szCs w:val="24"/>
        </w:rPr>
        <w:t>27</w:t>
      </w:r>
      <w:r w:rsidRPr="009A3C86">
        <w:rPr>
          <w:rFonts w:ascii="Times New Roman" w:hAnsi="Times New Roman"/>
          <w:sz w:val="24"/>
          <w:szCs w:val="24"/>
        </w:rPr>
        <w:t xml:space="preserve">, tj. gdy organ podatkowy nie będzie mógł wydać pełnej decyzji wymiarowej z uwagi na upływ okresu przedawnienia wymiaru. </w:t>
      </w:r>
    </w:p>
    <w:p w:rsidR="00326528" w:rsidRPr="009A3C86" w:rsidRDefault="00326528" w:rsidP="00326528">
      <w:pPr>
        <w:widowControl w:val="0"/>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Przepis art. 19</w:t>
      </w:r>
      <w:r w:rsidR="00A5613A" w:rsidRPr="009A3C86">
        <w:rPr>
          <w:rFonts w:ascii="Times New Roman" w:hAnsi="Times New Roman"/>
          <w:sz w:val="24"/>
          <w:szCs w:val="24"/>
        </w:rPr>
        <w:t>5</w:t>
      </w:r>
      <w:r w:rsidRPr="009A3C86">
        <w:rPr>
          <w:rFonts w:ascii="Times New Roman" w:hAnsi="Times New Roman"/>
          <w:sz w:val="24"/>
          <w:szCs w:val="24"/>
        </w:rPr>
        <w:t xml:space="preserve"> będzie miał odpowiednie zastosowanie w przypadku wykazania w deklaracji korygującej wysokości</w:t>
      </w:r>
      <w:r w:rsidRPr="009A3C86">
        <w:rPr>
          <w:rFonts w:ascii="Times New Roman" w:hAnsi="Times New Roman"/>
          <w:strike/>
          <w:sz w:val="24"/>
          <w:szCs w:val="24"/>
        </w:rPr>
        <w:t>:</w:t>
      </w:r>
      <w:r w:rsidRPr="009A3C86">
        <w:rPr>
          <w:rFonts w:ascii="Times New Roman" w:hAnsi="Times New Roman"/>
          <w:sz w:val="24"/>
          <w:szCs w:val="24"/>
        </w:rPr>
        <w:t xml:space="preserve"> dochodu, przychodu, zysku, lub straty</w:t>
      </w:r>
      <w:r w:rsidRPr="009A3C86">
        <w:rPr>
          <w:rFonts w:ascii="Times New Roman" w:hAnsi="Times New Roman"/>
          <w:bCs/>
          <w:sz w:val="24"/>
          <w:szCs w:val="24"/>
        </w:rPr>
        <w:t xml:space="preserve">. W konsekwencji organ podatkowy </w:t>
      </w:r>
      <w:r w:rsidRPr="009A3C86">
        <w:rPr>
          <w:rFonts w:ascii="Times New Roman" w:hAnsi="Times New Roman"/>
          <w:sz w:val="24"/>
          <w:szCs w:val="24"/>
        </w:rPr>
        <w:t>w uzasadnieniu decyzji</w:t>
      </w:r>
      <w:r w:rsidRPr="009A3C86">
        <w:rPr>
          <w:rFonts w:ascii="Times New Roman" w:hAnsi="Times New Roman"/>
          <w:bCs/>
          <w:sz w:val="24"/>
          <w:szCs w:val="24"/>
        </w:rPr>
        <w:t xml:space="preserve"> w sprawie nadpłaty informuje np. o tym, że</w:t>
      </w:r>
      <w:r w:rsidRPr="009A3C86">
        <w:rPr>
          <w:rFonts w:ascii="Times New Roman" w:hAnsi="Times New Roman"/>
          <w:sz w:val="24"/>
          <w:szCs w:val="24"/>
        </w:rPr>
        <w:t xml:space="preserve"> korekta deklaracji złożona wraz z wnioskiem o stwierdzenie nadpłaty nie wywołuje skutku prawnego, jeżeli wynikająca z niej wysokość straty podatkowej nie jest prawidłowa. W przypadku wydania decyzji na skutek umorzenia postepowania w związku z wycofaniem wniosku o stwierdzenie nadpłaty organ podatkowy w uzasadnieniu takiej decyzji</w:t>
      </w:r>
      <w:r w:rsidRPr="009A3C86">
        <w:rPr>
          <w:rFonts w:ascii="Times New Roman" w:hAnsi="Times New Roman"/>
          <w:bCs/>
          <w:sz w:val="24"/>
          <w:szCs w:val="24"/>
        </w:rPr>
        <w:t xml:space="preserve"> będzie zobowiązany poinformować o tym, że deklaracja korygująca </w:t>
      </w:r>
      <w:r w:rsidRPr="009A3C86">
        <w:rPr>
          <w:rFonts w:ascii="Times New Roman" w:hAnsi="Times New Roman"/>
          <w:sz w:val="24"/>
          <w:szCs w:val="24"/>
        </w:rPr>
        <w:t>złożona wraz z wnioskiem o stwierdzenie nadpłaty nie wywołuje skutku prawnego, jeżeli wynikająca z niej wysokość zobowiązania podatkowego nie będzie prawidłowa.</w:t>
      </w:r>
    </w:p>
    <w:p w:rsidR="00326528" w:rsidRPr="009A3C86" w:rsidRDefault="00326528" w:rsidP="00326528">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9A3C86">
        <w:rPr>
          <w:rFonts w:ascii="Times New Roman" w:eastAsia="Times New Roman" w:hAnsi="Times New Roman"/>
          <w:sz w:val="24"/>
          <w:szCs w:val="24"/>
          <w:lang w:eastAsia="pl-PL"/>
        </w:rPr>
        <w:t xml:space="preserve">6. Przepis </w:t>
      </w:r>
      <w:r w:rsidRPr="009A3C86">
        <w:rPr>
          <w:rFonts w:ascii="Times New Roman" w:eastAsia="Times New Roman" w:hAnsi="Times New Roman"/>
          <w:b/>
          <w:sz w:val="24"/>
          <w:szCs w:val="24"/>
          <w:lang w:eastAsia="pl-PL"/>
        </w:rPr>
        <w:t xml:space="preserve">art. </w:t>
      </w:r>
      <w:r w:rsidR="00B01B79" w:rsidRPr="009A3C86">
        <w:rPr>
          <w:rFonts w:ascii="Times New Roman" w:eastAsia="Times New Roman" w:hAnsi="Times New Roman"/>
          <w:b/>
          <w:sz w:val="24"/>
          <w:szCs w:val="24"/>
          <w:lang w:eastAsia="pl-PL"/>
        </w:rPr>
        <w:t>19</w:t>
      </w:r>
      <w:r w:rsidR="00A5613A" w:rsidRPr="009A3C86">
        <w:rPr>
          <w:rFonts w:ascii="Times New Roman" w:eastAsia="Times New Roman" w:hAnsi="Times New Roman"/>
          <w:b/>
          <w:sz w:val="24"/>
          <w:szCs w:val="24"/>
          <w:lang w:eastAsia="pl-PL"/>
        </w:rPr>
        <w:t>6</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stanowi, że w przypadku wszczęcia z urzędu postępowania podatkowego w sprawie, w której może zostać wydana decyzja wymiarowa, żądanie zawarte we wniosku o stwierdzenie nadpłaty podlega rozpatrzeniu w tym postępowaniu. Postępowanie wszczęte na wniosek w sprawie wniosku o stwierdzenie nadpłaty podlega umorzeniu z mocy prawa. Przepis ten jest odpowiednikiem a</w:t>
      </w:r>
      <w:r w:rsidRPr="009A3C86">
        <w:rPr>
          <w:rFonts w:ascii="Times New Roman" w:eastAsia="Times New Roman" w:hAnsi="Times New Roman"/>
          <w:bCs/>
          <w:sz w:val="24"/>
          <w:szCs w:val="24"/>
          <w:lang w:eastAsia="pl-PL"/>
        </w:rPr>
        <w:t xml:space="preserve">rt. 79 </w:t>
      </w:r>
      <w:r w:rsidRPr="009A3C86">
        <w:rPr>
          <w:rFonts w:ascii="Times New Roman" w:eastAsia="Times New Roman" w:hAnsi="Times New Roman"/>
          <w:sz w:val="24"/>
          <w:szCs w:val="24"/>
          <w:lang w:eastAsia="pl-PL"/>
        </w:rPr>
        <w:t xml:space="preserve">§ 1 zd. drugie o.p. Organ podatkowy powinien umorzyć postępowanie podatkowe wszczęte złożonym wnioskiem o stwierdzenie nadpłaty. Nie powinno być ono prowadzone odrębnie, skoro organ podatkowy ma obowiązek rozpatrzyć wniosek o stwierdzenie nadpłaty w postępowaniu wymiarowym wszczętym z urzędu. Wprowadzenie zapisu, że postępowanie to podlega umorzeniu z mocy prawa oznacza, że brak będzie konieczności </w:t>
      </w:r>
      <w:r w:rsidRPr="009A3C86">
        <w:rPr>
          <w:rFonts w:ascii="Times New Roman" w:eastAsia="Times New Roman" w:hAnsi="Times New Roman"/>
          <w:spacing w:val="4"/>
          <w:sz w:val="24"/>
          <w:szCs w:val="24"/>
          <w:lang w:eastAsia="pl-PL"/>
        </w:rPr>
        <w:t xml:space="preserve">wydania jakiegokolwiek odrębnego aktu administracyjnego dotyczącego umorzenia postępowania w sprawie nadpłaty. Będzie to znajdowało potwierdzenie w brzmieniu art. </w:t>
      </w:r>
      <w:r w:rsidR="00B01B79" w:rsidRPr="009A3C86">
        <w:rPr>
          <w:rFonts w:ascii="Times New Roman" w:eastAsia="Times New Roman" w:hAnsi="Times New Roman"/>
          <w:spacing w:val="4"/>
          <w:sz w:val="24"/>
          <w:szCs w:val="24"/>
          <w:lang w:eastAsia="pl-PL"/>
        </w:rPr>
        <w:t>19</w:t>
      </w:r>
      <w:r w:rsidR="0063487D" w:rsidRPr="009A3C86">
        <w:rPr>
          <w:rFonts w:ascii="Times New Roman" w:eastAsia="Times New Roman" w:hAnsi="Times New Roman"/>
          <w:spacing w:val="4"/>
          <w:sz w:val="24"/>
          <w:szCs w:val="24"/>
          <w:lang w:eastAsia="pl-PL"/>
        </w:rPr>
        <w:t>6</w:t>
      </w:r>
      <w:r w:rsidRPr="009A3C86">
        <w:rPr>
          <w:rFonts w:ascii="Times New Roman" w:eastAsia="Times New Roman" w:hAnsi="Times New Roman"/>
          <w:spacing w:val="4"/>
          <w:sz w:val="24"/>
          <w:szCs w:val="24"/>
          <w:lang w:eastAsia="pl-PL"/>
        </w:rPr>
        <w:t xml:space="preserve"> </w:t>
      </w:r>
      <w:r w:rsidRPr="009A3C86">
        <w:rPr>
          <w:rFonts w:ascii="Times New Roman" w:eastAsia="Times New Roman" w:hAnsi="Times New Roman"/>
          <w:sz w:val="24"/>
          <w:szCs w:val="24"/>
          <w:lang w:eastAsia="pl-PL"/>
        </w:rPr>
        <w:t>§ 1, z którego wynika, że w tym przypadku art. 4</w:t>
      </w:r>
      <w:r w:rsidR="00A5613A" w:rsidRPr="009A3C86">
        <w:rPr>
          <w:rFonts w:ascii="Times New Roman" w:eastAsia="Times New Roman" w:hAnsi="Times New Roman"/>
          <w:sz w:val="24"/>
          <w:szCs w:val="24"/>
          <w:lang w:eastAsia="pl-PL"/>
        </w:rPr>
        <w:t>46</w:t>
      </w:r>
      <w:r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sz w:val="24"/>
          <w:szCs w:val="24"/>
          <w:lang w:eastAsia="pl-PL"/>
        </w:rPr>
        <w:t>§ 1 nie ma zastosowania. Sytuacja taka</w:t>
      </w:r>
      <w:r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spacing w:val="4"/>
          <w:sz w:val="24"/>
          <w:szCs w:val="24"/>
          <w:lang w:eastAsia="pl-PL"/>
        </w:rPr>
        <w:t xml:space="preserve">nie będzie jednak ograniczała praw podatnika.  Jego wniosek w sprawie nadpłaty będzie bowiem rozstrzygnięty w ramach </w:t>
      </w:r>
      <w:r w:rsidRPr="009A3C86">
        <w:rPr>
          <w:rFonts w:ascii="Times New Roman" w:eastAsia="Times New Roman" w:hAnsi="Times New Roman"/>
          <w:sz w:val="24"/>
          <w:szCs w:val="24"/>
          <w:lang w:eastAsia="pl-PL"/>
        </w:rPr>
        <w:t>wszczętego z urzędu postępowania podatkowego w sprawie, w której będzie wydana decyzja wymiarowa</w:t>
      </w:r>
      <w:r w:rsidRPr="009A3C86">
        <w:rPr>
          <w:rFonts w:ascii="Times New Roman" w:eastAsia="Times New Roman" w:hAnsi="Times New Roman"/>
          <w:spacing w:val="4"/>
          <w:sz w:val="24"/>
          <w:szCs w:val="24"/>
          <w:lang w:eastAsia="pl-PL"/>
        </w:rPr>
        <w:t xml:space="preserve">. Będzie zatem wydana decyzja zawierająca odniesienie się do wniosku podatnika, którą podatnik będzie mógł kwestionować.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7C7426" w:rsidRPr="009A3C86">
        <w:rPr>
          <w:rFonts w:ascii="Times New Roman" w:hAnsi="Times New Roman"/>
          <w:b/>
          <w:sz w:val="24"/>
          <w:szCs w:val="24"/>
        </w:rPr>
        <w:t>19</w:t>
      </w:r>
      <w:r w:rsidR="00A5613A" w:rsidRPr="009A3C86">
        <w:rPr>
          <w:rFonts w:ascii="Times New Roman" w:hAnsi="Times New Roman"/>
          <w:b/>
          <w:sz w:val="24"/>
          <w:szCs w:val="24"/>
        </w:rPr>
        <w:t>6</w:t>
      </w:r>
      <w:r w:rsidRPr="009A3C86">
        <w:rPr>
          <w:rFonts w:ascii="Times New Roman" w:hAnsi="Times New Roman"/>
          <w:b/>
          <w:sz w:val="24"/>
          <w:szCs w:val="24"/>
        </w:rPr>
        <w:t xml:space="preserve"> § 2</w:t>
      </w:r>
      <w:r w:rsidRPr="009A3C86">
        <w:rPr>
          <w:rFonts w:ascii="Times New Roman" w:hAnsi="Times New Roman"/>
          <w:sz w:val="24"/>
          <w:szCs w:val="24"/>
        </w:rPr>
        <w:t xml:space="preserve"> stanowi, że przepisy niniejszego rozdziału nie ograniczają możliwości późniejszego wydania </w:t>
      </w:r>
      <w:r w:rsidRPr="009A3C86">
        <w:rPr>
          <w:rFonts w:ascii="Times New Roman" w:hAnsi="Times New Roman"/>
          <w:bCs/>
          <w:sz w:val="24"/>
          <w:szCs w:val="24"/>
        </w:rPr>
        <w:t xml:space="preserve">w wyniku postępowania podatkowego </w:t>
      </w:r>
      <w:r w:rsidRPr="009A3C86">
        <w:rPr>
          <w:rFonts w:ascii="Times New Roman" w:hAnsi="Times New Roman"/>
          <w:sz w:val="24"/>
          <w:szCs w:val="24"/>
        </w:rPr>
        <w:t xml:space="preserve">decyzji wymiarowej </w:t>
      </w:r>
      <w:r w:rsidRPr="009A3C86">
        <w:rPr>
          <w:rFonts w:ascii="Times New Roman" w:hAnsi="Times New Roman"/>
          <w:bCs/>
          <w:sz w:val="24"/>
          <w:szCs w:val="24"/>
        </w:rPr>
        <w:t>w zakresie tego samego zobowiązania podatkowego oraz za rok podatkowy lub inny okres rozliczeniowy, którego dotyczy decyzja w sprawie</w:t>
      </w:r>
      <w:r w:rsidRPr="009A3C86">
        <w:rPr>
          <w:rFonts w:ascii="Times New Roman" w:hAnsi="Times New Roman"/>
          <w:sz w:val="24"/>
          <w:szCs w:val="24"/>
        </w:rPr>
        <w:t xml:space="preserve"> nadpłaty. Z przepisów </w:t>
      </w:r>
      <w:r w:rsidRPr="009A3C86">
        <w:rPr>
          <w:rFonts w:ascii="Times New Roman" w:hAnsi="Times New Roman"/>
          <w:b/>
          <w:sz w:val="24"/>
          <w:szCs w:val="24"/>
        </w:rPr>
        <w:t xml:space="preserve">art. </w:t>
      </w:r>
      <w:r w:rsidR="007C7426" w:rsidRPr="009A3C86">
        <w:rPr>
          <w:rFonts w:ascii="Times New Roman" w:hAnsi="Times New Roman"/>
          <w:b/>
          <w:sz w:val="24"/>
          <w:szCs w:val="24"/>
        </w:rPr>
        <w:t>19</w:t>
      </w:r>
      <w:r w:rsidR="00A5613A" w:rsidRPr="009A3C86">
        <w:rPr>
          <w:rFonts w:ascii="Times New Roman" w:hAnsi="Times New Roman"/>
          <w:b/>
          <w:sz w:val="24"/>
          <w:szCs w:val="24"/>
        </w:rPr>
        <w:t>6</w:t>
      </w:r>
      <w:r w:rsidRPr="009A3C86">
        <w:rPr>
          <w:rFonts w:ascii="Times New Roman" w:hAnsi="Times New Roman"/>
          <w:b/>
          <w:sz w:val="24"/>
          <w:szCs w:val="24"/>
        </w:rPr>
        <w:t xml:space="preserve"> § 3 i 4</w:t>
      </w:r>
      <w:r w:rsidRPr="009A3C86">
        <w:rPr>
          <w:rFonts w:ascii="Times New Roman" w:hAnsi="Times New Roman"/>
          <w:sz w:val="24"/>
          <w:szCs w:val="24"/>
        </w:rPr>
        <w:t xml:space="preserve"> wynika, że </w:t>
      </w:r>
      <w:r w:rsidRPr="009A3C86">
        <w:rPr>
          <w:rFonts w:ascii="Times New Roman" w:hAnsi="Times New Roman"/>
          <w:bCs/>
          <w:sz w:val="24"/>
          <w:szCs w:val="24"/>
        </w:rPr>
        <w:t xml:space="preserve">w decyzji wymiarowej, o której mowa w § 2, organ podatkowy uwzględnia treść </w:t>
      </w:r>
      <w:r w:rsidRPr="009A3C86">
        <w:rPr>
          <w:rFonts w:ascii="Times New Roman" w:hAnsi="Times New Roman"/>
          <w:sz w:val="24"/>
          <w:szCs w:val="24"/>
        </w:rPr>
        <w:t xml:space="preserve">decyzji w sprawie </w:t>
      </w:r>
      <w:r w:rsidRPr="009A3C86">
        <w:rPr>
          <w:rFonts w:ascii="Times New Roman" w:hAnsi="Times New Roman"/>
          <w:sz w:val="24"/>
          <w:szCs w:val="24"/>
        </w:rPr>
        <w:lastRenderedPageBreak/>
        <w:t>nadpłaty, w tym dokonany w niej wymiar, a także, że z</w:t>
      </w:r>
      <w:r w:rsidRPr="009A3C86">
        <w:rPr>
          <w:rFonts w:ascii="Times New Roman" w:hAnsi="Times New Roman"/>
          <w:bCs/>
          <w:sz w:val="24"/>
          <w:szCs w:val="24"/>
        </w:rPr>
        <w:t xml:space="preserve"> dniem, w którym ta decyzja wymiarowa stanie się ostateczna, decyzja w sprawie nadpłaty wygasa</w:t>
      </w:r>
      <w:r w:rsidRPr="009A3C86">
        <w:rPr>
          <w:rFonts w:ascii="Times New Roman" w:hAnsi="Times New Roman"/>
          <w:sz w:val="24"/>
          <w:szCs w:val="24"/>
        </w:rPr>
        <w:t xml:space="preserve"> </w:t>
      </w:r>
      <w:r w:rsidRPr="009A3C86">
        <w:rPr>
          <w:rFonts w:ascii="Times New Roman" w:hAnsi="Times New Roman"/>
          <w:bCs/>
          <w:sz w:val="24"/>
          <w:szCs w:val="24"/>
        </w:rPr>
        <w:t>w zakresie objętym decyzją wymiarową,</w:t>
      </w:r>
      <w:r w:rsidRPr="009A3C86">
        <w:rPr>
          <w:rFonts w:ascii="Times New Roman" w:hAnsi="Times New Roman"/>
          <w:sz w:val="24"/>
          <w:szCs w:val="24"/>
        </w:rPr>
        <w:t xml:space="preserve"> na co organ podatkowy wskazuje w uzasadnieniu decyzji wymiarowej</w:t>
      </w:r>
      <w:r w:rsidRPr="009A3C86">
        <w:rPr>
          <w:rFonts w:ascii="Times New Roman" w:hAnsi="Times New Roman"/>
          <w:bCs/>
          <w:sz w:val="24"/>
          <w:szCs w:val="24"/>
        </w:rPr>
        <w:t>.</w:t>
      </w:r>
      <w:r w:rsidRPr="009A3C86">
        <w:rPr>
          <w:rFonts w:ascii="Times New Roman" w:hAnsi="Times New Roman"/>
          <w:sz w:val="24"/>
          <w:szCs w:val="24"/>
        </w:rPr>
        <w:t xml:space="preserve"> Regulacje te stanowią zmodyfikowany odpowiednik </w:t>
      </w:r>
      <w:r w:rsidRPr="009A3C86">
        <w:rPr>
          <w:rFonts w:ascii="Times New Roman" w:hAnsi="Times New Roman"/>
          <w:bCs/>
          <w:sz w:val="24"/>
          <w:szCs w:val="24"/>
        </w:rPr>
        <w:t xml:space="preserve">art. 259a o.p. </w:t>
      </w:r>
      <w:r w:rsidRPr="009A3C86">
        <w:rPr>
          <w:rFonts w:ascii="Times New Roman" w:hAnsi="Times New Roman"/>
          <w:sz w:val="24"/>
          <w:szCs w:val="24"/>
        </w:rPr>
        <w:t xml:space="preserve">Istotnym elementem nowo wprowadzonych regulacji jest obowiązek ciążący na organie podatkowym polegający na tym, że w decyzji wymiarowej stwierdza się okoliczność wygaśnięcia tzw. decyzji cząstkowej dotyczącej nadpłaty oraz to, że uwzględnia się wysokość wymiaru z niej wynikającego. Organ podatkowy jest bowiem związany tym wymiarem cząstkowym, chyba że wcześniej decyzja ta zostanie zmieniona, uchylona lub stwierdzona zostanie jej nieważność, np. w trybie tzw. nadzwyczajnych trybów weryfikacji decyzji. </w:t>
      </w:r>
    </w:p>
    <w:p w:rsidR="008B72B3" w:rsidRPr="009A3C86" w:rsidRDefault="008B72B3" w:rsidP="008B72B3">
      <w:pPr>
        <w:pStyle w:val="ROZDZODDZPRZEDMprzedmiotregulacjirozdziauluboddziau"/>
        <w:jc w:val="left"/>
      </w:pPr>
      <w:r w:rsidRPr="009A3C86">
        <w:rPr>
          <w:rFonts w:ascii="Times New Roman" w:hAnsi="Times New Roman"/>
          <w:iCs/>
        </w:rPr>
        <w:t xml:space="preserve">Oddział </w:t>
      </w:r>
      <w:r w:rsidR="0063487D" w:rsidRPr="009A3C86">
        <w:rPr>
          <w:rFonts w:ascii="Times New Roman" w:hAnsi="Times New Roman"/>
          <w:iCs/>
        </w:rPr>
        <w:t>4</w:t>
      </w:r>
      <w:r w:rsidRPr="009A3C86">
        <w:rPr>
          <w:rFonts w:ascii="Times New Roman" w:hAnsi="Times New Roman"/>
          <w:iCs/>
        </w:rPr>
        <w:t xml:space="preserve">. </w:t>
      </w:r>
      <w:r w:rsidR="0063487D" w:rsidRPr="009A3C86">
        <w:t>Z</w:t>
      </w:r>
      <w:r w:rsidRPr="009A3C86">
        <w:t>wrot</w:t>
      </w:r>
      <w:r w:rsidR="0063487D" w:rsidRPr="009A3C86">
        <w:t xml:space="preserve"> nadpłaty</w:t>
      </w:r>
      <w:r w:rsidRPr="009A3C86">
        <w:t xml:space="preserve"> w przypadku bezpodstawnego wzbogacenia</w:t>
      </w:r>
    </w:p>
    <w:p w:rsidR="008B72B3" w:rsidRPr="009A3C86" w:rsidRDefault="008B72B3" w:rsidP="008B72B3">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9A3C86">
        <w:rPr>
          <w:rFonts w:ascii="Times New Roman" w:eastAsiaTheme="minorEastAsia" w:hAnsi="Times New Roman"/>
          <w:bCs/>
          <w:sz w:val="24"/>
          <w:szCs w:val="24"/>
          <w:lang w:eastAsia="pl-PL"/>
        </w:rPr>
        <w:t xml:space="preserve">Przepis </w:t>
      </w:r>
      <w:r w:rsidRPr="009A3C86">
        <w:rPr>
          <w:rFonts w:ascii="Times New Roman" w:eastAsiaTheme="minorEastAsia" w:hAnsi="Times New Roman"/>
          <w:b/>
          <w:sz w:val="24"/>
          <w:szCs w:val="24"/>
          <w:lang w:eastAsia="pl-PL"/>
        </w:rPr>
        <w:t>art. 19</w:t>
      </w:r>
      <w:r w:rsidR="0063487D" w:rsidRPr="009A3C86">
        <w:rPr>
          <w:rFonts w:ascii="Times New Roman" w:eastAsiaTheme="minorEastAsia" w:hAnsi="Times New Roman"/>
          <w:b/>
          <w:sz w:val="24"/>
          <w:szCs w:val="24"/>
          <w:lang w:eastAsia="pl-PL"/>
        </w:rPr>
        <w:t>7</w:t>
      </w:r>
      <w:r w:rsidRPr="009A3C86">
        <w:rPr>
          <w:rFonts w:ascii="Times New Roman" w:eastAsiaTheme="minorEastAsia" w:hAnsi="Times New Roman"/>
          <w:b/>
          <w:sz w:val="24"/>
          <w:szCs w:val="24"/>
          <w:lang w:eastAsia="pl-PL"/>
        </w:rPr>
        <w:t xml:space="preserve"> </w:t>
      </w:r>
      <w:r w:rsidRPr="009A3C86">
        <w:rPr>
          <w:rFonts w:ascii="Times New Roman" w:eastAsiaTheme="minorEastAsia" w:hAnsi="Times New Roman"/>
          <w:bCs/>
          <w:sz w:val="24"/>
          <w:szCs w:val="24"/>
          <w:lang w:eastAsia="pl-PL"/>
        </w:rPr>
        <w:t xml:space="preserve">obejmuje sytuacje określone w art. 185 § 2, </w:t>
      </w:r>
      <w:r w:rsidRPr="009A3C86">
        <w:rPr>
          <w:rFonts w:ascii="Times New Roman" w:eastAsiaTheme="minorEastAsia" w:hAnsi="Times New Roman"/>
          <w:sz w:val="24"/>
          <w:szCs w:val="24"/>
          <w:lang w:eastAsia="pl-PL"/>
        </w:rPr>
        <w:t xml:space="preserve">w których zwrotu kwot nadpłaconego podatku lub kwot zapłaconych nienależnie jako podatek doprowadziłby do powstania sytuacji bezpodstawnego wzbogacenia podmiotu wnioskującego o stwierdzenie nadpłaty. W takim przypadku organ podatkowy w decyzji o stwierdzeniu nadpłaty określa kwotę nadpłaconego podatku lub kwotę zapłaconą nienależnie jako podatek, których ciężar zapłaty nie został poniesiony przez zobowiązanego, o którym mowa w art. 188 lub art. 189 § 1, ani podmiot, o którym mowa w art. 189 § 2. </w:t>
      </w:r>
    </w:p>
    <w:p w:rsidR="008B72B3" w:rsidRPr="009A3C86" w:rsidRDefault="008B72B3" w:rsidP="008B72B3">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9A3C86">
        <w:rPr>
          <w:rFonts w:ascii="Times New Roman" w:eastAsiaTheme="minorEastAsia" w:hAnsi="Times New Roman"/>
          <w:sz w:val="24"/>
          <w:szCs w:val="24"/>
          <w:lang w:eastAsia="pl-PL"/>
        </w:rPr>
        <w:t>Aby uniknąć sytuacji, w której w wyniku decyzji wydanej na podstawie art. 19</w:t>
      </w:r>
      <w:r w:rsidR="0063487D" w:rsidRPr="009A3C86">
        <w:rPr>
          <w:rFonts w:ascii="Times New Roman" w:eastAsiaTheme="minorEastAsia" w:hAnsi="Times New Roman"/>
          <w:sz w:val="24"/>
          <w:szCs w:val="24"/>
          <w:lang w:eastAsia="pl-PL"/>
        </w:rPr>
        <w:t>7</w:t>
      </w:r>
      <w:r w:rsidRPr="009A3C86">
        <w:rPr>
          <w:rFonts w:ascii="Times New Roman" w:eastAsiaTheme="minorEastAsia" w:hAnsi="Times New Roman"/>
          <w:sz w:val="24"/>
          <w:szCs w:val="24"/>
          <w:lang w:eastAsia="pl-PL"/>
        </w:rPr>
        <w:t xml:space="preserve"> nadpłacony podatek lub kwota zapłacona jako podatek w sensie ekonomicznym nie zostanie zwrócona podmiotom, które poniosły ekonomiczny jej ciężar, w oddziale </w:t>
      </w:r>
      <w:r w:rsidR="0063487D" w:rsidRPr="009A3C86">
        <w:rPr>
          <w:rFonts w:ascii="Times New Roman" w:eastAsiaTheme="minorEastAsia" w:hAnsi="Times New Roman"/>
          <w:sz w:val="24"/>
          <w:szCs w:val="24"/>
          <w:lang w:eastAsia="pl-PL"/>
        </w:rPr>
        <w:t>4</w:t>
      </w:r>
      <w:r w:rsidRPr="009A3C86">
        <w:rPr>
          <w:rFonts w:ascii="Times New Roman" w:eastAsiaTheme="minorEastAsia" w:hAnsi="Times New Roman"/>
          <w:sz w:val="24"/>
          <w:szCs w:val="24"/>
          <w:lang w:eastAsia="pl-PL"/>
        </w:rPr>
        <w:t xml:space="preserve"> przewidziana została procedura ich zwrotu na rzecz tych podmiotów za pośrednictwem podmiotu, który je uiścił. </w:t>
      </w:r>
    </w:p>
    <w:p w:rsidR="008B72B3" w:rsidRPr="009A3C86" w:rsidRDefault="008B72B3" w:rsidP="008B72B3">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9A3C86">
        <w:rPr>
          <w:rFonts w:ascii="Times New Roman" w:eastAsiaTheme="minorHAnsi" w:hAnsi="Times New Roman"/>
          <w:sz w:val="24"/>
          <w:szCs w:val="24"/>
          <w:lang w:eastAsia="pl-PL"/>
        </w:rPr>
        <w:t xml:space="preserve">Przepisy oddziału </w:t>
      </w:r>
      <w:r w:rsidR="000D1380" w:rsidRPr="009A3C86">
        <w:rPr>
          <w:rFonts w:ascii="Times New Roman" w:eastAsiaTheme="minorHAnsi" w:hAnsi="Times New Roman"/>
          <w:sz w:val="24"/>
          <w:szCs w:val="24"/>
          <w:lang w:eastAsia="pl-PL"/>
        </w:rPr>
        <w:t>4</w:t>
      </w:r>
      <w:r w:rsidRPr="009A3C86">
        <w:rPr>
          <w:rFonts w:ascii="Times New Roman" w:eastAsiaTheme="minorHAnsi" w:hAnsi="Times New Roman"/>
          <w:sz w:val="24"/>
          <w:szCs w:val="24"/>
          <w:lang w:eastAsia="pl-PL"/>
        </w:rPr>
        <w:t xml:space="preserve"> wprowadzają do przepisów ogólnego prawa podatkowego nową instytucję tj. – procedurę zwrotu kwot nadpłaconych jako podatek lub zapłaconych nienależnie jako podatek, które z uwagi na przerzucenie ciężaru ekonomicznego opodatkowania nie zostały uznane za nadpłatę, na rzecz podmiotów, które poniosły ich ciężar ekonomiczny. Rozwiązanie to prowadzi do wyeliminowania sytuacji, w której w wyniku odmowy stwierdzenia nadpłaty z uwagi na wystąpienie przesłanki bezpodstawnego wzbogacenia, nadpłacony podatek lub kwota zapłacona nienależnie jako podatek pozostaje nienależnym przysporzeniem Skarbu Państwa. </w:t>
      </w:r>
      <w:r w:rsidRPr="009A3C86">
        <w:rPr>
          <w:rFonts w:ascii="Times New Roman" w:eastAsiaTheme="minorEastAsia" w:hAnsi="Times New Roman"/>
          <w:sz w:val="24"/>
          <w:szCs w:val="24"/>
          <w:lang w:eastAsia="pl-PL"/>
        </w:rPr>
        <w:t xml:space="preserve">W przypadku bowiem braku takiego uregulowania w Ordynacji podatkowej zapłata nienależnego podatku mogłaby być, przynajmniej w pewnych przypadkach, kwalifikowana jako zdarzenie prawne stanowiące źródło zobowiązania cywilnoprawnego z tytułu bezpodstawnego wzbogacenia Skarbu Państwa kosztem jednostki. Natomiast brak pełnego </w:t>
      </w:r>
      <w:r w:rsidRPr="009A3C86">
        <w:rPr>
          <w:rFonts w:ascii="Times New Roman" w:eastAsiaTheme="minorEastAsia" w:hAnsi="Times New Roman"/>
          <w:sz w:val="24"/>
          <w:szCs w:val="24"/>
          <w:lang w:eastAsia="pl-PL"/>
        </w:rPr>
        <w:lastRenderedPageBreak/>
        <w:t>uregulowania tej kwestii w Ordynacji podatkowej wyłączałby dopuszczalność odwoływania się do instytucji bezpodstawnego wzbogacenia na gruncie przepisów prawa cywilnego</w:t>
      </w:r>
      <w:r w:rsidRPr="009A3C86">
        <w:rPr>
          <w:rFonts w:ascii="Times New Roman" w:eastAsiaTheme="minorEastAsia" w:hAnsi="Times New Roman"/>
          <w:sz w:val="24"/>
          <w:szCs w:val="24"/>
          <w:vertAlign w:val="superscript"/>
          <w:lang w:eastAsia="pl-PL"/>
        </w:rPr>
        <w:footnoteReference w:id="263"/>
      </w:r>
      <w:r w:rsidRPr="009A3C86">
        <w:rPr>
          <w:rFonts w:ascii="Times New Roman" w:eastAsiaTheme="minorEastAsia" w:hAnsi="Times New Roman"/>
          <w:sz w:val="24"/>
          <w:szCs w:val="24"/>
          <w:lang w:eastAsia="pl-PL"/>
        </w:rPr>
        <w:t>.</w:t>
      </w:r>
    </w:p>
    <w:p w:rsidR="008B72B3" w:rsidRPr="009A3C86" w:rsidRDefault="008B72B3" w:rsidP="008B72B3">
      <w:pPr>
        <w:suppressAutoHyphens/>
        <w:autoSpaceDE w:val="0"/>
        <w:autoSpaceDN w:val="0"/>
        <w:adjustRightInd w:val="0"/>
        <w:spacing w:before="120" w:after="0" w:line="360" w:lineRule="auto"/>
        <w:jc w:val="both"/>
        <w:rPr>
          <w:rFonts w:ascii="Times New Roman" w:eastAsiaTheme="minorHAnsi" w:hAnsi="Times New Roman"/>
          <w:sz w:val="24"/>
          <w:szCs w:val="24"/>
          <w:lang w:eastAsia="pl-PL"/>
        </w:rPr>
      </w:pPr>
      <w:r w:rsidRPr="009A3C86">
        <w:rPr>
          <w:rFonts w:ascii="Times New Roman" w:eastAsiaTheme="minorHAnsi" w:hAnsi="Times New Roman"/>
          <w:sz w:val="24"/>
          <w:szCs w:val="24"/>
          <w:lang w:eastAsia="pl-PL"/>
        </w:rPr>
        <w:t>Przyjęta procedura uwzględnia zwrot wskazanych kwot za pośrednictwem podmiotu któr</w:t>
      </w:r>
      <w:r w:rsidR="00EA63D2" w:rsidRPr="009A3C86">
        <w:rPr>
          <w:rFonts w:ascii="Times New Roman" w:eastAsiaTheme="minorHAnsi" w:hAnsi="Times New Roman"/>
          <w:sz w:val="24"/>
          <w:szCs w:val="24"/>
          <w:lang w:eastAsia="pl-PL"/>
        </w:rPr>
        <w:t>y</w:t>
      </w:r>
      <w:r w:rsidRPr="009A3C86">
        <w:rPr>
          <w:rFonts w:ascii="Times New Roman" w:eastAsiaTheme="minorHAnsi" w:hAnsi="Times New Roman"/>
          <w:sz w:val="24"/>
          <w:szCs w:val="24"/>
          <w:lang w:eastAsia="pl-PL"/>
        </w:rPr>
        <w:t xml:space="preserve"> je formalnie uiścił.</w:t>
      </w:r>
    </w:p>
    <w:p w:rsidR="008B72B3" w:rsidRPr="009A3C86" w:rsidRDefault="008B72B3" w:rsidP="008B72B3">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9A3C86">
        <w:rPr>
          <w:rFonts w:ascii="Times New Roman" w:eastAsiaTheme="minorEastAsia" w:hAnsi="Times New Roman"/>
          <w:sz w:val="24"/>
          <w:szCs w:val="24"/>
          <w:lang w:eastAsia="pl-PL"/>
        </w:rPr>
        <w:t xml:space="preserve">Odmienne rozwiązanie opierające się na bezpośrednim zwrocie kwot nadpłaconych jako podatek lub kwot zapłaconych nienależnie jako podatek, w stosunku do których została wydana decyzja o odmowie stwierdzenia nadpłaty przez organ na rzecz podmiotów, które poniosły ekonomiczny ciężar opodatkowania jest niewłaściwe z punktu widzenia zakresu przedmiotowego i podmiotowego jaki reguluje Ordynacja podatkowa. Zgodnie bowiem z art. 1 Ordynacji podatkowej ustawa ta zawiera przepisy ogólnego prawa podatkowego regulujące stosunki prawnopodatkowe między zobowiązanymi a organami podatkowymi. Podkreślić przy tym należy, że zgodnie z art. 13 pkt 23 tej ustawy, ilekroć w ustawie jest mowa o zobowiązanym – rozumie się przez to podatnika, płatnika, inkasenta, osobę trzecią i następcę prawnego. Ordynacja podatkowa nie może zatem regulować kwestii dotyczących relacji występujących między organem podatkowym a podmiotem, który nie spełnia warunków do uznania go za podatnika, płatnika, inkasenta, osobę trzecią i następcę prawnego. W kontekście powyższego, poza zakresem przepisów Ordynacji podatkowej powinna być kwestia, w której konsument dochodziłaby od Skarbu Państwa określonego świadczenia związanego z podatkiem, którego ciężar ten podmiot poniósł. </w:t>
      </w:r>
    </w:p>
    <w:p w:rsidR="008B72B3" w:rsidRPr="009A3C86" w:rsidRDefault="008B72B3" w:rsidP="008B72B3">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9A3C86">
        <w:rPr>
          <w:rFonts w:ascii="Times New Roman" w:eastAsiaTheme="minorEastAsia" w:hAnsi="Times New Roman"/>
          <w:sz w:val="24"/>
          <w:szCs w:val="24"/>
          <w:lang w:eastAsia="pl-PL"/>
        </w:rPr>
        <w:t>W przypadku, gdy podatnikowi nie zostanie zwrócona nadpłata podatku zgodnie z art. 185 § 2, podmiot, który poniósł ekonomiczny ciężar zapłaty tego podatku, nie będzie mógł ubiegać się o zwrot nadpłaty zgodnie z art. 189 § 2 Ordynacji podatkowej (z uwagi na fakt, że nie jest stroną stosunku prawnopodatkowego, w związku, z którym nadpłata powstała). Bez wprowadzenia przedmiotowej procedury mógłby on dochodzić ich zwrotu w drodze procesu cywilnego prowadzonego przeciwko Skarbowi Państwa - zwrotu nienależnie zapłaconego przez siebie podatku. Tego rodzaju rozwiązanie skutkowałoby utrudnieniami wynikającymi z trybu dochodzenia roszczenia, związanymi z kosztami tego postępowania, jego czasochłonnością oraz wynikającą z art. 6 Kodeksu cywilnego zasadą, że ciężar dowodu spoczywa na tym, kto z określonego faktu wywodzi skutki prawne.</w:t>
      </w:r>
    </w:p>
    <w:p w:rsidR="008B72B3" w:rsidRPr="009A3C86" w:rsidRDefault="008B72B3" w:rsidP="008B72B3">
      <w:pPr>
        <w:suppressAutoHyphens/>
        <w:autoSpaceDE w:val="0"/>
        <w:autoSpaceDN w:val="0"/>
        <w:adjustRightInd w:val="0"/>
        <w:spacing w:after="0" w:line="360" w:lineRule="auto"/>
        <w:jc w:val="both"/>
        <w:rPr>
          <w:rFonts w:ascii="Times New Roman" w:eastAsiaTheme="minorEastAsia" w:hAnsi="Times New Roman"/>
          <w:bCs/>
          <w:sz w:val="24"/>
          <w:szCs w:val="24"/>
          <w:lang w:eastAsia="pl-PL"/>
        </w:rPr>
      </w:pPr>
      <w:r w:rsidRPr="009A3C86">
        <w:rPr>
          <w:rFonts w:ascii="Times New Roman" w:eastAsiaTheme="minorEastAsia" w:hAnsi="Times New Roman"/>
          <w:bCs/>
          <w:sz w:val="24"/>
          <w:szCs w:val="24"/>
          <w:lang w:eastAsia="pl-PL"/>
        </w:rPr>
        <w:lastRenderedPageBreak/>
        <w:t xml:space="preserve">Z uwagi na powyższe konieczne było uregulowanie wprost w Ordynacji podatkowej odrębnego trybu określającego zasady zwrotu kwoty podatku podmiotom, które poniosły ekonomiczny ciężar jego zapłaty.  Procedura zwrotu co do zasady jest dwuetapowa. W pierwszym etapie organ podatkowy dokonuje zwrotu kwoty zobowiązanemu na jego wniosek. W drugim etapie zobowiązany zwraca kwoty podmiotowi, który poniósł ekonomiczny ciężar zapłaty podatku. Zgodnie z </w:t>
      </w:r>
      <w:r w:rsidRPr="009A3C86">
        <w:rPr>
          <w:rFonts w:ascii="Times New Roman" w:eastAsiaTheme="minorEastAsia" w:hAnsi="Times New Roman"/>
          <w:b/>
          <w:bCs/>
          <w:sz w:val="24"/>
          <w:szCs w:val="24"/>
          <w:lang w:eastAsia="pl-PL"/>
        </w:rPr>
        <w:t>art. 19</w:t>
      </w:r>
      <w:r w:rsidR="000D1380" w:rsidRPr="009A3C86">
        <w:rPr>
          <w:rFonts w:ascii="Times New Roman" w:eastAsiaTheme="minorEastAsia" w:hAnsi="Times New Roman"/>
          <w:b/>
          <w:bCs/>
          <w:sz w:val="24"/>
          <w:szCs w:val="24"/>
          <w:lang w:eastAsia="pl-PL"/>
        </w:rPr>
        <w:t>7</w:t>
      </w:r>
      <w:r w:rsidRPr="009A3C86">
        <w:rPr>
          <w:rFonts w:ascii="Times New Roman" w:eastAsiaTheme="minorEastAsia" w:hAnsi="Times New Roman"/>
          <w:b/>
          <w:bCs/>
          <w:sz w:val="24"/>
          <w:szCs w:val="24"/>
          <w:lang w:eastAsia="pl-PL"/>
        </w:rPr>
        <w:t xml:space="preserve"> § 2</w:t>
      </w:r>
      <w:r w:rsidRPr="009A3C86">
        <w:rPr>
          <w:rFonts w:ascii="Times New Roman" w:eastAsiaTheme="minorEastAsia" w:hAnsi="Times New Roman"/>
          <w:bCs/>
          <w:sz w:val="24"/>
          <w:szCs w:val="24"/>
          <w:lang w:eastAsia="pl-PL"/>
        </w:rPr>
        <w:t xml:space="preserve"> i </w:t>
      </w:r>
      <w:r w:rsidRPr="009A3C86">
        <w:rPr>
          <w:rFonts w:ascii="Times New Roman" w:eastAsiaTheme="minorEastAsia" w:hAnsi="Times New Roman"/>
          <w:b/>
          <w:bCs/>
          <w:sz w:val="24"/>
          <w:szCs w:val="24"/>
          <w:lang w:eastAsia="pl-PL"/>
        </w:rPr>
        <w:t>art. 19</w:t>
      </w:r>
      <w:r w:rsidR="000D1380" w:rsidRPr="009A3C86">
        <w:rPr>
          <w:rFonts w:ascii="Times New Roman" w:eastAsiaTheme="minorEastAsia" w:hAnsi="Times New Roman"/>
          <w:b/>
          <w:bCs/>
          <w:sz w:val="24"/>
          <w:szCs w:val="24"/>
          <w:lang w:eastAsia="pl-PL"/>
        </w:rPr>
        <w:t>8</w:t>
      </w:r>
      <w:r w:rsidRPr="009A3C86">
        <w:rPr>
          <w:rFonts w:ascii="Times New Roman" w:eastAsiaTheme="minorEastAsia" w:hAnsi="Times New Roman"/>
          <w:bCs/>
          <w:sz w:val="24"/>
          <w:szCs w:val="24"/>
          <w:lang w:eastAsia="pl-PL"/>
        </w:rPr>
        <w:t xml:space="preserve"> zwrot kwot zobowiązanemu możliwy jest w zakresie, w jakim organ podatkowy określił te kwoty w decyzji wydanej na podstawie art. 19</w:t>
      </w:r>
      <w:r w:rsidR="000D1380" w:rsidRPr="009A3C86">
        <w:rPr>
          <w:rFonts w:ascii="Times New Roman" w:eastAsiaTheme="minorEastAsia" w:hAnsi="Times New Roman"/>
          <w:bCs/>
          <w:sz w:val="24"/>
          <w:szCs w:val="24"/>
          <w:lang w:eastAsia="pl-PL"/>
        </w:rPr>
        <w:t>7</w:t>
      </w:r>
      <w:r w:rsidRPr="009A3C86">
        <w:rPr>
          <w:rFonts w:ascii="Times New Roman" w:eastAsiaTheme="minorEastAsia" w:hAnsi="Times New Roman"/>
          <w:bCs/>
          <w:sz w:val="24"/>
          <w:szCs w:val="24"/>
          <w:lang w:eastAsia="pl-PL"/>
        </w:rPr>
        <w:t>. W uzasadnieniu decyzji w sprawie stwierdzenia nadpłaty organ podatkowy będzie informował zobowiązanego o prawie do złożenia wniosku, o którym mowa w art. 19</w:t>
      </w:r>
      <w:r w:rsidR="000D1380" w:rsidRPr="009A3C86">
        <w:rPr>
          <w:rFonts w:ascii="Times New Roman" w:eastAsiaTheme="minorEastAsia" w:hAnsi="Times New Roman"/>
          <w:bCs/>
          <w:sz w:val="24"/>
          <w:szCs w:val="24"/>
          <w:lang w:eastAsia="pl-PL"/>
        </w:rPr>
        <w:t>7</w:t>
      </w:r>
      <w:r w:rsidRPr="009A3C86">
        <w:rPr>
          <w:rFonts w:ascii="Times New Roman" w:eastAsiaTheme="minorEastAsia" w:hAnsi="Times New Roman"/>
          <w:bCs/>
          <w:sz w:val="24"/>
          <w:szCs w:val="24"/>
          <w:lang w:eastAsia="pl-PL"/>
        </w:rPr>
        <w:t xml:space="preserve"> - w przypadku, o którym mowa w art. 185 § 2.</w:t>
      </w:r>
    </w:p>
    <w:p w:rsidR="008B72B3" w:rsidRPr="009A3C86" w:rsidRDefault="008B72B3" w:rsidP="008B72B3">
      <w:pPr>
        <w:spacing w:after="0" w:line="360" w:lineRule="auto"/>
        <w:jc w:val="both"/>
        <w:rPr>
          <w:rFonts w:ascii="Times New Roman" w:eastAsiaTheme="minorEastAsia" w:hAnsi="Times New Roman"/>
          <w:bCs/>
          <w:sz w:val="24"/>
          <w:szCs w:val="24"/>
          <w:lang w:eastAsia="pl-PL"/>
        </w:rPr>
      </w:pPr>
      <w:r w:rsidRPr="009A3C86">
        <w:rPr>
          <w:rFonts w:ascii="Times New Roman" w:eastAsiaTheme="minorEastAsia" w:hAnsi="Times New Roman"/>
          <w:bCs/>
          <w:sz w:val="24"/>
          <w:szCs w:val="24"/>
          <w:lang w:eastAsia="pl-PL"/>
        </w:rPr>
        <w:t xml:space="preserve"> Zwrot zostaje dokonany na podstawie wniosku bez wydawania decyzji (</w:t>
      </w:r>
      <w:r w:rsidRPr="009A3C86">
        <w:rPr>
          <w:rFonts w:ascii="Times New Roman" w:eastAsiaTheme="minorEastAsia" w:hAnsi="Times New Roman"/>
          <w:b/>
          <w:bCs/>
          <w:sz w:val="24"/>
          <w:szCs w:val="24"/>
          <w:lang w:eastAsia="pl-PL"/>
        </w:rPr>
        <w:t>art. 19</w:t>
      </w:r>
      <w:r w:rsidR="000D1380" w:rsidRPr="009A3C86">
        <w:rPr>
          <w:rFonts w:ascii="Times New Roman" w:eastAsiaTheme="minorEastAsia" w:hAnsi="Times New Roman"/>
          <w:b/>
          <w:bCs/>
          <w:sz w:val="24"/>
          <w:szCs w:val="24"/>
          <w:lang w:eastAsia="pl-PL"/>
        </w:rPr>
        <w:t>8</w:t>
      </w:r>
      <w:r w:rsidRPr="009A3C86">
        <w:rPr>
          <w:rFonts w:ascii="Times New Roman" w:eastAsiaTheme="minorEastAsia" w:hAnsi="Times New Roman"/>
          <w:b/>
          <w:bCs/>
          <w:sz w:val="24"/>
          <w:szCs w:val="24"/>
          <w:lang w:eastAsia="pl-PL"/>
        </w:rPr>
        <w:t xml:space="preserve"> § 1</w:t>
      </w:r>
      <w:r w:rsidRPr="009A3C86">
        <w:rPr>
          <w:rFonts w:ascii="Times New Roman" w:eastAsiaTheme="minorEastAsia" w:hAnsi="Times New Roman"/>
          <w:bCs/>
          <w:sz w:val="24"/>
          <w:szCs w:val="24"/>
          <w:lang w:eastAsia="pl-PL"/>
        </w:rPr>
        <w:t>). W przypadku gdy we wniosku wskazana będzie kwota wyższa niż określona  na podstawie art. 19</w:t>
      </w:r>
      <w:r w:rsidR="00EA63D2" w:rsidRPr="009A3C86">
        <w:rPr>
          <w:rFonts w:ascii="Times New Roman" w:eastAsiaTheme="minorEastAsia" w:hAnsi="Times New Roman"/>
          <w:bCs/>
          <w:sz w:val="24"/>
          <w:szCs w:val="24"/>
          <w:lang w:eastAsia="pl-PL"/>
        </w:rPr>
        <w:t>7</w:t>
      </w:r>
      <w:r w:rsidRPr="009A3C86">
        <w:rPr>
          <w:rFonts w:ascii="Times New Roman" w:eastAsiaTheme="minorEastAsia" w:hAnsi="Times New Roman"/>
          <w:bCs/>
          <w:sz w:val="24"/>
          <w:szCs w:val="24"/>
          <w:lang w:eastAsia="pl-PL"/>
        </w:rPr>
        <w:t xml:space="preserve"> organ podatkowy przekaże wnioskodawcy kwotę w wysokości określonej w decyzji wydanej na podstawie tego przepisu. </w:t>
      </w:r>
    </w:p>
    <w:p w:rsidR="008B72B3" w:rsidRPr="009A3C86" w:rsidRDefault="008B72B3" w:rsidP="008B72B3">
      <w:pPr>
        <w:suppressAutoHyphens/>
        <w:autoSpaceDE w:val="0"/>
        <w:autoSpaceDN w:val="0"/>
        <w:adjustRightInd w:val="0"/>
        <w:spacing w:before="120" w:after="0" w:line="360" w:lineRule="auto"/>
        <w:jc w:val="both"/>
        <w:rPr>
          <w:rFonts w:ascii="Times" w:eastAsiaTheme="minorEastAsia" w:hAnsi="Times" w:cs="Arial"/>
          <w:sz w:val="24"/>
          <w:szCs w:val="20"/>
          <w:lang w:eastAsia="pl-PL"/>
        </w:rPr>
      </w:pPr>
      <w:r w:rsidRPr="009A3C86">
        <w:rPr>
          <w:rFonts w:ascii="Times" w:eastAsiaTheme="minorEastAsia" w:hAnsi="Times" w:cs="Arial"/>
          <w:sz w:val="24"/>
          <w:szCs w:val="20"/>
          <w:lang w:eastAsia="pl-PL"/>
        </w:rPr>
        <w:t xml:space="preserve">Organ podatkowy wyda decyzję o odmowie zwrotu kwot, o których mowa </w:t>
      </w:r>
      <w:r w:rsidRPr="009A3C86">
        <w:rPr>
          <w:rFonts w:ascii="Times New Roman" w:eastAsiaTheme="minorEastAsia" w:hAnsi="Times New Roman"/>
          <w:bCs/>
          <w:sz w:val="24"/>
          <w:szCs w:val="24"/>
          <w:lang w:eastAsia="pl-PL"/>
        </w:rPr>
        <w:t>w art. 19</w:t>
      </w:r>
      <w:r w:rsidR="00EA63D2" w:rsidRPr="009A3C86">
        <w:rPr>
          <w:rFonts w:ascii="Times New Roman" w:eastAsiaTheme="minorEastAsia" w:hAnsi="Times New Roman"/>
          <w:bCs/>
          <w:sz w:val="24"/>
          <w:szCs w:val="24"/>
          <w:lang w:eastAsia="pl-PL"/>
        </w:rPr>
        <w:t>7</w:t>
      </w:r>
      <w:r w:rsidRPr="009A3C86">
        <w:rPr>
          <w:rFonts w:ascii="Times New Roman" w:eastAsiaTheme="minorEastAsia" w:hAnsi="Times New Roman"/>
          <w:bCs/>
          <w:sz w:val="24"/>
          <w:szCs w:val="24"/>
          <w:lang w:eastAsia="pl-PL"/>
        </w:rPr>
        <w:t>, jeżeli</w:t>
      </w:r>
      <w:r w:rsidRPr="009A3C86">
        <w:rPr>
          <w:rFonts w:ascii="Times" w:eastAsiaTheme="minorEastAsia" w:hAnsi="Times" w:cs="Arial"/>
          <w:sz w:val="24"/>
          <w:szCs w:val="20"/>
          <w:lang w:eastAsia="pl-PL"/>
        </w:rPr>
        <w:t xml:space="preserve"> zachodzi uzasadniona obawa, że wnioskodawca nie dokona ich zwrotu podmiotowi, który poniósł ekonomiczny ciężar zapłaty lub nie przekaże organowi podatkowemu kwot niezwróconych temu podmiotowi. Przesłankami do takiej oceny będzie w szczególności sytuacja, w której wnioskodawca trwale nie uiszcza wymagalnych zobowiązań o charakterze publicznoprawnym lub dokonuje czynności polegających na zbywaniu majątku, które mogą utrudnić lub udaremnić postępowanie egzekucyjne (</w:t>
      </w:r>
      <w:r w:rsidRPr="009A3C86">
        <w:rPr>
          <w:rFonts w:ascii="Times" w:eastAsiaTheme="minorEastAsia" w:hAnsi="Times" w:cs="Arial"/>
          <w:b/>
          <w:sz w:val="24"/>
          <w:szCs w:val="20"/>
          <w:lang w:eastAsia="pl-PL"/>
        </w:rPr>
        <w:t>art. 19</w:t>
      </w:r>
      <w:r w:rsidR="000D1380" w:rsidRPr="009A3C86">
        <w:rPr>
          <w:rFonts w:ascii="Times" w:eastAsiaTheme="minorEastAsia" w:hAnsi="Times" w:cs="Arial"/>
          <w:b/>
          <w:sz w:val="24"/>
          <w:szCs w:val="20"/>
          <w:lang w:eastAsia="pl-PL"/>
        </w:rPr>
        <w:t>9</w:t>
      </w:r>
      <w:r w:rsidRPr="009A3C86">
        <w:rPr>
          <w:rFonts w:ascii="Times" w:eastAsiaTheme="minorEastAsia" w:hAnsi="Times" w:cs="Arial"/>
          <w:b/>
          <w:sz w:val="24"/>
          <w:szCs w:val="20"/>
          <w:lang w:eastAsia="pl-PL"/>
        </w:rPr>
        <w:t xml:space="preserve"> § 1</w:t>
      </w:r>
      <w:r w:rsidRPr="009A3C86">
        <w:rPr>
          <w:rFonts w:ascii="Times" w:eastAsiaTheme="minorEastAsia" w:hAnsi="Times" w:cs="Arial"/>
          <w:sz w:val="24"/>
          <w:szCs w:val="20"/>
          <w:lang w:eastAsia="pl-PL"/>
        </w:rPr>
        <w:t xml:space="preserve">). </w:t>
      </w:r>
    </w:p>
    <w:p w:rsidR="008B72B3" w:rsidRPr="009A3C86" w:rsidRDefault="008B72B3" w:rsidP="008B72B3">
      <w:pPr>
        <w:suppressAutoHyphens/>
        <w:autoSpaceDE w:val="0"/>
        <w:autoSpaceDN w:val="0"/>
        <w:adjustRightInd w:val="0"/>
        <w:spacing w:after="120" w:line="360" w:lineRule="auto"/>
        <w:jc w:val="both"/>
        <w:rPr>
          <w:rFonts w:ascii="Times New Roman" w:eastAsiaTheme="minorEastAsia" w:hAnsi="Times New Roman"/>
          <w:bCs/>
          <w:sz w:val="24"/>
          <w:szCs w:val="24"/>
          <w:lang w:eastAsia="pl-PL"/>
        </w:rPr>
      </w:pPr>
      <w:r w:rsidRPr="009A3C86">
        <w:rPr>
          <w:rFonts w:ascii="Times New Roman" w:eastAsiaTheme="minorEastAsia" w:hAnsi="Times New Roman"/>
          <w:bCs/>
          <w:sz w:val="24"/>
          <w:szCs w:val="24"/>
          <w:lang w:eastAsia="pl-PL"/>
        </w:rPr>
        <w:t xml:space="preserve">Zgodnie z </w:t>
      </w:r>
      <w:r w:rsidRPr="009A3C86">
        <w:rPr>
          <w:rFonts w:ascii="Times New Roman" w:eastAsiaTheme="minorEastAsia" w:hAnsi="Times New Roman"/>
          <w:b/>
          <w:bCs/>
          <w:sz w:val="24"/>
          <w:szCs w:val="24"/>
          <w:lang w:eastAsia="pl-PL"/>
        </w:rPr>
        <w:t xml:space="preserve">art. </w:t>
      </w:r>
      <w:r w:rsidR="000D1380" w:rsidRPr="009A3C86">
        <w:rPr>
          <w:rFonts w:ascii="Times New Roman" w:eastAsiaTheme="minorEastAsia" w:hAnsi="Times New Roman"/>
          <w:b/>
          <w:bCs/>
          <w:sz w:val="24"/>
          <w:szCs w:val="24"/>
          <w:lang w:eastAsia="pl-PL"/>
        </w:rPr>
        <w:t>200</w:t>
      </w:r>
      <w:r w:rsidRPr="009A3C86">
        <w:rPr>
          <w:rFonts w:ascii="Times New Roman" w:eastAsiaTheme="minorEastAsia" w:hAnsi="Times New Roman"/>
          <w:b/>
          <w:bCs/>
          <w:sz w:val="24"/>
          <w:szCs w:val="24"/>
          <w:lang w:eastAsia="pl-PL"/>
        </w:rPr>
        <w:t xml:space="preserve"> § 1</w:t>
      </w:r>
      <w:r w:rsidRPr="009A3C86">
        <w:rPr>
          <w:rFonts w:ascii="Times New Roman" w:eastAsiaTheme="minorEastAsia" w:hAnsi="Times New Roman"/>
          <w:bCs/>
          <w:sz w:val="24"/>
          <w:szCs w:val="24"/>
          <w:lang w:eastAsia="pl-PL"/>
        </w:rPr>
        <w:t xml:space="preserve"> zwrot kwot określonych w art. 19</w:t>
      </w:r>
      <w:r w:rsidR="000D1380" w:rsidRPr="009A3C86">
        <w:rPr>
          <w:rFonts w:ascii="Times New Roman" w:eastAsiaTheme="minorEastAsia" w:hAnsi="Times New Roman"/>
          <w:bCs/>
          <w:sz w:val="24"/>
          <w:szCs w:val="24"/>
          <w:lang w:eastAsia="pl-PL"/>
        </w:rPr>
        <w:t>7</w:t>
      </w:r>
      <w:r w:rsidRPr="009A3C86">
        <w:rPr>
          <w:rFonts w:ascii="Times New Roman" w:eastAsiaTheme="minorEastAsia" w:hAnsi="Times New Roman"/>
          <w:bCs/>
          <w:sz w:val="24"/>
          <w:szCs w:val="24"/>
          <w:lang w:eastAsia="pl-PL"/>
        </w:rPr>
        <w:t xml:space="preserve"> przez zobowiązanego następuje co do zasady w terminie 30 dni od dnia otrzymania tych kwot od organu podatkowego na rachunek bankowy lub rachunek w spółdzielczej kasie oszczędnościowo-kredytowej podmiotu, który poniósł ekonomiczny ciężar zapłaty </w:t>
      </w:r>
      <w:r w:rsidR="00EA63D2" w:rsidRPr="009A3C86">
        <w:rPr>
          <w:rFonts w:ascii="Times New Roman" w:eastAsiaTheme="minorEastAsia" w:hAnsi="Times New Roman"/>
          <w:bCs/>
          <w:sz w:val="24"/>
          <w:szCs w:val="24"/>
          <w:lang w:eastAsia="pl-PL"/>
        </w:rPr>
        <w:t xml:space="preserve">podatku </w:t>
      </w:r>
      <w:r w:rsidRPr="009A3C86">
        <w:rPr>
          <w:rFonts w:ascii="Times New Roman" w:eastAsiaTheme="minorEastAsia" w:hAnsi="Times New Roman"/>
          <w:bCs/>
          <w:sz w:val="24"/>
          <w:szCs w:val="24"/>
          <w:lang w:eastAsia="pl-PL"/>
        </w:rPr>
        <w:t>w zakresie, w jakim jest możliwe wykazanie przez wnioskodawcę danych identyfikujących podmiot, który poniósł ekonomiczny ciężar zapłaty oraz określenie wysokości kwot zwrotu. Termin 30 –dniowy może zostać przedłużony przez organ podatkowy, nie więcej jednak niż o 2 miesiące w przypadku gdy z przyczyn niezależnych od wnioskodawcy nie było możliwe dokonanie zwrotu w tym terminie. Proponuje się, aby wniosek o przedłużenie terminu zwrotu</w:t>
      </w:r>
      <w:r w:rsidRPr="009A3C86">
        <w:rPr>
          <w:rFonts w:ascii="Times" w:eastAsiaTheme="minorEastAsia" w:hAnsi="Times" w:cs="Arial"/>
          <w:bCs/>
          <w:sz w:val="24"/>
          <w:szCs w:val="20"/>
          <w:lang w:eastAsia="pl-PL"/>
        </w:rPr>
        <w:t xml:space="preserve"> był składany</w:t>
      </w:r>
      <w:r w:rsidRPr="009A3C86">
        <w:rPr>
          <w:rFonts w:ascii="Times New Roman" w:eastAsiaTheme="minorEastAsia" w:hAnsi="Times New Roman"/>
          <w:bCs/>
          <w:sz w:val="24"/>
          <w:szCs w:val="24"/>
          <w:lang w:eastAsia="pl-PL"/>
        </w:rPr>
        <w:t xml:space="preserve"> za pomocą środków komunikacji elektronicznej nie później niż na 5 dni przed upływem terminu 30 –dniowego. We wniosku wskazuje się przyczyny niedokonania zwrotu w terminie oraz okoliczności uzasadniających przedłużenie terminu. Organ podatkowy rozstrzygnie sprawę przedłużenia zwrotu </w:t>
      </w:r>
      <w:r w:rsidRPr="009A3C86">
        <w:rPr>
          <w:rFonts w:ascii="Times New Roman" w:eastAsiaTheme="minorEastAsia" w:hAnsi="Times New Roman"/>
          <w:bCs/>
          <w:sz w:val="24"/>
          <w:szCs w:val="24"/>
          <w:lang w:eastAsia="pl-PL"/>
        </w:rPr>
        <w:lastRenderedPageBreak/>
        <w:t>postanowieniem, na które służy zażalenie. Wniesienie zażalenia nie wstrzymuje obowiązku zwrotu (</w:t>
      </w:r>
      <w:r w:rsidRPr="009A3C86">
        <w:rPr>
          <w:rFonts w:ascii="Times New Roman" w:eastAsiaTheme="minorEastAsia" w:hAnsi="Times New Roman"/>
          <w:b/>
          <w:bCs/>
          <w:sz w:val="24"/>
          <w:szCs w:val="24"/>
          <w:lang w:eastAsia="pl-PL"/>
        </w:rPr>
        <w:t xml:space="preserve">art. </w:t>
      </w:r>
      <w:r w:rsidR="000D1380" w:rsidRPr="009A3C86">
        <w:rPr>
          <w:rFonts w:ascii="Times New Roman" w:eastAsiaTheme="minorEastAsia" w:hAnsi="Times New Roman"/>
          <w:b/>
          <w:bCs/>
          <w:sz w:val="24"/>
          <w:szCs w:val="24"/>
          <w:lang w:eastAsia="pl-PL"/>
        </w:rPr>
        <w:t>200</w:t>
      </w:r>
      <w:r w:rsidRPr="009A3C86">
        <w:rPr>
          <w:rFonts w:ascii="Times New Roman" w:eastAsiaTheme="minorEastAsia" w:hAnsi="Times New Roman"/>
          <w:b/>
          <w:bCs/>
          <w:sz w:val="24"/>
          <w:szCs w:val="24"/>
          <w:lang w:eastAsia="pl-PL"/>
        </w:rPr>
        <w:t xml:space="preserve"> § 2-4</w:t>
      </w:r>
      <w:r w:rsidRPr="009A3C86">
        <w:rPr>
          <w:rFonts w:ascii="Times New Roman" w:eastAsiaTheme="minorEastAsia" w:hAnsi="Times New Roman"/>
          <w:bCs/>
          <w:sz w:val="24"/>
          <w:szCs w:val="24"/>
          <w:lang w:eastAsia="pl-PL"/>
        </w:rPr>
        <w:t>)</w:t>
      </w:r>
      <w:r w:rsidRPr="009A3C86">
        <w:rPr>
          <w:rFonts w:ascii="Times New Roman" w:eastAsiaTheme="minorEastAsia" w:hAnsi="Times New Roman"/>
          <w:b/>
          <w:bCs/>
          <w:sz w:val="24"/>
          <w:szCs w:val="24"/>
          <w:lang w:eastAsia="pl-PL"/>
        </w:rPr>
        <w:t>.</w:t>
      </w:r>
      <w:r w:rsidRPr="009A3C86">
        <w:rPr>
          <w:rFonts w:ascii="Times New Roman" w:eastAsiaTheme="minorEastAsia" w:hAnsi="Times New Roman"/>
          <w:bCs/>
          <w:sz w:val="24"/>
          <w:szCs w:val="24"/>
          <w:lang w:eastAsia="pl-PL"/>
        </w:rPr>
        <w:t xml:space="preserve">  </w:t>
      </w:r>
    </w:p>
    <w:p w:rsidR="008B72B3" w:rsidRPr="009A3C86" w:rsidRDefault="008B72B3" w:rsidP="008B72B3">
      <w:pPr>
        <w:suppressAutoHyphens/>
        <w:autoSpaceDE w:val="0"/>
        <w:autoSpaceDN w:val="0"/>
        <w:adjustRightInd w:val="0"/>
        <w:spacing w:after="0" w:line="360" w:lineRule="auto"/>
        <w:jc w:val="both"/>
        <w:rPr>
          <w:rFonts w:ascii="Times New Roman" w:eastAsiaTheme="minorEastAsia" w:hAnsi="Times New Roman"/>
          <w:bCs/>
          <w:sz w:val="24"/>
          <w:szCs w:val="24"/>
          <w:lang w:eastAsia="pl-PL"/>
        </w:rPr>
      </w:pPr>
      <w:r w:rsidRPr="009A3C86">
        <w:rPr>
          <w:rFonts w:ascii="Times New Roman" w:eastAsiaTheme="minorEastAsia" w:hAnsi="Times New Roman"/>
          <w:bCs/>
          <w:sz w:val="24"/>
          <w:szCs w:val="24"/>
          <w:lang w:eastAsia="pl-PL"/>
        </w:rPr>
        <w:t xml:space="preserve"> Po</w:t>
      </w:r>
      <w:r w:rsidRPr="009A3C86">
        <w:rPr>
          <w:rFonts w:ascii="Times New Roman" w:eastAsiaTheme="minorEastAsia" w:hAnsi="Times New Roman"/>
          <w:b/>
          <w:bCs/>
          <w:sz w:val="24"/>
          <w:szCs w:val="24"/>
          <w:lang w:eastAsia="pl-PL"/>
        </w:rPr>
        <w:t xml:space="preserve"> </w:t>
      </w:r>
      <w:r w:rsidRPr="009A3C86">
        <w:rPr>
          <w:rFonts w:ascii="Times New Roman" w:eastAsiaTheme="minorEastAsia" w:hAnsi="Times New Roman"/>
          <w:bCs/>
          <w:sz w:val="24"/>
          <w:szCs w:val="24"/>
          <w:lang w:eastAsia="pl-PL"/>
        </w:rPr>
        <w:t>dokonaniu zwrotu na rzecz podmiotów, które poniosły ekonomiczny ciężar zapłaty</w:t>
      </w:r>
      <w:r w:rsidR="00EA63D2" w:rsidRPr="009A3C86">
        <w:rPr>
          <w:rFonts w:ascii="Times New Roman" w:eastAsiaTheme="minorEastAsia" w:hAnsi="Times New Roman"/>
          <w:bCs/>
          <w:sz w:val="24"/>
          <w:szCs w:val="24"/>
          <w:lang w:eastAsia="pl-PL"/>
        </w:rPr>
        <w:t xml:space="preserve"> podatku</w:t>
      </w:r>
      <w:r w:rsidRPr="009A3C86">
        <w:rPr>
          <w:rFonts w:ascii="Times New Roman" w:eastAsiaTheme="minorEastAsia" w:hAnsi="Times New Roman"/>
          <w:bCs/>
          <w:sz w:val="24"/>
          <w:szCs w:val="24"/>
          <w:lang w:eastAsia="pl-PL"/>
        </w:rPr>
        <w:t xml:space="preserve">, wnioskodawca zgodnie z </w:t>
      </w:r>
      <w:r w:rsidRPr="009A3C86">
        <w:rPr>
          <w:rFonts w:ascii="Times New Roman" w:eastAsiaTheme="minorEastAsia" w:hAnsi="Times New Roman"/>
          <w:b/>
          <w:bCs/>
          <w:sz w:val="24"/>
          <w:szCs w:val="24"/>
          <w:lang w:eastAsia="pl-PL"/>
        </w:rPr>
        <w:t>art. </w:t>
      </w:r>
      <w:r w:rsidR="000D1380" w:rsidRPr="009A3C86">
        <w:rPr>
          <w:rFonts w:ascii="Times New Roman" w:eastAsiaTheme="minorEastAsia" w:hAnsi="Times New Roman"/>
          <w:b/>
          <w:bCs/>
          <w:sz w:val="24"/>
          <w:szCs w:val="24"/>
          <w:lang w:eastAsia="pl-PL"/>
        </w:rPr>
        <w:t>20</w:t>
      </w:r>
      <w:r w:rsidRPr="009A3C86">
        <w:rPr>
          <w:rFonts w:ascii="Times New Roman" w:eastAsiaTheme="minorEastAsia" w:hAnsi="Times New Roman"/>
          <w:b/>
          <w:bCs/>
          <w:sz w:val="24"/>
          <w:szCs w:val="24"/>
          <w:lang w:eastAsia="pl-PL"/>
        </w:rPr>
        <w:t xml:space="preserve">1 § 1 </w:t>
      </w:r>
      <w:r w:rsidRPr="009A3C86">
        <w:rPr>
          <w:rFonts w:ascii="Times New Roman" w:eastAsiaTheme="minorEastAsia" w:hAnsi="Times New Roman"/>
          <w:bCs/>
          <w:sz w:val="24"/>
          <w:szCs w:val="24"/>
          <w:lang w:eastAsia="pl-PL"/>
        </w:rPr>
        <w:t>nie później niż 7. dnia od dnia upływu terminu,</w:t>
      </w:r>
      <w:r w:rsidRPr="009A3C86">
        <w:rPr>
          <w:rFonts w:ascii="Times New Roman" w:eastAsiaTheme="minorEastAsia" w:hAnsi="Times New Roman" w:cs="Arial"/>
          <w:sz w:val="24"/>
          <w:szCs w:val="20"/>
          <w:lang w:eastAsia="pl-PL"/>
        </w:rPr>
        <w:t xml:space="preserve"> </w:t>
      </w:r>
      <w:r w:rsidRPr="009A3C86">
        <w:rPr>
          <w:rFonts w:ascii="Times New Roman" w:eastAsiaTheme="minorEastAsia" w:hAnsi="Times New Roman"/>
          <w:bCs/>
          <w:sz w:val="24"/>
          <w:szCs w:val="24"/>
          <w:lang w:eastAsia="pl-PL"/>
        </w:rPr>
        <w:t xml:space="preserve">o którym mowa w art. </w:t>
      </w:r>
      <w:r w:rsidR="000D1380" w:rsidRPr="009A3C86">
        <w:rPr>
          <w:rFonts w:ascii="Times New Roman" w:eastAsiaTheme="minorEastAsia" w:hAnsi="Times New Roman"/>
          <w:bCs/>
          <w:sz w:val="24"/>
          <w:szCs w:val="24"/>
          <w:lang w:eastAsia="pl-PL"/>
        </w:rPr>
        <w:t>200</w:t>
      </w:r>
      <w:r w:rsidRPr="009A3C86">
        <w:rPr>
          <w:rFonts w:ascii="Times New Roman" w:eastAsiaTheme="minorEastAsia" w:hAnsi="Times New Roman"/>
          <w:bCs/>
          <w:sz w:val="24"/>
          <w:szCs w:val="24"/>
          <w:lang w:eastAsia="pl-PL"/>
        </w:rPr>
        <w:t xml:space="preserve"> § 1 pkt 1 lub § 2, jest obowiązany</w:t>
      </w:r>
      <w:r w:rsidRPr="009A3C86">
        <w:rPr>
          <w:rFonts w:ascii="Times New Roman" w:eastAsiaTheme="minorEastAsia" w:hAnsi="Times New Roman"/>
          <w:b/>
          <w:bCs/>
          <w:sz w:val="24"/>
          <w:szCs w:val="24"/>
          <w:lang w:eastAsia="pl-PL"/>
        </w:rPr>
        <w:t xml:space="preserve"> </w:t>
      </w:r>
      <w:r w:rsidRPr="009A3C86">
        <w:rPr>
          <w:rFonts w:ascii="Times New Roman" w:eastAsiaTheme="minorEastAsia" w:hAnsi="Times New Roman"/>
          <w:bCs/>
          <w:sz w:val="24"/>
          <w:szCs w:val="24"/>
          <w:lang w:eastAsia="pl-PL"/>
        </w:rPr>
        <w:t xml:space="preserve">przekazać organowi podatkowemu sprawozdanie ze zwrotu kwot podmiotowi, który poniósł ekonomiczny ciężar zapłaty oraz niezwrócone kwoty podmiotowi, który poniósł ekonomiczny ciężar zapłaty. Przepisy </w:t>
      </w:r>
      <w:r w:rsidRPr="009A3C86">
        <w:rPr>
          <w:rFonts w:ascii="Times New Roman" w:eastAsiaTheme="minorEastAsia" w:hAnsi="Times New Roman"/>
          <w:b/>
          <w:bCs/>
          <w:sz w:val="24"/>
          <w:szCs w:val="24"/>
          <w:lang w:eastAsia="pl-PL"/>
        </w:rPr>
        <w:t xml:space="preserve">art. </w:t>
      </w:r>
      <w:r w:rsidR="000D1380" w:rsidRPr="009A3C86">
        <w:rPr>
          <w:rFonts w:ascii="Times New Roman" w:eastAsiaTheme="minorEastAsia" w:hAnsi="Times New Roman"/>
          <w:b/>
          <w:bCs/>
          <w:sz w:val="24"/>
          <w:szCs w:val="24"/>
          <w:lang w:eastAsia="pl-PL"/>
        </w:rPr>
        <w:t>20</w:t>
      </w:r>
      <w:r w:rsidRPr="009A3C86">
        <w:rPr>
          <w:rFonts w:ascii="Times New Roman" w:eastAsiaTheme="minorEastAsia" w:hAnsi="Times New Roman"/>
          <w:b/>
          <w:bCs/>
          <w:sz w:val="24"/>
          <w:szCs w:val="24"/>
          <w:lang w:eastAsia="pl-PL"/>
        </w:rPr>
        <w:t>1</w:t>
      </w:r>
      <w:r w:rsidRPr="009A3C86">
        <w:rPr>
          <w:rFonts w:ascii="Times New Roman" w:eastAsiaTheme="minorEastAsia" w:hAnsi="Times New Roman"/>
          <w:bCs/>
          <w:sz w:val="24"/>
          <w:szCs w:val="24"/>
          <w:lang w:eastAsia="pl-PL"/>
        </w:rPr>
        <w:t xml:space="preserve"> </w:t>
      </w:r>
      <w:r w:rsidRPr="009A3C86">
        <w:rPr>
          <w:rFonts w:ascii="Times New Roman" w:eastAsiaTheme="minorEastAsia" w:hAnsi="Times New Roman"/>
          <w:b/>
          <w:bCs/>
          <w:sz w:val="24"/>
          <w:szCs w:val="24"/>
          <w:lang w:eastAsia="pl-PL"/>
        </w:rPr>
        <w:t xml:space="preserve">§ 2 i 3 </w:t>
      </w:r>
      <w:r w:rsidRPr="009A3C86">
        <w:rPr>
          <w:rFonts w:ascii="Times New Roman" w:eastAsiaTheme="minorEastAsia" w:hAnsi="Times New Roman"/>
          <w:bCs/>
          <w:sz w:val="24"/>
          <w:szCs w:val="24"/>
          <w:lang w:eastAsia="pl-PL"/>
        </w:rPr>
        <w:t xml:space="preserve">szczegółowo określają elementy sprawozdania i załączniki.  </w:t>
      </w:r>
    </w:p>
    <w:p w:rsidR="008B72B3" w:rsidRPr="009A3C86" w:rsidRDefault="008B72B3" w:rsidP="008B72B3">
      <w:pPr>
        <w:suppressAutoHyphens/>
        <w:autoSpaceDE w:val="0"/>
        <w:autoSpaceDN w:val="0"/>
        <w:adjustRightInd w:val="0"/>
        <w:spacing w:after="0" w:line="360" w:lineRule="auto"/>
        <w:jc w:val="both"/>
        <w:rPr>
          <w:rFonts w:ascii="Times New Roman" w:eastAsiaTheme="minorEastAsia" w:hAnsi="Times New Roman"/>
          <w:sz w:val="24"/>
          <w:szCs w:val="24"/>
          <w:lang w:eastAsia="pl-PL"/>
        </w:rPr>
      </w:pPr>
      <w:r w:rsidRPr="009A3C86">
        <w:rPr>
          <w:rFonts w:ascii="Times New Roman" w:eastAsiaTheme="minorEastAsia" w:hAnsi="Times New Roman"/>
          <w:bCs/>
          <w:sz w:val="24"/>
          <w:szCs w:val="24"/>
          <w:lang w:eastAsia="pl-PL"/>
        </w:rPr>
        <w:t xml:space="preserve">Przepisy </w:t>
      </w:r>
      <w:r w:rsidRPr="009A3C86">
        <w:rPr>
          <w:rFonts w:ascii="Times New Roman" w:eastAsiaTheme="minorEastAsia" w:hAnsi="Times New Roman"/>
          <w:b/>
          <w:bCs/>
          <w:sz w:val="24"/>
          <w:szCs w:val="24"/>
          <w:lang w:eastAsia="pl-PL"/>
        </w:rPr>
        <w:t xml:space="preserve">art. </w:t>
      </w:r>
      <w:r w:rsidR="000D1380" w:rsidRPr="009A3C86">
        <w:rPr>
          <w:rFonts w:ascii="Times New Roman" w:eastAsiaTheme="minorEastAsia" w:hAnsi="Times New Roman"/>
          <w:b/>
          <w:bCs/>
          <w:sz w:val="24"/>
          <w:szCs w:val="24"/>
          <w:lang w:eastAsia="pl-PL"/>
        </w:rPr>
        <w:t xml:space="preserve">202 </w:t>
      </w:r>
      <w:r w:rsidRPr="009A3C86">
        <w:rPr>
          <w:rFonts w:ascii="Times New Roman" w:eastAsiaTheme="minorEastAsia" w:hAnsi="Times New Roman"/>
          <w:b/>
          <w:bCs/>
          <w:sz w:val="24"/>
          <w:szCs w:val="24"/>
          <w:lang w:eastAsia="pl-PL"/>
        </w:rPr>
        <w:t xml:space="preserve">i art. </w:t>
      </w:r>
      <w:r w:rsidR="000D1380" w:rsidRPr="009A3C86">
        <w:rPr>
          <w:rFonts w:ascii="Times New Roman" w:eastAsiaTheme="minorEastAsia" w:hAnsi="Times New Roman"/>
          <w:b/>
          <w:bCs/>
          <w:sz w:val="24"/>
          <w:szCs w:val="24"/>
          <w:lang w:eastAsia="pl-PL"/>
        </w:rPr>
        <w:t>203</w:t>
      </w:r>
      <w:r w:rsidRPr="009A3C86">
        <w:rPr>
          <w:rFonts w:ascii="Times New Roman" w:eastAsiaTheme="minorEastAsia" w:hAnsi="Times New Roman"/>
          <w:bCs/>
          <w:sz w:val="24"/>
          <w:szCs w:val="24"/>
          <w:lang w:eastAsia="pl-PL"/>
        </w:rPr>
        <w:t xml:space="preserve"> regulują przypadki odpowiednio niewykonania obowiązków, o których mowa w art. </w:t>
      </w:r>
      <w:r w:rsidR="000D1380" w:rsidRPr="009A3C86">
        <w:rPr>
          <w:rFonts w:ascii="Times New Roman" w:eastAsiaTheme="minorEastAsia" w:hAnsi="Times New Roman"/>
          <w:bCs/>
          <w:sz w:val="24"/>
          <w:szCs w:val="24"/>
          <w:lang w:eastAsia="pl-PL"/>
        </w:rPr>
        <w:t>201</w:t>
      </w:r>
      <w:r w:rsidRPr="009A3C86">
        <w:rPr>
          <w:rFonts w:ascii="Times New Roman" w:eastAsiaTheme="minorEastAsia" w:hAnsi="Times New Roman"/>
          <w:bCs/>
          <w:sz w:val="24"/>
          <w:szCs w:val="24"/>
          <w:lang w:eastAsia="pl-PL"/>
        </w:rPr>
        <w:t xml:space="preserve"> § 1 oraz nienależnego lub nieprawidłowego zwrotu przez wnioskodawcę kwoty nadpłaconego podatku lub kwoty zapłaconej nienależnie jako podatek. </w:t>
      </w:r>
    </w:p>
    <w:p w:rsidR="00326528" w:rsidRPr="009A3C86" w:rsidRDefault="00326528" w:rsidP="00326528">
      <w:pPr>
        <w:keepNext/>
        <w:keepLines/>
        <w:spacing w:after="0" w:line="360" w:lineRule="auto"/>
        <w:jc w:val="both"/>
        <w:outlineLvl w:val="3"/>
        <w:rPr>
          <w:rFonts w:ascii="Times New Roman" w:eastAsia="Times New Roman" w:hAnsi="Times New Roman"/>
          <w:b/>
          <w:iCs/>
          <w:sz w:val="24"/>
          <w:szCs w:val="24"/>
        </w:rPr>
      </w:pPr>
      <w:bookmarkStart w:id="24" w:name="_Toc494363251"/>
      <w:r w:rsidRPr="009A3C86">
        <w:rPr>
          <w:rFonts w:ascii="Times New Roman" w:eastAsia="Times New Roman" w:hAnsi="Times New Roman"/>
          <w:b/>
          <w:iCs/>
          <w:sz w:val="24"/>
          <w:szCs w:val="24"/>
        </w:rPr>
        <w:t xml:space="preserve">Oddział </w:t>
      </w:r>
      <w:r w:rsidR="000D1380" w:rsidRPr="009A3C86">
        <w:rPr>
          <w:rFonts w:ascii="Times New Roman" w:eastAsia="Times New Roman" w:hAnsi="Times New Roman"/>
          <w:b/>
          <w:iCs/>
          <w:sz w:val="24"/>
          <w:szCs w:val="24"/>
        </w:rPr>
        <w:t>5</w:t>
      </w:r>
      <w:r w:rsidRPr="009A3C86">
        <w:rPr>
          <w:rFonts w:ascii="Times New Roman" w:eastAsia="Times New Roman" w:hAnsi="Times New Roman"/>
          <w:b/>
          <w:iCs/>
          <w:sz w:val="24"/>
          <w:szCs w:val="24"/>
        </w:rPr>
        <w:t>. Zaliczenie nadpłaty</w:t>
      </w:r>
      <w:bookmarkEnd w:id="24"/>
    </w:p>
    <w:p w:rsidR="00326528" w:rsidRPr="009A3C86" w:rsidRDefault="00326528" w:rsidP="00326528">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Na podstawie </w:t>
      </w:r>
      <w:r w:rsidRPr="009A3C86">
        <w:rPr>
          <w:rFonts w:ascii="Times New Roman" w:hAnsi="Times New Roman"/>
          <w:b/>
          <w:sz w:val="24"/>
          <w:szCs w:val="24"/>
        </w:rPr>
        <w:t xml:space="preserve">art. </w:t>
      </w:r>
      <w:r w:rsidR="000D1380" w:rsidRPr="009A3C86">
        <w:rPr>
          <w:rFonts w:ascii="Times New Roman" w:hAnsi="Times New Roman"/>
          <w:b/>
          <w:sz w:val="24"/>
          <w:szCs w:val="24"/>
        </w:rPr>
        <w:t>205</w:t>
      </w:r>
      <w:r w:rsidRPr="009A3C86">
        <w:rPr>
          <w:rFonts w:ascii="Times New Roman" w:hAnsi="Times New Roman"/>
          <w:sz w:val="24"/>
          <w:szCs w:val="24"/>
        </w:rPr>
        <w:t xml:space="preserve"> </w:t>
      </w:r>
      <w:r w:rsidRPr="009A3C86">
        <w:rPr>
          <w:rFonts w:ascii="Times New Roman" w:hAnsi="Times New Roman"/>
          <w:b/>
          <w:sz w:val="24"/>
          <w:szCs w:val="24"/>
        </w:rPr>
        <w:t>§ 1-2</w:t>
      </w:r>
      <w:r w:rsidRPr="009A3C86">
        <w:rPr>
          <w:rFonts w:ascii="Times New Roman" w:hAnsi="Times New Roman"/>
          <w:sz w:val="24"/>
          <w:szCs w:val="24"/>
        </w:rPr>
        <w:t xml:space="preserve"> nadpłata będzie zaliczana m.in. na poczet zaległości podatkowych, w więc podatków niezapłaconych w terminie płatności (art. 1</w:t>
      </w:r>
      <w:r w:rsidR="000D1380" w:rsidRPr="009A3C86">
        <w:rPr>
          <w:rFonts w:ascii="Times New Roman" w:hAnsi="Times New Roman"/>
          <w:sz w:val="24"/>
          <w:szCs w:val="24"/>
        </w:rPr>
        <w:t>60</w:t>
      </w:r>
      <w:r w:rsidRPr="009A3C86">
        <w:rPr>
          <w:rFonts w:ascii="Times New Roman" w:hAnsi="Times New Roman"/>
          <w:sz w:val="24"/>
          <w:szCs w:val="24"/>
        </w:rPr>
        <w:t>). Podatkami są natomiast zgodnie z art. 13 pkt 9 również opłaty, niepodatkowe należności budżetowe, a także raty lub zaliczki na podatki, opłaty oraz na niepodatkowe należności budżetowe. W świetle art. 2</w:t>
      </w:r>
      <w:r w:rsidRPr="009A3C86">
        <w:rPr>
          <w:rFonts w:ascii="Times New Roman" w:hAnsi="Times New Roman"/>
          <w:b/>
          <w:sz w:val="24"/>
          <w:szCs w:val="24"/>
        </w:rPr>
        <w:t> </w:t>
      </w:r>
      <w:r w:rsidRPr="009A3C86">
        <w:rPr>
          <w:rFonts w:ascii="Times New Roman" w:hAnsi="Times New Roman"/>
          <w:sz w:val="24"/>
          <w:szCs w:val="24"/>
        </w:rPr>
        <w:t xml:space="preserve">§ 1 (przepisy ordynacji podatkowej stosuje się do podatków, do których wymiaru uprawnione są organy podatkowe) oznacza to, że zaliczenie nadpłaty będzie dokonywane co do zasady na poczet należności (podatki, opłaty, niepodatkowe należności budżetowe), ale jedynie tych, do których wymiaru uprawnione są organy podatkowe. Na podstawie art. </w:t>
      </w:r>
      <w:r w:rsidR="000D1380" w:rsidRPr="009A3C86">
        <w:rPr>
          <w:rFonts w:ascii="Times New Roman" w:hAnsi="Times New Roman"/>
          <w:sz w:val="24"/>
          <w:szCs w:val="24"/>
        </w:rPr>
        <w:t>205</w:t>
      </w:r>
      <w:r w:rsidRPr="009A3C86">
        <w:rPr>
          <w:rFonts w:ascii="Times New Roman" w:hAnsi="Times New Roman"/>
          <w:sz w:val="24"/>
          <w:szCs w:val="24"/>
        </w:rPr>
        <w:t xml:space="preserve"> § 2 pkt 2 zaliczenie nadpłaty będzie następowało także na poczet opłat i niepodatkowych należności budżetowych, do których wymiaru uprawnione są organy inne niż organy podatkowe. W konsekwencji nadpłata będzie podlegała zaliczeniu </w:t>
      </w:r>
      <w:r w:rsidRPr="009A3C86">
        <w:rPr>
          <w:rFonts w:ascii="Times New Roman" w:hAnsi="Times New Roman"/>
          <w:spacing w:val="4"/>
          <w:sz w:val="24"/>
          <w:szCs w:val="24"/>
        </w:rPr>
        <w:t>na poczet zaległości, które nie mają charakteru należności podatkowych i wynikają np. z mandatów karnych-skarbowych.</w:t>
      </w:r>
      <w:r w:rsidRPr="009A3C86">
        <w:rPr>
          <w:rFonts w:ascii="Times New Roman" w:hAnsi="Times New Roman"/>
          <w:sz w:val="24"/>
          <w:szCs w:val="24"/>
        </w:rPr>
        <w:t xml:space="preserve"> Na podstawie ww. przepisów zaliczenia nadpłaty będzie miało zastosowanie również do kosztów postępowania, a także kary porządkowej, co nie miało miejsce na gruncie o.p. Przepisy art. </w:t>
      </w:r>
      <w:r w:rsidR="000D1380" w:rsidRPr="009A3C86">
        <w:rPr>
          <w:rFonts w:ascii="Times New Roman" w:hAnsi="Times New Roman"/>
          <w:sz w:val="24"/>
          <w:szCs w:val="24"/>
        </w:rPr>
        <w:t>205</w:t>
      </w:r>
      <w:r w:rsidRPr="009A3C86">
        <w:rPr>
          <w:rFonts w:ascii="Times New Roman" w:hAnsi="Times New Roman"/>
          <w:sz w:val="24"/>
          <w:szCs w:val="24"/>
        </w:rPr>
        <w:t xml:space="preserve"> § 1-2 stanowią zmodyfikowane brzmienie art. 76 § 1 o.p.</w:t>
      </w:r>
    </w:p>
    <w:p w:rsidR="00326528" w:rsidRPr="009A3C86" w:rsidRDefault="00326528" w:rsidP="00326528">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3</w:t>
      </w:r>
      <w:r w:rsidRPr="009A3C86">
        <w:rPr>
          <w:rFonts w:ascii="Times New Roman" w:hAnsi="Times New Roman"/>
          <w:sz w:val="24"/>
          <w:szCs w:val="24"/>
        </w:rPr>
        <w:t xml:space="preserve"> stanowi, że jeżeli na podmiocie uprawnionym do nadpłaty ciążą należności z różnych tytułów, nadpłatę zalicza się na poczet tej należności, począwszy od tej o najwcześniejszym terminie płatności. Do tej pory funkcjonuje regulacja zawarta w art. 76a § 1 o.p. w zw. z art. 62 § 1. Zgodnie z tymi przepisami, jeżeli na podatniku ciążą zobowiązania z różnych tytułów, nadpłatę zalicza się, co do zasady, na poczet podatku, począwszy od zobowiązania o najwcześniejszym terminie płatności, chyba że podatnik wskaże, na poczet </w:t>
      </w:r>
      <w:r w:rsidRPr="009A3C86">
        <w:rPr>
          <w:rFonts w:ascii="Times New Roman" w:hAnsi="Times New Roman"/>
          <w:sz w:val="24"/>
          <w:szCs w:val="24"/>
        </w:rPr>
        <w:lastRenderedPageBreak/>
        <w:t>którego zobowiązania dokonuje wpłaty. Podatnicy mogli ten mechanizm wykorzystywać</w:t>
      </w:r>
      <w:r w:rsidRPr="009A3C86">
        <w:rPr>
          <w:rFonts w:ascii="Times New Roman" w:hAnsi="Times New Roman"/>
          <w:spacing w:val="4"/>
          <w:sz w:val="24"/>
          <w:szCs w:val="24"/>
        </w:rPr>
        <w:t xml:space="preserve"> do unikania odpowiedzialności za starsze zaległości, wnioskując o zaliczenie nadpłaty np. na bieżące zobowiązanie. </w:t>
      </w:r>
      <w:r w:rsidRPr="009A3C86">
        <w:rPr>
          <w:rFonts w:ascii="Times New Roman" w:hAnsi="Times New Roman"/>
          <w:sz w:val="24"/>
          <w:szCs w:val="24"/>
        </w:rPr>
        <w:t xml:space="preserve">Wprowadzenie regulacji zawartej w § 3 ma na celu eliminację tego ryzyka.  W </w:t>
      </w:r>
      <w:r w:rsidRPr="009A3C86">
        <w:rPr>
          <w:rFonts w:ascii="Times New Roman" w:hAnsi="Times New Roman"/>
          <w:b/>
          <w:sz w:val="24"/>
          <w:szCs w:val="24"/>
        </w:rPr>
        <w:t xml:space="preserve">art. </w:t>
      </w:r>
      <w:r w:rsidR="000D1380" w:rsidRPr="009A3C86">
        <w:rPr>
          <w:rFonts w:ascii="Times New Roman" w:hAnsi="Times New Roman"/>
          <w:b/>
          <w:sz w:val="24"/>
          <w:szCs w:val="24"/>
        </w:rPr>
        <w:t>205</w:t>
      </w:r>
      <w:r w:rsidRPr="009A3C86">
        <w:rPr>
          <w:rFonts w:ascii="Times New Roman" w:hAnsi="Times New Roman"/>
          <w:sz w:val="24"/>
          <w:szCs w:val="24"/>
        </w:rPr>
        <w:t xml:space="preserve"> </w:t>
      </w:r>
      <w:r w:rsidRPr="009A3C86">
        <w:rPr>
          <w:rFonts w:ascii="Times New Roman" w:hAnsi="Times New Roman"/>
          <w:b/>
          <w:sz w:val="24"/>
          <w:szCs w:val="24"/>
        </w:rPr>
        <w:t>§ 4</w:t>
      </w:r>
      <w:r w:rsidRPr="009A3C86">
        <w:rPr>
          <w:rFonts w:ascii="Times New Roman" w:hAnsi="Times New Roman"/>
          <w:sz w:val="24"/>
          <w:szCs w:val="24"/>
        </w:rPr>
        <w:t xml:space="preserve"> wskazuje się, że organ, u którego powstała nadpłata, zalicza nadpłatę na poczet należności, jeżeli do jej wymiaru, poboru lub egzekucji właściwy jest ten organ, z zastrzeżeniem § 5. W </w:t>
      </w:r>
      <w:r w:rsidRPr="009A3C86">
        <w:rPr>
          <w:rFonts w:ascii="Times New Roman" w:hAnsi="Times New Roman"/>
          <w:b/>
          <w:sz w:val="24"/>
          <w:szCs w:val="24"/>
        </w:rPr>
        <w:t>§ 5</w:t>
      </w:r>
      <w:r w:rsidRPr="009A3C86">
        <w:rPr>
          <w:rFonts w:ascii="Times New Roman" w:hAnsi="Times New Roman"/>
          <w:sz w:val="24"/>
          <w:szCs w:val="24"/>
        </w:rPr>
        <w:t xml:space="preserve"> mowa jest o tym, że  organ, u którego powstała nadpłata będący organem Krajowej Administracji Skarbowej może zaliczyć nadpłatę również na poczet należności, do których wymiaru, poboru lub egzekucji jest właściwy inny organ Krajowej Administracji Skarbowej. Regulacje te mają na celu eliminację możliwości zaliczania ww. należności, gdy stanowią one dochód budżetu różnych podmiotów publicznych. Rozwiązanie to jest zgodne z uchwałą NSA z dnia 27 marca 2017 r. (I FPS 9/16), gdzie wskazuje się, że</w:t>
      </w:r>
      <w:r w:rsidRPr="009A3C86">
        <w:rPr>
          <w:rFonts w:ascii="Times New Roman" w:hAnsi="Times New Roman"/>
          <w:sz w:val="24"/>
          <w:szCs w:val="24"/>
          <w:shd w:val="clear" w:color="auto" w:fill="FFFFFF"/>
        </w:rPr>
        <w:t xml:space="preserve"> artykuł 76 § 1 w związku z art. 76b § 1 ustawy z dnia 29 sierpnia 1997 r. - Ordynacja podatkowa (Dz. U. z 2012 r. poz. 749, z</w:t>
      </w:r>
      <w:r w:rsidRPr="009A3C86">
        <w:rPr>
          <w:rFonts w:ascii="Times New Roman" w:hAnsi="Times New Roman"/>
          <w:sz w:val="24"/>
          <w:szCs w:val="24"/>
        </w:rPr>
        <w:t xml:space="preserve"> późn.</w:t>
      </w:r>
      <w:r w:rsidRPr="009A3C86">
        <w:rPr>
          <w:rFonts w:ascii="Times New Roman" w:hAnsi="Times New Roman"/>
          <w:sz w:val="24"/>
          <w:szCs w:val="24"/>
          <w:shd w:val="clear" w:color="auto" w:fill="FFFFFF"/>
        </w:rPr>
        <w:t xml:space="preserve"> zm.) nie daje podstawy do </w:t>
      </w:r>
      <w:r w:rsidRPr="009A3C86">
        <w:rPr>
          <w:rFonts w:ascii="Times New Roman" w:hAnsi="Times New Roman"/>
          <w:sz w:val="24"/>
          <w:szCs w:val="24"/>
        </w:rPr>
        <w:t>zaliczenia</w:t>
      </w:r>
      <w:r w:rsidRPr="009A3C86">
        <w:rPr>
          <w:rFonts w:ascii="Times New Roman" w:hAnsi="Times New Roman"/>
          <w:sz w:val="24"/>
          <w:szCs w:val="24"/>
          <w:shd w:val="clear" w:color="auto" w:fill="FFFFFF"/>
        </w:rPr>
        <w:t> przez naczelnika urzędu skarbowego nadwyżki podatku naliczonego nad należnym w podatku od towarów i usług na poczet zobowiązań podatkowych, do których określenia czy ustalenia właściwy jest organ jednostki samorządu terytorialnego</w:t>
      </w:r>
      <w:r w:rsidRPr="009A3C86">
        <w:rPr>
          <w:rFonts w:ascii="Times New Roman" w:hAnsi="Times New Roman"/>
          <w:sz w:val="24"/>
          <w:szCs w:val="24"/>
        </w:rPr>
        <w:t xml:space="preserve">. Wyjątkiem będzie przypadek dotyczący nadpłat i należności, na poczet której ma być ona zaliczona, gdy do stwierdzenia nadpłaty oraz </w:t>
      </w:r>
      <w:r w:rsidRPr="009A3C86">
        <w:rPr>
          <w:rFonts w:ascii="Times New Roman" w:hAnsi="Times New Roman"/>
          <w:sz w:val="24"/>
          <w:szCs w:val="24"/>
          <w:shd w:val="clear" w:color="auto" w:fill="FFFFFF"/>
        </w:rPr>
        <w:t xml:space="preserve">określenia lub ustalenia </w:t>
      </w:r>
      <w:r w:rsidRPr="009A3C86">
        <w:rPr>
          <w:rFonts w:ascii="Times New Roman" w:hAnsi="Times New Roman"/>
          <w:sz w:val="24"/>
          <w:szCs w:val="24"/>
        </w:rPr>
        <w:t>należności, na poczet których ma być ona zaliczona,</w:t>
      </w:r>
      <w:r w:rsidRPr="009A3C86">
        <w:rPr>
          <w:rFonts w:ascii="Times New Roman" w:hAnsi="Times New Roman"/>
          <w:sz w:val="24"/>
          <w:szCs w:val="24"/>
          <w:shd w:val="clear" w:color="auto" w:fill="FFFFFF"/>
        </w:rPr>
        <w:t xml:space="preserve"> właściwe są organy Krajowej Administracji Skarbowej. W tym przypadku o zaliczenia nadpłaty rozstrzyga organ właściwy, u którego powstała nadpłaty, ale jedynie w zakresie znanych mu należności podlegających zaliczeniu. Oznacza to, że naczelnik urzędu skarbowego u którego powstała nadpłata powinien dokonać jej zaliczenia na poczet zaległości podatkowej, co do której właściwy jest inny naczelnik urzędu skarbowego i wydać stosowane postanowienie w tej sprawie</w:t>
      </w:r>
      <w:r w:rsidRPr="009A3C86">
        <w:rPr>
          <w:rFonts w:ascii="Times New Roman" w:hAnsi="Times New Roman"/>
          <w:sz w:val="24"/>
          <w:szCs w:val="24"/>
        </w:rPr>
        <w:t xml:space="preserve"> na podstawie art. </w:t>
      </w:r>
      <w:r w:rsidR="00EA63D2" w:rsidRPr="009A3C86">
        <w:rPr>
          <w:rFonts w:ascii="Times New Roman" w:hAnsi="Times New Roman"/>
          <w:sz w:val="24"/>
          <w:szCs w:val="24"/>
        </w:rPr>
        <w:t>207</w:t>
      </w:r>
      <w:r w:rsidRPr="009A3C86">
        <w:rPr>
          <w:rFonts w:ascii="Times New Roman" w:hAnsi="Times New Roman"/>
          <w:sz w:val="24"/>
          <w:szCs w:val="24"/>
          <w:shd w:val="clear" w:color="auto" w:fill="FFFFFF"/>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5062D3" w:rsidRPr="009A3C86">
        <w:rPr>
          <w:rFonts w:ascii="Times New Roman" w:hAnsi="Times New Roman"/>
          <w:b/>
          <w:sz w:val="24"/>
          <w:szCs w:val="24"/>
        </w:rPr>
        <w:t>205</w:t>
      </w:r>
      <w:r w:rsidRPr="009A3C86">
        <w:rPr>
          <w:rFonts w:ascii="Times New Roman" w:hAnsi="Times New Roman"/>
          <w:b/>
          <w:sz w:val="24"/>
          <w:szCs w:val="24"/>
        </w:rPr>
        <w:t xml:space="preserve"> § 6</w:t>
      </w:r>
      <w:r w:rsidRPr="009A3C86">
        <w:rPr>
          <w:rFonts w:ascii="Times New Roman" w:hAnsi="Times New Roman"/>
          <w:sz w:val="24"/>
          <w:szCs w:val="24"/>
        </w:rPr>
        <w:t xml:space="preserve"> stanowi natomiast, że przepisy § 1–5 stosuje się odpowiednio do zaliczenia nadpłaty spółki cywilnej na poczet zobowiązań wspólników lub byłych wspólników tej spółki, z tym że w przypadku istniejącej spółki wymaga to zgody wszystkich wspólników. Regulacja ta stanowi odpowiednik art. 76 § 3 pkt 2 o.p. </w:t>
      </w:r>
    </w:p>
    <w:p w:rsidR="00326528" w:rsidRPr="009A3C86" w:rsidRDefault="00326528" w:rsidP="00326528">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2. Przepis </w:t>
      </w:r>
      <w:r w:rsidRPr="009A3C86">
        <w:rPr>
          <w:rFonts w:ascii="Times New Roman" w:eastAsia="Times New Roman" w:hAnsi="Times New Roman"/>
          <w:b/>
          <w:bCs/>
          <w:sz w:val="24"/>
          <w:szCs w:val="24"/>
          <w:lang w:eastAsia="pl-PL"/>
        </w:rPr>
        <w:t xml:space="preserve">art. </w:t>
      </w:r>
      <w:r w:rsidR="005062D3" w:rsidRPr="009A3C86">
        <w:rPr>
          <w:rFonts w:ascii="Times New Roman" w:eastAsia="Times New Roman" w:hAnsi="Times New Roman"/>
          <w:b/>
          <w:bCs/>
          <w:sz w:val="24"/>
          <w:szCs w:val="24"/>
          <w:lang w:eastAsia="pl-PL"/>
        </w:rPr>
        <w:t>20</w:t>
      </w:r>
      <w:r w:rsidR="00EA63D2" w:rsidRPr="009A3C86">
        <w:rPr>
          <w:rFonts w:ascii="Times New Roman" w:eastAsia="Times New Roman" w:hAnsi="Times New Roman"/>
          <w:b/>
          <w:bCs/>
          <w:sz w:val="24"/>
          <w:szCs w:val="24"/>
          <w:lang w:eastAsia="pl-PL"/>
        </w:rPr>
        <w:t>6</w:t>
      </w:r>
      <w:r w:rsidRPr="009A3C86">
        <w:rPr>
          <w:rFonts w:ascii="Times New Roman" w:eastAsia="Times New Roman" w:hAnsi="Times New Roman"/>
          <w:bCs/>
          <w:sz w:val="24"/>
          <w:szCs w:val="24"/>
          <w:lang w:eastAsia="pl-PL"/>
        </w:rPr>
        <w:t xml:space="preserve"> stanowi, że zaliczenie nadpłaty następuje z dniem jej powstania, a w przypadku jej zaliczenia na poczet bieżących lub przyszłych zobowiązań podatkowych na dzień, w którym upływa termin ich płatności. Przepis ten stanowi odpowiednik art. 76a § 2, jednak z istotną modyfikacją. W nowo wprowadzonym art. </w:t>
      </w:r>
      <w:r w:rsidR="005062D3" w:rsidRPr="009A3C86">
        <w:rPr>
          <w:rFonts w:ascii="Times New Roman" w:eastAsia="Times New Roman" w:hAnsi="Times New Roman"/>
          <w:bCs/>
          <w:sz w:val="24"/>
          <w:szCs w:val="24"/>
          <w:lang w:eastAsia="pl-PL"/>
        </w:rPr>
        <w:t>20</w:t>
      </w:r>
      <w:r w:rsidR="00EA63D2" w:rsidRPr="009A3C86">
        <w:rPr>
          <w:rFonts w:ascii="Times New Roman" w:eastAsia="Times New Roman" w:hAnsi="Times New Roman"/>
          <w:bCs/>
          <w:sz w:val="24"/>
          <w:szCs w:val="24"/>
          <w:lang w:eastAsia="pl-PL"/>
        </w:rPr>
        <w:t>6</w:t>
      </w:r>
      <w:r w:rsidRPr="009A3C86">
        <w:rPr>
          <w:rFonts w:ascii="Times New Roman" w:eastAsia="Times New Roman" w:hAnsi="Times New Roman"/>
          <w:bCs/>
          <w:sz w:val="24"/>
          <w:szCs w:val="24"/>
          <w:lang w:eastAsia="pl-PL"/>
        </w:rPr>
        <w:t xml:space="preserve"> konstrukcja regulacji dotyczącej momentu zaliczenia nadpłaty została uproszczona. Uproszczenie to polega na wskazaniu jednego podstawowego elementu, który determinuje moment, w którym następuje </w:t>
      </w:r>
      <w:r w:rsidRPr="009A3C86">
        <w:rPr>
          <w:rFonts w:ascii="Times New Roman" w:eastAsia="Times New Roman" w:hAnsi="Times New Roman"/>
          <w:bCs/>
          <w:sz w:val="24"/>
          <w:szCs w:val="24"/>
          <w:lang w:eastAsia="pl-PL"/>
        </w:rPr>
        <w:lastRenderedPageBreak/>
        <w:t>to zaliczenie. Jest to dzień, w którym powstaje nadpłata (szerzej na temat konsekwencji, które to wywołuje w uzasadnieniu do art. 1</w:t>
      </w:r>
      <w:r w:rsidR="007C7426" w:rsidRPr="009A3C86">
        <w:rPr>
          <w:rFonts w:ascii="Times New Roman" w:eastAsia="Times New Roman" w:hAnsi="Times New Roman"/>
          <w:bCs/>
          <w:sz w:val="24"/>
          <w:szCs w:val="24"/>
          <w:lang w:eastAsia="pl-PL"/>
        </w:rPr>
        <w:t>86</w:t>
      </w:r>
      <w:r w:rsidRPr="009A3C86">
        <w:rPr>
          <w:rFonts w:ascii="Times New Roman" w:eastAsia="Times New Roman" w:hAnsi="Times New Roman"/>
          <w:bCs/>
          <w:sz w:val="24"/>
          <w:szCs w:val="24"/>
          <w:lang w:eastAsia="pl-PL"/>
        </w:rPr>
        <w:t xml:space="preserve"> § 1-2). Wyjątek dotyczy bieżących lub przyszłych zobowiązań podatkowych. W takim przypadku zaliczenia tej nadpłaty następuje na dzień, w którym upłynął termin ich płatności. W przypadku tych należności </w:t>
      </w:r>
      <w:r w:rsidRPr="009A3C86">
        <w:rPr>
          <w:rFonts w:ascii="Times New Roman" w:eastAsia="Times New Roman" w:hAnsi="Times New Roman"/>
          <w:bCs/>
          <w:spacing w:val="4"/>
          <w:sz w:val="24"/>
          <w:szCs w:val="24"/>
          <w:lang w:eastAsia="pl-PL"/>
        </w:rPr>
        <w:t xml:space="preserve">ze względów technicznych nie byłoby możliwe zaliczenie nadpłaty z dniem jej powstania.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Zastosowanie rozwiązania zawartego w art. </w:t>
      </w:r>
      <w:r w:rsidR="005062D3" w:rsidRPr="009A3C86">
        <w:rPr>
          <w:rFonts w:ascii="Times New Roman" w:hAnsi="Times New Roman"/>
          <w:sz w:val="24"/>
          <w:szCs w:val="24"/>
        </w:rPr>
        <w:t>206</w:t>
      </w:r>
      <w:r w:rsidRPr="009A3C86">
        <w:rPr>
          <w:rFonts w:ascii="Times New Roman" w:hAnsi="Times New Roman"/>
          <w:sz w:val="24"/>
          <w:szCs w:val="24"/>
        </w:rPr>
        <w:t xml:space="preserve"> w przypadku zaliczenia nadpłaty na poczet bieżących zobowiązań podatkowych powinno skutkować wzajemna kompensatą istniejących należności, których termin jeszcze nie upłynął. O tym, na które należności podlega zaliczeniu nadpłata rozstrzyga art.</w:t>
      </w:r>
      <w:r w:rsidR="005062D3" w:rsidRPr="009A3C86">
        <w:rPr>
          <w:rFonts w:ascii="Times New Roman" w:hAnsi="Times New Roman"/>
          <w:sz w:val="24"/>
          <w:szCs w:val="24"/>
        </w:rPr>
        <w:t>205</w:t>
      </w:r>
      <w:r w:rsidRPr="009A3C86">
        <w:rPr>
          <w:rFonts w:ascii="Times New Roman" w:hAnsi="Times New Roman"/>
          <w:sz w:val="24"/>
          <w:szCs w:val="24"/>
        </w:rPr>
        <w:t xml:space="preserve"> § 2 w zw. art. 2. Z istniejącymi należnościami mamy do czynienia, gdy istnieje obowiązek ich zapłaty i jednocześnie gdy jest znana ich wysokość. Należność taka może zatem wynikać np. z deklaracji, decyzji, ale również może ona znajdować bezpośrednio podstawę w przepisach prawa. W konsekwencji nadpłata powinna podlegać zaliczeniu na bieżące zobowiązania podatkowe, którymi będzie np. opłata za gospodarowanie odpadami, o której mowa w ustawie z dnia 13 września 1996 r. </w:t>
      </w:r>
      <w:r w:rsidRPr="009A3C86">
        <w:rPr>
          <w:rFonts w:ascii="Times New Roman" w:hAnsi="Times New Roman"/>
          <w:bCs/>
          <w:sz w:val="24"/>
          <w:szCs w:val="24"/>
        </w:rPr>
        <w:t>o utrzymaniu czystości i porządku w gminach</w:t>
      </w:r>
      <w:r w:rsidRPr="009A3C86">
        <w:rPr>
          <w:rFonts w:ascii="Times New Roman" w:hAnsi="Times New Roman"/>
          <w:sz w:val="24"/>
          <w:szCs w:val="24"/>
        </w:rPr>
        <w:t>. W a</w:t>
      </w:r>
      <w:r w:rsidRPr="009A3C86">
        <w:rPr>
          <w:rFonts w:ascii="Times New Roman" w:hAnsi="Times New Roman"/>
          <w:bCs/>
          <w:sz w:val="24"/>
          <w:szCs w:val="24"/>
        </w:rPr>
        <w:t>rt. 6q</w:t>
      </w:r>
      <w:r w:rsidRPr="009A3C86">
        <w:rPr>
          <w:rFonts w:ascii="Times New Roman" w:hAnsi="Times New Roman"/>
          <w:sz w:val="24"/>
          <w:szCs w:val="24"/>
        </w:rPr>
        <w:t xml:space="preserve"> tej ustawy wskazuje się m.in., że w sprawach dotyczących opłat za gospodarowanie odpadami komunalnymi stosuje się przepisy </w:t>
      </w:r>
      <w:hyperlink r:id="rId29" w:anchor="/document/16799056?cm=DOCUMENT" w:history="1">
        <w:r w:rsidRPr="009A3C86">
          <w:rPr>
            <w:rFonts w:ascii="Times New Roman" w:hAnsi="Times New Roman"/>
            <w:sz w:val="24"/>
            <w:szCs w:val="24"/>
          </w:rPr>
          <w:t>ustawy</w:t>
        </w:r>
      </w:hyperlink>
      <w:r w:rsidRPr="009A3C86">
        <w:rPr>
          <w:rFonts w:ascii="Times New Roman" w:hAnsi="Times New Roman"/>
          <w:sz w:val="24"/>
          <w:szCs w:val="24"/>
        </w:rPr>
        <w:t xml:space="preserve"> z dnia 29 sierpnia 1997 r. - Ordynacja podatkowa, z tym że uprawnienia organów podatkowych przysługują wójtowi, burmistrzowi lub prezydentowi miasta. </w:t>
      </w:r>
      <w:r w:rsidRPr="009A3C86">
        <w:rPr>
          <w:rFonts w:ascii="Times New Roman" w:hAnsi="Times New Roman"/>
          <w:sz w:val="24"/>
          <w:szCs w:val="24"/>
          <w:shd w:val="clear" w:color="auto" w:fill="FFFFFF"/>
        </w:rPr>
        <w:t xml:space="preserve">Kwota tych opłat powinna wynikać natomiast z deklaracji złożonej na podstawie art. 6m ww. ustawy lub </w:t>
      </w:r>
      <w:r w:rsidRPr="009A3C86">
        <w:rPr>
          <w:rFonts w:ascii="Times New Roman" w:hAnsi="Times New Roman"/>
          <w:bCs/>
          <w:sz w:val="24"/>
          <w:szCs w:val="24"/>
        </w:rPr>
        <w:t xml:space="preserve">decyzji o wysokości opłaty za gospodarowanie odpadami komunalnymi, o której mowa w art. 6o ww. aktu. W przypadku wskazania kwoty opłaty w jednym z tych dokumentów będziemy mieli więc do czynienia z bieżącym zobowiązaniem, o którym mowa w art. </w:t>
      </w:r>
      <w:r w:rsidR="005062D3" w:rsidRPr="009A3C86">
        <w:rPr>
          <w:rFonts w:ascii="Times New Roman" w:hAnsi="Times New Roman"/>
          <w:bCs/>
          <w:sz w:val="24"/>
          <w:szCs w:val="24"/>
        </w:rPr>
        <w:t>206</w:t>
      </w:r>
      <w:r w:rsidRPr="009A3C86">
        <w:rPr>
          <w:rFonts w:ascii="Times New Roman" w:hAnsi="Times New Roman"/>
          <w:bCs/>
          <w:sz w:val="24"/>
          <w:szCs w:val="24"/>
        </w:rPr>
        <w:t xml:space="preserve">. </w:t>
      </w:r>
      <w:r w:rsidRPr="009A3C86">
        <w:rPr>
          <w:rFonts w:ascii="Times New Roman" w:hAnsi="Times New Roman"/>
          <w:sz w:val="24"/>
          <w:szCs w:val="24"/>
        </w:rPr>
        <w:t>Na podstawie zatem tego przepisu będzie można dokonać zaliczenia z urzędu nadpłaty na poczet przedstawianej opłaty. Może to nastąpić w jednym postanowieniu, w którym powinno się określić na rzecz jakiej należności np. opłaty i za jaki okres podlega zaliczeniu nadpłata. W odniesieniu do</w:t>
      </w:r>
      <w:r w:rsidRPr="009A3C86">
        <w:rPr>
          <w:rFonts w:ascii="Times New Roman" w:hAnsi="Times New Roman"/>
          <w:b/>
          <w:sz w:val="24"/>
          <w:szCs w:val="24"/>
        </w:rPr>
        <w:t xml:space="preserve"> </w:t>
      </w:r>
      <w:r w:rsidRPr="009A3C86">
        <w:rPr>
          <w:rFonts w:ascii="Times New Roman" w:hAnsi="Times New Roman"/>
          <w:sz w:val="24"/>
          <w:szCs w:val="24"/>
        </w:rPr>
        <w:t xml:space="preserve">przyszłych zobowiązań podatkowych sytuacja jest podobna. W dniu wystąpienia przez podatnika z wnioskiem o zaliczenie nadpłaty na poczet przyszłego zobowiązania podatkowego nie mamy jednak do czynienia z istnieniem obowiązku zapłaty określonej należności. Przyszłe zobowiązania podatkowe również występuje, gdy co prawda obowiązek zapłaty danej należności istnieje, ale gdy jej wysokość w danym momencie nie jest znana.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5062D3" w:rsidRPr="009A3C86">
        <w:rPr>
          <w:rFonts w:ascii="Times New Roman" w:hAnsi="Times New Roman"/>
          <w:b/>
          <w:sz w:val="24"/>
          <w:szCs w:val="24"/>
        </w:rPr>
        <w:t>207</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że w sprawie zaliczenia nadpłaty wydaje się postanowienie, na które służy zażalenie. Regulacja ta odpowiada </w:t>
      </w:r>
      <w:r w:rsidRPr="009A3C86">
        <w:rPr>
          <w:rFonts w:ascii="Times New Roman" w:hAnsi="Times New Roman"/>
          <w:bCs/>
          <w:sz w:val="24"/>
          <w:szCs w:val="24"/>
        </w:rPr>
        <w:t xml:space="preserve">art. 76a </w:t>
      </w:r>
      <w:r w:rsidRPr="009A3C86">
        <w:rPr>
          <w:rFonts w:ascii="Times New Roman" w:hAnsi="Times New Roman"/>
          <w:sz w:val="24"/>
          <w:szCs w:val="24"/>
        </w:rPr>
        <w:t xml:space="preserve">§ 1 z modyfikacjami. Uznano, że wyeliminowanie części przepisu, w której wskazano należności, na rzecz których może nastąpić zaliczenie nadpłaty, pozostanie bez uszczerbku dla jego czytelności. Należności, na </w:t>
      </w:r>
      <w:r w:rsidRPr="009A3C86">
        <w:rPr>
          <w:rFonts w:ascii="Times New Roman" w:hAnsi="Times New Roman"/>
          <w:sz w:val="24"/>
          <w:szCs w:val="24"/>
        </w:rPr>
        <w:lastRenderedPageBreak/>
        <w:t xml:space="preserve">rzecz których powinna zostać zaliczona nadpłata, zostały wskazane w art. </w:t>
      </w:r>
      <w:r w:rsidR="005062D3" w:rsidRPr="009A3C86">
        <w:rPr>
          <w:rFonts w:ascii="Times New Roman" w:hAnsi="Times New Roman"/>
          <w:sz w:val="24"/>
          <w:szCs w:val="24"/>
        </w:rPr>
        <w:t>205</w:t>
      </w:r>
      <w:r w:rsidRPr="009A3C86">
        <w:rPr>
          <w:rFonts w:ascii="Times New Roman" w:hAnsi="Times New Roman"/>
          <w:sz w:val="24"/>
          <w:szCs w:val="24"/>
        </w:rPr>
        <w:t xml:space="preserve"> i nie ma potrzeby ich ponownie wyliczać. Należy podkreślić, że przed wydaniem takiego postanowienia nie ma konieczności wydawania postanowienia o wszczęciu postępowania czy o wyznaczeniu 7-dniowego terminu do zapoznania się z zebranym materiałem dowodowym. Zgodnie bowiem z art. 3</w:t>
      </w:r>
      <w:r w:rsidR="005062D3" w:rsidRPr="009A3C86">
        <w:rPr>
          <w:rFonts w:ascii="Times New Roman" w:hAnsi="Times New Roman"/>
          <w:sz w:val="24"/>
          <w:szCs w:val="24"/>
        </w:rPr>
        <w:t>58</w:t>
      </w:r>
      <w:r w:rsidRPr="009A3C86">
        <w:rPr>
          <w:rFonts w:ascii="Times New Roman" w:hAnsi="Times New Roman"/>
          <w:sz w:val="24"/>
          <w:szCs w:val="24"/>
        </w:rPr>
        <w:t xml:space="preserve"> § 1 pkt 2 lit.</w:t>
      </w:r>
      <w:r w:rsidRPr="009A3C86">
        <w:rPr>
          <w:rFonts w:ascii="Times New Roman" w:hAnsi="Times New Roman"/>
          <w:bCs/>
          <w:sz w:val="24"/>
          <w:szCs w:val="24"/>
        </w:rPr>
        <w:t xml:space="preserve"> i) </w:t>
      </w:r>
      <w:r w:rsidRPr="009A3C86">
        <w:rPr>
          <w:rFonts w:ascii="Times New Roman" w:hAnsi="Times New Roman"/>
          <w:sz w:val="24"/>
          <w:szCs w:val="24"/>
        </w:rPr>
        <w:t>organ podatkowy nie wydaje postanowienia o wszczęciu postępowania</w:t>
      </w:r>
      <w:r w:rsidRPr="009A3C86">
        <w:rPr>
          <w:rFonts w:ascii="Times New Roman" w:hAnsi="Times New Roman"/>
          <w:bCs/>
          <w:sz w:val="24"/>
          <w:szCs w:val="24"/>
        </w:rPr>
        <w:t xml:space="preserve"> w sprawie stwierdzenia nadpłaty. Uprawnienia strony postępowania mogą być realizowane w ramach zażalenia, które przysługuje na postanowienie </w:t>
      </w:r>
      <w:r w:rsidRPr="009A3C86">
        <w:rPr>
          <w:rFonts w:ascii="Times New Roman" w:hAnsi="Times New Roman"/>
          <w:sz w:val="24"/>
          <w:szCs w:val="24"/>
        </w:rPr>
        <w:t>w sprawie zaliczenia nadpłaty</w:t>
      </w:r>
      <w:r w:rsidRPr="009A3C86">
        <w:rPr>
          <w:rFonts w:ascii="Times New Roman" w:hAnsi="Times New Roman"/>
          <w:bCs/>
          <w:sz w:val="24"/>
          <w:szCs w:val="24"/>
        </w:rPr>
        <w:t>.</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5062D3" w:rsidRPr="009A3C86">
        <w:rPr>
          <w:rFonts w:ascii="Times New Roman" w:hAnsi="Times New Roman"/>
          <w:b/>
          <w:sz w:val="24"/>
          <w:szCs w:val="24"/>
        </w:rPr>
        <w:t>207</w:t>
      </w:r>
      <w:r w:rsidRPr="009A3C86">
        <w:rPr>
          <w:rFonts w:ascii="Times New Roman" w:hAnsi="Times New Roman"/>
          <w:b/>
          <w:sz w:val="24"/>
          <w:szCs w:val="24"/>
        </w:rPr>
        <w:t xml:space="preserve"> § 2</w:t>
      </w:r>
      <w:r w:rsidRPr="009A3C86">
        <w:rPr>
          <w:rFonts w:ascii="Times New Roman" w:hAnsi="Times New Roman"/>
          <w:sz w:val="24"/>
          <w:szCs w:val="24"/>
        </w:rPr>
        <w:t xml:space="preserve"> stanowi, że w przypadku złożenia wniosku w sprawie zaliczenia nadpłaty na poczet przyszłych zobowiązań podatkowych postanowienie to wydaje się, gdy ich wysokość stanie się znana organowi podatkowemu. Regulacja ta ma na celu eliminację wątpliwości dotyczących momentu, w którym organ podatkowy powinien wydać postanowienie dotyczące zaliczenia nadpłaty w przypadku wniosku o zaliczenie nadpłaty na poczet przyszłych zobowiązań podatkowych.</w:t>
      </w:r>
    </w:p>
    <w:p w:rsidR="00326528" w:rsidRPr="009A3C86" w:rsidRDefault="00326528" w:rsidP="00463D52">
      <w:pPr>
        <w:spacing w:after="0" w:line="360" w:lineRule="auto"/>
        <w:jc w:val="both"/>
        <w:rPr>
          <w:rFonts w:ascii="Times New Roman" w:eastAsia="Times New Roman" w:hAnsi="Times New Roman"/>
          <w:bCs/>
          <w:sz w:val="24"/>
          <w:szCs w:val="24"/>
          <w:lang w:eastAsia="pl-PL"/>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5062D3" w:rsidRPr="009A3C86">
        <w:rPr>
          <w:rFonts w:ascii="Times New Roman" w:hAnsi="Times New Roman"/>
          <w:b/>
          <w:sz w:val="24"/>
          <w:szCs w:val="24"/>
        </w:rPr>
        <w:t>208</w:t>
      </w:r>
      <w:r w:rsidRPr="009A3C86">
        <w:rPr>
          <w:rFonts w:ascii="Times New Roman" w:hAnsi="Times New Roman"/>
          <w:sz w:val="24"/>
          <w:szCs w:val="24"/>
        </w:rPr>
        <w:t xml:space="preserve"> stanowi, iż w przypadku zaliczenia nadpłaty przepisy art. 15</w:t>
      </w:r>
      <w:r w:rsidR="005062D3" w:rsidRPr="009A3C86">
        <w:rPr>
          <w:rFonts w:ascii="Times New Roman" w:hAnsi="Times New Roman"/>
          <w:sz w:val="24"/>
          <w:szCs w:val="24"/>
        </w:rPr>
        <w:t>5</w:t>
      </w:r>
      <w:r w:rsidRPr="009A3C86">
        <w:rPr>
          <w:rFonts w:ascii="Times New Roman" w:hAnsi="Times New Roman"/>
          <w:sz w:val="24"/>
          <w:szCs w:val="24"/>
        </w:rPr>
        <w:t xml:space="preserve"> § 3-</w:t>
      </w:r>
      <w:r w:rsidR="00EA63D2" w:rsidRPr="009A3C86">
        <w:rPr>
          <w:rFonts w:ascii="Times New Roman" w:hAnsi="Times New Roman"/>
          <w:sz w:val="24"/>
          <w:szCs w:val="24"/>
        </w:rPr>
        <w:t xml:space="preserve">5 i § </w:t>
      </w:r>
      <w:r w:rsidRPr="009A3C86">
        <w:rPr>
          <w:rFonts w:ascii="Times New Roman" w:hAnsi="Times New Roman"/>
          <w:sz w:val="24"/>
          <w:szCs w:val="24"/>
        </w:rPr>
        <w:t>6 pkt 2-</w:t>
      </w:r>
      <w:r w:rsidRPr="009A3C86">
        <w:rPr>
          <w:rFonts w:ascii="Times New Roman" w:hAnsi="Times New Roman"/>
          <w:color w:val="FF0000"/>
          <w:sz w:val="24"/>
          <w:szCs w:val="24"/>
        </w:rPr>
        <w:t xml:space="preserve"> </w:t>
      </w:r>
      <w:r w:rsidRPr="009A3C86">
        <w:rPr>
          <w:rFonts w:ascii="Times New Roman" w:hAnsi="Times New Roman"/>
          <w:sz w:val="24"/>
          <w:szCs w:val="24"/>
        </w:rPr>
        <w:t>i art. 1</w:t>
      </w:r>
      <w:r w:rsidR="007C7426" w:rsidRPr="009A3C86">
        <w:rPr>
          <w:rFonts w:ascii="Times New Roman" w:hAnsi="Times New Roman"/>
          <w:sz w:val="24"/>
          <w:szCs w:val="24"/>
        </w:rPr>
        <w:t>6</w:t>
      </w:r>
      <w:r w:rsidR="005062D3" w:rsidRPr="009A3C86">
        <w:rPr>
          <w:rFonts w:ascii="Times New Roman" w:hAnsi="Times New Roman"/>
          <w:sz w:val="24"/>
          <w:szCs w:val="24"/>
        </w:rPr>
        <w:t>6</w:t>
      </w:r>
      <w:r w:rsidRPr="009A3C86">
        <w:rPr>
          <w:rFonts w:ascii="Times New Roman" w:hAnsi="Times New Roman"/>
          <w:sz w:val="24"/>
          <w:szCs w:val="24"/>
        </w:rPr>
        <w:t xml:space="preserve"> § 2 stosuje się odpowiednio. Regulacja ta stanowi zmodyfikowany odpowiednik a</w:t>
      </w:r>
      <w:r w:rsidRPr="009A3C86">
        <w:rPr>
          <w:rFonts w:ascii="Times New Roman" w:hAnsi="Times New Roman"/>
          <w:bCs/>
          <w:sz w:val="24"/>
          <w:szCs w:val="24"/>
        </w:rPr>
        <w:t xml:space="preserve">rt. 76a </w:t>
      </w:r>
      <w:r w:rsidRPr="009A3C86">
        <w:rPr>
          <w:rFonts w:ascii="Times New Roman" w:hAnsi="Times New Roman"/>
          <w:sz w:val="24"/>
          <w:szCs w:val="24"/>
        </w:rPr>
        <w:t xml:space="preserve">§ 1 o.p. W konsekwencji wprowadzenie tego przepisu będzie powodowało, że w przypadku zaliczenia nadpłaty na poczet należności, o których mowa w art. </w:t>
      </w:r>
      <w:r w:rsidR="005062D3" w:rsidRPr="009A3C86">
        <w:rPr>
          <w:rFonts w:ascii="Times New Roman" w:hAnsi="Times New Roman"/>
          <w:sz w:val="24"/>
          <w:szCs w:val="24"/>
        </w:rPr>
        <w:t>205</w:t>
      </w:r>
      <w:r w:rsidRPr="009A3C86">
        <w:rPr>
          <w:rFonts w:ascii="Times New Roman" w:hAnsi="Times New Roman"/>
          <w:sz w:val="24"/>
          <w:szCs w:val="24"/>
        </w:rPr>
        <w:t xml:space="preserve"> (np. zaległości podatkowych) powinny być brane pod uwagę m.in. następujące rozwiązania. Po pierwsze na podstawie art. </w:t>
      </w:r>
      <w:r w:rsidR="005062D3" w:rsidRPr="009A3C86">
        <w:rPr>
          <w:rFonts w:ascii="Times New Roman" w:hAnsi="Times New Roman"/>
          <w:sz w:val="24"/>
          <w:szCs w:val="24"/>
        </w:rPr>
        <w:t>208</w:t>
      </w:r>
      <w:r w:rsidRPr="009A3C86">
        <w:rPr>
          <w:rFonts w:ascii="Times New Roman" w:hAnsi="Times New Roman"/>
          <w:sz w:val="24"/>
          <w:szCs w:val="24"/>
        </w:rPr>
        <w:t xml:space="preserve"> w zw. z art. 15</w:t>
      </w:r>
      <w:r w:rsidR="005062D3" w:rsidRPr="009A3C86">
        <w:rPr>
          <w:rFonts w:ascii="Times New Roman" w:hAnsi="Times New Roman"/>
          <w:sz w:val="24"/>
          <w:szCs w:val="24"/>
        </w:rPr>
        <w:t>5</w:t>
      </w:r>
      <w:r w:rsidRPr="009A3C86">
        <w:rPr>
          <w:rFonts w:ascii="Times New Roman" w:hAnsi="Times New Roman"/>
          <w:sz w:val="24"/>
          <w:szCs w:val="24"/>
        </w:rPr>
        <w:t xml:space="preserve"> § 3, jeżeli na podmiocie uprawnionym do nadpłaty będą ciążyć koszty upomnienia, nadpłatę trzeba będzie zaliczyć w pierwszej kolejności na poczet kosztów upomnienia. Po drugie na podstawie art. </w:t>
      </w:r>
      <w:r w:rsidR="005062D3" w:rsidRPr="009A3C86">
        <w:rPr>
          <w:rFonts w:ascii="Times New Roman" w:hAnsi="Times New Roman"/>
          <w:sz w:val="24"/>
          <w:szCs w:val="24"/>
        </w:rPr>
        <w:t xml:space="preserve">208 </w:t>
      </w:r>
      <w:r w:rsidRPr="009A3C86">
        <w:rPr>
          <w:rFonts w:ascii="Times New Roman" w:hAnsi="Times New Roman"/>
          <w:sz w:val="24"/>
          <w:szCs w:val="24"/>
        </w:rPr>
        <w:t>w zw. z art. 15</w:t>
      </w:r>
      <w:r w:rsidR="005062D3" w:rsidRPr="009A3C86">
        <w:rPr>
          <w:rFonts w:ascii="Times New Roman" w:hAnsi="Times New Roman"/>
          <w:sz w:val="24"/>
          <w:szCs w:val="24"/>
        </w:rPr>
        <w:t>5</w:t>
      </w:r>
      <w:r w:rsidRPr="009A3C86">
        <w:rPr>
          <w:rFonts w:ascii="Times New Roman" w:hAnsi="Times New Roman"/>
          <w:sz w:val="24"/>
          <w:szCs w:val="24"/>
        </w:rPr>
        <w:t xml:space="preserve"> § 6 postanowienie w sprawie zaliczenia nadpłaty wydaje się wyłącznie na wniosek, w przypadku gdy</w:t>
      </w:r>
      <w:r w:rsidR="00457E64" w:rsidRPr="009A3C86">
        <w:rPr>
          <w:rFonts w:ascii="Times New Roman" w:eastAsia="Times New Roman" w:hAnsi="Times New Roman"/>
          <w:bCs/>
          <w:sz w:val="24"/>
          <w:szCs w:val="24"/>
          <w:lang w:eastAsia="pl-PL"/>
        </w:rPr>
        <w:t xml:space="preserve"> </w:t>
      </w:r>
      <w:r w:rsidRPr="009A3C86">
        <w:rPr>
          <w:rFonts w:ascii="Times New Roman" w:eastAsia="Times New Roman" w:hAnsi="Times New Roman"/>
          <w:bCs/>
          <w:sz w:val="24"/>
          <w:szCs w:val="24"/>
          <w:lang w:eastAsia="pl-PL"/>
        </w:rPr>
        <w:t>kwota nadpłaty podlegającej zaliczeniu nie przekracza 60 zł.</w:t>
      </w:r>
    </w:p>
    <w:p w:rsidR="00326528" w:rsidRPr="009A3C86" w:rsidRDefault="00326528"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5. </w:t>
      </w:r>
      <w:r w:rsidRPr="009A3C86">
        <w:rPr>
          <w:rFonts w:ascii="Times New Roman" w:hAnsi="Times New Roman"/>
          <w:bCs/>
          <w:sz w:val="24"/>
          <w:szCs w:val="24"/>
        </w:rPr>
        <w:t xml:space="preserve">Przepis </w:t>
      </w:r>
      <w:r w:rsidRPr="009A3C86">
        <w:rPr>
          <w:rFonts w:ascii="Times New Roman" w:hAnsi="Times New Roman"/>
          <w:b/>
          <w:sz w:val="24"/>
          <w:szCs w:val="24"/>
        </w:rPr>
        <w:t>art. 20</w:t>
      </w:r>
      <w:r w:rsidR="005062D3" w:rsidRPr="009A3C86">
        <w:rPr>
          <w:rFonts w:ascii="Times New Roman" w:hAnsi="Times New Roman"/>
          <w:b/>
          <w:sz w:val="24"/>
          <w:szCs w:val="24"/>
        </w:rPr>
        <w:t>9</w:t>
      </w:r>
      <w:r w:rsidRPr="009A3C86">
        <w:rPr>
          <w:rFonts w:ascii="Times New Roman" w:hAnsi="Times New Roman"/>
          <w:bCs/>
          <w:sz w:val="24"/>
          <w:szCs w:val="24"/>
        </w:rPr>
        <w:t xml:space="preserve"> stanowi, że w razie zajęcia wierzytelności z tytułu nadpłaty jej zaliczenie ma pierwszeństwo przed realizacją zajęcia. Przepis ten stanowi odpowiednik art. 76 § 2a o.p. w zmodyfikowanym brzmieniu. Modyfikacja projektowanego przepisu związana jest przede wszystkim z wprowadzeniem zasady, że przepis ten dotyczy także kosztów upomnienia,</w:t>
      </w:r>
      <w:r w:rsidRPr="009A3C86">
        <w:rPr>
          <w:rFonts w:ascii="Times New Roman" w:hAnsi="Times New Roman"/>
          <w:sz w:val="24"/>
          <w:szCs w:val="24"/>
        </w:rPr>
        <w:t xml:space="preserve"> kosztów postępowania, a także kary porządkowej, ale także polega na jego redakcyjnej przebudowie</w:t>
      </w:r>
      <w:r w:rsidRPr="009A3C86">
        <w:rPr>
          <w:rFonts w:ascii="Times New Roman" w:hAnsi="Times New Roman"/>
          <w:bCs/>
          <w:sz w:val="24"/>
          <w:szCs w:val="24"/>
        </w:rPr>
        <w:t xml:space="preserve">. W konsekwencji organ podatkowy przed realizacją zajęcia wierzytelności z tytułu nadpłaty, powinien nadpłatę zaliczyć na wszystkie należności, na które w normalnym przypadku mógłby zaliczyć, zgodnie z art. </w:t>
      </w:r>
      <w:r w:rsidR="005062D3" w:rsidRPr="009A3C86">
        <w:rPr>
          <w:rFonts w:ascii="Times New Roman" w:hAnsi="Times New Roman"/>
          <w:bCs/>
          <w:sz w:val="24"/>
          <w:szCs w:val="24"/>
        </w:rPr>
        <w:t>205</w:t>
      </w:r>
      <w:r w:rsidRPr="009A3C86">
        <w:rPr>
          <w:rFonts w:ascii="Times New Roman" w:hAnsi="Times New Roman"/>
          <w:bCs/>
          <w:sz w:val="24"/>
          <w:szCs w:val="24"/>
        </w:rPr>
        <w:t>, w tym na poczet kosztów upomnienia,</w:t>
      </w:r>
      <w:r w:rsidRPr="009A3C86">
        <w:rPr>
          <w:rFonts w:ascii="Times New Roman" w:hAnsi="Times New Roman"/>
          <w:sz w:val="24"/>
          <w:szCs w:val="24"/>
        </w:rPr>
        <w:t xml:space="preserve"> kosztów postępowania oraz kary porządkowej</w:t>
      </w:r>
      <w:r w:rsidRPr="009A3C86">
        <w:rPr>
          <w:rFonts w:ascii="Times New Roman" w:hAnsi="Times New Roman"/>
          <w:bCs/>
          <w:sz w:val="24"/>
          <w:szCs w:val="24"/>
        </w:rPr>
        <w:t>.</w:t>
      </w:r>
    </w:p>
    <w:p w:rsidR="00326528" w:rsidRPr="009A3C86" w:rsidRDefault="00326528" w:rsidP="00326528">
      <w:pPr>
        <w:keepNext/>
        <w:keepLines/>
        <w:spacing w:after="0" w:line="360" w:lineRule="auto"/>
        <w:jc w:val="both"/>
        <w:outlineLvl w:val="3"/>
        <w:rPr>
          <w:rFonts w:ascii="Times New Roman" w:eastAsia="Times New Roman" w:hAnsi="Times New Roman"/>
          <w:b/>
          <w:iCs/>
          <w:sz w:val="24"/>
          <w:szCs w:val="24"/>
        </w:rPr>
      </w:pPr>
      <w:bookmarkStart w:id="25" w:name="_Toc494363252"/>
      <w:r w:rsidRPr="009A3C86">
        <w:rPr>
          <w:rFonts w:ascii="Times New Roman" w:eastAsia="Times New Roman" w:hAnsi="Times New Roman"/>
          <w:b/>
          <w:iCs/>
          <w:sz w:val="24"/>
          <w:szCs w:val="24"/>
        </w:rPr>
        <w:lastRenderedPageBreak/>
        <w:t>Oddział 5.  Zwrot nadpłaty</w:t>
      </w:r>
      <w:bookmarkEnd w:id="25"/>
    </w:p>
    <w:p w:rsidR="00326528" w:rsidRPr="009A3C86" w:rsidRDefault="00326528" w:rsidP="00326528">
      <w:pPr>
        <w:spacing w:after="0" w:line="360" w:lineRule="auto"/>
        <w:jc w:val="both"/>
        <w:rPr>
          <w:rFonts w:ascii="Times New Roman" w:hAnsi="Times New Roman"/>
          <w:spacing w:val="4"/>
          <w:sz w:val="24"/>
          <w:szCs w:val="24"/>
        </w:rPr>
      </w:pPr>
      <w:r w:rsidRPr="009A3C86">
        <w:rPr>
          <w:rFonts w:ascii="Times New Roman" w:hAnsi="Times New Roman"/>
          <w:sz w:val="24"/>
          <w:szCs w:val="24"/>
        </w:rPr>
        <w:t xml:space="preserve">1. Przepis </w:t>
      </w:r>
      <w:r w:rsidRPr="009A3C86">
        <w:rPr>
          <w:rFonts w:ascii="Times New Roman" w:hAnsi="Times New Roman"/>
          <w:b/>
          <w:sz w:val="24"/>
          <w:szCs w:val="24"/>
        </w:rPr>
        <w:t>art. 2</w:t>
      </w:r>
      <w:r w:rsidR="007C7426" w:rsidRPr="009A3C86">
        <w:rPr>
          <w:rFonts w:ascii="Times New Roman" w:hAnsi="Times New Roman"/>
          <w:b/>
          <w:sz w:val="24"/>
          <w:szCs w:val="24"/>
        </w:rPr>
        <w:t>1</w:t>
      </w:r>
      <w:r w:rsidR="002E618F" w:rsidRPr="009A3C86">
        <w:rPr>
          <w:rFonts w:ascii="Times New Roman" w:hAnsi="Times New Roman"/>
          <w:b/>
          <w:sz w:val="24"/>
          <w:szCs w:val="24"/>
        </w:rPr>
        <w:t>0</w:t>
      </w:r>
      <w:r w:rsidRPr="009A3C86">
        <w:rPr>
          <w:rFonts w:ascii="Times New Roman" w:hAnsi="Times New Roman"/>
          <w:b/>
          <w:sz w:val="24"/>
          <w:szCs w:val="24"/>
        </w:rPr>
        <w:t> </w:t>
      </w:r>
      <w:r w:rsidRPr="009A3C86">
        <w:rPr>
          <w:rFonts w:ascii="Times New Roman" w:hAnsi="Times New Roman"/>
          <w:sz w:val="24"/>
          <w:szCs w:val="24"/>
        </w:rPr>
        <w:t xml:space="preserve">stanowi, że uprawnionemu do nadpłaty, który jest zobowiązany do posiadania rachunku bankowego lub rachunku w spółdzielczej kasie oszczędnościowo-kredytowej, nadpłatę zwraca się wyłącznie na wskazany przez niego rachunek, którego jest posiadaczem lub współposiadaczem. Regulacja ta stanowi zmodyfikowanym art. 77b § 1 pkt 1 o.p. </w:t>
      </w:r>
      <w:r w:rsidRPr="009A3C86">
        <w:rPr>
          <w:rFonts w:ascii="Times New Roman" w:hAnsi="Times New Roman"/>
          <w:spacing w:val="4"/>
          <w:sz w:val="24"/>
          <w:szCs w:val="24"/>
        </w:rPr>
        <w:t>Zwrot nadpłaty może zostać dokonany zatem nie na każdy rachunek bankowy wskazany przez podmiot uprawniony do nadpłaty (np. rachunek innego podmiotu). Wprowadzenie rozwiązana, o którym mowa w art. 2</w:t>
      </w:r>
      <w:r w:rsidR="002E618F" w:rsidRPr="009A3C86">
        <w:rPr>
          <w:rFonts w:ascii="Times New Roman" w:hAnsi="Times New Roman"/>
          <w:spacing w:val="4"/>
          <w:sz w:val="24"/>
          <w:szCs w:val="24"/>
        </w:rPr>
        <w:t>10</w:t>
      </w:r>
      <w:r w:rsidRPr="009A3C86">
        <w:rPr>
          <w:rFonts w:ascii="Times New Roman" w:hAnsi="Times New Roman"/>
          <w:spacing w:val="4"/>
          <w:sz w:val="24"/>
          <w:szCs w:val="24"/>
        </w:rPr>
        <w:t xml:space="preserve"> ograniczy ryzyka związane z próbami wyłudzeń dotyczących nadpłat i zwrotów i przekazywania zwrotów na konta osób nieuprawnionych.</w:t>
      </w:r>
    </w:p>
    <w:p w:rsidR="00326528" w:rsidRPr="009A3C86" w:rsidRDefault="00326528" w:rsidP="00326528">
      <w:pPr>
        <w:spacing w:after="0" w:line="360" w:lineRule="auto"/>
        <w:jc w:val="both"/>
        <w:rPr>
          <w:rFonts w:ascii="Times New Roman" w:hAnsi="Times New Roman"/>
          <w:strike/>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art. 2</w:t>
      </w:r>
      <w:r w:rsidR="002E618F" w:rsidRPr="009A3C86">
        <w:rPr>
          <w:rFonts w:ascii="Times New Roman" w:hAnsi="Times New Roman"/>
          <w:b/>
          <w:sz w:val="24"/>
          <w:szCs w:val="24"/>
        </w:rPr>
        <w:t>11</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że uprawnionemu do nadpłaty, który nie jest zobowiązany do posiadania rachunku bankowego lub rachunku w spółdzielczej kasie oszczędnościowo-kredytowej, nadpłatę zwraca się przekazem pocztowym, chyba że uprawniony do nadpłaty wskaże rachunek lub złoży on wniosek o zwrot nadpłaty w kasie organu podatkowego. </w:t>
      </w:r>
      <w:r w:rsidRPr="009A3C86">
        <w:rPr>
          <w:rFonts w:ascii="Times New Roman" w:hAnsi="Times New Roman"/>
          <w:bCs/>
          <w:sz w:val="24"/>
          <w:szCs w:val="24"/>
        </w:rPr>
        <w:t xml:space="preserve">W takim przypadku organ zwraca nadpłatę na ten rachunek albo umożliwia jej odbiór w kasie organu podatkowego. </w:t>
      </w:r>
      <w:r w:rsidRPr="009A3C86">
        <w:rPr>
          <w:rFonts w:ascii="Times New Roman" w:hAnsi="Times New Roman"/>
          <w:sz w:val="24"/>
          <w:szCs w:val="24"/>
        </w:rPr>
        <w:t xml:space="preserve">Regulacja ta odpowiada art. 77b § 1 pkt 2 o.p. W projektowanym przepisie wskazuje się jednoznacznie na zasadę, że organ podatkowy powinien wysłać nadpłatę przekazem pocztowym. Jeśli jednak uprawniony do nadpłaty wskaże rachunek, na który podmiot ten będzie chciał tę nadpłatę otrzymać, zwrot nadpłaty powinien być dokonany na ten rachunek. Nadpłata nie będzie mogła zostać zwrócona przekazem, jeśli przed jej wyekspediowaniem podmiot ten wskaże, że chce odebrać nadpłatę w kasie organu podatkowego. Mechanizm ten doprowadzi do tego, że organ podatkowy nie będzie zwlekać z przekazaniem nadpłat, nawet jeśli podmioty uprawnione do nadpłaty nie wskażą rachunku bankowego. Ponadto nie ma przeszkód, aby rachunek wskazany przez podmiot uprawniony nie był jego rachunkiem. Może być to także rachunek innego podmiotu. </w:t>
      </w:r>
    </w:p>
    <w:p w:rsidR="00326528" w:rsidRPr="009A3C86" w:rsidRDefault="00326528" w:rsidP="00326528">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Przepis </w:t>
      </w:r>
      <w:r w:rsidRPr="009A3C86">
        <w:rPr>
          <w:rFonts w:ascii="Times New Roman" w:eastAsia="Times New Roman" w:hAnsi="Times New Roman"/>
          <w:b/>
          <w:bCs/>
          <w:sz w:val="24"/>
          <w:szCs w:val="24"/>
          <w:lang w:eastAsia="pl-PL"/>
        </w:rPr>
        <w:t>art. 2</w:t>
      </w:r>
      <w:r w:rsidR="002E618F" w:rsidRPr="009A3C86">
        <w:rPr>
          <w:rFonts w:ascii="Times New Roman" w:eastAsia="Times New Roman" w:hAnsi="Times New Roman"/>
          <w:b/>
          <w:bCs/>
          <w:sz w:val="24"/>
          <w:szCs w:val="24"/>
          <w:lang w:eastAsia="pl-PL"/>
        </w:rPr>
        <w:t>11</w:t>
      </w:r>
      <w:r w:rsidRPr="009A3C86">
        <w:rPr>
          <w:rFonts w:ascii="Times New Roman" w:eastAsia="Times New Roman" w:hAnsi="Times New Roman"/>
          <w:b/>
          <w:bCs/>
          <w:sz w:val="24"/>
          <w:szCs w:val="24"/>
          <w:lang w:eastAsia="pl-PL"/>
        </w:rPr>
        <w:t xml:space="preserve"> § 2</w:t>
      </w:r>
      <w:r w:rsidRPr="009A3C86">
        <w:rPr>
          <w:rFonts w:ascii="Times New Roman" w:eastAsia="Times New Roman" w:hAnsi="Times New Roman"/>
          <w:bCs/>
          <w:sz w:val="24"/>
          <w:szCs w:val="24"/>
          <w:lang w:eastAsia="pl-PL"/>
        </w:rPr>
        <w:t xml:space="preserve"> stanowi, że jeżeli wysokość nadpłaty nie przekracza 20 zł, nadpłatę zwraca się wyłącznie w kasie organu podatkowego lub na rachunek. Przepis ten koresponduje z przepisem art. 2</w:t>
      </w:r>
      <w:r w:rsidR="002E618F" w:rsidRPr="009A3C86">
        <w:rPr>
          <w:rFonts w:ascii="Times New Roman" w:eastAsia="Times New Roman" w:hAnsi="Times New Roman"/>
          <w:bCs/>
          <w:sz w:val="24"/>
          <w:szCs w:val="24"/>
          <w:lang w:eastAsia="pl-PL"/>
        </w:rPr>
        <w:t>11</w:t>
      </w:r>
      <w:r w:rsidRPr="009A3C86">
        <w:rPr>
          <w:rFonts w:ascii="Times New Roman" w:eastAsia="Times New Roman" w:hAnsi="Times New Roman"/>
          <w:bCs/>
          <w:sz w:val="24"/>
          <w:szCs w:val="24"/>
          <w:lang w:eastAsia="pl-PL"/>
        </w:rPr>
        <w:t xml:space="preserve"> § 3, w którym wskazuje się, że w przypadku zwrotu nadpłaty przekazem pocztowym koszty zwrotu ponosi uprawniony do nadpłaty. Rozwiązanie to może przyczynić się do zwiększenia liczby przypadków, w których podatnicy będą wskazywać rachunki bankowe, na które będzie mogła być im bezkosztowo przekazana nadpłata</w:t>
      </w:r>
      <w:r w:rsidRPr="009A3C86">
        <w:rPr>
          <w:rFonts w:ascii="Times New Roman" w:eastAsia="Times New Roman" w:hAnsi="Times New Roman"/>
          <w:bCs/>
          <w:sz w:val="24"/>
          <w:szCs w:val="24"/>
          <w:vertAlign w:val="superscript"/>
          <w:lang w:eastAsia="pl-PL"/>
        </w:rPr>
        <w:footnoteReference w:id="264"/>
      </w:r>
      <w:r w:rsidRPr="009A3C86">
        <w:rPr>
          <w:rFonts w:ascii="Times New Roman" w:eastAsia="Times New Roman" w:hAnsi="Times New Roman"/>
          <w:bCs/>
          <w:sz w:val="24"/>
          <w:szCs w:val="24"/>
          <w:lang w:eastAsia="pl-PL"/>
        </w:rPr>
        <w:t xml:space="preserve">. Przepis ten ma </w:t>
      </w:r>
      <w:r w:rsidRPr="009A3C86">
        <w:rPr>
          <w:rFonts w:ascii="Times New Roman" w:eastAsia="Times New Roman" w:hAnsi="Times New Roman"/>
          <w:bCs/>
          <w:sz w:val="24"/>
          <w:szCs w:val="24"/>
          <w:lang w:eastAsia="pl-PL"/>
        </w:rPr>
        <w:lastRenderedPageBreak/>
        <w:t>także wyeliminować sytuacje, gdy koszty zwrotu nadpłaty przekazem pocztowym będą wyższe od zwracanej kwoty nadpłaty. Przepis art. 2</w:t>
      </w:r>
      <w:r w:rsidR="002E618F" w:rsidRPr="009A3C86">
        <w:rPr>
          <w:rFonts w:ascii="Times New Roman" w:eastAsia="Times New Roman" w:hAnsi="Times New Roman"/>
          <w:bCs/>
          <w:sz w:val="24"/>
          <w:szCs w:val="24"/>
          <w:lang w:eastAsia="pl-PL"/>
        </w:rPr>
        <w:t>11</w:t>
      </w:r>
      <w:r w:rsidRPr="009A3C86">
        <w:rPr>
          <w:rFonts w:ascii="Times New Roman" w:eastAsia="Times New Roman" w:hAnsi="Times New Roman"/>
          <w:bCs/>
          <w:sz w:val="24"/>
          <w:szCs w:val="24"/>
          <w:lang w:eastAsia="pl-PL"/>
        </w:rPr>
        <w:t xml:space="preserve"> § 2 stanowi zmodyfikowany odpowiednik art. 77b § 3 o.p. Uznano, że będzie czytelniejszym rozwiązanie, w którym limit nadpłaty, o której mowa wyżej, zostanie określony kwotowo niż przez podanie kryterium dwukrotności kosztów upomnienia</w:t>
      </w:r>
      <w:r w:rsidRPr="009A3C86">
        <w:rPr>
          <w:rFonts w:ascii="Times New Roman" w:eastAsia="MS Mincho" w:hAnsi="Times New Roman"/>
          <w:bCs/>
          <w:sz w:val="24"/>
          <w:szCs w:val="24"/>
          <w:lang w:eastAsia="pl-PL"/>
        </w:rPr>
        <w:t xml:space="preserve"> </w:t>
      </w:r>
      <w:r w:rsidRPr="009A3C86">
        <w:rPr>
          <w:rFonts w:ascii="Times New Roman" w:eastAsia="Times New Roman" w:hAnsi="Times New Roman"/>
          <w:bCs/>
          <w:sz w:val="24"/>
          <w:szCs w:val="24"/>
          <w:lang w:eastAsia="pl-PL"/>
        </w:rPr>
        <w:t xml:space="preserve">w postepowaniu egzekucyjnym. W </w:t>
      </w:r>
      <w:r w:rsidRPr="009A3C86">
        <w:rPr>
          <w:rFonts w:ascii="Times New Roman" w:eastAsia="Times New Roman" w:hAnsi="Times New Roman"/>
          <w:b/>
          <w:bCs/>
          <w:sz w:val="24"/>
          <w:szCs w:val="24"/>
          <w:lang w:eastAsia="pl-PL"/>
        </w:rPr>
        <w:t>art. 2</w:t>
      </w:r>
      <w:r w:rsidR="002E618F" w:rsidRPr="009A3C86">
        <w:rPr>
          <w:rFonts w:ascii="Times New Roman" w:eastAsia="Times New Roman" w:hAnsi="Times New Roman"/>
          <w:b/>
          <w:bCs/>
          <w:sz w:val="24"/>
          <w:szCs w:val="24"/>
          <w:lang w:eastAsia="pl-PL"/>
        </w:rPr>
        <w:t>11</w:t>
      </w:r>
      <w:r w:rsidRPr="009A3C86">
        <w:rPr>
          <w:rFonts w:ascii="Times New Roman" w:eastAsia="Times New Roman" w:hAnsi="Times New Roman"/>
          <w:b/>
          <w:bCs/>
          <w:sz w:val="24"/>
          <w:szCs w:val="24"/>
          <w:lang w:eastAsia="pl-PL"/>
        </w:rPr>
        <w:t xml:space="preserve"> § 3</w:t>
      </w:r>
      <w:r w:rsidRPr="009A3C86">
        <w:rPr>
          <w:rFonts w:ascii="Times New Roman" w:eastAsia="Times New Roman" w:hAnsi="Times New Roman"/>
          <w:bCs/>
          <w:sz w:val="24"/>
          <w:szCs w:val="24"/>
          <w:lang w:eastAsia="pl-PL"/>
        </w:rPr>
        <w:t xml:space="preserve"> wskazano, że w przypadku nie odebrania zwrotu nadpłaty przekazem pocztowym, ponowny zwrot w tej formie dokonuje się wyłącznie na wniosek uprawnionego do nadpłaty. Rozwiązanie to ma na celu eliminację generowania po stronie podatnika zbędnych kosztów przekazania mu nadpłaty. Przepis ten będzie bowiem skutkował tym, że podatnik nie będzie ponosił kosztów związanych z kolejną próbą doręczenia środków przekazem pocztowym, do czasu gdy wyraźnie on wskaże, że chce uzyskać zwrot nadpłaty w przedmiotowej formie.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2</w:t>
      </w:r>
      <w:r w:rsidR="002E618F" w:rsidRPr="009A3C86">
        <w:rPr>
          <w:rFonts w:ascii="Times New Roman" w:hAnsi="Times New Roman"/>
          <w:b/>
          <w:sz w:val="24"/>
          <w:szCs w:val="24"/>
        </w:rPr>
        <w:t>12</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że za dzień zwrotu nadpłaty uważa się dzień obciążenia rachunku bankowego organu podatkowego na podstawie polecenia przelewu lub dzień nadania przekazu pocztowego, wypłacenia kwoty nadpłaty przez organ podatkowy lub postawienia nadpłaty do dyspozycji uprawnionemu do nadpłaty w kasie organu podatkowego. Przepis ten stanowi odpowiednik art. 77b § 2 o.p.</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2E618F" w:rsidRPr="009A3C86">
        <w:rPr>
          <w:rFonts w:ascii="Times New Roman" w:hAnsi="Times New Roman"/>
          <w:b/>
          <w:sz w:val="24"/>
          <w:szCs w:val="24"/>
        </w:rPr>
        <w:t>12</w:t>
      </w:r>
      <w:r w:rsidRPr="009A3C86">
        <w:rPr>
          <w:rFonts w:ascii="Times New Roman" w:hAnsi="Times New Roman"/>
          <w:b/>
          <w:sz w:val="24"/>
          <w:szCs w:val="24"/>
        </w:rPr>
        <w:t xml:space="preserve"> § 2</w:t>
      </w:r>
      <w:r w:rsidRPr="009A3C86">
        <w:rPr>
          <w:rFonts w:ascii="Times New Roman" w:hAnsi="Times New Roman"/>
          <w:sz w:val="24"/>
          <w:szCs w:val="24"/>
        </w:rPr>
        <w:t xml:space="preserve"> stanowi, że jeżeli kwota dokonanego zwrotu nadpłaty nie pokrywa kwoty nadpłaty wraz z jej oprocentowaniem, zwróconą kwotę zalicza się proporcjonalnie na poczet kwoty nadpłaty oraz kwoty jej oprocentowania w takim stosunku, w jakim w dniu zwrotu pozostaje kwota nadpłaty do kwoty oprocentowania.</w:t>
      </w:r>
      <w:r w:rsidRPr="009A3C86">
        <w:rPr>
          <w:rFonts w:ascii="Times New Roman" w:hAnsi="Times New Roman"/>
          <w:bCs/>
          <w:sz w:val="24"/>
          <w:szCs w:val="24"/>
        </w:rPr>
        <w:t xml:space="preserve"> </w:t>
      </w:r>
      <w:r w:rsidRPr="009A3C86">
        <w:rPr>
          <w:rFonts w:ascii="Times New Roman" w:hAnsi="Times New Roman"/>
          <w:sz w:val="24"/>
          <w:szCs w:val="24"/>
        </w:rPr>
        <w:t>Przepis ten stanowi odpowiednik art. 78a o.p.</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art. 2</w:t>
      </w:r>
      <w:r w:rsidR="002E618F" w:rsidRPr="009A3C86">
        <w:rPr>
          <w:rFonts w:ascii="Times New Roman" w:hAnsi="Times New Roman"/>
          <w:b/>
          <w:sz w:val="24"/>
          <w:szCs w:val="24"/>
        </w:rPr>
        <w:t>13</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stanowi, że nadpłata podlega zwrotowi wspólnikom rozwiązanej spółki cywilnej w proporcji wynikającej odpowiednio z prawa do udziału w zysku określonego w umowie rozwiązanej spółki cywilnej za okres rozliczeniowy, którego dotyczy nadpłata. Jeżeli z dołączonej umowy tej spółki nie wynikają̨ udziały w zysku, to przyjmuje się, że prawa do udziału w zysku są równe. Przepis ten stanowi odpowiednik art. 75 § 5a o.p.</w:t>
      </w:r>
    </w:p>
    <w:p w:rsidR="00326528" w:rsidRPr="009A3C86" w:rsidRDefault="00326528" w:rsidP="00D72E74">
      <w:pPr>
        <w:suppressAutoHyphens/>
        <w:autoSpaceDE w:val="0"/>
        <w:autoSpaceDN w:val="0"/>
        <w:adjustRightInd w:val="0"/>
        <w:spacing w:after="12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xml:space="preserve"> nadpłata podlega zwrotowi spółkom, które tworzyły podatkową grupę kapitałową w rozumieniu przepisów o podatku dochodowym od osób prawnych </w:t>
      </w:r>
      <w:r w:rsidRPr="009A3C86">
        <w:rPr>
          <w:rFonts w:ascii="Times New Roman" w:eastAsia="Times New Roman" w:hAnsi="Times New Roman"/>
          <w:sz w:val="24"/>
          <w:szCs w:val="24"/>
          <w:shd w:val="clear" w:color="auto" w:fill="FFFFFF"/>
          <w:lang w:eastAsia="pl-PL"/>
        </w:rPr>
        <w:t xml:space="preserve">proporcjonalnie do dochodów poszczególnych spółek w odniesieniu do </w:t>
      </w:r>
      <w:r w:rsidRPr="009A3C86">
        <w:rPr>
          <w:rFonts w:ascii="Times New Roman" w:eastAsia="Times New Roman" w:hAnsi="Times New Roman"/>
          <w:sz w:val="24"/>
          <w:szCs w:val="24"/>
          <w:lang w:eastAsia="pl-PL"/>
        </w:rPr>
        <w:t xml:space="preserve">okresu rozliczeniowego, którego dotyczy nadpłata. Regulacja ta nawiązuje do relacji zawartej w art. 1a ust. 10c ustawy CIT. Obecnie w o.p. </w:t>
      </w:r>
      <w:r w:rsidRPr="009A3C86">
        <w:rPr>
          <w:rFonts w:ascii="Times New Roman" w:eastAsia="Times New Roman" w:hAnsi="Times New Roman"/>
          <w:spacing w:val="4"/>
          <w:sz w:val="24"/>
          <w:szCs w:val="24"/>
          <w:lang w:eastAsia="pl-PL"/>
        </w:rPr>
        <w:t xml:space="preserve">brak jest regulacji wskazującej sposób zwrotu spółkom nieistniejącej już podatkowej grupy kapitałowej nadpłaty. </w:t>
      </w:r>
    </w:p>
    <w:p w:rsidR="00326528" w:rsidRPr="009A3C86" w:rsidRDefault="00326528" w:rsidP="00326528">
      <w:pPr>
        <w:keepNext/>
        <w:keepLines/>
        <w:spacing w:after="0" w:line="360" w:lineRule="auto"/>
        <w:jc w:val="both"/>
        <w:outlineLvl w:val="3"/>
        <w:rPr>
          <w:rFonts w:ascii="Times New Roman" w:eastAsia="Times New Roman" w:hAnsi="Times New Roman"/>
          <w:b/>
          <w:iCs/>
          <w:sz w:val="24"/>
          <w:szCs w:val="24"/>
        </w:rPr>
      </w:pPr>
      <w:bookmarkStart w:id="26" w:name="_Toc494363253"/>
      <w:r w:rsidRPr="009A3C86">
        <w:rPr>
          <w:rFonts w:ascii="Times New Roman" w:eastAsia="Times New Roman" w:hAnsi="Times New Roman"/>
          <w:b/>
          <w:iCs/>
          <w:sz w:val="24"/>
          <w:szCs w:val="24"/>
        </w:rPr>
        <w:lastRenderedPageBreak/>
        <w:t xml:space="preserve">Oddział </w:t>
      </w:r>
      <w:r w:rsidR="002E618F" w:rsidRPr="009A3C86">
        <w:rPr>
          <w:rFonts w:ascii="Times New Roman" w:eastAsia="Times New Roman" w:hAnsi="Times New Roman"/>
          <w:b/>
          <w:iCs/>
          <w:sz w:val="24"/>
          <w:szCs w:val="24"/>
        </w:rPr>
        <w:t>7</w:t>
      </w:r>
      <w:r w:rsidRPr="009A3C86">
        <w:rPr>
          <w:rFonts w:ascii="Times New Roman" w:eastAsia="Times New Roman" w:hAnsi="Times New Roman"/>
          <w:b/>
          <w:iCs/>
          <w:sz w:val="24"/>
          <w:szCs w:val="24"/>
        </w:rPr>
        <w:t>. Terminy zwrotu nadpłaty</w:t>
      </w:r>
      <w:bookmarkEnd w:id="26"/>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 W oddziale </w:t>
      </w:r>
      <w:r w:rsidR="002E618F" w:rsidRPr="009A3C86">
        <w:rPr>
          <w:rFonts w:ascii="Times New Roman" w:hAnsi="Times New Roman"/>
          <w:sz w:val="24"/>
          <w:szCs w:val="24"/>
        </w:rPr>
        <w:t>7</w:t>
      </w:r>
      <w:r w:rsidRPr="009A3C86">
        <w:rPr>
          <w:rFonts w:ascii="Times New Roman" w:hAnsi="Times New Roman"/>
          <w:sz w:val="24"/>
          <w:szCs w:val="24"/>
        </w:rPr>
        <w:t xml:space="preserve"> uregulowano cztery terminy, w których powinna być zwrócona nadpłata, tj. 30-dniowy, 2-miesieczny, 3-miesięczny i bezzwłocznie, </w:t>
      </w:r>
      <w:r w:rsidRPr="009A3C86">
        <w:rPr>
          <w:rFonts w:ascii="Times New Roman" w:hAnsi="Times New Roman"/>
          <w:kern w:val="3"/>
          <w:sz w:val="24"/>
          <w:szCs w:val="24"/>
          <w:lang w:eastAsia="zh-CN"/>
        </w:rPr>
        <w:t>jednak nie później niż w terminie 14 dni od dnia upływu terminu 3 miesięcy, o którym mowa w art. 2</w:t>
      </w:r>
      <w:r w:rsidR="002E618F" w:rsidRPr="009A3C86">
        <w:rPr>
          <w:rFonts w:ascii="Times New Roman" w:hAnsi="Times New Roman"/>
          <w:kern w:val="3"/>
          <w:sz w:val="24"/>
          <w:szCs w:val="24"/>
          <w:lang w:eastAsia="zh-CN"/>
        </w:rPr>
        <w:t>15</w:t>
      </w:r>
      <w:r w:rsidRPr="009A3C86">
        <w:rPr>
          <w:rFonts w:ascii="Times New Roman" w:hAnsi="Times New Roman"/>
          <w:sz w:val="24"/>
          <w:szCs w:val="24"/>
        </w:rPr>
        <w:t>. Termin 30-dniowy na zwrot nadpłaty obowiązuje w przypadkach określonych w art. 2</w:t>
      </w:r>
      <w:r w:rsidR="002E618F" w:rsidRPr="009A3C86">
        <w:rPr>
          <w:rFonts w:ascii="Times New Roman" w:hAnsi="Times New Roman"/>
          <w:sz w:val="24"/>
          <w:szCs w:val="24"/>
        </w:rPr>
        <w:t>14</w:t>
      </w:r>
      <w:r w:rsidRPr="009A3C86">
        <w:rPr>
          <w:rFonts w:ascii="Times New Roman" w:hAnsi="Times New Roman"/>
          <w:sz w:val="24"/>
          <w:szCs w:val="24"/>
        </w:rPr>
        <w:t>. Terminy 2 i 3-miesięczny mają zastosowanie w przypadkach określonych w art. 2</w:t>
      </w:r>
      <w:r w:rsidR="002E618F" w:rsidRPr="009A3C86">
        <w:rPr>
          <w:rFonts w:ascii="Times New Roman" w:hAnsi="Times New Roman"/>
          <w:sz w:val="24"/>
          <w:szCs w:val="24"/>
        </w:rPr>
        <w:t>17</w:t>
      </w:r>
      <w:r w:rsidRPr="009A3C86">
        <w:rPr>
          <w:rFonts w:ascii="Times New Roman" w:hAnsi="Times New Roman"/>
          <w:sz w:val="24"/>
          <w:szCs w:val="24"/>
        </w:rPr>
        <w:t xml:space="preserve">, a zwrot, który powinien nastąpić bez zbędnej zwłoki, </w:t>
      </w:r>
      <w:r w:rsidRPr="009A3C86">
        <w:rPr>
          <w:rFonts w:ascii="Times New Roman" w:hAnsi="Times New Roman"/>
          <w:kern w:val="3"/>
          <w:sz w:val="24"/>
          <w:szCs w:val="24"/>
          <w:lang w:eastAsia="zh-CN"/>
        </w:rPr>
        <w:t xml:space="preserve">jednak nie później niż w terminie 14 dni, </w:t>
      </w:r>
      <w:r w:rsidRPr="009A3C86">
        <w:rPr>
          <w:rFonts w:ascii="Times New Roman" w:hAnsi="Times New Roman"/>
          <w:sz w:val="24"/>
          <w:szCs w:val="24"/>
        </w:rPr>
        <w:t>jest uregulowany w art. 2</w:t>
      </w:r>
      <w:r w:rsidR="002E618F" w:rsidRPr="009A3C86">
        <w:rPr>
          <w:rFonts w:ascii="Times New Roman" w:hAnsi="Times New Roman"/>
          <w:sz w:val="24"/>
          <w:szCs w:val="24"/>
        </w:rPr>
        <w:t>15</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wskazuje przypadki, w których ma zastosowanie 30-dniowy termin. 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1 pkt 1</w:t>
      </w:r>
      <w:r w:rsidRPr="009A3C86">
        <w:rPr>
          <w:rFonts w:ascii="Times New Roman" w:hAnsi="Times New Roman"/>
          <w:sz w:val="24"/>
          <w:szCs w:val="24"/>
        </w:rPr>
        <w:t xml:space="preserve"> stanowi, że nadpłata podlega zwrotowi w terminie 30 </w:t>
      </w:r>
      <w:r w:rsidRPr="009A3C86">
        <w:rPr>
          <w:rFonts w:ascii="Times New Roman" w:hAnsi="Times New Roman"/>
          <w:bCs/>
          <w:sz w:val="24"/>
          <w:szCs w:val="24"/>
        </w:rPr>
        <w:t xml:space="preserve">dni od </w:t>
      </w:r>
      <w:r w:rsidRPr="009A3C86">
        <w:rPr>
          <w:rFonts w:ascii="Times New Roman" w:hAnsi="Times New Roman"/>
          <w:sz w:val="24"/>
          <w:szCs w:val="24"/>
        </w:rPr>
        <w:t>wydania nowej decyzji, jeżeli nadpłata powstała w związku z uchyleniem, zmianą lub stwierdzeniem nieważności decyzji, z zastrzeżeniem art. 2</w:t>
      </w:r>
      <w:r w:rsidR="00EA63D2" w:rsidRPr="009A3C86">
        <w:rPr>
          <w:rFonts w:ascii="Times New Roman" w:hAnsi="Times New Roman"/>
          <w:sz w:val="24"/>
          <w:szCs w:val="24"/>
        </w:rPr>
        <w:t>15</w:t>
      </w:r>
      <w:r w:rsidRPr="009A3C86">
        <w:rPr>
          <w:rFonts w:ascii="Times New Roman" w:hAnsi="Times New Roman"/>
          <w:sz w:val="24"/>
          <w:szCs w:val="24"/>
        </w:rPr>
        <w:t xml:space="preserve">. Przepis ten ma zastosowanie zarówno gdy nadpłata wynika z działania organu pierwszej instancji, który modyfikuje swoją decyzję na podstawie </w:t>
      </w:r>
      <w:r w:rsidRPr="009A3C86">
        <w:rPr>
          <w:rFonts w:ascii="Times New Roman" w:hAnsi="Times New Roman"/>
          <w:bCs/>
          <w:sz w:val="24"/>
          <w:szCs w:val="24"/>
        </w:rPr>
        <w:t>art. 4</w:t>
      </w:r>
      <w:r w:rsidR="002E618F" w:rsidRPr="009A3C86">
        <w:rPr>
          <w:rFonts w:ascii="Times New Roman" w:hAnsi="Times New Roman"/>
          <w:bCs/>
          <w:sz w:val="24"/>
          <w:szCs w:val="24"/>
        </w:rPr>
        <w:t>64</w:t>
      </w:r>
      <w:r w:rsidRPr="009A3C86">
        <w:rPr>
          <w:rFonts w:ascii="Times New Roman" w:hAnsi="Times New Roman"/>
          <w:b/>
          <w:sz w:val="24"/>
          <w:szCs w:val="24"/>
        </w:rPr>
        <w:t>,</w:t>
      </w:r>
      <w:r w:rsidRPr="009A3C86">
        <w:rPr>
          <w:rFonts w:ascii="Times New Roman" w:hAnsi="Times New Roman"/>
          <w:sz w:val="24"/>
          <w:szCs w:val="24"/>
        </w:rPr>
        <w:t xml:space="preserve"> jak i wtedy, gdy nadpłata wynika z działania organu wyższego stopnia, który weryfikuje prawidłowość decyzji w ramach odwołania albo gdy decyzję wyeliminuje z obrotu prawnego sąd administracyjny. Przepis ten ma także zastosowanie w przypadku gdy nowa decyzja będzie wydana w jedynym z tzw. trybów nadzwyczajnych weryfikacji decyzji. Przepis ten ma zastosowanie również wówczas, gdy wydawana jest nowa decyzja, na którą podatnik składa skargę do sądu administracyjnego. W takim przypadku kwestionowana decyzja ma charakter ostateczny i podlega wykonaniu mimo złożenia skargi do sądu administracyjnego. Analizowany 30-dniowy termin nie ma zastosowania w przypadku, gdy nowa decyzja nie zostanie wydana w terminie 3 miesięcy od dnia jej uchylenia albo stwierdzenia nieważności przez organ podatkowy lub od dnia doręczenia organowi podatkowemu odpisu orzeczenia sądu administracyjnego ze stwierdzeniem jego prawomocności, uchylającego decyzję albo stwierdzającego jej nieważność́. W takim przypadku zgodnie z art. 2</w:t>
      </w:r>
      <w:r w:rsidR="002E618F" w:rsidRPr="009A3C86">
        <w:rPr>
          <w:rFonts w:ascii="Times New Roman" w:hAnsi="Times New Roman"/>
          <w:sz w:val="24"/>
          <w:szCs w:val="24"/>
        </w:rPr>
        <w:t>15</w:t>
      </w:r>
      <w:r w:rsidRPr="009A3C86">
        <w:rPr>
          <w:rFonts w:ascii="Times New Roman" w:hAnsi="Times New Roman"/>
          <w:sz w:val="24"/>
          <w:szCs w:val="24"/>
        </w:rPr>
        <w:t xml:space="preserve"> nadpłata podlega zwrotowi bez zbędnej zwłoki, </w:t>
      </w:r>
      <w:r w:rsidRPr="009A3C86">
        <w:rPr>
          <w:rFonts w:ascii="Times New Roman" w:hAnsi="Times New Roman"/>
          <w:kern w:val="3"/>
          <w:sz w:val="24"/>
          <w:szCs w:val="24"/>
          <w:lang w:eastAsia="zh-CN"/>
        </w:rPr>
        <w:t xml:space="preserve">jednak nie później niż w terminie 14 dni od dnia upływu terminu 3 miesięcy, o którym mowa wyżej.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1 pkt 2</w:t>
      </w:r>
      <w:r w:rsidRPr="009A3C86">
        <w:rPr>
          <w:rFonts w:ascii="Times New Roman" w:hAnsi="Times New Roman"/>
          <w:sz w:val="24"/>
          <w:szCs w:val="24"/>
        </w:rPr>
        <w:t xml:space="preserve"> stanowi, że nadpłata podlega zwrotowi w terminie 30 </w:t>
      </w:r>
      <w:r w:rsidRPr="009A3C86">
        <w:rPr>
          <w:rFonts w:ascii="Times New Roman" w:hAnsi="Times New Roman"/>
          <w:bCs/>
          <w:sz w:val="24"/>
          <w:szCs w:val="24"/>
        </w:rPr>
        <w:t>dni od</w:t>
      </w:r>
      <w:r w:rsidRPr="009A3C86">
        <w:rPr>
          <w:rFonts w:ascii="Times New Roman" w:hAnsi="Times New Roman"/>
          <w:sz w:val="24"/>
          <w:szCs w:val="24"/>
        </w:rPr>
        <w:t xml:space="preserve"> wydania decyzji o uchyleniu lub stwierdzeniu nieważności decyzji albo doręczenia organowi podatkowemu odpisu orzeczenia sądu administracyjnego ze stwierdzeniem jego prawomocności, uchylającego decyzję albo stwierdzającego jej nieważność, jeżeli w związku z uchyleniem albo stwierdzeniem nieważności decyzji nie wystąpi obowiązek wydania nowej decyzji.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1 pkt 3</w:t>
      </w:r>
      <w:r w:rsidRPr="009A3C86">
        <w:rPr>
          <w:rFonts w:ascii="Times New Roman" w:hAnsi="Times New Roman"/>
          <w:sz w:val="24"/>
          <w:szCs w:val="24"/>
        </w:rPr>
        <w:t xml:space="preserve"> stanowi, że nadpłata podlega zwrotowi w terminie 30 </w:t>
      </w:r>
      <w:r w:rsidRPr="009A3C86">
        <w:rPr>
          <w:rFonts w:ascii="Times New Roman" w:hAnsi="Times New Roman"/>
          <w:bCs/>
          <w:sz w:val="24"/>
          <w:szCs w:val="24"/>
        </w:rPr>
        <w:t>dni od</w:t>
      </w:r>
      <w:r w:rsidRPr="009A3C86">
        <w:rPr>
          <w:rFonts w:ascii="Times New Roman" w:hAnsi="Times New Roman"/>
          <w:sz w:val="24"/>
          <w:szCs w:val="24"/>
        </w:rPr>
        <w:t xml:space="preserve"> złożenia wniosku o stwierdzenie nadpłaty, gdy nadpłata wynika z orzeczenia Trybunału </w:t>
      </w:r>
      <w:r w:rsidRPr="009A3C86">
        <w:rPr>
          <w:rFonts w:ascii="Times New Roman" w:hAnsi="Times New Roman"/>
          <w:sz w:val="24"/>
          <w:szCs w:val="24"/>
        </w:rPr>
        <w:lastRenderedPageBreak/>
        <w:t xml:space="preserve">Konstytucyjnego lub orzeczenia Trybunału Sprawiedliwości Unii Europejskiej, a jeżeli wniosek ten został złożony przed terminem wejścia w życie orzeczenia Trybunału Konstytucyjnego lub publikacji sentencji orzeczenia TSUE w Dzienniku Urzędowym Unii Europejskiej, termin ten liczy się od dnia wejścia w życie orzeczenia Trybunału Konstytucyjnego lub publikacji sentencji orzeczenia Trybunału Sprawiedliwości Unii Europejskiej w Dzienniku Urzędowym Unii Europejskiej. W przypadku gdy nadpłata wynika z niezgodności przepisów prawa krajowego z przepisami prawa Unii Europejskiej i została </w:t>
      </w:r>
      <w:r w:rsidRPr="009A3C86">
        <w:rPr>
          <w:rFonts w:ascii="Times New Roman" w:hAnsi="Times New Roman"/>
          <w:bCs/>
          <w:sz w:val="24"/>
          <w:szCs w:val="24"/>
        </w:rPr>
        <w:t>usunięta w przepisach krajowych</w:t>
      </w:r>
      <w:r w:rsidRPr="009A3C86">
        <w:rPr>
          <w:rFonts w:ascii="Times New Roman" w:hAnsi="Times New Roman"/>
          <w:sz w:val="24"/>
          <w:szCs w:val="24"/>
        </w:rPr>
        <w:t xml:space="preserve">, jeśli przyczyną tego działania jest np. stanowisko Komisji Europejskiej, powinien mieć zastosowanie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1 pkt 4</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1 pkt 5</w:t>
      </w:r>
      <w:r w:rsidRPr="009A3C86">
        <w:rPr>
          <w:rFonts w:ascii="Times New Roman" w:hAnsi="Times New Roman"/>
          <w:sz w:val="24"/>
          <w:szCs w:val="24"/>
        </w:rPr>
        <w:t xml:space="preserve"> stanowi, że nadpłata podlega zwrotowi w terminie 30 </w:t>
      </w:r>
      <w:r w:rsidRPr="009A3C86">
        <w:rPr>
          <w:rFonts w:ascii="Times New Roman" w:hAnsi="Times New Roman"/>
          <w:bCs/>
          <w:sz w:val="24"/>
          <w:szCs w:val="24"/>
        </w:rPr>
        <w:t>dni od</w:t>
      </w:r>
      <w:r w:rsidRPr="009A3C86">
        <w:rPr>
          <w:rFonts w:ascii="Times New Roman" w:hAnsi="Times New Roman"/>
          <w:sz w:val="24"/>
          <w:szCs w:val="24"/>
        </w:rPr>
        <w:t xml:space="preserve"> złożenia wniosku o stwierdzenie nadpłaty, gdy nadpłata wynika z prawomocnego orzeczenia sądu administracyjnego stwierdzającego nieważność w całości lub w części aktu prawa miejscowego organu jednostki samorządu terytorialnego,</w:t>
      </w:r>
      <w:r w:rsidRPr="009A3C86">
        <w:rPr>
          <w:rFonts w:ascii="Times New Roman" w:hAnsi="Times New Roman"/>
          <w:b/>
          <w:bCs/>
          <w:sz w:val="24"/>
          <w:szCs w:val="24"/>
        </w:rPr>
        <w:t xml:space="preserve"> </w:t>
      </w:r>
      <w:r w:rsidRPr="009A3C86">
        <w:rPr>
          <w:rFonts w:ascii="Times New Roman" w:hAnsi="Times New Roman"/>
          <w:sz w:val="24"/>
          <w:szCs w:val="24"/>
        </w:rPr>
        <w:t>a jeżeli wniosek ten został złożony przed terminem</w:t>
      </w:r>
      <w:r w:rsidRPr="009A3C86">
        <w:rPr>
          <w:rFonts w:ascii="Times New Roman" w:hAnsi="Times New Roman"/>
          <w:b/>
          <w:bCs/>
          <w:sz w:val="24"/>
          <w:szCs w:val="24"/>
        </w:rPr>
        <w:t xml:space="preserve"> </w:t>
      </w:r>
      <w:r w:rsidRPr="009A3C86">
        <w:rPr>
          <w:rFonts w:ascii="Times New Roman" w:hAnsi="Times New Roman"/>
          <w:bCs/>
          <w:sz w:val="24"/>
          <w:szCs w:val="24"/>
        </w:rPr>
        <w:t>uprawomocnienia się</w:t>
      </w:r>
      <w:r w:rsidRPr="009A3C86">
        <w:rPr>
          <w:rFonts w:ascii="Times New Roman" w:hAnsi="Times New Roman"/>
          <w:b/>
          <w:bCs/>
          <w:sz w:val="24"/>
          <w:szCs w:val="24"/>
        </w:rPr>
        <w:t xml:space="preserve"> </w:t>
      </w:r>
      <w:r w:rsidRPr="009A3C86">
        <w:rPr>
          <w:rFonts w:ascii="Times New Roman" w:hAnsi="Times New Roman"/>
          <w:sz w:val="24"/>
          <w:szCs w:val="24"/>
        </w:rPr>
        <w:t>orzeczenia w tej sprawie, termin ten liczy się od dnia</w:t>
      </w:r>
      <w:r w:rsidRPr="009A3C86">
        <w:rPr>
          <w:rFonts w:ascii="Times New Roman" w:hAnsi="Times New Roman"/>
          <w:b/>
          <w:bCs/>
          <w:sz w:val="24"/>
          <w:szCs w:val="24"/>
        </w:rPr>
        <w:t xml:space="preserve"> </w:t>
      </w:r>
      <w:r w:rsidRPr="009A3C86">
        <w:rPr>
          <w:rFonts w:ascii="Times New Roman" w:hAnsi="Times New Roman"/>
          <w:bCs/>
          <w:sz w:val="24"/>
          <w:szCs w:val="24"/>
        </w:rPr>
        <w:t xml:space="preserve">uprawomocnienia się tego </w:t>
      </w:r>
      <w:r w:rsidRPr="009A3C86">
        <w:rPr>
          <w:rFonts w:ascii="Times New Roman" w:hAnsi="Times New Roman"/>
          <w:sz w:val="24"/>
          <w:szCs w:val="24"/>
        </w:rPr>
        <w:t xml:space="preserve">orzeczenia.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1 pkt 6</w:t>
      </w:r>
      <w:r w:rsidRPr="009A3C86">
        <w:rPr>
          <w:rFonts w:ascii="Times New Roman" w:hAnsi="Times New Roman"/>
          <w:sz w:val="24"/>
          <w:szCs w:val="24"/>
        </w:rPr>
        <w:t xml:space="preserve"> stanowi, że nadpłata podlega zwrotowi w terminie 30 </w:t>
      </w:r>
      <w:r w:rsidRPr="009A3C86">
        <w:rPr>
          <w:rFonts w:ascii="Times New Roman" w:hAnsi="Times New Roman"/>
          <w:bCs/>
          <w:sz w:val="24"/>
          <w:szCs w:val="24"/>
        </w:rPr>
        <w:t>dni od</w:t>
      </w:r>
      <w:r w:rsidRPr="009A3C86">
        <w:rPr>
          <w:rFonts w:ascii="Times New Roman" w:hAnsi="Times New Roman"/>
          <w:sz w:val="24"/>
          <w:szCs w:val="24"/>
        </w:rPr>
        <w:t xml:space="preserve"> upływu terminu do wniesienia sprzeciwu, o którym mowa w </w:t>
      </w:r>
      <w:r w:rsidRPr="009A3C86">
        <w:rPr>
          <w:rFonts w:ascii="Times New Roman" w:hAnsi="Times New Roman"/>
          <w:bCs/>
          <w:sz w:val="24"/>
          <w:szCs w:val="24"/>
        </w:rPr>
        <w:t>art. 6</w:t>
      </w:r>
      <w:r w:rsidR="00EA63D2" w:rsidRPr="009A3C86">
        <w:rPr>
          <w:rFonts w:ascii="Times New Roman" w:hAnsi="Times New Roman"/>
          <w:bCs/>
          <w:sz w:val="24"/>
          <w:szCs w:val="24"/>
        </w:rPr>
        <w:t>57</w:t>
      </w:r>
      <w:r w:rsidRPr="009A3C86">
        <w:rPr>
          <w:rFonts w:ascii="Times New Roman" w:hAnsi="Times New Roman"/>
          <w:bCs/>
          <w:sz w:val="24"/>
          <w:szCs w:val="24"/>
        </w:rPr>
        <w:t xml:space="preserve"> </w:t>
      </w:r>
      <w:r w:rsidRPr="009A3C86">
        <w:rPr>
          <w:rFonts w:ascii="Times New Roman" w:hAnsi="Times New Roman"/>
          <w:sz w:val="24"/>
          <w:szCs w:val="24"/>
        </w:rPr>
        <w:t>§ 4</w:t>
      </w:r>
      <w:r w:rsidRPr="009A3C86">
        <w:rPr>
          <w:rFonts w:ascii="Times New Roman" w:hAnsi="Times New Roman"/>
          <w:bCs/>
          <w:sz w:val="24"/>
          <w:szCs w:val="24"/>
        </w:rPr>
        <w:t>.</w:t>
      </w:r>
      <w:r w:rsidRPr="009A3C86">
        <w:rPr>
          <w:rFonts w:ascii="Times New Roman" w:hAnsi="Times New Roman"/>
          <w:sz w:val="24"/>
          <w:szCs w:val="24"/>
        </w:rPr>
        <w:t xml:space="preserve"> Regulacja ta stanowi odpowiednik art. 77 § 2 pkt 1 o.p., z tym że skrócono termin na zwrot tej nadpłaty z 3 miesięcy do 30 dni od dnia upływu terminu do wniesienia sprzeciwu.</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2E618F" w:rsidRPr="009A3C86">
        <w:rPr>
          <w:rFonts w:ascii="Times New Roman" w:hAnsi="Times New Roman"/>
          <w:b/>
          <w:sz w:val="24"/>
          <w:szCs w:val="24"/>
        </w:rPr>
        <w:t>14</w:t>
      </w:r>
      <w:r w:rsidRPr="009A3C86">
        <w:rPr>
          <w:rFonts w:ascii="Times New Roman" w:hAnsi="Times New Roman"/>
          <w:b/>
          <w:sz w:val="24"/>
          <w:szCs w:val="24"/>
        </w:rPr>
        <w:t xml:space="preserve"> § 2</w:t>
      </w:r>
      <w:r w:rsidRPr="009A3C86">
        <w:rPr>
          <w:rFonts w:ascii="Times New Roman" w:hAnsi="Times New Roman"/>
          <w:sz w:val="24"/>
          <w:szCs w:val="24"/>
        </w:rPr>
        <w:t xml:space="preserve"> stanowi, że nadpłata podlega zwrotowi w terminie 3 miesięcy od dnia złożenia wniosku o stwierdzenie nadpłaty, chyba że organ wydaje decyzję stwierdzającą nadpłatę</w:t>
      </w:r>
      <w:r w:rsidRPr="009A3C86">
        <w:rPr>
          <w:rFonts w:ascii="Times New Roman" w:hAnsi="Times New Roman"/>
          <w:bCs/>
          <w:sz w:val="24"/>
          <w:szCs w:val="24"/>
        </w:rPr>
        <w:t xml:space="preserve">. W tym przypadku </w:t>
      </w:r>
      <w:r w:rsidRPr="009A3C86">
        <w:rPr>
          <w:rFonts w:ascii="Times New Roman" w:hAnsi="Times New Roman"/>
          <w:sz w:val="24"/>
          <w:szCs w:val="24"/>
        </w:rPr>
        <w:t>nadpłata podlega zwrotowi w terminie 30 dni od dnia wydania tej decyzji</w:t>
      </w:r>
      <w:r w:rsidRPr="009A3C86">
        <w:rPr>
          <w:rFonts w:ascii="Times New Roman" w:hAnsi="Times New Roman"/>
          <w:bCs/>
          <w:sz w:val="24"/>
          <w:szCs w:val="24"/>
        </w:rPr>
        <w:t>. W przepisie tym jest mowa o wniosku o stwierdzenie nadpłaty określonym w art. 1</w:t>
      </w:r>
      <w:r w:rsidR="008E1295" w:rsidRPr="009A3C86">
        <w:rPr>
          <w:rFonts w:ascii="Times New Roman" w:hAnsi="Times New Roman"/>
          <w:bCs/>
          <w:sz w:val="24"/>
          <w:szCs w:val="24"/>
        </w:rPr>
        <w:t>89</w:t>
      </w:r>
      <w:r w:rsidRPr="009A3C86">
        <w:rPr>
          <w:rFonts w:ascii="Times New Roman" w:hAnsi="Times New Roman"/>
          <w:bCs/>
          <w:sz w:val="24"/>
          <w:szCs w:val="24"/>
        </w:rPr>
        <w:t>. Jeśli organ podatkowy będzie wydawał decyzje stwierdzające nadpłatę, o których mowa w art.</w:t>
      </w:r>
      <w:r w:rsidRPr="009A3C86">
        <w:rPr>
          <w:rFonts w:ascii="Times New Roman" w:hAnsi="Times New Roman"/>
          <w:b/>
          <w:bCs/>
          <w:sz w:val="24"/>
          <w:szCs w:val="24"/>
        </w:rPr>
        <w:t xml:space="preserve"> </w:t>
      </w:r>
      <w:r w:rsidRPr="009A3C86">
        <w:rPr>
          <w:rFonts w:ascii="Times New Roman" w:hAnsi="Times New Roman"/>
          <w:bCs/>
          <w:sz w:val="24"/>
          <w:szCs w:val="24"/>
        </w:rPr>
        <w:t>19</w:t>
      </w:r>
      <w:r w:rsidR="008E1295" w:rsidRPr="009A3C86">
        <w:rPr>
          <w:rFonts w:ascii="Times New Roman" w:hAnsi="Times New Roman"/>
          <w:bCs/>
          <w:sz w:val="24"/>
          <w:szCs w:val="24"/>
        </w:rPr>
        <w:t>1</w:t>
      </w:r>
      <w:r w:rsidRPr="009A3C86">
        <w:rPr>
          <w:rFonts w:ascii="Times New Roman" w:hAnsi="Times New Roman"/>
          <w:bCs/>
          <w:sz w:val="24"/>
          <w:szCs w:val="24"/>
        </w:rPr>
        <w:t>-</w:t>
      </w:r>
      <w:r w:rsidR="008E1295" w:rsidRPr="009A3C86">
        <w:rPr>
          <w:rFonts w:ascii="Times New Roman" w:hAnsi="Times New Roman"/>
          <w:bCs/>
          <w:sz w:val="24"/>
          <w:szCs w:val="24"/>
        </w:rPr>
        <w:t>19</w:t>
      </w:r>
      <w:r w:rsidR="002E618F" w:rsidRPr="009A3C86">
        <w:rPr>
          <w:rFonts w:ascii="Times New Roman" w:hAnsi="Times New Roman"/>
          <w:bCs/>
          <w:sz w:val="24"/>
          <w:szCs w:val="24"/>
        </w:rPr>
        <w:t>6</w:t>
      </w:r>
      <w:r w:rsidRPr="009A3C86">
        <w:rPr>
          <w:rFonts w:ascii="Times New Roman" w:hAnsi="Times New Roman"/>
          <w:bCs/>
          <w:sz w:val="24"/>
          <w:szCs w:val="24"/>
        </w:rPr>
        <w:t>, termin do zwrotu nadpłaty jest liczony od dnia wydania takiej decyzji. Przepis art</w:t>
      </w:r>
      <w:r w:rsidRPr="009A3C86">
        <w:rPr>
          <w:rFonts w:ascii="Times New Roman" w:hAnsi="Times New Roman"/>
          <w:b/>
          <w:bCs/>
          <w:sz w:val="24"/>
          <w:szCs w:val="24"/>
        </w:rPr>
        <w:t xml:space="preserve">. </w:t>
      </w:r>
      <w:r w:rsidR="002C0F46" w:rsidRPr="009A3C86">
        <w:rPr>
          <w:rFonts w:ascii="Times New Roman" w:hAnsi="Times New Roman"/>
          <w:bCs/>
          <w:sz w:val="24"/>
          <w:szCs w:val="24"/>
        </w:rPr>
        <w:t>214</w:t>
      </w:r>
      <w:r w:rsidRPr="009A3C86">
        <w:rPr>
          <w:rFonts w:ascii="Times New Roman" w:hAnsi="Times New Roman"/>
          <w:bCs/>
          <w:sz w:val="24"/>
          <w:szCs w:val="24"/>
        </w:rPr>
        <w:t xml:space="preserve"> </w:t>
      </w:r>
      <w:r w:rsidRPr="009A3C86">
        <w:rPr>
          <w:rFonts w:ascii="Times New Roman" w:hAnsi="Times New Roman"/>
          <w:sz w:val="24"/>
          <w:szCs w:val="24"/>
        </w:rPr>
        <w:t xml:space="preserve">§ </w:t>
      </w:r>
      <w:r w:rsidRPr="009A3C86">
        <w:rPr>
          <w:rFonts w:ascii="Times New Roman" w:hAnsi="Times New Roman"/>
          <w:bCs/>
          <w:sz w:val="24"/>
          <w:szCs w:val="24"/>
        </w:rPr>
        <w:t xml:space="preserve">2 będzie miał zastosowanie z zastrzeżeniem </w:t>
      </w:r>
      <w:r w:rsidRPr="009A3C86">
        <w:rPr>
          <w:rFonts w:ascii="Times New Roman" w:hAnsi="Times New Roman"/>
          <w:sz w:val="24"/>
          <w:szCs w:val="24"/>
        </w:rPr>
        <w:t xml:space="preserve">§ 1 </w:t>
      </w:r>
      <w:r w:rsidRPr="009A3C86">
        <w:rPr>
          <w:rFonts w:ascii="Times New Roman" w:hAnsi="Times New Roman"/>
          <w:bCs/>
          <w:sz w:val="24"/>
          <w:szCs w:val="24"/>
        </w:rPr>
        <w:t>pkt 3-5, gdzie termin zwrotu będzie liczony od dnia złożenia wniosku o stwierdzenie nadpłaty. Termin na zwrot nadpłaty nie powinien być bowiem w tych przypadkach związany z wydaniem decyzji w sprawie nadpłaty, gdyż te sytuacje powstania nadpłaty nie budzą wątpliwości np. gdy nadpłata wynika z orzeczenie TK i nie powinny być przedmiotem postępowania skomplikowanego postępowania wyjaśniającego.</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2</w:t>
      </w:r>
      <w:r w:rsidR="002C0F46" w:rsidRPr="009A3C86">
        <w:rPr>
          <w:rFonts w:ascii="Times New Roman" w:hAnsi="Times New Roman"/>
          <w:b/>
          <w:sz w:val="24"/>
          <w:szCs w:val="24"/>
        </w:rPr>
        <w:t>15</w:t>
      </w:r>
      <w:r w:rsidRPr="009A3C86">
        <w:rPr>
          <w:rFonts w:ascii="Times New Roman" w:hAnsi="Times New Roman"/>
          <w:sz w:val="24"/>
          <w:szCs w:val="24"/>
        </w:rPr>
        <w:t xml:space="preserve"> stanowi, że w przypadku niewydania nowej decyzji, o której mowa w art. 2</w:t>
      </w:r>
      <w:r w:rsidR="002C0F46" w:rsidRPr="009A3C86">
        <w:rPr>
          <w:rFonts w:ascii="Times New Roman" w:hAnsi="Times New Roman"/>
          <w:sz w:val="24"/>
          <w:szCs w:val="24"/>
        </w:rPr>
        <w:t>14</w:t>
      </w:r>
      <w:r w:rsidRPr="009A3C86">
        <w:rPr>
          <w:rFonts w:ascii="Times New Roman" w:hAnsi="Times New Roman"/>
          <w:sz w:val="24"/>
          <w:szCs w:val="24"/>
        </w:rPr>
        <w:t xml:space="preserve"> § 1 pkt 1, w terminie 3 miesięcy od dnia uchylenia decyzji albo stwierdzenia jej nieważności przez organ podatkowy lub od dnia doręczenia organowi podatkowemu odpisu </w:t>
      </w:r>
      <w:r w:rsidRPr="009A3C86">
        <w:rPr>
          <w:rFonts w:ascii="Times New Roman" w:hAnsi="Times New Roman"/>
          <w:sz w:val="24"/>
          <w:szCs w:val="24"/>
        </w:rPr>
        <w:lastRenderedPageBreak/>
        <w:t>orzeczenia sądu administracyjnego ze stwierdzeniem jego prawomocności, uchylającego decyzję albo stwierdzającego jej nieważność́, nadpłata stanowiąca kwotę̨ wpłaconą na podstawie decyzji uchylonej albo decyzji, której nieważność́ stwierdzono, podlega zwrotowi bez zbędnej zwłoki</w:t>
      </w:r>
      <w:r w:rsidRPr="009A3C86">
        <w:rPr>
          <w:rFonts w:ascii="Times New Roman" w:hAnsi="Times New Roman"/>
          <w:kern w:val="3"/>
          <w:sz w:val="24"/>
          <w:szCs w:val="24"/>
          <w:lang w:eastAsia="zh-CN"/>
        </w:rPr>
        <w:t>, jednak nie później niż w terminie 14 dni od dnia upływu terminu 3 miesięcy, o którym mowa wyżej</w:t>
      </w:r>
      <w:r w:rsidRPr="009A3C86">
        <w:rPr>
          <w:rFonts w:ascii="Times New Roman" w:hAnsi="Times New Roman"/>
          <w:sz w:val="24"/>
          <w:szCs w:val="24"/>
        </w:rPr>
        <w:t>. Przekroczenie tego 14-dniowego terminu będzie powodować naliczane oprocentowanie nadpłaty z uwagi na art. 2</w:t>
      </w:r>
      <w:r w:rsidR="002C0F46" w:rsidRPr="009A3C86">
        <w:rPr>
          <w:rFonts w:ascii="Times New Roman" w:hAnsi="Times New Roman"/>
          <w:sz w:val="24"/>
          <w:szCs w:val="24"/>
        </w:rPr>
        <w:t>20</w:t>
      </w:r>
      <w:r w:rsidRPr="009A3C86">
        <w:rPr>
          <w:rFonts w:ascii="Times New Roman" w:hAnsi="Times New Roman"/>
          <w:sz w:val="24"/>
          <w:szCs w:val="24"/>
        </w:rPr>
        <w:t xml:space="preserve"> pkt 2 w zw. z art. 2</w:t>
      </w:r>
      <w:r w:rsidR="002C0F46" w:rsidRPr="009A3C86">
        <w:rPr>
          <w:rFonts w:ascii="Times New Roman" w:hAnsi="Times New Roman"/>
          <w:sz w:val="24"/>
          <w:szCs w:val="24"/>
        </w:rPr>
        <w:t>23</w:t>
      </w:r>
      <w:r w:rsidRPr="009A3C86">
        <w:rPr>
          <w:rFonts w:ascii="Times New Roman" w:hAnsi="Times New Roman"/>
          <w:sz w:val="24"/>
          <w:szCs w:val="24"/>
        </w:rPr>
        <w:t xml:space="preserve"> pkt 1. Będzie ono należne w ww. okolicznościach, gdy do powstania przesłanki zmiany lub uchylenia decyzji przyczynił się uprawniony do nadpłaty lub jego przedstawiciel, ale tylko gdy organ nie wydał decyzji w </w:t>
      </w:r>
      <w:r w:rsidRPr="009A3C86">
        <w:rPr>
          <w:rFonts w:ascii="Times New Roman" w:hAnsi="Times New Roman"/>
          <w:kern w:val="3"/>
          <w:sz w:val="24"/>
          <w:szCs w:val="24"/>
          <w:lang w:eastAsia="zh-CN"/>
        </w:rPr>
        <w:t>terminie 3 miesięcy, o którym mowa wyżej</w:t>
      </w:r>
      <w:r w:rsidRPr="009A3C86">
        <w:rPr>
          <w:rFonts w:ascii="Times New Roman" w:hAnsi="Times New Roman"/>
          <w:sz w:val="24"/>
          <w:szCs w:val="24"/>
        </w:rPr>
        <w:t>. Co do zasady, zgodnie z art. 2</w:t>
      </w:r>
      <w:r w:rsidR="002C0F46" w:rsidRPr="009A3C86">
        <w:rPr>
          <w:rFonts w:ascii="Times New Roman" w:hAnsi="Times New Roman"/>
          <w:sz w:val="24"/>
          <w:szCs w:val="24"/>
        </w:rPr>
        <w:t>20</w:t>
      </w:r>
      <w:r w:rsidRPr="009A3C86">
        <w:rPr>
          <w:rFonts w:ascii="Times New Roman" w:hAnsi="Times New Roman"/>
          <w:sz w:val="24"/>
          <w:szCs w:val="24"/>
        </w:rPr>
        <w:t xml:space="preserve"> pkt 1 oprocentowanie nadpłaty jest należne </w:t>
      </w:r>
      <w:r w:rsidRPr="009A3C86">
        <w:rPr>
          <w:rFonts w:ascii="Times New Roman" w:hAnsi="Times New Roman"/>
          <w:bCs/>
          <w:sz w:val="24"/>
          <w:szCs w:val="24"/>
        </w:rPr>
        <w:t xml:space="preserve">już od </w:t>
      </w:r>
      <w:r w:rsidRPr="009A3C86">
        <w:rPr>
          <w:rFonts w:ascii="Times New Roman" w:hAnsi="Times New Roman"/>
          <w:sz w:val="24"/>
          <w:szCs w:val="24"/>
        </w:rPr>
        <w:t>dnia powstania nadpłaty, jeżeli wynika ona z uchylenia lub</w:t>
      </w:r>
      <w:r w:rsidRPr="009A3C86">
        <w:rPr>
          <w:rFonts w:ascii="Times New Roman" w:hAnsi="Times New Roman"/>
          <w:i/>
          <w:sz w:val="24"/>
          <w:szCs w:val="24"/>
        </w:rPr>
        <w:t xml:space="preserve"> </w:t>
      </w:r>
      <w:r w:rsidRPr="009A3C86">
        <w:rPr>
          <w:rFonts w:ascii="Times New Roman" w:hAnsi="Times New Roman"/>
          <w:sz w:val="24"/>
          <w:szCs w:val="24"/>
        </w:rPr>
        <w:t>zmiany decyzji albo stwierdzenia jej nieważności. Nie przysługuje ono jednak zgodnie z art. 2</w:t>
      </w:r>
      <w:r w:rsidR="002C0F46" w:rsidRPr="009A3C86">
        <w:rPr>
          <w:rFonts w:ascii="Times New Roman" w:hAnsi="Times New Roman"/>
          <w:sz w:val="24"/>
          <w:szCs w:val="24"/>
        </w:rPr>
        <w:t>23</w:t>
      </w:r>
      <w:r w:rsidRPr="009A3C86">
        <w:rPr>
          <w:rFonts w:ascii="Times New Roman" w:hAnsi="Times New Roman"/>
          <w:sz w:val="24"/>
          <w:szCs w:val="24"/>
        </w:rPr>
        <w:t xml:space="preserve"> pkt 1, jeżeli do powstania przesłanki zmiany lub uchylenia decyzji przyczynił się uprawniony do nadpłaty lub jego przedstawiciel. Przepis art. 2</w:t>
      </w:r>
      <w:r w:rsidR="002C0F46" w:rsidRPr="009A3C86">
        <w:rPr>
          <w:rFonts w:ascii="Times New Roman" w:hAnsi="Times New Roman"/>
          <w:sz w:val="24"/>
          <w:szCs w:val="24"/>
        </w:rPr>
        <w:t>15</w:t>
      </w:r>
      <w:r w:rsidRPr="009A3C86">
        <w:rPr>
          <w:rFonts w:ascii="Times New Roman" w:hAnsi="Times New Roman"/>
          <w:sz w:val="24"/>
          <w:szCs w:val="24"/>
        </w:rPr>
        <w:t xml:space="preserve"> ten stanowi odpowiednik art. 77 § 4 o.p. Modyfikacja wprowadzona polega na dodaniu 14. dniowego terminu, o którym mowa wyżej.</w:t>
      </w:r>
    </w:p>
    <w:p w:rsidR="00326528" w:rsidRPr="009A3C86" w:rsidRDefault="00326528" w:rsidP="00326528">
      <w:pPr>
        <w:widowControl w:val="0"/>
        <w:tabs>
          <w:tab w:val="left" w:pos="220"/>
          <w:tab w:val="left" w:pos="720"/>
        </w:tabs>
        <w:autoSpaceDE w:val="0"/>
        <w:autoSpaceDN w:val="0"/>
        <w:adjustRightInd w:val="0"/>
        <w:spacing w:after="0" w:line="360" w:lineRule="auto"/>
        <w:jc w:val="both"/>
        <w:rPr>
          <w:rFonts w:ascii="Times New Roman" w:hAnsi="Times New Roman"/>
          <w:bCs/>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art. 2</w:t>
      </w:r>
      <w:r w:rsidR="002C0F46" w:rsidRPr="009A3C86">
        <w:rPr>
          <w:rFonts w:ascii="Times New Roman" w:hAnsi="Times New Roman"/>
          <w:b/>
          <w:sz w:val="24"/>
          <w:szCs w:val="24"/>
        </w:rPr>
        <w:t>16</w:t>
      </w:r>
      <w:r w:rsidRPr="009A3C86">
        <w:rPr>
          <w:rFonts w:ascii="Times New Roman" w:hAnsi="Times New Roman"/>
          <w:sz w:val="24"/>
          <w:szCs w:val="24"/>
        </w:rPr>
        <w:t xml:space="preserve"> stanowi, że nadpłatę wynikającą z zaliczek, tj. powstałą z dokonania wpłat w wysokości wyższej od należnych zaliczek, zwraca się po zakończeniu okresu, za który rozlicza się podatek. </w:t>
      </w:r>
      <w:r w:rsidRPr="009A3C86">
        <w:rPr>
          <w:rFonts w:ascii="Times New Roman" w:hAnsi="Times New Roman"/>
          <w:bCs/>
          <w:sz w:val="24"/>
          <w:szCs w:val="24"/>
        </w:rPr>
        <w:t xml:space="preserve">Regulacja ta stanowi zmodyfikowany odpowiednik art. </w:t>
      </w:r>
      <w:r w:rsidRPr="009A3C86">
        <w:rPr>
          <w:rFonts w:ascii="Times New Roman" w:hAnsi="Times New Roman"/>
          <w:sz w:val="24"/>
          <w:szCs w:val="24"/>
        </w:rPr>
        <w:t>76c o.p.</w:t>
      </w:r>
      <w:r w:rsidRPr="009A3C86">
        <w:rPr>
          <w:rFonts w:ascii="Times New Roman" w:hAnsi="Times New Roman"/>
          <w:bCs/>
          <w:sz w:val="24"/>
          <w:szCs w:val="24"/>
        </w:rPr>
        <w:t xml:space="preserve"> W art. 76c dodatkowo była mowa o tym, że </w:t>
      </w:r>
      <w:r w:rsidRPr="009A3C86">
        <w:rPr>
          <w:rFonts w:ascii="Times New Roman" w:hAnsi="Times New Roman"/>
          <w:sz w:val="24"/>
          <w:szCs w:val="24"/>
        </w:rPr>
        <w:t>jeżeli jednak nadpłata wynika z decyzji stwierdzającej nadpłatę, zwrot nadpłaty następuje w terminie 30 dni od dnia wydania tej decyzji. W projekcie art. 2</w:t>
      </w:r>
      <w:r w:rsidR="002C0F46" w:rsidRPr="009A3C86">
        <w:rPr>
          <w:rFonts w:ascii="Times New Roman" w:hAnsi="Times New Roman"/>
          <w:sz w:val="24"/>
          <w:szCs w:val="24"/>
        </w:rPr>
        <w:t>16</w:t>
      </w:r>
      <w:r w:rsidRPr="009A3C86">
        <w:rPr>
          <w:rFonts w:ascii="Times New Roman" w:hAnsi="Times New Roman"/>
          <w:sz w:val="24"/>
          <w:szCs w:val="24"/>
        </w:rPr>
        <w:t xml:space="preserve"> sformułowania tego nie wprowadzono. Zgodnie bowiem z art.</w:t>
      </w:r>
      <w:r w:rsidRPr="009A3C86">
        <w:rPr>
          <w:rFonts w:ascii="Times New Roman" w:hAnsi="Times New Roman"/>
          <w:b/>
          <w:sz w:val="24"/>
          <w:szCs w:val="24"/>
        </w:rPr>
        <w:t> </w:t>
      </w:r>
      <w:r w:rsidRPr="009A3C86">
        <w:rPr>
          <w:rFonts w:ascii="Times New Roman" w:hAnsi="Times New Roman"/>
          <w:sz w:val="24"/>
          <w:szCs w:val="24"/>
        </w:rPr>
        <w:t>2</w:t>
      </w:r>
      <w:r w:rsidR="002C0F46" w:rsidRPr="009A3C86">
        <w:rPr>
          <w:rFonts w:ascii="Times New Roman" w:hAnsi="Times New Roman"/>
          <w:sz w:val="24"/>
          <w:szCs w:val="24"/>
        </w:rPr>
        <w:t>14</w:t>
      </w:r>
      <w:r w:rsidRPr="009A3C86">
        <w:rPr>
          <w:rFonts w:ascii="Times New Roman" w:hAnsi="Times New Roman"/>
          <w:sz w:val="24"/>
          <w:szCs w:val="24"/>
        </w:rPr>
        <w:t xml:space="preserve"> § 2</w:t>
      </w:r>
      <w:r w:rsidRPr="009A3C86">
        <w:rPr>
          <w:rFonts w:ascii="Times New Roman" w:hAnsi="Times New Roman"/>
          <w:b/>
          <w:sz w:val="24"/>
          <w:szCs w:val="24"/>
        </w:rPr>
        <w:t xml:space="preserve"> </w:t>
      </w:r>
      <w:r w:rsidRPr="009A3C86">
        <w:rPr>
          <w:rFonts w:ascii="Times New Roman" w:hAnsi="Times New Roman"/>
          <w:sz w:val="24"/>
          <w:szCs w:val="24"/>
        </w:rPr>
        <w:t>nadpłata podlega zwrotowi w terminie 3 miesięcy od dnia złożenia wniosku o stwierdzenie nadpłaty, chyba że organ wydaje decyzję stwierdzającą nadpłatę - w tym przypadku termin ten liczy się od dnia wydania tej decyzji, z zastrzeżeniem § 1 pkt 3-5.</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art. 2</w:t>
      </w:r>
      <w:r w:rsidR="002C0F46" w:rsidRPr="009A3C86">
        <w:rPr>
          <w:rFonts w:ascii="Times New Roman" w:hAnsi="Times New Roman"/>
          <w:b/>
          <w:sz w:val="24"/>
          <w:szCs w:val="24"/>
        </w:rPr>
        <w:t>17</w:t>
      </w:r>
      <w:r w:rsidRPr="009A3C86">
        <w:rPr>
          <w:rFonts w:ascii="Times New Roman" w:hAnsi="Times New Roman"/>
          <w:sz w:val="24"/>
          <w:szCs w:val="24"/>
        </w:rPr>
        <w:t xml:space="preserve"> stanowi, że nadpłata podlega zwrotowi w terminie 3 miesięcy od dnia złożenia deklaracji, w której zobowiązany ją określił. W przypadku skorygowania tej deklaracji zwrot nadpłaty następuje w terminie 2 miesięcy od dnia złożenia wniosku o stwierdzenie nadpłaty, nie wcześniej jednak niż w terminie 3 miesięcy od dnia złożenia deklaracji. Jeżeli jednak nadpłata wynika z decyzji stwierdzającej nadpłatę, zwrot nadpłaty następuje w terminie 30 dni od dnia wydania tej decyzji.</w:t>
      </w:r>
      <w:r w:rsidRPr="009A3C86">
        <w:rPr>
          <w:rFonts w:ascii="Times New Roman" w:hAnsi="Times New Roman"/>
          <w:bCs/>
          <w:sz w:val="24"/>
          <w:szCs w:val="24"/>
        </w:rPr>
        <w:t xml:space="preserve"> </w:t>
      </w:r>
      <w:r w:rsidRPr="009A3C86">
        <w:rPr>
          <w:rFonts w:ascii="Times New Roman" w:hAnsi="Times New Roman"/>
          <w:sz w:val="24"/>
          <w:szCs w:val="24"/>
        </w:rPr>
        <w:t xml:space="preserve">Regulacja ta stanowi odpowiednik </w:t>
      </w:r>
      <w:r w:rsidRPr="009A3C86">
        <w:rPr>
          <w:rFonts w:ascii="Times New Roman" w:hAnsi="Times New Roman"/>
          <w:bCs/>
          <w:sz w:val="24"/>
          <w:szCs w:val="24"/>
        </w:rPr>
        <w:t xml:space="preserve">art. 77 </w:t>
      </w:r>
      <w:r w:rsidRPr="009A3C86">
        <w:rPr>
          <w:rFonts w:ascii="Times New Roman" w:hAnsi="Times New Roman"/>
          <w:sz w:val="24"/>
          <w:szCs w:val="24"/>
        </w:rPr>
        <w:t xml:space="preserve">§ 1 pkt 5 i 6 o.p., z tym że w przypadku skorygowania tej deklaracji skrócono okres na zwrot nadpłaty z 2 miesięcy do 30 dni od dnia złożenia wniosku o stwierdzenie nadpłaty. Podkreślono, że jeżeli organ wyda decyzję w sprawie nadpłaty, zwrotu należy dokonać w terminie 30 dni od dnia wydania tej decyzji. </w:t>
      </w:r>
    </w:p>
    <w:p w:rsidR="00326528" w:rsidRPr="009A3C86" w:rsidRDefault="00326528" w:rsidP="00D72E74">
      <w:pPr>
        <w:spacing w:after="120" w:line="360" w:lineRule="auto"/>
        <w:jc w:val="both"/>
        <w:rPr>
          <w:rFonts w:ascii="Times New Roman" w:hAnsi="Times New Roman"/>
          <w:sz w:val="24"/>
          <w:szCs w:val="24"/>
        </w:rPr>
      </w:pPr>
      <w:r w:rsidRPr="009A3C86">
        <w:rPr>
          <w:rFonts w:ascii="Times New Roman" w:hAnsi="Times New Roman"/>
          <w:sz w:val="24"/>
          <w:szCs w:val="24"/>
        </w:rPr>
        <w:lastRenderedPageBreak/>
        <w:t xml:space="preserve">6. Przepis </w:t>
      </w:r>
      <w:r w:rsidRPr="009A3C86">
        <w:rPr>
          <w:rFonts w:ascii="Times New Roman" w:hAnsi="Times New Roman"/>
          <w:b/>
          <w:sz w:val="24"/>
          <w:szCs w:val="24"/>
        </w:rPr>
        <w:t>art. 2</w:t>
      </w:r>
      <w:r w:rsidR="002C0F46" w:rsidRPr="009A3C86">
        <w:rPr>
          <w:rFonts w:ascii="Times New Roman" w:hAnsi="Times New Roman"/>
          <w:b/>
          <w:sz w:val="24"/>
          <w:szCs w:val="24"/>
        </w:rPr>
        <w:t>18</w:t>
      </w:r>
      <w:r w:rsidRPr="009A3C86">
        <w:rPr>
          <w:rFonts w:ascii="Times New Roman" w:hAnsi="Times New Roman"/>
          <w:sz w:val="24"/>
          <w:szCs w:val="24"/>
        </w:rPr>
        <w:t xml:space="preserve"> stanowi, że minister właściwy do spraw finansów publicznych może określić w drodze rozporządzania przypadki, w których zwrot nadpłaty następuje w terminie wcześniejszym, uwzględniając w szczególności przypadki wykazywania nadpłat we wnioskach lub deklaracjach składanych za pomocą środków komunikacji elektronicznej. </w:t>
      </w:r>
    </w:p>
    <w:p w:rsidR="00326528" w:rsidRPr="009A3C86" w:rsidRDefault="00326528" w:rsidP="00326528">
      <w:pPr>
        <w:keepNext/>
        <w:keepLines/>
        <w:spacing w:after="0" w:line="360" w:lineRule="auto"/>
        <w:jc w:val="both"/>
        <w:outlineLvl w:val="3"/>
        <w:rPr>
          <w:rFonts w:ascii="Times New Roman" w:eastAsia="Times New Roman" w:hAnsi="Times New Roman"/>
          <w:b/>
          <w:iCs/>
          <w:sz w:val="24"/>
          <w:szCs w:val="24"/>
        </w:rPr>
      </w:pPr>
      <w:bookmarkStart w:id="27" w:name="_Toc494363254"/>
      <w:r w:rsidRPr="009A3C86">
        <w:rPr>
          <w:rFonts w:ascii="Times New Roman" w:eastAsia="Times New Roman" w:hAnsi="Times New Roman"/>
          <w:b/>
          <w:iCs/>
          <w:sz w:val="24"/>
          <w:szCs w:val="24"/>
        </w:rPr>
        <w:t xml:space="preserve">Oddział </w:t>
      </w:r>
      <w:r w:rsidR="002C0F46" w:rsidRPr="009A3C86">
        <w:rPr>
          <w:rFonts w:ascii="Times New Roman" w:eastAsia="Times New Roman" w:hAnsi="Times New Roman"/>
          <w:b/>
          <w:iCs/>
          <w:sz w:val="24"/>
          <w:szCs w:val="24"/>
        </w:rPr>
        <w:t>8</w:t>
      </w:r>
      <w:r w:rsidRPr="009A3C86">
        <w:rPr>
          <w:rFonts w:ascii="Times New Roman" w:eastAsia="Times New Roman" w:hAnsi="Times New Roman"/>
          <w:b/>
          <w:iCs/>
          <w:sz w:val="24"/>
          <w:szCs w:val="24"/>
        </w:rPr>
        <w:t>. Oprocentowania nadpłaty</w:t>
      </w:r>
      <w:bookmarkEnd w:id="27"/>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1.W </w:t>
      </w:r>
      <w:r w:rsidRPr="009A3C86">
        <w:rPr>
          <w:rFonts w:ascii="Times New Roman" w:hAnsi="Times New Roman"/>
          <w:b/>
          <w:sz w:val="24"/>
          <w:szCs w:val="24"/>
        </w:rPr>
        <w:t>art. 2</w:t>
      </w:r>
      <w:r w:rsidR="002C0F46" w:rsidRPr="009A3C86">
        <w:rPr>
          <w:rFonts w:ascii="Times New Roman" w:hAnsi="Times New Roman"/>
          <w:b/>
          <w:sz w:val="24"/>
          <w:szCs w:val="24"/>
        </w:rPr>
        <w:t>19</w:t>
      </w:r>
      <w:r w:rsidRPr="009A3C86">
        <w:rPr>
          <w:rFonts w:ascii="Times New Roman" w:hAnsi="Times New Roman"/>
          <w:sz w:val="24"/>
          <w:szCs w:val="24"/>
        </w:rPr>
        <w:t xml:space="preserve"> określono regułę, zgodnie z którą </w:t>
      </w:r>
      <w:r w:rsidRPr="009A3C86">
        <w:rPr>
          <w:rFonts w:ascii="Times New Roman" w:hAnsi="Times New Roman"/>
          <w:bCs/>
          <w:sz w:val="24"/>
          <w:szCs w:val="24"/>
        </w:rPr>
        <w:t>n</w:t>
      </w:r>
      <w:r w:rsidRPr="009A3C86">
        <w:rPr>
          <w:rFonts w:ascii="Times New Roman" w:hAnsi="Times New Roman"/>
          <w:sz w:val="24"/>
          <w:szCs w:val="24"/>
        </w:rPr>
        <w:t>adpłata podlega oprocentowaniu w wysokości równej wysokości odsetek za zwłokę, o których mowa w art. 1</w:t>
      </w:r>
      <w:r w:rsidR="008E1295" w:rsidRPr="009A3C86">
        <w:rPr>
          <w:rFonts w:ascii="Times New Roman" w:hAnsi="Times New Roman"/>
          <w:sz w:val="24"/>
          <w:szCs w:val="24"/>
        </w:rPr>
        <w:t>6</w:t>
      </w:r>
      <w:r w:rsidR="00C66F5B" w:rsidRPr="009A3C86">
        <w:rPr>
          <w:rFonts w:ascii="Times New Roman" w:hAnsi="Times New Roman"/>
          <w:sz w:val="24"/>
          <w:szCs w:val="24"/>
        </w:rPr>
        <w:t>7</w:t>
      </w:r>
      <w:r w:rsidRPr="009A3C86">
        <w:rPr>
          <w:rFonts w:ascii="Times New Roman" w:hAnsi="Times New Roman"/>
          <w:sz w:val="24"/>
          <w:szCs w:val="24"/>
        </w:rPr>
        <w:t xml:space="preserve">, które pobierane są od zaległości podatkowych. W przepisach </w:t>
      </w:r>
      <w:r w:rsidRPr="009A3C86">
        <w:rPr>
          <w:rFonts w:ascii="Times New Roman" w:hAnsi="Times New Roman"/>
          <w:b/>
          <w:sz w:val="24"/>
          <w:szCs w:val="24"/>
        </w:rPr>
        <w:t>art. 2</w:t>
      </w:r>
      <w:r w:rsidR="002C0F46" w:rsidRPr="009A3C86">
        <w:rPr>
          <w:rFonts w:ascii="Times New Roman" w:hAnsi="Times New Roman"/>
          <w:b/>
          <w:sz w:val="24"/>
          <w:szCs w:val="24"/>
        </w:rPr>
        <w:t>20</w:t>
      </w:r>
      <w:r w:rsidRPr="009A3C86">
        <w:rPr>
          <w:rFonts w:ascii="Times New Roman" w:hAnsi="Times New Roman"/>
          <w:b/>
          <w:sz w:val="24"/>
          <w:szCs w:val="24"/>
        </w:rPr>
        <w:t xml:space="preserve"> i 2</w:t>
      </w:r>
      <w:r w:rsidR="002C0F46" w:rsidRPr="009A3C86">
        <w:rPr>
          <w:rFonts w:ascii="Times New Roman" w:hAnsi="Times New Roman"/>
          <w:b/>
          <w:sz w:val="24"/>
          <w:szCs w:val="24"/>
        </w:rPr>
        <w:t>21</w:t>
      </w:r>
      <w:r w:rsidRPr="009A3C86">
        <w:rPr>
          <w:rFonts w:ascii="Times New Roman" w:hAnsi="Times New Roman"/>
          <w:b/>
          <w:sz w:val="24"/>
          <w:szCs w:val="24"/>
        </w:rPr>
        <w:t xml:space="preserve"> </w:t>
      </w:r>
      <w:r w:rsidRPr="009A3C86">
        <w:rPr>
          <w:rFonts w:ascii="Times New Roman" w:hAnsi="Times New Roman"/>
          <w:sz w:val="24"/>
          <w:szCs w:val="24"/>
        </w:rPr>
        <w:t>określono zamknięty katalog sytuacji, w których przysługuje oprocentowanie nadpłat, a także uregulowano kwestię momentu, od którego ono przysługuje. Do tej pory obowiązujące przepisy dotyczące oprocentowania budziły wątpliwości m.in. co do przypadków, kiedy ono przysługuje</w:t>
      </w:r>
      <w:r w:rsidRPr="009A3C86">
        <w:rPr>
          <w:rFonts w:ascii="Times New Roman" w:hAnsi="Times New Roman"/>
          <w:sz w:val="24"/>
          <w:szCs w:val="24"/>
          <w:vertAlign w:val="superscript"/>
        </w:rPr>
        <w:footnoteReference w:id="265"/>
      </w:r>
      <w:r w:rsidRPr="009A3C86">
        <w:rPr>
          <w:rFonts w:ascii="Times New Roman" w:hAnsi="Times New Roman"/>
          <w:sz w:val="24"/>
          <w:szCs w:val="24"/>
        </w:rPr>
        <w:t xml:space="preserve">. </w:t>
      </w:r>
      <w:r w:rsidRPr="009A3C86">
        <w:rPr>
          <w:rFonts w:ascii="Times New Roman" w:hAnsi="Times New Roman"/>
          <w:b/>
          <w:sz w:val="24"/>
          <w:szCs w:val="24"/>
        </w:rPr>
        <w:t>Art. 2</w:t>
      </w:r>
      <w:r w:rsidR="002C0F46" w:rsidRPr="009A3C86">
        <w:rPr>
          <w:rFonts w:ascii="Times New Roman" w:hAnsi="Times New Roman"/>
          <w:b/>
          <w:sz w:val="24"/>
          <w:szCs w:val="24"/>
        </w:rPr>
        <w:t>22</w:t>
      </w:r>
      <w:r w:rsidRPr="009A3C86">
        <w:rPr>
          <w:rFonts w:ascii="Times New Roman" w:hAnsi="Times New Roman"/>
          <w:sz w:val="24"/>
          <w:szCs w:val="24"/>
        </w:rPr>
        <w:t xml:space="preserve"> określa moment, do którego przysługuje oprocentowanie z tytułu nadpłaty. W </w:t>
      </w:r>
      <w:r w:rsidRPr="009A3C86">
        <w:rPr>
          <w:rFonts w:ascii="Times New Roman" w:hAnsi="Times New Roman"/>
          <w:b/>
          <w:sz w:val="24"/>
          <w:szCs w:val="24"/>
        </w:rPr>
        <w:t>art. 2</w:t>
      </w:r>
      <w:r w:rsidR="002C0F46" w:rsidRPr="009A3C86">
        <w:rPr>
          <w:rFonts w:ascii="Times New Roman" w:hAnsi="Times New Roman"/>
          <w:b/>
          <w:sz w:val="24"/>
          <w:szCs w:val="24"/>
        </w:rPr>
        <w:t>23</w:t>
      </w:r>
      <w:r w:rsidRPr="009A3C86">
        <w:rPr>
          <w:rFonts w:ascii="Times New Roman" w:hAnsi="Times New Roman"/>
          <w:sz w:val="24"/>
          <w:szCs w:val="24"/>
        </w:rPr>
        <w:t xml:space="preserve"> uregulowano natomiast przypadki, w których oprocentowanie nie będzie należne bez względu na to, czy zostały one objęte art. 2</w:t>
      </w:r>
      <w:r w:rsidR="002C0F46" w:rsidRPr="009A3C86">
        <w:rPr>
          <w:rFonts w:ascii="Times New Roman" w:hAnsi="Times New Roman"/>
          <w:sz w:val="24"/>
          <w:szCs w:val="24"/>
        </w:rPr>
        <w:t>20</w:t>
      </w:r>
      <w:r w:rsidRPr="009A3C86">
        <w:rPr>
          <w:rFonts w:ascii="Times New Roman" w:hAnsi="Times New Roman"/>
          <w:sz w:val="24"/>
          <w:szCs w:val="24"/>
        </w:rPr>
        <w:t>-2</w:t>
      </w:r>
      <w:r w:rsidR="002C0F46" w:rsidRPr="009A3C86">
        <w:rPr>
          <w:rFonts w:ascii="Times New Roman" w:hAnsi="Times New Roman"/>
          <w:sz w:val="24"/>
          <w:szCs w:val="24"/>
        </w:rPr>
        <w:t>21</w:t>
      </w:r>
      <w:r w:rsidRPr="009A3C86">
        <w:rPr>
          <w:rFonts w:ascii="Times New Roman" w:hAnsi="Times New Roman"/>
          <w:sz w:val="24"/>
          <w:szCs w:val="24"/>
        </w:rPr>
        <w:t xml:space="preserve">. W </w:t>
      </w:r>
      <w:r w:rsidRPr="009A3C86">
        <w:rPr>
          <w:rFonts w:ascii="Times New Roman" w:hAnsi="Times New Roman"/>
          <w:b/>
          <w:sz w:val="24"/>
          <w:szCs w:val="24"/>
        </w:rPr>
        <w:t>art. 2</w:t>
      </w:r>
      <w:r w:rsidR="002C0F46" w:rsidRPr="009A3C86">
        <w:rPr>
          <w:rFonts w:ascii="Times New Roman" w:hAnsi="Times New Roman"/>
          <w:b/>
          <w:sz w:val="24"/>
          <w:szCs w:val="24"/>
        </w:rPr>
        <w:t>24</w:t>
      </w:r>
      <w:r w:rsidRPr="009A3C86">
        <w:rPr>
          <w:rFonts w:ascii="Times New Roman" w:hAnsi="Times New Roman"/>
          <w:sz w:val="24"/>
          <w:szCs w:val="24"/>
        </w:rPr>
        <w:t>wprowadzono uprawnienie do złożenia wniosku, którego celem jest umożliwienie podmiotowi wniesienie o weryfikację, czy przysługuje mu oprocentowanie nadpłaty w kontekście przesłanek powodujących powstanie oprocentowania na podstawie zarówno art. 2</w:t>
      </w:r>
      <w:r w:rsidR="002C0F46" w:rsidRPr="009A3C86">
        <w:rPr>
          <w:rFonts w:ascii="Times New Roman" w:hAnsi="Times New Roman"/>
          <w:sz w:val="24"/>
          <w:szCs w:val="24"/>
        </w:rPr>
        <w:t>20</w:t>
      </w:r>
      <w:r w:rsidRPr="009A3C86">
        <w:rPr>
          <w:rFonts w:ascii="Times New Roman" w:hAnsi="Times New Roman"/>
          <w:sz w:val="24"/>
          <w:szCs w:val="24"/>
        </w:rPr>
        <w:t>-2</w:t>
      </w:r>
      <w:r w:rsidR="002C0F46" w:rsidRPr="009A3C86">
        <w:rPr>
          <w:rFonts w:ascii="Times New Roman" w:hAnsi="Times New Roman"/>
          <w:sz w:val="24"/>
          <w:szCs w:val="24"/>
        </w:rPr>
        <w:t>21</w:t>
      </w:r>
      <w:r w:rsidRPr="009A3C86">
        <w:rPr>
          <w:rFonts w:ascii="Times New Roman" w:hAnsi="Times New Roman"/>
          <w:sz w:val="24"/>
          <w:szCs w:val="24"/>
        </w:rPr>
        <w:t>, jak i przepisu ograniczającego ich zastosowanie, tj. art. 2</w:t>
      </w:r>
      <w:r w:rsidR="002C0F46" w:rsidRPr="009A3C86">
        <w:rPr>
          <w:rFonts w:ascii="Times New Roman" w:hAnsi="Times New Roman"/>
          <w:sz w:val="24"/>
          <w:szCs w:val="24"/>
        </w:rPr>
        <w:t>23</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art. 2</w:t>
      </w:r>
      <w:r w:rsidR="00C66F5B" w:rsidRPr="009A3C86">
        <w:rPr>
          <w:rFonts w:ascii="Times New Roman" w:hAnsi="Times New Roman"/>
          <w:b/>
          <w:sz w:val="24"/>
          <w:szCs w:val="24"/>
        </w:rPr>
        <w:t>19</w:t>
      </w:r>
      <w:r w:rsidRPr="009A3C86">
        <w:rPr>
          <w:rFonts w:ascii="Times New Roman" w:hAnsi="Times New Roman"/>
          <w:sz w:val="24"/>
          <w:szCs w:val="24"/>
        </w:rPr>
        <w:t xml:space="preserve"> stanowi odpowiednik art. 78 § 1 o.p.</w:t>
      </w:r>
    </w:p>
    <w:p w:rsidR="00326528" w:rsidRPr="009A3C86" w:rsidRDefault="00326528" w:rsidP="00326528">
      <w:pPr>
        <w:spacing w:after="0" w:line="360" w:lineRule="auto"/>
        <w:jc w:val="both"/>
        <w:rPr>
          <w:rFonts w:ascii="Times New Roman" w:hAnsi="Times New Roman"/>
          <w:strike/>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art. 2</w:t>
      </w:r>
      <w:r w:rsidR="00C66F5B" w:rsidRPr="009A3C86">
        <w:rPr>
          <w:rFonts w:ascii="Times New Roman" w:hAnsi="Times New Roman"/>
          <w:b/>
          <w:sz w:val="24"/>
          <w:szCs w:val="24"/>
        </w:rPr>
        <w:t>20</w:t>
      </w:r>
      <w:r w:rsidRPr="009A3C86">
        <w:rPr>
          <w:rFonts w:ascii="Times New Roman" w:hAnsi="Times New Roman"/>
          <w:sz w:val="24"/>
          <w:szCs w:val="24"/>
        </w:rPr>
        <w:t xml:space="preserve"> zawiera katalog pięciu przypadków, w których </w:t>
      </w:r>
      <w:r w:rsidRPr="009A3C86">
        <w:rPr>
          <w:rFonts w:ascii="Times New Roman" w:hAnsi="Times New Roman"/>
          <w:bCs/>
          <w:sz w:val="24"/>
          <w:szCs w:val="24"/>
        </w:rPr>
        <w:t>n</w:t>
      </w:r>
      <w:r w:rsidRPr="009A3C86">
        <w:rPr>
          <w:rFonts w:ascii="Times New Roman" w:hAnsi="Times New Roman"/>
          <w:sz w:val="24"/>
          <w:szCs w:val="24"/>
        </w:rPr>
        <w:t xml:space="preserve">adpłaty podlegają oprocentowaniu. Z </w:t>
      </w:r>
      <w:r w:rsidRPr="009A3C86">
        <w:rPr>
          <w:rFonts w:ascii="Times New Roman" w:hAnsi="Times New Roman"/>
          <w:bCs/>
          <w:sz w:val="24"/>
          <w:szCs w:val="24"/>
        </w:rPr>
        <w:t xml:space="preserve">przepisu </w:t>
      </w:r>
      <w:r w:rsidRPr="009A3C86">
        <w:rPr>
          <w:rFonts w:ascii="Times New Roman" w:hAnsi="Times New Roman"/>
          <w:b/>
          <w:sz w:val="24"/>
          <w:szCs w:val="24"/>
        </w:rPr>
        <w:t>art. 2</w:t>
      </w:r>
      <w:r w:rsidR="00C66F5B" w:rsidRPr="009A3C86">
        <w:rPr>
          <w:rFonts w:ascii="Times New Roman" w:hAnsi="Times New Roman"/>
          <w:b/>
          <w:sz w:val="24"/>
          <w:szCs w:val="24"/>
        </w:rPr>
        <w:t>20</w:t>
      </w:r>
      <w:r w:rsidRPr="009A3C86">
        <w:rPr>
          <w:rFonts w:ascii="Times New Roman" w:hAnsi="Times New Roman"/>
          <w:b/>
          <w:sz w:val="24"/>
          <w:szCs w:val="24"/>
        </w:rPr>
        <w:t xml:space="preserve"> pkt 1</w:t>
      </w:r>
      <w:r w:rsidRPr="009A3C86">
        <w:rPr>
          <w:rFonts w:ascii="Times New Roman" w:hAnsi="Times New Roman"/>
          <w:sz w:val="24"/>
          <w:szCs w:val="24"/>
        </w:rPr>
        <w:t xml:space="preserve"> wynika, że oprocentowanie jest należne </w:t>
      </w:r>
      <w:r w:rsidRPr="009A3C86">
        <w:rPr>
          <w:rFonts w:ascii="Times New Roman" w:hAnsi="Times New Roman"/>
          <w:bCs/>
          <w:sz w:val="24"/>
          <w:szCs w:val="24"/>
        </w:rPr>
        <w:t xml:space="preserve">od </w:t>
      </w:r>
      <w:r w:rsidRPr="009A3C86">
        <w:rPr>
          <w:rFonts w:ascii="Times New Roman" w:hAnsi="Times New Roman"/>
          <w:sz w:val="24"/>
          <w:szCs w:val="24"/>
        </w:rPr>
        <w:t>dnia powstania nadpłaty, w przypadku gdy wynika ona z uchylenia lub</w:t>
      </w:r>
      <w:r w:rsidRPr="009A3C86">
        <w:rPr>
          <w:rFonts w:ascii="Times New Roman" w:hAnsi="Times New Roman"/>
          <w:i/>
          <w:sz w:val="24"/>
          <w:szCs w:val="24"/>
        </w:rPr>
        <w:t xml:space="preserve"> </w:t>
      </w:r>
      <w:r w:rsidRPr="009A3C86">
        <w:rPr>
          <w:rFonts w:ascii="Times New Roman" w:hAnsi="Times New Roman"/>
          <w:sz w:val="24"/>
          <w:szCs w:val="24"/>
        </w:rPr>
        <w:t>zmiany decyzji albo stwierdzenia nieważności decyzji. Oprocentowanie to będzie należne co do zasady w każdym przypadku stwierdzenia nieważności albo uchylenia lub zmiany decyzji, w tym w trybie art. 4</w:t>
      </w:r>
      <w:r w:rsidR="00C66F5B" w:rsidRPr="009A3C86">
        <w:rPr>
          <w:rFonts w:ascii="Times New Roman" w:hAnsi="Times New Roman"/>
          <w:sz w:val="24"/>
          <w:szCs w:val="24"/>
        </w:rPr>
        <w:t>63</w:t>
      </w:r>
      <w:r w:rsidRPr="009A3C86">
        <w:rPr>
          <w:rFonts w:ascii="Times New Roman" w:hAnsi="Times New Roman"/>
          <w:sz w:val="24"/>
          <w:szCs w:val="24"/>
        </w:rPr>
        <w:t xml:space="preserve"> np. w związku z odwołaniem lub zastosowaniem trybów nadzwyczajnych. Przepis ten nie ma jednak zastosowania w przypadku nadpłaty, która wynika ze zmiany decyzji w trybie art. </w:t>
      </w:r>
      <w:r w:rsidR="00C66F5B" w:rsidRPr="009A3C86">
        <w:rPr>
          <w:rFonts w:ascii="Times New Roman" w:hAnsi="Times New Roman"/>
          <w:sz w:val="24"/>
          <w:szCs w:val="24"/>
        </w:rPr>
        <w:t>502</w:t>
      </w:r>
      <w:r w:rsidRPr="009A3C86">
        <w:rPr>
          <w:rFonts w:ascii="Times New Roman" w:hAnsi="Times New Roman"/>
          <w:sz w:val="24"/>
          <w:szCs w:val="24"/>
        </w:rPr>
        <w:t xml:space="preserve">, gdyż w tym przypadku ma zastosowanie </w:t>
      </w:r>
      <w:r w:rsidRPr="009A3C86">
        <w:rPr>
          <w:rFonts w:ascii="Times New Roman" w:hAnsi="Times New Roman"/>
          <w:b/>
          <w:sz w:val="24"/>
          <w:szCs w:val="24"/>
        </w:rPr>
        <w:t>art. 2</w:t>
      </w:r>
      <w:r w:rsidR="00C66F5B" w:rsidRPr="009A3C86">
        <w:rPr>
          <w:rFonts w:ascii="Times New Roman" w:hAnsi="Times New Roman"/>
          <w:b/>
          <w:sz w:val="24"/>
          <w:szCs w:val="24"/>
        </w:rPr>
        <w:t>20</w:t>
      </w:r>
      <w:r w:rsidRPr="009A3C86">
        <w:rPr>
          <w:rFonts w:ascii="Times New Roman" w:hAnsi="Times New Roman"/>
          <w:b/>
          <w:sz w:val="24"/>
          <w:szCs w:val="24"/>
        </w:rPr>
        <w:t xml:space="preserve"> pkt 4</w:t>
      </w:r>
      <w:r w:rsidRPr="009A3C86">
        <w:rPr>
          <w:rFonts w:ascii="Times New Roman" w:hAnsi="Times New Roman"/>
          <w:sz w:val="24"/>
          <w:szCs w:val="24"/>
        </w:rPr>
        <w:t>. Oprocentowanie nadpłaty nie przysługuje jednak, zgodnie z art. 2</w:t>
      </w:r>
      <w:r w:rsidR="00C66F5B" w:rsidRPr="009A3C86">
        <w:rPr>
          <w:rFonts w:ascii="Times New Roman" w:hAnsi="Times New Roman"/>
          <w:sz w:val="24"/>
          <w:szCs w:val="24"/>
        </w:rPr>
        <w:t>23</w:t>
      </w:r>
      <w:r w:rsidRPr="009A3C86">
        <w:rPr>
          <w:rFonts w:ascii="Times New Roman" w:hAnsi="Times New Roman"/>
          <w:sz w:val="24"/>
          <w:szCs w:val="24"/>
        </w:rPr>
        <w:t xml:space="preserve"> pkt 1, jeżeli do powstania przesłanki uchylenia decyzji przyczynił się podatnik.</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Przepis </w:t>
      </w:r>
      <w:r w:rsidRPr="009A3C86">
        <w:rPr>
          <w:rFonts w:ascii="Times New Roman" w:hAnsi="Times New Roman"/>
          <w:b/>
          <w:sz w:val="24"/>
          <w:szCs w:val="24"/>
        </w:rPr>
        <w:t>art. 2</w:t>
      </w:r>
      <w:r w:rsidR="00C66F5B" w:rsidRPr="009A3C86">
        <w:rPr>
          <w:rFonts w:ascii="Times New Roman" w:hAnsi="Times New Roman"/>
          <w:b/>
          <w:sz w:val="24"/>
          <w:szCs w:val="24"/>
        </w:rPr>
        <w:t>20</w:t>
      </w:r>
      <w:r w:rsidRPr="009A3C86">
        <w:rPr>
          <w:rFonts w:ascii="Times New Roman" w:hAnsi="Times New Roman"/>
          <w:b/>
          <w:sz w:val="24"/>
          <w:szCs w:val="24"/>
        </w:rPr>
        <w:t xml:space="preserve"> pkt 2</w:t>
      </w:r>
      <w:r w:rsidRPr="009A3C86">
        <w:rPr>
          <w:rFonts w:ascii="Times New Roman" w:hAnsi="Times New Roman"/>
          <w:sz w:val="24"/>
          <w:szCs w:val="24"/>
        </w:rPr>
        <w:t xml:space="preserve"> stanowi, że oprocentowanie jest należne od dnia upływu terminu do zwrotu nadpłaty, o którym mowa w art. 2</w:t>
      </w:r>
      <w:r w:rsidR="00C66F5B" w:rsidRPr="009A3C86">
        <w:rPr>
          <w:rFonts w:ascii="Times New Roman" w:hAnsi="Times New Roman"/>
          <w:sz w:val="24"/>
          <w:szCs w:val="24"/>
        </w:rPr>
        <w:t>14</w:t>
      </w:r>
      <w:r w:rsidRPr="009A3C86">
        <w:rPr>
          <w:rFonts w:ascii="Times New Roman" w:hAnsi="Times New Roman"/>
          <w:sz w:val="24"/>
          <w:szCs w:val="24"/>
        </w:rPr>
        <w:t>-2</w:t>
      </w:r>
      <w:r w:rsidR="00C66F5B" w:rsidRPr="009A3C86">
        <w:rPr>
          <w:rFonts w:ascii="Times New Roman" w:hAnsi="Times New Roman"/>
          <w:sz w:val="24"/>
          <w:szCs w:val="24"/>
        </w:rPr>
        <w:t>18</w:t>
      </w:r>
      <w:r w:rsidRPr="009A3C86">
        <w:rPr>
          <w:rFonts w:ascii="Times New Roman" w:hAnsi="Times New Roman"/>
          <w:sz w:val="24"/>
          <w:szCs w:val="24"/>
        </w:rPr>
        <w:t xml:space="preserve">, jeżeli nie została ona zwrócona w tym terminie, chyba że ma zastosowanie pkt 1. W konsekwencji przepis ten nie będzie miał zastosowania w przypadku, gdy nadpłata nie została zwrócona w terminie, gdy jednocześnie </w:t>
      </w:r>
      <w:r w:rsidRPr="009A3C86">
        <w:rPr>
          <w:rFonts w:ascii="Times New Roman" w:hAnsi="Times New Roman"/>
          <w:sz w:val="24"/>
          <w:szCs w:val="24"/>
        </w:rPr>
        <w:lastRenderedPageBreak/>
        <w:t>zaistniały okoliczności wskazane w pkt 1 tj. gdy nadpłata wynika z uchylenia lub</w:t>
      </w:r>
      <w:r w:rsidRPr="009A3C86">
        <w:rPr>
          <w:rFonts w:ascii="Times New Roman" w:hAnsi="Times New Roman"/>
          <w:i/>
          <w:sz w:val="24"/>
          <w:szCs w:val="24"/>
        </w:rPr>
        <w:t xml:space="preserve"> </w:t>
      </w:r>
      <w:r w:rsidRPr="009A3C86">
        <w:rPr>
          <w:rFonts w:ascii="Times New Roman" w:hAnsi="Times New Roman"/>
          <w:sz w:val="24"/>
          <w:szCs w:val="24"/>
        </w:rPr>
        <w:t>zmiany decyzji albo stwierdzenia nieważności decyzji. Regulacja ta nie będzie miała także zastosowania, gdy nadpłata została zwrócona w terminie, o którym mowa w art. 2</w:t>
      </w:r>
      <w:r w:rsidR="00C66F5B" w:rsidRPr="009A3C86">
        <w:rPr>
          <w:rFonts w:ascii="Times New Roman" w:hAnsi="Times New Roman"/>
          <w:sz w:val="24"/>
          <w:szCs w:val="24"/>
        </w:rPr>
        <w:t>14</w:t>
      </w:r>
      <w:r w:rsidRPr="009A3C86">
        <w:rPr>
          <w:rFonts w:ascii="Times New Roman" w:hAnsi="Times New Roman"/>
          <w:sz w:val="24"/>
          <w:szCs w:val="24"/>
        </w:rPr>
        <w:t>-2</w:t>
      </w:r>
      <w:r w:rsidR="00C66F5B" w:rsidRPr="009A3C86">
        <w:rPr>
          <w:rFonts w:ascii="Times New Roman" w:hAnsi="Times New Roman"/>
          <w:sz w:val="24"/>
          <w:szCs w:val="24"/>
        </w:rPr>
        <w:t>18</w:t>
      </w:r>
      <w:r w:rsidRPr="009A3C86">
        <w:rPr>
          <w:rFonts w:ascii="Times New Roman" w:hAnsi="Times New Roman"/>
          <w:sz w:val="24"/>
          <w:szCs w:val="24"/>
        </w:rPr>
        <w:t>.</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Przepis </w:t>
      </w:r>
      <w:r w:rsidRPr="009A3C86">
        <w:rPr>
          <w:rFonts w:ascii="Times New Roman" w:hAnsi="Times New Roman"/>
          <w:b/>
          <w:sz w:val="24"/>
          <w:szCs w:val="24"/>
        </w:rPr>
        <w:t>art. 2</w:t>
      </w:r>
      <w:r w:rsidR="00C66F5B" w:rsidRPr="009A3C86">
        <w:rPr>
          <w:rFonts w:ascii="Times New Roman" w:hAnsi="Times New Roman"/>
          <w:b/>
          <w:sz w:val="24"/>
          <w:szCs w:val="24"/>
        </w:rPr>
        <w:t>20</w:t>
      </w:r>
      <w:r w:rsidRPr="009A3C86">
        <w:rPr>
          <w:rFonts w:ascii="Times New Roman" w:hAnsi="Times New Roman"/>
          <w:b/>
          <w:sz w:val="24"/>
          <w:szCs w:val="24"/>
        </w:rPr>
        <w:t xml:space="preserve"> pkt 3</w:t>
      </w:r>
      <w:r w:rsidRPr="009A3C86">
        <w:rPr>
          <w:rFonts w:ascii="Times New Roman" w:hAnsi="Times New Roman"/>
          <w:sz w:val="24"/>
          <w:szCs w:val="24"/>
        </w:rPr>
        <w:t xml:space="preserve"> stanowi, że oprocentowanie jest należne</w:t>
      </w:r>
      <w:r w:rsidRPr="009A3C86">
        <w:rPr>
          <w:rFonts w:ascii="Times New Roman" w:hAnsi="Times New Roman"/>
          <w:bCs/>
          <w:sz w:val="24"/>
          <w:szCs w:val="24"/>
        </w:rPr>
        <w:t xml:space="preserve"> od dnia złożenia wniosku o stwierdzenie nadpłaty</w:t>
      </w:r>
      <w:r w:rsidRPr="009A3C86">
        <w:rPr>
          <w:rFonts w:ascii="Times New Roman" w:hAnsi="Times New Roman"/>
          <w:sz w:val="24"/>
          <w:szCs w:val="24"/>
        </w:rPr>
        <w:t xml:space="preserve">, jeżeli </w:t>
      </w:r>
      <w:r w:rsidRPr="009A3C86">
        <w:rPr>
          <w:rFonts w:ascii="Times New Roman" w:hAnsi="Times New Roman"/>
          <w:bCs/>
          <w:sz w:val="24"/>
          <w:szCs w:val="24"/>
        </w:rPr>
        <w:t>organ wydał decyzję stwierdzającą nadpłatę po upływie 2 miesięcy od złożenia wniosku o stwierdzenie nadpłaty</w:t>
      </w:r>
      <w:r w:rsidRPr="009A3C86">
        <w:rPr>
          <w:rFonts w:ascii="Times New Roman" w:hAnsi="Times New Roman"/>
          <w:sz w:val="24"/>
          <w:szCs w:val="24"/>
        </w:rPr>
        <w:t>. Wnioskowi o stwierdzenie nadpłaty powinna towarzyszyć prawidłowa korekta deklaracji (szerzej na temat tej kwestii zob. uzasadnienie do art. 19</w:t>
      </w:r>
      <w:r w:rsidR="008E1295" w:rsidRPr="009A3C86">
        <w:rPr>
          <w:rFonts w:ascii="Times New Roman" w:hAnsi="Times New Roman"/>
          <w:sz w:val="24"/>
          <w:szCs w:val="24"/>
        </w:rPr>
        <w:t>0</w:t>
      </w:r>
      <w:r w:rsidRPr="009A3C86">
        <w:rPr>
          <w:rFonts w:ascii="Times New Roman" w:hAnsi="Times New Roman"/>
          <w:sz w:val="24"/>
          <w:szCs w:val="24"/>
        </w:rPr>
        <w:t>). Ponadto zgodnie z art. 2</w:t>
      </w:r>
      <w:r w:rsidR="00C66F5B" w:rsidRPr="009A3C86">
        <w:rPr>
          <w:rFonts w:ascii="Times New Roman" w:hAnsi="Times New Roman"/>
          <w:sz w:val="24"/>
          <w:szCs w:val="24"/>
        </w:rPr>
        <w:t>20</w:t>
      </w:r>
      <w:r w:rsidRPr="009A3C86">
        <w:rPr>
          <w:rFonts w:ascii="Times New Roman" w:hAnsi="Times New Roman"/>
          <w:sz w:val="24"/>
          <w:szCs w:val="24"/>
        </w:rPr>
        <w:t xml:space="preserve"> pkt 2 oprocentowanie nadpłaty jednak nie przysługuje w przypadku, jeżeli do opóźnienia w wydaniu decyzji, o której mowa wyżej, przyczynił się podmiot uprawniony do nadpłaty.</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Przepis </w:t>
      </w:r>
      <w:r w:rsidRPr="009A3C86">
        <w:rPr>
          <w:rFonts w:ascii="Times New Roman" w:hAnsi="Times New Roman"/>
          <w:b/>
          <w:sz w:val="24"/>
          <w:szCs w:val="24"/>
        </w:rPr>
        <w:t>art. 2</w:t>
      </w:r>
      <w:r w:rsidR="00C66F5B" w:rsidRPr="009A3C86">
        <w:rPr>
          <w:rFonts w:ascii="Times New Roman" w:hAnsi="Times New Roman"/>
          <w:b/>
          <w:sz w:val="24"/>
          <w:szCs w:val="24"/>
        </w:rPr>
        <w:t>20</w:t>
      </w:r>
      <w:r w:rsidRPr="009A3C86">
        <w:rPr>
          <w:rFonts w:ascii="Times New Roman" w:hAnsi="Times New Roman"/>
          <w:b/>
          <w:sz w:val="24"/>
          <w:szCs w:val="24"/>
        </w:rPr>
        <w:t xml:space="preserve"> pkt 4</w:t>
      </w:r>
      <w:r w:rsidRPr="009A3C86">
        <w:rPr>
          <w:rFonts w:ascii="Times New Roman" w:hAnsi="Times New Roman"/>
          <w:sz w:val="24"/>
          <w:szCs w:val="24"/>
        </w:rPr>
        <w:t xml:space="preserve"> stanowi, że oprocentowanie jest należne od dnia złożenia wniosku o zmianę decyzji na podstawie art. 4</w:t>
      </w:r>
      <w:r w:rsidR="0000490E" w:rsidRPr="009A3C86">
        <w:rPr>
          <w:rFonts w:ascii="Times New Roman" w:hAnsi="Times New Roman"/>
          <w:sz w:val="24"/>
          <w:szCs w:val="24"/>
        </w:rPr>
        <w:t>74</w:t>
      </w:r>
      <w:r w:rsidRPr="009A3C86">
        <w:rPr>
          <w:rFonts w:ascii="Times New Roman" w:hAnsi="Times New Roman"/>
          <w:sz w:val="24"/>
          <w:szCs w:val="24"/>
        </w:rPr>
        <w:t xml:space="preserve"> lub od dnia wszczęcia z urzędu postępowania w sprawie zmiany decyzji na podstawie tego przepisu, jeśli organ zmienił decyzję po upływie 2 miesięcy od złożenia wniosku lub wszczęcia postępowania z urzędu. Zmiany, o której mowa wyżej, dotyczy </w:t>
      </w:r>
      <w:r w:rsidRPr="009A3C86">
        <w:rPr>
          <w:rFonts w:ascii="Times New Roman" w:hAnsi="Times New Roman"/>
          <w:bCs/>
          <w:sz w:val="24"/>
          <w:szCs w:val="24"/>
        </w:rPr>
        <w:t xml:space="preserve">art. </w:t>
      </w:r>
      <w:r w:rsidR="00C66F5B" w:rsidRPr="009A3C86">
        <w:rPr>
          <w:rFonts w:ascii="Times New Roman" w:hAnsi="Times New Roman"/>
          <w:bCs/>
          <w:sz w:val="24"/>
          <w:szCs w:val="24"/>
        </w:rPr>
        <w:t>502</w:t>
      </w:r>
      <w:r w:rsidRPr="009A3C86">
        <w:rPr>
          <w:rFonts w:ascii="Times New Roman" w:hAnsi="Times New Roman"/>
          <w:sz w:val="24"/>
          <w:szCs w:val="24"/>
        </w:rPr>
        <w:t xml:space="preserve">. Zgodnie z art. </w:t>
      </w:r>
      <w:r w:rsidR="00C66F5B" w:rsidRPr="009A3C86">
        <w:rPr>
          <w:rFonts w:ascii="Times New Roman" w:hAnsi="Times New Roman"/>
          <w:sz w:val="24"/>
          <w:szCs w:val="24"/>
        </w:rPr>
        <w:t xml:space="preserve">220 </w:t>
      </w:r>
      <w:r w:rsidRPr="009A3C86">
        <w:rPr>
          <w:rFonts w:ascii="Times New Roman" w:hAnsi="Times New Roman"/>
          <w:sz w:val="24"/>
          <w:szCs w:val="24"/>
        </w:rPr>
        <w:t>pkt 2 oprocentowanie nadpłaty nie przysługuje w przypadku, gdy do opóźnienia w wydaniu decyzji, w okresie 2 miesięcy, o którym mowa wyżej, przyczynił się podmiot uprawniony do nadpłaty.</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Przepis </w:t>
      </w:r>
      <w:r w:rsidRPr="009A3C86">
        <w:rPr>
          <w:rFonts w:ascii="Times New Roman" w:hAnsi="Times New Roman"/>
          <w:b/>
          <w:sz w:val="24"/>
          <w:szCs w:val="24"/>
        </w:rPr>
        <w:t>art. 2</w:t>
      </w:r>
      <w:r w:rsidR="0000490E" w:rsidRPr="009A3C86">
        <w:rPr>
          <w:rFonts w:ascii="Times New Roman" w:hAnsi="Times New Roman"/>
          <w:b/>
          <w:sz w:val="24"/>
          <w:szCs w:val="24"/>
        </w:rPr>
        <w:t>20</w:t>
      </w:r>
      <w:r w:rsidRPr="009A3C86">
        <w:rPr>
          <w:rFonts w:ascii="Times New Roman" w:hAnsi="Times New Roman"/>
          <w:b/>
          <w:sz w:val="24"/>
          <w:szCs w:val="24"/>
        </w:rPr>
        <w:t xml:space="preserve"> pkt 5</w:t>
      </w:r>
      <w:r w:rsidRPr="009A3C86">
        <w:rPr>
          <w:rFonts w:ascii="Times New Roman" w:hAnsi="Times New Roman"/>
          <w:sz w:val="24"/>
          <w:szCs w:val="24"/>
        </w:rPr>
        <w:t xml:space="preserve"> stanowi, że oprocentowanie jest należne od dnia powstania nadpłaty do dnia otwarcia spadku w zakresie przypadających na rzecz spadkodawcy nadpłat oraz zwrotów podatków; oprocentowanie naliczane jest nadal, jeżeli zwrot nadpłaty lub zwrot podatku nie został dokonany w terminie 15 dni od dnia złożenia organowi podatkowemu prawomocnego postanowienia sądu o stwierdzeniu nabycia spadku, prawomocnego postanowienia sądu o stwierdzeniu nabycia przedmiotu zapisu windykacyjnego, prawomocnego postanowienia sądu o wydaniu europejskiego poświadczenia spadkowego albo zarejestrowanego aktu poświadczenia dziedziczenia (zob. art. 672 § 3 k.p.c., art. 679 § 4 k.p.c.).</w:t>
      </w:r>
      <w:r w:rsidRPr="009A3C86">
        <w:rPr>
          <w:rFonts w:ascii="Times New Roman" w:hAnsi="Times New Roman"/>
          <w:strike/>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1</w:t>
      </w:r>
      <w:r w:rsidRPr="009A3C86">
        <w:rPr>
          <w:rFonts w:ascii="Times New Roman" w:hAnsi="Times New Roman"/>
          <w:sz w:val="24"/>
          <w:szCs w:val="24"/>
        </w:rPr>
        <w:t xml:space="preserve"> reguluje zasady naliczania oprocentowania w przypadku, gdy nadpłata powstała w wyniku orzeczenia Trybunału Konstytucyjnego lub orzeczenia Trybunału Sprawiedliwości Unii Europejskiej. W przepisie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1 pkt 1</w:t>
      </w:r>
      <w:r w:rsidRPr="009A3C86">
        <w:rPr>
          <w:rFonts w:ascii="Times New Roman" w:hAnsi="Times New Roman"/>
          <w:sz w:val="24"/>
          <w:szCs w:val="24"/>
        </w:rPr>
        <w:t xml:space="preserve"> uregulowano sytuację, w której wniosek o stwierdzenie nadpłaty lub wniosek w sprawie wznowienia postępowania, w okolicznościach, o których mowa w</w:t>
      </w:r>
      <w:r w:rsidRPr="009A3C86">
        <w:rPr>
          <w:rFonts w:ascii="Times New Roman" w:hAnsi="Times New Roman"/>
          <w:b/>
          <w:sz w:val="24"/>
          <w:szCs w:val="24"/>
        </w:rPr>
        <w:t xml:space="preserve"> </w:t>
      </w:r>
      <w:r w:rsidRPr="009A3C86">
        <w:rPr>
          <w:rFonts w:ascii="Times New Roman" w:hAnsi="Times New Roman"/>
          <w:sz w:val="24"/>
          <w:szCs w:val="24"/>
        </w:rPr>
        <w:t>art. 4</w:t>
      </w:r>
      <w:r w:rsidR="00894003" w:rsidRPr="009A3C86">
        <w:rPr>
          <w:rFonts w:ascii="Times New Roman" w:hAnsi="Times New Roman"/>
          <w:sz w:val="24"/>
          <w:szCs w:val="24"/>
        </w:rPr>
        <w:t>88</w:t>
      </w:r>
      <w:r w:rsidRPr="009A3C86">
        <w:rPr>
          <w:rFonts w:ascii="Times New Roman" w:hAnsi="Times New Roman"/>
          <w:sz w:val="24"/>
          <w:szCs w:val="24"/>
        </w:rPr>
        <w:t xml:space="preserve"> § 1 pkt 9 lub 12, jest składany przed upływem 3 miesięcy od dnia wejścia w życie orzeczenia Trybunału Konstytucyjnego lub publikacji sentencji orzeczenia Trybunału Sprawiedliwości Unii Europejskiej w Dzienniku Urzędowym Unii Europejskiej</w:t>
      </w:r>
      <w:r w:rsidRPr="009A3C86">
        <w:rPr>
          <w:rFonts w:ascii="Times New Roman" w:hAnsi="Times New Roman"/>
          <w:b/>
          <w:bCs/>
          <w:sz w:val="24"/>
          <w:szCs w:val="24"/>
        </w:rPr>
        <w:t xml:space="preserve">. </w:t>
      </w:r>
      <w:r w:rsidRPr="009A3C86">
        <w:rPr>
          <w:rFonts w:ascii="Times New Roman" w:hAnsi="Times New Roman"/>
          <w:sz w:val="24"/>
          <w:szCs w:val="24"/>
        </w:rPr>
        <w:t xml:space="preserve">W takim przypadku oprocentowanie jest naliczane od dnia powstania nadpłaty.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W przepisie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1 pkt 2</w:t>
      </w:r>
      <w:r w:rsidRPr="009A3C86">
        <w:rPr>
          <w:rFonts w:ascii="Times New Roman" w:hAnsi="Times New Roman"/>
          <w:sz w:val="24"/>
          <w:szCs w:val="24"/>
        </w:rPr>
        <w:t xml:space="preserve"> uregulowano natomiast przypadek, w którym wniosek o stwierdzenie nadpłaty, która powstała w wyniku orzeczenia Trybunału Konstytucyjnego lub orzeczenia Trybunału Sprawiedliwości Unii Europejskiej, a także wniosek w sprawie wznowienia postępowania, w przypadku zaistnienia przesłanek, o których mowa w art. 4</w:t>
      </w:r>
      <w:r w:rsidR="00894003" w:rsidRPr="009A3C86">
        <w:rPr>
          <w:rFonts w:ascii="Times New Roman" w:hAnsi="Times New Roman"/>
          <w:sz w:val="24"/>
          <w:szCs w:val="24"/>
        </w:rPr>
        <w:t>88</w:t>
      </w:r>
      <w:r w:rsidRPr="009A3C86">
        <w:rPr>
          <w:rFonts w:ascii="Times New Roman" w:hAnsi="Times New Roman"/>
          <w:sz w:val="24"/>
          <w:szCs w:val="24"/>
        </w:rPr>
        <w:t xml:space="preserve"> § 1 pkt 9 lub 12, został złożony po upływie 3 miesięcy od dnia wejścia w życie orzeczenia Trybunału Konstytucyjnego lub publikacji sentencji orzeczenia Trybunału Sprawiedliwości Unii Europejskiej w Dzienniku Urzędowym Unii Europejskiej. W takim przypadku oprocentowanie przysługuje za okres od dnia powstania nadpłaty do dnia upływu 3 miesięcy od dnia wejścia w życie orzeczenia Trybunału Konstytucyjnego lub publikacji sentencji orzeczenia Trybunału Sprawiedliwości Unii Europejskiej w Dzienniku Urzędowym Unii Europejskiej.</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2</w:t>
      </w:r>
      <w:r w:rsidRPr="009A3C86">
        <w:rPr>
          <w:rFonts w:ascii="Times New Roman" w:hAnsi="Times New Roman"/>
          <w:sz w:val="24"/>
          <w:szCs w:val="24"/>
        </w:rPr>
        <w:t xml:space="preserve"> zawiera regulację, w której przejęto zasady naliczania oprocentowania nadpłaty określone w § 1, do innych sytuacji, w których ona powstaje. Celem tej regulacji jest w istocie rzeczy ograniczenie maksymalizacji oprocentowania nadpłaty, tj. wydłużenia przez uprawnionego do nadpłaty okresu, za który może mu przysługiwać oprocentowanie nadpłaty. Dotyczy to przypadków, gdy podmiot uprawniony do nadpłaty może korzystać z długiego, a niekiedy nawet nieograniczonego limitem czasowym prawa do dochodzenia nadpłaty. Prawo to nie powinno jednak prowadzić do możliwości zwlekania z dochodzeniem nadpłaty w celu zwiększenia wysokości oprocentowania dotyczącego nadpłaty.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2 pkt 1</w:t>
      </w:r>
      <w:r w:rsidRPr="009A3C86">
        <w:rPr>
          <w:rFonts w:ascii="Times New Roman" w:hAnsi="Times New Roman"/>
          <w:sz w:val="24"/>
          <w:szCs w:val="24"/>
        </w:rPr>
        <w:t xml:space="preserve"> dotyczy sytuacji, w której nadpłata wynika z ratyfikowanej umowy o unikaniu podwójnego opodatkowania lub innej ratyfikowanej umowy międzynarodowej, której stroną jest Rzeczpospolita Polska,</w:t>
      </w:r>
      <w:r w:rsidRPr="009A3C86">
        <w:rPr>
          <w:rFonts w:ascii="Times New Roman" w:hAnsi="Times New Roman"/>
          <w:b/>
          <w:bCs/>
          <w:sz w:val="24"/>
          <w:szCs w:val="24"/>
        </w:rPr>
        <w:t xml:space="preserve"> </w:t>
      </w:r>
      <w:r w:rsidRPr="009A3C86">
        <w:rPr>
          <w:rFonts w:ascii="Times New Roman" w:hAnsi="Times New Roman"/>
          <w:bCs/>
          <w:sz w:val="24"/>
          <w:szCs w:val="24"/>
        </w:rPr>
        <w:t>z tym że w tym przypadku termin 3-miesięczny rozpoczyna bieg od dnia</w:t>
      </w:r>
      <w:r w:rsidRPr="009A3C86">
        <w:rPr>
          <w:rFonts w:ascii="Times New Roman" w:hAnsi="Times New Roman"/>
          <w:b/>
          <w:sz w:val="24"/>
          <w:szCs w:val="24"/>
        </w:rPr>
        <w:t xml:space="preserve"> </w:t>
      </w:r>
      <w:r w:rsidRPr="009A3C86">
        <w:rPr>
          <w:rFonts w:ascii="Times New Roman" w:hAnsi="Times New Roman"/>
          <w:sz w:val="24"/>
          <w:szCs w:val="24"/>
        </w:rPr>
        <w:t xml:space="preserve">wejścia w życie ratyfikowanej umowy międzynarodowej. 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sz w:val="24"/>
          <w:szCs w:val="24"/>
        </w:rPr>
        <w:t> </w:t>
      </w:r>
      <w:r w:rsidRPr="009A3C86">
        <w:rPr>
          <w:rFonts w:ascii="Times New Roman" w:hAnsi="Times New Roman"/>
          <w:b/>
          <w:sz w:val="24"/>
          <w:szCs w:val="24"/>
        </w:rPr>
        <w:t>§ 2 pkt 2</w:t>
      </w:r>
      <w:r w:rsidRPr="009A3C86">
        <w:rPr>
          <w:rFonts w:ascii="Times New Roman" w:hAnsi="Times New Roman"/>
          <w:sz w:val="24"/>
          <w:szCs w:val="24"/>
        </w:rPr>
        <w:t xml:space="preserve"> odnosi się natomiast do przypadku, gdy nadpłata wynika z zakończonej procedury wzajemnego porozumiewania lub procedury arbitrażowej, prowadzonych na podstawie ratyfikowanej umowy o unikaniu podwójnego opodatkowania lub innej ratyfikowanej umowy międzynarodowej, której stroną jest Rzeczpospolita Polska</w:t>
      </w:r>
      <w:r w:rsidRPr="009A3C86">
        <w:rPr>
          <w:rFonts w:ascii="Times New Roman" w:hAnsi="Times New Roman"/>
          <w:b/>
          <w:sz w:val="24"/>
          <w:szCs w:val="24"/>
        </w:rPr>
        <w:t xml:space="preserve">, </w:t>
      </w:r>
      <w:r w:rsidRPr="009A3C86">
        <w:rPr>
          <w:rFonts w:ascii="Times New Roman" w:hAnsi="Times New Roman"/>
          <w:bCs/>
          <w:sz w:val="24"/>
          <w:szCs w:val="24"/>
        </w:rPr>
        <w:t>z tym że w tym przypadku termin 3-miesięczny rozpoczyna bieg od dnia zakończenia</w:t>
      </w:r>
      <w:r w:rsidRPr="009A3C86">
        <w:rPr>
          <w:rFonts w:ascii="Times New Roman" w:hAnsi="Times New Roman"/>
          <w:b/>
          <w:bCs/>
          <w:sz w:val="24"/>
          <w:szCs w:val="24"/>
        </w:rPr>
        <w:t xml:space="preserve"> </w:t>
      </w:r>
      <w:r w:rsidRPr="009A3C86">
        <w:rPr>
          <w:rFonts w:ascii="Times New Roman" w:hAnsi="Times New Roman"/>
          <w:sz w:val="24"/>
          <w:szCs w:val="24"/>
        </w:rPr>
        <w:t>procedury wzajemnego porozumiewania lub procedury arbitrażowej</w:t>
      </w:r>
      <w:r w:rsidRPr="009A3C86">
        <w:rPr>
          <w:rFonts w:ascii="Times New Roman" w:hAnsi="Times New Roman"/>
          <w:b/>
          <w:bCs/>
          <w:sz w:val="24"/>
          <w:szCs w:val="24"/>
        </w:rPr>
        <w:t>.</w:t>
      </w:r>
      <w:r w:rsidRPr="009A3C86">
        <w:rPr>
          <w:rFonts w:ascii="Times New Roman" w:hAnsi="Times New Roman"/>
          <w:b/>
          <w:sz w:val="24"/>
          <w:szCs w:val="24"/>
        </w:rPr>
        <w:t xml:space="preserve"> </w:t>
      </w:r>
      <w:r w:rsidRPr="009A3C86">
        <w:rPr>
          <w:rFonts w:ascii="Times New Roman" w:hAnsi="Times New Roman"/>
          <w:sz w:val="24"/>
          <w:szCs w:val="24"/>
        </w:rPr>
        <w:t xml:space="preserve">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2 pkt 3</w:t>
      </w:r>
      <w:r w:rsidRPr="009A3C86">
        <w:rPr>
          <w:rFonts w:ascii="Times New Roman" w:hAnsi="Times New Roman"/>
          <w:sz w:val="24"/>
          <w:szCs w:val="24"/>
        </w:rPr>
        <w:t xml:space="preserve"> dotyczy natomiast sytuacji, w której nadpłata wynika z niezgodności przepisów prawa krajowego z przepisami prawa Unii Europejskiej i która została usunięta w nowelizacji przepisów prawa krajowego. Rozwiązanie to jest istotne z uwagi m.in. na stanowisko wyrażone w wyrokach NSA z 2 lutego 2017 r., II FSK 506/16, II FSK 535-6/16, II FSK 758-9/16, a także WSA we Wrocławiu </w:t>
      </w:r>
      <w:r w:rsidRPr="009A3C86">
        <w:rPr>
          <w:rFonts w:ascii="Times New Roman" w:hAnsi="Times New Roman"/>
          <w:bCs/>
          <w:sz w:val="24"/>
          <w:szCs w:val="24"/>
        </w:rPr>
        <w:t xml:space="preserve">I SA/Wr 900/15 i wskazaną w nich </w:t>
      </w:r>
      <w:r w:rsidRPr="009A3C86">
        <w:rPr>
          <w:rFonts w:ascii="Times New Roman" w:hAnsi="Times New Roman"/>
          <w:sz w:val="24"/>
          <w:szCs w:val="24"/>
        </w:rPr>
        <w:t xml:space="preserve">zasadę pierwszeństwa prawa unijnego nad prawem krajowym, zasadę </w:t>
      </w:r>
      <w:r w:rsidRPr="009A3C86">
        <w:rPr>
          <w:rFonts w:ascii="Times New Roman" w:hAnsi="Times New Roman"/>
          <w:sz w:val="24"/>
          <w:szCs w:val="24"/>
        </w:rPr>
        <w:lastRenderedPageBreak/>
        <w:t xml:space="preserve">skuteczności oraz zasadę skutecznej ochrony sądowej i standard unijny wynikający z orzecznictwa Trybunału Sprawiedliwości Unii Europejskiej. 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2 pkt 4</w:t>
      </w:r>
      <w:r w:rsidRPr="009A3C86">
        <w:rPr>
          <w:rFonts w:ascii="Times New Roman" w:hAnsi="Times New Roman"/>
          <w:sz w:val="24"/>
          <w:szCs w:val="24"/>
        </w:rPr>
        <w:t xml:space="preserve"> odnosi się z kolei do sytuacji, w której nadpłata wynika z prawomocnego orzeczenia sądu administracyjnego stwierdzającego nieważność w całości lub w części aktu prawa miejscowego organu jednostki samorządu terytorialnego przez sąd administracyjny,</w:t>
      </w:r>
      <w:r w:rsidRPr="009A3C86">
        <w:rPr>
          <w:rFonts w:ascii="Times New Roman" w:hAnsi="Times New Roman"/>
          <w:b/>
          <w:bCs/>
          <w:sz w:val="24"/>
          <w:szCs w:val="24"/>
        </w:rPr>
        <w:t xml:space="preserve"> </w:t>
      </w:r>
      <w:r w:rsidRPr="009A3C86">
        <w:rPr>
          <w:rFonts w:ascii="Times New Roman" w:hAnsi="Times New Roman"/>
          <w:bCs/>
          <w:sz w:val="24"/>
          <w:szCs w:val="24"/>
        </w:rPr>
        <w:t xml:space="preserve">z tym że w tym przypadku złożenia </w:t>
      </w:r>
      <w:r w:rsidRPr="009A3C86">
        <w:rPr>
          <w:rFonts w:ascii="Times New Roman" w:hAnsi="Times New Roman"/>
          <w:sz w:val="24"/>
          <w:szCs w:val="24"/>
        </w:rPr>
        <w:t>wniosku w sprawie wznowienia postępowania dotyczy to przesłanki, o której mowa w</w:t>
      </w:r>
      <w:r w:rsidRPr="009A3C86">
        <w:rPr>
          <w:rFonts w:ascii="Times New Roman" w:hAnsi="Times New Roman"/>
          <w:b/>
          <w:bCs/>
          <w:sz w:val="24"/>
          <w:szCs w:val="24"/>
        </w:rPr>
        <w:t xml:space="preserve"> </w:t>
      </w:r>
      <w:r w:rsidRPr="009A3C86">
        <w:rPr>
          <w:rFonts w:ascii="Times New Roman" w:hAnsi="Times New Roman"/>
          <w:sz w:val="24"/>
          <w:szCs w:val="24"/>
        </w:rPr>
        <w:t xml:space="preserve">art. </w:t>
      </w:r>
      <w:r w:rsidRPr="009A3C86">
        <w:rPr>
          <w:rFonts w:ascii="Times New Roman" w:hAnsi="Times New Roman"/>
          <w:bCs/>
          <w:sz w:val="24"/>
          <w:szCs w:val="24"/>
        </w:rPr>
        <w:t>4</w:t>
      </w:r>
      <w:r w:rsidR="00894003" w:rsidRPr="009A3C86">
        <w:rPr>
          <w:rFonts w:ascii="Times New Roman" w:hAnsi="Times New Roman"/>
          <w:bCs/>
          <w:sz w:val="24"/>
          <w:szCs w:val="24"/>
        </w:rPr>
        <w:t>88</w:t>
      </w:r>
      <w:r w:rsidRPr="009A3C86">
        <w:rPr>
          <w:rFonts w:ascii="Times New Roman" w:hAnsi="Times New Roman"/>
          <w:bCs/>
          <w:sz w:val="24"/>
          <w:szCs w:val="24"/>
        </w:rPr>
        <w:t xml:space="preserve"> </w:t>
      </w:r>
      <w:r w:rsidRPr="009A3C86">
        <w:rPr>
          <w:rFonts w:ascii="Times New Roman" w:hAnsi="Times New Roman"/>
          <w:sz w:val="24"/>
          <w:szCs w:val="24"/>
        </w:rPr>
        <w:t xml:space="preserve">§ 1 pkt 9, a </w:t>
      </w:r>
      <w:r w:rsidRPr="009A3C86">
        <w:rPr>
          <w:rFonts w:ascii="Times New Roman" w:hAnsi="Times New Roman"/>
          <w:bCs/>
          <w:sz w:val="24"/>
          <w:szCs w:val="24"/>
        </w:rPr>
        <w:t>termin 3 miesięczny rozpoczyna bieg od dnia uprawomocnienia się tego</w:t>
      </w:r>
      <w:r w:rsidRPr="009A3C86">
        <w:rPr>
          <w:rFonts w:ascii="Times New Roman" w:hAnsi="Times New Roman"/>
          <w:b/>
          <w:bCs/>
          <w:sz w:val="24"/>
          <w:szCs w:val="24"/>
        </w:rPr>
        <w:t xml:space="preserve"> </w:t>
      </w:r>
      <w:r w:rsidRPr="009A3C86">
        <w:rPr>
          <w:rFonts w:ascii="Times New Roman" w:hAnsi="Times New Roman"/>
          <w:sz w:val="24"/>
          <w:szCs w:val="24"/>
        </w:rPr>
        <w:t xml:space="preserve">orzeczenia sądu administracyjnego.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Przepis </w:t>
      </w:r>
      <w:r w:rsidRPr="009A3C86">
        <w:rPr>
          <w:rFonts w:ascii="Times New Roman" w:hAnsi="Times New Roman"/>
          <w:b/>
          <w:sz w:val="24"/>
          <w:szCs w:val="24"/>
        </w:rPr>
        <w:t>art. 2</w:t>
      </w:r>
      <w:r w:rsidR="00894003" w:rsidRPr="009A3C86">
        <w:rPr>
          <w:rFonts w:ascii="Times New Roman" w:hAnsi="Times New Roman"/>
          <w:b/>
          <w:sz w:val="24"/>
          <w:szCs w:val="24"/>
        </w:rPr>
        <w:t>21</w:t>
      </w:r>
      <w:r w:rsidRPr="009A3C86">
        <w:rPr>
          <w:rFonts w:ascii="Times New Roman" w:hAnsi="Times New Roman"/>
          <w:b/>
          <w:sz w:val="24"/>
          <w:szCs w:val="24"/>
        </w:rPr>
        <w:t> § 3</w:t>
      </w:r>
      <w:r w:rsidRPr="009A3C86">
        <w:rPr>
          <w:rFonts w:ascii="Times New Roman" w:hAnsi="Times New Roman"/>
          <w:sz w:val="24"/>
          <w:szCs w:val="24"/>
        </w:rPr>
        <w:t xml:space="preserve"> odnosi się do sytuacji, gdy zostanie dokonana modyfikacja przepisów prawa podatkowego zapewniających ich zgodność z prawem Unii Europejskiej przed wyrokiem Trybunału Sprawiedliwości Unii Europejskiej. Regulacje te mają na celu ograniczenie możliwości maksymalizacji oprocentowania nadpłat związanych z odwlekaniem momentu złożenia wniosku o stwierdzenie nadpłaty albo wniosku o wznowienie postępowania w związku z zaistnieniem przesłanek wznowienia postępowania, o których mowa w art. 4</w:t>
      </w:r>
      <w:r w:rsidR="00894003" w:rsidRPr="009A3C86">
        <w:rPr>
          <w:rFonts w:ascii="Times New Roman" w:hAnsi="Times New Roman"/>
          <w:sz w:val="24"/>
          <w:szCs w:val="24"/>
        </w:rPr>
        <w:t>88</w:t>
      </w:r>
      <w:r w:rsidRPr="009A3C86">
        <w:rPr>
          <w:rFonts w:ascii="Times New Roman" w:hAnsi="Times New Roman"/>
          <w:sz w:val="24"/>
          <w:szCs w:val="24"/>
        </w:rPr>
        <w:t xml:space="preserve"> § 1 pkt 12 lub 13. Celem oprocentowania nadpłaty powinno być bowiem zrekompensowanie podatnikowi braku możliwości dysponowania nienależnie wpłaconymi środkami finansowymi, a nie kreowanie podstaw do korzystnych inwestycji finansowych</w:t>
      </w:r>
      <w:r w:rsidRPr="009A3C86">
        <w:rPr>
          <w:rFonts w:ascii="Times New Roman" w:hAnsi="Times New Roman"/>
          <w:sz w:val="24"/>
          <w:szCs w:val="24"/>
          <w:vertAlign w:val="superscript"/>
        </w:rPr>
        <w:footnoteReference w:id="266"/>
      </w:r>
      <w:r w:rsidRPr="009A3C86">
        <w:rPr>
          <w:rFonts w:ascii="Times New Roman" w:hAnsi="Times New Roman"/>
          <w:sz w:val="24"/>
          <w:szCs w:val="24"/>
        </w:rPr>
        <w:t>. Podkreślić przy tym należy, że zarówno wniosek o stwierdzenie nadpłaty, jak i wniosek o wznowienie postępowania mogą być bowiem przez zobowiązanego złożone po zaistnieniu każdej z wyżej wskazanej okoliczności. Uprawniony do nadpłaty jest bowiem w tym przypadku „gospodarzem” zarówno w zakresie uprawnienia złożenia wniosku o stwierdzenie nadpłaty, jak i wniosku o wznowienie postępowania. Z tego też względu podmiot ten powinien decydować, kiedy ten wniosek zostanie złożony. Dodatkowo wznowienie postępowania na podstawie art. 4</w:t>
      </w:r>
      <w:r w:rsidR="00894003" w:rsidRPr="009A3C86">
        <w:rPr>
          <w:rFonts w:ascii="Times New Roman" w:hAnsi="Times New Roman"/>
          <w:sz w:val="24"/>
          <w:szCs w:val="24"/>
        </w:rPr>
        <w:t>88</w:t>
      </w:r>
      <w:r w:rsidRPr="009A3C86">
        <w:rPr>
          <w:rFonts w:ascii="Times New Roman" w:hAnsi="Times New Roman"/>
          <w:sz w:val="24"/>
          <w:szCs w:val="24"/>
        </w:rPr>
        <w:t xml:space="preserve"> § 1 pkt 12 lub 13 może być wszczęte tylko na jego wniosek. Prawo wyboru, o którym mowa wyżej, nie może jednak powodować możliwości zwlekania przez uprawnionego do nadpłaty, z podjęciem przez niego działań zmierzających w kierunku jej odzyskania i zwiększenie przez to wysokości oprocentowania nadpłaty (maksymalizacja oprocentowania nadpłaty), o której mowa wyżej. </w:t>
      </w:r>
    </w:p>
    <w:p w:rsidR="00894003" w:rsidRPr="009A3C86" w:rsidRDefault="00326528" w:rsidP="00326528">
      <w:pPr>
        <w:spacing w:after="0" w:line="360" w:lineRule="auto"/>
        <w:jc w:val="both"/>
        <w:rPr>
          <w:rFonts w:ascii="Times New Roman" w:hAnsi="Times New Roman"/>
          <w:b/>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art. 2</w:t>
      </w:r>
      <w:r w:rsidR="00894003" w:rsidRPr="009A3C86">
        <w:rPr>
          <w:rFonts w:ascii="Times New Roman" w:hAnsi="Times New Roman"/>
          <w:b/>
          <w:sz w:val="24"/>
          <w:szCs w:val="24"/>
        </w:rPr>
        <w:t>22</w:t>
      </w:r>
      <w:r w:rsidRPr="009A3C86">
        <w:rPr>
          <w:rFonts w:ascii="Times New Roman" w:hAnsi="Times New Roman"/>
          <w:sz w:val="24"/>
          <w:szCs w:val="24"/>
        </w:rPr>
        <w:t xml:space="preserve"> stanowi modyfikowany odpowiednik art. 78 § 4 o.p. W projektowanym przepisie wskazano przypadki, w których oprocentowanie nadpłaty będzie naliczane za okres inny niż do dnia zwrotu nadpłaty, jej zaliczenia lub dnia złożenia wniosku o zaliczenie nadpłaty na poczet przyszłych zobowiązań́ podatkowych. W </w:t>
      </w:r>
      <w:r w:rsidRPr="009A3C86">
        <w:rPr>
          <w:rFonts w:ascii="Times New Roman" w:hAnsi="Times New Roman"/>
          <w:b/>
          <w:sz w:val="24"/>
          <w:szCs w:val="24"/>
        </w:rPr>
        <w:t>art. 2</w:t>
      </w:r>
      <w:r w:rsidR="00894003" w:rsidRPr="009A3C86">
        <w:rPr>
          <w:rFonts w:ascii="Times New Roman" w:hAnsi="Times New Roman"/>
          <w:b/>
          <w:sz w:val="24"/>
          <w:szCs w:val="24"/>
        </w:rPr>
        <w:t>20</w:t>
      </w:r>
      <w:r w:rsidRPr="009A3C86">
        <w:rPr>
          <w:rFonts w:ascii="Times New Roman" w:hAnsi="Times New Roman"/>
          <w:b/>
          <w:sz w:val="24"/>
          <w:szCs w:val="24"/>
        </w:rPr>
        <w:t xml:space="preserve"> pkt 5 oraz art. 2</w:t>
      </w:r>
      <w:r w:rsidR="00894003" w:rsidRPr="009A3C86">
        <w:rPr>
          <w:rFonts w:ascii="Times New Roman" w:hAnsi="Times New Roman"/>
          <w:b/>
          <w:sz w:val="24"/>
          <w:szCs w:val="24"/>
        </w:rPr>
        <w:t>21</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b/>
          <w:sz w:val="24"/>
          <w:szCs w:val="24"/>
        </w:rPr>
        <w:t> § 1 pkt 2, § 2 i § 3</w:t>
      </w:r>
      <w:r w:rsidRPr="009A3C86">
        <w:rPr>
          <w:rFonts w:ascii="Times New Roman" w:hAnsi="Times New Roman"/>
          <w:sz w:val="24"/>
          <w:szCs w:val="24"/>
        </w:rPr>
        <w:t xml:space="preserve"> przewidziano bowiem w tym zakresie rozwiązanie szczególne.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6. Przepis </w:t>
      </w:r>
      <w:r w:rsidRPr="009A3C86">
        <w:rPr>
          <w:rFonts w:ascii="Times New Roman" w:hAnsi="Times New Roman"/>
          <w:b/>
          <w:sz w:val="24"/>
          <w:szCs w:val="24"/>
        </w:rPr>
        <w:t>art. 2</w:t>
      </w:r>
      <w:r w:rsidR="00894003" w:rsidRPr="009A3C86">
        <w:rPr>
          <w:rFonts w:ascii="Times New Roman" w:hAnsi="Times New Roman"/>
          <w:b/>
          <w:sz w:val="24"/>
          <w:szCs w:val="24"/>
        </w:rPr>
        <w:t>23</w:t>
      </w:r>
      <w:r w:rsidRPr="009A3C86">
        <w:rPr>
          <w:rFonts w:ascii="Times New Roman" w:hAnsi="Times New Roman"/>
          <w:sz w:val="24"/>
          <w:szCs w:val="24"/>
        </w:rPr>
        <w:t xml:space="preserve"> stanowi, że oprocentowanie nadpłaty nie przysługuje w przypadku, o którym mowa w art. 2</w:t>
      </w:r>
      <w:r w:rsidR="00894003" w:rsidRPr="009A3C86">
        <w:rPr>
          <w:rFonts w:ascii="Times New Roman" w:hAnsi="Times New Roman"/>
          <w:sz w:val="24"/>
          <w:szCs w:val="24"/>
        </w:rPr>
        <w:t>20</w:t>
      </w:r>
      <w:r w:rsidRPr="009A3C86">
        <w:rPr>
          <w:rFonts w:ascii="Times New Roman" w:hAnsi="Times New Roman"/>
          <w:sz w:val="24"/>
          <w:szCs w:val="24"/>
        </w:rPr>
        <w:t xml:space="preserve"> pkt 1, jeżeli do powstania przesłanki zmiany lub uchylenia decyzji przyczynił się uprawniony do nadpłaty. Brak będzie również oprocentowania nadpłaty w przypadku, o którym mowa w art. 2</w:t>
      </w:r>
      <w:r w:rsidR="00894003" w:rsidRPr="009A3C86">
        <w:rPr>
          <w:rFonts w:ascii="Times New Roman" w:hAnsi="Times New Roman"/>
          <w:sz w:val="24"/>
          <w:szCs w:val="24"/>
        </w:rPr>
        <w:t>20</w:t>
      </w:r>
      <w:r w:rsidRPr="009A3C86">
        <w:rPr>
          <w:rFonts w:ascii="Times New Roman" w:hAnsi="Times New Roman"/>
          <w:sz w:val="24"/>
          <w:szCs w:val="24"/>
        </w:rPr>
        <w:t xml:space="preserve"> pkt 2, gdy do opóźnienia w zwrocie nadpłaty przyczynił się uprawniony do nadpłaty lub powstało ono z przyczyn niezależnych od organu, a także, gdy opóźnienie wynika z dokonania określonych czynności dla których przepisy prawa podatkowego określają terminy. Oznacza to, że nie będzie ono przysługiwać w przypadku, jeżeli nie została ona zwrócona w terminie do zwrotu nadpłaty, gdy do opóźnienia w zwrocie nadpłaty przyczynił się uprawniony do nadpłaty lub jego przedstawiciel. Celem tej regulacji jest ograniczenia zwrotu nadpłaty wraz z oprocentowaniem w przypadku, gdy nadpłata nie została zwrócona w terminie, w związku np. z nie wskazaniem przez podatnika rachunku bankowego, na który należność ta ma zostać być przekazana, czy też w przypadku, gdy podatnik zwleka z przedstawieniem dokumentów potwierdzających zasadność nadpłaty. Nie będzie tego oprocentowania także w przypadku, o którym mowa w art. 2</w:t>
      </w:r>
      <w:r w:rsidR="00894003" w:rsidRPr="009A3C86">
        <w:rPr>
          <w:rFonts w:ascii="Times New Roman" w:hAnsi="Times New Roman"/>
          <w:sz w:val="24"/>
          <w:szCs w:val="24"/>
        </w:rPr>
        <w:t>20</w:t>
      </w:r>
      <w:r w:rsidRPr="009A3C86">
        <w:rPr>
          <w:rFonts w:ascii="Times New Roman" w:hAnsi="Times New Roman"/>
          <w:sz w:val="24"/>
          <w:szCs w:val="24"/>
        </w:rPr>
        <w:t xml:space="preserve"> pkt 3 i 4, gdy do opóźnienia w wydaniu decyzji w terminie 2 miesięcy przyczynił się uprawniony do nadpłaty lub jego przedstawiciel lub opóźnienie powstało z przyczyn niezależnych od organu a także, gdy opóźnienie wynika z dokonania określonych czynności dla których przepisy prawa podatkowego określają terminy, przeprowadzenia rozprawy lub mediacji. Przyjęte rozwiązanie jest symetryczne do tego, które zostało przyjęte w art. 16</w:t>
      </w:r>
      <w:r w:rsidR="00665406" w:rsidRPr="009A3C86">
        <w:rPr>
          <w:rFonts w:ascii="Times New Roman" w:hAnsi="Times New Roman"/>
          <w:sz w:val="24"/>
          <w:szCs w:val="24"/>
        </w:rPr>
        <w:t>5</w:t>
      </w:r>
      <w:r w:rsidRPr="009A3C86">
        <w:rPr>
          <w:rFonts w:ascii="Times New Roman" w:hAnsi="Times New Roman"/>
          <w:sz w:val="24"/>
          <w:szCs w:val="24"/>
        </w:rPr>
        <w:t xml:space="preserve"> § 2 projektu. Konsekwencją zaistnienia tych przesłanek jest naliczanie odsetek za zwłokę od zaległości podatkowej, w przypadku gdy np. postępowanie podatkowe w sprawie określenia wysokości zobowiązania podatkowego trwało dłużej niż 2 miesiące, jeżeli do przekroczenia tego terminu przyczyniła się strona lub jej przedstawiciel lub opóźnienie powstało z przyczyn niezależnych od organu. W każdym ze wskazanych w art. 2</w:t>
      </w:r>
      <w:r w:rsidR="00665406" w:rsidRPr="009A3C86">
        <w:rPr>
          <w:rFonts w:ascii="Times New Roman" w:hAnsi="Times New Roman"/>
          <w:sz w:val="24"/>
          <w:szCs w:val="24"/>
        </w:rPr>
        <w:t>23</w:t>
      </w:r>
      <w:r w:rsidRPr="009A3C86">
        <w:rPr>
          <w:rFonts w:ascii="Times New Roman" w:hAnsi="Times New Roman"/>
          <w:sz w:val="24"/>
          <w:szCs w:val="24"/>
        </w:rPr>
        <w:t xml:space="preserve"> punktów mowa jest o tym, że nie przysługuje prawo do oprocentowania, gdy do wskazanego w tych przepisach opóźnienia nadpłaty przyczynił się uprawniony do nadpłaty. Celem tych regulacji jest jednak wskazanie, że konsekwencja braku oprocentowania nadpłaty będzie miała miejsce również w przypadku, gdy to przyczynienie się nastąpi na skutek działania lub braku działania innych podmiotów związanych z uprawnionych do nadpłaty np. przedstawiciela ustawowego, pełnomocnika podatnika, czy pełnomocnika tego przedstawiciela ustawowego.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7. Przepis </w:t>
      </w:r>
      <w:r w:rsidRPr="009A3C86">
        <w:rPr>
          <w:rFonts w:ascii="Times New Roman" w:hAnsi="Times New Roman"/>
          <w:b/>
          <w:sz w:val="24"/>
          <w:szCs w:val="24"/>
        </w:rPr>
        <w:t>art. 2</w:t>
      </w:r>
      <w:r w:rsidR="00665406" w:rsidRPr="009A3C86">
        <w:rPr>
          <w:rFonts w:ascii="Times New Roman" w:hAnsi="Times New Roman"/>
          <w:b/>
          <w:sz w:val="24"/>
          <w:szCs w:val="24"/>
        </w:rPr>
        <w:t>24</w:t>
      </w:r>
      <w:r w:rsidRPr="009A3C86">
        <w:rPr>
          <w:rFonts w:ascii="Times New Roman" w:hAnsi="Times New Roman"/>
          <w:sz w:val="24"/>
          <w:szCs w:val="24"/>
        </w:rPr>
        <w:t xml:space="preserve"> stanowi, że na wniosek uprawnionego do nadpłaty, któremu zaliczono lub zwrócono nadpłatę bez wydawania decyzji, organ podatkowy wydaje decyzję w sprawie oprocentowania nadpłaty, w której stwierdza, czy i za jaki okres ono przysługuje. Przepis ten uzupełnia także mechanizm zawarty w art. 2</w:t>
      </w:r>
      <w:r w:rsidR="00665406" w:rsidRPr="009A3C86">
        <w:rPr>
          <w:rFonts w:ascii="Times New Roman" w:hAnsi="Times New Roman"/>
          <w:sz w:val="24"/>
          <w:szCs w:val="24"/>
        </w:rPr>
        <w:t>12</w:t>
      </w:r>
      <w:r w:rsidRPr="009A3C86">
        <w:rPr>
          <w:rFonts w:ascii="Times New Roman" w:hAnsi="Times New Roman"/>
          <w:sz w:val="24"/>
          <w:szCs w:val="24"/>
        </w:rPr>
        <w:t xml:space="preserve"> § 2, zgodnie z którym, jeżeli kwota dokonanego </w:t>
      </w:r>
      <w:r w:rsidRPr="009A3C86">
        <w:rPr>
          <w:rFonts w:ascii="Times New Roman" w:hAnsi="Times New Roman"/>
          <w:sz w:val="24"/>
          <w:szCs w:val="24"/>
        </w:rPr>
        <w:lastRenderedPageBreak/>
        <w:t xml:space="preserve">zwrotu nadpłaty nie pokrywa kwoty nadpłaty wraz z jej oprocentowaniem, zwróconą kwotę zalicza się proporcjonalnie na poczet kwoty nadpłaty oraz kwoty jej oprocentowania w takim stosunku, w jakim w dniu zwrotu pozostaje kwota nadpłaty do kwoty oprocentowania. Przepis </w:t>
      </w:r>
      <w:r w:rsidRPr="009A3C86">
        <w:rPr>
          <w:rFonts w:ascii="Times New Roman" w:hAnsi="Times New Roman"/>
          <w:b/>
          <w:sz w:val="24"/>
          <w:szCs w:val="24"/>
        </w:rPr>
        <w:t>art. 2</w:t>
      </w:r>
      <w:r w:rsidR="00665406" w:rsidRPr="009A3C86">
        <w:rPr>
          <w:rFonts w:ascii="Times New Roman" w:hAnsi="Times New Roman"/>
          <w:b/>
          <w:sz w:val="24"/>
          <w:szCs w:val="24"/>
        </w:rPr>
        <w:t>24</w:t>
      </w:r>
      <w:r w:rsidRPr="009A3C86">
        <w:rPr>
          <w:rFonts w:ascii="Times New Roman" w:hAnsi="Times New Roman"/>
          <w:sz w:val="24"/>
          <w:szCs w:val="24"/>
        </w:rPr>
        <w:t xml:space="preserve"> ma zastosowanie, gdy organ nie wydaje decyzji w sprawie nadpłaty (m.in. gdy nadpłata wynika z deklaracji, korekty deklaracji, których organ nie kwestionuje lub wniosku podatnika o stwierdzenie nadpłaty, który organ uwzględnia w całości), a podatnikowi przysługuje oprocentowanie. W takich przypadkach organ przekazuje oprocentowanie bez wydawania decyzji w tej sprawie. W każdym jednak przypadku podatnik powinien mieć możliwość wystąpienia z wnioskiem o weryfikację, czy przysługuje mu oprocentowanie na podstawie przepisów niniejszego oddziału. </w:t>
      </w:r>
    </w:p>
    <w:p w:rsidR="00326528" w:rsidRPr="009A3C86" w:rsidRDefault="00326528"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8. Z przepisu </w:t>
      </w:r>
      <w:r w:rsidRPr="009A3C86">
        <w:rPr>
          <w:rFonts w:ascii="Times New Roman" w:hAnsi="Times New Roman"/>
          <w:b/>
          <w:sz w:val="24"/>
          <w:szCs w:val="24"/>
        </w:rPr>
        <w:t>art. 2</w:t>
      </w:r>
      <w:r w:rsidR="00665406" w:rsidRPr="009A3C86">
        <w:rPr>
          <w:rFonts w:ascii="Times New Roman" w:hAnsi="Times New Roman"/>
          <w:b/>
          <w:sz w:val="24"/>
          <w:szCs w:val="24"/>
        </w:rPr>
        <w:t>25</w:t>
      </w:r>
      <w:r w:rsidRPr="009A3C86">
        <w:rPr>
          <w:rFonts w:ascii="Times New Roman" w:hAnsi="Times New Roman"/>
          <w:sz w:val="24"/>
          <w:szCs w:val="24"/>
        </w:rPr>
        <w:t xml:space="preserve"> wynika, że przepisy niniejszego rozdziału, z zastrzeżeniem oddziału 7, stosuje się odpowiednio do oprocentowania nadpłaty. Oznacza to, że m.in. organ podatkowy powinien na podstawie art. 19</w:t>
      </w:r>
      <w:r w:rsidR="008E1295" w:rsidRPr="009A3C86">
        <w:rPr>
          <w:rFonts w:ascii="Times New Roman" w:hAnsi="Times New Roman"/>
          <w:sz w:val="24"/>
          <w:szCs w:val="24"/>
        </w:rPr>
        <w:t>1</w:t>
      </w:r>
      <w:r w:rsidRPr="009A3C86">
        <w:rPr>
          <w:rFonts w:ascii="Times New Roman" w:hAnsi="Times New Roman"/>
          <w:bCs/>
          <w:sz w:val="24"/>
          <w:szCs w:val="24"/>
        </w:rPr>
        <w:t xml:space="preserve"> § 1 w zw. z tym przepisem dokonać zaliczenia lub zwrócić oprocentowanie nadpłaty bez wydawania decyzji, chyba że zaistnieją okoliczności, w których niezbędne będzie wydawanie decyzji dotyczącej nadpłaty. Na podstawie natomiast np. </w:t>
      </w:r>
      <w:r w:rsidRPr="009A3C86">
        <w:rPr>
          <w:rFonts w:ascii="Times New Roman" w:hAnsi="Times New Roman"/>
          <w:sz w:val="24"/>
          <w:szCs w:val="24"/>
        </w:rPr>
        <w:t xml:space="preserve">art. </w:t>
      </w:r>
      <w:r w:rsidR="00665406" w:rsidRPr="009A3C86">
        <w:rPr>
          <w:rFonts w:ascii="Times New Roman" w:hAnsi="Times New Roman"/>
          <w:sz w:val="24"/>
          <w:szCs w:val="24"/>
        </w:rPr>
        <w:t>205</w:t>
      </w:r>
      <w:r w:rsidRPr="009A3C86">
        <w:rPr>
          <w:rFonts w:ascii="Times New Roman" w:hAnsi="Times New Roman"/>
          <w:sz w:val="24"/>
          <w:szCs w:val="24"/>
        </w:rPr>
        <w:t xml:space="preserve"> § 1 </w:t>
      </w:r>
      <w:r w:rsidRPr="009A3C86">
        <w:rPr>
          <w:rFonts w:ascii="Times New Roman" w:hAnsi="Times New Roman"/>
          <w:bCs/>
          <w:sz w:val="24"/>
          <w:szCs w:val="24"/>
        </w:rPr>
        <w:t xml:space="preserve">w zw. z art. </w:t>
      </w:r>
      <w:r w:rsidRPr="009A3C86">
        <w:rPr>
          <w:rFonts w:ascii="Times New Roman" w:hAnsi="Times New Roman"/>
          <w:sz w:val="24"/>
          <w:szCs w:val="24"/>
        </w:rPr>
        <w:t>1</w:t>
      </w:r>
      <w:r w:rsidR="008E1295" w:rsidRPr="009A3C86">
        <w:rPr>
          <w:rFonts w:ascii="Times New Roman" w:hAnsi="Times New Roman"/>
          <w:sz w:val="24"/>
          <w:szCs w:val="24"/>
        </w:rPr>
        <w:t>88</w:t>
      </w:r>
      <w:r w:rsidRPr="009A3C86">
        <w:rPr>
          <w:rFonts w:ascii="Times New Roman" w:hAnsi="Times New Roman"/>
          <w:sz w:val="24"/>
          <w:szCs w:val="24"/>
        </w:rPr>
        <w:t xml:space="preserve"> </w:t>
      </w:r>
      <w:r w:rsidRPr="009A3C86">
        <w:rPr>
          <w:rFonts w:ascii="Times New Roman" w:hAnsi="Times New Roman"/>
          <w:bCs/>
          <w:sz w:val="24"/>
          <w:szCs w:val="24"/>
        </w:rPr>
        <w:t xml:space="preserve">nastąpi </w:t>
      </w:r>
      <w:r w:rsidRPr="009A3C86">
        <w:rPr>
          <w:rFonts w:ascii="Times New Roman" w:hAnsi="Times New Roman"/>
          <w:sz w:val="24"/>
          <w:szCs w:val="24"/>
        </w:rPr>
        <w:t>zaliczenie oprocentowania nadpłaty z urzędu na poczet zaległości podatkowych wraz z odsetkami za zwłokę̨, odsetek za zwłokę̨ od nieuregulowanych w terminie zaliczek na podatek, kosztów upomnienia, kosztów postępowania, kary porządkowej oraz bieżących zobowiązań́ podatkowych.</w:t>
      </w:r>
    </w:p>
    <w:p w:rsidR="00326528" w:rsidRPr="009A3C86" w:rsidRDefault="00326528" w:rsidP="00326528">
      <w:pPr>
        <w:keepNext/>
        <w:keepLines/>
        <w:spacing w:after="0" w:line="360" w:lineRule="auto"/>
        <w:jc w:val="both"/>
        <w:outlineLvl w:val="3"/>
        <w:rPr>
          <w:rFonts w:ascii="Times New Roman" w:eastAsia="Times New Roman" w:hAnsi="Times New Roman"/>
          <w:b/>
          <w:iCs/>
          <w:sz w:val="24"/>
          <w:szCs w:val="24"/>
        </w:rPr>
      </w:pPr>
      <w:bookmarkStart w:id="28" w:name="_Toc494363255"/>
      <w:r w:rsidRPr="009A3C86">
        <w:rPr>
          <w:rFonts w:ascii="Times New Roman" w:eastAsia="Times New Roman" w:hAnsi="Times New Roman"/>
          <w:b/>
          <w:iCs/>
          <w:sz w:val="24"/>
          <w:szCs w:val="24"/>
        </w:rPr>
        <w:t xml:space="preserve">Oddział </w:t>
      </w:r>
      <w:r w:rsidR="00665406" w:rsidRPr="009A3C86">
        <w:rPr>
          <w:rFonts w:ascii="Times New Roman" w:eastAsia="Times New Roman" w:hAnsi="Times New Roman"/>
          <w:b/>
          <w:iCs/>
          <w:sz w:val="24"/>
          <w:szCs w:val="24"/>
        </w:rPr>
        <w:t>9</w:t>
      </w:r>
      <w:r w:rsidRPr="009A3C86">
        <w:rPr>
          <w:rFonts w:ascii="Times New Roman" w:eastAsia="Times New Roman" w:hAnsi="Times New Roman"/>
          <w:b/>
          <w:iCs/>
          <w:sz w:val="24"/>
          <w:szCs w:val="24"/>
        </w:rPr>
        <w:t>. Przedawnienie prawa do stwierdzenia nadpłaty i zwrotu nadpłaty</w:t>
      </w:r>
      <w:bookmarkEnd w:id="28"/>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1. W związku z wprowadzeniem rozróżnienia na przedawnienie wymiaru i przedawnienie poboru niezbędne było wprowadzenie modyfikacji obecnie funkcjonujących przepisów dotyczących przede wszystkim przedawnienia prawa do stwierdzenia nadpłaty. W przepisie </w:t>
      </w:r>
      <w:r w:rsidRPr="009A3C86">
        <w:rPr>
          <w:rFonts w:ascii="Times New Roman" w:hAnsi="Times New Roman"/>
          <w:b/>
          <w:sz w:val="24"/>
          <w:szCs w:val="24"/>
        </w:rPr>
        <w:t>art. 2</w:t>
      </w:r>
      <w:r w:rsidR="00665406" w:rsidRPr="009A3C86">
        <w:rPr>
          <w:rFonts w:ascii="Times New Roman" w:hAnsi="Times New Roman"/>
          <w:b/>
          <w:sz w:val="24"/>
          <w:szCs w:val="24"/>
        </w:rPr>
        <w:t>26</w:t>
      </w:r>
      <w:r w:rsidRPr="009A3C86">
        <w:rPr>
          <w:rFonts w:ascii="Times New Roman" w:hAnsi="Times New Roman"/>
          <w:sz w:val="24"/>
          <w:szCs w:val="24"/>
        </w:rPr>
        <w:t xml:space="preserve"> wprowadzono przepis, który wyznacza zasadę ogólną w zakresie przedmiotowej instytucji.  W </w:t>
      </w:r>
      <w:r w:rsidRPr="009A3C86">
        <w:rPr>
          <w:rFonts w:ascii="Times New Roman" w:hAnsi="Times New Roman"/>
          <w:b/>
          <w:sz w:val="24"/>
          <w:szCs w:val="24"/>
        </w:rPr>
        <w:t xml:space="preserve">art. </w:t>
      </w:r>
      <w:r w:rsidR="00665406" w:rsidRPr="009A3C86">
        <w:rPr>
          <w:rFonts w:ascii="Times New Roman" w:hAnsi="Times New Roman"/>
          <w:b/>
          <w:sz w:val="24"/>
          <w:szCs w:val="24"/>
        </w:rPr>
        <w:t>2</w:t>
      </w:r>
      <w:r w:rsidR="00BF7084" w:rsidRPr="009A3C86">
        <w:rPr>
          <w:rFonts w:ascii="Times New Roman" w:hAnsi="Times New Roman"/>
          <w:b/>
          <w:sz w:val="24"/>
          <w:szCs w:val="24"/>
        </w:rPr>
        <w:t>28</w:t>
      </w:r>
      <w:r w:rsidRPr="009A3C86">
        <w:rPr>
          <w:rFonts w:ascii="Times New Roman" w:hAnsi="Times New Roman"/>
          <w:b/>
          <w:sz w:val="24"/>
          <w:szCs w:val="24"/>
        </w:rPr>
        <w:t>-2</w:t>
      </w:r>
      <w:r w:rsidR="00BF7084" w:rsidRPr="009A3C86">
        <w:rPr>
          <w:rFonts w:ascii="Times New Roman" w:hAnsi="Times New Roman"/>
          <w:b/>
          <w:sz w:val="24"/>
          <w:szCs w:val="24"/>
        </w:rPr>
        <w:t>30</w:t>
      </w:r>
      <w:r w:rsidRPr="009A3C86">
        <w:rPr>
          <w:rFonts w:ascii="Times New Roman" w:hAnsi="Times New Roman"/>
          <w:sz w:val="24"/>
          <w:szCs w:val="24"/>
        </w:rPr>
        <w:t xml:space="preserve"> znajdują się wyjątki od tej zasady. W </w:t>
      </w:r>
      <w:r w:rsidRPr="009A3C86">
        <w:rPr>
          <w:rFonts w:ascii="Times New Roman" w:hAnsi="Times New Roman"/>
          <w:b/>
          <w:sz w:val="24"/>
          <w:szCs w:val="24"/>
        </w:rPr>
        <w:t>art. 2</w:t>
      </w:r>
      <w:r w:rsidR="00665406" w:rsidRPr="009A3C86">
        <w:rPr>
          <w:rFonts w:ascii="Times New Roman" w:hAnsi="Times New Roman"/>
          <w:b/>
          <w:sz w:val="24"/>
          <w:szCs w:val="24"/>
        </w:rPr>
        <w:t>32</w:t>
      </w:r>
      <w:r w:rsidRPr="009A3C86">
        <w:rPr>
          <w:rFonts w:ascii="Times New Roman" w:hAnsi="Times New Roman"/>
          <w:sz w:val="24"/>
          <w:szCs w:val="24"/>
        </w:rPr>
        <w:t xml:space="preserve"> uregulowano natomiast przedawnienie zwrotu nadpłaty.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art. 2</w:t>
      </w:r>
      <w:r w:rsidR="00665406" w:rsidRPr="009A3C86">
        <w:rPr>
          <w:rFonts w:ascii="Times New Roman" w:hAnsi="Times New Roman"/>
          <w:b/>
          <w:sz w:val="24"/>
          <w:szCs w:val="24"/>
        </w:rPr>
        <w:t>26</w:t>
      </w:r>
      <w:r w:rsidRPr="009A3C86">
        <w:rPr>
          <w:rFonts w:ascii="Times New Roman" w:hAnsi="Times New Roman"/>
          <w:sz w:val="24"/>
          <w:szCs w:val="24"/>
        </w:rPr>
        <w:t xml:space="preserve"> § 1 stanowi, że prawo do złożenia wniosku o stwierdzenie nadpłaty wygasa wraz z upływem terminu przedawnienia wymiaru, z zastrzeżeniem art. 2</w:t>
      </w:r>
      <w:r w:rsidR="00665406" w:rsidRPr="009A3C86">
        <w:rPr>
          <w:rFonts w:ascii="Times New Roman" w:hAnsi="Times New Roman"/>
          <w:sz w:val="24"/>
          <w:szCs w:val="24"/>
        </w:rPr>
        <w:t>28</w:t>
      </w:r>
      <w:r w:rsidRPr="009A3C86">
        <w:rPr>
          <w:rFonts w:ascii="Times New Roman" w:hAnsi="Times New Roman"/>
          <w:sz w:val="24"/>
          <w:szCs w:val="24"/>
        </w:rPr>
        <w:t>-2</w:t>
      </w:r>
      <w:r w:rsidR="00665406" w:rsidRPr="009A3C86">
        <w:rPr>
          <w:rFonts w:ascii="Times New Roman" w:hAnsi="Times New Roman"/>
          <w:sz w:val="24"/>
          <w:szCs w:val="24"/>
        </w:rPr>
        <w:t>30</w:t>
      </w:r>
      <w:r w:rsidRPr="009A3C86">
        <w:rPr>
          <w:rFonts w:ascii="Times New Roman" w:hAnsi="Times New Roman"/>
          <w:sz w:val="24"/>
          <w:szCs w:val="24"/>
        </w:rPr>
        <w:t xml:space="preserve">. Przepis </w:t>
      </w:r>
      <w:r w:rsidRPr="009A3C86">
        <w:rPr>
          <w:rFonts w:ascii="Times New Roman" w:hAnsi="Times New Roman"/>
          <w:b/>
          <w:sz w:val="24"/>
          <w:szCs w:val="24"/>
        </w:rPr>
        <w:t>art. 2</w:t>
      </w:r>
      <w:r w:rsidR="00665406" w:rsidRPr="009A3C86">
        <w:rPr>
          <w:rFonts w:ascii="Times New Roman" w:hAnsi="Times New Roman"/>
          <w:b/>
          <w:sz w:val="24"/>
          <w:szCs w:val="24"/>
        </w:rPr>
        <w:t>26</w:t>
      </w:r>
      <w:r w:rsidRPr="009A3C86">
        <w:rPr>
          <w:rFonts w:ascii="Times New Roman" w:hAnsi="Times New Roman"/>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xml:space="preserve"> stanowi natomiast, że organ podatkowy nie wszczyna z urzędu postępowania w sprawie stwierdzenia nadpłaty po upływie terminu przedawnienia wymiaru, a postępowanie wszczęte z urzędu przed tym terminem organ powinien rozpatrzyć także po upływie tego terminu. </w:t>
      </w:r>
      <w:r w:rsidRPr="009A3C86">
        <w:rPr>
          <w:rFonts w:ascii="Times New Roman" w:hAnsi="Times New Roman"/>
          <w:sz w:val="24"/>
          <w:szCs w:val="24"/>
        </w:rPr>
        <w:tab/>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3. Zgodnie z </w:t>
      </w:r>
      <w:r w:rsidRPr="009A3C86">
        <w:rPr>
          <w:rFonts w:ascii="Times New Roman" w:hAnsi="Times New Roman"/>
          <w:b/>
          <w:sz w:val="24"/>
          <w:szCs w:val="24"/>
        </w:rPr>
        <w:t>art. 2</w:t>
      </w:r>
      <w:r w:rsidR="00665406" w:rsidRPr="009A3C86">
        <w:rPr>
          <w:rFonts w:ascii="Times New Roman" w:hAnsi="Times New Roman"/>
          <w:b/>
          <w:sz w:val="24"/>
          <w:szCs w:val="24"/>
        </w:rPr>
        <w:t>27</w:t>
      </w:r>
      <w:r w:rsidRPr="009A3C86">
        <w:rPr>
          <w:rFonts w:ascii="Times New Roman" w:hAnsi="Times New Roman"/>
          <w:sz w:val="24"/>
          <w:szCs w:val="24"/>
        </w:rPr>
        <w:t xml:space="preserve"> § 1 w przypadku złożenia wniosku o stwierdzenie nadpłaty przed upływem terminu, o którym mowa w art. 2</w:t>
      </w:r>
      <w:r w:rsidR="00665406" w:rsidRPr="009A3C86">
        <w:rPr>
          <w:rFonts w:ascii="Times New Roman" w:hAnsi="Times New Roman"/>
          <w:sz w:val="24"/>
          <w:szCs w:val="24"/>
        </w:rPr>
        <w:t>26</w:t>
      </w:r>
      <w:r w:rsidRPr="009A3C86">
        <w:rPr>
          <w:rFonts w:ascii="Times New Roman" w:hAnsi="Times New Roman"/>
          <w:sz w:val="24"/>
          <w:szCs w:val="24"/>
        </w:rPr>
        <w:t xml:space="preserve">, i rozpatrywania go po upływie terminu </w:t>
      </w:r>
      <w:r w:rsidRPr="009A3C86">
        <w:rPr>
          <w:rFonts w:ascii="Times New Roman" w:hAnsi="Times New Roman"/>
          <w:sz w:val="24"/>
          <w:szCs w:val="24"/>
        </w:rPr>
        <w:lastRenderedPageBreak/>
        <w:t xml:space="preserve">przedawnienia wymiaru, organ podatkowy wydaje decyzję na podstawie </w:t>
      </w:r>
      <w:r w:rsidRPr="009A3C86">
        <w:rPr>
          <w:rFonts w:ascii="Times New Roman" w:hAnsi="Times New Roman"/>
          <w:szCs w:val="24"/>
        </w:rPr>
        <w:t>art. 19</w:t>
      </w:r>
      <w:r w:rsidR="008E1295" w:rsidRPr="009A3C86">
        <w:rPr>
          <w:rFonts w:ascii="Times New Roman" w:hAnsi="Times New Roman"/>
          <w:szCs w:val="24"/>
        </w:rPr>
        <w:t>1</w:t>
      </w:r>
      <w:r w:rsidRPr="009A3C86">
        <w:rPr>
          <w:rFonts w:ascii="Times New Roman" w:hAnsi="Times New Roman"/>
          <w:szCs w:val="24"/>
        </w:rPr>
        <w:t xml:space="preserve"> § 2, art. 19</w:t>
      </w:r>
      <w:r w:rsidR="008E1295" w:rsidRPr="009A3C86">
        <w:rPr>
          <w:rFonts w:ascii="Times New Roman" w:hAnsi="Times New Roman"/>
          <w:szCs w:val="24"/>
        </w:rPr>
        <w:t>2</w:t>
      </w:r>
      <w:r w:rsidRPr="009A3C86">
        <w:rPr>
          <w:rFonts w:ascii="Times New Roman" w:hAnsi="Times New Roman"/>
          <w:szCs w:val="24"/>
        </w:rPr>
        <w:t xml:space="preserve"> lub art. </w:t>
      </w:r>
      <w:r w:rsidR="008E1295" w:rsidRPr="009A3C86">
        <w:rPr>
          <w:rFonts w:ascii="Times New Roman" w:hAnsi="Times New Roman"/>
          <w:szCs w:val="24"/>
        </w:rPr>
        <w:t>19</w:t>
      </w:r>
      <w:r w:rsidR="00665406" w:rsidRPr="009A3C86">
        <w:rPr>
          <w:rFonts w:ascii="Times New Roman" w:hAnsi="Times New Roman"/>
          <w:szCs w:val="24"/>
        </w:rPr>
        <w:t>6</w:t>
      </w:r>
      <w:r w:rsidRPr="009A3C86">
        <w:rPr>
          <w:rFonts w:ascii="Times New Roman" w:hAnsi="Times New Roman"/>
          <w:szCs w:val="24"/>
        </w:rPr>
        <w:t> § 1</w:t>
      </w:r>
      <w:r w:rsidRPr="009A3C86">
        <w:rPr>
          <w:rFonts w:ascii="Times New Roman" w:hAnsi="Times New Roman"/>
          <w:sz w:val="24"/>
          <w:szCs w:val="24"/>
        </w:rPr>
        <w:t xml:space="preserve">. W decyzji wydanej na podstawie </w:t>
      </w:r>
      <w:r w:rsidRPr="009A3C86">
        <w:rPr>
          <w:rFonts w:ascii="Times New Roman" w:hAnsi="Times New Roman"/>
          <w:szCs w:val="24"/>
        </w:rPr>
        <w:t>art. 19</w:t>
      </w:r>
      <w:r w:rsidR="008E1295" w:rsidRPr="009A3C86">
        <w:rPr>
          <w:rFonts w:ascii="Times New Roman" w:hAnsi="Times New Roman"/>
          <w:szCs w:val="24"/>
        </w:rPr>
        <w:t>2</w:t>
      </w:r>
      <w:r w:rsidRPr="009A3C86">
        <w:rPr>
          <w:rFonts w:ascii="Times New Roman" w:hAnsi="Times New Roman"/>
          <w:szCs w:val="24"/>
        </w:rPr>
        <w:t xml:space="preserve"> lub art. </w:t>
      </w:r>
      <w:r w:rsidR="008E1295" w:rsidRPr="009A3C86">
        <w:rPr>
          <w:rFonts w:ascii="Times New Roman" w:hAnsi="Times New Roman"/>
          <w:szCs w:val="24"/>
        </w:rPr>
        <w:t>19</w:t>
      </w:r>
      <w:r w:rsidR="00665406" w:rsidRPr="009A3C86">
        <w:rPr>
          <w:rFonts w:ascii="Times New Roman" w:hAnsi="Times New Roman"/>
          <w:szCs w:val="24"/>
        </w:rPr>
        <w:t>6</w:t>
      </w:r>
      <w:r w:rsidRPr="009A3C86">
        <w:rPr>
          <w:rFonts w:ascii="Times New Roman" w:hAnsi="Times New Roman"/>
          <w:szCs w:val="24"/>
        </w:rPr>
        <w:t xml:space="preserve"> § 1 </w:t>
      </w:r>
      <w:r w:rsidRPr="009A3C86">
        <w:rPr>
          <w:rFonts w:ascii="Times New Roman" w:hAnsi="Times New Roman"/>
          <w:sz w:val="24"/>
          <w:szCs w:val="24"/>
        </w:rPr>
        <w:t xml:space="preserve">nie określa się wysokości zobowiązania w kwocie wyższej niż wynikająca z uprzednio złożonej deklaracji lub kwoty, która została zapłacona w przypadku niezłożenia deklaracji. </w:t>
      </w:r>
      <w:r w:rsidRPr="009A3C86">
        <w:rPr>
          <w:rFonts w:ascii="Times New Roman" w:hAnsi="Times New Roman"/>
          <w:iCs/>
          <w:sz w:val="24"/>
          <w:szCs w:val="24"/>
        </w:rPr>
        <w:t xml:space="preserve">Przepis ten stanowi zmodyfikowany odpowiednik art. </w:t>
      </w:r>
      <w:r w:rsidRPr="009A3C86">
        <w:rPr>
          <w:rFonts w:ascii="Times New Roman" w:hAnsi="Times New Roman"/>
          <w:sz w:val="24"/>
          <w:szCs w:val="24"/>
        </w:rPr>
        <w:t xml:space="preserve">79 § 3 o.p. W konsekwencji na podstawie tego przepisu np. w decyzji wydanej na podstawie art. </w:t>
      </w:r>
      <w:r w:rsidR="008E1295" w:rsidRPr="009A3C86">
        <w:rPr>
          <w:rFonts w:ascii="Times New Roman" w:hAnsi="Times New Roman"/>
          <w:sz w:val="24"/>
          <w:szCs w:val="24"/>
        </w:rPr>
        <w:t>19</w:t>
      </w:r>
      <w:r w:rsidR="000E21EA" w:rsidRPr="009A3C86">
        <w:rPr>
          <w:rFonts w:ascii="Times New Roman" w:hAnsi="Times New Roman"/>
          <w:sz w:val="24"/>
          <w:szCs w:val="24"/>
        </w:rPr>
        <w:t>6</w:t>
      </w:r>
      <w:r w:rsidRPr="009A3C86">
        <w:rPr>
          <w:rFonts w:ascii="Times New Roman" w:hAnsi="Times New Roman"/>
          <w:sz w:val="24"/>
          <w:szCs w:val="24"/>
        </w:rPr>
        <w:t xml:space="preserve"> § 1 tj. gdy po złożeniu wniosku o stwierdzenie nadpłaty zostanie wszczęte z urzędu np. postępowanie w sprawie określenia wysokości zobowiązania podatkowego, organ podatkowy nie będzie </w:t>
      </w:r>
      <w:r w:rsidRPr="009A3C86">
        <w:rPr>
          <w:rFonts w:ascii="Times New Roman" w:hAnsi="Times New Roman"/>
          <w:iCs/>
          <w:sz w:val="24"/>
          <w:szCs w:val="24"/>
        </w:rPr>
        <w:t xml:space="preserve">mógł </w:t>
      </w:r>
      <w:r w:rsidRPr="009A3C86">
        <w:rPr>
          <w:rFonts w:ascii="Times New Roman" w:hAnsi="Times New Roman"/>
          <w:sz w:val="24"/>
          <w:szCs w:val="24"/>
        </w:rPr>
        <w:t xml:space="preserve">określić wysokości zobowiązania w kwocie wyższej niż wynikająca </w:t>
      </w:r>
      <w:r w:rsidRPr="009A3C86">
        <w:rPr>
          <w:rFonts w:ascii="Times New Roman" w:hAnsi="Times New Roman"/>
          <w:iCs/>
          <w:sz w:val="24"/>
          <w:szCs w:val="24"/>
        </w:rPr>
        <w:t>z uprzednio złożonej deklaracji lub kwoty, która została zapłacona w przypadku niezłożenia deklaracji</w:t>
      </w:r>
      <w:r w:rsidRPr="009A3C86">
        <w:rPr>
          <w:rFonts w:ascii="Times New Roman" w:hAnsi="Times New Roman"/>
          <w:sz w:val="24"/>
          <w:szCs w:val="24"/>
        </w:rPr>
        <w:t>.</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 Z </w:t>
      </w:r>
      <w:r w:rsidRPr="009A3C86">
        <w:rPr>
          <w:rFonts w:ascii="Times New Roman" w:hAnsi="Times New Roman"/>
          <w:b/>
          <w:sz w:val="24"/>
          <w:szCs w:val="24"/>
        </w:rPr>
        <w:t>art. 2</w:t>
      </w:r>
      <w:r w:rsidR="000E21EA" w:rsidRPr="009A3C86">
        <w:rPr>
          <w:rFonts w:ascii="Times New Roman" w:hAnsi="Times New Roman"/>
          <w:b/>
          <w:sz w:val="24"/>
          <w:szCs w:val="24"/>
        </w:rPr>
        <w:t>27</w:t>
      </w:r>
      <w:r w:rsidRPr="009A3C86">
        <w:rPr>
          <w:rFonts w:ascii="Times New Roman" w:hAnsi="Times New Roman"/>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xml:space="preserve"> wynika, że przepis § 1 stosuje się odpowiednio w zakresie wskazanej w złożonej deklaracji wysokości</w:t>
      </w:r>
      <w:r w:rsidRPr="009A3C86">
        <w:rPr>
          <w:rFonts w:ascii="Times New Roman" w:hAnsi="Times New Roman"/>
          <w:strike/>
          <w:sz w:val="24"/>
          <w:szCs w:val="24"/>
        </w:rPr>
        <w:t>:</w:t>
      </w:r>
      <w:r w:rsidRPr="009A3C86">
        <w:rPr>
          <w:rFonts w:ascii="Times New Roman" w:hAnsi="Times New Roman"/>
          <w:sz w:val="24"/>
          <w:szCs w:val="24"/>
        </w:rPr>
        <w:t xml:space="preserve"> dochodu, przychodu, zysku, lub straty, z tym że w zakresie straty, organ podatkowy dokonuje wymiaru w kwocie nie niższej niż wynikająca z uprzednio złożonej deklaracji. </w:t>
      </w:r>
      <w:r w:rsidRPr="009A3C86">
        <w:rPr>
          <w:rFonts w:ascii="Times New Roman" w:hAnsi="Times New Roman"/>
          <w:bCs/>
          <w:sz w:val="24"/>
          <w:szCs w:val="24"/>
        </w:rPr>
        <w:t xml:space="preserve">W konsekwencji organ podatkowy, wydając decyzję w okolicznościach, o których mowa w </w:t>
      </w:r>
      <w:r w:rsidRPr="009A3C86">
        <w:rPr>
          <w:rFonts w:ascii="Times New Roman" w:hAnsi="Times New Roman"/>
          <w:sz w:val="24"/>
          <w:szCs w:val="24"/>
        </w:rPr>
        <w:t xml:space="preserve">§ 1,  nie powinien wraz z decyzją w sprawie nadpłaty dokonać wymiaru np. straty w wysokości niższej </w:t>
      </w:r>
      <w:r w:rsidRPr="009A3C86">
        <w:rPr>
          <w:rFonts w:ascii="Times New Roman" w:hAnsi="Times New Roman"/>
          <w:iCs/>
          <w:sz w:val="24"/>
          <w:szCs w:val="24"/>
        </w:rPr>
        <w:t>od kwoty straty wynikającej z uprzednio złożonej deklaracji.</w:t>
      </w:r>
      <w:r w:rsidRPr="009A3C86">
        <w:rPr>
          <w:rFonts w:ascii="Times New Roman" w:hAnsi="Times New Roman"/>
          <w:sz w:val="24"/>
          <w:szCs w:val="24"/>
        </w:rPr>
        <w:t xml:space="preserve">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art. 2</w:t>
      </w:r>
      <w:r w:rsidR="000E21EA" w:rsidRPr="009A3C86">
        <w:rPr>
          <w:rFonts w:ascii="Times New Roman" w:hAnsi="Times New Roman"/>
          <w:b/>
          <w:sz w:val="24"/>
          <w:szCs w:val="24"/>
        </w:rPr>
        <w:t>28</w:t>
      </w:r>
      <w:r w:rsidRPr="009A3C86">
        <w:rPr>
          <w:rFonts w:ascii="Times New Roman" w:hAnsi="Times New Roman"/>
          <w:sz w:val="24"/>
          <w:szCs w:val="24"/>
        </w:rPr>
        <w:t xml:space="preserve"> stanowi, że przepisu art. 2</w:t>
      </w:r>
      <w:r w:rsidR="000E21EA" w:rsidRPr="009A3C86">
        <w:rPr>
          <w:rFonts w:ascii="Times New Roman" w:hAnsi="Times New Roman"/>
          <w:sz w:val="24"/>
          <w:szCs w:val="24"/>
        </w:rPr>
        <w:t>26</w:t>
      </w:r>
      <w:r w:rsidRPr="009A3C86">
        <w:rPr>
          <w:rFonts w:ascii="Times New Roman" w:hAnsi="Times New Roman"/>
          <w:sz w:val="24"/>
          <w:szCs w:val="24"/>
        </w:rPr>
        <w:t xml:space="preserve"> nie stosuje się, jeżeli istnienie nadpłaty wynika z porozumienia zawartego w trybie procedury wzajemnego porozumiewania lub procedury arbitrażowej, prowadzonych na podstawie ratyfikowanych umów o unikaniu podwójnego opodatkowania lub innych ratyfikowanych umów międzynarodowych, których stroną jest Rzeczpospolita Polska. W konsekwencji wniosek o stwierdzenie nadpłaty w opisanej wyżej sytuacji może być złożony bez jakichkolwiek ograniczeń czasowych.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art. 2</w:t>
      </w:r>
      <w:r w:rsidR="000E21EA" w:rsidRPr="009A3C86">
        <w:rPr>
          <w:rFonts w:ascii="Times New Roman" w:hAnsi="Times New Roman"/>
          <w:b/>
          <w:sz w:val="24"/>
          <w:szCs w:val="24"/>
        </w:rPr>
        <w:t>29</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określa okres, w którym może zostać złożony wniosek o stwierdzenie nadpłaty w przypadku, gdy nadpłata wynika z orzeczenia Trybunału Konstytucyjnego lub orzeczenia Trybunału Sprawiedliwości Unii Europejskiej. Istotą tego przepisu jest wprowadzenie możliwości złożenia takiego wniosku, co do zasady, w okresie przedawnienia poboru, aczkolwiek okres nie może być jednak krótszy niż 3 miesiące od dnia wejścia w życie orzeczenia Trybunału Konstytucyjnego lub publikacji sentencji orzeczenia Trybunału Sprawiedliwości Unii Europejskiej w Dzienniku Urzędowym Unii Europejskiej. Wniosek ten może być zatem złożony również po upływie okresu przedawnienia poboru, z tym że w zawitym terminie nie dłuższym niż 3 miesiące od dnia wejścia w życie orzeczenia Trybunału Konstytucyjnego lub publikacji sentencji orzeczenia Trybunału Sprawiedliwości Unii Europejskiej w Dzienniku Urzędowym Unii Europejskiej.  </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Przepis </w:t>
      </w:r>
      <w:r w:rsidRPr="009A3C86">
        <w:rPr>
          <w:rFonts w:ascii="Times New Roman" w:hAnsi="Times New Roman"/>
          <w:b/>
          <w:sz w:val="24"/>
          <w:szCs w:val="24"/>
        </w:rPr>
        <w:t>art. 2</w:t>
      </w:r>
      <w:r w:rsidR="000E21EA" w:rsidRPr="009A3C86">
        <w:rPr>
          <w:rFonts w:ascii="Times New Roman" w:hAnsi="Times New Roman"/>
          <w:b/>
          <w:sz w:val="24"/>
          <w:szCs w:val="24"/>
        </w:rPr>
        <w:t>29</w:t>
      </w:r>
      <w:r w:rsidRPr="009A3C86">
        <w:rPr>
          <w:rFonts w:ascii="Times New Roman" w:hAnsi="Times New Roman"/>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xml:space="preserve"> stanowi, że przepis § 1 ma odpowiednie zastosowanie w przypadku gdy nadpłata wynika z niezgodności przepisów prawa krajowego z przepisami prawa Unii Europejskiej i została usunięta w nowelizacji przepisów prawa krajowego, ratyfikowanej umowy o unikaniu podwójnego opodatkowania lub innej ratyfikowanej umowy międzynarodowej, której stroną jest Rzeczpospolita Polska a także prawomocnego orzeczenia sądu administracyjnego stwierdzającego nieważność w całości lub w części aktu prawa miejscowego organu jednostki samorządu terytorialnego. Oznacza to, że w okresie co najmniej 3 miesięcy zobowiązany ma prawo złożenia wniosku o stwierdzenie nadpłaty w przypadku gdy nadpłata jest związana z tymi przypadkami. Okres ten liczony jest odpowiednio od dnia wejścia w życie przepisu prawa krajowego usuwającego sprzeczność z prawem Unii Europejskiej lub </w:t>
      </w:r>
      <w:r w:rsidRPr="009A3C86">
        <w:rPr>
          <w:rFonts w:ascii="Times New Roman" w:hAnsi="Times New Roman"/>
          <w:bCs/>
          <w:sz w:val="24"/>
          <w:szCs w:val="24"/>
        </w:rPr>
        <w:t>od dnia</w:t>
      </w:r>
      <w:r w:rsidRPr="009A3C86">
        <w:rPr>
          <w:rFonts w:ascii="Times New Roman" w:hAnsi="Times New Roman"/>
          <w:sz w:val="24"/>
          <w:szCs w:val="24"/>
        </w:rPr>
        <w:t xml:space="preserve"> wejścia w życie ratyfikowanej umowy międzynarodowej lub </w:t>
      </w:r>
      <w:r w:rsidRPr="009A3C86">
        <w:rPr>
          <w:rFonts w:ascii="Times New Roman" w:hAnsi="Times New Roman"/>
          <w:bCs/>
          <w:sz w:val="24"/>
          <w:szCs w:val="24"/>
        </w:rPr>
        <w:t>od dnia uprawomocnienia się</w:t>
      </w:r>
      <w:r w:rsidRPr="009A3C86">
        <w:rPr>
          <w:rFonts w:ascii="Times New Roman" w:hAnsi="Times New Roman"/>
          <w:b/>
          <w:bCs/>
          <w:sz w:val="24"/>
          <w:szCs w:val="24"/>
        </w:rPr>
        <w:t xml:space="preserve"> </w:t>
      </w:r>
      <w:r w:rsidRPr="009A3C86">
        <w:rPr>
          <w:rFonts w:ascii="Times New Roman" w:hAnsi="Times New Roman"/>
          <w:sz w:val="24"/>
          <w:szCs w:val="24"/>
        </w:rPr>
        <w:t xml:space="preserve">orzeczenia sądu administracyjnego stwierdzającego nieważność w całości lub w części aktu prawa miejscowego organu jednostki samorządu terytorialnego. Należy zwrócić uwagę, że ww. okoliczności mogą zaistnieć w każdym czasie, także po upływie terminu przedawnienia poboru. Dotyczy to m.in. </w:t>
      </w:r>
      <w:r w:rsidRPr="009A3C86">
        <w:rPr>
          <w:rFonts w:ascii="Times New Roman" w:hAnsi="Times New Roman"/>
          <w:sz w:val="24"/>
          <w:szCs w:val="24"/>
          <w:shd w:val="clear" w:color="auto" w:fill="FFFFFF"/>
        </w:rPr>
        <w:t>sądu administracyjnego, który może stwierdzić nieważność uchwały podatkowej bez względu na to, kiedy ten akt został podjęty i zaczął obowiązywać</w:t>
      </w:r>
      <w:r w:rsidRPr="009A3C86">
        <w:rPr>
          <w:rFonts w:ascii="Times New Roman" w:hAnsi="Times New Roman"/>
          <w:sz w:val="24"/>
          <w:szCs w:val="24"/>
          <w:shd w:val="clear" w:color="auto" w:fill="FFFFFF"/>
          <w:vertAlign w:val="superscript"/>
        </w:rPr>
        <w:footnoteReference w:id="267"/>
      </w:r>
      <w:r w:rsidRPr="009A3C86">
        <w:rPr>
          <w:rFonts w:ascii="Times New Roman" w:hAnsi="Times New Roman"/>
          <w:sz w:val="24"/>
          <w:szCs w:val="24"/>
          <w:shd w:val="clear" w:color="auto" w:fill="FFFFFF"/>
        </w:rPr>
        <w:t xml:space="preserve">. </w:t>
      </w:r>
      <w:r w:rsidRPr="009A3C86">
        <w:rPr>
          <w:rFonts w:ascii="Times New Roman" w:hAnsi="Times New Roman"/>
          <w:sz w:val="24"/>
          <w:szCs w:val="24"/>
        </w:rPr>
        <w:t>Konsekwencją zaistnienia ww. okoliczności powinno być uprawnienie do złożenia wniosku nadpłaty po zaistnieniu tej okoliczności, jeżeli oczywiście nadpłata powstała. Zasadne jest jednak wprowadzenie ograniczenia czasowego na dokonanie takiej czynności. W przeciwnym wypadku możliwość stabilizacji stosunków prawnych dotyczących zobowiązanego i wierzyciela podatkowego byłaby bezzasadnie ograniczona.</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6. Przepis </w:t>
      </w:r>
      <w:r w:rsidRPr="009A3C86">
        <w:rPr>
          <w:rFonts w:ascii="Times New Roman" w:hAnsi="Times New Roman"/>
          <w:b/>
          <w:sz w:val="24"/>
          <w:szCs w:val="24"/>
        </w:rPr>
        <w:t>art. 2</w:t>
      </w:r>
      <w:r w:rsidR="000E21EA" w:rsidRPr="009A3C86">
        <w:rPr>
          <w:rFonts w:ascii="Times New Roman" w:hAnsi="Times New Roman"/>
          <w:b/>
          <w:sz w:val="24"/>
          <w:szCs w:val="24"/>
        </w:rPr>
        <w:t>30</w:t>
      </w:r>
      <w:r w:rsidRPr="009A3C86">
        <w:rPr>
          <w:rFonts w:ascii="Times New Roman" w:hAnsi="Times New Roman"/>
          <w:sz w:val="24"/>
          <w:szCs w:val="24"/>
        </w:rPr>
        <w:t xml:space="preserve"> stanowi, że prawo do złożenia wniosku o stwierdzenie nadpłaty wygasa wraz z upływem terminu przedawnienia poboru w przypadku zapłaty podatku w kwocie wyższej niż wynikająca z ostatecznej decyzji lub prawidłowej deklaracji podatkowej. Regulacja ta ma na celu umożliwienie w okresie przedawnienia poboru dochodzenia nadpłaty w sytuacji, gdy kwota z deklaracji lub wymiar dokonany w decyzji był prawidłowy, ale zapłacono podatku więcej. </w:t>
      </w:r>
    </w:p>
    <w:p w:rsidR="00326528" w:rsidRPr="009A3C86" w:rsidRDefault="00326528" w:rsidP="00326528">
      <w:pPr>
        <w:spacing w:after="0" w:line="360" w:lineRule="auto"/>
        <w:jc w:val="both"/>
        <w:rPr>
          <w:rFonts w:ascii="Times New Roman" w:hAnsi="Times New Roman"/>
          <w:strike/>
          <w:sz w:val="24"/>
          <w:szCs w:val="24"/>
        </w:rPr>
      </w:pPr>
      <w:r w:rsidRPr="009A3C86">
        <w:rPr>
          <w:rFonts w:ascii="Times New Roman" w:hAnsi="Times New Roman"/>
          <w:sz w:val="24"/>
          <w:szCs w:val="24"/>
        </w:rPr>
        <w:t xml:space="preserve">Prawidłowa deklaracja, o której mowa w </w:t>
      </w:r>
      <w:r w:rsidRPr="009A3C86">
        <w:rPr>
          <w:rFonts w:ascii="Times New Roman" w:hAnsi="Times New Roman"/>
          <w:b/>
          <w:sz w:val="24"/>
          <w:szCs w:val="24"/>
        </w:rPr>
        <w:t>art. 2</w:t>
      </w:r>
      <w:r w:rsidR="000E21EA" w:rsidRPr="009A3C86">
        <w:rPr>
          <w:rFonts w:ascii="Times New Roman" w:hAnsi="Times New Roman"/>
          <w:b/>
          <w:sz w:val="24"/>
          <w:szCs w:val="24"/>
        </w:rPr>
        <w:t>30</w:t>
      </w:r>
      <w:r w:rsidRPr="009A3C86">
        <w:rPr>
          <w:rFonts w:ascii="Times New Roman" w:hAnsi="Times New Roman"/>
          <w:sz w:val="24"/>
          <w:szCs w:val="24"/>
        </w:rPr>
        <w:t xml:space="preserve"> to deklaracja, która nie została zakwestionowana przez organ podatkowy w okresie przedawnienia wymiaru, a także deklaracja, która nie została skorygowana przez zobowiązanego w tym okresie. Organ </w:t>
      </w:r>
      <w:r w:rsidRPr="009A3C86">
        <w:rPr>
          <w:rFonts w:ascii="Times New Roman" w:hAnsi="Times New Roman"/>
          <w:sz w:val="24"/>
          <w:szCs w:val="24"/>
        </w:rPr>
        <w:lastRenderedPageBreak/>
        <w:t>podatkowy wyłącznie bowiem w okresie przedawnienia wymiaru może kwestionować deklaracje złożone przez zobowiązanego poprzez wydanie i doręczenie temu podmiotowi decyzji wymiarowej (art. 17</w:t>
      </w:r>
      <w:r w:rsidR="008E1295" w:rsidRPr="009A3C86">
        <w:rPr>
          <w:rFonts w:ascii="Times New Roman" w:hAnsi="Times New Roman"/>
          <w:sz w:val="24"/>
          <w:szCs w:val="24"/>
        </w:rPr>
        <w:t>1</w:t>
      </w:r>
      <w:r w:rsidRPr="009A3C86">
        <w:rPr>
          <w:rFonts w:ascii="Times New Roman" w:hAnsi="Times New Roman"/>
          <w:sz w:val="24"/>
          <w:szCs w:val="24"/>
        </w:rPr>
        <w:t>). Jeśli tego nie zrobił to należy przyjąć, że uznał, iż deklaracja jest prawidłowa. Podobnie zobowiązany musi uznać, że jego deklaracja jest prawidłowa, jeżeli nie zdążył jej skorygować w ramach terminu przedawnienia wymiaru (art. 1</w:t>
      </w:r>
      <w:r w:rsidR="008E1295" w:rsidRPr="009A3C86">
        <w:rPr>
          <w:rFonts w:ascii="Times New Roman" w:hAnsi="Times New Roman"/>
          <w:sz w:val="24"/>
          <w:szCs w:val="24"/>
        </w:rPr>
        <w:t>3</w:t>
      </w:r>
      <w:r w:rsidR="000E21EA" w:rsidRPr="009A3C86">
        <w:rPr>
          <w:rFonts w:ascii="Times New Roman" w:hAnsi="Times New Roman"/>
          <w:sz w:val="24"/>
          <w:szCs w:val="24"/>
        </w:rPr>
        <w:t>9</w:t>
      </w:r>
      <w:r w:rsidRPr="009A3C86">
        <w:rPr>
          <w:rFonts w:ascii="Times New Roman" w:hAnsi="Times New Roman"/>
          <w:sz w:val="24"/>
          <w:szCs w:val="24"/>
        </w:rPr>
        <w:t xml:space="preserve"> § 1 pkt 2).</w:t>
      </w:r>
    </w:p>
    <w:p w:rsidR="00326528" w:rsidRPr="009A3C86" w:rsidRDefault="00326528" w:rsidP="00326528">
      <w:pPr>
        <w:spacing w:after="0" w:line="360" w:lineRule="auto"/>
        <w:jc w:val="both"/>
        <w:rPr>
          <w:rFonts w:ascii="Times New Roman" w:hAnsi="Times New Roman"/>
          <w:sz w:val="24"/>
          <w:szCs w:val="24"/>
        </w:rPr>
      </w:pPr>
      <w:r w:rsidRPr="009A3C86">
        <w:rPr>
          <w:rFonts w:ascii="Times New Roman" w:hAnsi="Times New Roman"/>
          <w:sz w:val="24"/>
          <w:szCs w:val="24"/>
        </w:rPr>
        <w:t xml:space="preserve">7. Przepis </w:t>
      </w:r>
      <w:r w:rsidRPr="009A3C86">
        <w:rPr>
          <w:rFonts w:ascii="Times New Roman" w:hAnsi="Times New Roman"/>
          <w:b/>
          <w:sz w:val="24"/>
          <w:szCs w:val="24"/>
        </w:rPr>
        <w:t>art. 2</w:t>
      </w:r>
      <w:r w:rsidR="000E21EA" w:rsidRPr="009A3C86">
        <w:rPr>
          <w:rFonts w:ascii="Times New Roman" w:hAnsi="Times New Roman"/>
          <w:b/>
          <w:sz w:val="24"/>
          <w:szCs w:val="24"/>
        </w:rPr>
        <w:t>31</w:t>
      </w:r>
      <w:r w:rsidRPr="009A3C86">
        <w:rPr>
          <w:rFonts w:ascii="Times New Roman" w:hAnsi="Times New Roman"/>
          <w:sz w:val="24"/>
          <w:szCs w:val="24"/>
        </w:rPr>
        <w:t xml:space="preserve"> stanowi, że w przypadku złożenia wniosku o stwierdzenie nadpłaty w terminach, o których mowa w </w:t>
      </w:r>
      <w:r w:rsidRPr="009A3C86">
        <w:rPr>
          <w:rFonts w:ascii="Times New Roman" w:hAnsi="Times New Roman"/>
          <w:szCs w:val="24"/>
        </w:rPr>
        <w:t>art. 2</w:t>
      </w:r>
      <w:r w:rsidR="000E21EA" w:rsidRPr="009A3C86">
        <w:rPr>
          <w:rFonts w:ascii="Times New Roman" w:hAnsi="Times New Roman"/>
          <w:szCs w:val="24"/>
        </w:rPr>
        <w:t>28</w:t>
      </w:r>
      <w:r w:rsidRPr="009A3C86">
        <w:rPr>
          <w:rFonts w:ascii="Times New Roman" w:hAnsi="Times New Roman"/>
          <w:szCs w:val="24"/>
        </w:rPr>
        <w:t>–2</w:t>
      </w:r>
      <w:r w:rsidR="000E21EA" w:rsidRPr="009A3C86">
        <w:rPr>
          <w:rFonts w:ascii="Times New Roman" w:hAnsi="Times New Roman"/>
          <w:szCs w:val="24"/>
        </w:rPr>
        <w:t>30</w:t>
      </w:r>
      <w:r w:rsidRPr="009A3C86">
        <w:rPr>
          <w:rFonts w:ascii="Times New Roman" w:hAnsi="Times New Roman"/>
          <w:szCs w:val="24"/>
        </w:rPr>
        <w:t xml:space="preserve"> </w:t>
      </w:r>
      <w:r w:rsidRPr="009A3C86">
        <w:rPr>
          <w:rFonts w:ascii="Times New Roman" w:hAnsi="Times New Roman"/>
          <w:sz w:val="24"/>
          <w:szCs w:val="24"/>
        </w:rPr>
        <w:t xml:space="preserve">i rozpatrywania go po upływie terminu przedawnienia wymiaru, nie stosuje się przepisów </w:t>
      </w:r>
      <w:r w:rsidRPr="009A3C86">
        <w:rPr>
          <w:rFonts w:ascii="Times New Roman" w:hAnsi="Times New Roman"/>
          <w:szCs w:val="24"/>
        </w:rPr>
        <w:t>art. 19</w:t>
      </w:r>
      <w:r w:rsidR="008E1295" w:rsidRPr="009A3C86">
        <w:rPr>
          <w:rFonts w:ascii="Times New Roman" w:hAnsi="Times New Roman"/>
          <w:szCs w:val="24"/>
        </w:rPr>
        <w:t>2</w:t>
      </w:r>
      <w:r w:rsidRPr="009A3C86">
        <w:rPr>
          <w:rFonts w:ascii="Times New Roman" w:hAnsi="Times New Roman"/>
          <w:szCs w:val="24"/>
        </w:rPr>
        <w:t xml:space="preserve"> i art. </w:t>
      </w:r>
      <w:r w:rsidR="008E1295" w:rsidRPr="009A3C86">
        <w:rPr>
          <w:rFonts w:ascii="Times New Roman" w:hAnsi="Times New Roman"/>
          <w:szCs w:val="24"/>
        </w:rPr>
        <w:t>19</w:t>
      </w:r>
      <w:r w:rsidR="000E21EA" w:rsidRPr="009A3C86">
        <w:rPr>
          <w:rFonts w:ascii="Times New Roman" w:hAnsi="Times New Roman"/>
          <w:szCs w:val="24"/>
        </w:rPr>
        <w:t>6</w:t>
      </w:r>
      <w:r w:rsidRPr="009A3C86">
        <w:rPr>
          <w:rFonts w:ascii="Times New Roman" w:hAnsi="Times New Roman"/>
          <w:sz w:val="24"/>
          <w:szCs w:val="24"/>
        </w:rPr>
        <w:t>. W opisanej wyżej sytuacji rozstrzygnięcie w zakresie nadpłaty powinno nastąpić na podstawie art. 19</w:t>
      </w:r>
      <w:r w:rsidR="008E1295" w:rsidRPr="009A3C86">
        <w:rPr>
          <w:rFonts w:ascii="Times New Roman" w:hAnsi="Times New Roman"/>
          <w:sz w:val="24"/>
          <w:szCs w:val="24"/>
        </w:rPr>
        <w:t>1</w:t>
      </w:r>
      <w:r w:rsidRPr="009A3C86">
        <w:rPr>
          <w:rFonts w:ascii="Times New Roman" w:hAnsi="Times New Roman"/>
          <w:sz w:val="24"/>
          <w:szCs w:val="24"/>
        </w:rPr>
        <w:t xml:space="preserve">. </w:t>
      </w:r>
    </w:p>
    <w:p w:rsidR="00326528" w:rsidRPr="009A3C86" w:rsidRDefault="00326528" w:rsidP="00D72E74">
      <w:pPr>
        <w:spacing w:after="120" w:line="360" w:lineRule="auto"/>
        <w:jc w:val="both"/>
        <w:rPr>
          <w:rFonts w:ascii="Times New Roman" w:hAnsi="Times New Roman"/>
          <w:sz w:val="24"/>
          <w:szCs w:val="24"/>
        </w:rPr>
      </w:pPr>
      <w:r w:rsidRPr="009A3C86">
        <w:rPr>
          <w:rFonts w:ascii="Times New Roman" w:hAnsi="Times New Roman"/>
          <w:bCs/>
          <w:sz w:val="24"/>
          <w:szCs w:val="24"/>
        </w:rPr>
        <w:t xml:space="preserve">8. </w:t>
      </w:r>
      <w:r w:rsidRPr="009A3C86">
        <w:rPr>
          <w:rFonts w:ascii="Times New Roman" w:hAnsi="Times New Roman"/>
          <w:sz w:val="24"/>
          <w:szCs w:val="24"/>
        </w:rPr>
        <w:t xml:space="preserve">Przepis </w:t>
      </w:r>
      <w:r w:rsidRPr="009A3C86">
        <w:rPr>
          <w:rFonts w:ascii="Times New Roman" w:hAnsi="Times New Roman"/>
          <w:b/>
          <w:sz w:val="24"/>
          <w:szCs w:val="24"/>
        </w:rPr>
        <w:t>art. 2</w:t>
      </w:r>
      <w:r w:rsidR="000E21EA" w:rsidRPr="009A3C86">
        <w:rPr>
          <w:rFonts w:ascii="Times New Roman" w:hAnsi="Times New Roman"/>
          <w:b/>
          <w:sz w:val="24"/>
          <w:szCs w:val="24"/>
        </w:rPr>
        <w:t>32</w:t>
      </w:r>
      <w:r w:rsidRPr="009A3C86">
        <w:rPr>
          <w:rFonts w:ascii="Times New Roman" w:hAnsi="Times New Roman"/>
          <w:b/>
          <w:sz w:val="24"/>
          <w:szCs w:val="24"/>
        </w:rPr>
        <w:t xml:space="preserve"> § 1</w:t>
      </w:r>
      <w:r w:rsidRPr="009A3C86">
        <w:rPr>
          <w:rFonts w:ascii="Times New Roman" w:hAnsi="Times New Roman"/>
          <w:sz w:val="24"/>
          <w:szCs w:val="24"/>
        </w:rPr>
        <w:t xml:space="preserve"> stanowi, że prawo do zwrotu nadpłaty wygasa z upływem 5 lat, licząc od dnia, w którym upłynął termin jej zwrotu. W </w:t>
      </w:r>
      <w:r w:rsidRPr="009A3C86">
        <w:rPr>
          <w:rFonts w:ascii="Times New Roman" w:hAnsi="Times New Roman"/>
          <w:b/>
          <w:sz w:val="24"/>
          <w:szCs w:val="24"/>
        </w:rPr>
        <w:t>art. 2</w:t>
      </w:r>
      <w:r w:rsidR="000E21EA" w:rsidRPr="009A3C86">
        <w:rPr>
          <w:rFonts w:ascii="Times New Roman" w:hAnsi="Times New Roman"/>
          <w:b/>
          <w:sz w:val="24"/>
          <w:szCs w:val="24"/>
        </w:rPr>
        <w:t>32</w:t>
      </w:r>
      <w:r w:rsidRPr="009A3C86">
        <w:rPr>
          <w:rFonts w:ascii="Times New Roman" w:hAnsi="Times New Roman"/>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xml:space="preserve"> wskazuje się, że wraz z upływem terminu określonego w § 1 wygasa również prawo do złożenia wniosku o zaliczenie nadpłaty na poczet przyszłych zobowiązań podatkowych oraz możliwość zaliczenia nadpłaty na poczet zaległych oraz bieżących zobowiązań podatkowych. W </w:t>
      </w:r>
      <w:r w:rsidRPr="009A3C86">
        <w:rPr>
          <w:rFonts w:ascii="Times New Roman" w:hAnsi="Times New Roman"/>
          <w:b/>
          <w:sz w:val="24"/>
          <w:szCs w:val="24"/>
        </w:rPr>
        <w:t>art. 2</w:t>
      </w:r>
      <w:r w:rsidR="000E21EA" w:rsidRPr="009A3C86">
        <w:rPr>
          <w:rFonts w:ascii="Times New Roman" w:hAnsi="Times New Roman"/>
          <w:b/>
          <w:sz w:val="24"/>
          <w:szCs w:val="24"/>
        </w:rPr>
        <w:t>32</w:t>
      </w:r>
      <w:r w:rsidRPr="009A3C86">
        <w:rPr>
          <w:rFonts w:ascii="Times New Roman" w:hAnsi="Times New Roman"/>
          <w:sz w:val="24"/>
          <w:szCs w:val="24"/>
        </w:rPr>
        <w:t xml:space="preserve"> </w:t>
      </w:r>
      <w:r w:rsidRPr="009A3C86">
        <w:rPr>
          <w:rFonts w:ascii="Times New Roman" w:hAnsi="Times New Roman"/>
          <w:b/>
          <w:sz w:val="24"/>
          <w:szCs w:val="24"/>
        </w:rPr>
        <w:t>§ 3</w:t>
      </w:r>
      <w:r w:rsidRPr="009A3C86">
        <w:rPr>
          <w:rFonts w:ascii="Times New Roman" w:hAnsi="Times New Roman"/>
          <w:sz w:val="24"/>
          <w:szCs w:val="24"/>
        </w:rPr>
        <w:t xml:space="preserve"> wskazuje się, że złożenie wniosku o zwrot nadpłaty lub zaliczenie jej na poczet przyszłych zobowiązań podatkowych przerywa bieg terminu, o którym mowa w § 1. Po przerwaniu termin ten biegnie na nowo od dnia złożenia wniosku o zwrot nadpłaty, od dnia zwrotu części nadpłaty lub od dnia zaliczenia jej części na poczet przyszłych zobowiązań podatkowych. Przepis </w:t>
      </w:r>
      <w:r w:rsidRPr="009A3C86">
        <w:rPr>
          <w:rFonts w:ascii="Times New Roman" w:hAnsi="Times New Roman"/>
          <w:b/>
          <w:sz w:val="24"/>
          <w:szCs w:val="24"/>
        </w:rPr>
        <w:t>art. 2</w:t>
      </w:r>
      <w:r w:rsidR="000E21EA" w:rsidRPr="009A3C86">
        <w:rPr>
          <w:rFonts w:ascii="Times New Roman" w:hAnsi="Times New Roman"/>
          <w:b/>
          <w:sz w:val="24"/>
          <w:szCs w:val="24"/>
        </w:rPr>
        <w:t>32</w:t>
      </w:r>
      <w:r w:rsidRPr="009A3C86">
        <w:rPr>
          <w:rFonts w:ascii="Times New Roman" w:hAnsi="Times New Roman"/>
          <w:sz w:val="24"/>
          <w:szCs w:val="24"/>
        </w:rPr>
        <w:t xml:space="preserve"> stanowi zmodyfikowany odpowiednik art. 80 o.p.</w:t>
      </w:r>
    </w:p>
    <w:p w:rsidR="00326528" w:rsidRPr="009A3C86" w:rsidRDefault="00326528" w:rsidP="00326528">
      <w:pPr>
        <w:keepNext/>
        <w:keepLines/>
        <w:spacing w:after="0" w:line="360" w:lineRule="auto"/>
        <w:jc w:val="both"/>
        <w:outlineLvl w:val="3"/>
        <w:rPr>
          <w:rFonts w:ascii="Times New Roman" w:eastAsia="Times New Roman" w:hAnsi="Times New Roman"/>
          <w:b/>
          <w:iCs/>
          <w:sz w:val="24"/>
          <w:szCs w:val="24"/>
        </w:rPr>
      </w:pPr>
      <w:bookmarkStart w:id="29" w:name="_Toc494363256"/>
      <w:r w:rsidRPr="009A3C86">
        <w:rPr>
          <w:rFonts w:ascii="Times New Roman" w:eastAsia="Times New Roman" w:hAnsi="Times New Roman"/>
          <w:b/>
          <w:iCs/>
          <w:sz w:val="24"/>
          <w:szCs w:val="24"/>
        </w:rPr>
        <w:t xml:space="preserve">Oddział </w:t>
      </w:r>
      <w:r w:rsidR="000E21EA" w:rsidRPr="009A3C86">
        <w:rPr>
          <w:rFonts w:ascii="Times New Roman" w:eastAsia="Times New Roman" w:hAnsi="Times New Roman"/>
          <w:b/>
          <w:iCs/>
          <w:sz w:val="24"/>
          <w:szCs w:val="24"/>
        </w:rPr>
        <w:t>10</w:t>
      </w:r>
      <w:r w:rsidRPr="009A3C86">
        <w:rPr>
          <w:rFonts w:ascii="Times New Roman" w:eastAsia="Times New Roman" w:hAnsi="Times New Roman"/>
          <w:b/>
          <w:iCs/>
          <w:sz w:val="24"/>
          <w:szCs w:val="24"/>
        </w:rPr>
        <w:t>. Zwrot podatku</w:t>
      </w:r>
      <w:bookmarkEnd w:id="29"/>
    </w:p>
    <w:p w:rsidR="00326528" w:rsidRPr="009A3C86" w:rsidRDefault="00326528" w:rsidP="00D72E74">
      <w:pPr>
        <w:spacing w:after="120" w:line="360" w:lineRule="auto"/>
        <w:jc w:val="both"/>
        <w:rPr>
          <w:rFonts w:ascii="Times New Roman" w:hAnsi="Times New Roman"/>
          <w:bCs/>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2</w:t>
      </w:r>
      <w:r w:rsidR="00BF7084" w:rsidRPr="009A3C86">
        <w:rPr>
          <w:rFonts w:ascii="Times New Roman" w:hAnsi="Times New Roman"/>
          <w:b/>
          <w:sz w:val="24"/>
          <w:szCs w:val="24"/>
        </w:rPr>
        <w:t>33</w:t>
      </w:r>
      <w:r w:rsidRPr="009A3C86">
        <w:rPr>
          <w:rFonts w:ascii="Times New Roman" w:hAnsi="Times New Roman"/>
          <w:b/>
          <w:sz w:val="24"/>
          <w:szCs w:val="24"/>
        </w:rPr>
        <w:t> § 1</w:t>
      </w:r>
      <w:r w:rsidRPr="009A3C86">
        <w:rPr>
          <w:rFonts w:ascii="Times New Roman" w:hAnsi="Times New Roman"/>
          <w:sz w:val="24"/>
          <w:szCs w:val="24"/>
        </w:rPr>
        <w:t xml:space="preserve"> stanowi, iż </w:t>
      </w:r>
      <w:r w:rsidRPr="009A3C86">
        <w:rPr>
          <w:rFonts w:ascii="Times New Roman" w:hAnsi="Times New Roman"/>
          <w:bCs/>
          <w:sz w:val="24"/>
          <w:szCs w:val="24"/>
        </w:rPr>
        <w:t>p</w:t>
      </w:r>
      <w:r w:rsidRPr="009A3C86">
        <w:rPr>
          <w:rFonts w:ascii="Times New Roman" w:hAnsi="Times New Roman"/>
          <w:sz w:val="24"/>
          <w:szCs w:val="24"/>
        </w:rPr>
        <w:t xml:space="preserve">rzepisy ustawy mają odpowiednie zastosowanie do zwrotów podatku w zakresie nieuregulowanym w przepisach szczególnych, z tym że zaliczenie, o którym mowa w </w:t>
      </w:r>
      <w:r w:rsidRPr="009A3C86">
        <w:rPr>
          <w:rFonts w:ascii="Times New Roman" w:hAnsi="Times New Roman"/>
          <w:b/>
          <w:sz w:val="24"/>
          <w:szCs w:val="24"/>
        </w:rPr>
        <w:t xml:space="preserve">art. </w:t>
      </w:r>
      <w:r w:rsidR="000E21EA" w:rsidRPr="009A3C86">
        <w:rPr>
          <w:rFonts w:ascii="Times New Roman" w:hAnsi="Times New Roman"/>
          <w:b/>
          <w:sz w:val="24"/>
          <w:szCs w:val="24"/>
        </w:rPr>
        <w:t>205</w:t>
      </w:r>
      <w:r w:rsidRPr="009A3C86">
        <w:rPr>
          <w:rFonts w:ascii="Times New Roman" w:hAnsi="Times New Roman"/>
          <w:sz w:val="24"/>
          <w:szCs w:val="24"/>
        </w:rPr>
        <w:t xml:space="preserve">, następuje odpowiednio z dniem złożenia deklaracji wykazującej zwrot podatku lub skorygowania takiej deklaracji. Instrument zwrotu pełni co prawda inne niż nadpłata funkcje, występuje ponadto wiele jego rodzajów, których konstrukcja jest przy tym uregulowana w wielu aktach prawnych. Zasadne jest jednak wprowadzenie możliwie jednakowych mechanizmów prawnych dla nadpłat i zwrotów. W przypadku zwrotów będą one miały zastosowanie, jeśli przepisy szczególne regulujące konstrukcję poszczególnego rodzaju zwrotu nie stanowią inaczej. Celem przepisu </w:t>
      </w:r>
      <w:r w:rsidRPr="009A3C86">
        <w:rPr>
          <w:rFonts w:ascii="Times New Roman" w:hAnsi="Times New Roman"/>
          <w:b/>
          <w:sz w:val="24"/>
          <w:szCs w:val="24"/>
        </w:rPr>
        <w:t>art. 2</w:t>
      </w:r>
      <w:r w:rsidR="000E21EA" w:rsidRPr="009A3C86">
        <w:rPr>
          <w:rFonts w:ascii="Times New Roman" w:hAnsi="Times New Roman"/>
          <w:b/>
          <w:sz w:val="24"/>
          <w:szCs w:val="24"/>
        </w:rPr>
        <w:t>33</w:t>
      </w:r>
      <w:r w:rsidRPr="009A3C86">
        <w:rPr>
          <w:rFonts w:ascii="Times New Roman" w:hAnsi="Times New Roman"/>
          <w:sz w:val="24"/>
          <w:szCs w:val="24"/>
        </w:rPr>
        <w:t xml:space="preserve"> </w:t>
      </w:r>
      <w:r w:rsidRPr="009A3C86">
        <w:rPr>
          <w:rFonts w:ascii="Times New Roman" w:hAnsi="Times New Roman"/>
          <w:b/>
          <w:bCs/>
          <w:sz w:val="24"/>
          <w:szCs w:val="24"/>
        </w:rPr>
        <w:t>§ 1</w:t>
      </w:r>
      <w:r w:rsidRPr="009A3C86">
        <w:rPr>
          <w:rFonts w:ascii="Times New Roman" w:hAnsi="Times New Roman"/>
          <w:bCs/>
          <w:sz w:val="24"/>
          <w:szCs w:val="24"/>
        </w:rPr>
        <w:t xml:space="preserve"> jest rozszerzenie, w porównaniu do obecnie obowiązujących rozwiązań w o.p., zakresu przepisów zawartych w ordynacji podatkowej, które będą miały zastosowanie w odniesieniu do zwrotów podatku. W konsekwencji m.in. </w:t>
      </w:r>
      <w:r w:rsidRPr="009A3C86">
        <w:rPr>
          <w:rFonts w:ascii="Times New Roman" w:hAnsi="Times New Roman"/>
          <w:sz w:val="24"/>
          <w:szCs w:val="24"/>
        </w:rPr>
        <w:t>rozwiązanie przewidziane w dotychczasowym art. 133 § 2a</w:t>
      </w:r>
      <w:r w:rsidRPr="009A3C86">
        <w:rPr>
          <w:rFonts w:ascii="Times New Roman" w:hAnsi="Times New Roman"/>
          <w:bCs/>
          <w:sz w:val="24"/>
          <w:szCs w:val="24"/>
        </w:rPr>
        <w:t xml:space="preserve"> o.p. </w:t>
      </w:r>
      <w:r w:rsidRPr="009A3C86">
        <w:rPr>
          <w:rFonts w:ascii="Times New Roman" w:hAnsi="Times New Roman"/>
          <w:sz w:val="24"/>
          <w:szCs w:val="24"/>
        </w:rPr>
        <w:t>zgodnie z którym stroną w postępowaniu podatkowym w sprawach dotyczących</w:t>
      </w:r>
      <w:r w:rsidRPr="009A3C86">
        <w:rPr>
          <w:rFonts w:ascii="Times New Roman" w:hAnsi="Times New Roman"/>
          <w:bCs/>
          <w:sz w:val="24"/>
          <w:szCs w:val="24"/>
        </w:rPr>
        <w:t xml:space="preserve"> </w:t>
      </w:r>
      <w:r w:rsidRPr="009A3C86">
        <w:rPr>
          <w:rFonts w:ascii="Times New Roman" w:hAnsi="Times New Roman"/>
          <w:sz w:val="24"/>
          <w:szCs w:val="24"/>
        </w:rPr>
        <w:t xml:space="preserve">zwrotu podatku od </w:t>
      </w:r>
      <w:r w:rsidRPr="009A3C86">
        <w:rPr>
          <w:rFonts w:ascii="Times New Roman" w:hAnsi="Times New Roman"/>
          <w:sz w:val="24"/>
          <w:szCs w:val="24"/>
        </w:rPr>
        <w:lastRenderedPageBreak/>
        <w:t>towarów i usług może być wspólnik rozwiązanej spółki</w:t>
      </w:r>
      <w:r w:rsidRPr="009A3C86">
        <w:rPr>
          <w:rFonts w:ascii="Times New Roman" w:hAnsi="Times New Roman"/>
          <w:bCs/>
          <w:sz w:val="24"/>
          <w:szCs w:val="24"/>
        </w:rPr>
        <w:t xml:space="preserve"> </w:t>
      </w:r>
      <w:r w:rsidRPr="009A3C86">
        <w:rPr>
          <w:rFonts w:ascii="Times New Roman" w:hAnsi="Times New Roman"/>
          <w:sz w:val="24"/>
          <w:szCs w:val="24"/>
        </w:rPr>
        <w:t>cywilnej, uprawniony na podstawie przepisów o podatku od towarów i usług</w:t>
      </w:r>
      <w:r w:rsidRPr="009A3C86">
        <w:rPr>
          <w:rFonts w:ascii="Times New Roman" w:hAnsi="Times New Roman"/>
          <w:bCs/>
          <w:sz w:val="24"/>
          <w:szCs w:val="24"/>
        </w:rPr>
        <w:t xml:space="preserve"> </w:t>
      </w:r>
      <w:r w:rsidRPr="009A3C86">
        <w:rPr>
          <w:rFonts w:ascii="Times New Roman" w:hAnsi="Times New Roman"/>
          <w:sz w:val="24"/>
          <w:szCs w:val="24"/>
        </w:rPr>
        <w:t>do otrzymania zwrotu podatku na gruncie nowych przepisów, znajdują</w:t>
      </w:r>
      <w:r w:rsidRPr="009A3C86">
        <w:rPr>
          <w:rFonts w:ascii="Times New Roman" w:hAnsi="Times New Roman"/>
          <w:bCs/>
          <w:sz w:val="24"/>
          <w:szCs w:val="24"/>
        </w:rPr>
        <w:t xml:space="preserve"> </w:t>
      </w:r>
      <w:r w:rsidRPr="009A3C86">
        <w:rPr>
          <w:rFonts w:ascii="Times New Roman" w:hAnsi="Times New Roman"/>
          <w:sz w:val="24"/>
          <w:szCs w:val="24"/>
        </w:rPr>
        <w:t>się w przepisach dotyczących nadpłat, tj. art. 1</w:t>
      </w:r>
      <w:r w:rsidR="008E1295" w:rsidRPr="009A3C86">
        <w:rPr>
          <w:rFonts w:ascii="Times New Roman" w:hAnsi="Times New Roman"/>
          <w:sz w:val="24"/>
          <w:szCs w:val="24"/>
        </w:rPr>
        <w:t>89</w:t>
      </w:r>
      <w:r w:rsidRPr="009A3C86">
        <w:rPr>
          <w:rFonts w:ascii="Times New Roman" w:hAnsi="Times New Roman"/>
          <w:sz w:val="24"/>
          <w:szCs w:val="24"/>
        </w:rPr>
        <w:t xml:space="preserve"> § 2 pkt 2 w zw. z</w:t>
      </w:r>
      <w:r w:rsidRPr="009A3C86">
        <w:rPr>
          <w:rFonts w:ascii="Times New Roman" w:hAnsi="Times New Roman"/>
          <w:bCs/>
          <w:sz w:val="24"/>
          <w:szCs w:val="24"/>
        </w:rPr>
        <w:t xml:space="preserve"> </w:t>
      </w:r>
      <w:r w:rsidRPr="009A3C86">
        <w:rPr>
          <w:rFonts w:ascii="Times New Roman" w:hAnsi="Times New Roman"/>
          <w:b/>
          <w:sz w:val="24"/>
          <w:szCs w:val="24"/>
        </w:rPr>
        <w:t>art. 2</w:t>
      </w:r>
      <w:r w:rsidR="00BF3FD2" w:rsidRPr="009A3C86">
        <w:rPr>
          <w:rFonts w:ascii="Times New Roman" w:hAnsi="Times New Roman"/>
          <w:b/>
          <w:sz w:val="24"/>
          <w:szCs w:val="24"/>
        </w:rPr>
        <w:t>33</w:t>
      </w:r>
      <w:r w:rsidRPr="009A3C86">
        <w:rPr>
          <w:rFonts w:ascii="Times New Roman" w:hAnsi="Times New Roman"/>
          <w:b/>
          <w:sz w:val="24"/>
          <w:szCs w:val="24"/>
        </w:rPr>
        <w:t> § 1</w:t>
      </w:r>
      <w:r w:rsidRPr="009A3C86">
        <w:rPr>
          <w:rFonts w:ascii="Times New Roman" w:hAnsi="Times New Roman"/>
          <w:sz w:val="24"/>
          <w:szCs w:val="24"/>
        </w:rPr>
        <w:t>.</w:t>
      </w:r>
      <w:r w:rsidRPr="009A3C86">
        <w:rPr>
          <w:rFonts w:ascii="Times New Roman" w:hAnsi="Times New Roman"/>
          <w:bCs/>
          <w:sz w:val="24"/>
          <w:szCs w:val="24"/>
        </w:rPr>
        <w:t xml:space="preserve"> Należy zwrócić uwagę, że w systemie prawnym funkcjonują szczególne zwroty podatku, których konstrukcja prawna jest bardzo lakoniczna. Przykładem może być zwrot w podatku od środków transportowym.  Jest on uregulowany w </w:t>
      </w:r>
      <w:r w:rsidRPr="009A3C86">
        <w:rPr>
          <w:rFonts w:ascii="Times New Roman" w:hAnsi="Times New Roman"/>
          <w:bCs/>
          <w:sz w:val="24"/>
          <w:szCs w:val="24"/>
          <w:shd w:val="clear" w:color="auto" w:fill="FFFFFF"/>
        </w:rPr>
        <w:t xml:space="preserve">art.  11a ustawy z dnia 12 stycznia 1991 r. o podatkach i opłatach lokalnych. Istotne jest więc, aby w sprawach nieuregulowanych w przepisach prawa materialnego, a dotyczących zwrotów podatku, można było zastosować odpowiednio przepisy o.p. Dotyczy to przy tym nie tylko przepisów odnoszących się do wprost do nadpłaty. W literaturze </w:t>
      </w:r>
      <w:r w:rsidRPr="009A3C86">
        <w:rPr>
          <w:rFonts w:ascii="Times New Roman" w:hAnsi="Times New Roman"/>
          <w:sz w:val="24"/>
          <w:szCs w:val="24"/>
        </w:rPr>
        <w:t>przedmiotu zwraca się uwagę na problem dotyczący możliwości i zakresu stosowania przepisów Ordynacji podatkowej do działań dotyczących stosowania instytucji zwrotów podatku</w:t>
      </w:r>
      <w:r w:rsidRPr="009A3C86">
        <w:rPr>
          <w:rFonts w:ascii="Times New Roman" w:hAnsi="Times New Roman"/>
          <w:bCs/>
          <w:sz w:val="24"/>
          <w:szCs w:val="24"/>
          <w:shd w:val="clear" w:color="auto" w:fill="FFFFFF"/>
          <w:vertAlign w:val="superscript"/>
        </w:rPr>
        <w:footnoteReference w:id="268"/>
      </w:r>
      <w:r w:rsidRPr="009A3C86">
        <w:rPr>
          <w:rFonts w:ascii="Times New Roman" w:hAnsi="Times New Roman"/>
          <w:sz w:val="24"/>
          <w:szCs w:val="24"/>
        </w:rPr>
        <w:t xml:space="preserve">. Podkreśla się, że jest to kwestia istotna, gdyż, na co już zwrócono wyżej uwagę, akty będące podstawą materialno-prawną zwrotów podatku nie regulują wielu istotnych kwestii niezbędnych w ich praktycznym zastosowaniu. Dotyczy to m.in. zasad prowadzenia czynności sprawdzających w zakresie wniosków i deklaracji dotyczących zwrotu, zasad korygowania deklaracji z wykazaną kwotą zwrotu podatku. Nie ma także powodów, aby nie stosować do zwrotów podatków także innych instytucji zwartych w ordynacji podatkowej np. instytucji interpretacji indywidualnej przepisów prawa podatkowego, czy dotyczących następstwa prawnego. Obecnie np. wydanie interpretacji, o której mowa wyżej, nie jest możliwe w zakresie wszystkich zwrotów podatku. Brak jest bowiem takiej możliwości w zakresie np. zwrotów podatku przysługujących podmiotom, które nie są podatnikami. Dotyczy to np. zwrotu podatku akcyzowego przysługującego producentom rolnym, który jest związany z nabyciem oleju napędowego. Zgodnie bowiem z art. 14b o.p. interpretacje te dotyczą jedynie przepisów prawa podatkowego. Przepisami tymi są natomiast, zgodnie z art. 3 pkt 1 i 2 o.p. przepisy m.in. regulujące prawa i obowiązki organów podatkowych, podatników, płatników i inkasentów, a także ich następców prawnych oraz osób trzecich. Zwrot podatku, o którym mowa wyżej dotyczy, jak wyżej wskazano, podmiotu, który nie jest podatnikiem. Oznacza to, że przepisy, które go regulują nie są przepisami prawa podatkowego. W konsekwencji na gruncie obecnie obowiązujących przepisów nie może zostać wydana interpretacja przepisu prawa podatkowego dotycząca tej instytucji. W konsekwencji </w:t>
      </w:r>
      <w:r w:rsidRPr="009A3C86">
        <w:rPr>
          <w:rFonts w:ascii="Times New Roman" w:hAnsi="Times New Roman"/>
          <w:sz w:val="24"/>
          <w:szCs w:val="24"/>
        </w:rPr>
        <w:lastRenderedPageBreak/>
        <w:t xml:space="preserve">należy więc przyjąć, że przepisy zawarte w ordynacji podatkowej będą miały zastosowanie do zwrotów podatku wyłącznie w zakresie nieuregulowanym w innych aktach. Reguła ta będzie stosowana na podstawie </w:t>
      </w:r>
      <w:r w:rsidRPr="009A3C86">
        <w:rPr>
          <w:rFonts w:ascii="Times New Roman" w:hAnsi="Times New Roman"/>
          <w:b/>
          <w:sz w:val="24"/>
          <w:szCs w:val="24"/>
        </w:rPr>
        <w:t>art. 2</w:t>
      </w:r>
      <w:r w:rsidR="00BF3FD2" w:rsidRPr="009A3C86">
        <w:rPr>
          <w:rFonts w:ascii="Times New Roman" w:hAnsi="Times New Roman"/>
          <w:b/>
          <w:sz w:val="24"/>
          <w:szCs w:val="24"/>
        </w:rPr>
        <w:t>33</w:t>
      </w:r>
      <w:r w:rsidRPr="009A3C86">
        <w:rPr>
          <w:rFonts w:ascii="Times New Roman" w:hAnsi="Times New Roman"/>
          <w:sz w:val="24"/>
          <w:szCs w:val="24"/>
        </w:rPr>
        <w:t> </w:t>
      </w:r>
      <w:r w:rsidRPr="009A3C86">
        <w:rPr>
          <w:rFonts w:ascii="Times New Roman" w:hAnsi="Times New Roman"/>
          <w:b/>
          <w:sz w:val="24"/>
          <w:szCs w:val="24"/>
        </w:rPr>
        <w:t>§ 1</w:t>
      </w:r>
      <w:r w:rsidRPr="009A3C86">
        <w:rPr>
          <w:rFonts w:ascii="Times New Roman" w:hAnsi="Times New Roman"/>
          <w:sz w:val="24"/>
          <w:szCs w:val="24"/>
        </w:rPr>
        <w:t xml:space="preserve">. Wyjątek odnosi się do zasad zaliczania zwrotu podatku. W takiej sytuacji zaliczenie zwrotu następuje z dniem złożenia deklaracji wykazującej zwrot podatku lub korekty takiej deklaracji. Inaczej będzie w przypadku, gdy zwrot podatku jest wykazywany w decyzji, w której określa się zwrot podatku. W takiej sytuacji zgodnie z § 2 zaliczenie, o którym mowa w art. </w:t>
      </w:r>
      <w:r w:rsidR="00BF7084" w:rsidRPr="009A3C86">
        <w:rPr>
          <w:rFonts w:ascii="Times New Roman" w:hAnsi="Times New Roman"/>
          <w:sz w:val="24"/>
          <w:szCs w:val="24"/>
        </w:rPr>
        <w:t>205</w:t>
      </w:r>
      <w:r w:rsidRPr="009A3C86">
        <w:rPr>
          <w:rFonts w:ascii="Times New Roman" w:hAnsi="Times New Roman"/>
          <w:sz w:val="24"/>
          <w:szCs w:val="24"/>
        </w:rPr>
        <w:t xml:space="preserve">, następuje z dniem wydania tej decyzji chyba, że zwrot jest wykazywany w deklaracji. Oznacza to, że nawet jeśli organ wyda decyzję i zmieni wysokość wykazanego w deklaracji zwrotu, zaliczenie nastąpi w dniu złożenia deklaracji, a nie w dniu wydania decyzji. Zgodnie natomiast z § 3 w przypadku, gdy zwrot wynika z wniosku, w którym określono kwotę zwrotu podatku, zaliczenie, o którym mowa w art. </w:t>
      </w:r>
      <w:r w:rsidR="008E1295" w:rsidRPr="009A3C86">
        <w:rPr>
          <w:rFonts w:ascii="Times New Roman" w:hAnsi="Times New Roman"/>
          <w:sz w:val="24"/>
          <w:szCs w:val="24"/>
        </w:rPr>
        <w:t>196</w:t>
      </w:r>
      <w:r w:rsidRPr="009A3C86">
        <w:rPr>
          <w:rFonts w:ascii="Times New Roman" w:hAnsi="Times New Roman"/>
          <w:sz w:val="24"/>
          <w:szCs w:val="24"/>
        </w:rPr>
        <w:t xml:space="preserve">, następuje z dniem złożenia wniosku w sprawie zwrotu. </w:t>
      </w:r>
    </w:p>
    <w:p w:rsidR="00A05A3B" w:rsidRPr="009A3C86" w:rsidRDefault="00A05A3B" w:rsidP="00A05A3B">
      <w:pPr>
        <w:tabs>
          <w:tab w:val="num" w:pos="720"/>
        </w:tabs>
        <w:spacing w:after="0" w:line="360" w:lineRule="auto"/>
        <w:jc w:val="both"/>
        <w:outlineLvl w:val="2"/>
        <w:rPr>
          <w:rFonts w:ascii="Times New Roman" w:hAnsi="Times New Roman"/>
          <w:b/>
          <w:bCs/>
          <w:sz w:val="24"/>
          <w:szCs w:val="24"/>
        </w:rPr>
      </w:pPr>
      <w:bookmarkStart w:id="30" w:name="_Toc494363257"/>
      <w:r w:rsidRPr="009A3C86">
        <w:rPr>
          <w:rFonts w:ascii="Times New Roman" w:hAnsi="Times New Roman"/>
          <w:b/>
          <w:bCs/>
          <w:sz w:val="24"/>
          <w:szCs w:val="24"/>
        </w:rPr>
        <w:t xml:space="preserve">Rozdział </w:t>
      </w:r>
      <w:r w:rsidR="00C70532" w:rsidRPr="009A3C86">
        <w:rPr>
          <w:rFonts w:ascii="Times New Roman" w:hAnsi="Times New Roman"/>
          <w:b/>
          <w:bCs/>
          <w:sz w:val="24"/>
          <w:szCs w:val="24"/>
        </w:rPr>
        <w:t>9</w:t>
      </w:r>
      <w:r w:rsidRPr="009A3C86">
        <w:rPr>
          <w:rFonts w:ascii="Times New Roman" w:hAnsi="Times New Roman"/>
          <w:b/>
          <w:bCs/>
          <w:sz w:val="24"/>
          <w:szCs w:val="24"/>
        </w:rPr>
        <w:t>. Ulgi w spłacie</w:t>
      </w:r>
      <w:bookmarkEnd w:id="30"/>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1. Przepis </w:t>
      </w:r>
      <w:r w:rsidRPr="009A3C86">
        <w:rPr>
          <w:rFonts w:ascii="Times New Roman" w:hAnsi="Times New Roman"/>
          <w:b/>
          <w:sz w:val="24"/>
          <w:szCs w:val="24"/>
        </w:rPr>
        <w:t xml:space="preserve">art. </w:t>
      </w:r>
      <w:r w:rsidRPr="009A3C86">
        <w:rPr>
          <w:rFonts w:ascii="Times New Roman" w:hAnsi="Times New Roman"/>
          <w:b/>
          <w:bCs/>
          <w:sz w:val="24"/>
          <w:szCs w:val="24"/>
        </w:rPr>
        <w:t>2</w:t>
      </w:r>
      <w:r w:rsidR="00BF3FD2" w:rsidRPr="009A3C86">
        <w:rPr>
          <w:rFonts w:ascii="Times New Roman" w:hAnsi="Times New Roman"/>
          <w:b/>
          <w:bCs/>
          <w:sz w:val="24"/>
          <w:szCs w:val="24"/>
        </w:rPr>
        <w:t>34</w:t>
      </w:r>
      <w:r w:rsidRPr="009A3C86">
        <w:rPr>
          <w:rFonts w:ascii="Times New Roman" w:hAnsi="Times New Roman"/>
          <w:b/>
          <w:sz w:val="24"/>
          <w:szCs w:val="24"/>
        </w:rPr>
        <w:t xml:space="preserve"> § 1</w:t>
      </w:r>
      <w:r w:rsidRPr="009A3C86">
        <w:rPr>
          <w:rFonts w:ascii="Times New Roman" w:hAnsi="Times New Roman"/>
          <w:sz w:val="24"/>
          <w:szCs w:val="24"/>
        </w:rPr>
        <w:t xml:space="preserve"> utrzymuje obowiązującą możliwość odraczania terminu płatności podatków lub ich rozkładania na raty oraz odroczenia terminu płatności, rozkładania na raty lub umorzenia zaległości podatkowej wraz z odsetkami, zwolnienia płatnika z poboru podatków oraz ograniczenia poboru zaliczek.</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Nowością jest wprowadzenie możliwości umorzenia podatku przed upływem terminu jego płatności, tj. zanim przekształci się w zaległości podatkową. Ulga ta będzie dostępna na tych samych zasadach, co obowiązujące obecnie umorzenie zaległości podatkowej. Instytucja ta jest potrzebna m.in. w zakresie podatków samorządowych, w których zobowiązanie podatkowe powstaje na skutek doręczenia decyzji ustalającej wysokość tego zobowiązania. W przypadku podatków, które mają roczny charakter (od nieruchomości, rolny, leśny), podatnik, któremu wymierzono podatek, nie może obecnie skutecznie wystąpić o zastosowanie ulgi w postaci umorzenia całości lub części podatku do momentu upływu terminu jego płatności. Aktualnie podatnik musi czekać z wnioskiem o udzielenie ulgi do czasu powstania zaległości, a tym samym naraża się na negatywne konsekwencje, w tym odpowiedzialność karną skarbową. Sytuacja ta jest tym bardziej dotkliwa w przypadku podatków płatnych ratalnie, bowiem z upływem terminu płatności każdej raty powstaje odrębna zaległość podatkowa, o której umorzenie trzeba odrębnie występować. Problem ten zostanie wyeliminowany poprzez umożliwienie złożenia wniosku o zastosowanie umorzenia jeszcze przed powstaniem zaległości podatkowej.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W przypadku wskazanych podatków samorządowych będzie to oznaczało w praktyce, że już od momentu doręczenia decyzji ustalającej wysokość zobowiązania podatkowego podatnik będzie mógł wnioskować o umorzenie wynikającego z niej podatku, nie czekając na nadejście terminu płatności poszczególnych rat. Wyeliminuje to konieczność czekania przez zobowiązanego na powstanie zaległości podatkowej, co aktualnie jest warunkiem zastosowania ulgi. Instytucja ta będzie dotyczyć także innych podatków w sytuacji, gdy znana będzie kwota podatku, a nie upłynie jeszcze termin jego płatności. Obejmie to m.in. podatek dochodowy, w tym od osób fizycznych, jeśli w zeznaniu rocznym wyniknie podatek do dopłaty. Podatnik będzie mógł w tym zakresie złożyć deklarację podatkową i wniosek o umorzenie podatku, zanim upłynie termin jego płatności. Jeżeli zrobi to wystarczająco wcześnie, wniosek może być rozpatrzony jeszcze przed terminem płatności. Instytucja ta będzie miała zastosowanie także do podatku od towarów i usług i podatku akcyzowego; wystarczy, by podatnik złożył deklarację i wniosek możliwie szybko po zakończeniu okresu rozliczeniowego.</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Rozwiązanie to nie będzie miało negatywnego wpływu na dochody budżetowe, bowiem nie zmienia warunków umorzenia, a jedynie moment, od którego można o to wnioskować.</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W zakresie opłaty prolongacyjnej może być stosowana wyłącznie ulga polegająca na umorzeniu jej w całości lub części. Wynika to z niesamodzielnego charakteru tej opłaty. Zmiana terminu płatności opłaty prolongacyjnej jest możliwa w drodze zmiany decyzji o odroczeniu terminu płatności lub rozłożeniu na raty poprzez określenie innego terminu odroczenia lub ustalenie innych terminów płatności lub wysokości rat.</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Bez zmian pozostanie dotychczasowa zasada proporcjonalnego zaliczenia kwoty umorzonych podatków na należność główną i ewentualne odsetki.</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2. W ramach rozdziału dotyczącego ulg w spłacie Komisja Kodyfikacyjna Ogólnego Prawa Podatkowego uznała zasadność regulacji o charakterze kompleksowym i w art. 2</w:t>
      </w:r>
      <w:r w:rsidR="00C70532" w:rsidRPr="009A3C86">
        <w:rPr>
          <w:rFonts w:ascii="Times New Roman" w:hAnsi="Times New Roman"/>
          <w:sz w:val="24"/>
          <w:szCs w:val="24"/>
        </w:rPr>
        <w:t xml:space="preserve">35 </w:t>
      </w:r>
      <w:r w:rsidRPr="009A3C86">
        <w:rPr>
          <w:rFonts w:ascii="Times New Roman" w:hAnsi="Times New Roman"/>
          <w:sz w:val="24"/>
          <w:szCs w:val="24"/>
        </w:rPr>
        <w:t xml:space="preserve">umieszczono także przepisy dotyczące terminów płatności po udzieleniu ulgi, czy zasady wygaśnięcia decyzji dotyczących ulg. Dzięki temu zabiegowi tekst prawny stanie się bardziej przystępny, a przez to wpłynie na świadomość zainteresowanych w zakresie skutków niedotrzymania warunków wynikających z decyzji. Zobowiązani nie zawsze bowiem mają pełną wiedzę o zasadach konstrukcji przepisów podatkowych i umieszczenie także przepisów wskazujących skutki decyzji o udzieleniu ulgi i naruszenia wynikających z niej warunków w jednym miejscu ułatwi im poznanie całości regulacji dotyczącej ulg w spłacie.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3. Nie zmieniono obowiązujących regulacji o.p. wskazujących, że nowym terminem płatności jest dzień, w którym zgodnie z decyzją powinna nastąpić zapłata odroczonych podatków lub poszczególnych rat.</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Podobnie jak w o.p. określono skutki, jakie dla terminu płatności wywiera brak zapłaty odroczonych podatków </w:t>
      </w:r>
      <w:r w:rsidR="00420C02" w:rsidRPr="009A3C86">
        <w:rPr>
          <w:rFonts w:ascii="Times New Roman" w:hAnsi="Times New Roman"/>
          <w:sz w:val="24"/>
          <w:szCs w:val="24"/>
        </w:rPr>
        <w:t xml:space="preserve">albo zaległości podatkowej </w:t>
      </w:r>
      <w:r w:rsidRPr="009A3C86">
        <w:rPr>
          <w:rFonts w:ascii="Times New Roman" w:hAnsi="Times New Roman"/>
          <w:sz w:val="24"/>
          <w:szCs w:val="24"/>
        </w:rPr>
        <w:t xml:space="preserve">lub którejkolwiek z rat. Zgodnie z proponowanym </w:t>
      </w:r>
      <w:r w:rsidRPr="009A3C86">
        <w:rPr>
          <w:rFonts w:ascii="Times New Roman" w:hAnsi="Times New Roman"/>
          <w:b/>
          <w:sz w:val="24"/>
          <w:szCs w:val="24"/>
        </w:rPr>
        <w:t xml:space="preserve">art. </w:t>
      </w:r>
      <w:r w:rsidRPr="009A3C86">
        <w:rPr>
          <w:rFonts w:ascii="Times New Roman" w:hAnsi="Times New Roman"/>
          <w:b/>
          <w:bCs/>
          <w:sz w:val="24"/>
          <w:szCs w:val="24"/>
        </w:rPr>
        <w:t>2</w:t>
      </w:r>
      <w:r w:rsidR="00C70532" w:rsidRPr="009A3C86">
        <w:rPr>
          <w:rFonts w:ascii="Times New Roman" w:hAnsi="Times New Roman"/>
          <w:b/>
          <w:bCs/>
          <w:sz w:val="24"/>
          <w:szCs w:val="24"/>
        </w:rPr>
        <w:t>35</w:t>
      </w:r>
      <w:r w:rsidRPr="009A3C86">
        <w:rPr>
          <w:rFonts w:ascii="Times New Roman" w:hAnsi="Times New Roman"/>
          <w:b/>
          <w:sz w:val="24"/>
          <w:szCs w:val="24"/>
        </w:rPr>
        <w:t xml:space="preserve"> § 2</w:t>
      </w:r>
      <w:r w:rsidRPr="009A3C86">
        <w:rPr>
          <w:rFonts w:ascii="Times New Roman" w:hAnsi="Times New Roman"/>
          <w:sz w:val="24"/>
          <w:szCs w:val="24"/>
        </w:rPr>
        <w:t xml:space="preserve"> terminem płatności staje się termin, jaki obowiązywał przed wydaniem decyzji o udzieleniu ulgi, co wiąże się także z koniecznością zapłaty odsetek od zaległości za cały okres opóźnienia w zapłacie wobec pierwotnego terminu płatności.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Podobnie utrzymano dotychczasowe zasady wygasania decyzji o udzieleniu ulgi w spłacie w przypadku niedotrzymania terminu płatności odroczonych podatków</w:t>
      </w:r>
      <w:r w:rsidR="00BF3B8D" w:rsidRPr="009A3C86">
        <w:rPr>
          <w:rFonts w:ascii="Times New Roman" w:eastAsiaTheme="minorEastAsia" w:hAnsi="Times New Roman" w:cs="Arial"/>
          <w:sz w:val="24"/>
          <w:szCs w:val="20"/>
          <w:lang w:eastAsia="pl-PL"/>
        </w:rPr>
        <w:t xml:space="preserve"> </w:t>
      </w:r>
      <w:r w:rsidR="00BF3B8D" w:rsidRPr="009A3C86">
        <w:rPr>
          <w:rFonts w:ascii="Times New Roman" w:hAnsi="Times New Roman"/>
          <w:sz w:val="24"/>
          <w:szCs w:val="24"/>
        </w:rPr>
        <w:t>albo zaległości podatkowej</w:t>
      </w:r>
      <w:r w:rsidRPr="009A3C86">
        <w:rPr>
          <w:rFonts w:ascii="Times New Roman" w:hAnsi="Times New Roman"/>
          <w:sz w:val="24"/>
          <w:szCs w:val="24"/>
        </w:rPr>
        <w:t xml:space="preserve">. Wygaśnięcie decyzji w całości powoduje powrót do pierwotnego terminu płatności i obowiązek zapłaty dodatkowo odsetek w pełnej wysokości zamiast opłaty prolongacyjnej.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Podobne skutki ma niedotrzymanie terminu płatności którejkolwiek z rat, na jakie rozłożono podatek</w:t>
      </w:r>
      <w:r w:rsidR="00BF3B8D" w:rsidRPr="009A3C86">
        <w:rPr>
          <w:rFonts w:ascii="Times New Roman" w:eastAsiaTheme="minorEastAsia" w:hAnsi="Times New Roman" w:cs="Arial"/>
          <w:sz w:val="24"/>
          <w:szCs w:val="20"/>
          <w:lang w:eastAsia="pl-PL"/>
        </w:rPr>
        <w:t xml:space="preserve"> </w:t>
      </w:r>
      <w:r w:rsidR="00BF3B8D" w:rsidRPr="009A3C86">
        <w:rPr>
          <w:rFonts w:ascii="Times New Roman" w:hAnsi="Times New Roman"/>
          <w:sz w:val="24"/>
          <w:szCs w:val="24"/>
        </w:rPr>
        <w:t>albo zaległość podatkową</w:t>
      </w:r>
      <w:r w:rsidRPr="009A3C86">
        <w:rPr>
          <w:rFonts w:ascii="Times New Roman" w:hAnsi="Times New Roman"/>
          <w:sz w:val="24"/>
          <w:szCs w:val="24"/>
        </w:rPr>
        <w:t>. W tym wypadku skutki zależą jednak od liczby nieopłaconych w terminie rat. Jeżeli nie dokonano zapłaty jednej raty (i każdej następnej, o ile nie doszło do sytuacji braku zapłaty trzech kolejnych rat), decyzja wygasa wyłącznie w części dotyczącej każdej niezapłaconej raty. Odsetki będzie trzeba zapłacić tylko od kwoty tej raty. Dopiero z chwilą niedotrzymania terminu płatności trzech kolejnych rat decyzja wygasa w całości i cała kwota jest wymagalna wraz z odsetkami liczonymi od pierwotnego terminu płatności.</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4. Zgodnie z </w:t>
      </w:r>
      <w:r w:rsidRPr="009A3C86">
        <w:rPr>
          <w:rFonts w:ascii="Times New Roman" w:hAnsi="Times New Roman"/>
          <w:b/>
          <w:sz w:val="24"/>
          <w:szCs w:val="24"/>
        </w:rPr>
        <w:t xml:space="preserve">art. </w:t>
      </w:r>
      <w:r w:rsidRPr="009A3C86">
        <w:rPr>
          <w:rFonts w:ascii="Times New Roman" w:hAnsi="Times New Roman"/>
          <w:b/>
          <w:bCs/>
          <w:sz w:val="24"/>
          <w:szCs w:val="24"/>
        </w:rPr>
        <w:t>2</w:t>
      </w:r>
      <w:r w:rsidR="00C70532" w:rsidRPr="009A3C86">
        <w:rPr>
          <w:rFonts w:ascii="Times New Roman" w:hAnsi="Times New Roman"/>
          <w:b/>
          <w:bCs/>
          <w:sz w:val="24"/>
          <w:szCs w:val="24"/>
        </w:rPr>
        <w:t>36</w:t>
      </w:r>
      <w:r w:rsidRPr="009A3C86">
        <w:rPr>
          <w:rFonts w:ascii="Times New Roman" w:hAnsi="Times New Roman"/>
          <w:sz w:val="24"/>
          <w:szCs w:val="24"/>
        </w:rPr>
        <w:t xml:space="preserve">, podobnie jak obecnie, w przypadku podatników prowadzących działalność gospodarczą organy mogą udzielać ulg, które nie stanowią pomocy publicznej. Dopuszczalne jest także udzielenie ulg stanowiących pomoc </w:t>
      </w:r>
      <w:r w:rsidRPr="009A3C86">
        <w:rPr>
          <w:rFonts w:ascii="Times New Roman" w:hAnsi="Times New Roman"/>
          <w:i/>
          <w:sz w:val="24"/>
          <w:szCs w:val="24"/>
        </w:rPr>
        <w:t>de minimis</w:t>
      </w:r>
      <w:r w:rsidRPr="009A3C86">
        <w:rPr>
          <w:rFonts w:ascii="Times New Roman" w:hAnsi="Times New Roman"/>
          <w:sz w:val="24"/>
          <w:szCs w:val="24"/>
        </w:rPr>
        <w:t xml:space="preserve">, na zasadach i warunkach wynikających z przepisów Unii Europejskiej.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Z kolei udzielanie ulg stanowiących pomoc publiczną jest możliwe w zakresie i na zasadach określonych w bezpośrednio obowiązujących przepisach Unii Europejskiej, lub w zakresie i na zasadach określonych na podstawie rozporządzeń Rady Ministrów jako pomoc indywidualna, w tym zgodna z programami rządowymi lub samorządowymi albo w ramach programów pomocowych określonych w odrębnych przepisach.</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Zachowano także możliwość określenia przez Radę Ministrów szczegółowych warunków udzielania ulg w spłacie podatków wraz ze wskazaniem przypadków, w których ulgi są udzielane jako pomoc indywidualna, co może obejmować np. pomoc publiczną uznaną za zgodną z rynkiem wewnętrznym zgodnie z art. 10</w:t>
      </w:r>
      <w:r w:rsidR="008E1295" w:rsidRPr="009A3C86">
        <w:rPr>
          <w:rFonts w:ascii="Times New Roman" w:hAnsi="Times New Roman"/>
          <w:sz w:val="24"/>
          <w:szCs w:val="24"/>
        </w:rPr>
        <w:t>3</w:t>
      </w:r>
      <w:r w:rsidRPr="009A3C86">
        <w:rPr>
          <w:rFonts w:ascii="Times New Roman" w:hAnsi="Times New Roman"/>
          <w:sz w:val="24"/>
          <w:szCs w:val="24"/>
        </w:rPr>
        <w:t xml:space="preserve"> ust. 2 akapit trzeci TFUE na mocy decyzji Rady.</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5. W </w:t>
      </w:r>
      <w:r w:rsidRPr="009A3C86">
        <w:rPr>
          <w:rFonts w:ascii="Times New Roman" w:hAnsi="Times New Roman"/>
          <w:b/>
          <w:sz w:val="24"/>
          <w:szCs w:val="24"/>
        </w:rPr>
        <w:t xml:space="preserve">art. </w:t>
      </w:r>
      <w:r w:rsidRPr="009A3C86">
        <w:rPr>
          <w:rFonts w:ascii="Times New Roman" w:hAnsi="Times New Roman"/>
          <w:b/>
          <w:bCs/>
          <w:sz w:val="24"/>
          <w:szCs w:val="24"/>
        </w:rPr>
        <w:t>2</w:t>
      </w:r>
      <w:r w:rsidR="00C70532" w:rsidRPr="009A3C86">
        <w:rPr>
          <w:rFonts w:ascii="Times New Roman" w:hAnsi="Times New Roman"/>
          <w:b/>
          <w:bCs/>
          <w:sz w:val="24"/>
          <w:szCs w:val="24"/>
        </w:rPr>
        <w:t>37</w:t>
      </w:r>
      <w:r w:rsidRPr="009A3C86">
        <w:rPr>
          <w:rFonts w:ascii="Times New Roman" w:hAnsi="Times New Roman"/>
          <w:sz w:val="24"/>
          <w:szCs w:val="24"/>
        </w:rPr>
        <w:t xml:space="preserve"> zdecydowano się wskazać na konieczne elementy wniosku o udzielenie ulgi, a także zawarto obowiązek załączenia do wniosku stosownych zaświadczeń, oświadczeń oraz </w:t>
      </w:r>
      <w:r w:rsidRPr="009A3C86">
        <w:rPr>
          <w:rFonts w:ascii="Times New Roman" w:hAnsi="Times New Roman"/>
          <w:sz w:val="24"/>
          <w:szCs w:val="24"/>
        </w:rPr>
        <w:lastRenderedPageBreak/>
        <w:t>formularzy, o których mowa w przepisach ustawy o postępowaniu w sprawach dotyczących pomocy publicznej. Powyższe ma ułatwić występowanie przez obowiązanych o udzielenie ulg w spłacie oraz stanowić pomoc dla organów przy procedowaniu takich wniosków. Mając na względzie środki komunikacji elektronicznej, pozostawiono ministrowi właściwemu do spraw finansów publicznych możliwość określenia w drodze rozporządzenia wzoru wniosku o udzielenie ulgi.</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6. Stosownie do </w:t>
      </w:r>
      <w:r w:rsidRPr="009A3C86">
        <w:rPr>
          <w:rFonts w:ascii="Times New Roman" w:hAnsi="Times New Roman"/>
          <w:b/>
          <w:sz w:val="24"/>
          <w:szCs w:val="24"/>
        </w:rPr>
        <w:t xml:space="preserve">art. </w:t>
      </w:r>
      <w:r w:rsidRPr="009A3C86">
        <w:rPr>
          <w:rFonts w:ascii="Times New Roman" w:hAnsi="Times New Roman"/>
          <w:b/>
          <w:bCs/>
          <w:sz w:val="24"/>
          <w:szCs w:val="24"/>
        </w:rPr>
        <w:t>2</w:t>
      </w:r>
      <w:r w:rsidR="00C70532" w:rsidRPr="009A3C86">
        <w:rPr>
          <w:rFonts w:ascii="Times New Roman" w:hAnsi="Times New Roman"/>
          <w:b/>
          <w:bCs/>
          <w:sz w:val="24"/>
          <w:szCs w:val="24"/>
        </w:rPr>
        <w:t>38</w:t>
      </w:r>
      <w:r w:rsidRPr="009A3C86">
        <w:rPr>
          <w:rFonts w:ascii="Times New Roman" w:hAnsi="Times New Roman"/>
          <w:sz w:val="24"/>
          <w:szCs w:val="24"/>
        </w:rPr>
        <w:t xml:space="preserve"> przypadki, w których organy mogą umarzać podatki z urzędu, pozostawiono praktycznie w tym samym kształcie jak w aktualnie obowiązujących przepisach, rozszerzając o pojawiające się w praktyce przypadki w których uznano zasadność umorzenia z urzędu.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Umorzenie z urzędu może nastąpić w braku możliwości egzekucji kwoty wyższej niż wydatki egzekucyjne lub gdy kwota nie przekracza 100 zł, zgodnie z limitem bagatelności przyjętym w projekcie ordynacji podatkowej. Umorzenie z urzędu jest także dopuszczalne, w odniesieniu do kwoty zaległości, która nie została zaspokojona </w:t>
      </w:r>
      <w:r w:rsidR="00B87149" w:rsidRPr="009A3C86">
        <w:rPr>
          <w:rFonts w:ascii="Times New Roman" w:hAnsi="Times New Roman"/>
          <w:sz w:val="24"/>
          <w:szCs w:val="24"/>
        </w:rPr>
        <w:t xml:space="preserve">w całości </w:t>
      </w:r>
      <w:r w:rsidRPr="009A3C86">
        <w:rPr>
          <w:rFonts w:ascii="Times New Roman" w:hAnsi="Times New Roman"/>
          <w:sz w:val="24"/>
          <w:szCs w:val="24"/>
        </w:rPr>
        <w:t>w zakończonym lub umorzonym postępowaniu likwidacyjnym lub upadłościowym albo sąd oddalił wniosek o ogłoszenie upadłości</w:t>
      </w:r>
      <w:r w:rsidR="00B87149" w:rsidRPr="009A3C86">
        <w:rPr>
          <w:rFonts w:ascii="Times New Roman" w:eastAsia="MS Mincho" w:hAnsi="Times New Roman"/>
          <w:sz w:val="24"/>
          <w:szCs w:val="24"/>
          <w:lang w:eastAsia="pl-PL"/>
        </w:rPr>
        <w:t xml:space="preserve"> </w:t>
      </w:r>
      <w:r w:rsidR="00B87149" w:rsidRPr="009A3C86">
        <w:rPr>
          <w:rFonts w:ascii="Times New Roman" w:hAnsi="Times New Roman"/>
          <w:sz w:val="24"/>
          <w:szCs w:val="24"/>
        </w:rPr>
        <w:t>na podstawie art. 13 ust. 1 lub 2 ustawy z dnia 28 lutego 2003 r. - Prawo upadłościowe (Dz. U. z 2017 r. poz. 2344, 2491, z 2018 r. poz. 398, 650, 685, 1544 i 1629</w:t>
      </w:r>
      <w:r w:rsidR="00BF7084" w:rsidRPr="009A3C86">
        <w:rPr>
          <w:rFonts w:ascii="Times New Roman" w:hAnsi="Times New Roman"/>
          <w:sz w:val="24"/>
          <w:szCs w:val="24"/>
        </w:rPr>
        <w:t xml:space="preserve"> oraz z 2019 r. poz. 55, 60 i 326</w:t>
      </w:r>
      <w:r w:rsidR="00B87149" w:rsidRPr="009A3C86">
        <w:rPr>
          <w:rFonts w:ascii="Times New Roman" w:hAnsi="Times New Roman"/>
          <w:sz w:val="24"/>
          <w:szCs w:val="24"/>
        </w:rPr>
        <w:t>)</w:t>
      </w:r>
      <w:r w:rsidRPr="009A3C86">
        <w:rPr>
          <w:rFonts w:ascii="Times New Roman" w:hAnsi="Times New Roman"/>
          <w:sz w:val="24"/>
          <w:szCs w:val="24"/>
        </w:rPr>
        <w:t xml:space="preserve">. Przy tym umorzenie to jest możliwe także wyłącznie wtedy, gdy jest to zgodne z przepisami o pomocy publicznej. Umarzane z urzędu będą także podatki, gdy zobowiązany zmarł, nie pozostawiając żadnego majątku albo pozostawił ruchomości niepodlegające egzekucji, albo przedmioty codziennego użytku nieprzekraczające wartości 5000 zł i nie pozostawił innych spadkobierców niż Skarb Państwa lub jednostka samorządu terytorialnego i brak jest możliwości orzeczenia o odpowiedzialności podatkowej osoby trzeciej.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Nowe przypadki umorzenia z urzędu obejmują przypadki, w których spadkobiercy istnieją, ale zachodzi uzasadnione przypuszczenie, że koszty postępowania w sprawie przekroczą kwotę uzyskanego podatku, w takim wypadku prowadzenie postępowania nie byłoby ekonomicznie uzasadnione.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Kolejnym nowym przypadkiem umorzenia z urzędu jest sytuacja, w której kwota zaległości podatkowej nie została zaspokojona</w:t>
      </w:r>
      <w:r w:rsidRPr="009A3C86">
        <w:rPr>
          <w:rFonts w:ascii="Times New Roman" w:hAnsi="Times New Roman"/>
          <w:sz w:val="24"/>
          <w:szCs w:val="24"/>
          <w:shd w:val="clear" w:color="auto" w:fill="FFFFFF"/>
        </w:rPr>
        <w:t xml:space="preserve"> w całości,</w:t>
      </w:r>
      <w:r w:rsidRPr="009A3C86">
        <w:rPr>
          <w:rFonts w:ascii="Times New Roman" w:hAnsi="Times New Roman"/>
          <w:sz w:val="24"/>
          <w:szCs w:val="24"/>
        </w:rPr>
        <w:t xml:space="preserve"> gdyż została ograniczona do wartości stanu czynnego spadku bądź została zaspokojona z zachowaniem proporcjonalnej spłaty długów spadkowych zgodnie z przepisami kodeksu cywilnego o przyjęciu i odrzuceniu spadku oraz o odpowiedzialności za długi spadkowe. W tym wypadku istnieje bowiem zaległość, ale brak jest majątku z jakiego mogłaby zostać zaspokojona, lub osób za nią odpowiedzialnych. W braku </w:t>
      </w:r>
      <w:r w:rsidRPr="009A3C86">
        <w:rPr>
          <w:rFonts w:ascii="Times New Roman" w:hAnsi="Times New Roman"/>
          <w:sz w:val="24"/>
          <w:szCs w:val="24"/>
        </w:rPr>
        <w:lastRenderedPageBreak/>
        <w:t>umorzenia tej zaległości, mimo braku szans na jej odzyskanie, istniałaby ona aż do okresu przedawnienia poboru, co nie ma żadnego uzasadnienia.</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Z przyczyn uzasadnionych ekonomiką postępowania we wszystkich przypadkach umorzenia z urzędu decyzję umarzającą zaległość pozostawia się w aktach sprawy.</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7. W rozdziale dotyczącym ulg w spłacie zawarto także przepisy dotyczące opłaty prolongacyjnej, która jest ściśle związana z udzielanymi ulgami w spłacie. Zgodnie z przepisem </w:t>
      </w:r>
      <w:r w:rsidRPr="009A3C86">
        <w:rPr>
          <w:rFonts w:ascii="Times New Roman" w:hAnsi="Times New Roman"/>
          <w:b/>
          <w:sz w:val="24"/>
          <w:szCs w:val="24"/>
        </w:rPr>
        <w:t xml:space="preserve">art. </w:t>
      </w:r>
      <w:r w:rsidRPr="009A3C86">
        <w:rPr>
          <w:rFonts w:ascii="Times New Roman" w:hAnsi="Times New Roman"/>
          <w:b/>
          <w:bCs/>
          <w:sz w:val="24"/>
          <w:szCs w:val="24"/>
        </w:rPr>
        <w:t>23</w:t>
      </w:r>
      <w:r w:rsidR="00C70532" w:rsidRPr="009A3C86">
        <w:rPr>
          <w:rFonts w:ascii="Times New Roman" w:hAnsi="Times New Roman"/>
          <w:b/>
          <w:bCs/>
          <w:sz w:val="24"/>
          <w:szCs w:val="24"/>
        </w:rPr>
        <w:t>9</w:t>
      </w:r>
      <w:r w:rsidRPr="009A3C86">
        <w:rPr>
          <w:rFonts w:ascii="Times New Roman" w:hAnsi="Times New Roman"/>
          <w:sz w:val="24"/>
          <w:szCs w:val="24"/>
        </w:rPr>
        <w:t xml:space="preserve"> organ podatkowy w wydawanej decyzji o udzieleniu ulgi, polegającej na odroczeniu terminu płatności lub rozłożeniu podatków na raty, ustala opłatę prolongacyjną</w:t>
      </w:r>
      <w:r w:rsidRPr="009A3C86">
        <w:rPr>
          <w:rFonts w:ascii="Times New Roman" w:hAnsi="Times New Roman"/>
        </w:rPr>
        <w:t xml:space="preserve"> </w:t>
      </w:r>
      <w:r w:rsidRPr="009A3C86">
        <w:rPr>
          <w:rFonts w:ascii="Times New Roman" w:hAnsi="Times New Roman"/>
          <w:sz w:val="24"/>
          <w:szCs w:val="24"/>
        </w:rPr>
        <w:t>od kwoty podatku lub zaległości podatkowej.</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Stawkę opłaty przyjęto jako 50% kwoty odsetek za zwłokę. Należy wskazać, że stawka ta obowiązywać będzie także w zakresie podatków stanowiących dochód jednostek samorządu terytorialnego. Tym samym zniesiono konieczność uchwalania wysokości stawki opłaty prolongacyjnej przez te jednostki, by taka opłata mogła być naliczana. Konsekwencją wprowadzonej zmiany jest brak możliwości rezygnacji przez daną jednostkę samorządu terytorialnego z wprowadzenia opłaty prolongacyjnej, jednak mają one możliwość umarzania naliczonej opłaty prolongacyjnej na zasadach ogólnych, gdy jest to uzasadnione ważnym interesem zobowiązanego lub interesem publicznym. Wprowadzenie jednolitej stawki opłaty prolongacyjnej zarówno w ulgach udzielanych w odniesieniu do dochodów państwa, jak i jednostek samorządu terytorialnego jest wyrazem realizacji zasady powszechności opodatkowania i konstytucyjnego obowiązku ponoszenia ciężarów publicznych.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Utrzymano zasadę, że zmiany stawki opłaty prolongacyjnej po wydaniu decyzji nie mają znaczenia dla ustalonej opłaty prolongacyjnej, która bazuje na jej wysokości obowiązującej w dniu wydania decyzji. Terminem płatności opłaty prolongacyjnej jest termin płatności odroczonego podatku lub poszczególnych rat, zaś w razie niedotrzymania terminu stosuje się odpowiednio zasady obowiązujące w zakresie odroczonych lub rozłożonych na raty podatków.</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Opłata prolongacyjna nie będzie ustalana wyłącznie w przypadku, gdy przyczyną wydania decyzji o udzieleniu ulgi jest klęska żywiołowa lub wypadek losowy. Opłata ustalona w decyzji może, na zasadach wynikających z art. 2</w:t>
      </w:r>
      <w:r w:rsidR="00C70532" w:rsidRPr="009A3C86">
        <w:rPr>
          <w:rFonts w:ascii="Times New Roman" w:hAnsi="Times New Roman"/>
          <w:sz w:val="24"/>
          <w:szCs w:val="24"/>
        </w:rPr>
        <w:t>34</w:t>
      </w:r>
      <w:r w:rsidRPr="009A3C86">
        <w:rPr>
          <w:rFonts w:ascii="Times New Roman" w:hAnsi="Times New Roman"/>
          <w:sz w:val="24"/>
          <w:szCs w:val="24"/>
        </w:rPr>
        <w:t xml:space="preserve"> § 3, podlegać umorzeniu w całości lub w części, jeśli organ uzna to za uzasadnione.</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Szczegółowe zasady naliczania opłaty prolongacyjnej zostaną określone w rozporządzeniu ministra właściwego do spraw finansów publicznych.</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8. W przepisie </w:t>
      </w:r>
      <w:r w:rsidRPr="009A3C86">
        <w:rPr>
          <w:rFonts w:ascii="Times New Roman" w:hAnsi="Times New Roman"/>
          <w:b/>
          <w:sz w:val="24"/>
          <w:szCs w:val="24"/>
        </w:rPr>
        <w:t>art. 2</w:t>
      </w:r>
      <w:r w:rsidR="00C70532" w:rsidRPr="009A3C86">
        <w:rPr>
          <w:rFonts w:ascii="Times New Roman" w:hAnsi="Times New Roman"/>
          <w:b/>
          <w:sz w:val="24"/>
          <w:szCs w:val="24"/>
        </w:rPr>
        <w:t>40</w:t>
      </w:r>
      <w:r w:rsidRPr="009A3C86">
        <w:rPr>
          <w:rFonts w:ascii="Times New Roman" w:hAnsi="Times New Roman"/>
          <w:sz w:val="24"/>
          <w:szCs w:val="24"/>
        </w:rPr>
        <w:t xml:space="preserve"> uregulowano ulgi dotyczące pobrania podatku przez płatnika. Utrzymano obowiązującą obecnie w o.p. możliwość zwolnienia płatnika, na jego wniosek, z obowiązku pobrania podatku (w tym także zaliczek), o ile podatnik wykaże, że pobranie </w:t>
      </w:r>
      <w:r w:rsidRPr="009A3C86">
        <w:rPr>
          <w:rFonts w:ascii="Times New Roman" w:hAnsi="Times New Roman"/>
          <w:sz w:val="24"/>
          <w:szCs w:val="24"/>
        </w:rPr>
        <w:lastRenderedPageBreak/>
        <w:t xml:space="preserve">podatków zagraża jego ważnym interesom, a w szczególności jego egzystencji. W przypadku, gdy pobrane podatki byłyby niewspółmiernie wysokie w stosunku do podatku należnego za okres rozliczeniowy w celu uzyskania ulgi wystarczy uprawdopodobnienie spełnienia tego warunku. Podobnie utrzymano możliwość ograniczenia przez organ poboru zaliczek od zobowiązanego, jeżeli byłyby one niewspółmiernie wysokie w stosunku do przewidywanej kwoty podatku za dany okres rozliczeniowy. Utrzymano także regułę, zgodnie z którą organ podatkowy określa termin wpłacenia podatków lub zaliczki na podatek, chyba że zobowiązany ma obowiązek dokonania okresowego rozliczenia tych podatków. Organy właściwe w sprawie udzielania powyższych ulg zostały określone w </w:t>
      </w:r>
      <w:r w:rsidRPr="009A3C86">
        <w:rPr>
          <w:rFonts w:ascii="Times New Roman" w:hAnsi="Times New Roman"/>
          <w:b/>
          <w:sz w:val="24"/>
          <w:szCs w:val="24"/>
        </w:rPr>
        <w:t>art. 2</w:t>
      </w:r>
      <w:r w:rsidR="00C70532" w:rsidRPr="009A3C86">
        <w:rPr>
          <w:rFonts w:ascii="Times New Roman" w:hAnsi="Times New Roman"/>
          <w:b/>
          <w:sz w:val="24"/>
          <w:szCs w:val="24"/>
        </w:rPr>
        <w:t>41</w:t>
      </w:r>
      <w:r w:rsidRPr="009A3C86">
        <w:rPr>
          <w:rFonts w:ascii="Times New Roman" w:hAnsi="Times New Roman"/>
          <w:sz w:val="24"/>
          <w:szCs w:val="24"/>
        </w:rPr>
        <w:t>.</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Warto podkreślić, ze w ulgach dotyczących zaliczek, w odróżnieniu od innych ulg w spłacie, brak jest uznania administracyjnego po stronie organu wykazanie lub uprawdopodobnienie spełnienia warunków jej udzielenia. </w:t>
      </w:r>
    </w:p>
    <w:p w:rsidR="00A05A3B" w:rsidRPr="009A3C86" w:rsidRDefault="00A05A3B" w:rsidP="00A05A3B">
      <w:pPr>
        <w:spacing w:after="0" w:line="360" w:lineRule="auto"/>
        <w:jc w:val="both"/>
        <w:rPr>
          <w:rFonts w:ascii="Times New Roman" w:hAnsi="Times New Roman"/>
          <w:sz w:val="24"/>
          <w:szCs w:val="24"/>
        </w:rPr>
      </w:pPr>
      <w:r w:rsidRPr="009A3C86">
        <w:rPr>
          <w:rFonts w:ascii="Times New Roman" w:hAnsi="Times New Roman"/>
          <w:sz w:val="24"/>
          <w:szCs w:val="24"/>
        </w:rPr>
        <w:t xml:space="preserve">9. W </w:t>
      </w:r>
      <w:r w:rsidRPr="009A3C86">
        <w:rPr>
          <w:rFonts w:ascii="Times New Roman" w:hAnsi="Times New Roman"/>
          <w:b/>
          <w:sz w:val="24"/>
          <w:szCs w:val="24"/>
        </w:rPr>
        <w:t>art. 2</w:t>
      </w:r>
      <w:r w:rsidR="00C70532" w:rsidRPr="009A3C86">
        <w:rPr>
          <w:rFonts w:ascii="Times New Roman" w:hAnsi="Times New Roman"/>
          <w:b/>
          <w:sz w:val="24"/>
          <w:szCs w:val="24"/>
        </w:rPr>
        <w:t>41</w:t>
      </w:r>
      <w:r w:rsidRPr="009A3C86">
        <w:rPr>
          <w:rFonts w:ascii="Times New Roman" w:hAnsi="Times New Roman"/>
          <w:sz w:val="24"/>
          <w:szCs w:val="24"/>
        </w:rPr>
        <w:t xml:space="preserve"> wprost wskazano, że organem właściwym w sprawie udzielania ulg w spłacie jest naczelnik urzędu skarbowego, gdyż podmiot ten jest właściwy do poboru większości podatków. Wprost wskazano także, że przypadku podatków stanowiących dochody jednostek samorządu terytorialnego, innych niż pobierane przez naczelnika urzędu skarbowego, w sprawie udzielenia ulg w spłacie właściwe są te organy. W przypadku podatków stanowiących dochód samorządu terytorialnego, ale pobieranych przez naczelników urzędów skarbowych, utrzymano dzisiejsze zasady udzielania ulg w spłacie przez naczelników urzędów skarbowych za zgodą przewodniczącego zarządu jednostki samorządu terytorialnego.</w:t>
      </w:r>
    </w:p>
    <w:p w:rsidR="00A05A3B" w:rsidRPr="009A3C86" w:rsidRDefault="00A05A3B"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Na wzór aktualnie obowiązujących przepisów pozostawiono możliwość dla ministra właściwego do spraw finansów publicznych określenia w drodze rozporządzenia właściwości rzeczowej organów podatkowych w sprawach udzielania ulg w spłacie, choć ze względu na uregulowanie tego zagadnienia w ustawie wydanie rozporządzenia nie jest konieczne. </w:t>
      </w:r>
    </w:p>
    <w:p w:rsidR="00741954" w:rsidRPr="009A3C86" w:rsidRDefault="00741954" w:rsidP="00741954">
      <w:pPr>
        <w:tabs>
          <w:tab w:val="num" w:pos="720"/>
        </w:tabs>
        <w:spacing w:after="0" w:line="360" w:lineRule="auto"/>
        <w:jc w:val="both"/>
        <w:outlineLvl w:val="2"/>
        <w:rPr>
          <w:rFonts w:ascii="Times New Roman" w:eastAsia="Times New Roman" w:hAnsi="Times New Roman"/>
          <w:b/>
          <w:sz w:val="24"/>
          <w:szCs w:val="24"/>
        </w:rPr>
      </w:pPr>
      <w:bookmarkStart w:id="31" w:name="_Toc494363258"/>
      <w:r w:rsidRPr="009A3C86">
        <w:rPr>
          <w:rFonts w:ascii="Times New Roman" w:eastAsia="Times New Roman" w:hAnsi="Times New Roman"/>
          <w:b/>
          <w:sz w:val="24"/>
          <w:szCs w:val="24"/>
        </w:rPr>
        <w:t xml:space="preserve">Rozdział </w:t>
      </w:r>
      <w:r w:rsidR="005274A6" w:rsidRPr="009A3C86">
        <w:rPr>
          <w:rFonts w:ascii="Times New Roman" w:eastAsia="Times New Roman" w:hAnsi="Times New Roman"/>
          <w:b/>
          <w:sz w:val="24"/>
          <w:szCs w:val="24"/>
        </w:rPr>
        <w:t>10</w:t>
      </w:r>
      <w:r w:rsidRPr="009A3C86">
        <w:rPr>
          <w:rFonts w:ascii="Times New Roman" w:eastAsia="Times New Roman" w:hAnsi="Times New Roman"/>
          <w:b/>
          <w:sz w:val="24"/>
          <w:szCs w:val="24"/>
        </w:rPr>
        <w:t>. Odpowiedzialność podatnika, płatnika i inkasenta</w:t>
      </w:r>
      <w:bookmarkEnd w:id="31"/>
    </w:p>
    <w:p w:rsidR="00741954" w:rsidRPr="009A3C86" w:rsidRDefault="00741954" w:rsidP="00741954">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1. Zagadnienia odpowiedzialności podatkowej zostały uregulowane w oparciu o dotychczasowy model normatywny, z jednoczesnym uporządkowaniem przepisów, dostosowaniem rozwiązań podatkowych do przepisów Kodeksu rodzinnego i opiekuńczego, regulujących małżeńskie stosunki majątkowe, wyeliminowaniem dostrzeżonych wad i nadmiernego skomplikowania regulacji w niektórych obszarach. Dla przykładu można wskazać spójność projektowanych rozwiązań w art. 2</w:t>
      </w:r>
      <w:r w:rsidR="00C70532" w:rsidRPr="009A3C86">
        <w:rPr>
          <w:rFonts w:ascii="Times New Roman" w:eastAsia="SimSun" w:hAnsi="Times New Roman"/>
          <w:kern w:val="3"/>
          <w:sz w:val="24"/>
          <w:szCs w:val="24"/>
          <w:lang w:eastAsia="zh-CN"/>
        </w:rPr>
        <w:t>42</w:t>
      </w:r>
      <w:r w:rsidRPr="009A3C86">
        <w:rPr>
          <w:rFonts w:ascii="Times New Roman" w:eastAsia="SimSun" w:hAnsi="Times New Roman"/>
          <w:kern w:val="3"/>
          <w:sz w:val="24"/>
          <w:szCs w:val="24"/>
          <w:lang w:eastAsia="zh-CN"/>
        </w:rPr>
        <w:t xml:space="preserve"> § 2 i 6 z art. 31 § 1 k.r.i o., art. 238 § 4 z art. 47</w:t>
      </w:r>
      <w:r w:rsidRPr="009A3C86">
        <w:rPr>
          <w:rFonts w:ascii="Times New Roman" w:eastAsia="SimSun" w:hAnsi="Times New Roman"/>
          <w:kern w:val="3"/>
          <w:sz w:val="24"/>
          <w:szCs w:val="24"/>
          <w:vertAlign w:val="superscript"/>
          <w:lang w:eastAsia="zh-CN"/>
        </w:rPr>
        <w:t>1</w:t>
      </w:r>
      <w:r w:rsidRPr="009A3C86">
        <w:rPr>
          <w:rFonts w:ascii="Times New Roman" w:eastAsia="SimSun" w:hAnsi="Times New Roman"/>
          <w:kern w:val="3"/>
          <w:sz w:val="24"/>
          <w:szCs w:val="24"/>
          <w:lang w:eastAsia="zh-CN"/>
        </w:rPr>
        <w:t xml:space="preserve"> k.r.i.o.</w:t>
      </w:r>
      <w:r w:rsidRPr="009A3C86">
        <w:rPr>
          <w:rFonts w:ascii="Times New Roman" w:eastAsia="SimSun" w:hAnsi="Times New Roman"/>
          <w:kern w:val="3"/>
          <w:sz w:val="24"/>
          <w:szCs w:val="24"/>
          <w:vertAlign w:val="superscript"/>
          <w:lang w:eastAsia="zh-CN"/>
        </w:rPr>
        <w:footnoteReference w:id="269"/>
      </w:r>
      <w:r w:rsidRPr="009A3C86">
        <w:rPr>
          <w:rFonts w:ascii="Times New Roman" w:eastAsia="SimSun" w:hAnsi="Times New Roman"/>
          <w:kern w:val="3"/>
          <w:sz w:val="24"/>
          <w:szCs w:val="24"/>
          <w:lang w:eastAsia="zh-CN"/>
        </w:rPr>
        <w:t xml:space="preserve">, </w:t>
      </w:r>
      <w:r w:rsidRPr="009A3C86">
        <w:rPr>
          <w:rFonts w:ascii="Times New Roman" w:eastAsia="SimSun" w:hAnsi="Times New Roman"/>
          <w:color w:val="000000"/>
          <w:kern w:val="3"/>
          <w:sz w:val="24"/>
          <w:szCs w:val="24"/>
          <w:lang w:eastAsia="zh-CN"/>
        </w:rPr>
        <w:t xml:space="preserve">ale niespójność art. 29 § 2 o.p. z art. 47, ar. 51 i 52 k.r.o. Należy podkreślić, że kodeks </w:t>
      </w:r>
      <w:r w:rsidRPr="009A3C86">
        <w:rPr>
          <w:rFonts w:ascii="Times New Roman" w:eastAsia="SimSun" w:hAnsi="Times New Roman"/>
          <w:color w:val="000000"/>
          <w:kern w:val="3"/>
          <w:sz w:val="24"/>
          <w:szCs w:val="24"/>
          <w:lang w:eastAsia="zh-CN"/>
        </w:rPr>
        <w:lastRenderedPageBreak/>
        <w:t>rodzinny i opiekuńczy już od 20 stycznia 2005 r. nie zna np. instytucji zniesienia wspólności majątkowej małżeńskiej, którym posługuje się obowiązująca ordynacja podatkowa. Rezultatem powinna być merytoryczna poprawa regulacji i zmniejszenie</w:t>
      </w:r>
      <w:r w:rsidRPr="009A3C86">
        <w:rPr>
          <w:rFonts w:ascii="Times New Roman" w:eastAsia="SimSun" w:hAnsi="Times New Roman"/>
          <w:kern w:val="3"/>
          <w:sz w:val="24"/>
          <w:szCs w:val="24"/>
          <w:lang w:eastAsia="zh-CN"/>
        </w:rPr>
        <w:t xml:space="preserve"> kazuistyki przepisów, a także uczynienie ich bardziej syntetycznymi. </w:t>
      </w:r>
    </w:p>
    <w:p w:rsidR="00741954" w:rsidRPr="009A3C86" w:rsidRDefault="00741954" w:rsidP="00741954">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2. Przyjmując określoną w dziale II kolejność zakresów regulacji, kierowano się tym, że mimo iż następstwo prawne powinno mieć pierwszeństwo w regulacji, to jednak w znacznym stopniu odpowiedzialność następców prawnych, tj. spadkobierców i zapisobierców windykacyjnych jest uregulowana w przepisach Kodeksu cywilnego, do którego odsyła art. 2</w:t>
      </w:r>
      <w:r w:rsidR="001D5ED4" w:rsidRPr="009A3C86">
        <w:rPr>
          <w:rFonts w:ascii="Times New Roman" w:eastAsia="SimSun" w:hAnsi="Times New Roman"/>
          <w:kern w:val="3"/>
          <w:sz w:val="24"/>
          <w:szCs w:val="24"/>
          <w:lang w:eastAsia="zh-CN"/>
        </w:rPr>
        <w:t>87</w:t>
      </w:r>
      <w:r w:rsidRPr="009A3C86">
        <w:rPr>
          <w:rFonts w:ascii="Times New Roman" w:eastAsia="SimSun" w:hAnsi="Times New Roman"/>
          <w:kern w:val="3"/>
          <w:sz w:val="24"/>
          <w:szCs w:val="24"/>
          <w:lang w:eastAsia="zh-CN"/>
        </w:rPr>
        <w:t xml:space="preserve"> § 1 projektu (art. 98 § 1 o.p.). Zatem, mimo że spadkobiercy i zapisobiercy windykacyjni ponoszą odpowiedzialność całym swoim majątkiem (do chwili przyjęcia spadku tylko spadkiem – art. 1030 k.c.) – co wynika z art. 2</w:t>
      </w:r>
      <w:r w:rsidR="00551B3D" w:rsidRPr="009A3C86">
        <w:rPr>
          <w:rFonts w:ascii="Times New Roman" w:eastAsia="SimSun" w:hAnsi="Times New Roman"/>
          <w:kern w:val="3"/>
          <w:sz w:val="24"/>
          <w:szCs w:val="24"/>
          <w:lang w:eastAsia="zh-CN"/>
        </w:rPr>
        <w:t>7</w:t>
      </w:r>
      <w:r w:rsidRPr="009A3C86">
        <w:rPr>
          <w:rFonts w:ascii="Times New Roman" w:eastAsia="SimSun" w:hAnsi="Times New Roman"/>
          <w:kern w:val="3"/>
          <w:sz w:val="24"/>
          <w:szCs w:val="24"/>
          <w:lang w:eastAsia="zh-CN"/>
        </w:rPr>
        <w:t>8 § 1 projektu (art. 98 § 1 o.p.) w związku z art. 1030 k.c.</w:t>
      </w:r>
      <w:r w:rsidRPr="009A3C86">
        <w:rPr>
          <w:rFonts w:ascii="Times New Roman" w:eastAsia="SimSun" w:hAnsi="Times New Roman"/>
          <w:kern w:val="3"/>
          <w:sz w:val="24"/>
          <w:szCs w:val="24"/>
          <w:vertAlign w:val="superscript"/>
          <w:lang w:eastAsia="zh-CN"/>
        </w:rPr>
        <w:footnoteReference w:id="270"/>
      </w:r>
      <w:r w:rsidRPr="009A3C86">
        <w:rPr>
          <w:rFonts w:ascii="Times New Roman" w:eastAsia="SimSun" w:hAnsi="Times New Roman"/>
          <w:kern w:val="3"/>
          <w:sz w:val="24"/>
          <w:szCs w:val="24"/>
          <w:lang w:eastAsia="zh-CN"/>
        </w:rPr>
        <w:t xml:space="preserve"> - to jednak nie przepisy działu II rozdziału </w:t>
      </w:r>
      <w:r w:rsidR="00EB5A10" w:rsidRPr="009A3C86">
        <w:rPr>
          <w:rFonts w:ascii="Times New Roman" w:eastAsia="SimSun" w:hAnsi="Times New Roman"/>
          <w:kern w:val="3"/>
          <w:sz w:val="24"/>
          <w:szCs w:val="24"/>
          <w:lang w:eastAsia="zh-CN"/>
        </w:rPr>
        <w:t>10</w:t>
      </w:r>
      <w:r w:rsidRPr="009A3C86">
        <w:rPr>
          <w:rFonts w:ascii="Times New Roman" w:eastAsia="SimSun" w:hAnsi="Times New Roman"/>
          <w:kern w:val="3"/>
          <w:sz w:val="24"/>
          <w:szCs w:val="24"/>
          <w:lang w:eastAsia="zh-CN"/>
        </w:rPr>
        <w:t xml:space="preserve"> i 12 projektu regulują tę odpowiedzialność. Rzeczą naturalną było więc umieszczenie przed przepisami o następstwie prawnym przepisów o odpowiedzialności osób trzecich jako ściślej związanych z odpowiedzialnością podatkową (</w:t>
      </w:r>
      <w:r w:rsidRPr="009A3C86">
        <w:rPr>
          <w:rFonts w:ascii="Times New Roman" w:eastAsia="SimSun" w:hAnsi="Times New Roman"/>
          <w:b/>
          <w:kern w:val="3"/>
          <w:sz w:val="24"/>
          <w:szCs w:val="24"/>
          <w:lang w:eastAsia="zh-CN"/>
        </w:rPr>
        <w:t>art. 2</w:t>
      </w:r>
      <w:r w:rsidR="001D5ED4" w:rsidRPr="009A3C86">
        <w:rPr>
          <w:rFonts w:ascii="Times New Roman" w:eastAsia="SimSun" w:hAnsi="Times New Roman"/>
          <w:b/>
          <w:kern w:val="3"/>
          <w:sz w:val="24"/>
          <w:szCs w:val="24"/>
          <w:lang w:eastAsia="zh-CN"/>
        </w:rPr>
        <w:t>49</w:t>
      </w:r>
      <w:r w:rsidRPr="009A3C86">
        <w:rPr>
          <w:rFonts w:ascii="Times New Roman" w:eastAsia="SimSun" w:hAnsi="Times New Roman"/>
          <w:b/>
          <w:kern w:val="3"/>
          <w:sz w:val="24"/>
          <w:szCs w:val="24"/>
          <w:lang w:eastAsia="zh-CN"/>
        </w:rPr>
        <w:t>-2</w:t>
      </w:r>
      <w:r w:rsidR="001D5ED4" w:rsidRPr="009A3C86">
        <w:rPr>
          <w:rFonts w:ascii="Times New Roman" w:eastAsia="SimSun" w:hAnsi="Times New Roman"/>
          <w:b/>
          <w:kern w:val="3"/>
          <w:sz w:val="24"/>
          <w:szCs w:val="24"/>
          <w:lang w:eastAsia="zh-CN"/>
        </w:rPr>
        <w:t>73</w:t>
      </w:r>
      <w:r w:rsidRPr="009A3C86">
        <w:rPr>
          <w:rFonts w:ascii="Times New Roman" w:eastAsia="SimSun" w:hAnsi="Times New Roman"/>
          <w:kern w:val="3"/>
          <w:sz w:val="24"/>
          <w:szCs w:val="24"/>
          <w:lang w:eastAsia="zh-CN"/>
        </w:rPr>
        <w:t>). Poza tym uznano, że zagadnienia odnoszące się do odpowiedzialności podatnika, płatnika, inkasenta, czy związane z następstwem prawnym przynależą do szeroko rozumianej problematyki zobowiązań podatkowych. Przepisy w tym zakresie z reguły mają charakter materialnoprawny.</w:t>
      </w:r>
    </w:p>
    <w:p w:rsidR="00741954" w:rsidRPr="009A3C86" w:rsidRDefault="00741954" w:rsidP="00741954">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 xml:space="preserve">3. W zakresie odpowiedzialności podatkowej: </w:t>
      </w:r>
    </w:p>
    <w:p w:rsidR="00741954" w:rsidRPr="009A3C86" w:rsidRDefault="00741954" w:rsidP="00741954">
      <w:pPr>
        <w:suppressAutoHyphens/>
        <w:autoSpaceDN w:val="0"/>
        <w:spacing w:after="0" w:line="360" w:lineRule="auto"/>
        <w:ind w:hanging="283"/>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 xml:space="preserve">– dostosowano przepisy o odpowiedzialności podatkowej osób fizycznych pozostających w związkach małżeńskich do terminologii i rozwiązań przewidzianych w Kodeksie rodzinnym i opiekuńczym; </w:t>
      </w:r>
    </w:p>
    <w:p w:rsidR="00741954" w:rsidRPr="009A3C86" w:rsidRDefault="00741954" w:rsidP="00741954">
      <w:pPr>
        <w:suppressAutoHyphens/>
        <w:autoSpaceDN w:val="0"/>
        <w:spacing w:after="0" w:line="360" w:lineRule="auto"/>
        <w:ind w:hanging="283"/>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 xml:space="preserve">– ustanowiono odpowiedzialność zapisobierców zwykłych, za zaległości podatkowe spadkodawcy jako osób trzecich (w miejsce „martwej” dziś regulacji ustanawiającej zapisobierców następcami prawnymi); </w:t>
      </w:r>
    </w:p>
    <w:p w:rsidR="00741954" w:rsidRPr="009A3C86" w:rsidRDefault="00741954" w:rsidP="00741954">
      <w:pPr>
        <w:suppressAutoHyphens/>
        <w:autoSpaceDN w:val="0"/>
        <w:spacing w:after="0" w:line="360" w:lineRule="auto"/>
        <w:ind w:hanging="283"/>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 usunięto niektóre „martwe” regulacje z zakresu odpowiedzialności osób trzecich (art. 111 o.p. przewidujący odpowiedzialność członków rodziny podatnika);</w:t>
      </w:r>
    </w:p>
    <w:p w:rsidR="00741954" w:rsidRPr="009A3C86" w:rsidRDefault="00741954" w:rsidP="00741954">
      <w:pPr>
        <w:suppressAutoHyphens/>
        <w:autoSpaceDN w:val="0"/>
        <w:spacing w:after="0" w:line="360" w:lineRule="auto"/>
        <w:ind w:hanging="283"/>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 xml:space="preserve">– ustanowiono zasadę, że organ podatkowy odstępuje od orzeczenia o odpowiedzialności osoby trzeciej, jeżeli byłoby to rażąco niesłuszne (takie rozwiązanie przewidywały przepisy obowiązującej przed wejściem w życie aktualnie obowiązującej ordynacji podatkowej ustawy </w:t>
      </w:r>
      <w:r w:rsidRPr="009A3C86">
        <w:rPr>
          <w:rFonts w:ascii="Times New Roman" w:eastAsia="SimSun" w:hAnsi="Times New Roman"/>
          <w:kern w:val="3"/>
          <w:sz w:val="24"/>
          <w:szCs w:val="24"/>
          <w:lang w:eastAsia="zh-CN"/>
        </w:rPr>
        <w:lastRenderedPageBreak/>
        <w:t>z dnia 19 grudnia 1980 r. o zobowiązaniach podatkowych</w:t>
      </w:r>
      <w:r w:rsidRPr="009A3C86">
        <w:rPr>
          <w:rFonts w:ascii="Times New Roman" w:eastAsia="SimSun" w:hAnsi="Times New Roman"/>
          <w:kern w:val="3"/>
          <w:sz w:val="24"/>
          <w:szCs w:val="24"/>
          <w:vertAlign w:val="superscript"/>
          <w:lang w:eastAsia="zh-CN"/>
        </w:rPr>
        <w:footnoteReference w:id="271"/>
      </w:r>
      <w:r w:rsidRPr="009A3C86">
        <w:rPr>
          <w:rFonts w:ascii="Times New Roman" w:eastAsia="SimSun" w:hAnsi="Times New Roman"/>
          <w:kern w:val="3"/>
          <w:sz w:val="24"/>
          <w:szCs w:val="24"/>
          <w:lang w:eastAsia="zh-CN"/>
        </w:rPr>
        <w:t>). Brak takiego przepisu jest dostrzegany w orzecznictwie sądów administracyjnych</w:t>
      </w:r>
      <w:r w:rsidRPr="009A3C86">
        <w:rPr>
          <w:rFonts w:ascii="Times New Roman" w:eastAsia="SimSun" w:hAnsi="Times New Roman"/>
          <w:kern w:val="3"/>
          <w:sz w:val="24"/>
          <w:szCs w:val="24"/>
          <w:vertAlign w:val="superscript"/>
          <w:lang w:eastAsia="zh-CN"/>
        </w:rPr>
        <w:footnoteReference w:id="272"/>
      </w:r>
      <w:r w:rsidRPr="009A3C86">
        <w:rPr>
          <w:rFonts w:ascii="Times New Roman" w:eastAsia="SimSun" w:hAnsi="Times New Roman"/>
          <w:kern w:val="3"/>
          <w:sz w:val="24"/>
          <w:szCs w:val="24"/>
          <w:lang w:eastAsia="zh-CN"/>
        </w:rPr>
        <w:t>;</w:t>
      </w:r>
    </w:p>
    <w:p w:rsidR="00741954" w:rsidRPr="009A3C86" w:rsidRDefault="00741954" w:rsidP="00741954">
      <w:pPr>
        <w:suppressAutoHyphens/>
        <w:autoSpaceDN w:val="0"/>
        <w:spacing w:after="0" w:line="360" w:lineRule="auto"/>
        <w:ind w:hanging="283"/>
        <w:jc w:val="both"/>
        <w:textAlignment w:val="baseline"/>
        <w:rPr>
          <w:rFonts w:ascii="Times New Roman" w:eastAsia="SimSun" w:hAnsi="Times New Roman"/>
          <w:kern w:val="3"/>
          <w:sz w:val="24"/>
          <w:szCs w:val="24"/>
          <w:lang w:eastAsia="zh-CN"/>
        </w:rPr>
      </w:pPr>
      <w:r w:rsidRPr="009A3C86">
        <w:rPr>
          <w:rFonts w:ascii="Times New Roman" w:eastAsia="SimSun" w:hAnsi="Times New Roman"/>
          <w:kern w:val="3"/>
          <w:sz w:val="24"/>
          <w:szCs w:val="24"/>
          <w:lang w:eastAsia="zh-CN"/>
        </w:rPr>
        <w:t xml:space="preserve">– uporządkowano, a częściowo zmodyfikowano rozwiązania proceduralne związane z orzekaniem o odpowiedzialności osób trzecich.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4. Nie ulega zmianie obowiązująca obecnie zasada, w myśl której podatnik odpowiada za podatek całym swoim majątkiem </w:t>
      </w:r>
      <w:r w:rsidRPr="009A3C86">
        <w:rPr>
          <w:rFonts w:ascii="Times New Roman" w:hAnsi="Times New Roman"/>
          <w:b/>
          <w:sz w:val="24"/>
          <w:szCs w:val="24"/>
          <w:lang w:eastAsia="pl-PL"/>
        </w:rPr>
        <w:t>art. 2</w:t>
      </w:r>
      <w:r w:rsidR="001D5ED4" w:rsidRPr="009A3C86">
        <w:rPr>
          <w:rFonts w:ascii="Times New Roman" w:hAnsi="Times New Roman"/>
          <w:b/>
          <w:sz w:val="24"/>
          <w:szCs w:val="24"/>
          <w:lang w:eastAsia="pl-PL"/>
        </w:rPr>
        <w:t>42</w:t>
      </w:r>
      <w:r w:rsidRPr="009A3C86">
        <w:rPr>
          <w:rFonts w:ascii="Times New Roman" w:hAnsi="Times New Roman"/>
          <w:b/>
          <w:sz w:val="24"/>
          <w:szCs w:val="24"/>
          <w:lang w:eastAsia="pl-PL"/>
        </w:rPr>
        <w:t xml:space="preserve"> § 1</w:t>
      </w:r>
      <w:r w:rsidRPr="009A3C86">
        <w:rPr>
          <w:rFonts w:ascii="Times New Roman" w:hAnsi="Times New Roman"/>
          <w:sz w:val="24"/>
          <w:szCs w:val="24"/>
          <w:lang w:eastAsia="pl-PL"/>
        </w:rPr>
        <w:t>. Odpowiedzialność majątkiem wspólnym nie będzie więc dotyczyć tych zobowiązań podatkowych jednego ze współmałżonków, które powstały przed zawarciem związku małżeńskiego (art. 29 § 1 w zw. z art. 26 o.p.)</w:t>
      </w:r>
      <w:r w:rsidRPr="009A3C86">
        <w:rPr>
          <w:rFonts w:ascii="Times New Roman" w:hAnsi="Times New Roman"/>
          <w:sz w:val="24"/>
          <w:szCs w:val="24"/>
          <w:vertAlign w:val="superscript"/>
          <w:lang w:eastAsia="pl-PL"/>
        </w:rPr>
        <w:footnoteReference w:id="273"/>
      </w:r>
      <w:r w:rsidRPr="009A3C86">
        <w:rPr>
          <w:rFonts w:ascii="Times New Roman" w:hAnsi="Times New Roman"/>
          <w:sz w:val="24"/>
          <w:szCs w:val="24"/>
          <w:lang w:eastAsia="pl-PL"/>
        </w:rPr>
        <w:t>. Utrzymano też dzisiejszą zasadę odpowiedzialności osób fizycznych pozostających w związkach małżeńskich, także z majątku objętego wspólnością majątkową, przy czym uściślono, że zasada ta dotyczy tylko podatku wynikającego z takiego zobowiązania podatkowego, które powstało w czasie trwania małżeństwa (</w:t>
      </w:r>
      <w:r w:rsidRPr="009A3C86">
        <w:rPr>
          <w:rFonts w:ascii="Times New Roman" w:hAnsi="Times New Roman"/>
          <w:b/>
          <w:sz w:val="24"/>
          <w:szCs w:val="24"/>
          <w:lang w:eastAsia="pl-PL"/>
        </w:rPr>
        <w:t>art. 2</w:t>
      </w:r>
      <w:r w:rsidR="001D5ED4" w:rsidRPr="009A3C86">
        <w:rPr>
          <w:rFonts w:ascii="Times New Roman" w:hAnsi="Times New Roman"/>
          <w:b/>
          <w:sz w:val="24"/>
          <w:szCs w:val="24"/>
          <w:lang w:eastAsia="pl-PL"/>
        </w:rPr>
        <w:t>42</w:t>
      </w:r>
      <w:r w:rsidRPr="009A3C86">
        <w:rPr>
          <w:rFonts w:ascii="Times New Roman" w:hAnsi="Times New Roman"/>
          <w:b/>
          <w:sz w:val="24"/>
          <w:szCs w:val="24"/>
          <w:lang w:eastAsia="pl-PL"/>
        </w:rPr>
        <w:t xml:space="preserve"> § 2</w:t>
      </w:r>
      <w:r w:rsidRPr="009A3C86">
        <w:rPr>
          <w:rFonts w:ascii="Times New Roman" w:hAnsi="Times New Roman"/>
          <w:sz w:val="24"/>
          <w:szCs w:val="24"/>
          <w:lang w:eastAsia="pl-PL"/>
        </w:rPr>
        <w:t xml:space="preserve">). W ten sposób wyeliminowano dotychczasowe wątpliwości odnoszące się do zakresu odpowiedzialności z majątku wspólnego, a więc czy może on obejmować także zobowiązania powstałe przed zawarciem małżeństwa. Tego rodzaju rozwiązanie uznane zostało za niesłuszne, nadmiernie obciążające dla interesów rodziny oraz tego małżonka, który wstępując w związek małżeński, nie był dłużnikiem podatkowym. </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Istniejący obecnie w ordynacji podatkowej art. 26a (</w:t>
      </w:r>
      <w:r w:rsidRPr="009A3C86">
        <w:rPr>
          <w:rFonts w:ascii="Times New Roman" w:hAnsi="Times New Roman"/>
          <w:b/>
          <w:color w:val="000000"/>
          <w:sz w:val="24"/>
          <w:szCs w:val="24"/>
          <w:lang w:eastAsia="pl-PL"/>
        </w:rPr>
        <w:t>art. 2</w:t>
      </w:r>
      <w:r w:rsidR="001D5ED4" w:rsidRPr="009A3C86">
        <w:rPr>
          <w:rFonts w:ascii="Times New Roman" w:hAnsi="Times New Roman"/>
          <w:b/>
          <w:color w:val="000000"/>
          <w:sz w:val="24"/>
          <w:szCs w:val="24"/>
          <w:lang w:eastAsia="pl-PL"/>
        </w:rPr>
        <w:t>43</w:t>
      </w:r>
      <w:r w:rsidRPr="009A3C86">
        <w:rPr>
          <w:rFonts w:ascii="Times New Roman" w:hAnsi="Times New Roman"/>
          <w:b/>
          <w:color w:val="000000"/>
          <w:sz w:val="24"/>
          <w:szCs w:val="24"/>
          <w:lang w:eastAsia="pl-PL"/>
        </w:rPr>
        <w:t xml:space="preserve"> projektu</w:t>
      </w:r>
      <w:r w:rsidRPr="009A3C86">
        <w:rPr>
          <w:rFonts w:ascii="Times New Roman" w:hAnsi="Times New Roman"/>
          <w:color w:val="000000"/>
          <w:sz w:val="24"/>
          <w:szCs w:val="24"/>
          <w:lang w:eastAsia="pl-PL"/>
        </w:rPr>
        <w:t>) został poprawiony wskutek czego wskazuje, że pozorna lub ukryta umowa o pracę, czy umowa cywilnoprawna zawarta przez płatnika wyłącza odpowiedzialność podatkową podatnika a wprowadza tylko odpowiedzialność płatnika. Określenie pozorna umowa o pracę należy rozumieć tak jak w kodeksie cywilnym (art.</w:t>
      </w:r>
      <w:r w:rsidR="001D5ED4"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 xml:space="preserve">83 k.c.). Ujmując najogólniej z pozornością umowy mamy do czynienia wówczas, gdy strony swobodnie i z rozmysłem tworzą czynność prawną ujawnioną, której treść nie stanowi odzwierciedlenia ich rzeczywistych zamiarów. Strony stwarzają pozór rzeczywistego dokonania czynności prawnej o określonej treści, podczas gdy tak naprawdę nie chcą wywołać żadnych skutków prawnych, lub chcą wywołać inne, niż w pozornej czynności deklarują. Poza tym w rozumieniu </w:t>
      </w:r>
      <w:r w:rsidRPr="009A3C86">
        <w:rPr>
          <w:rFonts w:ascii="Times New Roman" w:hAnsi="Times New Roman"/>
          <w:b/>
          <w:color w:val="000000"/>
          <w:sz w:val="24"/>
          <w:szCs w:val="24"/>
          <w:lang w:eastAsia="pl-PL"/>
        </w:rPr>
        <w:t>art. 2</w:t>
      </w:r>
      <w:r w:rsidR="00551B3D" w:rsidRPr="009A3C86">
        <w:rPr>
          <w:rFonts w:ascii="Times New Roman" w:hAnsi="Times New Roman"/>
          <w:b/>
          <w:color w:val="000000"/>
          <w:sz w:val="24"/>
          <w:szCs w:val="24"/>
          <w:lang w:eastAsia="pl-PL"/>
        </w:rPr>
        <w:t>4</w:t>
      </w:r>
      <w:r w:rsidR="001D5ED4" w:rsidRPr="009A3C86">
        <w:rPr>
          <w:rFonts w:ascii="Times New Roman" w:hAnsi="Times New Roman"/>
          <w:b/>
          <w:color w:val="000000"/>
          <w:sz w:val="24"/>
          <w:szCs w:val="24"/>
          <w:lang w:eastAsia="pl-PL"/>
        </w:rPr>
        <w:t>3</w:t>
      </w:r>
      <w:r w:rsidRPr="009A3C86">
        <w:rPr>
          <w:rFonts w:ascii="Times New Roman" w:hAnsi="Times New Roman"/>
          <w:color w:val="000000"/>
          <w:sz w:val="24"/>
          <w:szCs w:val="24"/>
          <w:lang w:eastAsia="pl-PL"/>
        </w:rPr>
        <w:t xml:space="preserve"> projektu ( art. 26a o.p. ) przy wydawaniu decyzji wymiarowej ( określającej wysokość zobowiązania podatkowego ) zostanie ono pomniejszone o wysokość zaliczki należnej zgodnie z przepisami lub podatnik zostanie zwolniony od jej zapłaty. Przy ocenie, czy zaistniała pozorność umowy, w tym warunek zgody drugiej strony, </w:t>
      </w:r>
      <w:r w:rsidRPr="009A3C86">
        <w:rPr>
          <w:rFonts w:ascii="Times New Roman" w:hAnsi="Times New Roman"/>
          <w:color w:val="000000"/>
          <w:sz w:val="24"/>
          <w:szCs w:val="24"/>
          <w:lang w:eastAsia="pl-PL"/>
        </w:rPr>
        <w:lastRenderedPageBreak/>
        <w:t>która musi być uprzednia, może być celowe odwołanie się do czynności prawnych stron dokonanych później, mogą one świadczyć o pozorności wcześniej zawartej umowy lub też w inny sposób tłumaczyć wyrażoną wcześniej wolę stron.</w:t>
      </w:r>
      <w:r w:rsidRPr="009A3C86">
        <w:rPr>
          <w:rFonts w:ascii="Times New Roman" w:hAnsi="Times New Roman"/>
          <w:color w:val="000000"/>
          <w:sz w:val="24"/>
          <w:szCs w:val="24"/>
          <w:vertAlign w:val="superscript"/>
          <w:lang w:eastAsia="pl-PL"/>
        </w:rPr>
        <w:footnoteReference w:id="274"/>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color w:val="000000"/>
          <w:sz w:val="24"/>
          <w:szCs w:val="24"/>
          <w:lang w:eastAsia="pl-PL"/>
        </w:rPr>
        <w:t>5. W projekcie uznano za zbyteczne definiowanie na użytek prawa podatkowego pojęcia „majątek”, albowiem jego rozumienie nie budzi wątpliwości</w:t>
      </w:r>
      <w:r w:rsidRPr="009A3C86">
        <w:rPr>
          <w:rFonts w:ascii="Times New Roman" w:hAnsi="Times New Roman"/>
          <w:color w:val="000000"/>
          <w:sz w:val="24"/>
          <w:szCs w:val="24"/>
          <w:vertAlign w:val="superscript"/>
          <w:lang w:eastAsia="pl-PL"/>
        </w:rPr>
        <w:footnoteReference w:id="275"/>
      </w:r>
      <w:r w:rsidRPr="009A3C86">
        <w:rPr>
          <w:rFonts w:ascii="Times New Roman" w:hAnsi="Times New Roman"/>
          <w:color w:val="000000"/>
          <w:sz w:val="24"/>
          <w:szCs w:val="24"/>
          <w:lang w:eastAsia="pl-PL"/>
        </w:rPr>
        <w:t xml:space="preserve"> i ma swoje utrwalone znaczenie nie tylko w orzecznictwie sądowym ale i piśmiennictwie</w:t>
      </w:r>
      <w:r w:rsidRPr="009A3C86">
        <w:rPr>
          <w:rFonts w:ascii="Times New Roman" w:hAnsi="Times New Roman"/>
          <w:color w:val="000000"/>
          <w:sz w:val="24"/>
          <w:szCs w:val="24"/>
          <w:vertAlign w:val="superscript"/>
          <w:lang w:eastAsia="pl-PL"/>
        </w:rPr>
        <w:footnoteReference w:id="276"/>
      </w:r>
      <w:r w:rsidRPr="009A3C86">
        <w:rPr>
          <w:rFonts w:ascii="Times New Roman" w:hAnsi="Times New Roman"/>
          <w:color w:val="000000"/>
          <w:sz w:val="24"/>
          <w:szCs w:val="24"/>
          <w:lang w:eastAsia="pl-PL"/>
        </w:rPr>
        <w:t>, a także w przepisach prawa odróżniających majątek od mienia (art. 44 k.c.). Przez majątek rozumie się w znaczeniu</w:t>
      </w:r>
      <w:r w:rsidRPr="009A3C86">
        <w:rPr>
          <w:rFonts w:ascii="Times New Roman" w:hAnsi="Times New Roman"/>
          <w:sz w:val="24"/>
          <w:szCs w:val="24"/>
          <w:lang w:eastAsia="pl-PL"/>
        </w:rPr>
        <w:t xml:space="preserve"> szerszym ogół praw i obowiązków majątkowych podmiotu prawa, a w znaczeniu węższym oznacza tylko aktywa, czyli prawa majątkowe podmiotu prawa co pozwala na utożsamienie pojęć mienie i majątek</w:t>
      </w:r>
      <w:r w:rsidRPr="009A3C86">
        <w:rPr>
          <w:rFonts w:ascii="Times New Roman" w:hAnsi="Times New Roman"/>
          <w:sz w:val="24"/>
          <w:szCs w:val="24"/>
          <w:vertAlign w:val="superscript"/>
          <w:lang w:eastAsia="pl-PL"/>
        </w:rPr>
        <w:footnoteReference w:id="277"/>
      </w:r>
      <w:r w:rsidRPr="009A3C86">
        <w:rPr>
          <w:rFonts w:ascii="Times New Roman" w:hAnsi="Times New Roman"/>
          <w:sz w:val="24"/>
          <w:szCs w:val="24"/>
          <w:lang w:eastAsia="pl-PL"/>
        </w:rPr>
        <w:t xml:space="preserve">. W tym ostatnim znaczeniu pojęciem majątek posługuje się </w:t>
      </w:r>
      <w:r w:rsidRPr="009A3C86">
        <w:rPr>
          <w:rFonts w:ascii="Times New Roman" w:hAnsi="Times New Roman"/>
          <w:b/>
          <w:sz w:val="24"/>
          <w:szCs w:val="24"/>
          <w:lang w:eastAsia="pl-PL"/>
        </w:rPr>
        <w:t>art. 2</w:t>
      </w:r>
      <w:r w:rsidR="001D5ED4" w:rsidRPr="009A3C86">
        <w:rPr>
          <w:rFonts w:ascii="Times New Roman" w:hAnsi="Times New Roman"/>
          <w:b/>
          <w:sz w:val="24"/>
          <w:szCs w:val="24"/>
          <w:lang w:eastAsia="pl-PL"/>
        </w:rPr>
        <w:t>42</w:t>
      </w:r>
      <w:r w:rsidRPr="009A3C86">
        <w:rPr>
          <w:rFonts w:ascii="Times New Roman" w:hAnsi="Times New Roman"/>
          <w:b/>
          <w:sz w:val="24"/>
          <w:szCs w:val="24"/>
          <w:lang w:eastAsia="pl-PL"/>
        </w:rPr>
        <w:t xml:space="preserve"> § 1 </w:t>
      </w:r>
      <w:r w:rsidRPr="009A3C86">
        <w:rPr>
          <w:rFonts w:ascii="Times New Roman" w:hAnsi="Times New Roman"/>
          <w:sz w:val="24"/>
          <w:szCs w:val="24"/>
          <w:lang w:eastAsia="pl-PL"/>
        </w:rPr>
        <w:t>projektu.</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6. Tak jak dotąd zmiany w stosunkach majątkowych między małżonkami będą skuteczne wyłącznie w zakresie tych zobowiązań podatkowych, które powstały po ich zmianie (</w:t>
      </w:r>
      <w:r w:rsidRPr="009A3C86">
        <w:rPr>
          <w:rFonts w:ascii="Times New Roman" w:hAnsi="Times New Roman"/>
          <w:b/>
          <w:sz w:val="24"/>
          <w:szCs w:val="24"/>
          <w:lang w:eastAsia="pl-PL"/>
        </w:rPr>
        <w:t>art. 2</w:t>
      </w:r>
      <w:r w:rsidR="001D5ED4" w:rsidRPr="009A3C86">
        <w:rPr>
          <w:rFonts w:ascii="Times New Roman" w:hAnsi="Times New Roman"/>
          <w:b/>
          <w:sz w:val="24"/>
          <w:szCs w:val="24"/>
          <w:lang w:eastAsia="pl-PL"/>
        </w:rPr>
        <w:t>42</w:t>
      </w:r>
      <w:r w:rsidRPr="009A3C86">
        <w:rPr>
          <w:rFonts w:ascii="Times New Roman" w:hAnsi="Times New Roman"/>
          <w:b/>
          <w:sz w:val="24"/>
          <w:szCs w:val="24"/>
          <w:lang w:eastAsia="pl-PL"/>
        </w:rPr>
        <w:t xml:space="preserve"> § 3-5</w:t>
      </w:r>
      <w:r w:rsidRPr="009A3C86">
        <w:rPr>
          <w:rFonts w:ascii="Times New Roman" w:hAnsi="Times New Roman"/>
          <w:sz w:val="24"/>
          <w:szCs w:val="24"/>
          <w:lang w:eastAsia="pl-PL"/>
        </w:rPr>
        <w:t>). Zmiana w stosunku do dotychczasowego stanu prawnego ma wyłącznie charakter redakcyjno-terminologiczny, uwzględniono też rozwiązania zawarte w Kodeksie rodzinnym i opiekuńczym, dotychczas pomijane w ordynacji podatkowej (ustanowienie rozdzielności majątkowej z wyrównaniem dorobków). Uściślono, że podatnik pozostający w związku małżeńskim, który zgodnie z wyrażonymi w projekcie ustawy podatkowej regulacjami nie ponosi odpowiedzialności majątkiem objętym wspólnością majątkową, odpowiada za podatek swoim majątkiem osobistym (</w:t>
      </w:r>
      <w:r w:rsidRPr="009A3C86">
        <w:rPr>
          <w:rFonts w:ascii="Times New Roman" w:hAnsi="Times New Roman"/>
          <w:b/>
          <w:sz w:val="24"/>
          <w:szCs w:val="24"/>
          <w:lang w:eastAsia="pl-PL"/>
        </w:rPr>
        <w:t>art. 2</w:t>
      </w:r>
      <w:r w:rsidR="004A6696" w:rsidRPr="009A3C86">
        <w:rPr>
          <w:rFonts w:ascii="Times New Roman" w:hAnsi="Times New Roman"/>
          <w:b/>
          <w:sz w:val="24"/>
          <w:szCs w:val="24"/>
          <w:lang w:eastAsia="pl-PL"/>
        </w:rPr>
        <w:t>42</w:t>
      </w:r>
      <w:r w:rsidRPr="009A3C86">
        <w:rPr>
          <w:rFonts w:ascii="Times New Roman" w:hAnsi="Times New Roman"/>
          <w:b/>
          <w:sz w:val="24"/>
          <w:szCs w:val="24"/>
          <w:lang w:eastAsia="pl-PL"/>
        </w:rPr>
        <w:t xml:space="preserve"> § 6</w:t>
      </w:r>
      <w:r w:rsidRPr="009A3C86">
        <w:rPr>
          <w:rFonts w:ascii="Times New Roman" w:hAnsi="Times New Roman"/>
          <w:sz w:val="24"/>
          <w:szCs w:val="24"/>
          <w:lang w:eastAsia="pl-PL"/>
        </w:rPr>
        <w:t xml:space="preserve">).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7. Utrzymano dotychczasowe zasady odpowiedzialności płatnika za podatek niepobrany lub niewpłacony na rachunek organu podatkowego, jak również zasadę, że płatnik będący osobą fizyczną pozostającą w związku małżeńskim ponosi odpowiedzialność także z majątku objętego wspólnością ustawową na analogicznych zasadach jak podatnik (art. 30 o.p.), co uregulowano w </w:t>
      </w:r>
      <w:r w:rsidRPr="009A3C86">
        <w:rPr>
          <w:rFonts w:ascii="Times New Roman" w:hAnsi="Times New Roman"/>
          <w:b/>
          <w:sz w:val="24"/>
          <w:szCs w:val="24"/>
          <w:lang w:eastAsia="pl-PL"/>
        </w:rPr>
        <w:t>art. 2</w:t>
      </w:r>
      <w:r w:rsidR="004A6696" w:rsidRPr="009A3C86">
        <w:rPr>
          <w:rFonts w:ascii="Times New Roman" w:hAnsi="Times New Roman"/>
          <w:b/>
          <w:sz w:val="24"/>
          <w:szCs w:val="24"/>
          <w:lang w:eastAsia="pl-PL"/>
        </w:rPr>
        <w:t>44</w:t>
      </w:r>
      <w:r w:rsidRPr="009A3C86">
        <w:rPr>
          <w:rFonts w:ascii="Times New Roman" w:hAnsi="Times New Roman"/>
          <w:b/>
          <w:sz w:val="24"/>
          <w:szCs w:val="24"/>
          <w:lang w:eastAsia="pl-PL"/>
        </w:rPr>
        <w:t> § 1 i 2</w:t>
      </w:r>
      <w:r w:rsidRPr="009A3C86">
        <w:rPr>
          <w:rFonts w:ascii="Times New Roman" w:hAnsi="Times New Roman"/>
          <w:sz w:val="24"/>
          <w:szCs w:val="24"/>
          <w:lang w:eastAsia="pl-PL"/>
        </w:rPr>
        <w:t xml:space="preserve">. Tak jak dotąd nie będzie ponosił odpowiedzialności płatnik, który nie pobrał podatku z winy podatnika. Utrzymano też regułę, że przepis szczególny może </w:t>
      </w:r>
      <w:r w:rsidRPr="009A3C86">
        <w:rPr>
          <w:rFonts w:ascii="Times New Roman" w:hAnsi="Times New Roman"/>
          <w:sz w:val="24"/>
          <w:szCs w:val="24"/>
          <w:lang w:eastAsia="pl-PL"/>
        </w:rPr>
        <w:lastRenderedPageBreak/>
        <w:t>uchylać odpowiedzialność płatnika (art. 30 o.p.), a wynika to z art. 2</w:t>
      </w:r>
      <w:r w:rsidR="004A6696" w:rsidRPr="009A3C86">
        <w:rPr>
          <w:rFonts w:ascii="Times New Roman" w:hAnsi="Times New Roman"/>
          <w:sz w:val="24"/>
          <w:szCs w:val="24"/>
          <w:lang w:eastAsia="pl-PL"/>
        </w:rPr>
        <w:t>44</w:t>
      </w:r>
      <w:r w:rsidRPr="009A3C86">
        <w:rPr>
          <w:rFonts w:ascii="Times New Roman" w:hAnsi="Times New Roman"/>
          <w:sz w:val="24"/>
          <w:szCs w:val="24"/>
          <w:lang w:eastAsia="pl-PL"/>
        </w:rPr>
        <w:t xml:space="preserve"> § 2. Tak jak dotychczas przepisu art. 2</w:t>
      </w:r>
      <w:r w:rsidR="004A6696" w:rsidRPr="009A3C86">
        <w:rPr>
          <w:rFonts w:ascii="Times New Roman" w:hAnsi="Times New Roman"/>
          <w:sz w:val="24"/>
          <w:szCs w:val="24"/>
          <w:lang w:eastAsia="pl-PL"/>
        </w:rPr>
        <w:t>4</w:t>
      </w:r>
      <w:r w:rsidR="00BF7084" w:rsidRPr="009A3C86">
        <w:rPr>
          <w:rFonts w:ascii="Times New Roman" w:hAnsi="Times New Roman"/>
          <w:sz w:val="24"/>
          <w:szCs w:val="24"/>
          <w:lang w:eastAsia="pl-PL"/>
        </w:rPr>
        <w:t>2</w:t>
      </w:r>
      <w:r w:rsidRPr="009A3C86">
        <w:rPr>
          <w:rFonts w:ascii="Times New Roman" w:hAnsi="Times New Roman"/>
          <w:sz w:val="24"/>
          <w:szCs w:val="24"/>
          <w:lang w:eastAsia="pl-PL"/>
        </w:rPr>
        <w:t xml:space="preserve"> § 2 projektu (art. 26a § 2 o.p.) nie będzie się stosowało w sytuacji określonej w art. 2</w:t>
      </w:r>
      <w:r w:rsidR="004A6696" w:rsidRPr="009A3C86">
        <w:rPr>
          <w:rFonts w:ascii="Times New Roman" w:hAnsi="Times New Roman"/>
          <w:sz w:val="24"/>
          <w:szCs w:val="24"/>
          <w:lang w:eastAsia="pl-PL"/>
        </w:rPr>
        <w:t>43</w:t>
      </w:r>
      <w:r w:rsidRPr="009A3C86">
        <w:rPr>
          <w:rFonts w:ascii="Times New Roman" w:hAnsi="Times New Roman"/>
          <w:sz w:val="24"/>
          <w:szCs w:val="24"/>
          <w:lang w:eastAsia="pl-PL"/>
        </w:rPr>
        <w:t xml:space="preserve"> § 1 projektu (art. 26a § 1 o.p.). </w:t>
      </w:r>
      <w:r w:rsidR="00EB5A10" w:rsidRPr="009A3C86">
        <w:rPr>
          <w:rFonts w:ascii="Times New Roman" w:hAnsi="Times New Roman"/>
          <w:sz w:val="24"/>
          <w:szCs w:val="24"/>
          <w:lang w:eastAsia="pl-PL"/>
        </w:rPr>
        <w:t xml:space="preserve">Przepisy </w:t>
      </w:r>
      <w:r w:rsidR="00EB5A10" w:rsidRPr="009A3C86">
        <w:rPr>
          <w:rFonts w:ascii="Times New Roman" w:hAnsi="Times New Roman"/>
          <w:b/>
          <w:sz w:val="24"/>
          <w:szCs w:val="24"/>
          <w:lang w:eastAsia="pl-PL"/>
        </w:rPr>
        <w:t>art. 2</w:t>
      </w:r>
      <w:r w:rsidR="004A6696" w:rsidRPr="009A3C86">
        <w:rPr>
          <w:rFonts w:ascii="Times New Roman" w:hAnsi="Times New Roman"/>
          <w:b/>
          <w:sz w:val="24"/>
          <w:szCs w:val="24"/>
          <w:lang w:eastAsia="pl-PL"/>
        </w:rPr>
        <w:t>44</w:t>
      </w:r>
      <w:r w:rsidR="00EB5A10" w:rsidRPr="009A3C86">
        <w:rPr>
          <w:rFonts w:ascii="Times New Roman" w:hAnsi="Times New Roman"/>
          <w:b/>
          <w:sz w:val="24"/>
          <w:szCs w:val="24"/>
          <w:lang w:eastAsia="pl-PL"/>
        </w:rPr>
        <w:t xml:space="preserve"> § 3 pkt 1 - 6</w:t>
      </w:r>
      <w:r w:rsidR="00EB5A10" w:rsidRPr="009A3C86">
        <w:rPr>
          <w:rFonts w:ascii="Times New Roman" w:hAnsi="Times New Roman"/>
          <w:sz w:val="24"/>
          <w:szCs w:val="24"/>
          <w:lang w:eastAsia="pl-PL"/>
        </w:rPr>
        <w:t xml:space="preserve"> projektu są odpowiednikami art. 30 § 3 pkt 1 - 6 o.p. </w:t>
      </w:r>
      <w:r w:rsidRPr="009A3C86">
        <w:rPr>
          <w:rFonts w:ascii="Times New Roman" w:hAnsi="Times New Roman"/>
          <w:sz w:val="24"/>
          <w:szCs w:val="24"/>
          <w:lang w:eastAsia="pl-PL"/>
        </w:rPr>
        <w:t xml:space="preserve">Zachowano w niezmienionym kształcie rozwiązania proceduralne dotyczące orzekania o odpowiedzialności płatnika i podatnika za podatek niepobrany lub tylko niewpłacony na rachunek organu podatkowego (art. 30 o.p.), wskazując te zasady w art. </w:t>
      </w:r>
      <w:r w:rsidRPr="009A3C86">
        <w:rPr>
          <w:rFonts w:ascii="Times New Roman" w:hAnsi="Times New Roman"/>
          <w:b/>
          <w:sz w:val="24"/>
          <w:szCs w:val="24"/>
          <w:lang w:eastAsia="pl-PL"/>
        </w:rPr>
        <w:t>2</w:t>
      </w:r>
      <w:r w:rsidR="00BF7084" w:rsidRPr="009A3C86">
        <w:rPr>
          <w:rFonts w:ascii="Times New Roman" w:hAnsi="Times New Roman"/>
          <w:b/>
          <w:sz w:val="24"/>
          <w:szCs w:val="24"/>
          <w:lang w:eastAsia="pl-PL"/>
        </w:rPr>
        <w:t>45</w:t>
      </w:r>
      <w:r w:rsidRPr="009A3C86">
        <w:rPr>
          <w:rFonts w:ascii="Times New Roman" w:hAnsi="Times New Roman"/>
          <w:b/>
          <w:sz w:val="24"/>
          <w:szCs w:val="24"/>
          <w:lang w:eastAsia="pl-PL"/>
        </w:rPr>
        <w:t xml:space="preserve"> </w:t>
      </w:r>
      <w:r w:rsidR="00BF7084" w:rsidRPr="009A3C86">
        <w:rPr>
          <w:rFonts w:ascii="Times New Roman" w:hAnsi="Times New Roman"/>
          <w:b/>
          <w:sz w:val="24"/>
          <w:szCs w:val="24"/>
          <w:lang w:eastAsia="pl-PL"/>
        </w:rPr>
        <w:t>pkt</w:t>
      </w:r>
      <w:r w:rsidRPr="009A3C86">
        <w:rPr>
          <w:rFonts w:ascii="Times New Roman" w:hAnsi="Times New Roman"/>
          <w:b/>
          <w:sz w:val="24"/>
          <w:szCs w:val="24"/>
          <w:lang w:eastAsia="pl-PL"/>
        </w:rPr>
        <w:t xml:space="preserve"> 1 i 2</w:t>
      </w:r>
      <w:r w:rsidRPr="009A3C86">
        <w:rPr>
          <w:rFonts w:ascii="Times New Roman" w:hAnsi="Times New Roman"/>
          <w:sz w:val="24"/>
          <w:szCs w:val="24"/>
          <w:lang w:eastAsia="pl-PL"/>
        </w:rPr>
        <w:t>. Przyjęto, że zarówno decyzja o odpowiedzialności płatnika, jak i decyzja o odpowiedzialności inkasenta są decyzjami deklaratoryjnymi</w:t>
      </w:r>
      <w:r w:rsidRPr="009A3C86">
        <w:rPr>
          <w:rFonts w:ascii="Times New Roman" w:hAnsi="Times New Roman"/>
          <w:sz w:val="24"/>
          <w:szCs w:val="24"/>
          <w:vertAlign w:val="superscript"/>
          <w:lang w:eastAsia="pl-PL"/>
        </w:rPr>
        <w:footnoteReference w:id="278"/>
      </w:r>
      <w:r w:rsidRPr="009A3C86">
        <w:rPr>
          <w:rFonts w:ascii="Times New Roman" w:hAnsi="Times New Roman"/>
          <w:sz w:val="24"/>
          <w:szCs w:val="24"/>
          <w:lang w:eastAsia="pl-PL"/>
        </w:rPr>
        <w:t xml:space="preserve">. Uściślono, że wydając w takich przypadkach decyzję określającą wysokość zobowiązania podatkowego organ podatkowy wskazuje kwotę, za którą odpowiada podatnik. W </w:t>
      </w:r>
      <w:r w:rsidRPr="009A3C86">
        <w:rPr>
          <w:rFonts w:ascii="Times New Roman" w:hAnsi="Times New Roman"/>
          <w:b/>
          <w:sz w:val="24"/>
          <w:szCs w:val="24"/>
          <w:lang w:eastAsia="pl-PL"/>
        </w:rPr>
        <w:t>art. 2</w:t>
      </w:r>
      <w:r w:rsidR="00BF7084" w:rsidRPr="009A3C86">
        <w:rPr>
          <w:rFonts w:ascii="Times New Roman" w:hAnsi="Times New Roman"/>
          <w:b/>
          <w:sz w:val="24"/>
          <w:szCs w:val="24"/>
          <w:lang w:eastAsia="pl-PL"/>
        </w:rPr>
        <w:t>45 pkt</w:t>
      </w:r>
      <w:r w:rsidRPr="009A3C86">
        <w:rPr>
          <w:rFonts w:ascii="Times New Roman" w:hAnsi="Times New Roman"/>
          <w:b/>
          <w:sz w:val="24"/>
          <w:szCs w:val="24"/>
          <w:lang w:eastAsia="pl-PL"/>
        </w:rPr>
        <w:t xml:space="preserve"> 2</w:t>
      </w:r>
      <w:r w:rsidRPr="009A3C86">
        <w:rPr>
          <w:rFonts w:ascii="Times New Roman" w:hAnsi="Times New Roman"/>
          <w:sz w:val="24"/>
          <w:szCs w:val="24"/>
          <w:lang w:eastAsia="pl-PL"/>
        </w:rPr>
        <w:t xml:space="preserve"> zrezygnowano ze zwrotu używanego w dotychczasowym art. 30 § 5 o.p. „decyzja o odpowiedzialności podatnika”, notabene krytykowanej w piśmiennictwie</w:t>
      </w:r>
      <w:r w:rsidRPr="009A3C86">
        <w:rPr>
          <w:rFonts w:ascii="Times New Roman" w:hAnsi="Times New Roman"/>
          <w:sz w:val="24"/>
          <w:szCs w:val="24"/>
          <w:vertAlign w:val="superscript"/>
          <w:lang w:eastAsia="pl-PL"/>
        </w:rPr>
        <w:footnoteReference w:id="279"/>
      </w:r>
      <w:r w:rsidRPr="009A3C86">
        <w:rPr>
          <w:rFonts w:ascii="Times New Roman" w:hAnsi="Times New Roman"/>
          <w:sz w:val="24"/>
          <w:szCs w:val="24"/>
          <w:lang w:eastAsia="pl-PL"/>
        </w:rPr>
        <w:t>. W praktyce bowiem organy podatkowe wydają decyzję określającą wysokość zobowiązania podatkowego</w:t>
      </w:r>
      <w:r w:rsidRPr="009A3C86">
        <w:rPr>
          <w:rFonts w:ascii="Times New Roman" w:hAnsi="Times New Roman"/>
          <w:sz w:val="24"/>
          <w:szCs w:val="24"/>
          <w:vertAlign w:val="superscript"/>
          <w:lang w:eastAsia="pl-PL"/>
        </w:rPr>
        <w:footnoteReference w:id="280"/>
      </w:r>
      <w:r w:rsidRPr="009A3C86">
        <w:rPr>
          <w:rFonts w:ascii="Times New Roman" w:hAnsi="Times New Roman"/>
          <w:sz w:val="24"/>
          <w:szCs w:val="24"/>
          <w:lang w:eastAsia="pl-PL"/>
        </w:rPr>
        <w:t>. Zatem w omawianym przepisie zwrot „ze wskazaniem kwoty, za którą odpowiada podatnik” nie zawsze będzie oznaczał, że podatnik będzie zobowiązany ją zapłacić. Tak będzie tylko wówczas, gdy podatek nie został wpłacony przez płatnika albo zapłacony przez podatnika.</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Utrzymano bez zmian dotychczasowe rozwiązania dotyczące odpowiedzialności inkasenta (art. 30 o.p.) - </w:t>
      </w:r>
      <w:r w:rsidRPr="009A3C86">
        <w:rPr>
          <w:rFonts w:ascii="Times New Roman" w:hAnsi="Times New Roman"/>
          <w:b/>
          <w:sz w:val="24"/>
          <w:szCs w:val="24"/>
          <w:lang w:eastAsia="pl-PL"/>
        </w:rPr>
        <w:t>art. 2</w:t>
      </w:r>
      <w:r w:rsidR="004A6696" w:rsidRPr="009A3C86">
        <w:rPr>
          <w:rFonts w:ascii="Times New Roman" w:hAnsi="Times New Roman"/>
          <w:b/>
          <w:sz w:val="24"/>
          <w:szCs w:val="24"/>
          <w:lang w:eastAsia="pl-PL"/>
        </w:rPr>
        <w:t>46</w:t>
      </w:r>
      <w:r w:rsidRPr="009A3C86">
        <w:rPr>
          <w:rFonts w:ascii="Times New Roman" w:hAnsi="Times New Roman"/>
          <w:sz w:val="24"/>
          <w:szCs w:val="24"/>
          <w:lang w:eastAsia="pl-PL"/>
        </w:rPr>
        <w:t xml:space="preserve">. </w:t>
      </w:r>
    </w:p>
    <w:p w:rsidR="00741954" w:rsidRPr="009A3C86" w:rsidRDefault="00741954" w:rsidP="00741954">
      <w:pPr>
        <w:suppressAutoHyphens/>
        <w:autoSpaceDN w:val="0"/>
        <w:spacing w:after="0" w:line="360" w:lineRule="auto"/>
        <w:jc w:val="both"/>
        <w:textAlignment w:val="baseline"/>
        <w:rPr>
          <w:rFonts w:ascii="Times New Roman" w:eastAsia="SimSun" w:hAnsi="Times New Roman"/>
          <w:color w:val="000000"/>
          <w:kern w:val="3"/>
          <w:sz w:val="24"/>
          <w:szCs w:val="24"/>
          <w:lang w:eastAsia="zh-CN"/>
        </w:rPr>
      </w:pPr>
      <w:r w:rsidRPr="009A3C86">
        <w:rPr>
          <w:rFonts w:ascii="Times New Roman" w:eastAsia="SimSun" w:hAnsi="Times New Roman"/>
          <w:kern w:val="3"/>
          <w:sz w:val="24"/>
          <w:szCs w:val="24"/>
          <w:lang w:eastAsia="zh-CN"/>
        </w:rPr>
        <w:t xml:space="preserve">Przepis </w:t>
      </w:r>
      <w:r w:rsidRPr="009A3C86">
        <w:rPr>
          <w:rFonts w:ascii="Times New Roman" w:eastAsia="SimSun" w:hAnsi="Times New Roman"/>
          <w:b/>
          <w:kern w:val="3"/>
          <w:sz w:val="24"/>
          <w:szCs w:val="24"/>
          <w:lang w:eastAsia="zh-CN"/>
        </w:rPr>
        <w:t>art. 2</w:t>
      </w:r>
      <w:r w:rsidR="004A6696" w:rsidRPr="009A3C86">
        <w:rPr>
          <w:rFonts w:ascii="Times New Roman" w:eastAsia="SimSun" w:hAnsi="Times New Roman"/>
          <w:b/>
          <w:kern w:val="3"/>
          <w:sz w:val="24"/>
          <w:szCs w:val="24"/>
          <w:lang w:eastAsia="zh-CN"/>
        </w:rPr>
        <w:t>4</w:t>
      </w:r>
      <w:r w:rsidR="00BF7084" w:rsidRPr="009A3C86">
        <w:rPr>
          <w:rFonts w:ascii="Times New Roman" w:eastAsia="SimSun" w:hAnsi="Times New Roman"/>
          <w:b/>
          <w:kern w:val="3"/>
          <w:sz w:val="24"/>
          <w:szCs w:val="24"/>
          <w:lang w:eastAsia="zh-CN"/>
        </w:rPr>
        <w:t>7</w:t>
      </w:r>
      <w:r w:rsidRPr="009A3C86">
        <w:rPr>
          <w:rFonts w:ascii="Times New Roman" w:eastAsia="SimSun" w:hAnsi="Times New Roman"/>
          <w:kern w:val="3"/>
          <w:sz w:val="24"/>
          <w:szCs w:val="24"/>
          <w:lang w:eastAsia="zh-CN"/>
        </w:rPr>
        <w:t xml:space="preserve"> jest odpowiednikiem dotychczasowego art. 31 o.p. Rozdział 10 działu II jest odpowiednim miejscem dla jego usytuowania, albowiem przepis ten reguluje problem „kto będzie wykonywał obowiązki płatnika lub inkasenta”</w:t>
      </w:r>
      <w:r w:rsidRPr="009A3C86">
        <w:rPr>
          <w:rFonts w:ascii="Times New Roman" w:eastAsia="SimSun" w:hAnsi="Times New Roman"/>
          <w:kern w:val="3"/>
          <w:sz w:val="24"/>
          <w:szCs w:val="24"/>
          <w:vertAlign w:val="superscript"/>
          <w:lang w:eastAsia="zh-CN"/>
        </w:rPr>
        <w:footnoteReference w:id="281"/>
      </w:r>
      <w:r w:rsidRPr="009A3C86">
        <w:rPr>
          <w:rFonts w:ascii="Times New Roman" w:eastAsia="SimSun" w:hAnsi="Times New Roman"/>
          <w:kern w:val="3"/>
          <w:sz w:val="24"/>
          <w:szCs w:val="24"/>
          <w:lang w:eastAsia="zh-CN"/>
        </w:rPr>
        <w:t>.</w:t>
      </w:r>
      <w:r w:rsidRPr="009A3C86">
        <w:rPr>
          <w:rFonts w:ascii="Times New Roman" w:eastAsia="SimSun" w:hAnsi="Times New Roman"/>
          <w:color w:val="000000"/>
          <w:kern w:val="3"/>
          <w:sz w:val="24"/>
          <w:szCs w:val="24"/>
          <w:lang w:eastAsia="zh-CN"/>
        </w:rPr>
        <w:t xml:space="preserve">W przepisie </w:t>
      </w:r>
      <w:r w:rsidRPr="009A3C86">
        <w:rPr>
          <w:rFonts w:ascii="Times New Roman" w:eastAsia="SimSun" w:hAnsi="Times New Roman"/>
          <w:b/>
          <w:color w:val="000000"/>
          <w:kern w:val="3"/>
          <w:sz w:val="24"/>
          <w:szCs w:val="24"/>
          <w:lang w:eastAsia="zh-CN"/>
        </w:rPr>
        <w:t>art. 2</w:t>
      </w:r>
      <w:r w:rsidR="004A6696" w:rsidRPr="009A3C86">
        <w:rPr>
          <w:rFonts w:ascii="Times New Roman" w:eastAsia="SimSun" w:hAnsi="Times New Roman"/>
          <w:b/>
          <w:color w:val="000000"/>
          <w:kern w:val="3"/>
          <w:sz w:val="24"/>
          <w:szCs w:val="24"/>
          <w:lang w:eastAsia="zh-CN"/>
        </w:rPr>
        <w:t>47</w:t>
      </w:r>
      <w:r w:rsidRPr="009A3C86">
        <w:rPr>
          <w:rFonts w:ascii="Times New Roman" w:eastAsia="SimSun" w:hAnsi="Times New Roman"/>
          <w:color w:val="000000"/>
          <w:kern w:val="3"/>
          <w:sz w:val="24"/>
          <w:szCs w:val="24"/>
          <w:lang w:eastAsia="zh-CN"/>
        </w:rPr>
        <w:t xml:space="preserve"> projektu ( art.</w:t>
      </w:r>
      <w:r w:rsidR="004A6696" w:rsidRPr="009A3C86">
        <w:rPr>
          <w:rFonts w:ascii="Times New Roman" w:eastAsia="SimSun" w:hAnsi="Times New Roman"/>
          <w:color w:val="000000"/>
          <w:kern w:val="3"/>
          <w:sz w:val="24"/>
          <w:szCs w:val="24"/>
          <w:lang w:eastAsia="zh-CN"/>
        </w:rPr>
        <w:t xml:space="preserve"> </w:t>
      </w:r>
      <w:r w:rsidRPr="009A3C86">
        <w:rPr>
          <w:rFonts w:ascii="Times New Roman" w:eastAsia="SimSun" w:hAnsi="Times New Roman"/>
          <w:color w:val="000000"/>
          <w:kern w:val="3"/>
          <w:sz w:val="24"/>
          <w:szCs w:val="24"/>
          <w:lang w:eastAsia="zh-CN"/>
        </w:rPr>
        <w:t xml:space="preserve">28 o.p. ) utrzymano, w zasadzie jego  dotychczasowe brzmienie. Nie uwzględniono propozycji by także płatnicy i inkasenci podatków samorządowych, a w zasadzie notariusze, tak jak płatnicy podatków stanowiących dochód budżetu państwa, obligatoryjnie otrzymywali wynagrodzenie za pobór podatków stanowiących dochód samorządowych organów podatkowych. Dotychczasowe brzmienie przepisu art. 28 § 4 o.p.( </w:t>
      </w:r>
      <w:r w:rsidRPr="009A3C86">
        <w:rPr>
          <w:rFonts w:ascii="Times New Roman" w:eastAsia="SimSun" w:hAnsi="Times New Roman"/>
          <w:b/>
          <w:color w:val="000000"/>
          <w:kern w:val="3"/>
          <w:sz w:val="24"/>
          <w:szCs w:val="24"/>
          <w:lang w:eastAsia="zh-CN"/>
        </w:rPr>
        <w:t>art. 2</w:t>
      </w:r>
      <w:r w:rsidR="004A6696" w:rsidRPr="009A3C86">
        <w:rPr>
          <w:rFonts w:ascii="Times New Roman" w:eastAsia="SimSun" w:hAnsi="Times New Roman"/>
          <w:b/>
          <w:color w:val="000000"/>
          <w:kern w:val="3"/>
          <w:sz w:val="24"/>
          <w:szCs w:val="24"/>
          <w:lang w:eastAsia="zh-CN"/>
        </w:rPr>
        <w:t>47</w:t>
      </w:r>
      <w:r w:rsidRPr="009A3C86">
        <w:rPr>
          <w:rFonts w:ascii="Times New Roman" w:eastAsia="SimSun" w:hAnsi="Times New Roman"/>
          <w:b/>
          <w:color w:val="000000"/>
          <w:kern w:val="3"/>
          <w:sz w:val="24"/>
          <w:szCs w:val="24"/>
          <w:lang w:eastAsia="zh-CN"/>
        </w:rPr>
        <w:t xml:space="preserve"> § 3</w:t>
      </w:r>
      <w:r w:rsidRPr="009A3C86">
        <w:rPr>
          <w:rFonts w:ascii="Times New Roman" w:eastAsia="SimSun" w:hAnsi="Times New Roman"/>
          <w:color w:val="000000"/>
          <w:kern w:val="3"/>
          <w:sz w:val="24"/>
          <w:szCs w:val="24"/>
          <w:lang w:eastAsia="zh-CN"/>
        </w:rPr>
        <w:t xml:space="preserve"> projektu) nie narusza ani zasady </w:t>
      </w:r>
      <w:r w:rsidRPr="009A3C86">
        <w:rPr>
          <w:rFonts w:ascii="Times New Roman" w:eastAsia="SimSun" w:hAnsi="Times New Roman"/>
          <w:color w:val="000000"/>
          <w:kern w:val="3"/>
          <w:sz w:val="24"/>
          <w:szCs w:val="24"/>
          <w:lang w:eastAsia="zh-CN"/>
        </w:rPr>
        <w:lastRenderedPageBreak/>
        <w:t>równości płatników ( art. 32 ust. 1 Konstytucji RP ), ani zasady demokratycznego państwa prawnego ( art.32 ust. 2 w związku z art. 2 Konstytucji RP), czy zasady proporcjonalności ( art. 31 ust. 3 Konstytucji ) albowiem notariusze są osobami zaufania publicznego i w dodatku otrzymują opłaty za wykonywane czynności notarialne. Nie mniej jednak nie oznacza to, że należy akceptować sytuację, w której rady gmin nie podejmują uchwał, o których mowa w art. 28 § 4 o.p. Podnoszone w trakcie konsultacji argumenty powinny stanowić przesłankę przemawiającą za  podniesieniem wysokości taksy notarialnej.</w:t>
      </w:r>
    </w:p>
    <w:p w:rsidR="00741954" w:rsidRPr="009A3C86" w:rsidRDefault="00741954" w:rsidP="00741954">
      <w:pPr>
        <w:suppressAutoHyphens/>
        <w:autoSpaceDN w:val="0"/>
        <w:spacing w:after="0" w:line="360" w:lineRule="auto"/>
        <w:jc w:val="both"/>
        <w:textAlignment w:val="baseline"/>
        <w:rPr>
          <w:rFonts w:ascii="Times New Roman" w:eastAsia="SimSun" w:hAnsi="Times New Roman"/>
          <w:color w:val="000000"/>
          <w:kern w:val="3"/>
          <w:sz w:val="24"/>
          <w:szCs w:val="24"/>
          <w:lang w:eastAsia="zh-CN"/>
        </w:rPr>
      </w:pPr>
      <w:r w:rsidRPr="009A3C86">
        <w:rPr>
          <w:rFonts w:ascii="Times New Roman" w:eastAsia="SimSun" w:hAnsi="Times New Roman"/>
          <w:color w:val="000000"/>
          <w:kern w:val="3"/>
          <w:sz w:val="24"/>
          <w:szCs w:val="24"/>
          <w:lang w:eastAsia="zh-CN"/>
        </w:rPr>
        <w:t xml:space="preserve">W </w:t>
      </w:r>
      <w:r w:rsidRPr="009A3C86">
        <w:rPr>
          <w:rFonts w:ascii="Times New Roman" w:eastAsia="SimSun" w:hAnsi="Times New Roman"/>
          <w:b/>
          <w:color w:val="000000"/>
          <w:kern w:val="3"/>
          <w:sz w:val="24"/>
          <w:szCs w:val="24"/>
          <w:lang w:eastAsia="zh-CN"/>
        </w:rPr>
        <w:t>art. 2</w:t>
      </w:r>
      <w:r w:rsidR="004A6696" w:rsidRPr="009A3C86">
        <w:rPr>
          <w:rFonts w:ascii="Times New Roman" w:eastAsia="SimSun" w:hAnsi="Times New Roman"/>
          <w:b/>
          <w:color w:val="000000"/>
          <w:kern w:val="3"/>
          <w:sz w:val="24"/>
          <w:szCs w:val="24"/>
          <w:lang w:eastAsia="zh-CN"/>
        </w:rPr>
        <w:t>4</w:t>
      </w:r>
      <w:r w:rsidR="00BF7084" w:rsidRPr="009A3C86">
        <w:rPr>
          <w:rFonts w:ascii="Times New Roman" w:eastAsia="SimSun" w:hAnsi="Times New Roman"/>
          <w:b/>
          <w:color w:val="000000"/>
          <w:kern w:val="3"/>
          <w:sz w:val="24"/>
          <w:szCs w:val="24"/>
          <w:lang w:eastAsia="zh-CN"/>
        </w:rPr>
        <w:t>7</w:t>
      </w:r>
      <w:r w:rsidRPr="009A3C86">
        <w:rPr>
          <w:rFonts w:ascii="Times New Roman" w:eastAsia="SimSun" w:hAnsi="Times New Roman"/>
          <w:b/>
          <w:color w:val="000000"/>
          <w:kern w:val="3"/>
          <w:sz w:val="24"/>
          <w:szCs w:val="24"/>
          <w:lang w:eastAsia="zh-CN"/>
        </w:rPr>
        <w:t xml:space="preserve"> § 3</w:t>
      </w:r>
      <w:r w:rsidRPr="009A3C86">
        <w:rPr>
          <w:rFonts w:ascii="Times New Roman" w:eastAsia="SimSun" w:hAnsi="Times New Roman"/>
          <w:color w:val="000000"/>
          <w:kern w:val="3"/>
          <w:sz w:val="24"/>
          <w:szCs w:val="24"/>
          <w:lang w:eastAsia="zh-CN"/>
        </w:rPr>
        <w:t xml:space="preserve"> projektu ( art. 28 § 4 o.p.) wprowadzono jednak  wytyczne, których nie zawiera obowiązujący art. 28 § 4 o.p., a które rada gminy, rada powiatu i sejmik województwa powinny uwzględniać, o ile zdecydują o podjęciu uchwał wprowadzających wynagrodzenie dla płatników i inkasentów podatków samorządowych. Są one zbliżone, jak  w przypadku wynagrodzeń za obliczenie i pobór podatków stanowiących dochód budżetu państwa. Różnica tkwi tylko w tym, że uchwały rad gmin, rad powiatów i sejmików województw mogą różnicować wynagrodzenia w zależności od rodzaju podatku.  Wyrażane są bowiem poglądy, że kryteria  te powinny być  podobne, co nie prowadzi do konieczności wprowadzenia identycznych rozwiązań dla każdego podatku.</w:t>
      </w:r>
      <w:r w:rsidRPr="009A3C86">
        <w:rPr>
          <w:rFonts w:ascii="Times New Roman" w:eastAsia="SimSun" w:hAnsi="Times New Roman"/>
          <w:color w:val="000000"/>
          <w:kern w:val="3"/>
          <w:sz w:val="24"/>
          <w:szCs w:val="24"/>
          <w:vertAlign w:val="superscript"/>
          <w:lang w:eastAsia="zh-CN"/>
        </w:rPr>
        <w:footnoteReference w:id="282"/>
      </w:r>
      <w:r w:rsidRPr="009A3C86">
        <w:rPr>
          <w:rFonts w:ascii="Times New Roman" w:eastAsia="SimSun" w:hAnsi="Times New Roman"/>
          <w:color w:val="000000"/>
          <w:kern w:val="3"/>
          <w:sz w:val="24"/>
          <w:szCs w:val="24"/>
          <w:lang w:eastAsia="zh-CN"/>
        </w:rPr>
        <w:t>Uchwała w tym przedmiocie jest aktem prawa miejscowego.</w:t>
      </w:r>
      <w:r w:rsidRPr="009A3C86">
        <w:rPr>
          <w:rFonts w:ascii="Times New Roman" w:eastAsia="SimSun" w:hAnsi="Times New Roman"/>
          <w:color w:val="000000"/>
          <w:kern w:val="3"/>
          <w:sz w:val="24"/>
          <w:szCs w:val="24"/>
          <w:vertAlign w:val="superscript"/>
          <w:lang w:eastAsia="zh-CN"/>
        </w:rPr>
        <w:footnoteReference w:id="283"/>
      </w:r>
      <w:r w:rsidRPr="009A3C86">
        <w:rPr>
          <w:rFonts w:ascii="Times New Roman" w:eastAsia="SimSun" w:hAnsi="Times New Roman"/>
          <w:color w:val="000000"/>
          <w:kern w:val="3"/>
          <w:sz w:val="24"/>
          <w:szCs w:val="24"/>
          <w:lang w:eastAsia="zh-CN"/>
        </w:rPr>
        <w:t xml:space="preserve"> Z art. 94 Konstytucji RP wynika, że „ Organy samorządu terytorialnego oraz terenowe organy administracji rządowej, na podstawie i w granicach upoważnień zawartych w ustawie, ustanawiają akty prawa miejscowego obowiązujące na</w:t>
      </w:r>
      <w:r w:rsidRPr="009A3C86">
        <w:rPr>
          <w:rFonts w:ascii="Times New Roman" w:eastAsia="SimSun" w:hAnsi="Times New Roman"/>
          <w:color w:val="FF0000"/>
          <w:kern w:val="3"/>
          <w:sz w:val="24"/>
          <w:szCs w:val="24"/>
          <w:lang w:eastAsia="zh-CN"/>
        </w:rPr>
        <w:t xml:space="preserve"> </w:t>
      </w:r>
      <w:r w:rsidRPr="009A3C86">
        <w:rPr>
          <w:rFonts w:ascii="Times New Roman" w:eastAsia="SimSun" w:hAnsi="Times New Roman"/>
          <w:color w:val="000000"/>
          <w:kern w:val="3"/>
          <w:sz w:val="24"/>
          <w:szCs w:val="24"/>
          <w:lang w:eastAsia="zh-CN"/>
        </w:rPr>
        <w:t xml:space="preserve">obszarze działania tych organów. Zasady i tryb wydawania aktów prawa miejscowego określa ustawa”. Mając na uwadze ten przepis i art. 92 ust. 1 Konstytucji RP zgodnie, z którym „ Rozporządzenia są wydawane przez organy wskazane w Konstytucji, na podstawie szczegółowego upoważnienia zawartego w ustawie i w celu jej wykonania. Upoważnienie powinno określać organ właściwy do wydania rozporządzenia i zakres spraw przekazanych do uregulowania oraz wytyczne dotyczące treści aktu” i dostrzegając zachodzące między nimi zróżnicowania odnoszące się, między innymi, do wytycznych, należy zwrócić uwagę na to, że jednak tak rozporządzenie, którym mowa w art. </w:t>
      </w:r>
      <w:r w:rsidRPr="009A3C86">
        <w:rPr>
          <w:rFonts w:ascii="Times New Roman" w:eastAsia="SimSun" w:hAnsi="Times New Roman"/>
          <w:b/>
          <w:color w:val="000000"/>
          <w:kern w:val="3"/>
          <w:sz w:val="24"/>
          <w:szCs w:val="24"/>
          <w:lang w:eastAsia="zh-CN"/>
        </w:rPr>
        <w:t>2</w:t>
      </w:r>
      <w:r w:rsidR="004A6696" w:rsidRPr="009A3C86">
        <w:rPr>
          <w:rFonts w:ascii="Times New Roman" w:eastAsia="SimSun" w:hAnsi="Times New Roman"/>
          <w:b/>
          <w:color w:val="000000"/>
          <w:kern w:val="3"/>
          <w:sz w:val="24"/>
          <w:szCs w:val="24"/>
          <w:lang w:eastAsia="zh-CN"/>
        </w:rPr>
        <w:t>4</w:t>
      </w:r>
      <w:r w:rsidR="000057A7" w:rsidRPr="009A3C86">
        <w:rPr>
          <w:rFonts w:ascii="Times New Roman" w:eastAsia="SimSun" w:hAnsi="Times New Roman"/>
          <w:b/>
          <w:color w:val="000000"/>
          <w:kern w:val="3"/>
          <w:sz w:val="24"/>
          <w:szCs w:val="24"/>
          <w:lang w:eastAsia="zh-CN"/>
        </w:rPr>
        <w:t>7</w:t>
      </w:r>
      <w:r w:rsidRPr="009A3C86">
        <w:rPr>
          <w:rFonts w:ascii="Times New Roman" w:eastAsia="SimSun" w:hAnsi="Times New Roman"/>
          <w:b/>
          <w:color w:val="000000"/>
          <w:kern w:val="3"/>
          <w:sz w:val="24"/>
          <w:szCs w:val="24"/>
          <w:lang w:eastAsia="zh-CN"/>
        </w:rPr>
        <w:t xml:space="preserve"> § 2</w:t>
      </w:r>
      <w:r w:rsidRPr="009A3C86">
        <w:rPr>
          <w:rFonts w:ascii="Times New Roman" w:eastAsia="SimSun" w:hAnsi="Times New Roman"/>
          <w:color w:val="000000"/>
          <w:kern w:val="3"/>
          <w:sz w:val="24"/>
          <w:szCs w:val="24"/>
          <w:lang w:eastAsia="zh-CN"/>
        </w:rPr>
        <w:t xml:space="preserve"> i  uchwała, o której mowa w </w:t>
      </w:r>
      <w:r w:rsidRPr="009A3C86">
        <w:rPr>
          <w:rFonts w:ascii="Times New Roman" w:eastAsia="SimSun" w:hAnsi="Times New Roman"/>
          <w:b/>
          <w:color w:val="000000"/>
          <w:kern w:val="3"/>
          <w:sz w:val="24"/>
          <w:szCs w:val="24"/>
          <w:lang w:eastAsia="zh-CN"/>
        </w:rPr>
        <w:t>art. 2</w:t>
      </w:r>
      <w:r w:rsidR="004A6696" w:rsidRPr="009A3C86">
        <w:rPr>
          <w:rFonts w:ascii="Times New Roman" w:eastAsia="SimSun" w:hAnsi="Times New Roman"/>
          <w:b/>
          <w:color w:val="000000"/>
          <w:kern w:val="3"/>
          <w:sz w:val="24"/>
          <w:szCs w:val="24"/>
          <w:lang w:eastAsia="zh-CN"/>
        </w:rPr>
        <w:t>4</w:t>
      </w:r>
      <w:r w:rsidR="000057A7" w:rsidRPr="009A3C86">
        <w:rPr>
          <w:rFonts w:ascii="Times New Roman" w:eastAsia="SimSun" w:hAnsi="Times New Roman"/>
          <w:b/>
          <w:color w:val="000000"/>
          <w:kern w:val="3"/>
          <w:sz w:val="24"/>
          <w:szCs w:val="24"/>
          <w:lang w:eastAsia="zh-CN"/>
        </w:rPr>
        <w:t>7</w:t>
      </w:r>
      <w:r w:rsidRPr="009A3C86">
        <w:rPr>
          <w:rFonts w:ascii="Times New Roman" w:eastAsia="SimSun" w:hAnsi="Times New Roman"/>
          <w:b/>
          <w:color w:val="000000"/>
          <w:kern w:val="3"/>
          <w:sz w:val="24"/>
          <w:szCs w:val="24"/>
          <w:lang w:eastAsia="zh-CN"/>
        </w:rPr>
        <w:t xml:space="preserve">  § 3</w:t>
      </w:r>
      <w:r w:rsidRPr="009A3C86">
        <w:rPr>
          <w:rFonts w:ascii="Times New Roman" w:eastAsia="SimSun" w:hAnsi="Times New Roman"/>
          <w:color w:val="000000"/>
          <w:kern w:val="3"/>
          <w:sz w:val="24"/>
          <w:szCs w:val="24"/>
          <w:lang w:eastAsia="zh-CN"/>
        </w:rPr>
        <w:t xml:space="preserve"> projektu są aktami wykonawczymi. To oznacza, że w zasadzie nie powinno być między nimi istotniejszego zróżnicowania, także w zakresie wytycznych. Treść art. 94 Konstytucji RP, a w szczególności określenie „na podstawie i w granicach upoważnień zawartych w ustawie” nie stoją na przeszkodzie by w przepisie upoważniającym organy samorządowe do wydania uchwał </w:t>
      </w:r>
      <w:r w:rsidRPr="009A3C86">
        <w:rPr>
          <w:rFonts w:ascii="Times New Roman" w:eastAsia="SimSun" w:hAnsi="Times New Roman"/>
          <w:color w:val="000000"/>
          <w:kern w:val="3"/>
          <w:sz w:val="24"/>
          <w:szCs w:val="24"/>
          <w:lang w:eastAsia="zh-CN"/>
        </w:rPr>
        <w:lastRenderedPageBreak/>
        <w:t>zawrzeć wytyczne, które wprowadzałyby zasadę równego traktowania podmiotów  o podobnych cechach z możliwością zróżnicowania ich sytuacji z uwagi na przedmiot regulacji. Rozwiązanie to nie narusza więc zasady samodzielności ustrojowej jednostek samorządu terytorialnego a ingerencja ustawodawcy ma tu formę bardzo łagodną.</w:t>
      </w:r>
    </w:p>
    <w:p w:rsidR="00741954" w:rsidRPr="009A3C86" w:rsidRDefault="00741954" w:rsidP="00741954">
      <w:pPr>
        <w:suppressAutoHyphens/>
        <w:autoSpaceDN w:val="0"/>
        <w:spacing w:after="0" w:line="360" w:lineRule="auto"/>
        <w:jc w:val="both"/>
        <w:textAlignment w:val="baseline"/>
        <w:rPr>
          <w:rFonts w:ascii="Times New Roman" w:eastAsia="SimSun" w:hAnsi="Times New Roman"/>
          <w:kern w:val="3"/>
          <w:sz w:val="24"/>
          <w:szCs w:val="24"/>
          <w:lang w:eastAsia="zh-CN"/>
        </w:rPr>
      </w:pPr>
    </w:p>
    <w:p w:rsidR="00741954" w:rsidRPr="009A3C86" w:rsidRDefault="00741954" w:rsidP="00741954">
      <w:pPr>
        <w:tabs>
          <w:tab w:val="num" w:pos="720"/>
        </w:tabs>
        <w:spacing w:after="0" w:line="360" w:lineRule="auto"/>
        <w:jc w:val="both"/>
        <w:outlineLvl w:val="2"/>
        <w:rPr>
          <w:rFonts w:ascii="Times New Roman" w:eastAsia="Times New Roman" w:hAnsi="Times New Roman"/>
          <w:b/>
          <w:sz w:val="24"/>
          <w:szCs w:val="24"/>
        </w:rPr>
      </w:pPr>
      <w:bookmarkStart w:id="32" w:name="_Toc494363259"/>
      <w:r w:rsidRPr="009A3C86">
        <w:rPr>
          <w:rFonts w:ascii="Times New Roman" w:eastAsia="Times New Roman" w:hAnsi="Times New Roman"/>
          <w:b/>
          <w:sz w:val="24"/>
          <w:szCs w:val="24"/>
        </w:rPr>
        <w:t>Rozdział 1</w:t>
      </w:r>
      <w:r w:rsidR="004565D8" w:rsidRPr="009A3C86">
        <w:rPr>
          <w:rFonts w:ascii="Times New Roman" w:eastAsia="Times New Roman" w:hAnsi="Times New Roman"/>
          <w:b/>
          <w:sz w:val="24"/>
          <w:szCs w:val="24"/>
        </w:rPr>
        <w:t>1</w:t>
      </w:r>
      <w:r w:rsidRPr="009A3C86">
        <w:rPr>
          <w:rFonts w:ascii="Times New Roman" w:eastAsia="Times New Roman" w:hAnsi="Times New Roman"/>
          <w:b/>
          <w:sz w:val="24"/>
          <w:szCs w:val="24"/>
        </w:rPr>
        <w:t>. Odpowiedzialność podatkowa osób trzecich</w:t>
      </w:r>
      <w:bookmarkEnd w:id="32"/>
    </w:p>
    <w:p w:rsidR="00741954" w:rsidRPr="009A3C86" w:rsidRDefault="00741954" w:rsidP="00741954">
      <w:pPr>
        <w:keepNext/>
        <w:keepLines/>
        <w:spacing w:after="0" w:line="360" w:lineRule="auto"/>
        <w:jc w:val="both"/>
        <w:outlineLvl w:val="3"/>
        <w:rPr>
          <w:rFonts w:ascii="Times New Roman" w:hAnsi="Times New Roman"/>
          <w:sz w:val="24"/>
          <w:szCs w:val="24"/>
        </w:rPr>
      </w:pPr>
      <w:bookmarkStart w:id="33" w:name="_Toc494363260"/>
    </w:p>
    <w:p w:rsidR="00741954" w:rsidRPr="009A3C86" w:rsidRDefault="00741954" w:rsidP="00741954">
      <w:pPr>
        <w:keepNext/>
        <w:keepLines/>
        <w:spacing w:after="0" w:line="360" w:lineRule="auto"/>
        <w:jc w:val="both"/>
        <w:outlineLvl w:val="3"/>
        <w:rPr>
          <w:rFonts w:ascii="Times New Roman" w:hAnsi="Times New Roman"/>
          <w:b/>
          <w:sz w:val="24"/>
          <w:szCs w:val="24"/>
        </w:rPr>
      </w:pPr>
      <w:r w:rsidRPr="009A3C86">
        <w:rPr>
          <w:rFonts w:ascii="Times New Roman" w:hAnsi="Times New Roman"/>
          <w:b/>
          <w:sz w:val="24"/>
          <w:szCs w:val="24"/>
        </w:rPr>
        <w:t>Oddział 1. Przepisy ogólne</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1. W zakresie odpowiedzialności osób trzecich nie wprowadzono daleko idących zmian merytorycznych</w:t>
      </w:r>
      <w:r w:rsidRPr="009A3C86">
        <w:rPr>
          <w:rFonts w:ascii="Times New Roman" w:hAnsi="Times New Roman"/>
          <w:sz w:val="24"/>
          <w:szCs w:val="24"/>
          <w:vertAlign w:val="superscript"/>
          <w:lang w:eastAsia="pl-PL"/>
        </w:rPr>
        <w:footnoteReference w:id="284"/>
      </w:r>
      <w:r w:rsidRPr="009A3C86">
        <w:rPr>
          <w:rFonts w:ascii="Times New Roman" w:hAnsi="Times New Roman"/>
          <w:sz w:val="24"/>
          <w:szCs w:val="24"/>
          <w:lang w:eastAsia="pl-PL"/>
        </w:rPr>
        <w:t xml:space="preserve">. Co do redakcji przepisów, oddzielono przepisy ogólne od szczegółowych przepisów regulujących odpowiedzialność poszczególnych kategorii osób trzecich; zagadnienia ogólne i szczegółowe ulokowano w osobnych oddziałach.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2. W (art. 107 o.p.) </w:t>
      </w:r>
      <w:r w:rsidRPr="009A3C86">
        <w:rPr>
          <w:rFonts w:ascii="Times New Roman" w:hAnsi="Times New Roman"/>
          <w:b/>
          <w:sz w:val="24"/>
          <w:szCs w:val="24"/>
          <w:lang w:eastAsia="pl-PL"/>
        </w:rPr>
        <w:t>art.</w:t>
      </w:r>
      <w:r w:rsidR="00333294" w:rsidRPr="009A3C86">
        <w:rPr>
          <w:rFonts w:ascii="Times New Roman" w:hAnsi="Times New Roman"/>
          <w:b/>
          <w:sz w:val="24"/>
          <w:szCs w:val="24"/>
          <w:lang w:eastAsia="pl-PL"/>
        </w:rPr>
        <w:t xml:space="preserve"> 249</w:t>
      </w:r>
      <w:r w:rsidR="00EA7836" w:rsidRPr="009A3C86">
        <w:rPr>
          <w:rFonts w:ascii="Times New Roman" w:hAnsi="Times New Roman"/>
          <w:b/>
          <w:sz w:val="24"/>
          <w:szCs w:val="24"/>
          <w:lang w:eastAsia="pl-PL"/>
        </w:rPr>
        <w:t xml:space="preserve"> </w:t>
      </w:r>
      <w:r w:rsidRPr="009A3C86">
        <w:rPr>
          <w:rFonts w:ascii="Times New Roman" w:hAnsi="Times New Roman"/>
          <w:b/>
          <w:sz w:val="24"/>
          <w:szCs w:val="24"/>
          <w:lang w:eastAsia="pl-PL"/>
        </w:rPr>
        <w:t>§ 1</w:t>
      </w:r>
      <w:r w:rsidRPr="009A3C86">
        <w:rPr>
          <w:rFonts w:ascii="Times New Roman" w:hAnsi="Times New Roman"/>
          <w:sz w:val="24"/>
          <w:szCs w:val="24"/>
          <w:lang w:eastAsia="pl-PL"/>
        </w:rPr>
        <w:t xml:space="preserve"> utrzymana została zasada, że katalog osób trzecich ma charakter zamknięty, a zarazem przesłanki i zakres odpowiedzialności określa ustawa. Oznacza to, że odpowiedzialność ta może być nałożona na osobę trzecią tylko w ustawie – Ordynacja podatkowa. Podtrzymano też dotychczasowe rozwiązanie, w myśl którego odpowiedzialność osoby trzeciej jest odpowiedzialnością solidarną z podatnikiem, względnie jego następcą prawnym w sytuacji, gdy należność, za którą odpowiada osoba trzecia, została przejęta przez następcę prawnego. Zarazem w art. </w:t>
      </w:r>
      <w:r w:rsidR="00333294" w:rsidRPr="009A3C86">
        <w:rPr>
          <w:rFonts w:ascii="Times New Roman" w:hAnsi="Times New Roman"/>
          <w:sz w:val="24"/>
          <w:szCs w:val="24"/>
          <w:lang w:eastAsia="pl-PL"/>
        </w:rPr>
        <w:t xml:space="preserve">249 </w:t>
      </w:r>
      <w:r w:rsidRPr="009A3C86">
        <w:rPr>
          <w:rFonts w:ascii="Times New Roman" w:hAnsi="Times New Roman"/>
          <w:b/>
          <w:sz w:val="24"/>
          <w:szCs w:val="24"/>
          <w:lang w:eastAsia="pl-PL"/>
        </w:rPr>
        <w:t>§ 3</w:t>
      </w:r>
      <w:r w:rsidRPr="009A3C86">
        <w:rPr>
          <w:rFonts w:ascii="Times New Roman" w:hAnsi="Times New Roman"/>
          <w:sz w:val="24"/>
          <w:szCs w:val="24"/>
          <w:lang w:eastAsia="pl-PL"/>
        </w:rPr>
        <w:t xml:space="preserve"> proponuje się uściślić, że jeżeli wraz z podatnikiem, płatnikiem, inkasentem lub ich następcą prawnym odpowiedzialność ponoszą osoby trzecie, to odpowiedzialność tych osób jest również odpowiedzialnością solidarną, z zastrzeżeniem zawartym w art. </w:t>
      </w:r>
      <w:r w:rsidR="00BD047E" w:rsidRPr="009A3C86">
        <w:rPr>
          <w:rFonts w:ascii="Times New Roman" w:hAnsi="Times New Roman"/>
          <w:b/>
          <w:sz w:val="24"/>
          <w:szCs w:val="24"/>
          <w:lang w:eastAsia="pl-PL"/>
        </w:rPr>
        <w:t xml:space="preserve"> 257 </w:t>
      </w:r>
      <w:r w:rsidRPr="009A3C86">
        <w:rPr>
          <w:rFonts w:ascii="Times New Roman" w:hAnsi="Times New Roman"/>
          <w:b/>
          <w:sz w:val="24"/>
          <w:szCs w:val="24"/>
          <w:lang w:eastAsia="pl-PL"/>
        </w:rPr>
        <w:t>§ 2</w:t>
      </w:r>
      <w:r w:rsidRPr="009A3C86">
        <w:rPr>
          <w:rFonts w:ascii="Times New Roman" w:hAnsi="Times New Roman"/>
          <w:sz w:val="24"/>
          <w:szCs w:val="24"/>
          <w:lang w:eastAsia="pl-PL"/>
        </w:rPr>
        <w:t>, który dotyczy sytuacji, gdy przedsiębiorstwo lub jego zorganizowana część zostały nabyte na współwłasność ułamkową. Wówczas odpowiedzialność, jaka zaistnieje między współwłaścicielami, jest odpowiedzialnością w częściach ułamkowych. Podkreślić bowiem należy, że zgodnie z art. 196 § 1 k.c. „współwłasność jest albo współwłasnością w częściach ułamkowych, albo współwłasnością łączną”. Obowiązujący obecnie art. 112 § 1 o.p. nie mówi o tym wprost. Wprowadzenie tych regulacji oznacza istnienie co do zasady tzw. podwójnej solidarności</w:t>
      </w:r>
      <w:r w:rsidRPr="009A3C86">
        <w:rPr>
          <w:rFonts w:ascii="Times New Roman" w:hAnsi="Times New Roman"/>
          <w:sz w:val="24"/>
          <w:szCs w:val="24"/>
          <w:vertAlign w:val="superscript"/>
          <w:lang w:eastAsia="pl-PL"/>
        </w:rPr>
        <w:footnoteReference w:id="285"/>
      </w:r>
      <w:r w:rsidRPr="009A3C86">
        <w:rPr>
          <w:rFonts w:ascii="Times New Roman" w:hAnsi="Times New Roman"/>
          <w:sz w:val="24"/>
          <w:szCs w:val="24"/>
          <w:lang w:eastAsia="pl-PL"/>
        </w:rPr>
        <w:t>.</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lastRenderedPageBreak/>
        <w:t xml:space="preserve">3. W art. </w:t>
      </w:r>
      <w:r w:rsidR="00BD047E" w:rsidRPr="009A3C86">
        <w:rPr>
          <w:rFonts w:ascii="Times New Roman" w:hAnsi="Times New Roman"/>
          <w:b/>
          <w:sz w:val="24"/>
          <w:szCs w:val="24"/>
          <w:lang w:eastAsia="pl-PL"/>
        </w:rPr>
        <w:t xml:space="preserve">249 </w:t>
      </w:r>
      <w:r w:rsidRPr="009A3C86">
        <w:rPr>
          <w:rFonts w:ascii="Times New Roman" w:hAnsi="Times New Roman"/>
          <w:b/>
          <w:sz w:val="24"/>
          <w:szCs w:val="24"/>
          <w:lang w:eastAsia="pl-PL"/>
        </w:rPr>
        <w:t>§ 1</w:t>
      </w:r>
      <w:r w:rsidRPr="009A3C86">
        <w:rPr>
          <w:rFonts w:ascii="Times New Roman" w:hAnsi="Times New Roman"/>
          <w:sz w:val="24"/>
          <w:szCs w:val="24"/>
          <w:lang w:eastAsia="pl-PL"/>
        </w:rPr>
        <w:t xml:space="preserve"> określono zakres przedmiotowy odpowiedzialności osób trzecich, przy czym zakres ten dotyczy wszystkich osób trzecich, o ile modyfikacja tego zakresu nie wynika z przepisu szczególnego regulującego odpowiedzialność danej kategorii osób trzecich. I tak osoby trzecie co do zasady odpowiadają za: zaległość podatkową podatnika; podatek niepobrany lub pobrany, a niewpłacony przez płatnika na rachunek organu podatkowego; podatek pobrany, a niewpłacony przez inkasenta na rachunek organu podatkowego; odsetki za zwłokę od należności objętych odpowiedzialnością osoby trzeciej naliczone do dnia wydania decyzji o odpowiedzialności</w:t>
      </w:r>
      <w:r w:rsidRPr="009A3C86">
        <w:rPr>
          <w:rFonts w:ascii="Times New Roman" w:hAnsi="Times New Roman"/>
          <w:sz w:val="24"/>
          <w:szCs w:val="24"/>
          <w:vertAlign w:val="superscript"/>
          <w:lang w:eastAsia="pl-PL"/>
        </w:rPr>
        <w:footnoteReference w:id="286"/>
      </w:r>
      <w:r w:rsidRPr="009A3C86">
        <w:rPr>
          <w:rFonts w:ascii="Times New Roman" w:hAnsi="Times New Roman"/>
          <w:sz w:val="24"/>
          <w:szCs w:val="24"/>
          <w:lang w:eastAsia="pl-PL"/>
        </w:rPr>
        <w:t>; koszty upomnienia; koszty egzekucyjne obciążające zobowiązanego powstałe do dnia wydania decyzji o odpowiedzialności osoby trzeciej w zakresie należności objętych decyzją o odpowiedzialności osoby trzeciej oraz przypadających od nich odsetek za zwłokę</w:t>
      </w:r>
      <w:r w:rsidRPr="009A3C86">
        <w:rPr>
          <w:rFonts w:ascii="Times New Roman" w:hAnsi="Times New Roman"/>
          <w:sz w:val="24"/>
          <w:szCs w:val="24"/>
          <w:vertAlign w:val="superscript"/>
          <w:lang w:eastAsia="pl-PL"/>
        </w:rPr>
        <w:footnoteReference w:id="287"/>
      </w:r>
      <w:r w:rsidRPr="009A3C86">
        <w:rPr>
          <w:rFonts w:ascii="Times New Roman" w:hAnsi="Times New Roman"/>
          <w:sz w:val="24"/>
          <w:szCs w:val="24"/>
          <w:lang w:eastAsia="pl-PL"/>
        </w:rPr>
        <w:t xml:space="preserve">.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4. W art. </w:t>
      </w:r>
      <w:r w:rsidR="0073778D" w:rsidRPr="009A3C86">
        <w:rPr>
          <w:rFonts w:ascii="Times New Roman" w:hAnsi="Times New Roman"/>
          <w:b/>
          <w:sz w:val="24"/>
          <w:szCs w:val="24"/>
          <w:lang w:eastAsia="pl-PL"/>
        </w:rPr>
        <w:t xml:space="preserve">249 </w:t>
      </w:r>
      <w:r w:rsidRPr="009A3C86">
        <w:rPr>
          <w:rFonts w:ascii="Times New Roman" w:hAnsi="Times New Roman"/>
          <w:b/>
          <w:sz w:val="24"/>
          <w:szCs w:val="24"/>
          <w:lang w:eastAsia="pl-PL"/>
        </w:rPr>
        <w:t>§ 2</w:t>
      </w:r>
      <w:r w:rsidRPr="009A3C86">
        <w:rPr>
          <w:rFonts w:ascii="Times New Roman" w:hAnsi="Times New Roman"/>
          <w:sz w:val="24"/>
          <w:szCs w:val="24"/>
          <w:lang w:eastAsia="pl-PL"/>
        </w:rPr>
        <w:t xml:space="preserve"> wprowadzono przepis umożliwiający organom podatkowym bardziej elastyczne niż dotąd orzekanie w przedmiocie odpowiedzialności osób trzecich za cudze należności. Tego typu regulacja obowiązywała w ustawie o zobowiązaniach podatkowych. Rezygnację z niej w obowiązującej ordynacji podatkowej ocenić należy jako błąd. Dlatego proponuje się wprowadzenie zasady, że osoba trzecia nie ponosi odpowiedzialności przewidzianej w niniejszym rozdziale, jeżeli </w:t>
      </w:r>
      <w:r w:rsidR="00D72552" w:rsidRPr="009A3C86">
        <w:rPr>
          <w:rFonts w:ascii="Times New Roman" w:hAnsi="Times New Roman"/>
          <w:sz w:val="24"/>
          <w:szCs w:val="24"/>
          <w:lang w:eastAsia="pl-PL"/>
        </w:rPr>
        <w:t xml:space="preserve">udowodni lub uprawdopodobni, że </w:t>
      </w:r>
      <w:r w:rsidRPr="009A3C86">
        <w:rPr>
          <w:rFonts w:ascii="Times New Roman" w:hAnsi="Times New Roman"/>
          <w:sz w:val="24"/>
          <w:szCs w:val="24"/>
          <w:lang w:eastAsia="pl-PL"/>
        </w:rPr>
        <w:t>byłoby to rażąco niesłuszne. Określenie „rażąca niesłuszność” nie funkcjonuje wprawdzie w przepisach prawa podatkowego czy nawet administracyjnego, ale jest używane w orzecznictwie sądów administracyjnych</w:t>
      </w:r>
      <w:r w:rsidRPr="009A3C86">
        <w:rPr>
          <w:rFonts w:ascii="Times New Roman" w:hAnsi="Times New Roman"/>
          <w:sz w:val="24"/>
          <w:szCs w:val="24"/>
          <w:vertAlign w:val="superscript"/>
          <w:lang w:eastAsia="pl-PL"/>
        </w:rPr>
        <w:footnoteReference w:id="288"/>
      </w:r>
      <w:r w:rsidRPr="009A3C86">
        <w:rPr>
          <w:rFonts w:ascii="Times New Roman" w:hAnsi="Times New Roman"/>
          <w:sz w:val="24"/>
          <w:szCs w:val="24"/>
          <w:lang w:eastAsia="pl-PL"/>
        </w:rPr>
        <w:t>. Określenie "rażąco niesłuszne” jest typowym określeniem nieostrym, jakich wiele w systemie prawa, w tym także prawa podatkowego. Są to określenia zapewniające elastyczność orzekania w przypadku, gdy przepisy prawa są restrykcyjne. Określenia nieostre wymagają zgodnie z przyjętymi w orzecznictwie</w:t>
      </w:r>
      <w:r w:rsidRPr="009A3C86">
        <w:rPr>
          <w:rFonts w:ascii="Times New Roman" w:hAnsi="Times New Roman"/>
          <w:sz w:val="24"/>
          <w:szCs w:val="24"/>
          <w:vertAlign w:val="superscript"/>
          <w:lang w:eastAsia="pl-PL"/>
        </w:rPr>
        <w:footnoteReference w:id="289"/>
      </w:r>
      <w:r w:rsidRPr="009A3C86">
        <w:rPr>
          <w:rFonts w:ascii="Times New Roman" w:hAnsi="Times New Roman"/>
          <w:sz w:val="24"/>
          <w:szCs w:val="24"/>
          <w:lang w:eastAsia="pl-PL"/>
        </w:rPr>
        <w:t xml:space="preserve"> oraz piśmiennictwie</w:t>
      </w:r>
      <w:r w:rsidRPr="009A3C86">
        <w:rPr>
          <w:rFonts w:ascii="Times New Roman" w:hAnsi="Times New Roman"/>
          <w:sz w:val="24"/>
          <w:szCs w:val="24"/>
          <w:vertAlign w:val="superscript"/>
          <w:lang w:eastAsia="pl-PL"/>
        </w:rPr>
        <w:footnoteReference w:id="290"/>
      </w:r>
      <w:r w:rsidRPr="009A3C86">
        <w:rPr>
          <w:rFonts w:ascii="Times New Roman" w:hAnsi="Times New Roman"/>
          <w:sz w:val="24"/>
          <w:szCs w:val="24"/>
          <w:lang w:eastAsia="pl-PL"/>
        </w:rPr>
        <w:t xml:space="preserve"> poglądami uwzględnienia nie tylko uwarunkowań zewnętrznych wynikających z chronionych wartości </w:t>
      </w:r>
      <w:r w:rsidRPr="009A3C86">
        <w:rPr>
          <w:rFonts w:ascii="Times New Roman" w:hAnsi="Times New Roman"/>
          <w:sz w:val="24"/>
          <w:szCs w:val="24"/>
          <w:lang w:eastAsia="pl-PL"/>
        </w:rPr>
        <w:lastRenderedPageBreak/>
        <w:t>zawartych w całym systemie prawa (Konstytucji RP), ale i jego uwarunkowań wynikających z wartości i zasad leżących u podstaw aktu normatywnego, w którym zastosowano dane pojęcie nieostre. Należy więc nawiązywać w rozstrzygnięciu do zasad ogólnych prawa podatkowego (art. 14-32 projektu). Dopiero wtedy dokonana ocena szczegółowo ustalonych okoliczności sprawy nie będzie nosiła cech dowolności i mieścić się będzie w ramach dopuszczalnego stosowania pojęcia nieostrego. Określenia nieostre nie są definiowane. Jako przykład zastosowania tego pojęcia można podać sytuację, w której np. członek zarządu w okresie sprawowania funkcji, nie mógł nawet przy dochowaniu najwyższej staranności, uzyskać wiedzy o okolicznościach i przesłankach uzasadniających zgłoszenie wniosku o upadłość. Jako przykłady pojęć nieostrych funkcjonujących w systemie prawa można podać:</w:t>
      </w:r>
    </w:p>
    <w:p w:rsidR="00741954" w:rsidRPr="009A3C86" w:rsidRDefault="00741954" w:rsidP="00741954">
      <w:pPr>
        <w:spacing w:after="0" w:line="360" w:lineRule="auto"/>
        <w:ind w:hanging="283"/>
        <w:jc w:val="both"/>
        <w:rPr>
          <w:rFonts w:ascii="Times New Roman" w:hAnsi="Times New Roman"/>
          <w:sz w:val="24"/>
          <w:szCs w:val="24"/>
          <w:lang w:eastAsia="pl-PL"/>
        </w:rPr>
      </w:pPr>
      <w:r w:rsidRPr="009A3C86">
        <w:rPr>
          <w:rFonts w:ascii="Times New Roman" w:hAnsi="Times New Roman"/>
          <w:sz w:val="24"/>
          <w:szCs w:val="24"/>
          <w:lang w:eastAsia="pl-PL"/>
        </w:rPr>
        <w:t>–</w:t>
      </w:r>
      <w:r w:rsidRPr="009A3C86">
        <w:rPr>
          <w:rFonts w:ascii="Times New Roman" w:hAnsi="Times New Roman"/>
          <w:sz w:val="24"/>
          <w:szCs w:val="24"/>
          <w:lang w:eastAsia="pl-PL"/>
        </w:rPr>
        <w:tab/>
        <w:t>zagrożenie obronności lub bezpieczeństwa państwa (art. 39 ustawy z dnia 26 stycznia 2018 r. - Prawo przedsiębiorców</w:t>
      </w:r>
      <w:r w:rsidRPr="009A3C86">
        <w:rPr>
          <w:rFonts w:ascii="Times New Roman" w:hAnsi="Times New Roman"/>
          <w:sz w:val="24"/>
          <w:szCs w:val="24"/>
          <w:vertAlign w:val="superscript"/>
          <w:lang w:eastAsia="pl-PL"/>
        </w:rPr>
        <w:footnoteReference w:id="291"/>
      </w:r>
      <w:r w:rsidR="006F55C6" w:rsidRPr="009A3C86">
        <w:rPr>
          <w:rFonts w:ascii="Times New Roman" w:hAnsi="Times New Roman"/>
          <w:sz w:val="24"/>
          <w:szCs w:val="24"/>
          <w:lang w:eastAsia="pl-PL"/>
        </w:rPr>
        <w:t>)</w:t>
      </w:r>
      <w:r w:rsidRPr="009A3C86">
        <w:rPr>
          <w:rFonts w:ascii="Times New Roman" w:hAnsi="Times New Roman"/>
          <w:sz w:val="24"/>
          <w:szCs w:val="24"/>
          <w:lang w:eastAsia="pl-PL"/>
        </w:rPr>
        <w:t>;</w:t>
      </w:r>
    </w:p>
    <w:p w:rsidR="00741954" w:rsidRPr="009A3C86" w:rsidRDefault="00741954" w:rsidP="00741954">
      <w:pPr>
        <w:spacing w:after="0" w:line="360" w:lineRule="auto"/>
        <w:ind w:hanging="283"/>
        <w:jc w:val="both"/>
        <w:rPr>
          <w:rFonts w:ascii="Times New Roman" w:hAnsi="Times New Roman"/>
          <w:sz w:val="24"/>
          <w:szCs w:val="24"/>
          <w:lang w:eastAsia="pl-PL"/>
        </w:rPr>
      </w:pPr>
      <w:r w:rsidRPr="009A3C86">
        <w:rPr>
          <w:rFonts w:ascii="Times New Roman" w:hAnsi="Times New Roman"/>
          <w:sz w:val="24"/>
          <w:szCs w:val="24"/>
          <w:lang w:eastAsia="pl-PL"/>
        </w:rPr>
        <w:t>–</w:t>
      </w:r>
      <w:r w:rsidRPr="009A3C86">
        <w:rPr>
          <w:rFonts w:ascii="Times New Roman" w:hAnsi="Times New Roman"/>
          <w:sz w:val="24"/>
          <w:szCs w:val="24"/>
          <w:lang w:eastAsia="pl-PL"/>
        </w:rPr>
        <w:tab/>
        <w:t>niesłuszna korzyść (art. 1 ust. 1 ustawy z dnia 21 czerwca 1990 r. o zwrocie korzyści uzyskanych niesłusznie kosztem Skarbu Państwa lub innych państwowych osób prawnych</w:t>
      </w:r>
      <w:r w:rsidRPr="009A3C86">
        <w:rPr>
          <w:rFonts w:ascii="Times New Roman" w:hAnsi="Times New Roman"/>
          <w:sz w:val="24"/>
          <w:szCs w:val="24"/>
          <w:vertAlign w:val="superscript"/>
          <w:lang w:eastAsia="pl-PL"/>
        </w:rPr>
        <w:footnoteReference w:id="292"/>
      </w:r>
      <w:r w:rsidR="006F55C6" w:rsidRPr="009A3C86">
        <w:rPr>
          <w:rFonts w:ascii="Times New Roman" w:hAnsi="Times New Roman"/>
          <w:sz w:val="24"/>
          <w:szCs w:val="24"/>
          <w:lang w:eastAsia="pl-PL"/>
        </w:rPr>
        <w:t>)</w:t>
      </w:r>
      <w:r w:rsidRPr="009A3C86">
        <w:rPr>
          <w:rFonts w:ascii="Times New Roman" w:hAnsi="Times New Roman"/>
          <w:sz w:val="24"/>
          <w:szCs w:val="24"/>
          <w:lang w:eastAsia="pl-PL"/>
        </w:rPr>
        <w:t>;</w:t>
      </w:r>
    </w:p>
    <w:p w:rsidR="00741954" w:rsidRPr="009A3C86" w:rsidRDefault="00741954" w:rsidP="00741954">
      <w:pPr>
        <w:spacing w:after="0" w:line="360" w:lineRule="auto"/>
        <w:ind w:hanging="283"/>
        <w:jc w:val="both"/>
        <w:rPr>
          <w:rFonts w:ascii="Times New Roman" w:hAnsi="Times New Roman"/>
          <w:sz w:val="24"/>
          <w:szCs w:val="24"/>
          <w:lang w:eastAsia="pl-PL"/>
        </w:rPr>
      </w:pPr>
      <w:r w:rsidRPr="009A3C86">
        <w:rPr>
          <w:rFonts w:ascii="Times New Roman" w:hAnsi="Times New Roman"/>
          <w:sz w:val="24"/>
          <w:szCs w:val="24"/>
          <w:lang w:eastAsia="pl-PL"/>
        </w:rPr>
        <w:t>–</w:t>
      </w:r>
      <w:r w:rsidRPr="009A3C86">
        <w:rPr>
          <w:rFonts w:ascii="Times New Roman" w:hAnsi="Times New Roman"/>
          <w:sz w:val="24"/>
          <w:szCs w:val="24"/>
          <w:lang w:eastAsia="pl-PL"/>
        </w:rPr>
        <w:tab/>
        <w:t>ważna przyczyna (art. 155 § 2 o.p.);</w:t>
      </w:r>
    </w:p>
    <w:p w:rsidR="00741954" w:rsidRPr="009A3C86" w:rsidRDefault="00741954" w:rsidP="00741954">
      <w:pPr>
        <w:spacing w:after="0" w:line="360" w:lineRule="auto"/>
        <w:ind w:hanging="283"/>
        <w:jc w:val="both"/>
        <w:rPr>
          <w:rFonts w:ascii="Times New Roman" w:hAnsi="Times New Roman"/>
          <w:color w:val="000000"/>
          <w:sz w:val="24"/>
          <w:szCs w:val="24"/>
          <w:lang w:eastAsia="pl-PL"/>
        </w:rPr>
      </w:pPr>
      <w:r w:rsidRPr="009A3C86">
        <w:rPr>
          <w:rFonts w:ascii="Times New Roman" w:hAnsi="Times New Roman"/>
          <w:sz w:val="24"/>
          <w:szCs w:val="24"/>
          <w:lang w:eastAsia="pl-PL"/>
        </w:rPr>
        <w:t>–</w:t>
      </w:r>
      <w:r w:rsidRPr="009A3C86">
        <w:rPr>
          <w:rFonts w:ascii="Times New Roman" w:hAnsi="Times New Roman"/>
          <w:color w:val="000000"/>
          <w:sz w:val="24"/>
          <w:szCs w:val="24"/>
          <w:lang w:eastAsia="pl-PL"/>
        </w:rPr>
        <w:tab/>
        <w:t>należyta staranność (art. 17 ust. 2a ustawy o VAT</w:t>
      </w:r>
      <w:r w:rsidRPr="009A3C86">
        <w:rPr>
          <w:rFonts w:ascii="Times New Roman" w:hAnsi="Times New Roman"/>
          <w:color w:val="000000"/>
          <w:sz w:val="24"/>
          <w:szCs w:val="24"/>
          <w:vertAlign w:val="superscript"/>
          <w:lang w:eastAsia="pl-PL"/>
        </w:rPr>
        <w:footnoteReference w:id="293"/>
      </w:r>
      <w:r w:rsidR="006F55C6"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w:t>
      </w:r>
    </w:p>
    <w:p w:rsidR="00741954" w:rsidRPr="009A3C86" w:rsidRDefault="00741954" w:rsidP="00741954">
      <w:pPr>
        <w:spacing w:after="0" w:line="360" w:lineRule="auto"/>
        <w:ind w:hanging="283"/>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ab/>
        <w:t>interes publiczny (art. 3 ust. 1 ustawy z dnia 6 września 2001 r. o dostępie do informacji publicznej</w:t>
      </w:r>
      <w:r w:rsidRPr="009A3C86">
        <w:rPr>
          <w:rFonts w:ascii="Times New Roman" w:hAnsi="Times New Roman"/>
          <w:color w:val="000000"/>
          <w:sz w:val="24"/>
          <w:szCs w:val="24"/>
          <w:vertAlign w:val="superscript"/>
          <w:lang w:eastAsia="pl-PL"/>
        </w:rPr>
        <w:footnoteReference w:id="294"/>
      </w:r>
      <w:r w:rsidR="006F55C6"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Określenie rażąco niesłuszne jest pojęciem nieostrym, które nie ma i nie może mieć stałej treści, przez co nie może być zdefiniowane. Uzyskuje ono znaczenie w zależności od kontekstu sprawy</w:t>
      </w:r>
      <w:r w:rsidR="00D72552"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 xml:space="preserve"> </w:t>
      </w:r>
      <w:r w:rsidR="00D72552" w:rsidRPr="009A3C86">
        <w:rPr>
          <w:rFonts w:ascii="Times New Roman" w:hAnsi="Times New Roman"/>
          <w:color w:val="000000"/>
          <w:sz w:val="24"/>
          <w:szCs w:val="24"/>
          <w:lang w:eastAsia="pl-PL"/>
        </w:rPr>
        <w:t>W</w:t>
      </w:r>
      <w:r w:rsidRPr="009A3C86">
        <w:rPr>
          <w:rFonts w:ascii="Times New Roman" w:hAnsi="Times New Roman"/>
          <w:color w:val="000000"/>
          <w:sz w:val="24"/>
          <w:szCs w:val="24"/>
          <w:lang w:eastAsia="pl-PL"/>
        </w:rPr>
        <w:t xml:space="preserve"> </w:t>
      </w:r>
      <w:r w:rsidR="00D72552" w:rsidRPr="009A3C86">
        <w:rPr>
          <w:rFonts w:ascii="Times New Roman" w:hAnsi="Times New Roman"/>
          <w:color w:val="000000"/>
          <w:sz w:val="24"/>
          <w:szCs w:val="24"/>
          <w:lang w:eastAsia="pl-PL"/>
        </w:rPr>
        <w:t xml:space="preserve">postępowaniu </w:t>
      </w:r>
      <w:r w:rsidRPr="009A3C86">
        <w:rPr>
          <w:rFonts w:ascii="Times New Roman" w:hAnsi="Times New Roman"/>
          <w:color w:val="000000"/>
          <w:sz w:val="24"/>
          <w:szCs w:val="24"/>
          <w:lang w:eastAsia="pl-PL"/>
        </w:rPr>
        <w:t xml:space="preserve">z zakresu odpowiedzialności osób trzecich, </w:t>
      </w:r>
      <w:r w:rsidR="00D72552" w:rsidRPr="009A3C86">
        <w:rPr>
          <w:rFonts w:ascii="Times New Roman" w:hAnsi="Times New Roman"/>
          <w:color w:val="000000"/>
          <w:sz w:val="24"/>
          <w:szCs w:val="24"/>
          <w:lang w:eastAsia="pl-PL"/>
        </w:rPr>
        <w:t xml:space="preserve">w którym </w:t>
      </w:r>
      <w:r w:rsidR="00BA0712" w:rsidRPr="009A3C86">
        <w:rPr>
          <w:rFonts w:ascii="Times New Roman" w:hAnsi="Times New Roman"/>
          <w:color w:val="000000"/>
          <w:sz w:val="24"/>
          <w:szCs w:val="24"/>
          <w:lang w:eastAsia="pl-PL"/>
        </w:rPr>
        <w:t>strona co najmniej uprawdopod</w:t>
      </w:r>
      <w:r w:rsidR="005D1313" w:rsidRPr="009A3C86">
        <w:rPr>
          <w:rFonts w:ascii="Times New Roman" w:hAnsi="Times New Roman"/>
          <w:color w:val="000000"/>
          <w:sz w:val="24"/>
          <w:szCs w:val="24"/>
          <w:lang w:eastAsia="pl-PL"/>
        </w:rPr>
        <w:t>a</w:t>
      </w:r>
      <w:r w:rsidR="00BA0712" w:rsidRPr="009A3C86">
        <w:rPr>
          <w:rFonts w:ascii="Times New Roman" w:hAnsi="Times New Roman"/>
          <w:color w:val="000000"/>
          <w:sz w:val="24"/>
          <w:szCs w:val="24"/>
          <w:lang w:eastAsia="pl-PL"/>
        </w:rPr>
        <w:t xml:space="preserve">bnia przesłankę rażącej niesłuszności odpowiedzialności </w:t>
      </w:r>
      <w:r w:rsidRPr="009A3C86">
        <w:rPr>
          <w:rFonts w:ascii="Times New Roman" w:hAnsi="Times New Roman"/>
          <w:color w:val="000000"/>
          <w:sz w:val="24"/>
          <w:szCs w:val="24"/>
          <w:lang w:eastAsia="pl-PL"/>
        </w:rPr>
        <w:t xml:space="preserve">organ podatkowy będzie musiał </w:t>
      </w:r>
      <w:r w:rsidR="00BA0712" w:rsidRPr="009A3C86">
        <w:rPr>
          <w:rFonts w:ascii="Times New Roman" w:hAnsi="Times New Roman"/>
          <w:color w:val="000000"/>
          <w:sz w:val="24"/>
          <w:szCs w:val="24"/>
          <w:lang w:eastAsia="pl-PL"/>
        </w:rPr>
        <w:t xml:space="preserve">ocenić, czy twierdzenia strony są zasadne. </w:t>
      </w:r>
      <w:r w:rsidRPr="009A3C86">
        <w:rPr>
          <w:rFonts w:ascii="Times New Roman" w:hAnsi="Times New Roman"/>
          <w:color w:val="000000"/>
          <w:sz w:val="24"/>
          <w:szCs w:val="24"/>
          <w:lang w:eastAsia="pl-PL"/>
        </w:rPr>
        <w:t xml:space="preserve">Podkreślić tu należy, że Trybunał Konstytucyjny w wyroku z dnia 14 grudnia 1999 r. ( SK 14/98, OTK 1999 nr,  7 poz. 163) wyraził pogląd, „że użycie przez prawodawcę pojęć nieostrych lub klauzul generalnych nie jest równoznaczne z przyznaniem interpretatorowi absolutnej i pozostającej poza wszelką kontrolą swobody w zakresie wykładni tego rodzaju zwrotów, a wręcz przeciwnie zobowiązuje organ stosujący prawo do szczególnej staranności, a zwłaszcza do wszechstronnej i </w:t>
      </w:r>
      <w:r w:rsidRPr="009A3C86">
        <w:rPr>
          <w:rFonts w:ascii="Times New Roman" w:hAnsi="Times New Roman"/>
          <w:color w:val="000000"/>
          <w:sz w:val="24"/>
          <w:szCs w:val="24"/>
          <w:lang w:eastAsia="pl-PL"/>
        </w:rPr>
        <w:lastRenderedPageBreak/>
        <w:t>szczegółowej oceny konkretnych okoliczności w danej sprawie.”</w:t>
      </w:r>
      <w:r w:rsidR="006F55C6"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Jakie dyrektywy interpretacyjne należy tu uwzględnić wskazano wyżej.</w:t>
      </w:r>
    </w:p>
    <w:p w:rsidR="00BA0712" w:rsidRPr="009A3C86" w:rsidRDefault="00BA0712" w:rsidP="00BA0712">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Konstrukcja przepisów dotyczących odpowiedzialności osób trzecich określa zarówno pozytywne przesłanki przeniesienia odpowiedzialności, jak i przesłanki negatywne, które pozwalają na uwolnienie się od tej odpowiedzialności. O ile ciężar udowodnienia przesłanek pozytywnych spoczywa na organie podatkowym, o tyle w odniesieniu do przesłanek negatywnych ciężar ich wykazania powinien spoczywać na podmiotach potencjalnie odpowiedzialnych jako osoby trzecie.  Dotyczy to także przesłanki negatywnej w postaci rażącej niesłuszności. </w:t>
      </w:r>
    </w:p>
    <w:p w:rsidR="00741954" w:rsidRPr="009A3C86" w:rsidRDefault="00741954" w:rsidP="00BA0712">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Rozwiązanie przewidziane w art. 40 ust. 2 ustawy o zobowiązaniach podatkowych przewidywało rozstrzygnięcie o odstąpieniu od orzeczenia odpowiedzialności podatkowej osoby trzeciej, które zobowiązywało organ podatkowy do badania przesłanek w tym przepisie określonych</w:t>
      </w:r>
      <w:r w:rsidRPr="009A3C86">
        <w:rPr>
          <w:rFonts w:ascii="Times New Roman" w:hAnsi="Times New Roman"/>
          <w:sz w:val="24"/>
          <w:szCs w:val="24"/>
          <w:vertAlign w:val="superscript"/>
          <w:lang w:eastAsia="pl-PL"/>
        </w:rPr>
        <w:footnoteReference w:id="295"/>
      </w:r>
      <w:r w:rsidRPr="009A3C86">
        <w:rPr>
          <w:rFonts w:ascii="Times New Roman" w:hAnsi="Times New Roman"/>
          <w:sz w:val="24"/>
          <w:szCs w:val="24"/>
          <w:lang w:eastAsia="pl-PL"/>
        </w:rPr>
        <w:t xml:space="preserve"> w każdej sprawie z tego zakresu</w:t>
      </w:r>
      <w:r w:rsidRPr="009A3C86">
        <w:rPr>
          <w:rFonts w:ascii="Times New Roman" w:hAnsi="Times New Roman"/>
          <w:sz w:val="24"/>
          <w:szCs w:val="24"/>
          <w:vertAlign w:val="superscript"/>
          <w:lang w:eastAsia="pl-PL"/>
        </w:rPr>
        <w:footnoteReference w:id="296"/>
      </w:r>
      <w:r w:rsidRPr="009A3C86">
        <w:rPr>
          <w:rFonts w:ascii="Times New Roman" w:hAnsi="Times New Roman"/>
          <w:sz w:val="24"/>
          <w:szCs w:val="24"/>
          <w:lang w:eastAsia="pl-PL"/>
        </w:rPr>
        <w:t xml:space="preserve">. Przesłanka rażącej niesłuszności powinna być oceniona w odniesieniu do całokształtu towarzyszących sprawie okoliczności, a nie powinna być ograniczona tylko do oceny sytuacji majątkowej, mieszkaniowej, czy rodzinnej osoby trzeciej.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Uregulowanie zawarte w art. 107 § 3 o.p. zostało zawarte w treści art. </w:t>
      </w:r>
      <w:r w:rsidR="00FF11AE" w:rsidRPr="009A3C86">
        <w:rPr>
          <w:rFonts w:ascii="Times New Roman" w:hAnsi="Times New Roman"/>
          <w:b/>
          <w:sz w:val="24"/>
          <w:szCs w:val="24"/>
          <w:lang w:eastAsia="pl-PL"/>
        </w:rPr>
        <w:t xml:space="preserve">253 </w:t>
      </w:r>
      <w:r w:rsidRPr="009A3C86">
        <w:rPr>
          <w:rFonts w:ascii="Times New Roman" w:hAnsi="Times New Roman"/>
          <w:b/>
          <w:sz w:val="24"/>
          <w:szCs w:val="24"/>
          <w:lang w:eastAsia="pl-PL"/>
        </w:rPr>
        <w:t>§ 3</w:t>
      </w:r>
      <w:r w:rsidRPr="009A3C86">
        <w:rPr>
          <w:rFonts w:ascii="Times New Roman" w:hAnsi="Times New Roman"/>
          <w:sz w:val="24"/>
          <w:szCs w:val="24"/>
          <w:lang w:eastAsia="pl-PL"/>
        </w:rPr>
        <w:t xml:space="preserve">, albowiem przepis art. </w:t>
      </w:r>
      <w:r w:rsidR="00FF11AE" w:rsidRPr="009A3C86">
        <w:rPr>
          <w:rFonts w:ascii="Times New Roman" w:hAnsi="Times New Roman"/>
          <w:sz w:val="24"/>
          <w:szCs w:val="24"/>
          <w:lang w:eastAsia="pl-PL"/>
        </w:rPr>
        <w:t xml:space="preserve">253 </w:t>
      </w:r>
      <w:r w:rsidRPr="009A3C86">
        <w:rPr>
          <w:rFonts w:ascii="Times New Roman" w:hAnsi="Times New Roman"/>
          <w:sz w:val="24"/>
          <w:szCs w:val="24"/>
          <w:lang w:eastAsia="pl-PL"/>
        </w:rPr>
        <w:t xml:space="preserve">§ 2 odnosi się do odpowiedzialności za odsetki naliczone po dniu wydania decyzji o odpowiedzialności osoby trzeciej, jeżeli nie dotrzymała ona terminu płatności. Dlatego rzeczą naturalną było umieszczenie dotychczasowego przepisu art. 107 § 3 o.p., odnoszącego się do braku wpływu ogłoszenia upadłości podatnika lub jego następcy prawnego na naliczanie odsetek za zwłokę w odniesieniu do osoby trzeciej. Przepis ten należy rozumieć tak, że odsetki za zwłokę naliczane będą w każdym przypadku (poza art. </w:t>
      </w:r>
      <w:r w:rsidR="009C621E" w:rsidRPr="009A3C86">
        <w:rPr>
          <w:rFonts w:ascii="Times New Roman" w:hAnsi="Times New Roman"/>
          <w:sz w:val="24"/>
          <w:szCs w:val="24"/>
          <w:lang w:eastAsia="pl-PL"/>
        </w:rPr>
        <w:t xml:space="preserve">165 </w:t>
      </w:r>
      <w:r w:rsidRPr="009A3C86">
        <w:rPr>
          <w:rFonts w:ascii="Times New Roman" w:hAnsi="Times New Roman"/>
          <w:sz w:val="24"/>
          <w:szCs w:val="24"/>
          <w:lang w:eastAsia="pl-PL"/>
        </w:rPr>
        <w:t>projektu). A więc</w:t>
      </w:r>
      <w:r w:rsidR="006F55C6" w:rsidRPr="009A3C86">
        <w:rPr>
          <w:rFonts w:ascii="Times New Roman" w:hAnsi="Times New Roman"/>
          <w:sz w:val="24"/>
          <w:szCs w:val="24"/>
          <w:lang w:eastAsia="pl-PL"/>
        </w:rPr>
        <w:t xml:space="preserve"> stwierdzić należy</w:t>
      </w:r>
      <w:r w:rsidRPr="009A3C86">
        <w:rPr>
          <w:rFonts w:ascii="Times New Roman" w:hAnsi="Times New Roman"/>
          <w:sz w:val="24"/>
          <w:szCs w:val="24"/>
          <w:lang w:eastAsia="pl-PL"/>
        </w:rPr>
        <w:t>, że upadłość podatnika, płatnika lub ich następcy prawnego nie jest okolicznością prowadzącą do zaniechania naliczania odsetek za zwłokę po dniu ogłoszenia upadłości i nie pozbawia Skarbu Państwa tej rekompensaty z tytułu zwłoki w uregulowaniu należności podatkowych. Przepis art. 92 ustawy z dnia 28 lutego 2003 r. – Prawo upadłościowe nie zakazuje ich naliczania ani zaspokojenia za ten okres od współdłużników lub samego upadłego</w:t>
      </w:r>
      <w:r w:rsidR="006F55C6" w:rsidRPr="009A3C86">
        <w:rPr>
          <w:rFonts w:ascii="Times New Roman" w:hAnsi="Times New Roman"/>
          <w:sz w:val="24"/>
          <w:szCs w:val="24"/>
          <w:lang w:eastAsia="pl-PL"/>
        </w:rPr>
        <w:t>,</w:t>
      </w:r>
      <w:r w:rsidRPr="009A3C86">
        <w:rPr>
          <w:rFonts w:ascii="Times New Roman" w:hAnsi="Times New Roman"/>
          <w:sz w:val="24"/>
          <w:szCs w:val="24"/>
          <w:lang w:eastAsia="pl-PL"/>
        </w:rPr>
        <w:t xml:space="preserve"> </w:t>
      </w:r>
      <w:r w:rsidRPr="009A3C86">
        <w:rPr>
          <w:rFonts w:ascii="Times New Roman" w:hAnsi="Times New Roman"/>
          <w:sz w:val="24"/>
          <w:szCs w:val="24"/>
          <w:lang w:eastAsia="pl-PL"/>
        </w:rPr>
        <w:lastRenderedPageBreak/>
        <w:t>a określa tylko z jakich źródeł podlegają zaspokojeniu odsetki należne za okres od dnia ogłoszenia upadłości.</w:t>
      </w:r>
    </w:p>
    <w:p w:rsidR="006F55C6"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5. W myśl art. </w:t>
      </w:r>
      <w:r w:rsidR="009C621E" w:rsidRPr="009A3C86">
        <w:rPr>
          <w:rFonts w:ascii="Times New Roman" w:hAnsi="Times New Roman"/>
          <w:sz w:val="24"/>
          <w:szCs w:val="24"/>
          <w:lang w:eastAsia="pl-PL"/>
        </w:rPr>
        <w:t> </w:t>
      </w:r>
      <w:r w:rsidR="009C621E" w:rsidRPr="009A3C86">
        <w:rPr>
          <w:rFonts w:ascii="Times New Roman" w:hAnsi="Times New Roman"/>
          <w:b/>
          <w:sz w:val="24"/>
          <w:szCs w:val="24"/>
          <w:lang w:eastAsia="pl-PL"/>
        </w:rPr>
        <w:t xml:space="preserve">250 </w:t>
      </w:r>
      <w:r w:rsidRPr="009A3C86">
        <w:rPr>
          <w:rFonts w:ascii="Times New Roman" w:hAnsi="Times New Roman"/>
          <w:sz w:val="24"/>
          <w:szCs w:val="24"/>
          <w:lang w:eastAsia="pl-PL"/>
        </w:rPr>
        <w:t>(art. 109 § 1</w:t>
      </w:r>
      <w:r w:rsidR="00247839" w:rsidRPr="009A3C86">
        <w:rPr>
          <w:rFonts w:ascii="Times New Roman" w:hAnsi="Times New Roman"/>
          <w:sz w:val="24"/>
          <w:szCs w:val="24"/>
          <w:lang w:eastAsia="pl-PL"/>
        </w:rPr>
        <w:t xml:space="preserve"> w zw. </w:t>
      </w:r>
      <w:r w:rsidR="00D576D2" w:rsidRPr="009A3C86">
        <w:rPr>
          <w:rFonts w:ascii="Times New Roman" w:hAnsi="Times New Roman"/>
          <w:sz w:val="24"/>
          <w:szCs w:val="24"/>
          <w:lang w:eastAsia="pl-PL"/>
        </w:rPr>
        <w:t>z</w:t>
      </w:r>
      <w:r w:rsidR="00247839" w:rsidRPr="009A3C86">
        <w:rPr>
          <w:rFonts w:ascii="Times New Roman" w:hAnsi="Times New Roman"/>
          <w:sz w:val="24"/>
          <w:szCs w:val="24"/>
          <w:lang w:eastAsia="pl-PL"/>
        </w:rPr>
        <w:t xml:space="preserve"> art. 107 § 1</w:t>
      </w:r>
      <w:r w:rsidRPr="009A3C86">
        <w:rPr>
          <w:rFonts w:ascii="Times New Roman" w:hAnsi="Times New Roman"/>
          <w:sz w:val="24"/>
          <w:szCs w:val="24"/>
          <w:lang w:eastAsia="pl-PL"/>
        </w:rPr>
        <w:t xml:space="preserve"> o.p.) do odpowiedzialności osoby trzeciej przewidzianej w niniejszym rozdziale będą stosowane odpowiednio przepisy art. </w:t>
      </w:r>
      <w:r w:rsidR="009C621E" w:rsidRPr="009A3C86">
        <w:rPr>
          <w:rFonts w:ascii="Times New Roman" w:hAnsi="Times New Roman"/>
          <w:sz w:val="24"/>
          <w:szCs w:val="24"/>
          <w:lang w:eastAsia="pl-PL"/>
        </w:rPr>
        <w:t>242</w:t>
      </w:r>
      <w:r w:rsidRPr="009A3C86">
        <w:rPr>
          <w:rFonts w:ascii="Times New Roman" w:hAnsi="Times New Roman"/>
          <w:sz w:val="24"/>
          <w:szCs w:val="24"/>
          <w:lang w:eastAsia="pl-PL"/>
        </w:rPr>
        <w:t xml:space="preserve">, a więc zasady, które dotyczą odpowiedzialności podatnika, w tym także podatnika pozostającego w związku małżeńskim. W art. </w:t>
      </w:r>
      <w:r w:rsidR="009C621E" w:rsidRPr="009A3C86">
        <w:rPr>
          <w:rFonts w:ascii="Times New Roman" w:hAnsi="Times New Roman"/>
          <w:b/>
          <w:sz w:val="24"/>
          <w:szCs w:val="24"/>
          <w:lang w:eastAsia="pl-PL"/>
        </w:rPr>
        <w:t xml:space="preserve">251 </w:t>
      </w:r>
      <w:r w:rsidRPr="009A3C86">
        <w:rPr>
          <w:rFonts w:ascii="Times New Roman" w:hAnsi="Times New Roman"/>
          <w:b/>
          <w:sz w:val="24"/>
          <w:szCs w:val="24"/>
          <w:lang w:eastAsia="pl-PL"/>
        </w:rPr>
        <w:t>§ 1</w:t>
      </w:r>
      <w:r w:rsidRPr="009A3C86">
        <w:rPr>
          <w:rFonts w:ascii="Times New Roman" w:hAnsi="Times New Roman"/>
          <w:sz w:val="24"/>
          <w:szCs w:val="24"/>
          <w:lang w:eastAsia="pl-PL"/>
        </w:rPr>
        <w:t xml:space="preserve"> utrzymano zasadę, że orzeczenie o odpowiedzialności osoby trzeciej następuje w drodze decyzji (art. 108 o.p.). Wskazany w art. </w:t>
      </w:r>
      <w:r w:rsidR="009C621E" w:rsidRPr="009A3C86">
        <w:rPr>
          <w:rFonts w:ascii="Times New Roman" w:hAnsi="Times New Roman"/>
          <w:b/>
          <w:sz w:val="24"/>
          <w:szCs w:val="24"/>
          <w:lang w:eastAsia="pl-PL"/>
        </w:rPr>
        <w:t xml:space="preserve">251 </w:t>
      </w:r>
      <w:r w:rsidRPr="009A3C86">
        <w:rPr>
          <w:rFonts w:ascii="Times New Roman" w:hAnsi="Times New Roman"/>
          <w:b/>
          <w:sz w:val="24"/>
          <w:szCs w:val="24"/>
          <w:lang w:eastAsia="pl-PL"/>
        </w:rPr>
        <w:t>§ 2</w:t>
      </w:r>
      <w:r w:rsidRPr="009A3C86">
        <w:rPr>
          <w:rFonts w:ascii="Times New Roman" w:hAnsi="Times New Roman"/>
          <w:sz w:val="24"/>
          <w:szCs w:val="24"/>
          <w:lang w:eastAsia="pl-PL"/>
        </w:rPr>
        <w:t xml:space="preserve"> katalog negatywnych przesłanek wskazujących kiedy nie może zostać wszczęte postępowanie podatkowe w sprawie odpowiedzialności podatkowej osoby trzeciej, jest – w zasadzie – identyczny z tym, który obowiązuje w aktualnej ordynacji podatkowej (art. 108 § 2 o.p.). Tak jak i obecnie, odpowiedzialność osoby trzeciej będzie odpowiedzialnością posiłkową</w:t>
      </w:r>
      <w:r w:rsidRPr="009A3C86">
        <w:rPr>
          <w:rFonts w:ascii="Times New Roman" w:hAnsi="Times New Roman"/>
          <w:sz w:val="24"/>
          <w:szCs w:val="24"/>
          <w:vertAlign w:val="superscript"/>
          <w:lang w:eastAsia="pl-PL"/>
        </w:rPr>
        <w:footnoteReference w:id="297"/>
      </w:r>
      <w:r w:rsidRPr="009A3C86">
        <w:rPr>
          <w:rFonts w:ascii="Times New Roman" w:hAnsi="Times New Roman"/>
          <w:sz w:val="24"/>
          <w:szCs w:val="24"/>
          <w:lang w:eastAsia="pl-PL"/>
        </w:rPr>
        <w:t>, a organ podatkowy ma obowiązek prowadzenia postępowania w przedmiocie tej odpowiedzialności</w:t>
      </w:r>
      <w:r w:rsidRPr="009A3C86">
        <w:rPr>
          <w:rFonts w:ascii="Times New Roman" w:hAnsi="Times New Roman"/>
          <w:sz w:val="24"/>
          <w:szCs w:val="24"/>
          <w:vertAlign w:val="superscript"/>
          <w:lang w:eastAsia="pl-PL"/>
        </w:rPr>
        <w:footnoteReference w:id="298"/>
      </w:r>
      <w:r w:rsidRPr="009A3C86">
        <w:rPr>
          <w:rFonts w:ascii="Times New Roman" w:hAnsi="Times New Roman"/>
          <w:sz w:val="24"/>
          <w:szCs w:val="24"/>
          <w:lang w:eastAsia="pl-PL"/>
        </w:rPr>
        <w:t>. Przedmiotem orzekania w sprawie z zakresu odpowiedzialności osób trzecich będzie przede wszystkim kwestia związana z ustaleniem i istnieniem podmiotu, który ponosi odpowiedzialność, zakresu należności objętych odpowiedzialnością, a także określeniem terminu płatności tych należności</w:t>
      </w:r>
      <w:r w:rsidRPr="009A3C86">
        <w:rPr>
          <w:rFonts w:ascii="Times New Roman" w:hAnsi="Times New Roman"/>
          <w:sz w:val="24"/>
          <w:szCs w:val="24"/>
          <w:vertAlign w:val="superscript"/>
          <w:lang w:eastAsia="pl-PL"/>
        </w:rPr>
        <w:footnoteReference w:id="299"/>
      </w:r>
      <w:r w:rsidRPr="009A3C86">
        <w:rPr>
          <w:rFonts w:ascii="Times New Roman" w:hAnsi="Times New Roman"/>
          <w:sz w:val="24"/>
          <w:szCs w:val="24"/>
          <w:lang w:eastAsia="pl-PL"/>
        </w:rPr>
        <w:t xml:space="preserve">, z wyjątkami określonymi w art. </w:t>
      </w:r>
      <w:r w:rsidR="009C621E" w:rsidRPr="009A3C86">
        <w:rPr>
          <w:rFonts w:ascii="Times New Roman" w:hAnsi="Times New Roman"/>
          <w:sz w:val="24"/>
          <w:szCs w:val="24"/>
          <w:lang w:val="en-US" w:eastAsia="pl-PL"/>
        </w:rPr>
        <w:t xml:space="preserve">263 </w:t>
      </w:r>
      <w:r w:rsidRPr="009A3C86">
        <w:rPr>
          <w:rFonts w:ascii="Times New Roman" w:hAnsi="Times New Roman"/>
          <w:sz w:val="24"/>
          <w:szCs w:val="24"/>
          <w:lang w:val="en-US" w:eastAsia="pl-PL"/>
        </w:rPr>
        <w:t xml:space="preserve">§ 4 (art. 115 § 4 o.p.), art. </w:t>
      </w:r>
      <w:r w:rsidR="009C621E" w:rsidRPr="009A3C86">
        <w:rPr>
          <w:rFonts w:ascii="Times New Roman" w:hAnsi="Times New Roman"/>
          <w:sz w:val="24"/>
          <w:szCs w:val="24"/>
          <w:lang w:val="en-US" w:eastAsia="pl-PL"/>
        </w:rPr>
        <w:t xml:space="preserve">264 </w:t>
      </w:r>
      <w:r w:rsidRPr="009A3C86">
        <w:rPr>
          <w:rFonts w:ascii="Times New Roman" w:hAnsi="Times New Roman"/>
          <w:sz w:val="24"/>
          <w:szCs w:val="24"/>
          <w:lang w:val="en-US" w:eastAsia="pl-PL"/>
        </w:rPr>
        <w:t>§ 4 (art. 116 § 2</w:t>
      </w:r>
      <w:r w:rsidR="006F55C6" w:rsidRPr="009A3C86">
        <w:rPr>
          <w:rFonts w:ascii="Times New Roman" w:hAnsi="Times New Roman"/>
          <w:sz w:val="24"/>
          <w:szCs w:val="24"/>
          <w:lang w:val="en-US" w:eastAsia="pl-PL"/>
        </w:rPr>
        <w:t>a</w:t>
      </w:r>
      <w:r w:rsidRPr="009A3C86">
        <w:rPr>
          <w:rFonts w:ascii="Times New Roman" w:hAnsi="Times New Roman"/>
          <w:sz w:val="24"/>
          <w:szCs w:val="24"/>
          <w:lang w:val="en-US" w:eastAsia="pl-PL"/>
        </w:rPr>
        <w:t xml:space="preserve"> o.p.), art. </w:t>
      </w:r>
      <w:r w:rsidR="009C621E" w:rsidRPr="009A3C86">
        <w:rPr>
          <w:rFonts w:ascii="Times New Roman" w:hAnsi="Times New Roman"/>
          <w:sz w:val="24"/>
          <w:szCs w:val="24"/>
          <w:lang w:val="en-US" w:eastAsia="pl-PL"/>
        </w:rPr>
        <w:t xml:space="preserve">266 </w:t>
      </w:r>
      <w:r w:rsidRPr="009A3C86">
        <w:rPr>
          <w:rFonts w:ascii="Times New Roman" w:hAnsi="Times New Roman"/>
          <w:sz w:val="24"/>
          <w:szCs w:val="24"/>
          <w:lang w:val="en-US" w:eastAsia="pl-PL"/>
        </w:rPr>
        <w:t xml:space="preserve">§ 4 (art. 116a § 5 o.p.), art. </w:t>
      </w:r>
      <w:r w:rsidR="006A5C11" w:rsidRPr="009A3C86">
        <w:rPr>
          <w:rFonts w:ascii="Times New Roman" w:hAnsi="Times New Roman"/>
          <w:sz w:val="24"/>
          <w:szCs w:val="24"/>
          <w:lang w:eastAsia="pl-PL"/>
        </w:rPr>
        <w:t xml:space="preserve">272 </w:t>
      </w:r>
      <w:r w:rsidRPr="009A3C86">
        <w:rPr>
          <w:rFonts w:ascii="Times New Roman" w:hAnsi="Times New Roman"/>
          <w:sz w:val="24"/>
          <w:szCs w:val="24"/>
          <w:lang w:eastAsia="pl-PL"/>
        </w:rPr>
        <w:t>§ 4</w:t>
      </w:r>
      <w:r w:rsidR="00247839" w:rsidRPr="009A3C86">
        <w:rPr>
          <w:rFonts w:ascii="Times New Roman" w:hAnsi="Times New Roman"/>
          <w:sz w:val="24"/>
          <w:szCs w:val="24"/>
          <w:lang w:eastAsia="pl-PL"/>
        </w:rPr>
        <w:t xml:space="preserve"> i 5</w:t>
      </w:r>
      <w:r w:rsidRPr="009A3C86">
        <w:rPr>
          <w:rFonts w:ascii="Times New Roman" w:hAnsi="Times New Roman"/>
          <w:sz w:val="24"/>
          <w:szCs w:val="24"/>
          <w:lang w:eastAsia="pl-PL"/>
        </w:rPr>
        <w:t xml:space="preserve"> (art. 117d § 4</w:t>
      </w:r>
      <w:r w:rsidR="00247839" w:rsidRPr="009A3C86">
        <w:rPr>
          <w:rFonts w:ascii="Times New Roman" w:hAnsi="Times New Roman"/>
          <w:sz w:val="24"/>
          <w:szCs w:val="24"/>
          <w:lang w:eastAsia="pl-PL"/>
        </w:rPr>
        <w:t xml:space="preserve"> i 5</w:t>
      </w:r>
      <w:r w:rsidRPr="009A3C86">
        <w:rPr>
          <w:rFonts w:ascii="Times New Roman" w:hAnsi="Times New Roman"/>
          <w:sz w:val="24"/>
          <w:szCs w:val="24"/>
          <w:lang w:eastAsia="pl-PL"/>
        </w:rPr>
        <w:t xml:space="preserve"> o.p.). W art. </w:t>
      </w:r>
      <w:r w:rsidR="006A5C11" w:rsidRPr="009A3C86">
        <w:rPr>
          <w:rFonts w:ascii="Times New Roman" w:hAnsi="Times New Roman"/>
          <w:sz w:val="24"/>
          <w:szCs w:val="24"/>
          <w:lang w:eastAsia="pl-PL"/>
        </w:rPr>
        <w:t xml:space="preserve">252 </w:t>
      </w:r>
      <w:r w:rsidRPr="009A3C86">
        <w:rPr>
          <w:rFonts w:ascii="Times New Roman" w:hAnsi="Times New Roman"/>
          <w:sz w:val="24"/>
          <w:szCs w:val="24"/>
          <w:lang w:eastAsia="pl-PL"/>
        </w:rPr>
        <w:t xml:space="preserve">(art. 108 o.p.) sprecyzowano, że tak jak w obecnym stanie prawnym, jeżeli wysokość należności wynika z deklaracji podatkowej, postępowanie w sprawie odpowiedzialności osoby trzeciej za tę należność nie może zostać wszczęte przed dniem wszczęcia postępowania egzekucyjnego wobec podatnika, płatnika lub ich następcy prawnego, lub przed dniem odstąpienia od czynności zmierzających do zastosowania wobec nich środków egzekucyjnych, zgodnie z przepisami o postępowaniu egzekucyjnym w administracji, a jeżeli wysokość należności nie wynika z deklaracji podatkowej, postępowanie w sprawie odpowiedzialności osoby trzeciej może być wszczęte po doręczeniu decyzji określonych w art. </w:t>
      </w:r>
      <w:r w:rsidR="006A5C11" w:rsidRPr="009A3C86">
        <w:rPr>
          <w:rFonts w:ascii="Times New Roman" w:hAnsi="Times New Roman"/>
          <w:sz w:val="24"/>
          <w:szCs w:val="24"/>
          <w:lang w:eastAsia="pl-PL"/>
        </w:rPr>
        <w:t>251</w:t>
      </w:r>
      <w:r w:rsidR="00EA7836"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 2 pkt 2 powyższym podmiotom (art. 108 o.p.). Do wykazu decyzji wskazanych w aktualnie obowiązującym art. 108 § 2 pkt 2 o.p. dodano decyzję (art. </w:t>
      </w:r>
      <w:r w:rsidR="006A5C11" w:rsidRPr="009A3C86">
        <w:rPr>
          <w:rFonts w:ascii="Times New Roman" w:hAnsi="Times New Roman"/>
          <w:sz w:val="24"/>
          <w:szCs w:val="24"/>
          <w:lang w:eastAsia="pl-PL"/>
        </w:rPr>
        <w:t xml:space="preserve">251 </w:t>
      </w:r>
      <w:r w:rsidRPr="009A3C86">
        <w:rPr>
          <w:rFonts w:ascii="Times New Roman" w:hAnsi="Times New Roman"/>
          <w:sz w:val="24"/>
          <w:szCs w:val="24"/>
          <w:lang w:eastAsia="pl-PL"/>
        </w:rPr>
        <w:t xml:space="preserve">§ 2 </w:t>
      </w:r>
      <w:r w:rsidRPr="009A3C86">
        <w:rPr>
          <w:rFonts w:ascii="Times New Roman" w:hAnsi="Times New Roman"/>
          <w:sz w:val="24"/>
          <w:szCs w:val="24"/>
          <w:lang w:eastAsia="pl-PL"/>
        </w:rPr>
        <w:lastRenderedPageBreak/>
        <w:t xml:space="preserve">pkt 2 lit. c) o zakresie odpowiedzialności spadkobierców lub zapisobierców windykacyjnych, o której mowa w art. </w:t>
      </w:r>
      <w:r w:rsidR="006A5C11" w:rsidRPr="009A3C86">
        <w:rPr>
          <w:rFonts w:ascii="Times New Roman" w:hAnsi="Times New Roman"/>
          <w:sz w:val="24"/>
          <w:szCs w:val="24"/>
          <w:lang w:eastAsia="pl-PL"/>
        </w:rPr>
        <w:t xml:space="preserve">288 </w:t>
      </w:r>
      <w:r w:rsidRPr="009A3C86">
        <w:rPr>
          <w:rFonts w:ascii="Times New Roman" w:hAnsi="Times New Roman"/>
          <w:sz w:val="24"/>
          <w:szCs w:val="24"/>
          <w:lang w:eastAsia="pl-PL"/>
        </w:rPr>
        <w:t xml:space="preserve">§ 1, tak aby rozwiązanie to było spójne z art. </w:t>
      </w:r>
      <w:r w:rsidR="006A5C11" w:rsidRPr="009A3C86">
        <w:rPr>
          <w:rFonts w:ascii="Times New Roman" w:hAnsi="Times New Roman"/>
          <w:sz w:val="24"/>
          <w:szCs w:val="24"/>
          <w:lang w:eastAsia="pl-PL"/>
        </w:rPr>
        <w:t xml:space="preserve">253 </w:t>
      </w:r>
      <w:r w:rsidRPr="009A3C86">
        <w:rPr>
          <w:rFonts w:ascii="Times New Roman" w:hAnsi="Times New Roman"/>
          <w:sz w:val="24"/>
          <w:szCs w:val="24"/>
          <w:lang w:eastAsia="pl-PL"/>
        </w:rPr>
        <w:t xml:space="preserve">§ 1 (art. 107 § 1a o.p.).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Zauważyć tu trzeba, że przepis art. </w:t>
      </w:r>
      <w:r w:rsidR="006A5C11" w:rsidRPr="009A3C86">
        <w:rPr>
          <w:rFonts w:ascii="Times New Roman" w:hAnsi="Times New Roman"/>
          <w:sz w:val="24"/>
          <w:szCs w:val="24"/>
          <w:lang w:eastAsia="pl-PL"/>
        </w:rPr>
        <w:t xml:space="preserve">251 </w:t>
      </w:r>
      <w:r w:rsidRPr="009A3C86">
        <w:rPr>
          <w:rFonts w:ascii="Times New Roman" w:hAnsi="Times New Roman"/>
          <w:sz w:val="24"/>
          <w:szCs w:val="24"/>
          <w:lang w:eastAsia="pl-PL"/>
        </w:rPr>
        <w:t xml:space="preserve">§ 2 wskazuje na to, kiedy jest dopuszczalne wszczęcie postępowania w przedmiocie odpowiedzialności osoby trzeciej, a przepis art. </w:t>
      </w:r>
      <w:r w:rsidR="006A5C11" w:rsidRPr="009A3C86">
        <w:rPr>
          <w:rFonts w:ascii="Times New Roman" w:hAnsi="Times New Roman"/>
          <w:b/>
          <w:sz w:val="24"/>
          <w:szCs w:val="24"/>
          <w:lang w:eastAsia="pl-PL"/>
        </w:rPr>
        <w:t>252</w:t>
      </w:r>
      <w:r w:rsidR="006A5C11"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 kiedy dopuszczalne jest wydanie decyzji. Uznano też za celowe przeniesienie obecnego art. 108 § 4 o.p., jako przepisu w istocie dotyczącego momentu wszczęcia egzekucji administracyjnej należności ciążących na osobie trzeciej, do ustawy z dnia 17 czerwca 1966 r. o postępowaniu egzekucyjnym w administracji. Podkreślić trzeba, że do </w:t>
      </w:r>
      <w:r w:rsidR="006F55C6" w:rsidRPr="009A3C86">
        <w:rPr>
          <w:rFonts w:ascii="Times New Roman" w:hAnsi="Times New Roman"/>
          <w:sz w:val="24"/>
          <w:szCs w:val="24"/>
          <w:lang w:eastAsia="pl-PL"/>
        </w:rPr>
        <w:t>art.</w:t>
      </w:r>
      <w:r w:rsidRPr="009A3C86">
        <w:rPr>
          <w:rFonts w:ascii="Times New Roman" w:hAnsi="Times New Roman"/>
          <w:sz w:val="24"/>
          <w:szCs w:val="24"/>
          <w:lang w:eastAsia="pl-PL"/>
        </w:rPr>
        <w:t xml:space="preserve"> 5a u.p.e.a. przeniesiono regulacje zawarte w dotychczasowych art. 108 § 4 i art. </w:t>
      </w:r>
      <w:r w:rsidR="006F55C6" w:rsidRPr="009A3C86">
        <w:rPr>
          <w:rFonts w:ascii="Times New Roman" w:hAnsi="Times New Roman"/>
          <w:sz w:val="24"/>
          <w:szCs w:val="24"/>
          <w:lang w:eastAsia="pl-PL"/>
        </w:rPr>
        <w:t>1</w:t>
      </w:r>
      <w:r w:rsidRPr="009A3C86">
        <w:rPr>
          <w:rFonts w:ascii="Times New Roman" w:hAnsi="Times New Roman"/>
          <w:sz w:val="24"/>
          <w:szCs w:val="24"/>
          <w:lang w:eastAsia="pl-PL"/>
        </w:rPr>
        <w:t>17d § 1 zdanie drugie o.p. Przeniesienie tych przepisów do ustawy egzekucyjnej nie oznacza przełamania zasady, że odpowiedzialność osób trzecich jest odpowiedzialnością posiłkową, co oznacza, że „egzekucję do majątku osoby trzeciej można prowadzić dopiero wówczas, gdy egzekucja do majątku pierwotnego dłużnika okazała się w całości albo w części bezskuteczna”</w:t>
      </w:r>
      <w:r w:rsidRPr="009A3C86">
        <w:rPr>
          <w:rFonts w:ascii="Times New Roman" w:hAnsi="Times New Roman"/>
          <w:sz w:val="24"/>
          <w:szCs w:val="24"/>
          <w:vertAlign w:val="superscript"/>
          <w:lang w:eastAsia="pl-PL"/>
        </w:rPr>
        <w:footnoteReference w:id="300"/>
      </w:r>
      <w:r w:rsidRPr="009A3C86">
        <w:rPr>
          <w:rFonts w:ascii="Times New Roman" w:hAnsi="Times New Roman"/>
          <w:sz w:val="24"/>
          <w:szCs w:val="24"/>
          <w:lang w:eastAsia="pl-PL"/>
        </w:rPr>
        <w:t xml:space="preserve">. Regulacja ta nie stanowi też naruszenia art. </w:t>
      </w:r>
      <w:r w:rsidR="006A5C11" w:rsidRPr="009A3C86">
        <w:rPr>
          <w:rFonts w:ascii="Times New Roman" w:hAnsi="Times New Roman"/>
          <w:sz w:val="24"/>
          <w:szCs w:val="24"/>
          <w:lang w:eastAsia="pl-PL"/>
        </w:rPr>
        <w:t xml:space="preserve">249 </w:t>
      </w:r>
      <w:r w:rsidRPr="009A3C86">
        <w:rPr>
          <w:rFonts w:ascii="Times New Roman" w:hAnsi="Times New Roman"/>
          <w:sz w:val="24"/>
          <w:szCs w:val="24"/>
          <w:lang w:eastAsia="pl-PL"/>
        </w:rPr>
        <w:t>§ 1 projektu, albowiem przeniesiony przepis nie wprowadzał odrębnego przypadku odpowiedzialności osób trzecich. Zwrócić bowiem uwagę trzeba na to, że w ustawie tej jest przepis dotyczący prowadzenia egzekucji z tytułu odpowiedzialności podatkowej osób trzecich (art. 6 ust. 1d u.p.e.a.).</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6. Zgodnie z projektowanym (art. 109 o.p.) art. </w:t>
      </w:r>
      <w:r w:rsidR="006A5C11" w:rsidRPr="009A3C86">
        <w:rPr>
          <w:rFonts w:ascii="Times New Roman" w:hAnsi="Times New Roman"/>
          <w:b/>
          <w:color w:val="000000"/>
          <w:sz w:val="24"/>
          <w:szCs w:val="24"/>
          <w:lang w:eastAsia="pl-PL"/>
        </w:rPr>
        <w:t xml:space="preserve">253 </w:t>
      </w:r>
      <w:r w:rsidRPr="009A3C86">
        <w:rPr>
          <w:rFonts w:ascii="Times New Roman" w:hAnsi="Times New Roman"/>
          <w:b/>
          <w:color w:val="000000"/>
          <w:sz w:val="24"/>
          <w:szCs w:val="24"/>
          <w:lang w:eastAsia="pl-PL"/>
        </w:rPr>
        <w:t>§ 1</w:t>
      </w:r>
      <w:r w:rsidRPr="009A3C86">
        <w:rPr>
          <w:rFonts w:ascii="Times New Roman" w:hAnsi="Times New Roman"/>
          <w:color w:val="000000"/>
          <w:sz w:val="24"/>
          <w:szCs w:val="24"/>
          <w:lang w:eastAsia="pl-PL"/>
        </w:rPr>
        <w:t xml:space="preserve"> w sprawie odpowiedzialności podatkowej osoby trzeciej będą odpowiednio stosowane przepisy art. </w:t>
      </w:r>
      <w:r w:rsidR="006A5C11" w:rsidRPr="009A3C86">
        <w:rPr>
          <w:rFonts w:ascii="Times New Roman" w:hAnsi="Times New Roman"/>
          <w:color w:val="000000"/>
          <w:sz w:val="24"/>
          <w:szCs w:val="24"/>
          <w:lang w:val="en-US" w:eastAsia="pl-PL"/>
        </w:rPr>
        <w:t xml:space="preserve">125 </w:t>
      </w:r>
      <w:r w:rsidRPr="009A3C86">
        <w:rPr>
          <w:rFonts w:ascii="Times New Roman" w:hAnsi="Times New Roman"/>
          <w:color w:val="000000"/>
          <w:sz w:val="24"/>
          <w:szCs w:val="24"/>
          <w:lang w:val="en-US" w:eastAsia="pl-PL"/>
        </w:rPr>
        <w:t>§ 2 (47 § 1 o.p.),  art.</w:t>
      </w:r>
      <w:r w:rsidR="00FD19B5" w:rsidRPr="009A3C86">
        <w:rPr>
          <w:rFonts w:ascii="Times New Roman" w:hAnsi="Times New Roman"/>
          <w:color w:val="000000"/>
          <w:sz w:val="24"/>
          <w:szCs w:val="24"/>
          <w:lang w:val="en-US" w:eastAsia="pl-PL"/>
        </w:rPr>
        <w:t xml:space="preserve">160 </w:t>
      </w:r>
      <w:r w:rsidRPr="009A3C86">
        <w:rPr>
          <w:rFonts w:ascii="Times New Roman" w:hAnsi="Times New Roman"/>
          <w:color w:val="000000"/>
          <w:sz w:val="24"/>
          <w:szCs w:val="24"/>
          <w:lang w:val="en-US" w:eastAsia="pl-PL"/>
        </w:rPr>
        <w:t>(art.51 § 1 o.p.), art.</w:t>
      </w:r>
      <w:r w:rsidR="006A5C11" w:rsidRPr="009A3C86">
        <w:rPr>
          <w:rFonts w:ascii="Times New Roman" w:hAnsi="Times New Roman"/>
          <w:color w:val="000000"/>
          <w:sz w:val="24"/>
          <w:szCs w:val="24"/>
          <w:lang w:val="en-US" w:eastAsia="pl-PL"/>
        </w:rPr>
        <w:t xml:space="preserve">163 </w:t>
      </w:r>
      <w:r w:rsidRPr="009A3C86">
        <w:rPr>
          <w:rFonts w:ascii="Times New Roman" w:hAnsi="Times New Roman"/>
          <w:color w:val="000000"/>
          <w:sz w:val="24"/>
          <w:szCs w:val="24"/>
          <w:lang w:val="en-US" w:eastAsia="pl-PL"/>
        </w:rPr>
        <w:t>§ 2 (art. 53 § 3 o.p.),</w:t>
      </w:r>
      <w:r w:rsidR="00247839" w:rsidRPr="009A3C86">
        <w:rPr>
          <w:rFonts w:ascii="Times New Roman" w:hAnsi="Times New Roman"/>
          <w:color w:val="000000"/>
          <w:sz w:val="24"/>
          <w:szCs w:val="24"/>
          <w:lang w:val="en-US" w:eastAsia="pl-PL"/>
        </w:rPr>
        <w:t xml:space="preserve"> </w:t>
      </w:r>
      <w:r w:rsidRPr="009A3C86">
        <w:rPr>
          <w:rFonts w:ascii="Times New Roman" w:hAnsi="Times New Roman"/>
          <w:color w:val="000000"/>
          <w:sz w:val="24"/>
          <w:szCs w:val="24"/>
          <w:lang w:val="en-US" w:eastAsia="pl-PL"/>
        </w:rPr>
        <w:t xml:space="preserve">art. </w:t>
      </w:r>
      <w:r w:rsidR="006A5C11" w:rsidRPr="009A3C86">
        <w:rPr>
          <w:rFonts w:ascii="Times New Roman" w:hAnsi="Times New Roman"/>
          <w:color w:val="000000"/>
          <w:sz w:val="24"/>
          <w:szCs w:val="24"/>
          <w:lang w:val="en-US" w:eastAsia="pl-PL"/>
        </w:rPr>
        <w:t xml:space="preserve">165 </w:t>
      </w:r>
      <w:r w:rsidRPr="009A3C86">
        <w:rPr>
          <w:rFonts w:ascii="Times New Roman" w:hAnsi="Times New Roman"/>
          <w:color w:val="000000"/>
          <w:sz w:val="24"/>
          <w:szCs w:val="24"/>
          <w:lang w:val="en-US" w:eastAsia="pl-PL"/>
        </w:rPr>
        <w:t xml:space="preserve">(art. 54 o.p.), art. </w:t>
      </w:r>
      <w:r w:rsidR="006A5C11" w:rsidRPr="009A3C86">
        <w:rPr>
          <w:rFonts w:ascii="Times New Roman" w:hAnsi="Times New Roman"/>
          <w:color w:val="000000"/>
          <w:sz w:val="24"/>
          <w:szCs w:val="24"/>
          <w:lang w:val="en-US" w:eastAsia="pl-PL"/>
        </w:rPr>
        <w:t xml:space="preserve">166 </w:t>
      </w:r>
      <w:r w:rsidRPr="009A3C86">
        <w:rPr>
          <w:rFonts w:ascii="Times New Roman" w:hAnsi="Times New Roman"/>
          <w:color w:val="000000"/>
          <w:sz w:val="24"/>
          <w:szCs w:val="24"/>
          <w:lang w:val="en-US" w:eastAsia="pl-PL"/>
        </w:rPr>
        <w:t xml:space="preserve">(art. 55 o.p.), art. </w:t>
      </w:r>
      <w:r w:rsidR="006A5C11" w:rsidRPr="009A3C86">
        <w:rPr>
          <w:rFonts w:ascii="Times New Roman" w:hAnsi="Times New Roman"/>
          <w:color w:val="000000"/>
          <w:sz w:val="24"/>
          <w:szCs w:val="24"/>
          <w:lang w:val="en-US" w:eastAsia="pl-PL"/>
        </w:rPr>
        <w:t>205</w:t>
      </w:r>
      <w:r w:rsidRPr="009A3C86">
        <w:rPr>
          <w:rFonts w:ascii="Times New Roman" w:hAnsi="Times New Roman"/>
          <w:color w:val="000000"/>
          <w:sz w:val="24"/>
          <w:szCs w:val="24"/>
          <w:lang w:val="en-US" w:eastAsia="pl-PL"/>
        </w:rPr>
        <w:t>-</w:t>
      </w:r>
      <w:r w:rsidR="006A5C11" w:rsidRPr="009A3C86">
        <w:rPr>
          <w:rFonts w:ascii="Times New Roman" w:hAnsi="Times New Roman"/>
          <w:color w:val="000000"/>
          <w:sz w:val="24"/>
          <w:szCs w:val="24"/>
          <w:lang w:val="en-US" w:eastAsia="pl-PL"/>
        </w:rPr>
        <w:t xml:space="preserve">209 </w:t>
      </w:r>
      <w:r w:rsidRPr="009A3C86">
        <w:rPr>
          <w:rFonts w:ascii="Times New Roman" w:hAnsi="Times New Roman"/>
          <w:color w:val="000000"/>
          <w:sz w:val="24"/>
          <w:szCs w:val="24"/>
          <w:lang w:val="en-US" w:eastAsia="pl-PL"/>
        </w:rPr>
        <w:t xml:space="preserve">(76 i 76a o.p.), art. </w:t>
      </w:r>
      <w:r w:rsidR="00CE6458" w:rsidRPr="009A3C86">
        <w:rPr>
          <w:rFonts w:ascii="Times New Roman" w:hAnsi="Times New Roman"/>
          <w:color w:val="000000"/>
          <w:sz w:val="24"/>
          <w:szCs w:val="24"/>
          <w:lang w:eastAsia="pl-PL"/>
        </w:rPr>
        <w:t xml:space="preserve">233 (76b o.p.) i art. 239 (art. 57 o.p.). </w:t>
      </w:r>
      <w:r w:rsidRPr="009A3C86">
        <w:rPr>
          <w:rFonts w:ascii="Times New Roman" w:hAnsi="Times New Roman"/>
          <w:color w:val="000000"/>
          <w:sz w:val="24"/>
          <w:szCs w:val="24"/>
          <w:lang w:eastAsia="pl-PL"/>
        </w:rPr>
        <w:t>Pozostałe kwestie, o których mowa w art. 109 o.p. regulują przepisy art.</w:t>
      </w:r>
      <w:r w:rsidR="00FD19B5" w:rsidRPr="009A3C86">
        <w:rPr>
          <w:rFonts w:ascii="Times New Roman" w:hAnsi="Times New Roman"/>
          <w:color w:val="000000"/>
          <w:sz w:val="24"/>
          <w:szCs w:val="24"/>
          <w:lang w:eastAsia="pl-PL"/>
        </w:rPr>
        <w:t xml:space="preserve"> </w:t>
      </w:r>
      <w:r w:rsidR="006A5C11" w:rsidRPr="009A3C86">
        <w:rPr>
          <w:rFonts w:ascii="Times New Roman" w:hAnsi="Times New Roman"/>
          <w:color w:val="000000"/>
          <w:sz w:val="24"/>
          <w:szCs w:val="24"/>
          <w:lang w:eastAsia="pl-PL"/>
        </w:rPr>
        <w:t>154</w:t>
      </w:r>
      <w:r w:rsidRPr="009A3C86">
        <w:rPr>
          <w:rFonts w:ascii="Times New Roman" w:hAnsi="Times New Roman"/>
          <w:color w:val="000000"/>
          <w:sz w:val="24"/>
          <w:szCs w:val="24"/>
          <w:lang w:eastAsia="pl-PL"/>
        </w:rPr>
        <w:t xml:space="preserve">, art. </w:t>
      </w:r>
      <w:r w:rsidR="006A5C11" w:rsidRPr="009A3C86">
        <w:rPr>
          <w:rFonts w:ascii="Times New Roman" w:hAnsi="Times New Roman"/>
          <w:color w:val="000000"/>
          <w:sz w:val="24"/>
          <w:szCs w:val="24"/>
          <w:lang w:eastAsia="pl-PL"/>
        </w:rPr>
        <w:t xml:space="preserve">157 </w:t>
      </w:r>
      <w:r w:rsidRPr="009A3C86">
        <w:rPr>
          <w:rFonts w:ascii="Times New Roman" w:hAnsi="Times New Roman"/>
          <w:color w:val="000000"/>
          <w:sz w:val="24"/>
          <w:szCs w:val="24"/>
          <w:lang w:eastAsia="pl-PL"/>
        </w:rPr>
        <w:t xml:space="preserve">§ 2 i art. </w:t>
      </w:r>
      <w:r w:rsidR="006A5C11" w:rsidRPr="009A3C86">
        <w:rPr>
          <w:rFonts w:ascii="Times New Roman" w:hAnsi="Times New Roman"/>
          <w:color w:val="000000"/>
          <w:sz w:val="24"/>
          <w:szCs w:val="24"/>
          <w:lang w:eastAsia="pl-PL"/>
        </w:rPr>
        <w:t xml:space="preserve">250 </w:t>
      </w:r>
      <w:r w:rsidRPr="009A3C86">
        <w:rPr>
          <w:rFonts w:ascii="Times New Roman" w:hAnsi="Times New Roman"/>
          <w:color w:val="000000"/>
          <w:sz w:val="24"/>
          <w:szCs w:val="24"/>
          <w:lang w:eastAsia="pl-PL"/>
        </w:rPr>
        <w:t>projektu, gdyż odnoszą się wprost do osoby trzeciej.</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W razie niedotrzymania terminu płatności osoba trzecia odpowiadać będzie również za odsetki za zwłokę od należności objętych decyzją o jej odpowiedzialności (</w:t>
      </w:r>
      <w:r w:rsidR="00A93E0D" w:rsidRPr="009A3C86">
        <w:rPr>
          <w:rFonts w:ascii="Times New Roman" w:hAnsi="Times New Roman"/>
          <w:b/>
          <w:sz w:val="24"/>
          <w:szCs w:val="24"/>
          <w:lang w:eastAsia="pl-PL"/>
        </w:rPr>
        <w:t xml:space="preserve"> 253 </w:t>
      </w:r>
      <w:r w:rsidRPr="009A3C86">
        <w:rPr>
          <w:rFonts w:ascii="Times New Roman" w:hAnsi="Times New Roman"/>
          <w:b/>
          <w:sz w:val="24"/>
          <w:szCs w:val="24"/>
          <w:lang w:eastAsia="pl-PL"/>
        </w:rPr>
        <w:t>§ 2</w:t>
      </w:r>
      <w:r w:rsidRPr="009A3C86">
        <w:rPr>
          <w:rFonts w:ascii="Times New Roman" w:hAnsi="Times New Roman"/>
          <w:sz w:val="24"/>
          <w:szCs w:val="24"/>
          <w:lang w:eastAsia="pl-PL"/>
        </w:rPr>
        <w:t xml:space="preserve">). </w:t>
      </w:r>
    </w:p>
    <w:p w:rsidR="00741954" w:rsidRPr="009A3C86" w:rsidRDefault="00741954" w:rsidP="00D72E74">
      <w:pPr>
        <w:spacing w:after="12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Zgodnie z art. </w:t>
      </w:r>
      <w:r w:rsidR="00A93E0D" w:rsidRPr="009A3C86">
        <w:rPr>
          <w:rFonts w:ascii="Times New Roman" w:eastAsia="Times New Roman" w:hAnsi="Times New Roman"/>
          <w:b/>
          <w:sz w:val="24"/>
          <w:szCs w:val="24"/>
        </w:rPr>
        <w:t>254</w:t>
      </w:r>
      <w:r w:rsidRPr="009A3C86">
        <w:rPr>
          <w:rFonts w:ascii="Times New Roman" w:eastAsia="Times New Roman" w:hAnsi="Times New Roman"/>
          <w:b/>
          <w:sz w:val="24"/>
          <w:szCs w:val="24"/>
        </w:rPr>
        <w:t>-</w:t>
      </w:r>
      <w:r w:rsidR="00A93E0D" w:rsidRPr="009A3C86">
        <w:rPr>
          <w:rFonts w:ascii="Times New Roman" w:eastAsia="Times New Roman" w:hAnsi="Times New Roman"/>
          <w:b/>
          <w:sz w:val="24"/>
          <w:szCs w:val="24"/>
        </w:rPr>
        <w:t>255</w:t>
      </w:r>
      <w:r w:rsidR="00A93E0D"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będącymi zmodyfikowanymi i dostosowanymi do obowiązujących w projekcie przepisów o przedawnieniu wymiaru i poboru zobowiązań podatkowych, odpowiednikami obowiązującego aktualnie art. 118 § 1 i 2 o.p., doręczenie osobie trzeciej decyzji organu pierwszej instancji o jej odpowiedzialności nie wywoła skutków prawnych, jeżeli nastąpi po upływie 5 lat od dnia powstania zaległości podatkowej. Jest to rozwiązanie, </w:t>
      </w:r>
      <w:r w:rsidRPr="009A3C86">
        <w:rPr>
          <w:rFonts w:ascii="Times New Roman" w:eastAsia="Times New Roman" w:hAnsi="Times New Roman"/>
          <w:sz w:val="24"/>
          <w:szCs w:val="24"/>
        </w:rPr>
        <w:lastRenderedPageBreak/>
        <w:t>które usuwa wątpliwości w tym zakresie istniejące, na gruncie art. 118 § 1 i 2 o.p. Zauważyć tu jednak należy, że projektowane wyżej rozwiązanie aprobuje przeważający w orzecznictwie NSA pogląd, że „Przepis art. 118 § 1 o.p. nie przesądza wyraźnie kwestii, czy upływ przewidzianego w nim terminu należy wiązać z decyzją ostateczną, czy nieostateczną. Niewątpliwie jednak ustawodawca powiązał ten termin z «wydaniem decyzji o odpowiedzialności podatkowej osoby trzeciej, jeżeli od końca roku kalendarzowego, w którym powstała zaległość podatkowa, upłynęło 5 lat». Z wykładni systemowej tego przepisu wynika argument przemawiający za powiązaniem terminu 5 lat z decyzją wydaną przez organ podatkowy I instancji. Za takim stanowiskiem przemawia konstytutywny charakter decyzji przenoszącej na członka zarządu odpowiedzialność za zaległości podatkowe (wpłaty na PFRON) spółki kapitałowej oraz charakter terminu z art. 118 § 1 o.p.”</w:t>
      </w:r>
      <w:r w:rsidRPr="009A3C86">
        <w:rPr>
          <w:rFonts w:ascii="Times New Roman" w:eastAsia="Times New Roman" w:hAnsi="Times New Roman"/>
          <w:sz w:val="24"/>
          <w:szCs w:val="24"/>
          <w:vertAlign w:val="superscript"/>
        </w:rPr>
        <w:footnoteReference w:id="301"/>
      </w:r>
      <w:r w:rsidRPr="009A3C86">
        <w:rPr>
          <w:rFonts w:ascii="Times New Roman" w:eastAsia="Times New Roman" w:hAnsi="Times New Roman"/>
          <w:sz w:val="24"/>
          <w:szCs w:val="24"/>
        </w:rPr>
        <w:t>, aczkolwiek w projekcie skutek ten wiąże się z doręczeniem</w:t>
      </w:r>
      <w:r w:rsidR="006F55C6"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a nie tylko wydaniem decyzji organu pierwszej instancji</w:t>
      </w:r>
      <w:r w:rsidRPr="009A3C86">
        <w:rPr>
          <w:rFonts w:ascii="Times New Roman" w:eastAsia="Times New Roman" w:hAnsi="Times New Roman"/>
          <w:sz w:val="24"/>
          <w:szCs w:val="24"/>
          <w:vertAlign w:val="superscript"/>
        </w:rPr>
        <w:footnoteReference w:id="302"/>
      </w:r>
      <w:r w:rsidRPr="009A3C86">
        <w:rPr>
          <w:rFonts w:ascii="Times New Roman" w:eastAsia="Times New Roman" w:hAnsi="Times New Roman"/>
          <w:sz w:val="24"/>
          <w:szCs w:val="24"/>
        </w:rPr>
        <w:t xml:space="preserve">. Oznacza to, że organ odwoławczy po upływie terminu przedawnienia może tylko utrzymać zaskarżoną decyzję w mocy albo uchylić ją i zmniejszyć wysokość zaległości podatkowej lub zakres odpowiedzialności osoby trzeciej. Przepisy art. </w:t>
      </w:r>
      <w:r w:rsidR="00A93E0D" w:rsidRPr="009A3C86">
        <w:rPr>
          <w:rFonts w:ascii="Times New Roman" w:eastAsia="Times New Roman" w:hAnsi="Times New Roman"/>
          <w:sz w:val="24"/>
          <w:szCs w:val="24"/>
        </w:rPr>
        <w:t xml:space="preserve">254 </w:t>
      </w:r>
      <w:r w:rsidRPr="009A3C86">
        <w:rPr>
          <w:rFonts w:ascii="Times New Roman" w:eastAsia="Times New Roman" w:hAnsi="Times New Roman"/>
          <w:sz w:val="24"/>
          <w:szCs w:val="24"/>
        </w:rPr>
        <w:t xml:space="preserve">pkt 1 i 2 projektu są odpowiednikami art. 118 § 1 pkt 1 i 2 o.p. W art. </w:t>
      </w:r>
      <w:r w:rsidR="00A93E0D" w:rsidRPr="009A3C86">
        <w:rPr>
          <w:rFonts w:ascii="Times New Roman" w:eastAsia="Times New Roman" w:hAnsi="Times New Roman"/>
          <w:b/>
          <w:sz w:val="24"/>
          <w:szCs w:val="24"/>
        </w:rPr>
        <w:t>255</w:t>
      </w:r>
      <w:r w:rsidR="00A93E0D"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wskazano, że przedawnienie poboru zobowiązania wynikającego z decyzji, o której mowa w art. </w:t>
      </w:r>
      <w:r w:rsidR="00A93E0D" w:rsidRPr="009A3C86">
        <w:rPr>
          <w:rFonts w:ascii="Times New Roman" w:eastAsia="Times New Roman" w:hAnsi="Times New Roman"/>
          <w:sz w:val="24"/>
          <w:szCs w:val="24"/>
        </w:rPr>
        <w:t xml:space="preserve">251 </w:t>
      </w:r>
      <w:r w:rsidRPr="009A3C86">
        <w:rPr>
          <w:rFonts w:ascii="Times New Roman" w:eastAsia="Times New Roman" w:hAnsi="Times New Roman"/>
          <w:sz w:val="24"/>
          <w:szCs w:val="24"/>
        </w:rPr>
        <w:t>§ 1, nastąpi po upływie 3 lat, licząc od dnia, w którym ta decyzja stała się ostateczna. Oznacza to, że przedawnienie wymiaru, jak i przedawnienie poboru należności osoby trzeciej zostało uregulowane na podobnych zasadach jak przedawnienie wymiaru i przedawnienie poboru zobowiązań podatkowych podatników</w:t>
      </w:r>
      <w:r w:rsidRPr="009A3C86">
        <w:rPr>
          <w:rFonts w:ascii="Times New Roman" w:eastAsia="Times New Roman" w:hAnsi="Times New Roman"/>
          <w:sz w:val="24"/>
          <w:szCs w:val="24"/>
          <w:vertAlign w:val="superscript"/>
        </w:rPr>
        <w:footnoteReference w:id="303"/>
      </w:r>
      <w:r w:rsidRPr="009A3C86">
        <w:rPr>
          <w:rFonts w:ascii="Times New Roman" w:eastAsia="Times New Roman" w:hAnsi="Times New Roman"/>
          <w:sz w:val="24"/>
          <w:szCs w:val="24"/>
        </w:rPr>
        <w:t xml:space="preserve">. Zauważyć tu należy, że do osoby trzeciej będą miały zastosowanie te przepisy projektu, które odnoszą się do zobowiązanego (art. 13 pkt 23 projektu), jak np. art. </w:t>
      </w:r>
      <w:r w:rsidR="00A93E0D" w:rsidRPr="009A3C86">
        <w:rPr>
          <w:rFonts w:ascii="Times New Roman" w:eastAsia="Times New Roman" w:hAnsi="Times New Roman"/>
          <w:sz w:val="24"/>
          <w:szCs w:val="24"/>
        </w:rPr>
        <w:t xml:space="preserve">180 </w:t>
      </w:r>
      <w:r w:rsidRPr="009A3C86">
        <w:rPr>
          <w:rFonts w:ascii="Times New Roman" w:eastAsia="Times New Roman" w:hAnsi="Times New Roman"/>
          <w:sz w:val="24"/>
          <w:szCs w:val="24"/>
        </w:rPr>
        <w:t xml:space="preserve">pkt 4 i 8 projektu odnoszące się do zawieszenia biegu terminu przedawnienia poboru w przypadku wydania decyzji o odroczeniu terminu płatności podatku lub rozłożenia podatku na raty albo decyzji o odroczeniu terminu złożenia deklaracji, czy ogłoszeniu upadłości zobowiązanego, a także odpowiednio art. </w:t>
      </w:r>
      <w:r w:rsidR="00A93E0D" w:rsidRPr="009A3C86">
        <w:rPr>
          <w:rFonts w:ascii="Times New Roman" w:eastAsia="Times New Roman" w:hAnsi="Times New Roman"/>
          <w:sz w:val="24"/>
          <w:szCs w:val="24"/>
        </w:rPr>
        <w:t xml:space="preserve">183 </w:t>
      </w:r>
      <w:r w:rsidRPr="009A3C86">
        <w:rPr>
          <w:rFonts w:ascii="Times New Roman" w:eastAsia="Times New Roman" w:hAnsi="Times New Roman"/>
          <w:sz w:val="24"/>
          <w:szCs w:val="24"/>
        </w:rPr>
        <w:t>dotyczący przerwania biegu terminu przedawnienia.</w:t>
      </w:r>
    </w:p>
    <w:p w:rsidR="00741954" w:rsidRPr="009A3C86" w:rsidRDefault="00741954" w:rsidP="00741954">
      <w:pPr>
        <w:keepNext/>
        <w:keepLines/>
        <w:spacing w:after="0" w:line="360" w:lineRule="auto"/>
        <w:jc w:val="both"/>
        <w:outlineLvl w:val="3"/>
        <w:rPr>
          <w:rFonts w:ascii="Times New Roman" w:hAnsi="Times New Roman"/>
          <w:b/>
          <w:sz w:val="24"/>
          <w:szCs w:val="24"/>
        </w:rPr>
      </w:pPr>
      <w:bookmarkStart w:id="34" w:name="_Toc494363261"/>
      <w:r w:rsidRPr="009A3C86">
        <w:rPr>
          <w:rFonts w:ascii="Times New Roman" w:hAnsi="Times New Roman"/>
          <w:b/>
          <w:sz w:val="24"/>
          <w:szCs w:val="24"/>
        </w:rPr>
        <w:t>Oddział 2. Osoby trzecie i zakres ich odpowiedzialności</w:t>
      </w:r>
      <w:bookmarkEnd w:id="34"/>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color w:val="000000"/>
          <w:sz w:val="24"/>
          <w:szCs w:val="24"/>
          <w:lang w:eastAsia="pl-PL"/>
        </w:rPr>
        <w:t xml:space="preserve">1. Art. </w:t>
      </w:r>
      <w:r w:rsidR="00A93E0D" w:rsidRPr="009A3C86">
        <w:rPr>
          <w:rFonts w:ascii="Times New Roman" w:hAnsi="Times New Roman"/>
          <w:b/>
          <w:color w:val="000000"/>
          <w:sz w:val="24"/>
          <w:szCs w:val="24"/>
          <w:lang w:eastAsia="pl-PL"/>
        </w:rPr>
        <w:t>256</w:t>
      </w:r>
      <w:r w:rsidR="00A93E0D"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 xml:space="preserve">w niezmienionym,  w zasadzie w stosunku do dzisiejszego stanu prawnego, kształcie (art. 110 o.p.), poza koniecznością dostosowania go do rozwiązań obowiązujących w k.r.o., </w:t>
      </w:r>
      <w:r w:rsidRPr="009A3C86">
        <w:rPr>
          <w:rFonts w:ascii="Times New Roman" w:hAnsi="Times New Roman"/>
          <w:color w:val="000000"/>
          <w:sz w:val="24"/>
          <w:szCs w:val="24"/>
          <w:lang w:eastAsia="pl-PL"/>
        </w:rPr>
        <w:lastRenderedPageBreak/>
        <w:t xml:space="preserve">utrzymuje odpowiedzialność rozwiedzionego małżonka podatnika, podobnie jak art. </w:t>
      </w:r>
      <w:r w:rsidR="00A93E0D" w:rsidRPr="009A3C86">
        <w:rPr>
          <w:rFonts w:ascii="Times New Roman" w:hAnsi="Times New Roman"/>
          <w:color w:val="000000"/>
          <w:sz w:val="24"/>
          <w:szCs w:val="24"/>
          <w:lang w:eastAsia="pl-PL"/>
        </w:rPr>
        <w:t xml:space="preserve">257 </w:t>
      </w:r>
      <w:r w:rsidRPr="009A3C86">
        <w:rPr>
          <w:rFonts w:ascii="Times New Roman" w:hAnsi="Times New Roman"/>
          <w:color w:val="000000"/>
          <w:sz w:val="24"/>
          <w:szCs w:val="24"/>
          <w:lang w:eastAsia="pl-PL"/>
        </w:rPr>
        <w:t>utrzymuje obecne reguły odpowiedzialności nabywcy przedsiębiorstwa lub zorganizowanej części przedsiębiorstwa (art. 112 o.p.). Zmiana dotyczy momentu</w:t>
      </w:r>
      <w:r w:rsidR="006F55C6"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 xml:space="preserve"> na który należy określać wartość rynkową, tak aby nie było sporów na tym tle. Określenie użyte w art. </w:t>
      </w:r>
      <w:r w:rsidR="00A93E0D" w:rsidRPr="009A3C86">
        <w:rPr>
          <w:rFonts w:ascii="Times New Roman" w:hAnsi="Times New Roman"/>
          <w:color w:val="000000"/>
          <w:sz w:val="24"/>
          <w:szCs w:val="24"/>
          <w:lang w:eastAsia="pl-PL"/>
        </w:rPr>
        <w:t xml:space="preserve">256 </w:t>
      </w:r>
      <w:r w:rsidRPr="009A3C86">
        <w:rPr>
          <w:rFonts w:ascii="Times New Roman" w:hAnsi="Times New Roman"/>
          <w:color w:val="000000"/>
          <w:sz w:val="24"/>
          <w:szCs w:val="24"/>
          <w:lang w:eastAsia="pl-PL"/>
        </w:rPr>
        <w:t>§ 3</w:t>
      </w:r>
      <w:r w:rsidR="005E33F5"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(art. 11</w:t>
      </w:r>
      <w:r w:rsidR="005E33F5" w:rsidRPr="009A3C86">
        <w:rPr>
          <w:rFonts w:ascii="Times New Roman" w:hAnsi="Times New Roman"/>
          <w:color w:val="000000"/>
          <w:sz w:val="24"/>
          <w:szCs w:val="24"/>
          <w:lang w:eastAsia="pl-PL"/>
        </w:rPr>
        <w:t>0</w:t>
      </w:r>
      <w:r w:rsidRPr="009A3C86">
        <w:rPr>
          <w:rFonts w:ascii="Times New Roman" w:hAnsi="Times New Roman"/>
          <w:color w:val="000000"/>
          <w:sz w:val="24"/>
          <w:szCs w:val="24"/>
          <w:lang w:eastAsia="pl-PL"/>
        </w:rPr>
        <w:t xml:space="preserve"> § </w:t>
      </w:r>
      <w:r w:rsidR="005E33F5" w:rsidRPr="009A3C86">
        <w:rPr>
          <w:rFonts w:ascii="Times New Roman" w:hAnsi="Times New Roman"/>
          <w:color w:val="000000"/>
          <w:sz w:val="24"/>
          <w:szCs w:val="24"/>
          <w:lang w:eastAsia="pl-PL"/>
        </w:rPr>
        <w:t>1</w:t>
      </w:r>
      <w:r w:rsidRPr="009A3C86">
        <w:rPr>
          <w:rFonts w:ascii="Times New Roman" w:hAnsi="Times New Roman"/>
          <w:color w:val="000000"/>
          <w:sz w:val="24"/>
          <w:szCs w:val="24"/>
          <w:lang w:eastAsia="pl-PL"/>
        </w:rPr>
        <w:t xml:space="preserve"> o.p.) projektu „z dnia ustania wspólności majątkowej” oznacza, że z chwilą uprawomocnienia się orzeczenia o rozwiązaniu małżeństwa przez rozwód ustaje wspólność majątkowa małżeńska</w:t>
      </w:r>
      <w:r w:rsidR="006F55C6"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 xml:space="preserve"> a powstaje ustrój rozdzielności majątkowej. Zagadnienie to, w zakresie określenia momentu ustalenia wartości rynkowej podobnie uregulowano w art.</w:t>
      </w:r>
      <w:r w:rsidR="006F55C6" w:rsidRPr="009A3C86">
        <w:rPr>
          <w:rFonts w:ascii="Times New Roman" w:hAnsi="Times New Roman"/>
          <w:color w:val="000000"/>
          <w:sz w:val="24"/>
          <w:szCs w:val="24"/>
          <w:lang w:eastAsia="pl-PL"/>
        </w:rPr>
        <w:t xml:space="preserve"> </w:t>
      </w:r>
      <w:r w:rsidR="009956C4" w:rsidRPr="009A3C86">
        <w:rPr>
          <w:rFonts w:ascii="Times New Roman" w:hAnsi="Times New Roman"/>
          <w:color w:val="000000"/>
          <w:sz w:val="24"/>
          <w:szCs w:val="24"/>
          <w:lang w:eastAsia="pl-PL"/>
        </w:rPr>
        <w:t xml:space="preserve">273 </w:t>
      </w:r>
      <w:r w:rsidRPr="009A3C86">
        <w:rPr>
          <w:rFonts w:ascii="Times New Roman" w:hAnsi="Times New Roman"/>
          <w:color w:val="000000"/>
          <w:sz w:val="24"/>
          <w:szCs w:val="24"/>
          <w:lang w:eastAsia="pl-PL"/>
        </w:rPr>
        <w:t>(art.</w:t>
      </w:r>
      <w:r w:rsidR="006F55C6"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 xml:space="preserve">106 o.p.), a także w art. </w:t>
      </w:r>
      <w:r w:rsidR="009956C4" w:rsidRPr="009A3C86">
        <w:rPr>
          <w:rFonts w:ascii="Times New Roman" w:hAnsi="Times New Roman"/>
          <w:color w:val="000000"/>
          <w:sz w:val="24"/>
          <w:szCs w:val="24"/>
          <w:lang w:eastAsia="pl-PL"/>
        </w:rPr>
        <w:t xml:space="preserve">261 </w:t>
      </w:r>
      <w:r w:rsidRPr="009A3C86">
        <w:rPr>
          <w:rFonts w:ascii="Times New Roman" w:hAnsi="Times New Roman"/>
          <w:color w:val="000000"/>
          <w:sz w:val="24"/>
          <w:szCs w:val="24"/>
          <w:lang w:eastAsia="pl-PL"/>
        </w:rPr>
        <w:t xml:space="preserve">(art. 114 § 3 o.p.) projektu. To samo dotyczy odpowiednika dzisiejszego przepisu art. 112c o.p., art. </w:t>
      </w:r>
      <w:r w:rsidR="009956C4" w:rsidRPr="009A3C86">
        <w:rPr>
          <w:rFonts w:ascii="Times New Roman" w:hAnsi="Times New Roman"/>
          <w:color w:val="000000"/>
          <w:sz w:val="24"/>
          <w:szCs w:val="24"/>
          <w:lang w:eastAsia="pl-PL"/>
        </w:rPr>
        <w:t xml:space="preserve">259 </w:t>
      </w:r>
      <w:r w:rsidRPr="009A3C86">
        <w:rPr>
          <w:rFonts w:ascii="Times New Roman" w:hAnsi="Times New Roman"/>
          <w:b/>
          <w:color w:val="000000"/>
          <w:sz w:val="24"/>
          <w:szCs w:val="24"/>
          <w:lang w:eastAsia="pl-PL"/>
        </w:rPr>
        <w:t>§ 2</w:t>
      </w:r>
      <w:r w:rsidRPr="009A3C86">
        <w:rPr>
          <w:rFonts w:ascii="Times New Roman" w:hAnsi="Times New Roman"/>
          <w:color w:val="000000"/>
          <w:sz w:val="24"/>
          <w:szCs w:val="24"/>
          <w:lang w:eastAsia="pl-PL"/>
        </w:rPr>
        <w:t xml:space="preserve"> projektu, w myśl którego</w:t>
      </w:r>
      <w:r w:rsidRPr="009A3C86">
        <w:rPr>
          <w:rFonts w:ascii="Times New Roman" w:hAnsi="Times New Roman"/>
          <w:sz w:val="24"/>
          <w:szCs w:val="24"/>
          <w:lang w:eastAsia="pl-PL"/>
        </w:rPr>
        <w:t xml:space="preserve"> jednoosobowa spółka kapitałowa powstała w wyniku przekształcenia przedsiębiorcy będącego osobą fizyczną odpowiada za powstałe do dnia przekształcenia zaległości podatkowe tego przedsiębiorcy związane z prowadzoną działalnością gospodarczą solidarnie z tą osobą fizyczną. Zauważyć tu należy, że w projektowanym art. </w:t>
      </w:r>
      <w:r w:rsidR="009956C4" w:rsidRPr="009A3C86">
        <w:rPr>
          <w:rFonts w:ascii="Times New Roman" w:hAnsi="Times New Roman"/>
          <w:sz w:val="24"/>
          <w:szCs w:val="24"/>
          <w:lang w:eastAsia="pl-PL"/>
        </w:rPr>
        <w:t xml:space="preserve">275 </w:t>
      </w:r>
      <w:r w:rsidRPr="009A3C86">
        <w:rPr>
          <w:rFonts w:ascii="Times New Roman" w:hAnsi="Times New Roman"/>
          <w:sz w:val="24"/>
          <w:szCs w:val="24"/>
          <w:lang w:eastAsia="pl-PL"/>
        </w:rPr>
        <w:t xml:space="preserve">§ </w:t>
      </w:r>
      <w:r w:rsidR="006F55C6" w:rsidRPr="009A3C86">
        <w:rPr>
          <w:rFonts w:ascii="Times New Roman" w:hAnsi="Times New Roman"/>
          <w:sz w:val="24"/>
          <w:szCs w:val="24"/>
          <w:lang w:eastAsia="pl-PL"/>
        </w:rPr>
        <w:t>4</w:t>
      </w:r>
      <w:r w:rsidRPr="009A3C86">
        <w:rPr>
          <w:rFonts w:ascii="Times New Roman" w:hAnsi="Times New Roman"/>
          <w:sz w:val="24"/>
          <w:szCs w:val="24"/>
          <w:lang w:eastAsia="pl-PL"/>
        </w:rPr>
        <w:t xml:space="preserve"> (art. 93a § 4 o.p.) obowiązuje zasada, że w zakresie uprawnień przysługujących dotychczasowemu przedsiębiorcy dochodzi do następstwa prawnego jednoosobowej spółki kapitałowej, natomiast co do zobowiązań – dojdzie do odpowiedzialności osób trzecich na podstawie art. </w:t>
      </w:r>
      <w:r w:rsidR="001B1D40" w:rsidRPr="009A3C86">
        <w:rPr>
          <w:rFonts w:ascii="Times New Roman" w:hAnsi="Times New Roman"/>
          <w:sz w:val="24"/>
          <w:szCs w:val="24"/>
          <w:lang w:eastAsia="pl-PL"/>
        </w:rPr>
        <w:t>258</w:t>
      </w:r>
      <w:r w:rsidRPr="009A3C86">
        <w:rPr>
          <w:rFonts w:ascii="Times New Roman" w:hAnsi="Times New Roman"/>
          <w:sz w:val="24"/>
          <w:szCs w:val="24"/>
          <w:lang w:eastAsia="pl-PL"/>
        </w:rPr>
        <w:t>projektu. Jest to uzasadnione tym, że dotychczasowy podmiot, czyli osoba fizyczna nie utraciła podmiotowości prawnej</w:t>
      </w:r>
      <w:r w:rsidRPr="009A3C86">
        <w:rPr>
          <w:rFonts w:ascii="Times New Roman" w:hAnsi="Times New Roman"/>
          <w:sz w:val="24"/>
          <w:szCs w:val="24"/>
          <w:vertAlign w:val="superscript"/>
          <w:lang w:eastAsia="pl-PL"/>
        </w:rPr>
        <w:footnoteReference w:id="304"/>
      </w:r>
      <w:r w:rsidRPr="009A3C86">
        <w:rPr>
          <w:rFonts w:ascii="Times New Roman" w:hAnsi="Times New Roman"/>
          <w:sz w:val="24"/>
          <w:szCs w:val="24"/>
          <w:lang w:eastAsia="pl-PL"/>
        </w:rPr>
        <w:t>. Zgodnie z art. </w:t>
      </w:r>
      <w:r w:rsidR="001B1D40" w:rsidRPr="009A3C86">
        <w:rPr>
          <w:rFonts w:ascii="Times New Roman" w:hAnsi="Times New Roman"/>
          <w:sz w:val="24"/>
          <w:szCs w:val="24"/>
          <w:lang w:eastAsia="pl-PL"/>
        </w:rPr>
        <w:t>259</w:t>
      </w:r>
      <w:r w:rsidR="00FD19B5"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(obecny art. 112c o.p.) spółka niemająca osobowości prawnej, do której osoba fizyczna wniosła na pokrycie udziału swoje przedsiębiorstwo, odpowiadać będzie – tak jak dotychczas – za zaległości podatkowe powstałe do dnia wniesienia przedsiębiorstwa, a związane z wniesionym przedsiębiorstwem. Regulacja ta jest także konsekwencją dalszego istnienia podmiotów tam określonych i ma związek z przepisem wprowadzającym następstwo prawne w zakresie praw wniesionego przedsiębiorstwa (art. </w:t>
      </w:r>
      <w:r w:rsidR="001B1D40" w:rsidRPr="009A3C86">
        <w:rPr>
          <w:rFonts w:ascii="Times New Roman" w:hAnsi="Times New Roman"/>
          <w:sz w:val="24"/>
          <w:szCs w:val="24"/>
          <w:lang w:eastAsia="pl-PL"/>
        </w:rPr>
        <w:t xml:space="preserve">277 </w:t>
      </w:r>
      <w:r w:rsidRPr="009A3C86">
        <w:rPr>
          <w:rFonts w:ascii="Times New Roman" w:hAnsi="Times New Roman"/>
          <w:sz w:val="24"/>
          <w:szCs w:val="24"/>
          <w:lang w:eastAsia="pl-PL"/>
        </w:rPr>
        <w:t xml:space="preserve">§ 1). Odpowiedzialność tych podmiotów będzie jednak ograniczona do wartości rynkowej wniesionego przedsiębiorstwa. </w:t>
      </w:r>
      <w:r w:rsidRPr="009A3C86">
        <w:rPr>
          <w:rFonts w:ascii="Times New Roman" w:hAnsi="Times New Roman"/>
          <w:sz w:val="24"/>
          <w:szCs w:val="24"/>
          <w:lang w:val="en-US" w:eastAsia="pl-PL"/>
        </w:rPr>
        <w:t xml:space="preserve">Przepisy art. </w:t>
      </w:r>
      <w:r w:rsidR="00CE6458" w:rsidRPr="009A3C86">
        <w:rPr>
          <w:rFonts w:ascii="Times New Roman" w:hAnsi="Times New Roman"/>
          <w:sz w:val="24"/>
          <w:szCs w:val="24"/>
          <w:lang w:val="en-US" w:eastAsia="pl-PL"/>
        </w:rPr>
        <w:t>259</w:t>
      </w:r>
      <w:r w:rsidRPr="009A3C86">
        <w:rPr>
          <w:rFonts w:ascii="Times New Roman" w:hAnsi="Times New Roman"/>
          <w:sz w:val="24"/>
          <w:szCs w:val="24"/>
          <w:lang w:val="en-US" w:eastAsia="pl-PL"/>
        </w:rPr>
        <w:t>, art.</w:t>
      </w:r>
      <w:r w:rsidR="00CE6458" w:rsidRPr="009A3C86">
        <w:rPr>
          <w:rFonts w:ascii="Times New Roman" w:hAnsi="Times New Roman"/>
          <w:sz w:val="24"/>
          <w:szCs w:val="24"/>
          <w:lang w:val="en-US" w:eastAsia="pl-PL"/>
        </w:rPr>
        <w:t xml:space="preserve"> 259</w:t>
      </w:r>
      <w:r w:rsidRPr="009A3C86">
        <w:rPr>
          <w:rFonts w:ascii="Times New Roman" w:hAnsi="Times New Roman"/>
          <w:sz w:val="24"/>
          <w:szCs w:val="24"/>
          <w:lang w:val="en-US" w:eastAsia="pl-PL"/>
        </w:rPr>
        <w:t>, art</w:t>
      </w:r>
      <w:r w:rsidR="00CE6458" w:rsidRPr="009A3C86">
        <w:rPr>
          <w:rFonts w:ascii="Times New Roman" w:hAnsi="Times New Roman"/>
          <w:sz w:val="24"/>
          <w:szCs w:val="24"/>
          <w:lang w:val="en-US" w:eastAsia="pl-PL"/>
        </w:rPr>
        <w:t>.</w:t>
      </w:r>
      <w:r w:rsidRPr="009A3C86">
        <w:rPr>
          <w:rFonts w:ascii="Times New Roman" w:hAnsi="Times New Roman"/>
          <w:sz w:val="24"/>
          <w:szCs w:val="24"/>
          <w:lang w:val="en-US" w:eastAsia="pl-PL"/>
        </w:rPr>
        <w:t xml:space="preserve"> </w:t>
      </w:r>
      <w:r w:rsidR="00CE6458" w:rsidRPr="009A3C86">
        <w:rPr>
          <w:rFonts w:ascii="Times New Roman" w:hAnsi="Times New Roman"/>
          <w:sz w:val="24"/>
          <w:szCs w:val="24"/>
          <w:lang w:val="en-US" w:eastAsia="pl-PL"/>
        </w:rPr>
        <w:t>260</w:t>
      </w:r>
      <w:r w:rsidRPr="009A3C86">
        <w:rPr>
          <w:rFonts w:ascii="Times New Roman" w:hAnsi="Times New Roman"/>
          <w:sz w:val="24"/>
          <w:szCs w:val="24"/>
          <w:lang w:val="en-US" w:eastAsia="pl-PL"/>
        </w:rPr>
        <w:t xml:space="preserve">, art. </w:t>
      </w:r>
      <w:r w:rsidR="00CE6458" w:rsidRPr="009A3C86">
        <w:rPr>
          <w:rFonts w:ascii="Times New Roman" w:hAnsi="Times New Roman"/>
          <w:sz w:val="24"/>
          <w:szCs w:val="24"/>
          <w:lang w:val="en-US" w:eastAsia="pl-PL"/>
        </w:rPr>
        <w:t>261</w:t>
      </w:r>
      <w:r w:rsidRPr="009A3C86">
        <w:rPr>
          <w:rFonts w:ascii="Times New Roman" w:hAnsi="Times New Roman"/>
          <w:sz w:val="24"/>
          <w:szCs w:val="24"/>
          <w:lang w:val="en-US" w:eastAsia="pl-PL"/>
        </w:rPr>
        <w:t xml:space="preserve">, art. </w:t>
      </w:r>
      <w:r w:rsidR="00CE6458" w:rsidRPr="009A3C86">
        <w:rPr>
          <w:rFonts w:ascii="Times New Roman" w:hAnsi="Times New Roman"/>
          <w:sz w:val="24"/>
          <w:szCs w:val="24"/>
          <w:lang w:val="en-US" w:eastAsia="pl-PL"/>
        </w:rPr>
        <w:t>262</w:t>
      </w:r>
      <w:r w:rsidRPr="009A3C86">
        <w:rPr>
          <w:rFonts w:ascii="Times New Roman" w:hAnsi="Times New Roman"/>
          <w:sz w:val="24"/>
          <w:szCs w:val="24"/>
          <w:lang w:val="en-US" w:eastAsia="pl-PL"/>
        </w:rPr>
        <w:t xml:space="preserve">, art. </w:t>
      </w:r>
      <w:r w:rsidR="00CE6458" w:rsidRPr="009A3C86">
        <w:rPr>
          <w:rFonts w:ascii="Times New Roman" w:hAnsi="Times New Roman"/>
          <w:sz w:val="24"/>
          <w:szCs w:val="24"/>
          <w:lang w:val="en-US" w:eastAsia="pl-PL"/>
        </w:rPr>
        <w:t>263</w:t>
      </w:r>
      <w:r w:rsidRPr="009A3C86">
        <w:rPr>
          <w:rFonts w:ascii="Times New Roman" w:hAnsi="Times New Roman"/>
          <w:sz w:val="24"/>
          <w:szCs w:val="24"/>
          <w:lang w:val="en-US" w:eastAsia="pl-PL"/>
        </w:rPr>
        <w:t xml:space="preserve">, art. </w:t>
      </w:r>
      <w:r w:rsidR="00CE6458" w:rsidRPr="009A3C86">
        <w:rPr>
          <w:rFonts w:ascii="Times New Roman" w:hAnsi="Times New Roman"/>
          <w:sz w:val="24"/>
          <w:szCs w:val="24"/>
          <w:lang w:val="en-US" w:eastAsia="pl-PL"/>
        </w:rPr>
        <w:t>264</w:t>
      </w:r>
      <w:r w:rsidRPr="009A3C86">
        <w:rPr>
          <w:rFonts w:ascii="Times New Roman" w:hAnsi="Times New Roman"/>
          <w:sz w:val="24"/>
          <w:szCs w:val="24"/>
          <w:lang w:val="en-US" w:eastAsia="pl-PL"/>
        </w:rPr>
        <w:t xml:space="preserve">, art. </w:t>
      </w:r>
      <w:r w:rsidR="00CE6458" w:rsidRPr="009A3C86">
        <w:rPr>
          <w:rFonts w:ascii="Times New Roman" w:hAnsi="Times New Roman"/>
          <w:sz w:val="24"/>
          <w:szCs w:val="24"/>
          <w:lang w:val="en-US" w:eastAsia="pl-PL"/>
        </w:rPr>
        <w:t>265</w:t>
      </w:r>
      <w:r w:rsidRPr="009A3C86">
        <w:rPr>
          <w:rFonts w:ascii="Times New Roman" w:hAnsi="Times New Roman"/>
          <w:sz w:val="24"/>
          <w:szCs w:val="24"/>
          <w:lang w:val="en-US" w:eastAsia="pl-PL"/>
        </w:rPr>
        <w:t xml:space="preserve">, art. </w:t>
      </w:r>
      <w:r w:rsidR="00CE6458" w:rsidRPr="009A3C86">
        <w:rPr>
          <w:rFonts w:ascii="Times New Roman" w:hAnsi="Times New Roman"/>
          <w:sz w:val="24"/>
          <w:szCs w:val="24"/>
          <w:lang w:val="en-US" w:eastAsia="pl-PL"/>
        </w:rPr>
        <w:t>266</w:t>
      </w:r>
      <w:r w:rsidRPr="009A3C86">
        <w:rPr>
          <w:rFonts w:ascii="Times New Roman" w:hAnsi="Times New Roman"/>
          <w:sz w:val="24"/>
          <w:szCs w:val="24"/>
          <w:lang w:val="en-US" w:eastAsia="pl-PL"/>
        </w:rPr>
        <w:t>, art.</w:t>
      </w:r>
      <w:r w:rsidR="00CE6458" w:rsidRPr="009A3C86">
        <w:rPr>
          <w:rFonts w:ascii="Times New Roman" w:hAnsi="Times New Roman"/>
          <w:sz w:val="24"/>
          <w:szCs w:val="24"/>
          <w:lang w:val="en-US" w:eastAsia="pl-PL"/>
        </w:rPr>
        <w:t xml:space="preserve"> 267</w:t>
      </w:r>
      <w:r w:rsidRPr="009A3C86">
        <w:rPr>
          <w:rFonts w:ascii="Times New Roman" w:hAnsi="Times New Roman"/>
          <w:sz w:val="24"/>
          <w:szCs w:val="24"/>
          <w:lang w:val="en-US" w:eastAsia="pl-PL"/>
        </w:rPr>
        <w:t xml:space="preserve">, art. </w:t>
      </w:r>
      <w:r w:rsidR="003C5D16" w:rsidRPr="009A3C86">
        <w:rPr>
          <w:rFonts w:ascii="Times New Roman" w:hAnsi="Times New Roman"/>
          <w:sz w:val="24"/>
          <w:szCs w:val="24"/>
          <w:lang w:eastAsia="pl-PL"/>
        </w:rPr>
        <w:t>268</w:t>
      </w:r>
      <w:r w:rsidRPr="009A3C86">
        <w:rPr>
          <w:rFonts w:ascii="Times New Roman" w:hAnsi="Times New Roman"/>
          <w:sz w:val="24"/>
          <w:szCs w:val="24"/>
          <w:lang w:eastAsia="pl-PL"/>
        </w:rPr>
        <w:t xml:space="preserve">, art. </w:t>
      </w:r>
      <w:r w:rsidR="003C5D16" w:rsidRPr="009A3C86">
        <w:rPr>
          <w:rFonts w:ascii="Times New Roman" w:hAnsi="Times New Roman"/>
          <w:sz w:val="24"/>
          <w:szCs w:val="24"/>
          <w:lang w:eastAsia="pl-PL"/>
        </w:rPr>
        <w:t>269</w:t>
      </w:r>
      <w:r w:rsidRPr="009A3C86">
        <w:rPr>
          <w:rFonts w:ascii="Times New Roman" w:hAnsi="Times New Roman"/>
          <w:sz w:val="24"/>
          <w:szCs w:val="24"/>
          <w:lang w:eastAsia="pl-PL"/>
        </w:rPr>
        <w:t xml:space="preserve">, art. </w:t>
      </w:r>
      <w:r w:rsidR="003C5D16" w:rsidRPr="009A3C86">
        <w:rPr>
          <w:rFonts w:ascii="Times New Roman" w:hAnsi="Times New Roman"/>
          <w:sz w:val="24"/>
          <w:szCs w:val="24"/>
          <w:lang w:eastAsia="pl-PL"/>
        </w:rPr>
        <w:t>270</w:t>
      </w:r>
      <w:r w:rsidRPr="009A3C86">
        <w:rPr>
          <w:rFonts w:ascii="Times New Roman" w:hAnsi="Times New Roman"/>
          <w:sz w:val="24"/>
          <w:szCs w:val="24"/>
          <w:lang w:eastAsia="pl-PL"/>
        </w:rPr>
        <w:t xml:space="preserve">, art. </w:t>
      </w:r>
      <w:r w:rsidR="003C5D16" w:rsidRPr="009A3C86">
        <w:rPr>
          <w:rFonts w:ascii="Times New Roman" w:hAnsi="Times New Roman"/>
          <w:sz w:val="24"/>
          <w:szCs w:val="24"/>
          <w:lang w:eastAsia="pl-PL"/>
        </w:rPr>
        <w:t>271</w:t>
      </w:r>
      <w:r w:rsidRPr="009A3C86">
        <w:rPr>
          <w:rFonts w:ascii="Times New Roman" w:hAnsi="Times New Roman"/>
          <w:sz w:val="24"/>
          <w:szCs w:val="24"/>
          <w:lang w:eastAsia="pl-PL"/>
        </w:rPr>
        <w:t xml:space="preserve">, art. </w:t>
      </w:r>
      <w:r w:rsidR="003C5D16" w:rsidRPr="009A3C86">
        <w:rPr>
          <w:rFonts w:ascii="Times New Roman" w:hAnsi="Times New Roman"/>
          <w:sz w:val="24"/>
          <w:szCs w:val="24"/>
          <w:lang w:eastAsia="pl-PL"/>
        </w:rPr>
        <w:t xml:space="preserve">272 </w:t>
      </w:r>
      <w:r w:rsidRPr="009A3C86">
        <w:rPr>
          <w:rFonts w:ascii="Times New Roman" w:hAnsi="Times New Roman"/>
          <w:sz w:val="24"/>
          <w:szCs w:val="24"/>
          <w:lang w:eastAsia="pl-PL"/>
        </w:rPr>
        <w:t xml:space="preserve">i art. </w:t>
      </w:r>
      <w:r w:rsidR="003C5D16" w:rsidRPr="009A3C86">
        <w:rPr>
          <w:rFonts w:ascii="Times New Roman" w:hAnsi="Times New Roman"/>
          <w:sz w:val="24"/>
          <w:szCs w:val="24"/>
          <w:lang w:eastAsia="pl-PL"/>
        </w:rPr>
        <w:t>273</w:t>
      </w:r>
      <w:r w:rsidR="00FD19B5"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należy rozumieć z uwzględnieniem art. </w:t>
      </w:r>
      <w:r w:rsidR="00511E14" w:rsidRPr="009A3C86">
        <w:rPr>
          <w:rFonts w:ascii="Times New Roman" w:hAnsi="Times New Roman"/>
          <w:sz w:val="24"/>
          <w:szCs w:val="24"/>
          <w:lang w:eastAsia="pl-PL"/>
        </w:rPr>
        <w:t xml:space="preserve">249 </w:t>
      </w:r>
      <w:r w:rsidRPr="009A3C86">
        <w:rPr>
          <w:rFonts w:ascii="Times New Roman" w:hAnsi="Times New Roman"/>
          <w:sz w:val="24"/>
          <w:szCs w:val="24"/>
          <w:lang w:eastAsia="pl-PL"/>
        </w:rPr>
        <w:t xml:space="preserve">§ 3, co oznacza, że odpowiedzialność tych podmiotów i osób trzecich będzie odpowiedzialnością solidarną. </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Zauważyć należy, że w dotychczasowych przepisach art. 110 § 1 i art. 112 § 3 o.p. jest mowa o ograniczeniu zakresu odpowiedzialności osób trzecich, których ta odpowiedzialność dotyczy, do wartości odpowiednio udziału w majątku wspólnym, jaki przypadł rozwiedzionemu </w:t>
      </w:r>
      <w:r w:rsidRPr="009A3C86">
        <w:rPr>
          <w:rFonts w:ascii="Times New Roman" w:hAnsi="Times New Roman"/>
          <w:sz w:val="24"/>
          <w:szCs w:val="24"/>
          <w:lang w:eastAsia="pl-PL"/>
        </w:rPr>
        <w:lastRenderedPageBreak/>
        <w:t>współmałżonkowi podatnika, czy nabytego przedsiębiorstwa lub jego zorganizowanej części albo udziałów w nich. W zakresie rozumienia pojęcia wartość w orzecznictwie sądów administracyjnych nie budzi wątpliwości, że w przypadkach tych chodzi o wartość rynkową</w:t>
      </w:r>
      <w:r w:rsidRPr="009A3C86">
        <w:rPr>
          <w:rFonts w:ascii="Times New Roman" w:hAnsi="Times New Roman"/>
          <w:sz w:val="24"/>
          <w:szCs w:val="24"/>
          <w:vertAlign w:val="superscript"/>
          <w:lang w:eastAsia="pl-PL"/>
        </w:rPr>
        <w:footnoteReference w:id="305"/>
      </w:r>
      <w:r w:rsidRPr="009A3C86">
        <w:rPr>
          <w:rFonts w:ascii="Times New Roman" w:hAnsi="Times New Roman"/>
          <w:sz w:val="24"/>
          <w:szCs w:val="24"/>
          <w:lang w:eastAsia="pl-PL"/>
        </w:rPr>
        <w:t>. Podobnie określenie to rozumie się w piśmiennictwie</w:t>
      </w:r>
      <w:r w:rsidRPr="009A3C86">
        <w:rPr>
          <w:rFonts w:ascii="Times New Roman" w:hAnsi="Times New Roman"/>
          <w:sz w:val="24"/>
          <w:szCs w:val="24"/>
          <w:vertAlign w:val="superscript"/>
          <w:lang w:eastAsia="pl-PL"/>
        </w:rPr>
        <w:footnoteReference w:id="306"/>
      </w:r>
      <w:r w:rsidRPr="009A3C86">
        <w:rPr>
          <w:rFonts w:ascii="Times New Roman" w:hAnsi="Times New Roman"/>
          <w:sz w:val="24"/>
          <w:szCs w:val="24"/>
          <w:lang w:eastAsia="pl-PL"/>
        </w:rPr>
        <w:t>. Mając na uwadze utrwalone w orzecznictwie i piśmiennictwie rozumienie określenia wartość, jako wartość rynkową, w projekcie o odpowiedzialności osób trzecich wprowadzono je do tych przepisów.</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Utrzymana też będzie w art. </w:t>
      </w:r>
      <w:r w:rsidR="00CE6458" w:rsidRPr="009A3C86">
        <w:rPr>
          <w:rFonts w:ascii="Times New Roman" w:hAnsi="Times New Roman"/>
          <w:b/>
          <w:sz w:val="24"/>
          <w:szCs w:val="24"/>
          <w:lang w:eastAsia="pl-PL"/>
        </w:rPr>
        <w:t>260</w:t>
      </w:r>
      <w:r w:rsidR="00FD19B5"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wynikająca dziś z art. 113 o.p. odpowiedzialność i jej zakres firmującego, tj. osoby, która wyraziła zgodę na to, aby podatnik, w celu zatajenia prowadzenia działalności gospodarczej lub rzeczywistych rozmiarów tej działalności, posługiwał się imieniem i nazwiskiem, nazwą lub firmą tej osoby. Zgodnie z projektowanym art. </w:t>
      </w:r>
      <w:r w:rsidR="00511E14" w:rsidRPr="009A3C86">
        <w:rPr>
          <w:rFonts w:ascii="Times New Roman" w:hAnsi="Times New Roman"/>
          <w:b/>
          <w:sz w:val="24"/>
          <w:szCs w:val="24"/>
          <w:lang w:eastAsia="pl-PL"/>
        </w:rPr>
        <w:t>261 </w:t>
      </w:r>
      <w:r w:rsidRPr="009A3C86">
        <w:rPr>
          <w:rFonts w:ascii="Times New Roman" w:hAnsi="Times New Roman"/>
          <w:b/>
          <w:sz w:val="24"/>
          <w:szCs w:val="24"/>
          <w:lang w:eastAsia="pl-PL"/>
        </w:rPr>
        <w:t>§ 1</w:t>
      </w:r>
      <w:r w:rsidRPr="009A3C86">
        <w:rPr>
          <w:rFonts w:ascii="Times New Roman" w:hAnsi="Times New Roman"/>
          <w:sz w:val="24"/>
          <w:szCs w:val="24"/>
          <w:lang w:eastAsia="pl-PL"/>
        </w:rPr>
        <w:t xml:space="preserve"> (art. 114 o.p.) właściciel, samoistny posiadacz lub użytkownik wieczysty rzeczy lub prawa majątkowego pozostający z użytkownikiem danej rzeczy lub prawa majątkowego w związku</w:t>
      </w:r>
      <w:r w:rsidR="00511E14" w:rsidRPr="009A3C86">
        <w:rPr>
          <w:rFonts w:ascii="Times New Roman" w:hAnsi="Times New Roman"/>
          <w:sz w:val="24"/>
          <w:szCs w:val="24"/>
          <w:lang w:eastAsia="pl-PL"/>
        </w:rPr>
        <w:t xml:space="preserve"> w rozumieniu</w:t>
      </w:r>
      <w:r w:rsidRPr="009A3C86">
        <w:rPr>
          <w:rFonts w:ascii="Times New Roman" w:hAnsi="Times New Roman"/>
          <w:sz w:val="24"/>
          <w:szCs w:val="24"/>
          <w:lang w:eastAsia="pl-PL"/>
        </w:rPr>
        <w:t xml:space="preserve"> § 2, odpowiadać będzie za zaległości podatkowe użytkownika powstałe w związku z </w:t>
      </w:r>
      <w:r w:rsidR="00511E14" w:rsidRPr="009A3C86">
        <w:rPr>
          <w:rFonts w:ascii="Times New Roman" w:hAnsi="Times New Roman"/>
          <w:sz w:val="24"/>
          <w:szCs w:val="24"/>
          <w:lang w:eastAsia="pl-PL"/>
        </w:rPr>
        <w:t xml:space="preserve">prowadzoną przez użytkownika </w:t>
      </w:r>
      <w:r w:rsidRPr="009A3C86">
        <w:rPr>
          <w:rFonts w:ascii="Times New Roman" w:hAnsi="Times New Roman"/>
          <w:sz w:val="24"/>
          <w:szCs w:val="24"/>
          <w:lang w:eastAsia="pl-PL"/>
        </w:rPr>
        <w:t xml:space="preserve">działalnością gospodarczą, jeżeli dana rzecz lub prawo są związane z </w:t>
      </w:r>
      <w:r w:rsidR="00511E14" w:rsidRPr="009A3C86">
        <w:rPr>
          <w:rFonts w:ascii="Times New Roman" w:hAnsi="Times New Roman"/>
          <w:sz w:val="24"/>
          <w:szCs w:val="24"/>
          <w:lang w:eastAsia="pl-PL"/>
        </w:rPr>
        <w:t xml:space="preserve">tą </w:t>
      </w:r>
      <w:r w:rsidRPr="009A3C86">
        <w:rPr>
          <w:rFonts w:ascii="Times New Roman" w:hAnsi="Times New Roman"/>
          <w:sz w:val="24"/>
          <w:szCs w:val="24"/>
          <w:lang w:eastAsia="pl-PL"/>
        </w:rPr>
        <w:t>działalnością gospodarczą lub służą do jej prowadzenia. Związek, o którym mowa w § 1, ma miejsce, gdy podczas trwania użytkowania między:</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1) </w:t>
      </w:r>
      <w:r w:rsidRPr="009A3C86">
        <w:rPr>
          <w:rFonts w:ascii="Times New Roman" w:hAnsi="Times New Roman"/>
          <w:sz w:val="24"/>
          <w:szCs w:val="24"/>
          <w:lang w:eastAsia="pl-PL"/>
        </w:rPr>
        <w:tab/>
        <w:t>właścicielem, samoistnym posiadaczem lub użytkownikiem wieczystym rzeczy lub prawa majątkowego a ich użytkownikiem lub</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2) </w:t>
      </w:r>
      <w:r w:rsidRPr="009A3C86">
        <w:rPr>
          <w:rFonts w:ascii="Times New Roman" w:hAnsi="Times New Roman"/>
          <w:sz w:val="24"/>
          <w:szCs w:val="24"/>
          <w:lang w:eastAsia="pl-PL"/>
        </w:rPr>
        <w:tab/>
        <w:t>osobami pełniącymi funkcje zarządzające, nadzorcze albo kontrolne w podmiocie będącym właścicielem, samoistnym posiadaczem lub użytkownikiem wieczystym rzeczy lub prawa majątkowego a osobami pełniącymi takie funkcje w podmiocie będącym ich użytkownikiem</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 istnieją powiązania w rozumieniu przepisów ustaw o podatkach: dochodowym od osób fizycznych i dochodowym osób prawnych albo wynikające ze stosunku pracy. Chodzi tu o powiązania, o których mowa w art. 23m ust. 1 pkt 4 i ust. 2 - 4 u.p.d.o.f. oraz  art. 11a ust. 1 pkt 4 i ust. 2 - 4 u.p.d.o.p., a nie o powiązania zdefiniowane w projekcie ustawy - Ordynacja podatkowa. Cechą istotną tych powiązań jest wywieranie znaczącego wpływu. Dlatego przepis </w:t>
      </w:r>
      <w:r w:rsidRPr="009A3C86">
        <w:rPr>
          <w:rFonts w:ascii="Times New Roman" w:hAnsi="Times New Roman"/>
          <w:color w:val="000000"/>
          <w:sz w:val="24"/>
          <w:szCs w:val="24"/>
          <w:lang w:eastAsia="pl-PL"/>
        </w:rPr>
        <w:lastRenderedPageBreak/>
        <w:t xml:space="preserve">art. </w:t>
      </w:r>
      <w:r w:rsidR="00511E14" w:rsidRPr="009A3C86">
        <w:rPr>
          <w:rFonts w:ascii="Times New Roman" w:hAnsi="Times New Roman"/>
          <w:color w:val="000000"/>
          <w:sz w:val="24"/>
          <w:szCs w:val="24"/>
          <w:lang w:eastAsia="pl-PL"/>
        </w:rPr>
        <w:t xml:space="preserve">261 </w:t>
      </w:r>
      <w:r w:rsidRPr="009A3C86">
        <w:rPr>
          <w:rFonts w:ascii="Times New Roman" w:hAnsi="Times New Roman"/>
          <w:color w:val="000000"/>
          <w:sz w:val="24"/>
          <w:szCs w:val="24"/>
          <w:lang w:eastAsia="pl-PL"/>
        </w:rPr>
        <w:t>projektu został dostosowany do tych regulacji.</w:t>
      </w:r>
      <w:r w:rsidR="00FD19B5"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 xml:space="preserve">Tę samą metodę regulacji zastosowano w art. </w:t>
      </w:r>
      <w:r w:rsidR="00511E14" w:rsidRPr="009A3C86">
        <w:rPr>
          <w:rFonts w:ascii="Times New Roman" w:hAnsi="Times New Roman"/>
          <w:color w:val="000000"/>
          <w:sz w:val="24"/>
          <w:szCs w:val="24"/>
          <w:lang w:eastAsia="pl-PL"/>
        </w:rPr>
        <w:t xml:space="preserve">262 </w:t>
      </w:r>
      <w:r w:rsidRPr="009A3C86">
        <w:rPr>
          <w:rFonts w:ascii="Times New Roman" w:hAnsi="Times New Roman"/>
          <w:color w:val="000000"/>
          <w:sz w:val="24"/>
          <w:szCs w:val="24"/>
          <w:lang w:eastAsia="pl-PL"/>
        </w:rPr>
        <w:t>projektu ( art.114a o.p.).</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Odpowiedzialność ta, identycznie jak obecnie, ograniczona będzie do wartości rzeczy lub praw majątkowych będących przedmiotem użytkowania. Te same zasady stosować się będzie do najmu, dzierżawy, leasingu oraz innych umów o podobnym charakterze, co wynika z art.</w:t>
      </w:r>
      <w:r w:rsidR="00CE6458" w:rsidRPr="009A3C86">
        <w:rPr>
          <w:rFonts w:ascii="Times New Roman" w:hAnsi="Times New Roman"/>
          <w:b/>
          <w:sz w:val="24"/>
          <w:szCs w:val="24"/>
          <w:lang w:eastAsia="pl-PL"/>
        </w:rPr>
        <w:t>261</w:t>
      </w:r>
      <w:r w:rsidR="00FD19B5" w:rsidRPr="009A3C86">
        <w:rPr>
          <w:rFonts w:ascii="Times New Roman" w:hAnsi="Times New Roman"/>
          <w:b/>
          <w:sz w:val="24"/>
          <w:szCs w:val="24"/>
          <w:lang w:eastAsia="pl-PL"/>
        </w:rPr>
        <w:t xml:space="preserve"> </w:t>
      </w:r>
      <w:r w:rsidRPr="009A3C86">
        <w:rPr>
          <w:rFonts w:ascii="Times New Roman" w:hAnsi="Times New Roman"/>
          <w:b/>
          <w:sz w:val="24"/>
          <w:szCs w:val="24"/>
          <w:lang w:eastAsia="pl-PL"/>
        </w:rPr>
        <w:t>§ 4</w:t>
      </w:r>
      <w:r w:rsidRPr="009A3C86">
        <w:rPr>
          <w:rFonts w:ascii="Times New Roman" w:hAnsi="Times New Roman"/>
          <w:sz w:val="24"/>
          <w:szCs w:val="24"/>
          <w:lang w:eastAsia="pl-PL"/>
        </w:rPr>
        <w:t xml:space="preserve">  projektu. Utrzymane, w art. </w:t>
      </w:r>
      <w:r w:rsidR="00511E14" w:rsidRPr="009A3C86">
        <w:rPr>
          <w:rFonts w:ascii="Times New Roman" w:hAnsi="Times New Roman"/>
          <w:b/>
          <w:sz w:val="24"/>
          <w:szCs w:val="24"/>
          <w:lang w:eastAsia="pl-PL"/>
        </w:rPr>
        <w:t>262</w:t>
      </w:r>
      <w:r w:rsidRPr="009A3C86">
        <w:rPr>
          <w:rFonts w:ascii="Times New Roman" w:hAnsi="Times New Roman"/>
          <w:sz w:val="24"/>
          <w:szCs w:val="24"/>
          <w:lang w:eastAsia="pl-PL"/>
        </w:rPr>
        <w:t>, zostaną zasady odpowiedzialności dzierżawców</w:t>
      </w:r>
      <w:r w:rsidR="00247839" w:rsidRPr="009A3C86">
        <w:rPr>
          <w:rFonts w:ascii="Times New Roman" w:hAnsi="Times New Roman"/>
          <w:sz w:val="24"/>
          <w:szCs w:val="24"/>
          <w:lang w:eastAsia="pl-PL"/>
        </w:rPr>
        <w:t xml:space="preserve"> i użytkowników</w:t>
      </w:r>
      <w:r w:rsidRPr="009A3C86">
        <w:rPr>
          <w:rFonts w:ascii="Times New Roman" w:hAnsi="Times New Roman"/>
          <w:sz w:val="24"/>
          <w:szCs w:val="24"/>
          <w:lang w:eastAsia="pl-PL"/>
        </w:rPr>
        <w:t xml:space="preserve"> nieruchomości, przy czym będą one stosowane nie tylko do dzierżawy</w:t>
      </w:r>
      <w:r w:rsidR="00247839" w:rsidRPr="009A3C86">
        <w:rPr>
          <w:rFonts w:ascii="Times New Roman" w:hAnsi="Times New Roman"/>
          <w:sz w:val="24"/>
          <w:szCs w:val="24"/>
          <w:lang w:eastAsia="pl-PL"/>
        </w:rPr>
        <w:t xml:space="preserve"> i </w:t>
      </w:r>
      <w:r w:rsidR="00C153E8" w:rsidRPr="009A3C86">
        <w:rPr>
          <w:rFonts w:ascii="Times New Roman" w:hAnsi="Times New Roman"/>
          <w:sz w:val="24"/>
          <w:szCs w:val="24"/>
          <w:lang w:eastAsia="pl-PL"/>
        </w:rPr>
        <w:t>użytkowania</w:t>
      </w:r>
      <w:r w:rsidRPr="009A3C86">
        <w:rPr>
          <w:rFonts w:ascii="Times New Roman" w:hAnsi="Times New Roman"/>
          <w:sz w:val="24"/>
          <w:szCs w:val="24"/>
          <w:lang w:eastAsia="pl-PL"/>
        </w:rPr>
        <w:t>, ale także do najmu, leasingu oraz innych umów o podobnym charakterze. Nie ma bowiem podstaw do tego, aby w zależności od tego, jakiego rodzaju tytuł prawny ma posiadacz zależny, ich pozycja na płaszczyźnie odpowiedzialności podatkowej była różnicowana. Rozumienie określenia powiązania wyjaśniono wyżej.</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W art. </w:t>
      </w:r>
      <w:r w:rsidR="00511E14" w:rsidRPr="009A3C86">
        <w:rPr>
          <w:rFonts w:ascii="Times New Roman" w:hAnsi="Times New Roman"/>
          <w:b/>
          <w:sz w:val="24"/>
          <w:szCs w:val="24"/>
          <w:lang w:eastAsia="pl-PL"/>
        </w:rPr>
        <w:t>263</w:t>
      </w:r>
      <w:r w:rsidR="00511E14" w:rsidRPr="009A3C86">
        <w:rPr>
          <w:rFonts w:ascii="Times New Roman" w:hAnsi="Times New Roman"/>
          <w:sz w:val="24"/>
          <w:szCs w:val="24"/>
          <w:lang w:eastAsia="pl-PL"/>
        </w:rPr>
        <w:t xml:space="preserve"> </w:t>
      </w:r>
      <w:r w:rsidRPr="009A3C86">
        <w:rPr>
          <w:rFonts w:ascii="Times New Roman" w:hAnsi="Times New Roman"/>
          <w:sz w:val="24"/>
          <w:szCs w:val="24"/>
          <w:lang w:eastAsia="pl-PL"/>
        </w:rPr>
        <w:t>utrzymane zostaną obowiązujące obecnie (art. 115 o.p.) zasady i zakresy odpowiedzialności wspólników spółki cywilnej, jawnej, partnerskiej, komandytowej oraz komandytowo-akcyjnej za zobowiązania tych spółek. Nie ulegnie tu zmianie zasada przyjęta w uchwale 7 sędziów NSA z dnia 30 stycznia 2017 r., I FPS 6/16</w:t>
      </w:r>
      <w:r w:rsidRPr="009A3C86">
        <w:rPr>
          <w:rFonts w:ascii="Times New Roman" w:hAnsi="Times New Roman"/>
          <w:sz w:val="24"/>
          <w:szCs w:val="24"/>
          <w:vertAlign w:val="superscript"/>
          <w:lang w:eastAsia="pl-PL"/>
        </w:rPr>
        <w:footnoteReference w:id="307"/>
      </w:r>
      <w:r w:rsidRPr="009A3C86">
        <w:rPr>
          <w:rFonts w:ascii="Times New Roman" w:hAnsi="Times New Roman"/>
          <w:sz w:val="24"/>
          <w:szCs w:val="24"/>
          <w:lang w:eastAsia="pl-PL"/>
        </w:rPr>
        <w:t xml:space="preserve">, wedle której „Organ podatkowy ma obowiązek na podstawie art. 115 § 1-5 ustawy z dnia 29 sierpnia 1997 r. – Ordynacja podatkowa (Dz. U. z 2005 r. Nr 8, poz. 60 z późn. zm.), prowadzić postępowanie w sprawie określenia wysokości zobowiązania podatkowego rozwiązanej spółki cywilnej oraz orzeczenia o odpowiedzialności podatkowej byłych wspólników tej spółki za jej zaległości podatkowe z udziałem wszystkich osób będących w danym okresie wspólnikami spółki cywilnej”. W uwzględnieniu powyższej tezy uchwały do art. </w:t>
      </w:r>
      <w:r w:rsidR="000F29F1" w:rsidRPr="009A3C86">
        <w:rPr>
          <w:rFonts w:ascii="Times New Roman" w:hAnsi="Times New Roman"/>
          <w:sz w:val="24"/>
          <w:szCs w:val="24"/>
          <w:lang w:eastAsia="pl-PL"/>
        </w:rPr>
        <w:t>263</w:t>
      </w:r>
      <w:r w:rsidRPr="009A3C86">
        <w:rPr>
          <w:rFonts w:ascii="Times New Roman" w:hAnsi="Times New Roman"/>
          <w:sz w:val="24"/>
          <w:szCs w:val="24"/>
          <w:lang w:eastAsia="pl-PL"/>
        </w:rPr>
        <w:t xml:space="preserve">projektu dodany został </w:t>
      </w:r>
      <w:r w:rsidRPr="009A3C86">
        <w:rPr>
          <w:rFonts w:ascii="Times New Roman" w:hAnsi="Times New Roman"/>
          <w:b/>
          <w:sz w:val="24"/>
          <w:szCs w:val="24"/>
          <w:lang w:eastAsia="pl-PL"/>
        </w:rPr>
        <w:t xml:space="preserve">§ </w:t>
      </w:r>
      <w:r w:rsidR="000F29F1" w:rsidRPr="009A3C86">
        <w:rPr>
          <w:rFonts w:ascii="Times New Roman" w:hAnsi="Times New Roman"/>
          <w:b/>
          <w:sz w:val="24"/>
          <w:szCs w:val="24"/>
          <w:lang w:eastAsia="pl-PL"/>
        </w:rPr>
        <w:t>6</w:t>
      </w:r>
      <w:r w:rsidRPr="009A3C86">
        <w:rPr>
          <w:rFonts w:ascii="Times New Roman" w:hAnsi="Times New Roman"/>
          <w:sz w:val="24"/>
          <w:szCs w:val="24"/>
          <w:lang w:eastAsia="pl-PL"/>
        </w:rPr>
        <w:t xml:space="preserve"> regulujący tę kwestię. Tak jak w dotychczasowym stanie prawnym, art. </w:t>
      </w:r>
      <w:r w:rsidR="000F29F1" w:rsidRPr="009A3C86">
        <w:rPr>
          <w:rFonts w:ascii="Times New Roman" w:hAnsi="Times New Roman"/>
          <w:b/>
          <w:sz w:val="24"/>
          <w:szCs w:val="24"/>
          <w:lang w:eastAsia="pl-PL"/>
        </w:rPr>
        <w:t xml:space="preserve">263 </w:t>
      </w:r>
      <w:r w:rsidRPr="009A3C86">
        <w:rPr>
          <w:rFonts w:ascii="Times New Roman" w:hAnsi="Times New Roman"/>
          <w:b/>
          <w:sz w:val="24"/>
          <w:szCs w:val="24"/>
          <w:lang w:eastAsia="pl-PL"/>
        </w:rPr>
        <w:t>§ 4</w:t>
      </w:r>
      <w:r w:rsidRPr="009A3C86">
        <w:rPr>
          <w:rFonts w:ascii="Times New Roman" w:hAnsi="Times New Roman"/>
          <w:sz w:val="24"/>
          <w:szCs w:val="24"/>
          <w:lang w:eastAsia="pl-PL"/>
        </w:rPr>
        <w:t xml:space="preserve"> projektu nie wymienia poszczególnych przypadków, w których organ podatkowy może zrealizować swoje uprawnienie z tego przepisu, a więc uprawnienie do łącznego prowadzenia postępowania wymiarowego oraz orzekania o odpowiedzialności wspólników. Uprawnienie to obejmuje wszelkie przypadki odpowiedzialności wspólnika za spółkę, w tym także w razie rozwiązania spółki. Równocześnie do art. </w:t>
      </w:r>
      <w:r w:rsidR="000F29F1" w:rsidRPr="009A3C86">
        <w:rPr>
          <w:rFonts w:ascii="Times New Roman" w:hAnsi="Times New Roman"/>
          <w:sz w:val="24"/>
          <w:szCs w:val="24"/>
          <w:lang w:eastAsia="pl-PL"/>
        </w:rPr>
        <w:t xml:space="preserve">263 </w:t>
      </w:r>
      <w:r w:rsidRPr="009A3C86">
        <w:rPr>
          <w:rFonts w:ascii="Times New Roman" w:hAnsi="Times New Roman"/>
          <w:sz w:val="24"/>
          <w:szCs w:val="24"/>
          <w:lang w:eastAsia="pl-PL"/>
        </w:rPr>
        <w:t xml:space="preserve">projektu dodano </w:t>
      </w:r>
      <w:r w:rsidRPr="009A3C86">
        <w:rPr>
          <w:rFonts w:ascii="Times New Roman" w:hAnsi="Times New Roman"/>
          <w:b/>
          <w:sz w:val="24"/>
          <w:szCs w:val="24"/>
          <w:lang w:eastAsia="pl-PL"/>
        </w:rPr>
        <w:t xml:space="preserve">§ </w:t>
      </w:r>
      <w:r w:rsidR="000F29F1" w:rsidRPr="009A3C86">
        <w:rPr>
          <w:rFonts w:ascii="Times New Roman" w:hAnsi="Times New Roman"/>
          <w:b/>
          <w:sz w:val="24"/>
          <w:szCs w:val="24"/>
          <w:lang w:eastAsia="pl-PL"/>
        </w:rPr>
        <w:t>7</w:t>
      </w:r>
      <w:r w:rsidR="000F29F1" w:rsidRPr="009A3C86">
        <w:rPr>
          <w:rFonts w:ascii="Times New Roman" w:hAnsi="Times New Roman"/>
          <w:sz w:val="24"/>
          <w:szCs w:val="24"/>
          <w:lang w:eastAsia="pl-PL"/>
        </w:rPr>
        <w:t xml:space="preserve"> </w:t>
      </w:r>
      <w:r w:rsidRPr="009A3C86">
        <w:rPr>
          <w:rFonts w:ascii="Times New Roman" w:hAnsi="Times New Roman"/>
          <w:sz w:val="24"/>
          <w:szCs w:val="24"/>
          <w:lang w:eastAsia="pl-PL"/>
        </w:rPr>
        <w:t>odnoszący się do odpowiedzialności wspólników spółek osobowych innych niż wymienione w § 1, co dotyczyć będzie w szczególności wspólników spółek zagranicznych jako np. podatników VAT. W aktualnym stanie prawnym brak takiej regulacji w art. 115 o.p.</w:t>
      </w:r>
    </w:p>
    <w:p w:rsidR="00741954" w:rsidRPr="009A3C86" w:rsidRDefault="00741954" w:rsidP="00741954">
      <w:pPr>
        <w:tabs>
          <w:tab w:val="num" w:pos="720"/>
        </w:tabs>
        <w:spacing w:after="0" w:line="360" w:lineRule="auto"/>
        <w:jc w:val="both"/>
        <w:outlineLvl w:val="2"/>
        <w:rPr>
          <w:rFonts w:ascii="Times New Roman" w:eastAsia="Times New Roman" w:hAnsi="Times New Roman"/>
          <w:sz w:val="24"/>
          <w:szCs w:val="24"/>
        </w:rPr>
      </w:pPr>
      <w:r w:rsidRPr="009A3C86">
        <w:rPr>
          <w:rFonts w:ascii="Times New Roman" w:eastAsia="Times New Roman" w:hAnsi="Times New Roman"/>
          <w:sz w:val="24"/>
          <w:szCs w:val="24"/>
        </w:rPr>
        <w:t xml:space="preserve">Nie ulegną też zmianie dzisiejsze (art. 116 o.p.) zasady i zakresy odpowiedzialności członków zarządu spółki z o.o. i akcyjnej, członków zarządu innych osób prawnych (art. 116a o.p.) oraz </w:t>
      </w:r>
      <w:r w:rsidRPr="009A3C86">
        <w:rPr>
          <w:rFonts w:ascii="Times New Roman" w:eastAsia="Times New Roman" w:hAnsi="Times New Roman"/>
          <w:sz w:val="24"/>
          <w:szCs w:val="24"/>
        </w:rPr>
        <w:lastRenderedPageBreak/>
        <w:t xml:space="preserve">odpowiedzialności likwidatorów (art. 116b o.p.) przewidziane w art. </w:t>
      </w:r>
      <w:r w:rsidR="00F40E76" w:rsidRPr="009A3C86">
        <w:rPr>
          <w:rFonts w:ascii="Times New Roman" w:eastAsia="Times New Roman" w:hAnsi="Times New Roman"/>
          <w:sz w:val="24"/>
          <w:szCs w:val="24"/>
        </w:rPr>
        <w:t>264</w:t>
      </w:r>
      <w:r w:rsidRPr="009A3C86">
        <w:rPr>
          <w:rFonts w:ascii="Times New Roman" w:eastAsia="Times New Roman" w:hAnsi="Times New Roman"/>
          <w:sz w:val="24"/>
          <w:szCs w:val="24"/>
        </w:rPr>
        <w:t xml:space="preserve">, </w:t>
      </w:r>
      <w:r w:rsidR="00F40E76" w:rsidRPr="009A3C86">
        <w:rPr>
          <w:rFonts w:ascii="Times New Roman" w:eastAsia="Times New Roman" w:hAnsi="Times New Roman"/>
          <w:sz w:val="24"/>
          <w:szCs w:val="24"/>
        </w:rPr>
        <w:t>265</w:t>
      </w:r>
      <w:r w:rsidRPr="009A3C86">
        <w:rPr>
          <w:rFonts w:ascii="Times New Roman" w:eastAsia="Times New Roman" w:hAnsi="Times New Roman"/>
          <w:sz w:val="24"/>
          <w:szCs w:val="24"/>
        </w:rPr>
        <w:t xml:space="preserve">, </w:t>
      </w:r>
      <w:r w:rsidR="00F40E76" w:rsidRPr="009A3C86">
        <w:rPr>
          <w:rFonts w:ascii="Times New Roman" w:eastAsia="Times New Roman" w:hAnsi="Times New Roman"/>
          <w:sz w:val="24"/>
          <w:szCs w:val="24"/>
        </w:rPr>
        <w:t xml:space="preserve">266 </w:t>
      </w:r>
      <w:r w:rsidR="006F55C6" w:rsidRPr="009A3C86">
        <w:rPr>
          <w:rFonts w:ascii="Times New Roman" w:eastAsia="Times New Roman" w:hAnsi="Times New Roman"/>
          <w:sz w:val="24"/>
          <w:szCs w:val="24"/>
        </w:rPr>
        <w:t xml:space="preserve">i </w:t>
      </w:r>
      <w:r w:rsidR="00F40E76" w:rsidRPr="009A3C86">
        <w:rPr>
          <w:rFonts w:ascii="Times New Roman" w:eastAsia="Times New Roman" w:hAnsi="Times New Roman"/>
          <w:sz w:val="24"/>
          <w:szCs w:val="24"/>
        </w:rPr>
        <w:t>267</w:t>
      </w:r>
      <w:r w:rsidRPr="009A3C86">
        <w:rPr>
          <w:rFonts w:ascii="Times New Roman" w:eastAsia="Times New Roman" w:hAnsi="Times New Roman"/>
          <w:sz w:val="24"/>
          <w:szCs w:val="24"/>
        </w:rPr>
        <w:t xml:space="preserve">. Przepis art. </w:t>
      </w:r>
      <w:r w:rsidR="000F29F1" w:rsidRPr="009A3C86">
        <w:rPr>
          <w:rFonts w:ascii="Times New Roman" w:eastAsia="Times New Roman" w:hAnsi="Times New Roman"/>
          <w:b/>
          <w:sz w:val="24"/>
          <w:szCs w:val="24"/>
        </w:rPr>
        <w:t>264</w:t>
      </w:r>
      <w:r w:rsidR="000F29F1"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projektu został „</w:t>
      </w:r>
      <w:r w:rsidR="006F55C6" w:rsidRPr="009A3C86">
        <w:rPr>
          <w:rFonts w:ascii="Times New Roman" w:eastAsia="Times New Roman" w:hAnsi="Times New Roman"/>
          <w:sz w:val="24"/>
          <w:szCs w:val="24"/>
        </w:rPr>
        <w:t xml:space="preserve">dostosowany </w:t>
      </w:r>
      <w:r w:rsidRPr="009A3C86">
        <w:rPr>
          <w:rFonts w:ascii="Times New Roman" w:eastAsia="Times New Roman" w:hAnsi="Times New Roman"/>
          <w:sz w:val="24"/>
          <w:szCs w:val="24"/>
        </w:rPr>
        <w:t xml:space="preserve">terminologicznie” do regulacji zawartej w art. </w:t>
      </w:r>
      <w:r w:rsidR="00F40E76" w:rsidRPr="009A3C86">
        <w:rPr>
          <w:rFonts w:ascii="Times New Roman" w:eastAsia="Times New Roman" w:hAnsi="Times New Roman"/>
          <w:sz w:val="24"/>
          <w:szCs w:val="24"/>
        </w:rPr>
        <w:t xml:space="preserve">267 </w:t>
      </w:r>
      <w:r w:rsidRPr="009A3C86">
        <w:rPr>
          <w:rFonts w:ascii="Times New Roman" w:eastAsia="Times New Roman" w:hAnsi="Times New Roman"/>
          <w:sz w:val="24"/>
          <w:szCs w:val="24"/>
        </w:rPr>
        <w:t xml:space="preserve">projektu (art. 116b o.p.) oraz zawartej w art. 272 i art. 476 k.s.h. W dotychczasowym art. 116 § 2a o.p. użyty jest zwrot „po likwidacji”. Nie jest tu jasne, czy chodzi o moment po otwarciu likwidacji czy moment po jej przeprowadzeniu. Jeżeli uwzględni się przy tym to, że w art. </w:t>
      </w:r>
      <w:r w:rsidR="00F40E76" w:rsidRPr="009A3C86">
        <w:rPr>
          <w:rFonts w:ascii="Times New Roman" w:eastAsia="Times New Roman" w:hAnsi="Times New Roman"/>
          <w:sz w:val="24"/>
          <w:szCs w:val="24"/>
        </w:rPr>
        <w:t xml:space="preserve">267 </w:t>
      </w:r>
      <w:r w:rsidRPr="009A3C86">
        <w:rPr>
          <w:rFonts w:ascii="Times New Roman" w:eastAsia="Times New Roman" w:hAnsi="Times New Roman"/>
          <w:sz w:val="24"/>
          <w:szCs w:val="24"/>
        </w:rPr>
        <w:t xml:space="preserve">§ 1 projektu (art. 116b o.p.) użyto określenia „w czasie likwidacji” to uznać należało, że nie są to terminy tożsame. Dlatego w art. </w:t>
      </w:r>
      <w:r w:rsidR="00F40E76" w:rsidRPr="009A3C86">
        <w:rPr>
          <w:rFonts w:ascii="Times New Roman" w:eastAsia="Times New Roman" w:hAnsi="Times New Roman"/>
          <w:sz w:val="24"/>
          <w:szCs w:val="24"/>
        </w:rPr>
        <w:t xml:space="preserve">264 </w:t>
      </w:r>
      <w:r w:rsidRPr="009A3C86">
        <w:rPr>
          <w:rFonts w:ascii="Times New Roman" w:eastAsia="Times New Roman" w:hAnsi="Times New Roman"/>
          <w:sz w:val="24"/>
          <w:szCs w:val="24"/>
        </w:rPr>
        <w:t xml:space="preserve">§ 4 projektu użyto określenia systemowego, spójnego z przepisami k.s.h. „po przeprowadzeniu likwidacji”. Ponadto w art. </w:t>
      </w:r>
      <w:r w:rsidR="00F40E76" w:rsidRPr="009A3C86">
        <w:rPr>
          <w:rFonts w:ascii="Times New Roman" w:eastAsia="Times New Roman" w:hAnsi="Times New Roman"/>
          <w:sz w:val="24"/>
          <w:szCs w:val="24"/>
        </w:rPr>
        <w:t xml:space="preserve">264 </w:t>
      </w:r>
      <w:r w:rsidRPr="009A3C86">
        <w:rPr>
          <w:rFonts w:ascii="Times New Roman" w:eastAsia="Times New Roman" w:hAnsi="Times New Roman"/>
          <w:sz w:val="24"/>
          <w:szCs w:val="24"/>
        </w:rPr>
        <w:t xml:space="preserve">§ 2 pkt 1 lit. a projektu poprzez odesłanie do ustawy z dnia 28 lutego 2003 r. - Prawo upadłościowe, wzorem odesłania zawartego w tym samym przepisie do ustawy - Prawo restrukturyzacyjne, postanowiono, że wniosek o ogłoszenie upadłości powinien być złożony przez członka zarządu na zasadach i w terminie przewidzianych przepisach </w:t>
      </w:r>
      <w:r w:rsidR="006F55C6" w:rsidRPr="009A3C86">
        <w:rPr>
          <w:rFonts w:ascii="Times New Roman" w:eastAsia="Times New Roman" w:hAnsi="Times New Roman"/>
          <w:sz w:val="24"/>
          <w:szCs w:val="24"/>
        </w:rPr>
        <w:t xml:space="preserve">w tych </w:t>
      </w:r>
      <w:r w:rsidRPr="009A3C86">
        <w:rPr>
          <w:rFonts w:ascii="Times New Roman" w:eastAsia="Times New Roman" w:hAnsi="Times New Roman"/>
          <w:sz w:val="24"/>
          <w:szCs w:val="24"/>
        </w:rPr>
        <w:t xml:space="preserve">ustaw. Nie ulega zmianie określenie „właściwy czas na zgłoszenie wniosku o upadłość” w kontekście przesłanki zwalniającej członka zarządu z odpowiedzialności, co oznacza, że należy uznać, iż jest nim termin 30-dniowy wynikający z art. 21 ustawy – Prawo upadłościowe. Podobnie rozumieć należy określenia użyte w art. </w:t>
      </w:r>
      <w:r w:rsidR="00CE65EC" w:rsidRPr="009A3C86">
        <w:rPr>
          <w:rFonts w:ascii="Times New Roman" w:eastAsia="Times New Roman" w:hAnsi="Times New Roman"/>
          <w:sz w:val="24"/>
          <w:szCs w:val="24"/>
        </w:rPr>
        <w:t xml:space="preserve">264 </w:t>
      </w:r>
      <w:r w:rsidRPr="009A3C86">
        <w:rPr>
          <w:rFonts w:ascii="Times New Roman" w:eastAsia="Times New Roman" w:hAnsi="Times New Roman"/>
          <w:sz w:val="24"/>
          <w:szCs w:val="24"/>
        </w:rPr>
        <w:t>§ 2 pkt 1 projektu „w tym czasie” (art. 116 § 1 pkt 1 o.p.) odniesione do wszczęcia postępowania restrukturyzacyjnego lub zatwierdzenia układu, albowiem ustawa z dnia 15 maja 2015 r. – Prawo restrukturyzacyjne nie przewiduje „własnych” terminów, w których powinien być zgłoszony wniosek restrukturyzacyjny</w:t>
      </w:r>
      <w:r w:rsidRPr="009A3C86">
        <w:rPr>
          <w:rFonts w:ascii="Times New Roman" w:eastAsia="Times New Roman" w:hAnsi="Times New Roman"/>
          <w:sz w:val="24"/>
          <w:szCs w:val="24"/>
          <w:vertAlign w:val="superscript"/>
        </w:rPr>
        <w:footnoteReference w:id="308"/>
      </w:r>
      <w:r w:rsidRPr="009A3C86">
        <w:rPr>
          <w:rFonts w:ascii="Times New Roman" w:eastAsia="Times New Roman" w:hAnsi="Times New Roman"/>
          <w:sz w:val="24"/>
          <w:szCs w:val="24"/>
        </w:rPr>
        <w:t xml:space="preserve">. Tak jak dotychczas, zakres odpowiedzialności członków zarządu obejmuje zaległości podatkowe z tytułu zobowiązań, których termin płatności upływał w czasie pełnienia przez nich obowiązków członków zarządu oraz zaległości wymienionych w art. </w:t>
      </w:r>
      <w:r w:rsidR="00CE65EC" w:rsidRPr="009A3C86">
        <w:rPr>
          <w:rFonts w:ascii="Times New Roman" w:eastAsia="Times New Roman" w:hAnsi="Times New Roman"/>
          <w:sz w:val="24"/>
          <w:szCs w:val="24"/>
        </w:rPr>
        <w:t xml:space="preserve">161 </w:t>
      </w:r>
      <w:r w:rsidRPr="009A3C86">
        <w:rPr>
          <w:rFonts w:ascii="Times New Roman" w:eastAsia="Times New Roman" w:hAnsi="Times New Roman"/>
          <w:sz w:val="24"/>
          <w:szCs w:val="24"/>
        </w:rPr>
        <w:t xml:space="preserve">i art. </w:t>
      </w:r>
      <w:r w:rsidR="00CE65EC" w:rsidRPr="009A3C86">
        <w:rPr>
          <w:rFonts w:ascii="Times New Roman" w:eastAsia="Times New Roman" w:hAnsi="Times New Roman"/>
          <w:sz w:val="24"/>
          <w:szCs w:val="24"/>
        </w:rPr>
        <w:t xml:space="preserve">162 </w:t>
      </w:r>
      <w:r w:rsidRPr="009A3C86">
        <w:rPr>
          <w:rFonts w:ascii="Times New Roman" w:eastAsia="Times New Roman" w:hAnsi="Times New Roman"/>
          <w:sz w:val="24"/>
          <w:szCs w:val="24"/>
        </w:rPr>
        <w:t xml:space="preserve">(art. 52 i art. 52a o.p.) projektu powstałe w czasie pełnienia obowiązków członka zarządu. Natomiast za zobowiązania podatkowe powstałe na podstawie odrębnych przepisów po przeprowadzeniu likwidacji spółki, za zaległości podatkowe z tytułu zobowiązań, których termin płatności upływał po przeprowadzeniu likwidacji spółki oraz zaległości wymienione w art. </w:t>
      </w:r>
      <w:r w:rsidR="00CE65EC" w:rsidRPr="009A3C86">
        <w:rPr>
          <w:rFonts w:ascii="Times New Roman" w:eastAsia="Times New Roman" w:hAnsi="Times New Roman"/>
          <w:sz w:val="24"/>
          <w:szCs w:val="24"/>
        </w:rPr>
        <w:t xml:space="preserve">161 </w:t>
      </w:r>
      <w:r w:rsidRPr="009A3C86">
        <w:rPr>
          <w:rFonts w:ascii="Times New Roman" w:eastAsia="Times New Roman" w:hAnsi="Times New Roman"/>
          <w:sz w:val="24"/>
          <w:szCs w:val="24"/>
        </w:rPr>
        <w:t xml:space="preserve">i art. </w:t>
      </w:r>
      <w:r w:rsidR="00CE65EC" w:rsidRPr="009A3C86">
        <w:rPr>
          <w:rFonts w:ascii="Times New Roman" w:eastAsia="Times New Roman" w:hAnsi="Times New Roman"/>
          <w:sz w:val="24"/>
          <w:szCs w:val="24"/>
        </w:rPr>
        <w:t xml:space="preserve">162 </w:t>
      </w:r>
      <w:r w:rsidRPr="009A3C86">
        <w:rPr>
          <w:rFonts w:ascii="Times New Roman" w:eastAsia="Times New Roman" w:hAnsi="Times New Roman"/>
          <w:sz w:val="24"/>
          <w:szCs w:val="24"/>
        </w:rPr>
        <w:t xml:space="preserve">(art. 52 i art. 52a o.p.) powstałe po przeprowadzeniu likwidacji spółki odpowiadają osoby pełniące obowiązki członka zarządu w momencie likwidacji spółki. Konsekwencją odpowiedniego stosowania art. </w:t>
      </w:r>
      <w:r w:rsidR="00CE65EC" w:rsidRPr="009A3C86">
        <w:rPr>
          <w:rFonts w:ascii="Times New Roman" w:eastAsia="Times New Roman" w:hAnsi="Times New Roman"/>
          <w:sz w:val="24"/>
          <w:szCs w:val="24"/>
        </w:rPr>
        <w:t xml:space="preserve">263 </w:t>
      </w:r>
      <w:r w:rsidRPr="009A3C86">
        <w:rPr>
          <w:rFonts w:ascii="Times New Roman" w:eastAsia="Times New Roman" w:hAnsi="Times New Roman"/>
          <w:sz w:val="24"/>
          <w:szCs w:val="24"/>
        </w:rPr>
        <w:t xml:space="preserve">§ 4 (art. 115 § 4 o.p.) jest to, że wykreślenie spółki kapitałowej z rejestru, a więc utrata przez nią bytu prawnego nie uniemożliwi orzeczenia o odpowiedzialności członka zarządu tej spółki za jej zobowiązania, albowiem określenie wysokości należności spółki, o </w:t>
      </w:r>
      <w:r w:rsidRPr="009A3C86">
        <w:rPr>
          <w:rFonts w:ascii="Times New Roman" w:eastAsia="Times New Roman" w:hAnsi="Times New Roman"/>
          <w:sz w:val="24"/>
          <w:szCs w:val="24"/>
        </w:rPr>
        <w:lastRenderedPageBreak/>
        <w:t>których mowa w § 4, może być dokonane w postępowaniu prowadzonym w stosunku do wszystkich członków zarządu, zmierzającym do orzeczenia o jego (ich) odpowiedzialności</w:t>
      </w:r>
      <w:r w:rsidRPr="009A3C86">
        <w:rPr>
          <w:rFonts w:ascii="Times New Roman" w:eastAsia="Times New Roman" w:hAnsi="Times New Roman"/>
          <w:sz w:val="24"/>
          <w:szCs w:val="24"/>
          <w:vertAlign w:val="superscript"/>
        </w:rPr>
        <w:footnoteReference w:id="309"/>
      </w:r>
      <w:r w:rsidRPr="009A3C86">
        <w:rPr>
          <w:rFonts w:ascii="Times New Roman" w:eastAsia="Times New Roman" w:hAnsi="Times New Roman"/>
          <w:sz w:val="24"/>
          <w:szCs w:val="24"/>
        </w:rPr>
        <w:t>. Podmiotowy zakres odpowiedzialności za zobowiązania podatkowe spółki oraz jej zaległości podatkowe powstałe po likwidacji wyznaczy „moment jej likwidacji”, czyli moment otwarcia likwidacji, gdyż z tym dniem tracą oni uprawnienie do prowadzenia spraw spółki i reprezentowania jej na zewnątrz</w:t>
      </w:r>
      <w:r w:rsidRPr="009A3C86">
        <w:rPr>
          <w:rFonts w:ascii="Times New Roman" w:eastAsia="Times New Roman" w:hAnsi="Times New Roman"/>
          <w:sz w:val="24"/>
          <w:szCs w:val="24"/>
          <w:vertAlign w:val="superscript"/>
        </w:rPr>
        <w:footnoteReference w:id="310"/>
      </w:r>
      <w:r w:rsidRPr="009A3C86">
        <w:rPr>
          <w:rFonts w:ascii="Times New Roman" w:eastAsia="Times New Roman" w:hAnsi="Times New Roman"/>
          <w:sz w:val="24"/>
          <w:szCs w:val="24"/>
        </w:rPr>
        <w:t>. Wynika to z art. 277 § 1 i 2 k.s.h.</w:t>
      </w:r>
    </w:p>
    <w:p w:rsidR="00633419" w:rsidRPr="009A3C86" w:rsidRDefault="00633419"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Przepis art. 116a o.p. został „uporządkowany przedmiotowo” w ten sposób, że występujące w nim przypadki odpowiedzialności osób trzecich zostały uregulowane w art. </w:t>
      </w:r>
      <w:r w:rsidR="00CE65EC" w:rsidRPr="009A3C86">
        <w:rPr>
          <w:rFonts w:ascii="Times New Roman" w:hAnsi="Times New Roman"/>
          <w:sz w:val="24"/>
          <w:szCs w:val="24"/>
          <w:lang w:eastAsia="pl-PL"/>
        </w:rPr>
        <w:t xml:space="preserve">265 </w:t>
      </w:r>
      <w:r w:rsidRPr="009A3C86">
        <w:rPr>
          <w:rFonts w:ascii="Times New Roman" w:hAnsi="Times New Roman"/>
          <w:sz w:val="24"/>
          <w:szCs w:val="24"/>
          <w:lang w:eastAsia="pl-PL"/>
        </w:rPr>
        <w:t xml:space="preserve">i </w:t>
      </w:r>
      <w:r w:rsidR="00CE65EC" w:rsidRPr="009A3C86">
        <w:rPr>
          <w:rFonts w:ascii="Times New Roman" w:hAnsi="Times New Roman"/>
          <w:sz w:val="24"/>
          <w:szCs w:val="24"/>
          <w:lang w:eastAsia="pl-PL"/>
        </w:rPr>
        <w:t xml:space="preserve">266 </w:t>
      </w:r>
      <w:r w:rsidRPr="009A3C86">
        <w:rPr>
          <w:rFonts w:ascii="Times New Roman" w:hAnsi="Times New Roman"/>
          <w:sz w:val="24"/>
          <w:szCs w:val="24"/>
          <w:lang w:eastAsia="pl-PL"/>
        </w:rPr>
        <w:t>projektu.</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Uznano, że w zakresie podmiotowym odpowiedzialności określonej w art. </w:t>
      </w:r>
      <w:r w:rsidR="00FD19B5" w:rsidRPr="009A3C86">
        <w:rPr>
          <w:rFonts w:ascii="Times New Roman" w:hAnsi="Times New Roman"/>
          <w:b/>
          <w:sz w:val="24"/>
          <w:szCs w:val="24"/>
          <w:lang w:eastAsia="pl-PL"/>
        </w:rPr>
        <w:t>256</w:t>
      </w:r>
      <w:r w:rsidR="00FD19B5" w:rsidRPr="009A3C86">
        <w:rPr>
          <w:rFonts w:ascii="Times New Roman" w:hAnsi="Times New Roman"/>
          <w:sz w:val="24"/>
          <w:szCs w:val="24"/>
          <w:lang w:eastAsia="pl-PL"/>
        </w:rPr>
        <w:t xml:space="preserve"> </w:t>
      </w:r>
      <w:r w:rsidRPr="009A3C86">
        <w:rPr>
          <w:rFonts w:ascii="Times New Roman" w:hAnsi="Times New Roman"/>
          <w:sz w:val="24"/>
          <w:szCs w:val="24"/>
          <w:lang w:eastAsia="pl-PL"/>
        </w:rPr>
        <w:t>(obecny art. 116a o.p.) określenie „członkowie organu zarządzającego” obejmuje także – tak jak dotychczas – członków zarządu spółdzielni w przypadku określonym w art.130 § 2 i 4 ustawy z dnia 16 września 1982 r. – Prawo spółdzielcze</w:t>
      </w:r>
      <w:r w:rsidRPr="009A3C86">
        <w:rPr>
          <w:rFonts w:ascii="Times New Roman" w:hAnsi="Times New Roman"/>
          <w:sz w:val="24"/>
          <w:szCs w:val="24"/>
          <w:vertAlign w:val="superscript"/>
          <w:lang w:eastAsia="pl-PL"/>
        </w:rPr>
        <w:footnoteReference w:id="311"/>
      </w:r>
      <w:r w:rsidRPr="009A3C86">
        <w:rPr>
          <w:rFonts w:ascii="Times New Roman" w:hAnsi="Times New Roman"/>
          <w:sz w:val="24"/>
          <w:szCs w:val="24"/>
          <w:lang w:eastAsia="pl-PL"/>
        </w:rPr>
        <w:t>, z tym że o odpowiedzialności tej organ podatkowy powinien orzekać wobec wszystkich członków zarządu w jednej decyzji</w:t>
      </w:r>
      <w:r w:rsidRPr="009A3C86">
        <w:rPr>
          <w:rFonts w:ascii="Times New Roman" w:hAnsi="Times New Roman"/>
          <w:sz w:val="24"/>
          <w:szCs w:val="24"/>
          <w:vertAlign w:val="superscript"/>
          <w:lang w:eastAsia="pl-PL"/>
        </w:rPr>
        <w:footnoteReference w:id="312"/>
      </w:r>
      <w:r w:rsidRPr="009A3C86">
        <w:rPr>
          <w:rFonts w:ascii="Times New Roman" w:hAnsi="Times New Roman"/>
          <w:sz w:val="24"/>
          <w:szCs w:val="24"/>
          <w:lang w:eastAsia="pl-PL"/>
        </w:rPr>
        <w:t xml:space="preserve">. Innymi osobami prawnymi, o których mowa w art. </w:t>
      </w:r>
      <w:r w:rsidR="00230BCC" w:rsidRPr="009A3C86">
        <w:rPr>
          <w:rFonts w:ascii="Times New Roman" w:hAnsi="Times New Roman"/>
          <w:sz w:val="24"/>
          <w:szCs w:val="24"/>
          <w:lang w:eastAsia="pl-PL"/>
        </w:rPr>
        <w:t xml:space="preserve">265 </w:t>
      </w:r>
      <w:r w:rsidRPr="009A3C86">
        <w:rPr>
          <w:rFonts w:ascii="Times New Roman" w:hAnsi="Times New Roman"/>
          <w:sz w:val="24"/>
          <w:szCs w:val="24"/>
          <w:lang w:eastAsia="pl-PL"/>
        </w:rPr>
        <w:t>(art. 116a o.p.), będą kluby sportowe</w:t>
      </w:r>
      <w:r w:rsidRPr="009A3C86">
        <w:rPr>
          <w:rFonts w:ascii="Times New Roman" w:hAnsi="Times New Roman"/>
          <w:sz w:val="24"/>
          <w:szCs w:val="24"/>
          <w:vertAlign w:val="superscript"/>
          <w:lang w:eastAsia="pl-PL"/>
        </w:rPr>
        <w:footnoteReference w:id="313"/>
      </w:r>
      <w:r w:rsidRPr="009A3C86">
        <w:rPr>
          <w:rFonts w:ascii="Times New Roman" w:hAnsi="Times New Roman"/>
          <w:sz w:val="24"/>
          <w:szCs w:val="24"/>
          <w:lang w:eastAsia="pl-PL"/>
        </w:rPr>
        <w:t>, szkoły wyższe</w:t>
      </w:r>
      <w:r w:rsidRPr="009A3C86">
        <w:rPr>
          <w:rFonts w:ascii="Times New Roman" w:hAnsi="Times New Roman"/>
          <w:sz w:val="24"/>
          <w:szCs w:val="24"/>
          <w:vertAlign w:val="superscript"/>
          <w:lang w:eastAsia="pl-PL"/>
        </w:rPr>
        <w:footnoteReference w:id="314"/>
      </w:r>
      <w:r w:rsidRPr="009A3C86">
        <w:rPr>
          <w:rFonts w:ascii="Times New Roman" w:hAnsi="Times New Roman"/>
          <w:sz w:val="24"/>
          <w:szCs w:val="24"/>
          <w:lang w:eastAsia="pl-PL"/>
        </w:rPr>
        <w:t>, ale nie likwidatorzy spółdzielni</w:t>
      </w:r>
      <w:r w:rsidRPr="009A3C86">
        <w:rPr>
          <w:rFonts w:ascii="Times New Roman" w:hAnsi="Times New Roman"/>
          <w:sz w:val="24"/>
          <w:szCs w:val="24"/>
          <w:vertAlign w:val="superscript"/>
          <w:lang w:eastAsia="pl-PL"/>
        </w:rPr>
        <w:footnoteReference w:id="315"/>
      </w:r>
      <w:r w:rsidRPr="009A3C86">
        <w:rPr>
          <w:rFonts w:ascii="Times New Roman" w:hAnsi="Times New Roman"/>
          <w:sz w:val="24"/>
          <w:szCs w:val="24"/>
          <w:lang w:eastAsia="pl-PL"/>
        </w:rPr>
        <w:t>.</w:t>
      </w:r>
    </w:p>
    <w:p w:rsidR="00633419"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Utrzymano też dotychczasowe reguły odpowiedzialności członków zarządu stowarzyszeń, a niekiedy także samych członków stowarzyszeń. Przepis art. </w:t>
      </w:r>
      <w:r w:rsidR="00230BCC" w:rsidRPr="009A3C86">
        <w:rPr>
          <w:rFonts w:ascii="Times New Roman" w:hAnsi="Times New Roman"/>
          <w:b/>
          <w:sz w:val="24"/>
          <w:szCs w:val="24"/>
          <w:lang w:eastAsia="pl-PL"/>
        </w:rPr>
        <w:t>266</w:t>
      </w:r>
      <w:r w:rsidR="00230BCC"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uległ w stosunku do art. 116a o.p. wyłącznie zmianom redakcyjnym. </w:t>
      </w:r>
    </w:p>
    <w:p w:rsidR="00741954" w:rsidRPr="009A3C86" w:rsidRDefault="00633419" w:rsidP="0074195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Zgodnie z art. </w:t>
      </w:r>
      <w:r w:rsidR="00230BCC" w:rsidRPr="009A3C86">
        <w:rPr>
          <w:rFonts w:ascii="Times New Roman" w:hAnsi="Times New Roman"/>
          <w:b/>
          <w:sz w:val="24"/>
          <w:szCs w:val="24"/>
          <w:lang w:eastAsia="pl-PL"/>
        </w:rPr>
        <w:t>268</w:t>
      </w:r>
      <w:r w:rsidR="00230BCC" w:rsidRPr="009A3C86">
        <w:rPr>
          <w:rFonts w:ascii="Times New Roman" w:hAnsi="Times New Roman"/>
          <w:sz w:val="24"/>
          <w:szCs w:val="24"/>
          <w:lang w:eastAsia="pl-PL"/>
        </w:rPr>
        <w:t xml:space="preserve"> </w:t>
      </w:r>
      <w:r w:rsidRPr="009A3C86">
        <w:rPr>
          <w:rFonts w:ascii="Times New Roman" w:hAnsi="Times New Roman"/>
          <w:sz w:val="24"/>
          <w:szCs w:val="24"/>
          <w:lang w:eastAsia="pl-PL"/>
        </w:rPr>
        <w:t>projektu, t</w:t>
      </w:r>
      <w:r w:rsidR="00741954" w:rsidRPr="009A3C86">
        <w:rPr>
          <w:rFonts w:ascii="Times New Roman" w:hAnsi="Times New Roman"/>
          <w:sz w:val="24"/>
          <w:szCs w:val="24"/>
          <w:lang w:eastAsia="pl-PL"/>
        </w:rPr>
        <w:t xml:space="preserve">ak jak dotąd, osoba prawna przejmująca lub osoba prawna powstała w wyniku podziału (osoba nowo zawiązana) odpowiadać będzie za zaległości podatkowe osoby prawnej dzielonej, jeżeli majątek przejmowany na skutek podziału, a przy podziale przez wydzielenie – także majątek osoby prawnej dzielonej, nie stanowi zorganizowanej części przedsiębiorstwa (art. 117 o.p.). Przepis art. </w:t>
      </w:r>
      <w:r w:rsidR="00230BCC" w:rsidRPr="009A3C86">
        <w:rPr>
          <w:rFonts w:ascii="Times New Roman" w:hAnsi="Times New Roman"/>
          <w:b/>
          <w:sz w:val="24"/>
          <w:szCs w:val="24"/>
          <w:lang w:eastAsia="pl-PL"/>
        </w:rPr>
        <w:t>268</w:t>
      </w:r>
      <w:r w:rsidR="00230BCC" w:rsidRPr="009A3C86">
        <w:rPr>
          <w:rFonts w:ascii="Times New Roman" w:hAnsi="Times New Roman"/>
          <w:sz w:val="24"/>
          <w:szCs w:val="24"/>
          <w:lang w:eastAsia="pl-PL"/>
        </w:rPr>
        <w:t xml:space="preserve"> </w:t>
      </w:r>
      <w:r w:rsidR="00741954" w:rsidRPr="009A3C86">
        <w:rPr>
          <w:rFonts w:ascii="Times New Roman" w:hAnsi="Times New Roman"/>
          <w:sz w:val="24"/>
          <w:szCs w:val="24"/>
          <w:lang w:eastAsia="pl-PL"/>
        </w:rPr>
        <w:t xml:space="preserve">ma związek z przypadkiem następstwa prawnego uregulowanym w art. </w:t>
      </w:r>
      <w:r w:rsidR="00230BCC" w:rsidRPr="009A3C86">
        <w:rPr>
          <w:rFonts w:ascii="Times New Roman" w:hAnsi="Times New Roman"/>
          <w:sz w:val="24"/>
          <w:szCs w:val="24"/>
          <w:lang w:eastAsia="pl-PL"/>
        </w:rPr>
        <w:t>277</w:t>
      </w:r>
      <w:r w:rsidR="00741954" w:rsidRPr="009A3C86">
        <w:rPr>
          <w:rFonts w:ascii="Times New Roman" w:hAnsi="Times New Roman"/>
          <w:sz w:val="24"/>
          <w:szCs w:val="24"/>
          <w:lang w:eastAsia="pl-PL"/>
        </w:rPr>
        <w:t xml:space="preserve">. Zgodnie z art. </w:t>
      </w:r>
      <w:r w:rsidR="00230BCC" w:rsidRPr="009A3C86">
        <w:rPr>
          <w:rFonts w:ascii="Times New Roman" w:hAnsi="Times New Roman"/>
          <w:b/>
          <w:sz w:val="24"/>
          <w:szCs w:val="24"/>
          <w:lang w:eastAsia="pl-PL"/>
        </w:rPr>
        <w:t>269</w:t>
      </w:r>
      <w:r w:rsidR="00230BCC" w:rsidRPr="009A3C86">
        <w:rPr>
          <w:rFonts w:ascii="Times New Roman" w:hAnsi="Times New Roman"/>
          <w:sz w:val="24"/>
          <w:szCs w:val="24"/>
          <w:lang w:eastAsia="pl-PL"/>
        </w:rPr>
        <w:t xml:space="preserve"> </w:t>
      </w:r>
      <w:r w:rsidR="00741954" w:rsidRPr="009A3C86">
        <w:rPr>
          <w:rFonts w:ascii="Times New Roman" w:hAnsi="Times New Roman"/>
          <w:sz w:val="24"/>
          <w:szCs w:val="24"/>
          <w:lang w:eastAsia="pl-PL"/>
        </w:rPr>
        <w:t xml:space="preserve">gwarant lub </w:t>
      </w:r>
      <w:r w:rsidR="00741954" w:rsidRPr="009A3C86">
        <w:rPr>
          <w:rFonts w:ascii="Times New Roman" w:hAnsi="Times New Roman"/>
          <w:sz w:val="24"/>
          <w:szCs w:val="24"/>
          <w:lang w:eastAsia="pl-PL"/>
        </w:rPr>
        <w:lastRenderedPageBreak/>
        <w:t xml:space="preserve">poręczyciel, którego zabezpieczenie zostało przyjęte przez organ podatkowy, odpowiadać będzie tak jak dotychczas (art. 117a o.p.) za zobowiązanie podatkowe wynikające z decyzji, która jest przedmiotem zabezpieczenia, wraz z odsetkami za zwłokę – do wysokości kwoty gwarancji lub poręczenia i w terminie wskazanym w gwarancji lub poręczeniu. Jednakże w stosunku do dotychczasowego zakresu odpowiedzialności gwaranta lub poręczyciela z jego zakresu odpowiedzialności wyeliminowano odpowiedzialność za koszty postępowania egzekucyjnego w celu dostosowania tego zakresu do przepisu art. </w:t>
      </w:r>
      <w:r w:rsidR="00230BCC" w:rsidRPr="009A3C86">
        <w:rPr>
          <w:rFonts w:ascii="Times New Roman" w:hAnsi="Times New Roman"/>
          <w:sz w:val="24"/>
          <w:szCs w:val="24"/>
          <w:lang w:eastAsia="pl-PL"/>
        </w:rPr>
        <w:t>7</w:t>
      </w:r>
      <w:r w:rsidR="00CC7219" w:rsidRPr="009A3C86">
        <w:rPr>
          <w:rFonts w:ascii="Times New Roman" w:hAnsi="Times New Roman"/>
          <w:sz w:val="24"/>
          <w:szCs w:val="24"/>
          <w:lang w:eastAsia="pl-PL"/>
        </w:rPr>
        <w:t>33</w:t>
      </w:r>
      <w:r w:rsidR="00230BCC" w:rsidRPr="009A3C86">
        <w:rPr>
          <w:rFonts w:ascii="Times New Roman" w:hAnsi="Times New Roman"/>
          <w:sz w:val="24"/>
          <w:szCs w:val="24"/>
          <w:lang w:eastAsia="pl-PL"/>
        </w:rPr>
        <w:t xml:space="preserve"> </w:t>
      </w:r>
      <w:r w:rsidR="00741954" w:rsidRPr="009A3C86">
        <w:rPr>
          <w:rFonts w:ascii="Times New Roman" w:hAnsi="Times New Roman"/>
          <w:sz w:val="24"/>
          <w:szCs w:val="24"/>
          <w:lang w:eastAsia="pl-PL"/>
        </w:rPr>
        <w:t xml:space="preserve">§ 2 projektu (art. 33d § 2 o.p.), który nie przewiduje możliwości objęcia gwarancją lub poręczeniem kosztów postępowania egzekucyjnego. Ta sama zasada będzie stosowana w wypadku gwaranta lub poręczyciela, którego zabezpieczenie zostało przyjęte przez organ podatkowy w związku ze zwrotem podatku od towarów i usług. Przepisy art. </w:t>
      </w:r>
      <w:r w:rsidR="00230BCC" w:rsidRPr="009A3C86">
        <w:rPr>
          <w:rFonts w:ascii="Times New Roman" w:hAnsi="Times New Roman"/>
          <w:b/>
          <w:sz w:val="24"/>
          <w:szCs w:val="24"/>
          <w:lang w:eastAsia="pl-PL"/>
        </w:rPr>
        <w:t>270</w:t>
      </w:r>
      <w:r w:rsidR="00741954" w:rsidRPr="009A3C86">
        <w:rPr>
          <w:rFonts w:ascii="Times New Roman" w:hAnsi="Times New Roman"/>
          <w:b/>
          <w:sz w:val="24"/>
          <w:szCs w:val="24"/>
          <w:lang w:eastAsia="pl-PL"/>
        </w:rPr>
        <w:t>-</w:t>
      </w:r>
      <w:r w:rsidR="00230BCC" w:rsidRPr="009A3C86">
        <w:rPr>
          <w:rFonts w:ascii="Times New Roman" w:hAnsi="Times New Roman"/>
          <w:b/>
          <w:sz w:val="24"/>
          <w:szCs w:val="24"/>
          <w:lang w:eastAsia="pl-PL"/>
        </w:rPr>
        <w:t>271</w:t>
      </w:r>
      <w:r w:rsidR="00230BCC" w:rsidRPr="009A3C86">
        <w:rPr>
          <w:rFonts w:ascii="Times New Roman" w:hAnsi="Times New Roman"/>
          <w:sz w:val="24"/>
          <w:szCs w:val="24"/>
          <w:lang w:eastAsia="pl-PL"/>
        </w:rPr>
        <w:t xml:space="preserve"> </w:t>
      </w:r>
      <w:r w:rsidR="00741954" w:rsidRPr="009A3C86">
        <w:rPr>
          <w:rFonts w:ascii="Times New Roman" w:hAnsi="Times New Roman"/>
          <w:sz w:val="24"/>
          <w:szCs w:val="24"/>
          <w:lang w:eastAsia="pl-PL"/>
        </w:rPr>
        <w:t>projektu są powtórzeniem dotychczasowych przepisów art. 117b i art. 117c o.p.</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2. Art. </w:t>
      </w:r>
      <w:r w:rsidR="00230BCC" w:rsidRPr="009A3C86">
        <w:rPr>
          <w:rFonts w:ascii="Times New Roman" w:hAnsi="Times New Roman"/>
          <w:b/>
          <w:color w:val="000000"/>
          <w:sz w:val="24"/>
          <w:szCs w:val="24"/>
          <w:lang w:eastAsia="pl-PL"/>
        </w:rPr>
        <w:t>272</w:t>
      </w:r>
      <w:r w:rsidR="00230BCC"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projektu jest przepisem, stanowiącym w zasadzie  odpowiednik art. 117d o.p. w brzmieniu nadanym mu przez ustawę z dnia 5 lipca 2018 r. o zarządzie sukcesyjnym przedsiębiorstwem osoby fizycznej</w:t>
      </w:r>
      <w:r w:rsidRPr="009A3C86">
        <w:rPr>
          <w:rFonts w:ascii="Times New Roman" w:hAnsi="Times New Roman"/>
          <w:color w:val="000000"/>
          <w:sz w:val="24"/>
          <w:szCs w:val="24"/>
          <w:vertAlign w:val="superscript"/>
          <w:lang w:eastAsia="pl-PL"/>
        </w:rPr>
        <w:footnoteReference w:id="316"/>
      </w:r>
      <w:r w:rsidRPr="009A3C86">
        <w:rPr>
          <w:rFonts w:ascii="Times New Roman" w:hAnsi="Times New Roman"/>
          <w:color w:val="000000"/>
          <w:sz w:val="24"/>
          <w:szCs w:val="24"/>
          <w:lang w:eastAsia="pl-PL"/>
        </w:rPr>
        <w:t xml:space="preserve">. Treść tego przepisu została dostosowana do rozwiązań przyjętych w projekcie w związku z odrębnym uregulowaniem odpowiedzialności całym swoim majątkiem (art. </w:t>
      </w:r>
      <w:r w:rsidR="00EE049D" w:rsidRPr="009A3C86">
        <w:rPr>
          <w:rFonts w:ascii="Times New Roman" w:hAnsi="Times New Roman"/>
          <w:color w:val="000000"/>
          <w:sz w:val="24"/>
          <w:szCs w:val="24"/>
          <w:lang w:eastAsia="pl-PL"/>
        </w:rPr>
        <w:t xml:space="preserve">242 </w:t>
      </w:r>
      <w:r w:rsidRPr="009A3C86">
        <w:rPr>
          <w:rFonts w:ascii="Times New Roman" w:hAnsi="Times New Roman"/>
          <w:color w:val="000000"/>
          <w:sz w:val="24"/>
          <w:szCs w:val="24"/>
          <w:lang w:eastAsia="pl-PL"/>
        </w:rPr>
        <w:t>§</w:t>
      </w:r>
      <w:r w:rsidR="006E7ADD"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1 i 2), a także w zakresie odpowiedzialności solidarnej (art.</w:t>
      </w:r>
      <w:r w:rsidR="00633419" w:rsidRPr="009A3C86">
        <w:rPr>
          <w:rFonts w:ascii="Times New Roman" w:hAnsi="Times New Roman"/>
          <w:color w:val="000000"/>
          <w:sz w:val="24"/>
          <w:szCs w:val="24"/>
          <w:lang w:eastAsia="pl-PL"/>
        </w:rPr>
        <w:t xml:space="preserve"> </w:t>
      </w:r>
      <w:r w:rsidR="00EE049D" w:rsidRPr="009A3C86">
        <w:rPr>
          <w:rFonts w:ascii="Times New Roman" w:hAnsi="Times New Roman"/>
          <w:color w:val="000000"/>
          <w:sz w:val="24"/>
          <w:szCs w:val="24"/>
          <w:lang w:eastAsia="pl-PL"/>
        </w:rPr>
        <w:t xml:space="preserve">249 </w:t>
      </w:r>
      <w:r w:rsidRPr="009A3C86">
        <w:rPr>
          <w:rFonts w:ascii="Times New Roman" w:hAnsi="Times New Roman"/>
          <w:color w:val="000000"/>
          <w:sz w:val="24"/>
          <w:szCs w:val="24"/>
          <w:lang w:eastAsia="pl-PL"/>
        </w:rPr>
        <w:t xml:space="preserve">§ 1 i 3). Przepisy projektu ustawa ordynacja podatkowa przejęły zawarte w powyższej ustawie określenia przedsiębiorstwo w spadku (art.13 pkt 14) oraz zarząd sukcesyjny (art. 13 pkt 22). Jako osoba trzecia (art. </w:t>
      </w:r>
      <w:r w:rsidR="00EE049D" w:rsidRPr="009A3C86">
        <w:rPr>
          <w:rFonts w:ascii="Times New Roman" w:hAnsi="Times New Roman"/>
          <w:color w:val="000000"/>
          <w:sz w:val="24"/>
          <w:szCs w:val="24"/>
          <w:lang w:eastAsia="pl-PL"/>
        </w:rPr>
        <w:t xml:space="preserve">272 </w:t>
      </w:r>
      <w:r w:rsidRPr="009A3C86">
        <w:rPr>
          <w:rFonts w:ascii="Times New Roman" w:hAnsi="Times New Roman"/>
          <w:color w:val="000000"/>
          <w:sz w:val="24"/>
          <w:szCs w:val="24"/>
          <w:lang w:eastAsia="pl-PL"/>
        </w:rPr>
        <w:t xml:space="preserve">§ 1 projektu) zarządca sukcesyjny (tryby jego ustanowienia i powołania określają odpowiednio art. 7 ust. 1, art. 9, art. 12 oraz art. 13 i art. 14 powyższej ustawy) odpowiada solidarnie z podatnikiem oraz osobami, o których mowa w art. </w:t>
      </w:r>
      <w:r w:rsidR="00EE049D" w:rsidRPr="009A3C86">
        <w:rPr>
          <w:rFonts w:ascii="Times New Roman" w:hAnsi="Times New Roman"/>
          <w:color w:val="000000"/>
          <w:sz w:val="24"/>
          <w:szCs w:val="24"/>
          <w:lang w:eastAsia="pl-PL"/>
        </w:rPr>
        <w:t xml:space="preserve">286 </w:t>
      </w:r>
      <w:r w:rsidRPr="009A3C86">
        <w:rPr>
          <w:rFonts w:ascii="Times New Roman" w:hAnsi="Times New Roman"/>
          <w:color w:val="000000"/>
          <w:sz w:val="24"/>
          <w:szCs w:val="24"/>
          <w:lang w:eastAsia="pl-PL"/>
        </w:rPr>
        <w:t xml:space="preserve">§ 1 (zapisobiercą windykacyjnym, spadkobiercami i małżonkiem zmarłego przedsiębiorcy) i § 2 (osobami, które uczestniczyły w powołaniu zarządcy sukcesyjnego, a następnie odrzuciły spadek albo okazało się, że nie są spadkobiercami, z tym że osoby, które odrzuciły spadek nie odpowiadają za zobowiązania podatkowe przedsiębiorstwa w spadku powstałe po dniu, w którym ten spadek odrzuciły, a osoby, które nie są spadkobiercami - za zobowiązania podatkowe przedsiębiorstwa w spadku powstałe po dniu, w którym uprawomocniło się postanowienie o stwierdzeniu nabycia spadku, zarejestrowano akt poświadczenia dziedziczenia albo wydano europejskie poświadczenie spadkowe). W związku z treścią art. </w:t>
      </w:r>
      <w:r w:rsidR="000163B5" w:rsidRPr="009A3C86">
        <w:rPr>
          <w:rFonts w:ascii="Times New Roman" w:hAnsi="Times New Roman"/>
          <w:color w:val="000000"/>
          <w:sz w:val="24"/>
          <w:szCs w:val="24"/>
          <w:lang w:eastAsia="pl-PL"/>
        </w:rPr>
        <w:t xml:space="preserve">286 </w:t>
      </w:r>
      <w:r w:rsidRPr="009A3C86">
        <w:rPr>
          <w:rFonts w:ascii="Times New Roman" w:hAnsi="Times New Roman"/>
          <w:color w:val="000000"/>
          <w:sz w:val="24"/>
          <w:szCs w:val="24"/>
          <w:lang w:eastAsia="pl-PL"/>
        </w:rPr>
        <w:t xml:space="preserve">projektu  bezprzedmiotowe stało się zawarte w art. 117d o.p. odesłanie do art. 97a § 1 i 2 o.p. Jest </w:t>
      </w:r>
      <w:r w:rsidRPr="009A3C86">
        <w:rPr>
          <w:rFonts w:ascii="Times New Roman" w:hAnsi="Times New Roman"/>
          <w:color w:val="000000"/>
          <w:sz w:val="24"/>
          <w:szCs w:val="24"/>
          <w:lang w:eastAsia="pl-PL"/>
        </w:rPr>
        <w:lastRenderedPageBreak/>
        <w:t>charakterystyczne, że obowiązujący art. 97a o.p. nie uregulował terminu płatności należności od "przedsiębiorstwa w spadku".</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Kolejnym zarządcą (art. </w:t>
      </w:r>
      <w:r w:rsidR="000163B5" w:rsidRPr="009A3C86">
        <w:rPr>
          <w:rFonts w:ascii="Times New Roman" w:hAnsi="Times New Roman"/>
          <w:color w:val="000000"/>
          <w:sz w:val="24"/>
          <w:szCs w:val="24"/>
          <w:lang w:eastAsia="pl-PL"/>
        </w:rPr>
        <w:t xml:space="preserve">272 </w:t>
      </w:r>
      <w:r w:rsidRPr="009A3C86">
        <w:rPr>
          <w:rFonts w:ascii="Times New Roman" w:hAnsi="Times New Roman"/>
          <w:color w:val="000000"/>
          <w:sz w:val="24"/>
          <w:szCs w:val="24"/>
          <w:lang w:eastAsia="pl-PL"/>
        </w:rPr>
        <w:t>§ 4 zdanie drugie) jest zarządca faktyczny, to jest osoba, która faktycznie zajmuje się sprawami gospodarczymi (chodzi o osoby wymienione w art. 13 i 14</w:t>
      </w:r>
      <w:r w:rsidR="00247839" w:rsidRPr="009A3C86">
        <w:rPr>
          <w:rFonts w:ascii="Times New Roman" w:hAnsi="Times New Roman"/>
          <w:color w:val="000000"/>
          <w:sz w:val="24"/>
          <w:szCs w:val="24"/>
          <w:lang w:eastAsia="pl-PL"/>
        </w:rPr>
        <w:t xml:space="preserve"> powyższej</w:t>
      </w:r>
      <w:r w:rsidRPr="009A3C86">
        <w:rPr>
          <w:rFonts w:ascii="Times New Roman" w:hAnsi="Times New Roman"/>
          <w:color w:val="000000"/>
          <w:sz w:val="24"/>
          <w:szCs w:val="24"/>
          <w:lang w:eastAsia="pl-PL"/>
        </w:rPr>
        <w:t xml:space="preserve"> ustawy). W szczególności finansowymi przedsiębiorstwa w spadku. Definicji tej nie ma w ustawie o zarządzie sukcesyjnym przedsiębiorstwem osoby fizycznej, gdyż nie użyto w niej tego określenia, ale jak się wydaje są to nie tylko osoby z art. 13 i 14 ustawy, jest zaś w art. 117d § 4 zdanie drugie o.p. (art. </w:t>
      </w:r>
      <w:r w:rsidR="000163B5" w:rsidRPr="009A3C86">
        <w:rPr>
          <w:rFonts w:ascii="Times New Roman" w:hAnsi="Times New Roman"/>
          <w:color w:val="000000"/>
          <w:sz w:val="24"/>
          <w:szCs w:val="24"/>
          <w:lang w:eastAsia="pl-PL"/>
        </w:rPr>
        <w:t xml:space="preserve">272 </w:t>
      </w:r>
      <w:r w:rsidRPr="009A3C86">
        <w:rPr>
          <w:rFonts w:ascii="Times New Roman" w:hAnsi="Times New Roman"/>
          <w:color w:val="000000"/>
          <w:sz w:val="24"/>
          <w:szCs w:val="24"/>
          <w:lang w:eastAsia="pl-PL"/>
        </w:rPr>
        <w:t xml:space="preserve">§ 4 zdanie drugie projektu). Zarządca taki może funkcjonować przed powołaniem zarządcy sukcesyjnego w trybach przewidzianych w ustawie, w szczególności w okresie od śmierci przedsiębiorcy. Jak się wydaje może nim być też osoba wprawdzie wskazana jako zarządca sukcesyjny, który jednak nie został wpisany do CEIDG, bez względu na powody. Dla zaistnienia tej odpowiedzialności musi on dokonać czynności skutkującej powstaniem zobowiązania podatkowego. </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Podkreślić też trzeba, że z przepisu art. </w:t>
      </w:r>
      <w:r w:rsidR="000163B5" w:rsidRPr="009A3C86">
        <w:rPr>
          <w:rFonts w:ascii="Times New Roman" w:hAnsi="Times New Roman"/>
          <w:color w:val="000000"/>
          <w:sz w:val="24"/>
          <w:szCs w:val="24"/>
          <w:lang w:eastAsia="pl-PL"/>
        </w:rPr>
        <w:t xml:space="preserve">272 </w:t>
      </w:r>
      <w:r w:rsidRPr="009A3C86">
        <w:rPr>
          <w:rFonts w:ascii="Times New Roman" w:hAnsi="Times New Roman"/>
          <w:color w:val="000000"/>
          <w:sz w:val="24"/>
          <w:szCs w:val="24"/>
          <w:lang w:eastAsia="pl-PL"/>
        </w:rPr>
        <w:t xml:space="preserve">§ 1 projektu wykreślono w porównaniu do art. 117d § 1 o.p.  przesłankę odpowiedzialności wskazującą, iż egzekucja z majątku zarządcy sukcesyjnego może być prowadzona w przypadku, gdy egzekucja z majątku podatnika oraz osób, o których mowa w art. 97a § 1 i 2 o.p. ( art. </w:t>
      </w:r>
      <w:r w:rsidR="000163B5" w:rsidRPr="009A3C86">
        <w:rPr>
          <w:rFonts w:ascii="Times New Roman" w:hAnsi="Times New Roman"/>
          <w:color w:val="000000"/>
          <w:sz w:val="24"/>
          <w:szCs w:val="24"/>
          <w:lang w:eastAsia="pl-PL"/>
        </w:rPr>
        <w:t xml:space="preserve">286 </w:t>
      </w:r>
      <w:r w:rsidRPr="009A3C86">
        <w:rPr>
          <w:rFonts w:ascii="Times New Roman" w:hAnsi="Times New Roman"/>
          <w:color w:val="000000"/>
          <w:sz w:val="24"/>
          <w:szCs w:val="24"/>
          <w:lang w:eastAsia="pl-PL"/>
        </w:rPr>
        <w:t>§ 1 i 2 projektu) okaże się bezskuteczna, jako że uregulowanie odpowiadające tej treści zostało systemowo przeniesione do ustawy o postępowaniu egzekucyjnym w administracji, jako art 5a u.p.e.a.</w:t>
      </w:r>
    </w:p>
    <w:p w:rsidR="00741954" w:rsidRPr="009A3C86" w:rsidRDefault="00741954" w:rsidP="00741954">
      <w:pPr>
        <w:spacing w:after="0" w:line="360" w:lineRule="auto"/>
        <w:jc w:val="both"/>
        <w:rPr>
          <w:rFonts w:ascii="Times New Roman" w:hAnsi="Times New Roman"/>
          <w:sz w:val="24"/>
          <w:szCs w:val="24"/>
          <w:lang w:eastAsia="pl-PL"/>
        </w:rPr>
      </w:pPr>
      <w:r w:rsidRPr="009A3C86">
        <w:rPr>
          <w:rFonts w:ascii="Times New Roman" w:hAnsi="Times New Roman"/>
          <w:color w:val="000000"/>
          <w:sz w:val="24"/>
          <w:szCs w:val="24"/>
          <w:lang w:eastAsia="pl-PL"/>
        </w:rPr>
        <w:t xml:space="preserve">3. Nową regulacją będzie art. </w:t>
      </w:r>
      <w:r w:rsidR="000163B5" w:rsidRPr="009A3C86">
        <w:rPr>
          <w:rFonts w:ascii="Times New Roman" w:hAnsi="Times New Roman"/>
          <w:b/>
          <w:color w:val="000000"/>
          <w:sz w:val="24"/>
          <w:szCs w:val="24"/>
          <w:lang w:eastAsia="pl-PL"/>
        </w:rPr>
        <w:t>273</w:t>
      </w:r>
      <w:r w:rsidRPr="009A3C86">
        <w:rPr>
          <w:rFonts w:ascii="Times New Roman" w:hAnsi="Times New Roman"/>
          <w:b/>
          <w:color w:val="000000"/>
          <w:sz w:val="24"/>
          <w:szCs w:val="24"/>
          <w:lang w:eastAsia="pl-PL"/>
        </w:rPr>
        <w:t>,</w:t>
      </w:r>
      <w:r w:rsidRPr="009A3C86">
        <w:rPr>
          <w:rFonts w:ascii="Times New Roman" w:hAnsi="Times New Roman"/>
          <w:color w:val="000000"/>
          <w:sz w:val="24"/>
          <w:szCs w:val="24"/>
          <w:lang w:eastAsia="pl-PL"/>
        </w:rPr>
        <w:t xml:space="preserve"> w myśl którego zapisobierca zwykły, który otrzymał należny mu zapis, odpowiadać będzie jako osoba trzecia za należności spadkodawcy, o których mowa w art. </w:t>
      </w:r>
      <w:r w:rsidR="000163B5" w:rsidRPr="009A3C86">
        <w:rPr>
          <w:rFonts w:ascii="Times New Roman" w:hAnsi="Times New Roman"/>
          <w:color w:val="000000"/>
          <w:sz w:val="24"/>
          <w:szCs w:val="24"/>
          <w:lang w:eastAsia="pl-PL"/>
        </w:rPr>
        <w:t xml:space="preserve">249 </w:t>
      </w:r>
      <w:r w:rsidRPr="009A3C86">
        <w:rPr>
          <w:rFonts w:ascii="Times New Roman" w:hAnsi="Times New Roman"/>
          <w:color w:val="000000"/>
          <w:sz w:val="24"/>
          <w:szCs w:val="24"/>
          <w:lang w:eastAsia="pl-PL"/>
        </w:rPr>
        <w:t>§ 1 pkt 1-6. Dlatego należało pominąć regulację zawartą w art. 106</w:t>
      </w:r>
      <w:r w:rsidRPr="009A3C86">
        <w:rPr>
          <w:rFonts w:ascii="Times New Roman" w:hAnsi="Times New Roman"/>
          <w:sz w:val="24"/>
          <w:szCs w:val="24"/>
          <w:lang w:eastAsia="pl-PL"/>
        </w:rPr>
        <w:t xml:space="preserve"> o.p., w tym także zmiany dokonane w tym przepisie ustawą o zarządzie sukcesyjnym przedsiębiorstwem osoby fizycznej. Odpowiedzialność ta będzie ograniczona do wartości rynkowej korzyści otrzymanej z tytułu zapisu zwykłego. Przez określenie wartość otrzymanej korzyści rozumieć należy wartość uzyskanego wzbogacenia. Jeżeli bowiem zapisobierca zwykły został obciążony obowiązkiem wykonania dalszego zapisu, to zakres jego odpowiedzialności za należności spadkodawcy określone w art. </w:t>
      </w:r>
      <w:r w:rsidR="000E2681" w:rsidRPr="009A3C86">
        <w:rPr>
          <w:rFonts w:ascii="Times New Roman" w:hAnsi="Times New Roman"/>
          <w:sz w:val="24"/>
          <w:szCs w:val="24"/>
          <w:lang w:eastAsia="pl-PL"/>
        </w:rPr>
        <w:t xml:space="preserve"> 249 </w:t>
      </w:r>
      <w:r w:rsidRPr="009A3C86">
        <w:rPr>
          <w:rFonts w:ascii="Times New Roman" w:hAnsi="Times New Roman"/>
          <w:sz w:val="24"/>
          <w:szCs w:val="24"/>
          <w:lang w:eastAsia="pl-PL"/>
        </w:rPr>
        <w:t xml:space="preserve">§ 1 pkt 1-6 projektu ulegnie zmniejszeniu i obejmie tylko tę korzyść majątkową, którą w efekcie uzyskał. Wartość rynkowa przedmiotu zapisu zwykłego będzie kształtowała zakres odpowiedzialności zapisobiercy zwykłego tylko wówczas, gdy zapisobierca ten nie będzie obciążony dalszym zapisem. W przeciwnym razie jego zakres odpowiedzialności będzie pomniejszony o wartość rynkową dalszego zapisu. Zbliżone rozwiązanie znajduje się w art. 1003-1007 k.c. w przypadku odpowiedzialności spadkobierców z tytułu zachowku, którzy mogą żądać stosunkowego zmniejszenia zapisów zwykłych i </w:t>
      </w:r>
      <w:r w:rsidRPr="009A3C86">
        <w:rPr>
          <w:rFonts w:ascii="Times New Roman" w:hAnsi="Times New Roman"/>
          <w:sz w:val="24"/>
          <w:szCs w:val="24"/>
          <w:lang w:eastAsia="pl-PL"/>
        </w:rPr>
        <w:lastRenderedPageBreak/>
        <w:t xml:space="preserve">poleceń. Status zapisobiercy zwykłego ulegnie tym samym zmianie w stosunku do obecnego stanu prawnego. Dzisiejsze przepisy, ustanawiające jego odpowiedzialność jako następcy prawnego spadkodawcy (art. 106 o.p.), nie sprawdziły się bowiem w praktyce. Status osoby trzeciej lepiej oddaje ideę odpowiedzialności ustanawianej dla tej kategorii podmiotów. </w:t>
      </w:r>
    </w:p>
    <w:p w:rsidR="00741954" w:rsidRPr="009A3C86" w:rsidRDefault="00741954" w:rsidP="00D72E74">
      <w:pPr>
        <w:spacing w:after="120" w:line="360" w:lineRule="auto"/>
        <w:jc w:val="both"/>
        <w:rPr>
          <w:rFonts w:ascii="Times New Roman" w:hAnsi="Times New Roman"/>
          <w:sz w:val="24"/>
          <w:szCs w:val="24"/>
          <w:lang w:eastAsia="pl-PL"/>
        </w:rPr>
      </w:pPr>
      <w:r w:rsidRPr="009A3C86">
        <w:rPr>
          <w:rFonts w:ascii="Times New Roman" w:hAnsi="Times New Roman"/>
          <w:sz w:val="24"/>
          <w:szCs w:val="24"/>
          <w:lang w:eastAsia="pl-PL"/>
        </w:rPr>
        <w:t>4.</w:t>
      </w:r>
      <w:r w:rsidR="000E2681" w:rsidRPr="009A3C86">
        <w:rPr>
          <w:rFonts w:ascii="Times New Roman" w:hAnsi="Times New Roman"/>
          <w:sz w:val="24"/>
          <w:szCs w:val="24"/>
          <w:lang w:eastAsia="pl-PL"/>
        </w:rPr>
        <w:t xml:space="preserve"> </w:t>
      </w:r>
      <w:r w:rsidRPr="009A3C86">
        <w:rPr>
          <w:rFonts w:ascii="Times New Roman" w:hAnsi="Times New Roman"/>
          <w:sz w:val="24"/>
          <w:szCs w:val="24"/>
          <w:lang w:eastAsia="pl-PL"/>
        </w:rPr>
        <w:t>W piśmiennictwie – wskazanym niżej – od dłuższego czasu pojawiały się poglądy o konieczności wyeliminowania możliwości stosowania w sprawach podatkowych przepisów tytułu X Księgi Trzeciej Kodeksu cywilnego o ochronie wierzyciela w razie niewypłacalności dłużnika (art. 527-534 k.c.). Okoliczność ta uzasadniała zajęcie się tą problematyką. W związku z powyższym dokonano analizy wyroku Trybunału Konstytucyjnego  z dnia 10 lipca 2000 r., SK 12/99, Dz. U. z 2000 r., nr 55, poz. 665, a także orzeczeń Sądu Najwyższego,</w:t>
      </w:r>
      <w:r w:rsidRPr="009A3C86">
        <w:rPr>
          <w:rFonts w:ascii="Times New Roman" w:hAnsi="Times New Roman"/>
          <w:sz w:val="24"/>
          <w:szCs w:val="24"/>
          <w:lang w:eastAsia="pl-PL"/>
        </w:rPr>
        <w:br/>
        <w:t>w szczególności uchwały 7 sędziów SN z dnia 12 marca 2003 r., III CZP 85/02</w:t>
      </w:r>
      <w:r w:rsidRPr="009A3C86">
        <w:rPr>
          <w:rFonts w:ascii="Times New Roman" w:hAnsi="Times New Roman"/>
          <w:sz w:val="24"/>
          <w:szCs w:val="24"/>
          <w:vertAlign w:val="superscript"/>
          <w:lang w:eastAsia="pl-PL"/>
        </w:rPr>
        <w:footnoteReference w:id="317"/>
      </w:r>
      <w:r w:rsidRPr="009A3C86">
        <w:rPr>
          <w:rFonts w:ascii="Times New Roman" w:hAnsi="Times New Roman"/>
          <w:sz w:val="24"/>
          <w:szCs w:val="24"/>
          <w:lang w:eastAsia="pl-PL"/>
        </w:rPr>
        <w:t>, dostrzegając także pojawiające się poglądy odmienne</w:t>
      </w:r>
      <w:r w:rsidRPr="009A3C86">
        <w:rPr>
          <w:rFonts w:ascii="Times New Roman" w:hAnsi="Times New Roman"/>
          <w:sz w:val="24"/>
          <w:szCs w:val="24"/>
          <w:vertAlign w:val="superscript"/>
          <w:lang w:eastAsia="pl-PL"/>
        </w:rPr>
        <w:footnoteReference w:id="318"/>
      </w:r>
      <w:r w:rsidRPr="009A3C86">
        <w:rPr>
          <w:rFonts w:ascii="Times New Roman" w:hAnsi="Times New Roman"/>
          <w:sz w:val="24"/>
          <w:szCs w:val="24"/>
          <w:lang w:eastAsia="pl-PL"/>
        </w:rPr>
        <w:t xml:space="preserve"> na zagadnienie dopuszczalności wykorzystywania przez organy podatkowe, w sprawach o należności podatkowe, instytucji prawnej skargi pauliańskiej (art. 527-534 k.c.). Zapoznano się także z poglądami piśmiennictwa na to zagadnienie</w:t>
      </w:r>
      <w:r w:rsidRPr="009A3C86">
        <w:rPr>
          <w:rFonts w:ascii="Times New Roman" w:hAnsi="Times New Roman"/>
          <w:sz w:val="24"/>
          <w:szCs w:val="24"/>
          <w:vertAlign w:val="superscript"/>
          <w:lang w:eastAsia="pl-PL"/>
        </w:rPr>
        <w:footnoteReference w:id="319"/>
      </w:r>
      <w:r w:rsidRPr="009A3C86">
        <w:rPr>
          <w:rFonts w:ascii="Times New Roman" w:hAnsi="Times New Roman"/>
          <w:sz w:val="24"/>
          <w:szCs w:val="24"/>
          <w:lang w:eastAsia="pl-PL"/>
        </w:rPr>
        <w:t>. Zbadano również stopień wykorzystywania tej instytucji prawnej przez organy podatkowe</w:t>
      </w:r>
      <w:r w:rsidRPr="009A3C86">
        <w:rPr>
          <w:rFonts w:ascii="Times New Roman" w:hAnsi="Times New Roman"/>
          <w:sz w:val="24"/>
          <w:szCs w:val="24"/>
          <w:vertAlign w:val="superscript"/>
          <w:lang w:eastAsia="pl-PL"/>
        </w:rPr>
        <w:footnoteReference w:id="320"/>
      </w:r>
      <w:r w:rsidRPr="009A3C86">
        <w:rPr>
          <w:rFonts w:ascii="Times New Roman" w:hAnsi="Times New Roman"/>
          <w:sz w:val="24"/>
          <w:szCs w:val="24"/>
          <w:lang w:eastAsia="pl-PL"/>
        </w:rPr>
        <w:t xml:space="preserve">. Dostrzeżono w związku z tym trudności w możliwości przeniesienia przepisów o skardze pauliańskiej do przepisów projektowanej ordynacji podatkowej, w tym także ich dostosowania do dochodzenia tych należności. Trudności wiążą się z niemożliwością zmiany przez Komisję - kluczowego dla tej kwestii - art. 1 k.p.c. zawierającego definicję sprawy cywilnej. W konsekwencji uznano, że istniejące rozwiązania prawne w tym zakresie należy pozostawić w przepisach ordynacji podatkowej bez zmian. Nie bez wpływu na to stanowisko miał także wyrok Trybunału Konstytucyjnego z dnia 18 kwietnia 2018 r., K 52/16, Dz. U. z 2018 r., poz. 760, z którego wynika, że art. 527 § 1 k.c. w zakresie, w jakim znajduje </w:t>
      </w:r>
      <w:r w:rsidRPr="009A3C86">
        <w:rPr>
          <w:rFonts w:ascii="Times New Roman" w:hAnsi="Times New Roman"/>
          <w:sz w:val="24"/>
          <w:szCs w:val="24"/>
          <w:lang w:eastAsia="pl-PL"/>
        </w:rPr>
        <w:lastRenderedPageBreak/>
        <w:t xml:space="preserve">zastosowanie na zasadzie analogii legis do ochrony należności publicznoprawnych, jest zgodny z art. 2 Konstytucji RP. </w:t>
      </w:r>
    </w:p>
    <w:bookmarkEnd w:id="33"/>
    <w:p w:rsidR="00741954" w:rsidRPr="009A3C86" w:rsidRDefault="00741954" w:rsidP="00741954">
      <w:pPr>
        <w:tabs>
          <w:tab w:val="num" w:pos="720"/>
        </w:tabs>
        <w:spacing w:after="0" w:line="360" w:lineRule="auto"/>
        <w:jc w:val="both"/>
        <w:outlineLvl w:val="2"/>
        <w:rPr>
          <w:rFonts w:ascii="Times New Roman" w:eastAsia="Times New Roman" w:hAnsi="Times New Roman"/>
          <w:b/>
          <w:sz w:val="24"/>
          <w:szCs w:val="24"/>
        </w:rPr>
      </w:pPr>
      <w:r w:rsidRPr="009A3C86">
        <w:rPr>
          <w:rFonts w:ascii="Times New Roman" w:eastAsia="Times New Roman" w:hAnsi="Times New Roman"/>
          <w:b/>
          <w:sz w:val="24"/>
          <w:szCs w:val="24"/>
        </w:rPr>
        <w:t>Rozdział 1</w:t>
      </w:r>
      <w:r w:rsidR="00F74759" w:rsidRPr="009A3C86">
        <w:rPr>
          <w:rFonts w:ascii="Times New Roman" w:eastAsia="Times New Roman" w:hAnsi="Times New Roman"/>
          <w:b/>
          <w:sz w:val="24"/>
          <w:szCs w:val="24"/>
        </w:rPr>
        <w:t>2</w:t>
      </w:r>
      <w:r w:rsidRPr="009A3C86">
        <w:rPr>
          <w:rFonts w:ascii="Times New Roman" w:eastAsia="Times New Roman" w:hAnsi="Times New Roman"/>
          <w:b/>
          <w:sz w:val="24"/>
          <w:szCs w:val="24"/>
        </w:rPr>
        <w:t>. Następstwo prawne</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W obowiązującej ustawie – Ordynacja podatkowa przepisy odnoszące się do następstwa prawnego ujęte są w rozdziale 14 działu III „Prawa i obowiązki następców prawnych oraz podmiotów przekształconych”. Kolejność podmiotów wymienionych w tytule została wymieniona odwrotnie niż w regulacji zawartej w tym rozdziale. W dodatku zamieszczono w nim jako następców prawnych (art. 106 o.p.) zapisobierców bez wskazania, o jakich zapisobierców chodzi: zwykłych, dalszych czy też zapisobierców windykacyjnych, w sytuacji gdy ustawa – Kodeks cywilny od dnia wejścia w życie ustawy z dnia 18 marca 2011 r. o zmianie ustawy – Kodeks cywilny oraz niektórych innych ustaw</w:t>
      </w:r>
      <w:r w:rsidRPr="009A3C86">
        <w:rPr>
          <w:rFonts w:ascii="Times New Roman" w:eastAsia="Times New Roman" w:hAnsi="Times New Roman"/>
          <w:sz w:val="24"/>
          <w:szCs w:val="24"/>
          <w:vertAlign w:val="superscript"/>
        </w:rPr>
        <w:footnoteReference w:id="321"/>
      </w:r>
      <w:r w:rsidRPr="009A3C86">
        <w:rPr>
          <w:rFonts w:ascii="Times New Roman" w:eastAsia="Times New Roman" w:hAnsi="Times New Roman"/>
          <w:sz w:val="24"/>
          <w:szCs w:val="24"/>
        </w:rPr>
        <w:t xml:space="preserve"> rozróżnia te trzy instytucje prawne. Ponadto powyższą ustawą zmieniono przepisy ustawy z dnia 28 lipca 1983 r. o podatku od spadków i darowizn</w:t>
      </w:r>
      <w:r w:rsidRPr="009A3C86">
        <w:rPr>
          <w:rFonts w:ascii="Times New Roman" w:eastAsia="Times New Roman" w:hAnsi="Times New Roman"/>
          <w:sz w:val="24"/>
          <w:szCs w:val="24"/>
          <w:vertAlign w:val="superscript"/>
        </w:rPr>
        <w:footnoteReference w:id="322"/>
      </w:r>
      <w:r w:rsidRPr="009A3C86">
        <w:rPr>
          <w:rFonts w:ascii="Times New Roman" w:eastAsia="Times New Roman" w:hAnsi="Times New Roman"/>
          <w:sz w:val="24"/>
          <w:szCs w:val="24"/>
        </w:rPr>
        <w:t xml:space="preserve">, a nie zmieniono ustawy – Ordynacja podatkowa i nie wprowadzono reguły interpretacyjnej, jak rozumieć określenia „zapis” i „zapisobierca”, używane w przepisach, które obowiązywały przed dniem wejścia w życie tej ustawy, tj. przed dniem 23 października 2011 r. Oznacza to istnienie niespójności terminologicznej i rozbieżności między tytułem rozdziału i jego zawartością (następcy prawni to zarówno podmioty przekształcone, jak i spadkobiercy). Usytuowanie zapisobierców zwykłych (art. </w:t>
      </w:r>
      <w:r w:rsidR="002C767C" w:rsidRPr="009A3C86">
        <w:rPr>
          <w:rFonts w:ascii="Times New Roman" w:eastAsia="Times New Roman" w:hAnsi="Times New Roman"/>
          <w:sz w:val="24"/>
          <w:szCs w:val="24"/>
        </w:rPr>
        <w:t xml:space="preserve">278  </w:t>
      </w:r>
      <w:r w:rsidRPr="009A3C86">
        <w:rPr>
          <w:rFonts w:ascii="Times New Roman" w:eastAsia="Times New Roman" w:hAnsi="Times New Roman"/>
          <w:sz w:val="24"/>
          <w:szCs w:val="24"/>
        </w:rPr>
        <w:t>projektu) jako osób trzecich pozwoli na wyeliminowanie wątpliwości co do statusu dalszych zapisobiorców zwykłych</w:t>
      </w:r>
      <w:r w:rsidRPr="009A3C86">
        <w:rPr>
          <w:rFonts w:ascii="Times New Roman" w:eastAsia="Times New Roman" w:hAnsi="Times New Roman"/>
          <w:sz w:val="24"/>
          <w:szCs w:val="24"/>
          <w:vertAlign w:val="superscript"/>
        </w:rPr>
        <w:footnoteReference w:id="323"/>
      </w:r>
      <w:r w:rsidRPr="009A3C86">
        <w:rPr>
          <w:rFonts w:ascii="Times New Roman" w:eastAsia="Times New Roman" w:hAnsi="Times New Roman"/>
          <w:sz w:val="24"/>
          <w:szCs w:val="24"/>
        </w:rPr>
        <w:t xml:space="preserve">. Podmioty te nie są zgodnie z projektem ani następcami prawnymi, ani osobami trzecimi. </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Z powyższych względów rozdział 1</w:t>
      </w:r>
      <w:r w:rsidR="00247839"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działu II otrzymał jasne i klarowne brzmienie „Następstwo prawne”. Dla nazwy tego tytułu nie ma znaczenia to, że nie wszystkie przypadki wskazane w treści rozdziału 1</w:t>
      </w:r>
      <w:r w:rsidR="00247839"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działu II są przypadkami, w których dochodzi do wstąpienia we wszelkie prawa i obowiązki poprzednika prawnego, skoro tak nie było i dotychczas. Prawo podatkowe, a </w:t>
      </w:r>
      <w:r w:rsidR="002C767C" w:rsidRPr="009A3C86">
        <w:rPr>
          <w:rFonts w:ascii="Times New Roman" w:eastAsia="Times New Roman" w:hAnsi="Times New Roman"/>
          <w:sz w:val="24"/>
          <w:szCs w:val="24"/>
        </w:rPr>
        <w:t xml:space="preserve">Ordynacja </w:t>
      </w:r>
      <w:r w:rsidRPr="009A3C86">
        <w:rPr>
          <w:rFonts w:ascii="Times New Roman" w:eastAsia="Times New Roman" w:hAnsi="Times New Roman"/>
          <w:sz w:val="24"/>
          <w:szCs w:val="24"/>
        </w:rPr>
        <w:t>podatkowa w szczególności, nie rozróżnia następstwa prawnego pod tytułem ogólnym i szczególnym, a wszystkie te przypadki określa jako następstwo prawne. Oznacza to, że nazwa rozdziału 1</w:t>
      </w:r>
      <w:r w:rsidR="00247839"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działu II nie przesądza zakresu przedmiotowego następstwa prawnego.</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Ponadto zdecydowano się na podział przepisów o następstwie prawnym na dwa oddziały. Oddział 1 odnosi się do następstwa prawnego podmiotów przekształconych i obejmie dotychczas obowiązujące art. 93-96 o.p. i art. 102 § 3 o.p., zaś oddział 2 przepisy art. 97-105 o.p. </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Powyższe pozwoliło na podział, co do zasady, podmiotów na te, które:</w:t>
      </w:r>
    </w:p>
    <w:p w:rsidR="00741954" w:rsidRPr="009A3C86" w:rsidRDefault="00741954" w:rsidP="00741954">
      <w:pPr>
        <w:spacing w:after="0" w:line="360" w:lineRule="auto"/>
        <w:ind w:hanging="283"/>
        <w:jc w:val="both"/>
        <w:rPr>
          <w:rFonts w:ascii="Times New Roman" w:eastAsia="Times New Roman" w:hAnsi="Times New Roman"/>
          <w:sz w:val="24"/>
          <w:szCs w:val="24"/>
        </w:rPr>
      </w:pPr>
      <w:r w:rsidRPr="009A3C86">
        <w:rPr>
          <w:rFonts w:ascii="Times New Roman" w:eastAsia="Times New Roman" w:hAnsi="Times New Roman"/>
          <w:sz w:val="24"/>
          <w:szCs w:val="24"/>
        </w:rPr>
        <w:t>–</w:t>
      </w:r>
      <w:r w:rsidRPr="009A3C86">
        <w:rPr>
          <w:rFonts w:ascii="Times New Roman" w:eastAsia="Times New Roman" w:hAnsi="Times New Roman"/>
          <w:sz w:val="24"/>
          <w:szCs w:val="24"/>
        </w:rPr>
        <w:tab/>
        <w:t xml:space="preserve">wstępują we wszelkie przewidziane w przepisach prawa podatkowego prawa i obowiązki; a obecnie są to: art. 93, art. 93a § 1–3, art. 93b, art. 93c, art. 93d o.p. (odpowiednio to art. </w:t>
      </w:r>
      <w:r w:rsidR="002C767C" w:rsidRPr="009A3C86">
        <w:rPr>
          <w:rFonts w:ascii="Times New Roman" w:eastAsia="Times New Roman" w:hAnsi="Times New Roman"/>
          <w:sz w:val="24"/>
          <w:szCs w:val="24"/>
        </w:rPr>
        <w:t>274</w:t>
      </w:r>
      <w:r w:rsidRPr="009A3C86">
        <w:rPr>
          <w:rFonts w:ascii="Times New Roman" w:eastAsia="Times New Roman" w:hAnsi="Times New Roman"/>
          <w:sz w:val="24"/>
          <w:szCs w:val="24"/>
        </w:rPr>
        <w:t xml:space="preserve">, art. </w:t>
      </w:r>
      <w:r w:rsidR="002C767C" w:rsidRPr="009A3C86">
        <w:rPr>
          <w:rFonts w:ascii="Times New Roman" w:eastAsia="Times New Roman" w:hAnsi="Times New Roman"/>
          <w:sz w:val="24"/>
          <w:szCs w:val="24"/>
        </w:rPr>
        <w:t xml:space="preserve">275 </w:t>
      </w:r>
      <w:r w:rsidRPr="009A3C86">
        <w:rPr>
          <w:rFonts w:ascii="Times New Roman" w:eastAsia="Times New Roman" w:hAnsi="Times New Roman"/>
          <w:sz w:val="24"/>
          <w:szCs w:val="24"/>
        </w:rPr>
        <w:t xml:space="preserve">§ 1-3, art. </w:t>
      </w:r>
      <w:r w:rsidR="002C767C" w:rsidRPr="009A3C86">
        <w:rPr>
          <w:rFonts w:ascii="Times New Roman" w:eastAsia="Times New Roman" w:hAnsi="Times New Roman"/>
          <w:sz w:val="24"/>
          <w:szCs w:val="24"/>
        </w:rPr>
        <w:t>276</w:t>
      </w:r>
      <w:r w:rsidRPr="009A3C86">
        <w:rPr>
          <w:rFonts w:ascii="Times New Roman" w:eastAsia="Times New Roman" w:hAnsi="Times New Roman"/>
          <w:sz w:val="24"/>
          <w:szCs w:val="24"/>
        </w:rPr>
        <w:t xml:space="preserve">, art. </w:t>
      </w:r>
      <w:r w:rsidR="002C767C" w:rsidRPr="009A3C86">
        <w:rPr>
          <w:rFonts w:ascii="Times New Roman" w:eastAsia="Times New Roman" w:hAnsi="Times New Roman"/>
          <w:sz w:val="24"/>
          <w:szCs w:val="24"/>
        </w:rPr>
        <w:t>277</w:t>
      </w:r>
      <w:r w:rsidRPr="009A3C86">
        <w:rPr>
          <w:rFonts w:ascii="Times New Roman" w:eastAsia="Times New Roman" w:hAnsi="Times New Roman"/>
          <w:sz w:val="24"/>
          <w:szCs w:val="24"/>
        </w:rPr>
        <w:t>);</w:t>
      </w:r>
    </w:p>
    <w:p w:rsidR="00741954" w:rsidRPr="009A3C86" w:rsidRDefault="00741954" w:rsidP="00741954">
      <w:pPr>
        <w:spacing w:after="0" w:line="360" w:lineRule="auto"/>
        <w:ind w:hanging="283"/>
        <w:jc w:val="both"/>
        <w:rPr>
          <w:rFonts w:ascii="Times New Roman" w:eastAsia="Times New Roman" w:hAnsi="Times New Roman"/>
          <w:sz w:val="24"/>
          <w:szCs w:val="24"/>
        </w:rPr>
      </w:pPr>
      <w:r w:rsidRPr="009A3C86">
        <w:rPr>
          <w:rFonts w:ascii="Times New Roman" w:eastAsia="Times New Roman" w:hAnsi="Times New Roman"/>
          <w:sz w:val="24"/>
          <w:szCs w:val="24"/>
        </w:rPr>
        <w:t>–</w:t>
      </w:r>
      <w:r w:rsidRPr="009A3C86">
        <w:rPr>
          <w:rFonts w:ascii="Times New Roman" w:eastAsia="Times New Roman" w:hAnsi="Times New Roman"/>
          <w:sz w:val="24"/>
          <w:szCs w:val="24"/>
        </w:rPr>
        <w:tab/>
        <w:t xml:space="preserve">wstępują w przewidziane w przepisach prawa podatkowego prawa przekształconego przedsiębiorcy (art. 93a § 4 o.p.), wniesionego przedsiębiorstwa (art. 93a § 5 o.p.) – z wyjątkiem tych praw, które nie mogą być kontynuowane na podstawie przepisów regulujących opodatkowanie ich poprzedników prawnych (odpowiedzialność spółek kapitałowych, spółek niemających osobowości prawnej), a ich odpowiednikami w projekcie są art. </w:t>
      </w:r>
      <w:r w:rsidR="002C767C" w:rsidRPr="009A3C86">
        <w:rPr>
          <w:rFonts w:ascii="Times New Roman" w:eastAsia="Times New Roman" w:hAnsi="Times New Roman"/>
          <w:sz w:val="24"/>
          <w:szCs w:val="24"/>
        </w:rPr>
        <w:t xml:space="preserve">275 </w:t>
      </w:r>
      <w:r w:rsidRPr="009A3C86">
        <w:rPr>
          <w:rFonts w:ascii="Times New Roman" w:eastAsia="Times New Roman" w:hAnsi="Times New Roman"/>
          <w:sz w:val="24"/>
          <w:szCs w:val="24"/>
        </w:rPr>
        <w:t xml:space="preserve">§ 4 i art. </w:t>
      </w:r>
      <w:r w:rsidR="002C767C" w:rsidRPr="009A3C86">
        <w:rPr>
          <w:rFonts w:ascii="Times New Roman" w:eastAsia="Times New Roman" w:hAnsi="Times New Roman"/>
          <w:sz w:val="24"/>
          <w:szCs w:val="24"/>
        </w:rPr>
        <w:t xml:space="preserve">276 </w:t>
      </w:r>
      <w:r w:rsidRPr="009A3C86">
        <w:rPr>
          <w:rFonts w:ascii="Times New Roman" w:eastAsia="Times New Roman" w:hAnsi="Times New Roman"/>
          <w:sz w:val="24"/>
          <w:szCs w:val="24"/>
        </w:rPr>
        <w:t>§ 5;</w:t>
      </w:r>
    </w:p>
    <w:p w:rsidR="00741954" w:rsidRPr="009A3C86" w:rsidRDefault="00741954" w:rsidP="00741954">
      <w:pPr>
        <w:spacing w:after="0" w:line="360" w:lineRule="auto"/>
        <w:ind w:hanging="283"/>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w:t>
      </w:r>
      <w:r w:rsidR="002C767C" w:rsidRPr="009A3C86">
        <w:rPr>
          <w:rFonts w:ascii="Times New Roman" w:eastAsia="Times New Roman" w:hAnsi="Times New Roman"/>
          <w:sz w:val="24"/>
          <w:szCs w:val="24"/>
        </w:rPr>
        <w:tab/>
      </w:r>
      <w:r w:rsidRPr="009A3C86">
        <w:rPr>
          <w:rFonts w:ascii="Times New Roman" w:eastAsia="Times New Roman" w:hAnsi="Times New Roman"/>
          <w:sz w:val="24"/>
          <w:szCs w:val="24"/>
        </w:rPr>
        <w:t xml:space="preserve">wstępują z dniem otwarcia spadku we wszelkie przewidziane w przepisach prawa podatkowego prawa i obowiązki spadkodawcy prowadzącego przedsiębiorstwo, a związane z tym przedsiębiorstwem jako przedmiotem zapisu windykacyjnego ustanowionego na rzecz tego zapisobiorcy windykacyjnego (art. </w:t>
      </w:r>
      <w:r w:rsidR="002C767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4 i art.</w:t>
      </w:r>
      <w:r w:rsidR="00633419" w:rsidRPr="009A3C86">
        <w:rPr>
          <w:rFonts w:ascii="Times New Roman" w:eastAsia="Times New Roman" w:hAnsi="Times New Roman"/>
          <w:sz w:val="24"/>
          <w:szCs w:val="24"/>
        </w:rPr>
        <w:t xml:space="preserve"> </w:t>
      </w:r>
      <w:r w:rsidR="002C767C" w:rsidRPr="009A3C86">
        <w:rPr>
          <w:rFonts w:ascii="Times New Roman" w:eastAsia="Times New Roman" w:hAnsi="Times New Roman"/>
          <w:sz w:val="24"/>
          <w:szCs w:val="24"/>
        </w:rPr>
        <w:t xml:space="preserve">285 </w:t>
      </w:r>
      <w:r w:rsidRPr="009A3C86">
        <w:rPr>
          <w:rFonts w:ascii="Times New Roman" w:eastAsia="Times New Roman" w:hAnsi="Times New Roman"/>
          <w:sz w:val="24"/>
          <w:szCs w:val="24"/>
        </w:rPr>
        <w:t>§ 2 projektu);</w:t>
      </w:r>
    </w:p>
    <w:p w:rsidR="00741954" w:rsidRPr="009A3C86" w:rsidRDefault="00741954" w:rsidP="00741954">
      <w:pPr>
        <w:spacing w:after="0" w:line="360" w:lineRule="auto"/>
        <w:ind w:hanging="283"/>
        <w:jc w:val="both"/>
        <w:rPr>
          <w:rFonts w:ascii="Times New Roman" w:eastAsia="Times New Roman" w:hAnsi="Times New Roman"/>
          <w:sz w:val="24"/>
          <w:szCs w:val="24"/>
        </w:rPr>
      </w:pPr>
      <w:r w:rsidRPr="009A3C86">
        <w:rPr>
          <w:rFonts w:ascii="Times New Roman" w:eastAsia="Times New Roman" w:hAnsi="Times New Roman"/>
          <w:sz w:val="24"/>
          <w:szCs w:val="24"/>
        </w:rPr>
        <w:t>–</w:t>
      </w:r>
      <w:r w:rsidRPr="009A3C86">
        <w:rPr>
          <w:rFonts w:ascii="Times New Roman" w:eastAsia="Times New Roman" w:hAnsi="Times New Roman"/>
          <w:sz w:val="24"/>
          <w:szCs w:val="24"/>
        </w:rPr>
        <w:tab/>
        <w:t xml:space="preserve">przejmują jako spadkobiercy podatnika, płatnika i inkasenta, jeżeli przepisy szczególne nie stanowią inaczej, wszelkie przewidziane w przepisach prawa podatkowego prawa i obowiązki spadkodawcy (art. </w:t>
      </w:r>
      <w:r w:rsidR="002C767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1), przy czym </w:t>
      </w:r>
      <w:r w:rsidR="00F30B50" w:rsidRPr="009A3C86">
        <w:rPr>
          <w:rFonts w:ascii="Times New Roman" w:eastAsia="Times New Roman" w:hAnsi="Times New Roman"/>
          <w:sz w:val="24"/>
          <w:szCs w:val="24"/>
        </w:rPr>
        <w:t xml:space="preserve">w zasadzie jego </w:t>
      </w:r>
      <w:r w:rsidRPr="009A3C86">
        <w:rPr>
          <w:rFonts w:ascii="Times New Roman" w:eastAsia="Times New Roman" w:hAnsi="Times New Roman"/>
          <w:sz w:val="24"/>
          <w:szCs w:val="24"/>
        </w:rPr>
        <w:t>odpowiednikiem</w:t>
      </w:r>
      <w:r w:rsidR="002C767C"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ale w innym zakresie, jest art. 97 o.p. </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Jeżeli chodzi o regulację następstwa prawnego podmiotów przekształconych, to projekt ustawy – Ordynacja podatkowa zachowuje stan dotychczasowy, albowiem regulacja ta jest prawidłowa i nie wywołuje rozbieżności w orzecznictwie sądów administracyjnych. Zwrócić tu jednak uwagę trzeba na to, że określenie „łączenie się” obejmie także łączenie transgraniczne spółek (art. </w:t>
      </w:r>
      <w:r w:rsidR="002C767C" w:rsidRPr="009A3C86">
        <w:rPr>
          <w:rFonts w:ascii="Times New Roman" w:eastAsia="Times New Roman" w:hAnsi="Times New Roman"/>
          <w:sz w:val="24"/>
          <w:szCs w:val="24"/>
        </w:rPr>
        <w:t xml:space="preserve">274 </w:t>
      </w:r>
      <w:r w:rsidRPr="009A3C86">
        <w:rPr>
          <w:rFonts w:ascii="Times New Roman" w:eastAsia="Times New Roman" w:hAnsi="Times New Roman"/>
          <w:sz w:val="24"/>
          <w:szCs w:val="24"/>
        </w:rPr>
        <w:t>§ 3 projektu). Wynika to z wykładni systemowej. Z art. 516</w:t>
      </w:r>
      <w:r w:rsidRPr="009A3C86">
        <w:rPr>
          <w:rFonts w:ascii="Times New Roman" w:eastAsia="Times New Roman" w:hAnsi="Times New Roman"/>
          <w:sz w:val="24"/>
          <w:szCs w:val="24"/>
          <w:vertAlign w:val="superscript"/>
        </w:rPr>
        <w:t>1</w:t>
      </w:r>
      <w:r w:rsidRPr="009A3C86">
        <w:rPr>
          <w:rFonts w:ascii="Times New Roman" w:eastAsia="Times New Roman" w:hAnsi="Times New Roman"/>
          <w:sz w:val="24"/>
          <w:szCs w:val="24"/>
        </w:rPr>
        <w:t xml:space="preserve"> k.s.h. wynika, że „Połączenie transgraniczne spółek kapitałowych podlega przepisom rozdziału 2 (art. 498-516 k.s.h. - łączenie się spółek kapitałowych), jeżeli przepisy niniejszego rozdziału nie stanowią inaczej”. Oznacza to, że odnoszą się one do określenia łączenie się spółek kapitałowych także na gruncie ustawy – Ordynacja podatkowa. Jednakże dla </w:t>
      </w:r>
      <w:r w:rsidR="00F30B50" w:rsidRPr="009A3C86">
        <w:rPr>
          <w:rFonts w:ascii="Times New Roman" w:eastAsia="Times New Roman" w:hAnsi="Times New Roman"/>
          <w:sz w:val="24"/>
          <w:szCs w:val="24"/>
        </w:rPr>
        <w:t xml:space="preserve">jasności i </w:t>
      </w:r>
      <w:r w:rsidR="00C153E8" w:rsidRPr="009A3C86">
        <w:rPr>
          <w:rFonts w:ascii="Times New Roman" w:eastAsia="Times New Roman" w:hAnsi="Times New Roman"/>
          <w:sz w:val="24"/>
          <w:szCs w:val="24"/>
        </w:rPr>
        <w:t>klarowności tej</w:t>
      </w:r>
      <w:r w:rsidRPr="009A3C86">
        <w:rPr>
          <w:rFonts w:ascii="Times New Roman" w:eastAsia="Times New Roman" w:hAnsi="Times New Roman"/>
          <w:sz w:val="24"/>
          <w:szCs w:val="24"/>
        </w:rPr>
        <w:t xml:space="preserve"> kwestii następstwo to doprecyzowano w art. </w:t>
      </w:r>
      <w:r w:rsidR="002C767C" w:rsidRPr="009A3C86">
        <w:rPr>
          <w:rFonts w:ascii="Times New Roman" w:eastAsia="Times New Roman" w:hAnsi="Times New Roman"/>
          <w:sz w:val="24"/>
          <w:szCs w:val="24"/>
        </w:rPr>
        <w:t xml:space="preserve">274 </w:t>
      </w:r>
      <w:r w:rsidRPr="009A3C86">
        <w:rPr>
          <w:rFonts w:ascii="Times New Roman" w:eastAsia="Times New Roman" w:hAnsi="Times New Roman"/>
          <w:sz w:val="24"/>
          <w:szCs w:val="24"/>
        </w:rPr>
        <w:t>§ 3 projektu. Zauważyć tylko należy, że transgraniczne łączenie się spółek kapitałowych nie dotyczy łączenia się ze spółkami osobowymi, gdyż ustrojowa regulacja w tym zakresie w art. 516</w:t>
      </w:r>
      <w:r w:rsidRPr="009A3C86">
        <w:rPr>
          <w:rFonts w:ascii="Times New Roman" w:eastAsia="Times New Roman" w:hAnsi="Times New Roman"/>
          <w:sz w:val="24"/>
          <w:szCs w:val="24"/>
          <w:vertAlign w:val="superscript"/>
        </w:rPr>
        <w:t>1</w:t>
      </w:r>
      <w:r w:rsidRPr="009A3C86">
        <w:rPr>
          <w:rFonts w:ascii="Times New Roman" w:eastAsia="Times New Roman" w:hAnsi="Times New Roman"/>
          <w:sz w:val="24"/>
          <w:szCs w:val="24"/>
        </w:rPr>
        <w:t xml:space="preserve"> k.s.h. nie odsyła do przepisów </w:t>
      </w:r>
      <w:r w:rsidRPr="009A3C86">
        <w:rPr>
          <w:rFonts w:ascii="Times New Roman" w:eastAsia="Times New Roman" w:hAnsi="Times New Roman"/>
          <w:sz w:val="24"/>
          <w:szCs w:val="24"/>
        </w:rPr>
        <w:lastRenderedPageBreak/>
        <w:t>art. 491-497 k.s.h. (przepisy ogólne) i art. 517-527 (łączenie się z udziałem spółek osobowych</w:t>
      </w:r>
      <w:r w:rsidRPr="009A3C86">
        <w:rPr>
          <w:rFonts w:ascii="Times New Roman" w:eastAsia="Times New Roman" w:hAnsi="Times New Roman"/>
          <w:sz w:val="24"/>
          <w:szCs w:val="24"/>
          <w:vertAlign w:val="superscript"/>
        </w:rPr>
        <w:footnoteReference w:id="324"/>
      </w:r>
      <w:r w:rsidR="00633419" w:rsidRPr="009A3C86">
        <w:rPr>
          <w:rFonts w:ascii="Times New Roman" w:eastAsia="Times New Roman" w:hAnsi="Times New Roman"/>
          <w:sz w:val="24"/>
          <w:szCs w:val="24"/>
        </w:rPr>
        <w:t>)</w:t>
      </w:r>
      <w:r w:rsidRPr="009A3C86">
        <w:rPr>
          <w:rFonts w:ascii="Times New Roman" w:eastAsia="Times New Roman" w:hAnsi="Times New Roman"/>
          <w:sz w:val="24"/>
          <w:szCs w:val="24"/>
        </w:rPr>
        <w:t>. Odmienny pogląd co do stosowania przepisów art. 491-497 k.s.h. reprezentuje A. Kidyba</w:t>
      </w:r>
      <w:r w:rsidRPr="009A3C86">
        <w:rPr>
          <w:rFonts w:ascii="Times New Roman" w:eastAsia="Times New Roman" w:hAnsi="Times New Roman"/>
          <w:sz w:val="24"/>
          <w:szCs w:val="24"/>
          <w:vertAlign w:val="superscript"/>
        </w:rPr>
        <w:footnoteReference w:id="325"/>
      </w:r>
      <w:r w:rsidRPr="009A3C86">
        <w:rPr>
          <w:rFonts w:ascii="Times New Roman" w:eastAsia="Times New Roman" w:hAnsi="Times New Roman"/>
          <w:sz w:val="24"/>
          <w:szCs w:val="24"/>
        </w:rPr>
        <w:t>, ale dotyczy on stosowania przepisów ogólnych odnoszących się do łączenia spółek kapitałowych. Podkreślenia wymaga tutaj, że przepis art. 516</w:t>
      </w:r>
      <w:r w:rsidRPr="009A3C86">
        <w:rPr>
          <w:rFonts w:ascii="Times New Roman" w:eastAsia="Times New Roman" w:hAnsi="Times New Roman"/>
          <w:sz w:val="24"/>
          <w:szCs w:val="24"/>
          <w:vertAlign w:val="superscript"/>
        </w:rPr>
        <w:t>1</w:t>
      </w:r>
      <w:r w:rsidRPr="009A3C86">
        <w:rPr>
          <w:rFonts w:ascii="Times New Roman" w:eastAsia="Times New Roman" w:hAnsi="Times New Roman"/>
          <w:sz w:val="24"/>
          <w:szCs w:val="24"/>
        </w:rPr>
        <w:t xml:space="preserve"> k.s.h. jest implementacją Dyrektywy 2005/56/WE Parlamentu Europejskiego i Rady z dnia 26 października 2005 r. w sprawie transgranicznego łączenia się spółek kapitałowych</w:t>
      </w:r>
      <w:r w:rsidRPr="009A3C86">
        <w:rPr>
          <w:rFonts w:ascii="Times New Roman" w:eastAsia="Times New Roman" w:hAnsi="Times New Roman"/>
          <w:sz w:val="24"/>
          <w:szCs w:val="24"/>
          <w:vertAlign w:val="superscript"/>
        </w:rPr>
        <w:footnoteReference w:id="326"/>
      </w:r>
      <w:r w:rsidRPr="009A3C86">
        <w:rPr>
          <w:rFonts w:ascii="Times New Roman" w:eastAsia="Times New Roman" w:hAnsi="Times New Roman"/>
          <w:sz w:val="24"/>
          <w:szCs w:val="24"/>
        </w:rPr>
        <w:t xml:space="preserve">. Połączenie to oznacza nie tylko inkorporację (przejęcie), ale i fuzję. Podobne rozwiązanie zastosowano w przypadku transgranicznego podziału spółek, o którym mowa w Dyrektywie Parlamentu Europejskiego i Rady (UE) 2017/1132 w sprawie niektórych aspektów prawa spółek (tekst jednolity) Dz.U. UE. L. 2017. 169. 46, które uwzględniono w art. </w:t>
      </w:r>
      <w:r w:rsidR="001805BB" w:rsidRPr="009A3C86">
        <w:rPr>
          <w:rFonts w:ascii="Times New Roman" w:eastAsia="Times New Roman" w:hAnsi="Times New Roman"/>
          <w:sz w:val="24"/>
          <w:szCs w:val="24"/>
        </w:rPr>
        <w:t xml:space="preserve">277 </w:t>
      </w:r>
      <w:r w:rsidRPr="009A3C86">
        <w:rPr>
          <w:rFonts w:ascii="Times New Roman" w:eastAsia="Times New Roman" w:hAnsi="Times New Roman"/>
          <w:sz w:val="24"/>
          <w:szCs w:val="24"/>
        </w:rPr>
        <w:t>§ 2 projektu.</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Zmianie natomiast uległ przepis art. 93d o.p. (art. </w:t>
      </w:r>
      <w:r w:rsidR="001805BB" w:rsidRPr="009A3C86">
        <w:rPr>
          <w:rFonts w:ascii="Times New Roman" w:eastAsia="Times New Roman" w:hAnsi="Times New Roman"/>
          <w:b/>
          <w:sz w:val="24"/>
          <w:szCs w:val="24"/>
        </w:rPr>
        <w:t xml:space="preserve">278 </w:t>
      </w:r>
      <w:r w:rsidRPr="009A3C86">
        <w:rPr>
          <w:rFonts w:ascii="Times New Roman" w:eastAsia="Times New Roman" w:hAnsi="Times New Roman"/>
          <w:b/>
          <w:sz w:val="24"/>
          <w:szCs w:val="24"/>
        </w:rPr>
        <w:t>pkt 1 i 2</w:t>
      </w:r>
      <w:r w:rsidRPr="009A3C86">
        <w:rPr>
          <w:rFonts w:ascii="Times New Roman" w:eastAsia="Times New Roman" w:hAnsi="Times New Roman"/>
          <w:sz w:val="24"/>
          <w:szCs w:val="24"/>
        </w:rPr>
        <w:t xml:space="preserve"> projektu). Przepis ten uzupełniono o dodany pkt 2 odnoszący się do stosowania przepisów art. </w:t>
      </w:r>
      <w:r w:rsidR="001805BB" w:rsidRPr="009A3C86">
        <w:rPr>
          <w:rFonts w:ascii="Times New Roman" w:eastAsia="Times New Roman" w:hAnsi="Times New Roman"/>
          <w:sz w:val="24"/>
          <w:szCs w:val="24"/>
        </w:rPr>
        <w:t>274</w:t>
      </w:r>
      <w:r w:rsidRPr="009A3C86">
        <w:rPr>
          <w:rFonts w:ascii="Times New Roman" w:eastAsia="Times New Roman" w:hAnsi="Times New Roman"/>
          <w:sz w:val="24"/>
          <w:szCs w:val="24"/>
        </w:rPr>
        <w:t>-</w:t>
      </w:r>
      <w:r w:rsidR="001805BB" w:rsidRPr="009A3C86">
        <w:rPr>
          <w:rFonts w:ascii="Times New Roman" w:eastAsia="Times New Roman" w:hAnsi="Times New Roman"/>
          <w:sz w:val="24"/>
          <w:szCs w:val="24"/>
        </w:rPr>
        <w:t xml:space="preserve">277 </w:t>
      </w:r>
      <w:r w:rsidRPr="009A3C86">
        <w:rPr>
          <w:rFonts w:ascii="Times New Roman" w:eastAsia="Times New Roman" w:hAnsi="Times New Roman"/>
          <w:sz w:val="24"/>
          <w:szCs w:val="24"/>
        </w:rPr>
        <w:t xml:space="preserve">projektu (art. 93-93c o.p.) nie tylko do praw i obowiązków wynikających z decyzji wydanych na podstawie przepisów prawa podatkowego, ale i do praw i obowiązków wynikających z zastosowania się przez podmioty przekształcane do </w:t>
      </w:r>
      <w:r w:rsidRPr="009A3C86">
        <w:rPr>
          <w:rFonts w:ascii="Times New Roman" w:eastAsia="Times New Roman" w:hAnsi="Times New Roman"/>
          <w:color w:val="000000"/>
          <w:sz w:val="24"/>
          <w:szCs w:val="24"/>
        </w:rPr>
        <w:t>ogólnych i indywidualnych interpretacji przepisów prawa podatkowego oraz objaśnień podatkowych,  a także do informacji ogólnych i do utrwalonej praktyki interpretacyjnej organów podatkowych. W tym zakresie podzielić</w:t>
      </w:r>
      <w:r w:rsidRPr="009A3C86">
        <w:rPr>
          <w:rFonts w:ascii="Times New Roman" w:eastAsia="Times New Roman" w:hAnsi="Times New Roman"/>
          <w:sz w:val="24"/>
          <w:szCs w:val="24"/>
        </w:rPr>
        <w:t xml:space="preserve"> należy poglądy orzecznictwa sądów administracyjnych, że „Następca prawny przejmuje prawo do ochrony wynikające z zastosowania się przez jego poprzednika do interpretacji indywidualnej. Ochrona przewidziana w art. 14k-14n o.p. realizuje się wraz z zastosowaniem się podatnika do interpretacji indywidualnej. Następca prawny podatnika, który kontynuował działalność gospodarczą poprzednika i stosował się do interpretacji indywidualnej, uzyska ochronę wynikającą z tego zastosowania się tylko w takim zakresie i na takich samych warunkach, na jakich przysługiwałaby jego poprzednikowi prawnemu.”</w:t>
      </w:r>
      <w:r w:rsidRPr="009A3C86">
        <w:rPr>
          <w:rFonts w:ascii="Times New Roman" w:eastAsia="Times New Roman" w:hAnsi="Times New Roman"/>
          <w:sz w:val="24"/>
          <w:szCs w:val="24"/>
          <w:vertAlign w:val="superscript"/>
        </w:rPr>
        <w:footnoteReference w:id="327"/>
      </w:r>
      <w:r w:rsidRPr="009A3C86">
        <w:rPr>
          <w:rFonts w:ascii="Times New Roman" w:eastAsia="Times New Roman" w:hAnsi="Times New Roman"/>
          <w:sz w:val="24"/>
          <w:szCs w:val="24"/>
        </w:rPr>
        <w:t xml:space="preserve">. Na skutek zastosowania się podmiotu przekształcanego do udzielonej mu interpretacji indywidualnej przepisów prawa podatkowego dochodzi do konkretyzacji norm prawa podatkowego i wstąpienia w stan ochrony wskazany w art. 14k o.p. (art. </w:t>
      </w:r>
      <w:r w:rsidR="001805BB" w:rsidRPr="009A3C86">
        <w:rPr>
          <w:rFonts w:ascii="Times New Roman" w:eastAsia="Times New Roman" w:hAnsi="Times New Roman"/>
          <w:sz w:val="24"/>
          <w:szCs w:val="24"/>
        </w:rPr>
        <w:t xml:space="preserve">574 </w:t>
      </w:r>
      <w:r w:rsidRPr="009A3C86">
        <w:rPr>
          <w:rFonts w:ascii="Times New Roman" w:eastAsia="Times New Roman" w:hAnsi="Times New Roman"/>
          <w:sz w:val="24"/>
          <w:szCs w:val="24"/>
        </w:rPr>
        <w:t xml:space="preserve">projektu) i wyznaczoną zasadą nieszkodzenia. Można więc </w:t>
      </w:r>
      <w:r w:rsidRPr="009A3C86">
        <w:rPr>
          <w:rFonts w:ascii="Times New Roman" w:eastAsia="Times New Roman" w:hAnsi="Times New Roman"/>
          <w:sz w:val="24"/>
          <w:szCs w:val="24"/>
        </w:rPr>
        <w:lastRenderedPageBreak/>
        <w:t>przyjąć, że „z chwilą wydania interpretacji indywidualnej zainteresowany zyskuje wprost z mocy ustawy prawo do skorzystania, w razie zastosowania się do stanowiska organu podatkowego, wyrażonego w jej treści z odnoszącej się do sfery jego materialnoprawnych obowiązków ochrony”</w:t>
      </w:r>
      <w:r w:rsidRPr="009A3C86">
        <w:rPr>
          <w:rFonts w:ascii="Times New Roman" w:eastAsia="Times New Roman" w:hAnsi="Times New Roman"/>
          <w:sz w:val="24"/>
          <w:szCs w:val="24"/>
          <w:vertAlign w:val="superscript"/>
        </w:rPr>
        <w:footnoteReference w:id="328"/>
      </w:r>
      <w:r w:rsidRPr="009A3C86">
        <w:rPr>
          <w:rFonts w:ascii="Times New Roman" w:eastAsia="Times New Roman" w:hAnsi="Times New Roman"/>
          <w:sz w:val="24"/>
          <w:szCs w:val="24"/>
        </w:rPr>
        <w:t>.</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5. Utrzymana w związku z tym została zasada, że przypadki następstwa prawnego podatników kształtują przepisy regulujące ustrój danego podmiotu. Zauważyć bowiem trzeba, że w piśmiennictwie z zakresu prawa cywilnego przyjmuje się jednomyślnie, że sukcesja uniwersalna jest dopuszczalna tylko w przypadkach w ustawie przewidzianych. Poza tym akceptowany jest pogląd, że w drodze sukcesji uniwersalnej następuje nie tylko nabycie praw podmiotowych objętych zakresem sukcesji, ale także związanych z tym obowiązków</w:t>
      </w:r>
      <w:r w:rsidRPr="009A3C86">
        <w:rPr>
          <w:rFonts w:ascii="Times New Roman" w:eastAsia="Times New Roman" w:hAnsi="Times New Roman"/>
          <w:sz w:val="24"/>
          <w:szCs w:val="24"/>
          <w:vertAlign w:val="superscript"/>
        </w:rPr>
        <w:footnoteReference w:id="329"/>
      </w:r>
      <w:r w:rsidRPr="009A3C86">
        <w:rPr>
          <w:rFonts w:ascii="Times New Roman" w:eastAsia="Times New Roman" w:hAnsi="Times New Roman"/>
          <w:sz w:val="24"/>
          <w:szCs w:val="24"/>
        </w:rPr>
        <w:t>. Zasady te niewątpliwie przejmuje do prawa podatkowego obowiązująca ordynacja podatkowa. Jak bowiem przyjmuje się w piśmiennictwie</w:t>
      </w:r>
      <w:r w:rsidRPr="009A3C86">
        <w:rPr>
          <w:rFonts w:ascii="Times New Roman" w:eastAsia="Times New Roman" w:hAnsi="Times New Roman"/>
          <w:sz w:val="24"/>
          <w:szCs w:val="24"/>
          <w:vertAlign w:val="superscript"/>
        </w:rPr>
        <w:footnoteReference w:id="330"/>
      </w:r>
      <w:r w:rsidRPr="009A3C86">
        <w:rPr>
          <w:rFonts w:ascii="Times New Roman" w:eastAsia="Times New Roman" w:hAnsi="Times New Roman"/>
          <w:sz w:val="24"/>
          <w:szCs w:val="24"/>
        </w:rPr>
        <w:t>, a także w orzecznictwie</w:t>
      </w:r>
      <w:r w:rsidRPr="009A3C86">
        <w:rPr>
          <w:rFonts w:ascii="Times New Roman" w:eastAsia="Times New Roman" w:hAnsi="Times New Roman"/>
          <w:sz w:val="24"/>
          <w:szCs w:val="24"/>
          <w:vertAlign w:val="superscript"/>
        </w:rPr>
        <w:footnoteReference w:id="331"/>
      </w:r>
      <w:r w:rsidRPr="009A3C86">
        <w:rPr>
          <w:rFonts w:ascii="Times New Roman" w:eastAsia="Times New Roman" w:hAnsi="Times New Roman"/>
          <w:sz w:val="24"/>
          <w:szCs w:val="24"/>
        </w:rPr>
        <w:t xml:space="preserve">, art. 97 § 1 ordynacji podatkowej stanowi jedyną i wyłączną podstawę dla nabycia przez spadkobierców uprawnień i obowiązków po spadkodawcy. Natomiast przepisy ustaw podatkowych, przepisy prawa materialnego mogą zawierać wyłączenia z zakresu przedmiotowego takiego następstwa prawnego, np. art. 7 ust. 4 u.p.d.o.p., który nie dopuszcza możliwości odliczenia straty w razie przekształcenia formy prawnej, łączenia lub podziału przedsiębiorców. Wyłączenia takie znajdują się także w przepisach projektu ustawy - Ordynacja podatkowa, np. art. </w:t>
      </w:r>
      <w:r w:rsidR="001805BB" w:rsidRPr="009A3C86">
        <w:rPr>
          <w:rFonts w:ascii="Times New Roman" w:eastAsia="Times New Roman" w:hAnsi="Times New Roman"/>
          <w:sz w:val="24"/>
          <w:szCs w:val="24"/>
        </w:rPr>
        <w:t xml:space="preserve">541 </w:t>
      </w:r>
      <w:r w:rsidRPr="009A3C86">
        <w:rPr>
          <w:rFonts w:ascii="Times New Roman" w:eastAsia="Times New Roman" w:hAnsi="Times New Roman"/>
          <w:sz w:val="24"/>
          <w:szCs w:val="24"/>
        </w:rPr>
        <w:t xml:space="preserve">§ 1, art. </w:t>
      </w:r>
      <w:r w:rsidR="001805BB" w:rsidRPr="009A3C86">
        <w:rPr>
          <w:rFonts w:ascii="Times New Roman" w:eastAsia="Times New Roman" w:hAnsi="Times New Roman"/>
          <w:sz w:val="24"/>
          <w:szCs w:val="24"/>
        </w:rPr>
        <w:t>651</w:t>
      </w:r>
      <w:r w:rsidRPr="009A3C86">
        <w:rPr>
          <w:rFonts w:ascii="Times New Roman" w:eastAsia="Times New Roman" w:hAnsi="Times New Roman"/>
          <w:sz w:val="24"/>
          <w:szCs w:val="24"/>
        </w:rPr>
        <w:t xml:space="preserve">. Jest charakterystyczne, że takie ograniczenie (wyłączenie) nie występuje w ustawie o podatku dochodowym od osób fizycznych w razie śmierci podatnika prowadzącego działalność gospodarczą. Oznacza to, na tle obecnej regulacji, że spadkobiercy kontynuujący tę działalność gospodarczą spadkodawcy będą mogli kontynuować odliczanie straty, o której mowa w art. 9 ust. 3 u.p.d.o.f. właśnie w oparciu o zakres przedmiotowy następstwa prawnego spadkobierców wskazany w art. 97 § 1 o.p. (art. </w:t>
      </w:r>
      <w:r w:rsidR="00DF247B" w:rsidRPr="009A3C86">
        <w:rPr>
          <w:rFonts w:ascii="Times New Roman" w:eastAsia="Times New Roman" w:hAnsi="Times New Roman"/>
          <w:b/>
          <w:sz w:val="24"/>
          <w:szCs w:val="24"/>
        </w:rPr>
        <w:t xml:space="preserve">284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projektu). Przykładowo następstwem prawnym objęto to, co było też objęte w dotychczasowej </w:t>
      </w:r>
      <w:r w:rsidR="00DF247B" w:rsidRPr="009A3C86">
        <w:rPr>
          <w:rFonts w:ascii="Times New Roman" w:eastAsia="Times New Roman" w:hAnsi="Times New Roman"/>
          <w:sz w:val="24"/>
          <w:szCs w:val="24"/>
        </w:rPr>
        <w:t>O</w:t>
      </w:r>
      <w:r w:rsidRPr="009A3C86">
        <w:rPr>
          <w:rFonts w:ascii="Times New Roman" w:eastAsia="Times New Roman" w:hAnsi="Times New Roman"/>
          <w:sz w:val="24"/>
          <w:szCs w:val="24"/>
        </w:rPr>
        <w:t xml:space="preserve">rdynacji podatkowej (art. 93a § 4 i 5 o.p.), a więc przypadki wskazane w art. </w:t>
      </w:r>
      <w:r w:rsidR="00DF247B" w:rsidRPr="009A3C86">
        <w:rPr>
          <w:rFonts w:ascii="Times New Roman" w:eastAsia="Times New Roman" w:hAnsi="Times New Roman"/>
          <w:sz w:val="24"/>
          <w:szCs w:val="24"/>
        </w:rPr>
        <w:t xml:space="preserve">275 </w:t>
      </w:r>
      <w:r w:rsidRPr="009A3C86">
        <w:rPr>
          <w:rFonts w:ascii="Times New Roman" w:eastAsia="Times New Roman" w:hAnsi="Times New Roman"/>
          <w:sz w:val="24"/>
          <w:szCs w:val="24"/>
        </w:rPr>
        <w:t xml:space="preserve">§ 4 i 5 projektu. Zasada taka także z uwagi na charakter </w:t>
      </w:r>
      <w:r w:rsidRPr="009A3C86">
        <w:rPr>
          <w:rFonts w:ascii="Times New Roman" w:eastAsia="Times New Roman" w:hAnsi="Times New Roman"/>
          <w:sz w:val="24"/>
          <w:szCs w:val="24"/>
        </w:rPr>
        <w:lastRenderedPageBreak/>
        <w:t xml:space="preserve">przepisów ustawy – Ordynacja podatkowa została zachowana. Realizują ją wprost postanowienia art. </w:t>
      </w:r>
      <w:r w:rsidR="00DF247B" w:rsidRPr="009A3C86">
        <w:rPr>
          <w:rFonts w:ascii="Times New Roman" w:eastAsia="Times New Roman" w:hAnsi="Times New Roman"/>
          <w:sz w:val="24"/>
          <w:szCs w:val="24"/>
        </w:rPr>
        <w:t xml:space="preserve">279 </w:t>
      </w:r>
      <w:r w:rsidRPr="009A3C86">
        <w:rPr>
          <w:rFonts w:ascii="Times New Roman" w:eastAsia="Times New Roman" w:hAnsi="Times New Roman"/>
          <w:sz w:val="24"/>
          <w:szCs w:val="24"/>
        </w:rPr>
        <w:t xml:space="preserve">(art. 93e o.p.) i art. </w:t>
      </w:r>
      <w:r w:rsidR="00DF247B" w:rsidRPr="009A3C86">
        <w:rPr>
          <w:rFonts w:ascii="Times New Roman" w:eastAsia="Times New Roman" w:hAnsi="Times New Roman"/>
          <w:sz w:val="24"/>
          <w:szCs w:val="24"/>
        </w:rPr>
        <w:t xml:space="preserve">275 </w:t>
      </w:r>
      <w:r w:rsidRPr="009A3C86">
        <w:rPr>
          <w:rFonts w:ascii="Times New Roman" w:eastAsia="Times New Roman" w:hAnsi="Times New Roman"/>
          <w:sz w:val="24"/>
          <w:szCs w:val="24"/>
        </w:rPr>
        <w:t xml:space="preserve">projektu. Poza tym przepisy art. </w:t>
      </w:r>
      <w:r w:rsidR="00DF247B" w:rsidRPr="009A3C86">
        <w:rPr>
          <w:rFonts w:ascii="Times New Roman" w:eastAsia="Times New Roman" w:hAnsi="Times New Roman"/>
          <w:b/>
          <w:sz w:val="24"/>
          <w:szCs w:val="24"/>
        </w:rPr>
        <w:t>279</w:t>
      </w:r>
      <w:r w:rsidR="00DF247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i art. </w:t>
      </w:r>
      <w:r w:rsidR="00DF247B" w:rsidRPr="009A3C86">
        <w:rPr>
          <w:rFonts w:ascii="Times New Roman" w:eastAsia="Times New Roman" w:hAnsi="Times New Roman"/>
          <w:b/>
          <w:sz w:val="24"/>
          <w:szCs w:val="24"/>
        </w:rPr>
        <w:t>280</w:t>
      </w:r>
      <w:r w:rsidR="00DF247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projektu w stosunku do obecnie obowiązujących (art. 93e i art. 94 o.p.) zostały poddane zmianom wyłącznie redakcyjnym poprawiającym ich rozumienie.</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art. </w:t>
      </w:r>
      <w:r w:rsidR="00DF247B" w:rsidRPr="009A3C86">
        <w:rPr>
          <w:rFonts w:ascii="Times New Roman" w:eastAsia="Times New Roman" w:hAnsi="Times New Roman"/>
          <w:sz w:val="24"/>
          <w:szCs w:val="24"/>
        </w:rPr>
        <w:t xml:space="preserve">281 </w:t>
      </w:r>
      <w:r w:rsidRPr="009A3C86">
        <w:rPr>
          <w:rFonts w:ascii="Times New Roman" w:eastAsia="Times New Roman" w:hAnsi="Times New Roman"/>
          <w:sz w:val="24"/>
          <w:szCs w:val="24"/>
        </w:rPr>
        <w:t>jest w zasadzie powtórzeniem art. 95 o.p., z tym że został zaktualizowany, jeżeli chodzi o wykreślenie przedsiębiorstwa państwowego z Krajowego Rejestru Sądowego, a nie rejestru przedsiębiorstw państwowych</w:t>
      </w:r>
      <w:r w:rsidRPr="009A3C86">
        <w:rPr>
          <w:rFonts w:ascii="Times New Roman" w:eastAsia="Times New Roman" w:hAnsi="Times New Roman"/>
          <w:sz w:val="24"/>
          <w:szCs w:val="24"/>
          <w:vertAlign w:val="superscript"/>
        </w:rPr>
        <w:footnoteReference w:id="332"/>
      </w:r>
      <w:r w:rsidRPr="009A3C86">
        <w:rPr>
          <w:rFonts w:ascii="Times New Roman" w:eastAsia="Times New Roman" w:hAnsi="Times New Roman"/>
          <w:sz w:val="24"/>
          <w:szCs w:val="24"/>
        </w:rPr>
        <w:t xml:space="preserve">, a także w zakresie oprocentowania zwrotu </w:t>
      </w:r>
      <w:r w:rsidR="00F30B50" w:rsidRPr="009A3C86">
        <w:rPr>
          <w:rFonts w:ascii="Times New Roman" w:eastAsia="Times New Roman" w:hAnsi="Times New Roman"/>
          <w:sz w:val="24"/>
          <w:szCs w:val="24"/>
        </w:rPr>
        <w:t xml:space="preserve">nadpłat i zwrotu </w:t>
      </w:r>
      <w:r w:rsidRPr="009A3C86">
        <w:rPr>
          <w:rFonts w:ascii="Times New Roman" w:eastAsia="Times New Roman" w:hAnsi="Times New Roman"/>
          <w:sz w:val="24"/>
          <w:szCs w:val="24"/>
        </w:rPr>
        <w:t>podatków, a nie zaliczek naliczonego podatku od towarów i usług, których w systemie podatkowym nie ma.</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art. </w:t>
      </w:r>
      <w:r w:rsidR="00DF247B" w:rsidRPr="009A3C86">
        <w:rPr>
          <w:rFonts w:ascii="Times New Roman" w:eastAsia="Times New Roman" w:hAnsi="Times New Roman"/>
          <w:sz w:val="24"/>
          <w:szCs w:val="24"/>
        </w:rPr>
        <w:t xml:space="preserve">282 </w:t>
      </w:r>
      <w:r w:rsidRPr="009A3C86">
        <w:rPr>
          <w:rFonts w:ascii="Times New Roman" w:eastAsia="Times New Roman" w:hAnsi="Times New Roman"/>
          <w:sz w:val="24"/>
          <w:szCs w:val="24"/>
        </w:rPr>
        <w:t xml:space="preserve">jest odpowiednikiem art. 96 o.p. Z kolei przepis art. </w:t>
      </w:r>
      <w:r w:rsidR="00DF247B" w:rsidRPr="009A3C86">
        <w:rPr>
          <w:rFonts w:ascii="Times New Roman" w:eastAsia="Times New Roman" w:hAnsi="Times New Roman"/>
          <w:sz w:val="24"/>
          <w:szCs w:val="24"/>
        </w:rPr>
        <w:t xml:space="preserve">283 </w:t>
      </w:r>
      <w:r w:rsidRPr="009A3C86">
        <w:rPr>
          <w:rFonts w:ascii="Times New Roman" w:eastAsia="Times New Roman" w:hAnsi="Times New Roman"/>
          <w:sz w:val="24"/>
          <w:szCs w:val="24"/>
        </w:rPr>
        <w:t xml:space="preserve">jest dostosowanym przepisem art. 102 § 3 o.p. Przeniesienie tej regulacji z art. 102 § 3 o.p. do art. </w:t>
      </w:r>
      <w:r w:rsidR="00DF247B" w:rsidRPr="009A3C86">
        <w:rPr>
          <w:rFonts w:ascii="Times New Roman" w:eastAsia="Times New Roman" w:hAnsi="Times New Roman"/>
          <w:sz w:val="24"/>
          <w:szCs w:val="24"/>
        </w:rPr>
        <w:t xml:space="preserve">283 </w:t>
      </w:r>
      <w:r w:rsidRPr="009A3C86">
        <w:rPr>
          <w:rFonts w:ascii="Times New Roman" w:eastAsia="Times New Roman" w:hAnsi="Times New Roman"/>
          <w:sz w:val="24"/>
          <w:szCs w:val="24"/>
        </w:rPr>
        <w:t>projektu jest konsekwencją podziału rozdziału 1</w:t>
      </w:r>
      <w:r w:rsidR="00F30B50"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działu II projektu ustawy – Ordynacja podatkowa na dwa oddziały.</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6. Wyraźnego podkreślenia wymaga to, że uznano za celowe wprowadzenie zmienionej metody regulacji przepisów o następstwie prawnym spadkobierców. Polega ona na tym, że przyjęto jednolitą zasadę przejęcia przez spadkobierców wszelkich praw (uprawnień) spadkodawcy, z wyjątkami, które powinny być </w:t>
      </w:r>
      <w:r w:rsidR="00F30B50" w:rsidRPr="009A3C86">
        <w:rPr>
          <w:rFonts w:ascii="Times New Roman" w:eastAsia="Times New Roman" w:hAnsi="Times New Roman"/>
          <w:sz w:val="24"/>
          <w:szCs w:val="24"/>
        </w:rPr>
        <w:t>wyłączone</w:t>
      </w:r>
      <w:r w:rsidR="00C153E8"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przez przepisy ustaw podatkowych albo w przepisach samej ustawy - Ordynacja podatkowa.</w:t>
      </w:r>
      <w:r w:rsidR="00633419"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W uzasadnieniach projektów ustaw wskazywano niejednokrotnie na braki w tym zakresie. Wskazano np., że: „Interpretacje i orzeczenia sądów w zakresie przepisów podatkowych wskazują na brak jednolitego podejścia odnośnie do możliwości pomniejszenia przez spadkobierców przychodów ze zbycia udziałów albo wkładów w spółdzielni, udziałów (akcji) w spółkach mających osobowość prawną oraz innych papierów wartościowych, a także tytułów uczestnictwa lub jednostek uczestnictwa w funduszach kapitałowych, o koszty poniesione na ich nabycie przez spadkodawców. W zaistniałej sytuacji brak pewności obrotu prawnego, uzależnienie od wyroków sądów oraz interpretacji organów administracji podatkowej podejścia do opodatkowania sprzedaży nabytych w drodze spadku udziałów albo wkładów w spółdzielni, udziałów (akcji) w spółkach mających osobowość prawną oraz innych papierów wartościowych, a także tytułów uczestnictwa lub jednostek uczestnictwa w funduszach kapitałowych wpływa niekorzystnie na postrzeganie przez inwestorów przedmiotowej kategorii inwestycji. Ponadto, w omawianym kontekście, obowiązujące obecnie przepisy podatkowe w nieuzasadniony sposób preferują lokaty bankowe, </w:t>
      </w:r>
      <w:r w:rsidRPr="009A3C86">
        <w:rPr>
          <w:rFonts w:ascii="Times New Roman" w:eastAsia="Times New Roman" w:hAnsi="Times New Roman"/>
          <w:sz w:val="24"/>
          <w:szCs w:val="24"/>
        </w:rPr>
        <w:lastRenderedPageBreak/>
        <w:t>gdzie w wyniku ich zakończenia lub zerwania przez spadkobierców nie dochodzi do obowiązku zapłaty podatku od całej wartości lokaty, a jedynie od naliczonych odsetek. Dodatkowo można również wskazać na brak jednolitego podejścia w odniesieniu do dziedziczonych obligacji, gdzie podatek dochodowy płacony jest od całej wartości obligacji w przypadku ich sprzedaży przez spadkobiercę przed terminem wykupu, natomiast w przypadku gdy spadkobierca zatrzyma obligacje do terminu wykupu, wówczas podatek zapłaci wyłącznie od kwoty naliczonego dyskonta lub odsetek.”</w:t>
      </w:r>
      <w:r w:rsidRPr="009A3C86">
        <w:rPr>
          <w:rFonts w:ascii="Times New Roman" w:eastAsia="Times New Roman" w:hAnsi="Times New Roman"/>
          <w:sz w:val="24"/>
          <w:szCs w:val="24"/>
          <w:vertAlign w:val="superscript"/>
        </w:rPr>
        <w:t xml:space="preserve"> </w:t>
      </w:r>
      <w:r w:rsidRPr="009A3C86">
        <w:rPr>
          <w:rFonts w:ascii="Times New Roman" w:eastAsia="Times New Roman" w:hAnsi="Times New Roman"/>
          <w:sz w:val="24"/>
          <w:szCs w:val="24"/>
          <w:vertAlign w:val="superscript"/>
        </w:rPr>
        <w:footnoteReference w:id="333"/>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Nie będzie więc konieczności wskazywania w ustawach podatkowych (art. 13 pkt 21 projektu) szczegółowych praw (uprawnień) przejmowanych przez spadkobierców, tak jak to istnieje w art. 5a pkt 12 i art. 22 ust. 1m u.p.d.o.f.</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odniesieniu zaś do przejmowania obowiązków, to proponuje się jako zasadę wyeliminowanie, w związku ze sporami w orzecznictwie, przejmowani</w:t>
      </w:r>
      <w:r w:rsidR="00633419" w:rsidRPr="009A3C86">
        <w:rPr>
          <w:rFonts w:ascii="Times New Roman" w:eastAsia="Times New Roman" w:hAnsi="Times New Roman"/>
          <w:sz w:val="24"/>
          <w:szCs w:val="24"/>
        </w:rPr>
        <w:t>a</w:t>
      </w:r>
      <w:r w:rsidRPr="009A3C86">
        <w:rPr>
          <w:rFonts w:ascii="Times New Roman" w:eastAsia="Times New Roman" w:hAnsi="Times New Roman"/>
          <w:sz w:val="24"/>
          <w:szCs w:val="24"/>
        </w:rPr>
        <w:t xml:space="preserve"> obowiązku podatkowego we wszystkich tych przypadkach, w których zobowiązania podatkowe spadkodawcy powstają z dniem doręczenia decyzji organu podatkowego ustalającej wysokość zobowiązania podatkowego (art</w:t>
      </w:r>
      <w:r w:rsidRPr="009A3C86">
        <w:rPr>
          <w:rFonts w:ascii="Times New Roman" w:eastAsia="Times New Roman" w:hAnsi="Times New Roman"/>
          <w:b/>
          <w:sz w:val="24"/>
          <w:szCs w:val="24"/>
        </w:rPr>
        <w:t xml:space="preserve">. </w:t>
      </w:r>
      <w:r w:rsidR="002B2888" w:rsidRPr="009A3C86">
        <w:rPr>
          <w:rFonts w:ascii="Times New Roman" w:eastAsia="Times New Roman" w:hAnsi="Times New Roman"/>
          <w:b/>
          <w:sz w:val="24"/>
          <w:szCs w:val="24"/>
        </w:rPr>
        <w:t xml:space="preserve">284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i art. </w:t>
      </w:r>
      <w:r w:rsidR="002B2888" w:rsidRPr="009A3C86">
        <w:rPr>
          <w:rFonts w:ascii="Times New Roman" w:eastAsia="Times New Roman" w:hAnsi="Times New Roman"/>
          <w:b/>
          <w:sz w:val="24"/>
          <w:szCs w:val="24"/>
        </w:rPr>
        <w:t xml:space="preserve">291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Oznacza to, że spadkobiercy przejmą obowiązek podatkowy w przypadku tych podatków, w których zobowiązanie podatkowe spadkodawcy powstaje na skutek zdarzeń, z którymi przepisy prawa wiążą jego powstanie. Spadkobiercy podatnika nie będą natomiast ponosić odpowiedzialności za obowiązek podatkowy spadkodawcy ciążący na nim w zakresie jego zobowiązań, o których mowa w art. </w:t>
      </w:r>
      <w:r w:rsidR="002B2888" w:rsidRPr="009A3C86">
        <w:rPr>
          <w:rFonts w:ascii="Times New Roman" w:eastAsia="Times New Roman" w:hAnsi="Times New Roman"/>
          <w:sz w:val="24"/>
          <w:szCs w:val="24"/>
        </w:rPr>
        <w:t xml:space="preserve">129 </w:t>
      </w:r>
      <w:r w:rsidRPr="009A3C86">
        <w:rPr>
          <w:rFonts w:ascii="Times New Roman" w:eastAsia="Times New Roman" w:hAnsi="Times New Roman"/>
          <w:sz w:val="24"/>
          <w:szCs w:val="24"/>
        </w:rPr>
        <w:t xml:space="preserve">pkt 2, a więc powstających z chwilą doręczenia decyzji organu podatkowego ustalającej wysokość tego zobowiązania (art. </w:t>
      </w:r>
      <w:r w:rsidR="002B2888"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2, art. </w:t>
      </w:r>
      <w:r w:rsidR="002B2888"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xml:space="preserve">§ 2), jeżeli ta decyzja nie została doręczona spadkodawcy. </w:t>
      </w:r>
      <w:r w:rsidRPr="009A3C86">
        <w:rPr>
          <w:rFonts w:ascii="Times New Roman" w:eastAsia="Times New Roman" w:hAnsi="Times New Roman"/>
          <w:color w:val="000000"/>
          <w:sz w:val="24"/>
          <w:szCs w:val="24"/>
        </w:rPr>
        <w:t xml:space="preserve">Przykładowo w przypadku, gdy współwłaściciel nieruchomości (środka transportu, gruntu, lasu) zmarł w trakcie okresu rozliczeniowego, za tę część tego okresu rozliczeniowego, obliczoną proporcjonalnie, a obejmującą okres do śmierci współwłaściciela poniosą pozostali  współwłaściciele  zgodnie z art. 6 ust. 4 i 5 ; art. 9 ust. 2 – 4 u.p.o.l.; art. 6a ust. 2 i 3 u.p.r.; art. 5 ust. 3 u.p.l., w każdym przypadku w związku z art. </w:t>
      </w:r>
      <w:r w:rsidR="00CA7781" w:rsidRPr="009A3C86">
        <w:rPr>
          <w:rFonts w:ascii="Times New Roman" w:eastAsia="Times New Roman" w:hAnsi="Times New Roman"/>
          <w:color w:val="000000"/>
          <w:sz w:val="24"/>
          <w:szCs w:val="24"/>
        </w:rPr>
        <w:t xml:space="preserve">275 </w:t>
      </w:r>
      <w:r w:rsidRPr="009A3C86">
        <w:rPr>
          <w:rFonts w:ascii="Times New Roman" w:eastAsia="Times New Roman" w:hAnsi="Times New Roman"/>
          <w:color w:val="000000"/>
          <w:sz w:val="24"/>
          <w:szCs w:val="24"/>
        </w:rPr>
        <w:t xml:space="preserve">§ 2 i art. </w:t>
      </w:r>
      <w:r w:rsidR="00CA7781" w:rsidRPr="009A3C86">
        <w:rPr>
          <w:rFonts w:ascii="Times New Roman" w:eastAsia="Times New Roman" w:hAnsi="Times New Roman"/>
          <w:color w:val="000000"/>
          <w:sz w:val="24"/>
          <w:szCs w:val="24"/>
        </w:rPr>
        <w:t xml:space="preserve">282 </w:t>
      </w:r>
      <w:r w:rsidRPr="009A3C86">
        <w:rPr>
          <w:rFonts w:ascii="Times New Roman" w:eastAsia="Times New Roman" w:hAnsi="Times New Roman"/>
          <w:color w:val="000000"/>
          <w:sz w:val="24"/>
          <w:szCs w:val="24"/>
        </w:rPr>
        <w:t xml:space="preserve">§ 2 </w:t>
      </w:r>
      <w:r w:rsidR="00F30B50" w:rsidRPr="009A3C86">
        <w:rPr>
          <w:rFonts w:ascii="Times New Roman" w:eastAsia="Times New Roman" w:hAnsi="Times New Roman"/>
          <w:color w:val="000000"/>
          <w:sz w:val="24"/>
          <w:szCs w:val="24"/>
        </w:rPr>
        <w:t xml:space="preserve">i 3 </w:t>
      </w:r>
      <w:r w:rsidRPr="009A3C86">
        <w:rPr>
          <w:rFonts w:ascii="Times New Roman" w:eastAsia="Times New Roman" w:hAnsi="Times New Roman"/>
          <w:color w:val="000000"/>
          <w:sz w:val="24"/>
          <w:szCs w:val="24"/>
        </w:rPr>
        <w:t>projektu. Podobnie będzie w przypadku współwłasności małżeńskiej, gdyż przepisy tych ustaw utożsamiają wspólność majątkową małżeńską ze współwłasnością.</w:t>
      </w:r>
      <w:r w:rsidRPr="009A3C86">
        <w:rPr>
          <w:rFonts w:ascii="Times New Roman" w:eastAsia="Times New Roman" w:hAnsi="Times New Roman"/>
          <w:color w:val="FF0000"/>
          <w:sz w:val="24"/>
          <w:szCs w:val="24"/>
        </w:rPr>
        <w:t xml:space="preserve"> </w:t>
      </w:r>
      <w:r w:rsidRPr="009A3C86">
        <w:rPr>
          <w:rFonts w:ascii="Times New Roman" w:eastAsia="Times New Roman" w:hAnsi="Times New Roman"/>
          <w:sz w:val="24"/>
          <w:szCs w:val="24"/>
        </w:rPr>
        <w:t xml:space="preserve">Pozostałe obowiązki przejmowane przez spadkobierców (podatnika, płatnika i inkasenta) i zasady odpowiedzialności za nie zostały uregulowane w art. </w:t>
      </w:r>
      <w:r w:rsidR="004B0DBD" w:rsidRPr="009A3C86">
        <w:rPr>
          <w:rFonts w:ascii="Times New Roman" w:eastAsia="Times New Roman" w:hAnsi="Times New Roman"/>
          <w:b/>
          <w:sz w:val="24"/>
          <w:szCs w:val="24"/>
        </w:rPr>
        <w:t xml:space="preserve">284 </w:t>
      </w:r>
      <w:r w:rsidRPr="009A3C86">
        <w:rPr>
          <w:rFonts w:ascii="Times New Roman" w:eastAsia="Times New Roman" w:hAnsi="Times New Roman"/>
          <w:b/>
          <w:sz w:val="24"/>
          <w:szCs w:val="24"/>
        </w:rPr>
        <w:t>§ 1, § 5</w:t>
      </w:r>
      <w:r w:rsidRPr="009A3C86">
        <w:rPr>
          <w:rFonts w:ascii="Times New Roman" w:eastAsia="Times New Roman" w:hAnsi="Times New Roman"/>
          <w:sz w:val="24"/>
          <w:szCs w:val="24"/>
        </w:rPr>
        <w:t xml:space="preserve"> i art. </w:t>
      </w:r>
      <w:r w:rsidR="004B0DBD" w:rsidRPr="009A3C86">
        <w:rPr>
          <w:rFonts w:ascii="Times New Roman" w:eastAsia="Times New Roman" w:hAnsi="Times New Roman"/>
          <w:b/>
          <w:sz w:val="24"/>
          <w:szCs w:val="24"/>
        </w:rPr>
        <w:t xml:space="preserve">291 </w:t>
      </w:r>
      <w:r w:rsidRPr="009A3C86">
        <w:rPr>
          <w:rFonts w:ascii="Times New Roman" w:eastAsia="Times New Roman" w:hAnsi="Times New Roman"/>
          <w:b/>
          <w:sz w:val="24"/>
          <w:szCs w:val="24"/>
        </w:rPr>
        <w:t>§ 1 i 2</w:t>
      </w:r>
      <w:r w:rsidRPr="009A3C86">
        <w:rPr>
          <w:rFonts w:ascii="Times New Roman" w:eastAsia="Times New Roman" w:hAnsi="Times New Roman"/>
          <w:sz w:val="24"/>
          <w:szCs w:val="24"/>
        </w:rPr>
        <w:t xml:space="preserve">. Wyliczenie obowiązków, za które odpowiedzialność ponoszą spadkobiercy i zapisobiercy windykacyjni </w:t>
      </w:r>
      <w:r w:rsidRPr="009A3C86">
        <w:rPr>
          <w:rFonts w:ascii="Times New Roman" w:eastAsia="Times New Roman" w:hAnsi="Times New Roman"/>
          <w:sz w:val="24"/>
          <w:szCs w:val="24"/>
        </w:rPr>
        <w:lastRenderedPageBreak/>
        <w:t xml:space="preserve">zawarte w art. </w:t>
      </w:r>
      <w:r w:rsidR="004B0DBD" w:rsidRPr="009A3C86">
        <w:rPr>
          <w:rFonts w:ascii="Times New Roman" w:eastAsia="Times New Roman" w:hAnsi="Times New Roman"/>
          <w:b/>
          <w:sz w:val="24"/>
          <w:szCs w:val="24"/>
        </w:rPr>
        <w:t xml:space="preserve">287 </w:t>
      </w:r>
      <w:r w:rsidRPr="009A3C86">
        <w:rPr>
          <w:rFonts w:ascii="Times New Roman" w:eastAsia="Times New Roman" w:hAnsi="Times New Roman"/>
          <w:b/>
          <w:sz w:val="24"/>
          <w:szCs w:val="24"/>
        </w:rPr>
        <w:t>§ 1 i 2</w:t>
      </w:r>
      <w:r w:rsidRPr="009A3C86">
        <w:rPr>
          <w:rFonts w:ascii="Times New Roman" w:eastAsia="Times New Roman" w:hAnsi="Times New Roman"/>
          <w:sz w:val="24"/>
          <w:szCs w:val="24"/>
        </w:rPr>
        <w:t>, jest wyliczeniem wyczerpującym. Oznacza to, że spadkobiercy podatnika, płatnika lub inkasenta oraz zapisobierca windykacyjny nie poniosą odpowiedzialności za nałożoną na ich poprzednika prawnego karę porządkową</w:t>
      </w:r>
      <w:r w:rsidRPr="009A3C86">
        <w:rPr>
          <w:rFonts w:ascii="Times New Roman" w:eastAsia="Times New Roman" w:hAnsi="Times New Roman"/>
          <w:sz w:val="24"/>
          <w:szCs w:val="24"/>
          <w:vertAlign w:val="superscript"/>
        </w:rPr>
        <w:footnoteReference w:id="334"/>
      </w:r>
      <w:r w:rsidRPr="009A3C86">
        <w:rPr>
          <w:rFonts w:ascii="Times New Roman" w:eastAsia="Times New Roman" w:hAnsi="Times New Roman"/>
          <w:sz w:val="24"/>
          <w:szCs w:val="24"/>
        </w:rPr>
        <w:t xml:space="preserve">, albowiem kara ta ma charakter należności o osobistym charakterze i może za nią odpowiadać wyłącznie osoba, na którą ją nałożono. Przepisy art. </w:t>
      </w:r>
      <w:r w:rsidR="004B0DBD"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5 oraz art. </w:t>
      </w:r>
      <w:r w:rsidR="004B0DBD"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xml:space="preserve">§ 1 i 2 projektu są przepisami </w:t>
      </w:r>
      <w:r w:rsidR="00CA7781" w:rsidRPr="009A3C86">
        <w:rPr>
          <w:rFonts w:ascii="Times New Roman" w:eastAsia="Times New Roman" w:hAnsi="Times New Roman"/>
          <w:sz w:val="24"/>
          <w:szCs w:val="24"/>
        </w:rPr>
        <w:t>szczególnymi</w:t>
      </w:r>
      <w:r w:rsidRPr="009A3C86">
        <w:rPr>
          <w:rFonts w:ascii="Times New Roman" w:eastAsia="Times New Roman" w:hAnsi="Times New Roman"/>
          <w:sz w:val="24"/>
          <w:szCs w:val="24"/>
        </w:rPr>
        <w:t xml:space="preserve"> w rozumieniu art. </w:t>
      </w:r>
      <w:r w:rsidR="004B0DBD"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 Oznacza to, że istniejące w tym zakresie rozbieżności w poglądach zostały wyeliminowane</w:t>
      </w:r>
      <w:r w:rsidRPr="009A3C86">
        <w:rPr>
          <w:rFonts w:ascii="Times New Roman" w:eastAsia="Times New Roman" w:hAnsi="Times New Roman"/>
          <w:sz w:val="24"/>
          <w:szCs w:val="24"/>
          <w:vertAlign w:val="superscript"/>
        </w:rPr>
        <w:footnoteReference w:id="335"/>
      </w:r>
      <w:r w:rsidRPr="009A3C86">
        <w:rPr>
          <w:rFonts w:ascii="Times New Roman" w:eastAsia="Times New Roman" w:hAnsi="Times New Roman"/>
          <w:sz w:val="24"/>
          <w:szCs w:val="24"/>
        </w:rPr>
        <w:t>.</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Regulacja zakresu przedmiotowego następstwa prawnego spadkobierców podatnika i płatnika w porównaniu do stanu obowiązującego dotychczas nie uległa zmianie. Zmianie ulega tylko zakres przedmiotowy następstwa prawnego spadkobierców inkasenta, albowiem przejmą oni także przysługujące spadkodawcy uprawnienie do nadpłaty.</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Zakres podmiotowy następstwa prawnego po spadkodawcy przewiduje, że następcami prawnymi będą tylko spadkobiercy i zapisobiercy windykacyjni oraz przedsiębiorstwo w spadku, a nie będą nimi spadkobiercy spadkobierców oraz nabywca spadku (art. </w:t>
      </w:r>
      <w:r w:rsidR="004B0DBD" w:rsidRPr="009A3C86">
        <w:rPr>
          <w:rFonts w:ascii="Times New Roman" w:eastAsia="Times New Roman" w:hAnsi="Times New Roman"/>
          <w:b/>
          <w:sz w:val="24"/>
          <w:szCs w:val="24"/>
        </w:rPr>
        <w:t xml:space="preserve">284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projektu), z zastrzeżeniem uregulowania  zawartego np.  w art. </w:t>
      </w:r>
      <w:r w:rsidR="004B0DBD" w:rsidRPr="009A3C86">
        <w:rPr>
          <w:rFonts w:ascii="Times New Roman" w:eastAsia="Times New Roman" w:hAnsi="Times New Roman"/>
          <w:sz w:val="24"/>
          <w:szCs w:val="24"/>
        </w:rPr>
        <w:t>293</w:t>
      </w:r>
      <w:r w:rsidRPr="009A3C86">
        <w:rPr>
          <w:rFonts w:ascii="Times New Roman" w:eastAsia="Times New Roman" w:hAnsi="Times New Roman"/>
          <w:sz w:val="24"/>
          <w:szCs w:val="24"/>
        </w:rPr>
        <w:t>§ 3 projektu. Obowiązujące obecnie przepisy nie regulują tej kwestii dostatecznie jasno (art. 98 § 1 o.p. i art. 1053, 1055 § 1 k.c.)</w:t>
      </w:r>
      <w:r w:rsidRPr="009A3C86">
        <w:rPr>
          <w:rFonts w:ascii="Times New Roman" w:eastAsia="Times New Roman" w:hAnsi="Times New Roman"/>
          <w:sz w:val="24"/>
          <w:szCs w:val="24"/>
          <w:vertAlign w:val="superscript"/>
        </w:rPr>
        <w:footnoteReference w:id="336"/>
      </w:r>
      <w:r w:rsidRPr="009A3C86">
        <w:rPr>
          <w:rFonts w:ascii="Times New Roman" w:eastAsia="Times New Roman" w:hAnsi="Times New Roman"/>
          <w:sz w:val="24"/>
          <w:szCs w:val="24"/>
        </w:rPr>
        <w:t>.</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8. To, że zapisobiercy windykacyjni nie są w gospodarce polskiej problemem marginalnym,  świadczą dane statystyczne uzyskane z Krajowej Rady Notarialnej. W piśmie z dnia 7 lutego 2017 r. L.dz. 05/71/17 KRN wskazała, że:</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 w 2014 r. notariusze sporządzili 120.038 testamentów, w tym 12.034 testamenty, których przedmiotem było ustanowienie zapisu windykacyjnego;</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b) w 2015 r. notariusze sporządzili 126.168 testamentów, w tym 13.556 testamentów, których przedmiotem było ustanowienie zapisu windykacyjnego;</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c) w 2016 r. notariusze sporządzili 127.920 testamentów, w tym 15.130 testamentów, których przedmiotem było ustanowienie zapisu windykacyjnego.</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Powyższe dane nie przedstawiają przedmiotem ilu, wśród ustanowionych zapisów windykacyjnych, było przedsiębiorstwo, gdyż notariusze nie prowadzą statystyk odnoszących się do poszczególnych przedmiotów zapisu windykacyjnego. Można więc posługując się wnioskowaniem z prawdopodobieństwa przyjąć, że powyższe dane w zakresie zapisów windykacyjnych przedsiębiorstw, o ile wszystkie dotyczyłyby tego przedmiotu, przedstawiają dane maksymalne.</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Wprowadzając nową kategorię podmiotu uzyskującego status następcy prawnego (art. </w:t>
      </w:r>
      <w:r w:rsidR="00CE6458" w:rsidRPr="009A3C86">
        <w:rPr>
          <w:rFonts w:ascii="Times New Roman" w:eastAsia="Times New Roman" w:hAnsi="Times New Roman"/>
          <w:b/>
          <w:sz w:val="24"/>
          <w:szCs w:val="24"/>
        </w:rPr>
        <w:t>284</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zapisobiercy windykacyjnego, wykorzystano tę instytucję wprowadzoną do Kodeksu cywilnego od dnia 23 października 2011 r., w tym zakresie, nie wprowadzono go do </w:t>
      </w:r>
      <w:r w:rsidR="00A016FC" w:rsidRPr="009A3C86">
        <w:rPr>
          <w:rFonts w:ascii="Times New Roman" w:eastAsia="Times New Roman" w:hAnsi="Times New Roman"/>
          <w:sz w:val="24"/>
          <w:szCs w:val="24"/>
        </w:rPr>
        <w:t xml:space="preserve">Ordynacji </w:t>
      </w:r>
      <w:r w:rsidRPr="009A3C86">
        <w:rPr>
          <w:rFonts w:ascii="Times New Roman" w:eastAsia="Times New Roman" w:hAnsi="Times New Roman"/>
          <w:sz w:val="24"/>
          <w:szCs w:val="24"/>
        </w:rPr>
        <w:t>podatkowej. Zapisobiercą windykacyjnym w zakresie nabytego przedsiębiorstwa będzie albo osoba fizyczna, albo osoba prawna, albo jednostka organizacyjna niemająca osobowości prawnej. Przykładowo zapisobiercą windykacyjnym może być spółka osobowa, w której wspólnikami są spadkobiercy (dzieci) spadkodawcy, jak również osoba niespokrewniona ze spadkodawcą.</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9. Spadkodawcą może być tylko osoba fizyczna, a to oznacza, że określenie „wszelkie przewidziane w przepisach prawa podatkowego prawa i obowiązki” (art. </w:t>
      </w:r>
      <w:r w:rsidR="00A016F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 powinno być wiązane z przymiotem i zakresem praw i obowiązków podatkowych spadkodawcy jako podatnika, płatnika, inkasenta. Generalnie zakres przedmiotowy następstwa prawnego spadkobierców podatnika, płatnika i inkasenta oznacza, że staną się oni następcami prawnymi spadkodawcy pod tytułem ogólnym, co umożliwi im wstąpienie w sytuację prawną spadkodawcy ukształtowaną przez przepisy prawa podatkowego, w tym także przejęcie ekspektatyw nabycia praw. Aktualnie organy podatkowe np. bezzasadnie odmawiają spadkobiercom prawa do złożenia wniosku o wznowienie postępowania w sytuacji, gdy takie uprawnienie przysługiwałoby spadkodawcy w związku z niekonstytucyjnością przepisu prawa podatkowego: np. art. 20 ust. 3 ustawy z dnia 26 lipca 1991 r. o podatku dochodowym od osób fizycznych</w:t>
      </w:r>
      <w:r w:rsidRPr="009A3C86">
        <w:rPr>
          <w:rFonts w:ascii="Times New Roman" w:eastAsia="Times New Roman" w:hAnsi="Times New Roman"/>
          <w:sz w:val="24"/>
          <w:szCs w:val="24"/>
          <w:vertAlign w:val="superscript"/>
        </w:rPr>
        <w:footnoteReference w:id="337"/>
      </w:r>
      <w:r w:rsidRPr="009A3C86">
        <w:rPr>
          <w:rFonts w:ascii="Times New Roman" w:eastAsia="Times New Roman" w:hAnsi="Times New Roman"/>
          <w:sz w:val="24"/>
          <w:szCs w:val="24"/>
        </w:rPr>
        <w:t xml:space="preserve"> w związku z wyrokiem Trybunału Konstytucyjnego z dnia 18 lipca 2013 r., SK 18/09</w:t>
      </w:r>
      <w:r w:rsidRPr="009A3C86">
        <w:rPr>
          <w:rFonts w:ascii="Times New Roman" w:eastAsia="Times New Roman" w:hAnsi="Times New Roman"/>
          <w:sz w:val="24"/>
          <w:szCs w:val="24"/>
          <w:vertAlign w:val="superscript"/>
        </w:rPr>
        <w:footnoteReference w:id="338"/>
      </w:r>
      <w:r w:rsidRPr="009A3C86">
        <w:rPr>
          <w:rFonts w:ascii="Times New Roman" w:eastAsia="Times New Roman" w:hAnsi="Times New Roman"/>
          <w:sz w:val="24"/>
          <w:szCs w:val="24"/>
        </w:rPr>
        <w:t>, czy art. 4a ust. 1 pkt 1 ustawy z dnia 28 lipca 1983 r. o podatku od spadków i darowizn</w:t>
      </w:r>
      <w:r w:rsidRPr="009A3C86">
        <w:rPr>
          <w:rFonts w:ascii="Times New Roman" w:eastAsia="Times New Roman" w:hAnsi="Times New Roman"/>
          <w:sz w:val="24"/>
          <w:szCs w:val="24"/>
          <w:vertAlign w:val="superscript"/>
        </w:rPr>
        <w:footnoteReference w:id="339"/>
      </w:r>
      <w:r w:rsidRPr="009A3C86">
        <w:rPr>
          <w:rFonts w:ascii="Times New Roman" w:eastAsia="Times New Roman" w:hAnsi="Times New Roman"/>
          <w:sz w:val="24"/>
          <w:szCs w:val="24"/>
        </w:rPr>
        <w:t xml:space="preserve">, który Trybunał Konstytucyjny uznał za niekonstytucyjny w brzmieniu obowiązującym od 1 stycznia 2007 r. do 31 grudnia 2008 r., w zakresie, w jakim przewidywał </w:t>
      </w:r>
      <w:r w:rsidRPr="009A3C86">
        <w:rPr>
          <w:rFonts w:ascii="Times New Roman" w:eastAsia="Times New Roman" w:hAnsi="Times New Roman"/>
          <w:sz w:val="24"/>
          <w:szCs w:val="24"/>
        </w:rPr>
        <w:lastRenderedPageBreak/>
        <w:t>miesięczny termin złożenia zgłoszenia właściwemu naczelnikowi urzędu skarbowego</w:t>
      </w:r>
      <w:r w:rsidRPr="009A3C86">
        <w:rPr>
          <w:rFonts w:ascii="Times New Roman" w:eastAsia="Times New Roman" w:hAnsi="Times New Roman"/>
          <w:sz w:val="24"/>
          <w:szCs w:val="24"/>
          <w:vertAlign w:val="superscript"/>
        </w:rPr>
        <w:footnoteReference w:id="340"/>
      </w:r>
      <w:r w:rsidRPr="009A3C86">
        <w:rPr>
          <w:rFonts w:ascii="Times New Roman" w:eastAsia="Times New Roman" w:hAnsi="Times New Roman"/>
          <w:sz w:val="24"/>
          <w:szCs w:val="24"/>
        </w:rPr>
        <w:t>. Jednolite w tym zakresie orzecznictwo Naczelnego Sądu Administracyjnego kwestionuje te poglądy organów podatkowych uznając, że określenie „majątkowe prawa”  o którym mowa w art. 97 § 1 o.p. obejmuje także ekspektatywy nabycia praw. Ekspektatywy są bowiem prawami podmiotowymi tymczasowymi i podlegają ochronie takiej jak prawa podmiotowe ukształtowane.</w:t>
      </w:r>
      <w:r w:rsidRPr="009A3C86">
        <w:rPr>
          <w:rFonts w:ascii="Times New Roman" w:eastAsia="Times New Roman" w:hAnsi="Times New Roman"/>
          <w:sz w:val="24"/>
          <w:szCs w:val="24"/>
          <w:vertAlign w:val="superscript"/>
        </w:rPr>
        <w:footnoteReference w:id="341"/>
      </w:r>
      <w:r w:rsidRPr="009A3C86">
        <w:rPr>
          <w:rFonts w:ascii="Times New Roman" w:eastAsia="Times New Roman" w:hAnsi="Times New Roman"/>
          <w:sz w:val="24"/>
          <w:szCs w:val="24"/>
        </w:rPr>
        <w:t xml:space="preserve"> Podobnie kwestię tę rozwiązuje prawo cywilne w art. 922 § 1 k.c , będącego wzorem dla art. 97 § 1 o.p., który także nie wymienia ekspektatyw, a mimo to są one objęte zakresem następstwa prawnego spadkobierców jako wchodzące w skład spadku i objęte określeniem prawa majątkowe. Odmawianie spadkobiercom prawa do przejęcia tzw. maksymalnie ukształtowanych ekspektatyw</w:t>
      </w:r>
      <w:r w:rsidRPr="009A3C86">
        <w:rPr>
          <w:rFonts w:ascii="Times New Roman" w:eastAsia="Times New Roman" w:hAnsi="Times New Roman"/>
          <w:sz w:val="24"/>
          <w:szCs w:val="24"/>
          <w:vertAlign w:val="superscript"/>
        </w:rPr>
        <w:footnoteReference w:id="342"/>
      </w:r>
      <w:r w:rsidRPr="009A3C86">
        <w:rPr>
          <w:rFonts w:ascii="Times New Roman" w:eastAsia="Times New Roman" w:hAnsi="Times New Roman"/>
          <w:sz w:val="24"/>
          <w:szCs w:val="24"/>
        </w:rPr>
        <w:t xml:space="preserve"> spowodowało, że dla wyeliminowania tych nieporozumień w art. </w:t>
      </w:r>
      <w:r w:rsidR="00A016F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1 projektu użyto określenia „wszelkie prawa”. </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Taką ekspektatywą w przypadku żądania wznowienia postępowania składanego przez spadkobiercę wystarczającą do nabycia uprawnienia do wznowienia postępowania podatkowego będzie już tylko samo złożenie przez niego wniosku o wznowienie postępowania. Użycie w art. </w:t>
      </w:r>
      <w:r w:rsidR="00A016F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 projektowanej ustawy określenia, że spadkobiercy przejmują, z zastrzeżeniem odrębnego uregulowania tego zakresu w przepisach szczególnych, wszelkie prawa spadkodawcy przewidziane w przepisach prawa podatkowego oznacza, że powinna zmniejszyć się ilość sporów co do dopuszczalności kontynuowania przez spadkobierców zwolnień podatkowych, jak np. dotyczących zwolnienia od podatku przychodu uzyskanego ze zbycia nieruchomości i przeznaczenia go na cele mieszkaniowe</w:t>
      </w:r>
      <w:r w:rsidRPr="009A3C86">
        <w:rPr>
          <w:rFonts w:ascii="Times New Roman" w:eastAsia="Times New Roman" w:hAnsi="Times New Roman"/>
          <w:sz w:val="24"/>
          <w:szCs w:val="24"/>
          <w:vertAlign w:val="superscript"/>
        </w:rPr>
        <w:footnoteReference w:id="343"/>
      </w:r>
      <w:r w:rsidRPr="009A3C86">
        <w:rPr>
          <w:rFonts w:ascii="Times New Roman" w:eastAsia="Times New Roman" w:hAnsi="Times New Roman"/>
          <w:sz w:val="24"/>
          <w:szCs w:val="24"/>
        </w:rPr>
        <w:t xml:space="preserve">. Przecież spadkodawca już </w:t>
      </w:r>
      <w:r w:rsidRPr="009A3C86">
        <w:rPr>
          <w:rFonts w:ascii="Times New Roman" w:eastAsia="Times New Roman" w:hAnsi="Times New Roman"/>
          <w:sz w:val="24"/>
          <w:szCs w:val="24"/>
        </w:rPr>
        <w:lastRenderedPageBreak/>
        <w:t>zbył nieruchomość, złożył stosowne oświadczenie o przeznaczeniu przychodu i co więcej, rozpoczął jego wydatkowanie na cele mieszkaniowe. Twierdzenie, że w tej sytuacji nie ma co najmniej maksymalnie ukształtowanej ekspektatywy nabycia tego prawa podmiotowego, albo że jest to uprawnienie osobiste, jest nieporozumieniem. W tym przedmiocie wskazać należy, że zgodnie z art. 75 ust. 1 Konstytucji RP władze publiczne zobowiązane są do powadzenia polityki sprzyjającej zaspokojeniu potrzeb mieszkaniowych obywateli, w szczególności przeciwdziałania bezdomności, wspierania budownictwa socjalnego oraz popierania działań obywateli zmierzających do uzyskania własnego mieszkania. Z kolei z art. 71 ust. 1 Konstytucji RP wynika obowiązek Państwa uwzględniania w swojej polityce społecznej i gospodarczej dobra rodziny. Zatem przepis art. 21 ust. 1 pkt 131 u.p.d.o.f. dotyczący wydatkowania przychodu uzyskanego ze zbycia nieruchomości na zaspokojenie własnych celów mieszkaniowych nie może być rozumiany w ten sposób, że wyklucza on możliwość zaspokojenia tych celów mieszkaniowych także przez spadkobierców podatnika. Wykładnia tego przepisu powinna zatem uwzględniać te wartości konstytucyjne.</w:t>
      </w:r>
    </w:p>
    <w:p w:rsidR="00741954" w:rsidRPr="009A3C86" w:rsidRDefault="00741954" w:rsidP="00741954">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sz w:val="24"/>
          <w:szCs w:val="24"/>
        </w:rPr>
        <w:t>10. Wiele rozbieżności budzi w piśmiennictwie i orzecznictwie</w:t>
      </w:r>
      <w:r w:rsidRPr="009A3C86">
        <w:rPr>
          <w:rFonts w:ascii="Times New Roman" w:eastAsia="Times New Roman" w:hAnsi="Times New Roman"/>
          <w:sz w:val="24"/>
          <w:szCs w:val="24"/>
          <w:vertAlign w:val="superscript"/>
        </w:rPr>
        <w:footnoteReference w:id="344"/>
      </w:r>
      <w:r w:rsidRPr="009A3C86">
        <w:rPr>
          <w:rFonts w:ascii="Times New Roman" w:eastAsia="Times New Roman" w:hAnsi="Times New Roman"/>
          <w:sz w:val="24"/>
          <w:szCs w:val="24"/>
        </w:rPr>
        <w:t xml:space="preserve"> pojęcie „majątkowe i niemajątkowe prawa i obowiązki”, a w tym także kryteria rozgraniczenia tych pojęć</w:t>
      </w:r>
      <w:r w:rsidRPr="009A3C86">
        <w:rPr>
          <w:rFonts w:ascii="Times New Roman" w:eastAsia="Times New Roman" w:hAnsi="Times New Roman"/>
          <w:sz w:val="24"/>
          <w:szCs w:val="24"/>
          <w:vertAlign w:val="superscript"/>
        </w:rPr>
        <w:footnoteReference w:id="345"/>
      </w:r>
      <w:r w:rsidRPr="009A3C86">
        <w:rPr>
          <w:rFonts w:ascii="Times New Roman" w:eastAsia="Times New Roman" w:hAnsi="Times New Roman"/>
          <w:sz w:val="24"/>
          <w:szCs w:val="24"/>
        </w:rPr>
        <w:t>. W dostępnych publikacjach i orzeczeniach albo wskazuje się na te kryteria (np. treść prawa, czy dominujący charakter uprawnienia lub obowiązku albo dopuszcza się metodę intuicyjną jako kryterium rozgraniczające), a są to kryteria przyjmowane w orzecznictwie i piśmiennictwie z zakresu prawa cywilnego</w:t>
      </w:r>
      <w:r w:rsidRPr="009A3C86">
        <w:rPr>
          <w:rFonts w:ascii="Times New Roman" w:eastAsia="Times New Roman" w:hAnsi="Times New Roman"/>
          <w:sz w:val="24"/>
          <w:szCs w:val="24"/>
          <w:vertAlign w:val="superscript"/>
        </w:rPr>
        <w:footnoteReference w:id="346"/>
      </w:r>
      <w:r w:rsidRPr="009A3C86">
        <w:rPr>
          <w:rFonts w:ascii="Times New Roman" w:eastAsia="Times New Roman" w:hAnsi="Times New Roman"/>
          <w:sz w:val="24"/>
          <w:szCs w:val="24"/>
        </w:rPr>
        <w:t xml:space="preserve">. Prowadzi to do powstawania sporów, w tym sądowoadministracyjnych, dość często z naruszeniem praw spadkobierców. Użycie w art. </w:t>
      </w:r>
      <w:r w:rsidR="00A016F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1 i 4 oraz w art. </w:t>
      </w:r>
      <w:r w:rsidR="00A016FC" w:rsidRPr="009A3C86">
        <w:rPr>
          <w:rFonts w:ascii="Times New Roman" w:eastAsia="Times New Roman" w:hAnsi="Times New Roman"/>
          <w:sz w:val="24"/>
          <w:szCs w:val="24"/>
        </w:rPr>
        <w:t xml:space="preserve">285 </w:t>
      </w:r>
      <w:r w:rsidRPr="009A3C86">
        <w:rPr>
          <w:rFonts w:ascii="Times New Roman" w:eastAsia="Times New Roman" w:hAnsi="Times New Roman"/>
          <w:sz w:val="24"/>
          <w:szCs w:val="24"/>
        </w:rPr>
        <w:t xml:space="preserve">§ 2 określenia „wszelkie przewidziane w przepisach prawa podatkowego prawa i obowiązki spadkodawcy” zostało podyktowane potrzebą, jak wskazano wyżej, </w:t>
      </w:r>
      <w:r w:rsidRPr="009A3C86">
        <w:rPr>
          <w:rFonts w:ascii="Times New Roman" w:eastAsia="Times New Roman" w:hAnsi="Times New Roman"/>
          <w:sz w:val="24"/>
          <w:szCs w:val="24"/>
        </w:rPr>
        <w:lastRenderedPageBreak/>
        <w:t>likwidacji sporów o rozumienie pojęć „prawa majątkowe i niemajątkowe”, „obowiązki majątkowe i niemajątkowe”, w szczególności w odniesieniu także do tzw. praw złożonych, które obejmują nie tylko uprawnienia, ale i obowiązki oraz uniknięcia związanych z tym kontrowersji (nadpłata, zwrot podatku od towarów i usług, odpisy amortyzacyjne, uprawnienie do odwołania, zastosowanie tzw. trybów nadzwyczajnych itd.). Na problemy związane z tym podziałem zwracał uwagę Trybunał Konstytucyjny w wyrokach: z dnia 21 maja 2001 r. SK 15/00</w:t>
      </w:r>
      <w:r w:rsidRPr="009A3C86">
        <w:rPr>
          <w:rFonts w:ascii="Times New Roman" w:eastAsia="Times New Roman" w:hAnsi="Times New Roman"/>
          <w:sz w:val="24"/>
          <w:szCs w:val="24"/>
          <w:vertAlign w:val="superscript"/>
        </w:rPr>
        <w:footnoteReference w:id="347"/>
      </w:r>
      <w:r w:rsidRPr="009A3C86">
        <w:rPr>
          <w:rFonts w:ascii="Times New Roman" w:eastAsia="Times New Roman" w:hAnsi="Times New Roman"/>
          <w:sz w:val="24"/>
          <w:szCs w:val="24"/>
        </w:rPr>
        <w:t xml:space="preserve"> i z dnia 29 maja 2007 r., P 20/06</w:t>
      </w:r>
      <w:r w:rsidRPr="009A3C86">
        <w:rPr>
          <w:rFonts w:ascii="Times New Roman" w:eastAsia="Times New Roman" w:hAnsi="Times New Roman"/>
          <w:sz w:val="24"/>
          <w:szCs w:val="24"/>
          <w:vertAlign w:val="superscript"/>
        </w:rPr>
        <w:footnoteReference w:id="348"/>
      </w:r>
      <w:r w:rsidRPr="009A3C86">
        <w:rPr>
          <w:rFonts w:ascii="Times New Roman" w:eastAsia="Times New Roman" w:hAnsi="Times New Roman"/>
          <w:sz w:val="24"/>
          <w:szCs w:val="24"/>
        </w:rPr>
        <w:t>. Przedmiotem sporów był także przedmiotowy zakres sukcesji. Twierdzi się, że użyty w wyrażeniu „majątkowe prawa i obowiązki” szyk wyrazów, odmienny niż w jego pierwowzorze art. 922 § 1 k.c., oznacza, że „art. 97 § 1 o.p. wskazuje na majątkowe prawa, albowiem przejście niemajątkowych praw dotyczyć może tylko przedsiębiorców, co oznacza, że nie istnieją przesłanki podziału obowiązków na majątkowe i niemajątkowe, gdyż wszystkie one są objęte zakresem następstwa prawnego spadkobierców”</w:t>
      </w:r>
      <w:r w:rsidRPr="009A3C86">
        <w:rPr>
          <w:rFonts w:ascii="Times New Roman" w:eastAsia="Times New Roman" w:hAnsi="Times New Roman"/>
          <w:sz w:val="24"/>
          <w:szCs w:val="24"/>
          <w:vertAlign w:val="superscript"/>
        </w:rPr>
        <w:footnoteReference w:id="349"/>
      </w:r>
      <w:r w:rsidRPr="009A3C86">
        <w:rPr>
          <w:rFonts w:ascii="Times New Roman" w:eastAsia="Times New Roman" w:hAnsi="Times New Roman"/>
          <w:sz w:val="24"/>
          <w:szCs w:val="24"/>
        </w:rPr>
        <w:t>. Taka redakcja przepisu doprowadziła do przyjmowania w orzecznictwie sądów administracyjnych</w:t>
      </w:r>
      <w:r w:rsidRPr="009A3C86">
        <w:rPr>
          <w:rFonts w:ascii="Times New Roman" w:eastAsia="Times New Roman" w:hAnsi="Times New Roman"/>
          <w:sz w:val="24"/>
          <w:szCs w:val="24"/>
          <w:vertAlign w:val="superscript"/>
        </w:rPr>
        <w:footnoteReference w:id="350"/>
      </w:r>
      <w:r w:rsidRPr="009A3C86">
        <w:rPr>
          <w:rFonts w:ascii="Times New Roman" w:eastAsia="Times New Roman" w:hAnsi="Times New Roman"/>
          <w:sz w:val="24"/>
          <w:szCs w:val="24"/>
        </w:rPr>
        <w:t xml:space="preserve">, że następstwem prawnym spadkobierców w szczególności objęty jest też obowiązek podatkowy w przypadku opodatkowania przychodów nieznajdujących pokrycia w ujawnionych źródłach przychodów lub pochodzących ze źródeł nieujawnionych. W tym zakresie, w związku z projektowanym art. </w:t>
      </w:r>
      <w:r w:rsidR="00D21DC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2 i art. </w:t>
      </w:r>
      <w:r w:rsidR="00D21DCC"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2, uznano, że sposób uregulowania zagadnienia eliminacji odpowiedzialności spadkobierców podatnika za obowiązek podatkowy spadkodawcy w przypadku przychodów nieznajdujących pokrycia w ujawnionych źródłach lub pochodzących ze źródeł nieujawnionych w drodze zmian dokonanych w art. 99 i art. 306f § 2 o.p. jest mało czytelny i tym samym nie jest wystarczające dla zrealizowania tego wyłączenia, zawarcie w dotychczasowym art. 100 i art. 102 o.p. regulacji uniemożliwiającej „podjęcie działań, które byłyby w takim wypadku potrzebne</w:t>
      </w:r>
      <w:r w:rsidRPr="009A3C86">
        <w:rPr>
          <w:rFonts w:ascii="Times New Roman" w:eastAsia="Times New Roman" w:hAnsi="Times New Roman"/>
          <w:color w:val="000000"/>
          <w:sz w:val="24"/>
          <w:szCs w:val="24"/>
        </w:rPr>
        <w:t>”</w:t>
      </w:r>
      <w:r w:rsidRPr="009A3C86">
        <w:rPr>
          <w:rFonts w:ascii="Times New Roman" w:eastAsia="Times New Roman" w:hAnsi="Times New Roman"/>
          <w:color w:val="000000"/>
          <w:sz w:val="24"/>
          <w:szCs w:val="24"/>
          <w:vertAlign w:val="superscript"/>
        </w:rPr>
        <w:footnoteReference w:id="351"/>
      </w:r>
      <w:r w:rsidRPr="009A3C86">
        <w:rPr>
          <w:rFonts w:ascii="Times New Roman" w:eastAsia="Times New Roman" w:hAnsi="Times New Roman"/>
          <w:color w:val="000000"/>
          <w:sz w:val="24"/>
          <w:szCs w:val="24"/>
        </w:rPr>
        <w:t>.</w:t>
      </w:r>
      <w:r w:rsidR="00633419"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Przedmiotem sporów o zakres przedmiotowy następstwa prawnego jest także, na gruncie przepisów ustaw podatkowych np. kwestia opodatkowania podatkiem od spadków i darowizn, czy podatkiem dochodowym od osób fizycznych wkładu zwracanego spadkobiercom zmarłego </w:t>
      </w:r>
      <w:r w:rsidRPr="009A3C86">
        <w:rPr>
          <w:rFonts w:ascii="Times New Roman" w:eastAsia="Times New Roman" w:hAnsi="Times New Roman"/>
          <w:color w:val="000000"/>
          <w:sz w:val="24"/>
          <w:szCs w:val="24"/>
        </w:rPr>
        <w:lastRenderedPageBreak/>
        <w:t>wspólnika spółki z ograniczoną odpowiedzialnością</w:t>
      </w:r>
      <w:r w:rsidRPr="009A3C86">
        <w:rPr>
          <w:rFonts w:ascii="Times New Roman" w:eastAsia="Times New Roman" w:hAnsi="Times New Roman"/>
          <w:color w:val="000000"/>
          <w:sz w:val="24"/>
          <w:szCs w:val="24"/>
          <w:vertAlign w:val="superscript"/>
        </w:rPr>
        <w:footnoteReference w:id="352"/>
      </w:r>
      <w:r w:rsidRPr="009A3C86">
        <w:rPr>
          <w:rFonts w:ascii="Times New Roman" w:eastAsia="Times New Roman" w:hAnsi="Times New Roman"/>
          <w:color w:val="000000"/>
          <w:sz w:val="24"/>
          <w:szCs w:val="24"/>
        </w:rPr>
        <w:t>.</w:t>
      </w:r>
      <w:r w:rsidR="00633419"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Trafny jest pogląd, że ekwiwalent za udziały zmarłego wspólnika spółki z ograniczoną odpowiedzialnością (równowartość), jako prawo majątkowe ( art. 922 § 1 k.c.) przysługujące spadkobiercom (art. 183 § 1 k.s.h.) podlega opodatkowaniu podatkiem od spadków i darowizn i z chwilą wypłaty tych udziałów w pieniądzu nie podlega, z uwagi na wyłączenie zawarte w art. 2 ust. 1 pkt 3 u.p.d.o.f., ponownemu opodatkowaniu podatkiem dochodowym od osób fizycznych. Jest to bowiem przysporzenie uzyskane tytułem dziedziczenia, niezależnie od momentu jego fizycznego otrzymania. Spłata ta, nie jest więc przychodem z praw majątkowych, lecz zastępuje to prawo.</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Zakres obowiązków, jakie przejmują spadkobiercy, powinien być uregulowany w przepisach podatkowych w sposób jasny i zrozumiały</w:t>
      </w:r>
      <w:r w:rsidRPr="009A3C86">
        <w:rPr>
          <w:rFonts w:ascii="Times New Roman" w:eastAsia="Times New Roman" w:hAnsi="Times New Roman"/>
          <w:color w:val="000000"/>
          <w:sz w:val="24"/>
          <w:szCs w:val="24"/>
          <w:vertAlign w:val="superscript"/>
        </w:rPr>
        <w:footnoteReference w:id="353"/>
      </w:r>
      <w:r w:rsidRPr="009A3C86">
        <w:rPr>
          <w:rFonts w:ascii="Times New Roman" w:eastAsia="Times New Roman" w:hAnsi="Times New Roman"/>
          <w:color w:val="000000"/>
          <w:sz w:val="24"/>
          <w:szCs w:val="24"/>
        </w:rPr>
        <w:t>. „Brak pewności prawa podatkowego w aspekcie nieprecyzyjnego określenia przez prawodawcę elementów obowiązku podatkowego ciążącego</w:t>
      </w:r>
      <w:r w:rsidRPr="009A3C86">
        <w:rPr>
          <w:rFonts w:ascii="Times New Roman" w:eastAsia="Times New Roman" w:hAnsi="Times New Roman"/>
          <w:sz w:val="24"/>
          <w:szCs w:val="24"/>
        </w:rPr>
        <w:t xml:space="preserve"> na podatniku jest sprzeczne z zasadą państwa prawnego”</w:t>
      </w:r>
      <w:r w:rsidRPr="009A3C86">
        <w:rPr>
          <w:rFonts w:ascii="Times New Roman" w:eastAsia="Times New Roman" w:hAnsi="Times New Roman"/>
          <w:sz w:val="24"/>
          <w:szCs w:val="24"/>
          <w:vertAlign w:val="superscript"/>
        </w:rPr>
        <w:footnoteReference w:id="354"/>
      </w:r>
      <w:r w:rsidRPr="009A3C86">
        <w:rPr>
          <w:rFonts w:ascii="Times New Roman" w:eastAsia="Times New Roman" w:hAnsi="Times New Roman"/>
          <w:sz w:val="24"/>
          <w:szCs w:val="24"/>
        </w:rPr>
        <w:t>.</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związku z powyższym uznano za celowe, mając także na względzie przyjęte zasady ogólne w art. 15, art. 18, art. 20, art. 26, zmienić metodę regulacji przepisów o następstwie prawnym spadkobierców i zapisobierców windykacyjnych w ten sposób by przejmowali oni (wstępowali) we wszelkie prawa spadkodawcy przewidziane w przepisach prawa podatkowego oraz ściśle określone obowiązki, które zostały w sposób wyczerpujący wymienione w art. </w:t>
      </w:r>
      <w:r w:rsidR="00D21DCC" w:rsidRPr="009A3C86">
        <w:rPr>
          <w:rFonts w:ascii="Times New Roman" w:eastAsia="Times New Roman" w:hAnsi="Times New Roman"/>
          <w:sz w:val="24"/>
          <w:szCs w:val="24"/>
        </w:rPr>
        <w:t xml:space="preserve">287 </w:t>
      </w:r>
      <w:r w:rsidRPr="009A3C86">
        <w:rPr>
          <w:rFonts w:ascii="Times New Roman" w:eastAsia="Times New Roman" w:hAnsi="Times New Roman"/>
          <w:sz w:val="24"/>
          <w:szCs w:val="24"/>
        </w:rPr>
        <w:t>§ 1 i 2. Notabene</w:t>
      </w:r>
      <w:r w:rsidRPr="009A3C86">
        <w:rPr>
          <w:rFonts w:ascii="Times New Roman" w:eastAsia="Times New Roman" w:hAnsi="Times New Roman"/>
          <w:i/>
          <w:iCs/>
          <w:sz w:val="24"/>
          <w:szCs w:val="24"/>
        </w:rPr>
        <w:t xml:space="preserve"> </w:t>
      </w:r>
      <w:r w:rsidRPr="009A3C86">
        <w:rPr>
          <w:rFonts w:ascii="Times New Roman" w:eastAsia="Times New Roman" w:hAnsi="Times New Roman"/>
          <w:sz w:val="24"/>
          <w:szCs w:val="24"/>
        </w:rPr>
        <w:t>użyte w art. 97 § 1 o.p. określenie „przejmują” oznacza, że co do zasady następuje ono także z mocy prawa.</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Przykładowe wyliczenie w art. </w:t>
      </w:r>
      <w:r w:rsidR="00D21DCC" w:rsidRPr="009A3C86">
        <w:rPr>
          <w:rFonts w:ascii="Times New Roman" w:eastAsia="Times New Roman" w:hAnsi="Times New Roman"/>
          <w:b/>
          <w:sz w:val="24"/>
          <w:szCs w:val="24"/>
        </w:rPr>
        <w:t xml:space="preserve">284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w związku z art. </w:t>
      </w:r>
      <w:r w:rsidR="00D21DC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 obowiązków niemajątkowych jest także wyrazem powyższego dążenia do usunięcia istniejących w orzecznictwie i piśmiennictwie sporów i nieporozumień dotyczących rozumienia tychże pojęć, przejętych przecież z zakresu prawa cywilnego na grunt prawa podatkowego. Oznacza to, że nie powinno być sporów o to, czy ulgi i zwolnienia podatkowe są, czy nie są prawami majątkowymi przejmowanymi przez spadkobierców podatnika</w:t>
      </w:r>
      <w:r w:rsidRPr="009A3C86">
        <w:rPr>
          <w:rFonts w:ascii="Times New Roman" w:eastAsia="Times New Roman" w:hAnsi="Times New Roman"/>
          <w:sz w:val="24"/>
          <w:szCs w:val="24"/>
          <w:vertAlign w:val="superscript"/>
        </w:rPr>
        <w:footnoteReference w:id="355"/>
      </w:r>
      <w:r w:rsidRPr="009A3C86">
        <w:rPr>
          <w:rFonts w:ascii="Times New Roman" w:eastAsia="Times New Roman" w:hAnsi="Times New Roman"/>
          <w:sz w:val="24"/>
          <w:szCs w:val="24"/>
        </w:rPr>
        <w:t>, ani to, czy spadkobiercom inkasenta przysługiwać będzie prawo do nadpłaty wynikającej z decyzji podatkowej</w:t>
      </w:r>
      <w:r w:rsidRPr="009A3C86">
        <w:rPr>
          <w:rFonts w:ascii="Times New Roman" w:eastAsia="Times New Roman" w:hAnsi="Times New Roman"/>
          <w:sz w:val="24"/>
          <w:szCs w:val="24"/>
          <w:vertAlign w:val="superscript"/>
        </w:rPr>
        <w:footnoteReference w:id="356"/>
      </w:r>
      <w:r w:rsidRPr="009A3C86">
        <w:rPr>
          <w:rFonts w:ascii="Times New Roman" w:eastAsia="Times New Roman" w:hAnsi="Times New Roman"/>
          <w:sz w:val="24"/>
          <w:szCs w:val="24"/>
        </w:rPr>
        <w:t xml:space="preserve">. Także nie </w:t>
      </w:r>
      <w:r w:rsidRPr="009A3C86">
        <w:rPr>
          <w:rFonts w:ascii="Times New Roman" w:eastAsia="Times New Roman" w:hAnsi="Times New Roman"/>
          <w:sz w:val="24"/>
          <w:szCs w:val="24"/>
        </w:rPr>
        <w:lastRenderedPageBreak/>
        <w:t>powinno być sporów o to, czy złożenie deklaracji podatkowej, korekta deklaracji, przechowywanie dokumentów, prowadzenie ksiąg podatkowych, sporządzenie spisu z natury to obowiązki majątkowe czy niemajątkowe.</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art. </w:t>
      </w:r>
      <w:r w:rsidR="00D21DCC" w:rsidRPr="009A3C86">
        <w:rPr>
          <w:rFonts w:ascii="Times New Roman" w:eastAsia="Times New Roman" w:hAnsi="Times New Roman"/>
          <w:b/>
          <w:sz w:val="24"/>
          <w:szCs w:val="24"/>
        </w:rPr>
        <w:t xml:space="preserve">287 </w:t>
      </w:r>
      <w:r w:rsidRPr="009A3C86">
        <w:rPr>
          <w:rFonts w:ascii="Times New Roman" w:eastAsia="Times New Roman" w:hAnsi="Times New Roman"/>
          <w:b/>
          <w:sz w:val="24"/>
          <w:szCs w:val="24"/>
        </w:rPr>
        <w:t>§ 2 pkt 6</w:t>
      </w:r>
      <w:r w:rsidRPr="009A3C86">
        <w:rPr>
          <w:rFonts w:ascii="Times New Roman" w:eastAsia="Times New Roman" w:hAnsi="Times New Roman"/>
          <w:sz w:val="24"/>
          <w:szCs w:val="24"/>
        </w:rPr>
        <w:t xml:space="preserve"> projektu (art. 98 § 2 pkt 6 o.p.) w miejsce niezdefiniowanego w ustawie o postępowaniu egzekucyjnym w administracji określenia „koszty postępowania egzekucyjnego” wpisano prawidłowe określenie „koszty egzekucyjne”.</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Dość często NSA w wyrokach</w:t>
      </w:r>
      <w:r w:rsidRPr="009A3C86">
        <w:rPr>
          <w:rFonts w:ascii="Times New Roman" w:eastAsia="Times New Roman" w:hAnsi="Times New Roman"/>
          <w:sz w:val="24"/>
          <w:szCs w:val="24"/>
          <w:vertAlign w:val="superscript"/>
        </w:rPr>
        <w:footnoteReference w:id="357"/>
      </w:r>
      <w:r w:rsidRPr="009A3C86">
        <w:rPr>
          <w:rFonts w:ascii="Times New Roman" w:eastAsia="Times New Roman" w:hAnsi="Times New Roman"/>
          <w:sz w:val="24"/>
          <w:szCs w:val="24"/>
        </w:rPr>
        <w:t xml:space="preserve"> wskazuje, że przejęciu przez spadkobierców podlegają tylko takie prawa, które istniały przed śmiercią spadkodawcy, a nie podlegają przejęciu prawa przyszłe i niepewne oraz takie, których wartości w momencie powstania obowiązku podatkowego nie da się ustalić. Jest to pogląd trafny z zastrzeżeniem przejęcia ekspektatyw praw. Tego zagadnienia nie dostrzega się w orzecznictwie</w:t>
      </w:r>
      <w:r w:rsidR="00F30B50" w:rsidRPr="009A3C86">
        <w:rPr>
          <w:rFonts w:ascii="Times New Roman" w:eastAsia="Times New Roman" w:hAnsi="Times New Roman"/>
          <w:sz w:val="24"/>
          <w:szCs w:val="24"/>
        </w:rPr>
        <w:t xml:space="preserve"> organów podatkowych</w:t>
      </w:r>
      <w:r w:rsidRPr="009A3C86">
        <w:rPr>
          <w:rFonts w:ascii="Times New Roman" w:eastAsia="Times New Roman" w:hAnsi="Times New Roman"/>
          <w:sz w:val="24"/>
          <w:szCs w:val="24"/>
        </w:rPr>
        <w:t xml:space="preserve"> i nie nadaje się mu właściwej rangi i znaczenia.</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projektowanych przepisach ordynacji podatkowej dotyczących następstwa prawnego nie ma odpowiednika art. 99 o.p., albowiem jego treść regulują w pełnym zakresie przepisy o nadpłacie, obejmujące także następców prawnych.</w:t>
      </w:r>
    </w:p>
    <w:p w:rsidR="00741954" w:rsidRPr="009A3C86" w:rsidRDefault="00741954" w:rsidP="00741954">
      <w:pPr>
        <w:spacing w:after="0" w:line="360" w:lineRule="auto"/>
        <w:jc w:val="both"/>
        <w:rPr>
          <w:rFonts w:ascii="Times New Roman" w:eastAsia="Times New Roman" w:hAnsi="Times New Roman"/>
          <w:color w:val="FF0000"/>
          <w:sz w:val="24"/>
          <w:szCs w:val="24"/>
        </w:rPr>
      </w:pPr>
      <w:r w:rsidRPr="009A3C86">
        <w:rPr>
          <w:rFonts w:ascii="Times New Roman" w:eastAsia="Times New Roman" w:hAnsi="Times New Roman"/>
          <w:sz w:val="24"/>
          <w:szCs w:val="24"/>
        </w:rPr>
        <w:t xml:space="preserve">Przepis art. </w:t>
      </w:r>
      <w:r w:rsidR="00D21DCC" w:rsidRPr="009A3C86">
        <w:rPr>
          <w:rFonts w:ascii="Times New Roman" w:eastAsia="Times New Roman" w:hAnsi="Times New Roman"/>
          <w:b/>
          <w:sz w:val="24"/>
          <w:szCs w:val="24"/>
        </w:rPr>
        <w:t xml:space="preserve">284 </w:t>
      </w:r>
      <w:r w:rsidRPr="009A3C86">
        <w:rPr>
          <w:rFonts w:ascii="Times New Roman" w:eastAsia="Times New Roman" w:hAnsi="Times New Roman"/>
          <w:b/>
          <w:sz w:val="24"/>
          <w:szCs w:val="24"/>
        </w:rPr>
        <w:t>§ 7</w:t>
      </w:r>
      <w:r w:rsidRPr="009A3C86">
        <w:rPr>
          <w:rFonts w:ascii="Times New Roman" w:eastAsia="Times New Roman" w:hAnsi="Times New Roman"/>
          <w:sz w:val="24"/>
          <w:szCs w:val="24"/>
        </w:rPr>
        <w:t xml:space="preserve"> projektu został w stosunku do art. 97 § 4 o.p. uzupełniony o  stosowanie do zakresu przedmiotowego następstwa prawnego (art. </w:t>
      </w:r>
      <w:r w:rsidR="00D21DCC"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 i § 4) w zakresie praw i obowiązków wynikających nie tylko z decyzji, ale i z ogólnych i indywidualnych interpretacji przepisów prawa podatkowego oraz informacji ogólnych, objaśnień podatkowych a także utrwalonej praktyki organów podatkowych, do których podatnik, płatnik lub inkasent (poprzednik prawny) zastosowali się.</w:t>
      </w:r>
      <w:r w:rsidRPr="009A3C86">
        <w:rPr>
          <w:rFonts w:ascii="Times New Roman" w:eastAsia="Times New Roman" w:hAnsi="Times New Roman"/>
          <w:color w:val="FF0000"/>
          <w:sz w:val="24"/>
          <w:szCs w:val="24"/>
        </w:rPr>
        <w:t xml:space="preserve"> </w:t>
      </w:r>
    </w:p>
    <w:p w:rsidR="00741954" w:rsidRPr="009A3C86" w:rsidRDefault="00633419"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art. </w:t>
      </w:r>
      <w:r w:rsidR="00D21DCC" w:rsidRPr="009A3C86">
        <w:rPr>
          <w:rFonts w:ascii="Times New Roman" w:eastAsia="Times New Roman" w:hAnsi="Times New Roman"/>
          <w:b/>
          <w:sz w:val="24"/>
          <w:szCs w:val="24"/>
        </w:rPr>
        <w:t xml:space="preserve">287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d</w:t>
      </w:r>
      <w:r w:rsidR="00741954" w:rsidRPr="009A3C86">
        <w:rPr>
          <w:rFonts w:ascii="Times New Roman" w:eastAsia="Times New Roman" w:hAnsi="Times New Roman"/>
          <w:sz w:val="24"/>
          <w:szCs w:val="24"/>
        </w:rPr>
        <w:t>o odpowiedzialności spadkobierców i zapisobierców windykacyjnych oraz przedsiębiorstwa w spadku za zobowiązania podatkowe spadkodawcy stosuje się m.in. przepisu Kodeksu cywilnego o odpowiedzialności za długi spadkowe. Oznacza to, że stosuje się je nie tylko w zakresie odpowiedzialności za te długi dotyczące samych spadkobierców w art. 1030, 1031, art. 1031</w:t>
      </w:r>
      <w:r w:rsidR="00741954" w:rsidRPr="009A3C86">
        <w:rPr>
          <w:rFonts w:ascii="Times New Roman" w:eastAsia="Times New Roman" w:hAnsi="Times New Roman"/>
          <w:sz w:val="24"/>
          <w:szCs w:val="24"/>
          <w:vertAlign w:val="superscript"/>
        </w:rPr>
        <w:t>1</w:t>
      </w:r>
      <w:r w:rsidR="00741954" w:rsidRPr="009A3C86">
        <w:rPr>
          <w:rFonts w:ascii="Times New Roman" w:eastAsia="Times New Roman" w:hAnsi="Times New Roman"/>
          <w:sz w:val="24"/>
          <w:szCs w:val="24"/>
        </w:rPr>
        <w:t>-1031</w:t>
      </w:r>
      <w:r w:rsidR="00741954" w:rsidRPr="009A3C86">
        <w:rPr>
          <w:rFonts w:ascii="Times New Roman" w:eastAsia="Times New Roman" w:hAnsi="Times New Roman"/>
          <w:sz w:val="24"/>
          <w:szCs w:val="24"/>
          <w:vertAlign w:val="superscript"/>
        </w:rPr>
        <w:t>4</w:t>
      </w:r>
      <w:r w:rsidR="00741954" w:rsidRPr="009A3C86">
        <w:rPr>
          <w:rFonts w:ascii="Times New Roman" w:eastAsia="Times New Roman" w:hAnsi="Times New Roman"/>
          <w:sz w:val="24"/>
          <w:szCs w:val="24"/>
        </w:rPr>
        <w:t>, art. 1032, art. 1033, art. 1034 k.c. ale i dotyczące zapisobierców windykacyjnych, jak art. 1030 w zw. z art. 981</w:t>
      </w:r>
      <w:r w:rsidR="00741954" w:rsidRPr="009A3C86">
        <w:rPr>
          <w:rFonts w:ascii="Times New Roman" w:eastAsia="Times New Roman" w:hAnsi="Times New Roman"/>
          <w:sz w:val="24"/>
          <w:szCs w:val="24"/>
          <w:vertAlign w:val="superscript"/>
        </w:rPr>
        <w:t>5</w:t>
      </w:r>
      <w:r w:rsidR="00741954" w:rsidRPr="009A3C86">
        <w:rPr>
          <w:rFonts w:ascii="Times New Roman" w:eastAsia="Times New Roman" w:hAnsi="Times New Roman"/>
          <w:sz w:val="24"/>
          <w:szCs w:val="24"/>
        </w:rPr>
        <w:t>, art. 1031</w:t>
      </w:r>
      <w:r w:rsidR="00741954" w:rsidRPr="009A3C86">
        <w:rPr>
          <w:rFonts w:ascii="Times New Roman" w:eastAsia="Times New Roman" w:hAnsi="Times New Roman"/>
          <w:sz w:val="24"/>
          <w:szCs w:val="24"/>
          <w:vertAlign w:val="superscript"/>
        </w:rPr>
        <w:t>1</w:t>
      </w:r>
      <w:r w:rsidR="00741954" w:rsidRPr="009A3C86">
        <w:rPr>
          <w:rFonts w:ascii="Times New Roman" w:eastAsia="Times New Roman" w:hAnsi="Times New Roman"/>
          <w:sz w:val="24"/>
          <w:szCs w:val="24"/>
        </w:rPr>
        <w:t>, art. 1031</w:t>
      </w:r>
      <w:r w:rsidR="00741954" w:rsidRPr="009A3C86">
        <w:rPr>
          <w:rFonts w:ascii="Times New Roman" w:eastAsia="Times New Roman" w:hAnsi="Times New Roman"/>
          <w:sz w:val="24"/>
          <w:szCs w:val="24"/>
          <w:vertAlign w:val="superscript"/>
        </w:rPr>
        <w:t>2</w:t>
      </w:r>
      <w:r w:rsidR="00741954" w:rsidRPr="009A3C86">
        <w:rPr>
          <w:rFonts w:ascii="Times New Roman" w:eastAsia="Times New Roman" w:hAnsi="Times New Roman"/>
          <w:sz w:val="24"/>
          <w:szCs w:val="24"/>
        </w:rPr>
        <w:t>, art</w:t>
      </w:r>
      <w:r w:rsidR="00742492" w:rsidRPr="009A3C86">
        <w:rPr>
          <w:rFonts w:ascii="Times New Roman" w:eastAsia="Times New Roman" w:hAnsi="Times New Roman"/>
          <w:sz w:val="24"/>
          <w:szCs w:val="24"/>
        </w:rPr>
        <w:t>. </w:t>
      </w:r>
      <w:r w:rsidR="00741954" w:rsidRPr="009A3C86">
        <w:rPr>
          <w:rFonts w:ascii="Times New Roman" w:eastAsia="Times New Roman" w:hAnsi="Times New Roman"/>
          <w:sz w:val="24"/>
          <w:szCs w:val="24"/>
        </w:rPr>
        <w:t>1031</w:t>
      </w:r>
      <w:r w:rsidR="00741954" w:rsidRPr="009A3C86">
        <w:rPr>
          <w:rFonts w:ascii="Times New Roman" w:eastAsia="Times New Roman" w:hAnsi="Times New Roman"/>
          <w:sz w:val="24"/>
          <w:szCs w:val="24"/>
          <w:vertAlign w:val="superscript"/>
        </w:rPr>
        <w:t>3</w:t>
      </w:r>
      <w:r w:rsidR="00741954" w:rsidRPr="009A3C86">
        <w:rPr>
          <w:rFonts w:ascii="Times New Roman" w:eastAsia="Times New Roman" w:hAnsi="Times New Roman"/>
          <w:sz w:val="24"/>
          <w:szCs w:val="24"/>
        </w:rPr>
        <w:t xml:space="preserve"> § 3, art. 1034</w:t>
      </w:r>
      <w:r w:rsidR="00741954" w:rsidRPr="009A3C86">
        <w:rPr>
          <w:rFonts w:ascii="Times New Roman" w:eastAsia="Times New Roman" w:hAnsi="Times New Roman"/>
          <w:sz w:val="24"/>
          <w:szCs w:val="24"/>
          <w:vertAlign w:val="superscript"/>
        </w:rPr>
        <w:t>1</w:t>
      </w:r>
      <w:r w:rsidR="00741954" w:rsidRPr="009A3C86">
        <w:rPr>
          <w:rFonts w:ascii="Times New Roman" w:eastAsia="Times New Roman" w:hAnsi="Times New Roman"/>
          <w:sz w:val="24"/>
          <w:szCs w:val="24"/>
        </w:rPr>
        <w:t>, art. 1034</w:t>
      </w:r>
      <w:r w:rsidR="00741954" w:rsidRPr="009A3C86">
        <w:rPr>
          <w:rFonts w:ascii="Times New Roman" w:eastAsia="Times New Roman" w:hAnsi="Times New Roman"/>
          <w:sz w:val="24"/>
          <w:szCs w:val="24"/>
          <w:vertAlign w:val="superscript"/>
        </w:rPr>
        <w:t>2</w:t>
      </w:r>
      <w:r w:rsidR="00741954" w:rsidRPr="009A3C86">
        <w:rPr>
          <w:rFonts w:ascii="Times New Roman" w:eastAsia="Times New Roman" w:hAnsi="Times New Roman"/>
          <w:sz w:val="24"/>
          <w:szCs w:val="24"/>
        </w:rPr>
        <w:t xml:space="preserve"> k.c. Przepisy te będą miały, w stosunku do zapisobierców windykacyjnych, zastosowanie także wówczas, gdy przedmiotem zapisu windykacyjnego uczynionego na rzecz jednego, czy więcej zapisobierców będą przedsiębiorstwa, których </w:t>
      </w:r>
      <w:r w:rsidR="00741954" w:rsidRPr="009A3C86">
        <w:rPr>
          <w:rFonts w:ascii="Times New Roman" w:eastAsia="Times New Roman" w:hAnsi="Times New Roman"/>
          <w:sz w:val="24"/>
          <w:szCs w:val="24"/>
        </w:rPr>
        <w:lastRenderedPageBreak/>
        <w:t>właścicielem był spadkodawca. Stosowane tu będą jednolite, obowiązujące w prawie cywilnym zasady odpowiedzialności za długi spadkodawcy.</w:t>
      </w:r>
    </w:p>
    <w:p w:rsidR="00741954" w:rsidRPr="009A3C86" w:rsidRDefault="00741954" w:rsidP="00F30B50">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11.</w:t>
      </w:r>
      <w:r w:rsidR="00633419"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 xml:space="preserve">Do projektu ustawy wprowadzono przepisy art. </w:t>
      </w:r>
      <w:r w:rsidR="00F81179" w:rsidRPr="009A3C86">
        <w:rPr>
          <w:rFonts w:ascii="Times New Roman" w:hAnsi="Times New Roman"/>
          <w:b/>
          <w:color w:val="000000"/>
          <w:sz w:val="24"/>
          <w:szCs w:val="24"/>
          <w:lang w:eastAsia="pl-PL"/>
        </w:rPr>
        <w:t>285</w:t>
      </w:r>
      <w:r w:rsidR="00F81179"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 xml:space="preserve">i art. </w:t>
      </w:r>
      <w:r w:rsidR="00F81179" w:rsidRPr="009A3C86">
        <w:rPr>
          <w:rFonts w:ascii="Times New Roman" w:hAnsi="Times New Roman"/>
          <w:b/>
          <w:color w:val="000000"/>
          <w:sz w:val="24"/>
          <w:szCs w:val="24"/>
          <w:lang w:eastAsia="pl-PL"/>
        </w:rPr>
        <w:t>286</w:t>
      </w:r>
      <w:r w:rsidRPr="009A3C86">
        <w:rPr>
          <w:rFonts w:ascii="Times New Roman" w:hAnsi="Times New Roman"/>
          <w:color w:val="000000"/>
          <w:sz w:val="24"/>
          <w:szCs w:val="24"/>
          <w:lang w:eastAsia="pl-PL"/>
        </w:rPr>
        <w:t xml:space="preserve">, które stanowią dostosowane odpowiedniki art. 97 § 1a, § 1b, art. 97a § 1 i § 2 o.p.  Jednakże przepis art. </w:t>
      </w:r>
      <w:r w:rsidR="00F81179" w:rsidRPr="009A3C86">
        <w:rPr>
          <w:rFonts w:ascii="Times New Roman" w:hAnsi="Times New Roman"/>
          <w:color w:val="000000"/>
          <w:sz w:val="24"/>
          <w:szCs w:val="24"/>
          <w:lang w:eastAsia="pl-PL"/>
        </w:rPr>
        <w:t xml:space="preserve">285 </w:t>
      </w:r>
      <w:r w:rsidRPr="009A3C86">
        <w:rPr>
          <w:rFonts w:ascii="Times New Roman" w:hAnsi="Times New Roman"/>
          <w:color w:val="000000"/>
          <w:sz w:val="24"/>
          <w:szCs w:val="24"/>
          <w:lang w:eastAsia="pl-PL"/>
        </w:rPr>
        <w:t xml:space="preserve">§ 1 stanowi, że kontynuacja działalności gospodarczej spadkodawcy przez spadkobierców i zapisobierców windykacyjnych (art. </w:t>
      </w:r>
      <w:r w:rsidR="00F81179" w:rsidRPr="009A3C86">
        <w:rPr>
          <w:rFonts w:ascii="Times New Roman" w:hAnsi="Times New Roman"/>
          <w:color w:val="000000"/>
          <w:sz w:val="24"/>
          <w:szCs w:val="24"/>
          <w:lang w:eastAsia="pl-PL"/>
        </w:rPr>
        <w:t xml:space="preserve">284 </w:t>
      </w:r>
      <w:r w:rsidRPr="009A3C86">
        <w:rPr>
          <w:rFonts w:ascii="Times New Roman" w:hAnsi="Times New Roman"/>
          <w:color w:val="000000"/>
          <w:sz w:val="24"/>
          <w:szCs w:val="24"/>
          <w:lang w:eastAsia="pl-PL"/>
        </w:rPr>
        <w:t xml:space="preserve">§ 1 i 5 projektu) może nastąpić na zasadach określonych w ustawie o zarządzie sukcesyjnym przedsiębiorstwem osoby fizycznej. Dotyczy to także małżonka zmarłego przedsiębiorcy. Natomiast pominięto w art. </w:t>
      </w:r>
      <w:r w:rsidR="00F81179" w:rsidRPr="009A3C86">
        <w:rPr>
          <w:rFonts w:ascii="Times New Roman" w:hAnsi="Times New Roman"/>
          <w:color w:val="000000"/>
          <w:sz w:val="24"/>
          <w:szCs w:val="24"/>
          <w:lang w:eastAsia="pl-PL"/>
        </w:rPr>
        <w:t xml:space="preserve">285 </w:t>
      </w:r>
      <w:r w:rsidRPr="009A3C86">
        <w:rPr>
          <w:rFonts w:ascii="Times New Roman" w:hAnsi="Times New Roman"/>
          <w:color w:val="000000"/>
          <w:sz w:val="24"/>
          <w:szCs w:val="24"/>
          <w:lang w:eastAsia="pl-PL"/>
        </w:rPr>
        <w:t xml:space="preserve">projektu, regulacje zawarte w art. 97 § 2a o.p. z uwagi na odmienny zakres unormowania zakresu przejmowanych przez następców prawnych praw i obowiązków, o których mowa w tym przepisie (wszelkich), a nie tylko niemajątkowych. Z kolei pominięto też w art. </w:t>
      </w:r>
      <w:r w:rsidR="00F81179" w:rsidRPr="009A3C86">
        <w:rPr>
          <w:rFonts w:ascii="Times New Roman" w:hAnsi="Times New Roman"/>
          <w:color w:val="000000"/>
          <w:sz w:val="24"/>
          <w:szCs w:val="24"/>
          <w:lang w:eastAsia="pl-PL"/>
        </w:rPr>
        <w:t xml:space="preserve">286 </w:t>
      </w:r>
      <w:r w:rsidRPr="009A3C86">
        <w:rPr>
          <w:rFonts w:ascii="Times New Roman" w:hAnsi="Times New Roman"/>
          <w:color w:val="000000"/>
          <w:sz w:val="24"/>
          <w:szCs w:val="24"/>
          <w:lang w:eastAsia="pl-PL"/>
        </w:rPr>
        <w:t xml:space="preserve">projektu uregulowania zawarte w art. 97a § 3 i 4 o.p., gdyż ich zastosowanie zastępuje odpowiednio stosowany przepis art. </w:t>
      </w:r>
      <w:r w:rsidR="00D4270C" w:rsidRPr="009A3C86">
        <w:rPr>
          <w:rFonts w:ascii="Times New Roman" w:hAnsi="Times New Roman"/>
          <w:color w:val="000000"/>
          <w:sz w:val="24"/>
          <w:szCs w:val="24"/>
          <w:lang w:eastAsia="pl-PL"/>
        </w:rPr>
        <w:t xml:space="preserve">278 </w:t>
      </w:r>
      <w:r w:rsidRPr="009A3C86">
        <w:rPr>
          <w:rFonts w:ascii="Times New Roman" w:hAnsi="Times New Roman"/>
          <w:color w:val="000000"/>
          <w:sz w:val="24"/>
          <w:szCs w:val="24"/>
          <w:lang w:eastAsia="pl-PL"/>
        </w:rPr>
        <w:t xml:space="preserve">projektu. Poza tym zauważyć należy, że regulacje zawarte w art. 97a § 3 i 4 o.p. nie zawierają przepisu będącego odpowiednikiem art. 100 § 3 o.p. dotyczącego terminu płatności należności przez osoby zobowiązane jako następcy prawni (zarządcę sukcesyjnego). Zwrócić też uwagę należy na to, że zarządca sukcesyjny jako wykonujący prawa i obowiązki spadkodawcy będzie mógł wykonywać prawa wynikające z wydanych interpretacji ogólnych, objaśnień podatkowych, czy wydanych spadkodawcy  interpretacji indywidualnych, a także wynikające z informacji ogólnych czy utrwalonej praktyki interpretacyjnej organów podatkowych, na zasadach wskazanych w art. </w:t>
      </w:r>
      <w:r w:rsidR="00F81179" w:rsidRPr="009A3C86">
        <w:rPr>
          <w:rFonts w:ascii="Times New Roman" w:hAnsi="Times New Roman"/>
          <w:color w:val="000000"/>
          <w:sz w:val="24"/>
          <w:szCs w:val="24"/>
          <w:lang w:eastAsia="pl-PL"/>
        </w:rPr>
        <w:t xml:space="preserve">284 </w:t>
      </w:r>
      <w:r w:rsidRPr="009A3C86">
        <w:rPr>
          <w:rFonts w:ascii="Times New Roman" w:hAnsi="Times New Roman"/>
          <w:color w:val="000000"/>
          <w:sz w:val="24"/>
          <w:szCs w:val="24"/>
          <w:lang w:eastAsia="pl-PL"/>
        </w:rPr>
        <w:t xml:space="preserve">§ 7 w związku z art. </w:t>
      </w:r>
      <w:r w:rsidR="00F81179" w:rsidRPr="009A3C86">
        <w:rPr>
          <w:rFonts w:ascii="Times New Roman" w:hAnsi="Times New Roman"/>
          <w:color w:val="000000"/>
          <w:sz w:val="24"/>
          <w:szCs w:val="24"/>
          <w:lang w:eastAsia="pl-PL"/>
        </w:rPr>
        <w:t xml:space="preserve">285 </w:t>
      </w:r>
      <w:r w:rsidRPr="009A3C86">
        <w:rPr>
          <w:rFonts w:ascii="Times New Roman" w:hAnsi="Times New Roman"/>
          <w:color w:val="000000"/>
          <w:sz w:val="24"/>
          <w:szCs w:val="24"/>
          <w:lang w:eastAsia="pl-PL"/>
        </w:rPr>
        <w:t>§ 3 projektu, czyli wówczas gdy się do nich będzie stosował</w:t>
      </w:r>
      <w:r w:rsidR="00F30B50" w:rsidRPr="009A3C86">
        <w:rPr>
          <w:rFonts w:ascii="Times New Roman" w:hAnsi="Times New Roman"/>
          <w:color w:val="000000"/>
          <w:sz w:val="24"/>
          <w:szCs w:val="24"/>
          <w:lang w:eastAsia="pl-PL"/>
        </w:rPr>
        <w:t>, tak jak stosował się do nich jego poprzednik prawny</w:t>
      </w:r>
      <w:r w:rsidRPr="009A3C86">
        <w:rPr>
          <w:rFonts w:ascii="Times New Roman" w:hAnsi="Times New Roman"/>
          <w:color w:val="000000"/>
          <w:sz w:val="24"/>
          <w:szCs w:val="24"/>
          <w:lang w:eastAsia="pl-PL"/>
        </w:rPr>
        <w:t>. W tym zakresie nie ma odstępstwa od regulacji dotyczącej innych następców prawnych. Z regulacji zawartej w art. 97a o.p. w zw. z art. 15 i art. 21 ust. 1 ustawy o zarządzie sukcesyjnym wynika, że decyzja o zakresie odpowiedzialności osób wskazanych w art. 97a § 2 o.p. powinna być adresowana do zarządcy sukcesyjnego, który dysponuje środkami na rachunku bankowym przedsiębiorstwa w spadku i wykonuje prawa i obowiązki przedsiębiorstwa w spadku jako następcy prawnego</w:t>
      </w:r>
      <w:r w:rsidR="00F30B50" w:rsidRPr="009A3C86">
        <w:rPr>
          <w:rFonts w:ascii="Times New Roman" w:hAnsi="Times New Roman"/>
          <w:color w:val="000000"/>
          <w:sz w:val="24"/>
          <w:szCs w:val="24"/>
          <w:lang w:eastAsia="pl-PL"/>
        </w:rPr>
        <w:t>, ale powinna w rozstrzygnięciu orzekać o odpowiedzialności spadkobierców lub zapisobiercy windykacyjnego.</w:t>
      </w:r>
      <w:r w:rsidR="00F30B50" w:rsidRPr="009A3C86">
        <w:t xml:space="preserve"> </w:t>
      </w:r>
      <w:r w:rsidR="00F30B50" w:rsidRPr="009A3C86">
        <w:rPr>
          <w:rFonts w:ascii="Times New Roman" w:hAnsi="Times New Roman"/>
          <w:color w:val="000000"/>
          <w:sz w:val="24"/>
          <w:szCs w:val="24"/>
          <w:lang w:eastAsia="pl-PL"/>
        </w:rPr>
        <w:t>Powyższe oznacza, że w stosunku do zarządcy sukcesyjnego aktualne będą poglądy Sądu Najwyższego wypowiadane co do statusu prawnego syndyka</w:t>
      </w:r>
      <w:r w:rsidR="00F30B50" w:rsidRPr="009A3C86">
        <w:rPr>
          <w:rStyle w:val="Odwoanieprzypisudolnego"/>
          <w:color w:val="000000"/>
          <w:sz w:val="24"/>
          <w:szCs w:val="24"/>
          <w:lang w:eastAsia="pl-PL"/>
        </w:rPr>
        <w:footnoteReference w:id="358"/>
      </w:r>
      <w:r w:rsidR="00F30B50" w:rsidRPr="009A3C86">
        <w:rPr>
          <w:rFonts w:ascii="Times New Roman" w:hAnsi="Times New Roman"/>
          <w:color w:val="000000"/>
          <w:sz w:val="24"/>
          <w:szCs w:val="24"/>
          <w:lang w:eastAsia="pl-PL"/>
        </w:rPr>
        <w:t>. Jest tak dlatego, że spadkobiercy i zapisobierca windykacyjny nie tracą zdolności prawnej wskutek ustanowienia zarządcy sukcesyjnego, nie tracą także podmiotowości prawnej.</w:t>
      </w:r>
      <w:r w:rsidRPr="009A3C86">
        <w:rPr>
          <w:rFonts w:ascii="Times New Roman" w:hAnsi="Times New Roman"/>
          <w:color w:val="000000"/>
          <w:sz w:val="24"/>
          <w:szCs w:val="24"/>
          <w:lang w:eastAsia="pl-PL"/>
        </w:rPr>
        <w:t xml:space="preserve"> Przedsiębiorstwo </w:t>
      </w:r>
      <w:r w:rsidR="00F30B50" w:rsidRPr="009A3C86">
        <w:rPr>
          <w:rFonts w:ascii="Times New Roman" w:hAnsi="Times New Roman"/>
          <w:color w:val="000000"/>
          <w:sz w:val="24"/>
          <w:szCs w:val="24"/>
          <w:lang w:eastAsia="pl-PL"/>
        </w:rPr>
        <w:lastRenderedPageBreak/>
        <w:t xml:space="preserve">w spadku  </w:t>
      </w:r>
      <w:r w:rsidRPr="009A3C86">
        <w:rPr>
          <w:rFonts w:ascii="Times New Roman" w:hAnsi="Times New Roman"/>
          <w:color w:val="000000"/>
          <w:sz w:val="24"/>
          <w:szCs w:val="24"/>
          <w:lang w:eastAsia="pl-PL"/>
        </w:rPr>
        <w:t xml:space="preserve">jako </w:t>
      </w:r>
      <w:r w:rsidR="00F30B50"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twór w pewnym sensie fikcyjny</w:t>
      </w:r>
      <w:r w:rsidR="00F30B50" w:rsidRPr="009A3C86">
        <w:rPr>
          <w:rFonts w:ascii="Times New Roman" w:hAnsi="Times New Roman"/>
          <w:color w:val="000000"/>
          <w:sz w:val="24"/>
          <w:szCs w:val="24"/>
          <w:lang w:eastAsia="pl-PL"/>
        </w:rPr>
        <w:t>”</w:t>
      </w:r>
      <w:r w:rsidRPr="009A3C86">
        <w:rPr>
          <w:rFonts w:ascii="Times New Roman" w:hAnsi="Times New Roman"/>
          <w:color w:val="000000"/>
          <w:sz w:val="24"/>
          <w:szCs w:val="24"/>
          <w:lang w:eastAsia="pl-PL"/>
        </w:rPr>
        <w:t xml:space="preserve"> nie może być adresatem decyzji</w:t>
      </w:r>
      <w:r w:rsidR="00F30B50" w:rsidRPr="009A3C86">
        <w:rPr>
          <w:rFonts w:ascii="Times New Roman" w:hAnsi="Times New Roman"/>
          <w:color w:val="000000"/>
          <w:sz w:val="24"/>
          <w:szCs w:val="24"/>
          <w:lang w:eastAsia="pl-PL"/>
        </w:rPr>
        <w:t xml:space="preserve"> i podmiotem odpowiedzialności podatkowej. Z uzasadnienia ustawy o zarządzie sukcesyjnym przedsiębiorstwem osoby fizycznej wynika, że pozycja prawna zarządcy sukcesyjnego jest zbliżona do pozycji syndyka masy upadłości. To oznacza, że  przepis art. </w:t>
      </w:r>
      <w:r w:rsidR="00F81179" w:rsidRPr="009A3C86">
        <w:rPr>
          <w:rFonts w:ascii="Times New Roman" w:hAnsi="Times New Roman"/>
          <w:color w:val="000000"/>
          <w:sz w:val="24"/>
          <w:szCs w:val="24"/>
          <w:lang w:eastAsia="pl-PL"/>
        </w:rPr>
        <w:t xml:space="preserve">292 </w:t>
      </w:r>
      <w:r w:rsidR="00F30B50" w:rsidRPr="009A3C86">
        <w:rPr>
          <w:rFonts w:ascii="Times New Roman" w:hAnsi="Times New Roman"/>
          <w:color w:val="000000"/>
          <w:sz w:val="24"/>
          <w:szCs w:val="24"/>
          <w:lang w:eastAsia="pl-PL"/>
        </w:rPr>
        <w:t>§ 1 projektu należało uzupełnić o obowiązek zawiadamiania przez organy podatkowe także zarządcy sukcesyjnego</w:t>
      </w:r>
      <w:r w:rsidRPr="009A3C86">
        <w:rPr>
          <w:rFonts w:ascii="Times New Roman" w:hAnsi="Times New Roman"/>
          <w:color w:val="000000"/>
          <w:sz w:val="24"/>
          <w:szCs w:val="24"/>
          <w:lang w:eastAsia="pl-PL"/>
        </w:rPr>
        <w:t xml:space="preserve">. </w:t>
      </w:r>
    </w:p>
    <w:p w:rsidR="00741954" w:rsidRPr="009A3C86" w:rsidRDefault="00741954" w:rsidP="00741954">
      <w:pPr>
        <w:spacing w:after="0" w:line="360" w:lineRule="auto"/>
        <w:jc w:val="both"/>
        <w:rPr>
          <w:rFonts w:ascii="Times New Roman" w:hAnsi="Times New Roman"/>
          <w:color w:val="000000"/>
          <w:sz w:val="24"/>
          <w:szCs w:val="24"/>
          <w:lang w:eastAsia="pl-PL"/>
        </w:rPr>
      </w:pPr>
      <w:r w:rsidRPr="009A3C86">
        <w:rPr>
          <w:rFonts w:ascii="Times New Roman" w:hAnsi="Times New Roman"/>
          <w:color w:val="000000"/>
          <w:sz w:val="24"/>
          <w:szCs w:val="24"/>
          <w:lang w:eastAsia="pl-PL"/>
        </w:rPr>
        <w:t xml:space="preserve">W związku z treścią art. </w:t>
      </w:r>
      <w:r w:rsidR="00F81179" w:rsidRPr="009A3C86">
        <w:rPr>
          <w:rFonts w:ascii="Times New Roman" w:hAnsi="Times New Roman"/>
          <w:b/>
          <w:color w:val="000000"/>
          <w:sz w:val="24"/>
          <w:szCs w:val="24"/>
          <w:lang w:eastAsia="pl-PL"/>
        </w:rPr>
        <w:t>285</w:t>
      </w:r>
      <w:r w:rsidR="00F81179"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projektu  bezprzedmiotowe stały się przepisy art. 97 § 1a, 1b i 2a o.p. Jest charakterystyczne, że obowiązujący art. 97a o.p. nie uregulował terminu płatności należności od "przedsiębiorstwa w spadku". Lukę te wypełni odesłanie zawarte w art.</w:t>
      </w:r>
      <w:r w:rsidR="00633419" w:rsidRPr="009A3C86">
        <w:rPr>
          <w:rFonts w:ascii="Times New Roman" w:hAnsi="Times New Roman"/>
          <w:color w:val="000000"/>
          <w:sz w:val="24"/>
          <w:szCs w:val="24"/>
          <w:lang w:eastAsia="pl-PL"/>
        </w:rPr>
        <w:t xml:space="preserve"> </w:t>
      </w:r>
      <w:r w:rsidR="00F81179" w:rsidRPr="009A3C86">
        <w:rPr>
          <w:rFonts w:ascii="Times New Roman" w:hAnsi="Times New Roman"/>
          <w:b/>
          <w:color w:val="000000"/>
          <w:sz w:val="24"/>
          <w:szCs w:val="24"/>
          <w:lang w:eastAsia="pl-PL"/>
        </w:rPr>
        <w:t xml:space="preserve">286 </w:t>
      </w:r>
      <w:r w:rsidRPr="009A3C86">
        <w:rPr>
          <w:rFonts w:ascii="Times New Roman" w:hAnsi="Times New Roman"/>
          <w:b/>
          <w:color w:val="000000"/>
          <w:sz w:val="24"/>
          <w:szCs w:val="24"/>
          <w:lang w:eastAsia="pl-PL"/>
        </w:rPr>
        <w:t xml:space="preserve">§ </w:t>
      </w:r>
      <w:r w:rsidR="00F81179" w:rsidRPr="009A3C86">
        <w:rPr>
          <w:rFonts w:ascii="Times New Roman" w:hAnsi="Times New Roman"/>
          <w:b/>
          <w:color w:val="000000"/>
          <w:sz w:val="24"/>
          <w:szCs w:val="24"/>
          <w:lang w:eastAsia="pl-PL"/>
        </w:rPr>
        <w:t>1</w:t>
      </w:r>
      <w:r w:rsidRPr="009A3C86">
        <w:rPr>
          <w:rFonts w:ascii="Times New Roman" w:hAnsi="Times New Roman"/>
          <w:color w:val="000000"/>
          <w:sz w:val="24"/>
          <w:szCs w:val="24"/>
          <w:lang w:eastAsia="pl-PL"/>
        </w:rPr>
        <w:t xml:space="preserve"> projektu do odpowiedniego stosowania art. </w:t>
      </w:r>
      <w:r w:rsidR="00F81179" w:rsidRPr="009A3C86">
        <w:rPr>
          <w:rFonts w:ascii="Times New Roman" w:hAnsi="Times New Roman"/>
          <w:color w:val="000000"/>
          <w:sz w:val="24"/>
          <w:szCs w:val="24"/>
          <w:lang w:eastAsia="pl-PL"/>
        </w:rPr>
        <w:t xml:space="preserve">288 </w:t>
      </w:r>
      <w:r w:rsidRPr="009A3C86">
        <w:rPr>
          <w:rFonts w:ascii="Times New Roman" w:hAnsi="Times New Roman"/>
          <w:color w:val="000000"/>
          <w:sz w:val="24"/>
          <w:szCs w:val="24"/>
          <w:lang w:eastAsia="pl-PL"/>
        </w:rPr>
        <w:t>projektu. Z tego też powodu pominięto w art.</w:t>
      </w:r>
      <w:r w:rsidR="00633419" w:rsidRPr="009A3C86">
        <w:rPr>
          <w:rFonts w:ascii="Times New Roman" w:hAnsi="Times New Roman"/>
          <w:color w:val="000000"/>
          <w:sz w:val="24"/>
          <w:szCs w:val="24"/>
          <w:lang w:eastAsia="pl-PL"/>
        </w:rPr>
        <w:t xml:space="preserve"> </w:t>
      </w:r>
      <w:r w:rsidRPr="009A3C86">
        <w:rPr>
          <w:rFonts w:ascii="Times New Roman" w:hAnsi="Times New Roman"/>
          <w:color w:val="000000"/>
          <w:sz w:val="24"/>
          <w:szCs w:val="24"/>
          <w:lang w:eastAsia="pl-PL"/>
        </w:rPr>
        <w:t>2 treści zawarte w art. 97a § 3 i 4 o.p.</w:t>
      </w:r>
    </w:p>
    <w:p w:rsidR="00741954" w:rsidRPr="009A3C86" w:rsidRDefault="00741954" w:rsidP="00741954">
      <w:pPr>
        <w:tabs>
          <w:tab w:val="left" w:pos="7920"/>
        </w:tabs>
        <w:spacing w:after="0" w:line="360" w:lineRule="auto"/>
        <w:jc w:val="both"/>
        <w:rPr>
          <w:rFonts w:ascii="Times New Roman" w:eastAsia="Times New Roman" w:hAnsi="Times New Roman"/>
          <w:color w:val="000000"/>
          <w:sz w:val="24"/>
          <w:szCs w:val="24"/>
        </w:rPr>
      </w:pPr>
    </w:p>
    <w:p w:rsidR="00741954" w:rsidRPr="009A3C86" w:rsidRDefault="00741954" w:rsidP="00741954">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color w:val="000000"/>
          <w:sz w:val="24"/>
          <w:szCs w:val="24"/>
        </w:rPr>
        <w:t xml:space="preserve">12. Przepis art. </w:t>
      </w:r>
      <w:r w:rsidR="00F81179" w:rsidRPr="009A3C86">
        <w:rPr>
          <w:rFonts w:ascii="Times New Roman" w:eastAsia="Times New Roman" w:hAnsi="Times New Roman"/>
          <w:b/>
          <w:color w:val="000000"/>
          <w:sz w:val="24"/>
          <w:szCs w:val="24"/>
        </w:rPr>
        <w:t>287</w:t>
      </w:r>
      <w:r w:rsidR="00F81179"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 xml:space="preserve">i art. </w:t>
      </w:r>
      <w:r w:rsidR="00F81179" w:rsidRPr="009A3C86">
        <w:rPr>
          <w:rFonts w:ascii="Times New Roman" w:eastAsia="Times New Roman" w:hAnsi="Times New Roman"/>
          <w:b/>
          <w:color w:val="000000"/>
          <w:sz w:val="24"/>
          <w:szCs w:val="24"/>
        </w:rPr>
        <w:t>288</w:t>
      </w:r>
      <w:r w:rsidR="00F81179"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są dostosowanym odpowiednikami dotychczasowych art. 98 i art. 100 § 1-3 o.p., z tym tylko że odpowiednie stosowanie art. 196 dotyczy możliwości zwrotu nadpłaty lub jej zaliczenia bez wydawania decyzji. Poza tym regulacja zawarta w</w:t>
      </w:r>
      <w:r w:rsidR="00C942FF" w:rsidRPr="009A3C86">
        <w:t xml:space="preserve"> </w:t>
      </w:r>
      <w:r w:rsidR="00C942FF" w:rsidRPr="009A3C86">
        <w:rPr>
          <w:rFonts w:ascii="Times New Roman" w:eastAsia="Times New Roman" w:hAnsi="Times New Roman"/>
          <w:color w:val="000000"/>
          <w:sz w:val="24"/>
          <w:szCs w:val="24"/>
        </w:rPr>
        <w:t xml:space="preserve">art. </w:t>
      </w:r>
      <w:r w:rsidR="00F81179" w:rsidRPr="009A3C86">
        <w:rPr>
          <w:rFonts w:ascii="Times New Roman" w:eastAsia="Times New Roman" w:hAnsi="Times New Roman"/>
          <w:color w:val="000000"/>
          <w:sz w:val="24"/>
          <w:szCs w:val="24"/>
        </w:rPr>
        <w:t>288</w:t>
      </w:r>
      <w:r w:rsidRPr="009A3C86">
        <w:rPr>
          <w:rFonts w:ascii="Times New Roman" w:eastAsia="Times New Roman" w:hAnsi="Times New Roman"/>
          <w:color w:val="000000"/>
          <w:sz w:val="24"/>
          <w:szCs w:val="24"/>
        </w:rPr>
        <w:t xml:space="preserve"> § 3 jest związana z sytuacją, w której doszłoby do śmierci spadkobiercy w toku postępowania. W związku z brakiem tu następstwa prawnego w części przypadającej na tego zmarłego odpowiedzialności nie przejmą jego spadkobiercy. Stąd w tej części postępowanie zostanie umorzone a decyzja w tym zakresie odnoszącym się do ,,następców prawnych</w:t>
      </w:r>
      <w:r w:rsidR="00C942FF" w:rsidRPr="009A3C86">
        <w:rPr>
          <w:rFonts w:ascii="Times New Roman" w:eastAsia="Times New Roman" w:hAnsi="Times New Roman"/>
          <w:color w:val="000000"/>
          <w:sz w:val="24"/>
          <w:szCs w:val="24"/>
        </w:rPr>
        <w:t xml:space="preserve">” </w:t>
      </w:r>
      <w:r w:rsidRPr="009A3C86">
        <w:rPr>
          <w:rFonts w:ascii="Times New Roman" w:eastAsia="Times New Roman" w:hAnsi="Times New Roman"/>
          <w:color w:val="000000"/>
          <w:sz w:val="24"/>
          <w:szCs w:val="24"/>
        </w:rPr>
        <w:t>tego zmarłego pozostawiona będzie w aktach sprawy. Zauważyć tu należy, że następstwo prawne nie może być wyprowadzane z odpowiedzialności solidarnej. Regulacja taka byłaby niezgodna z Konstytucją albowiem nakładałaby np. na współwłaścicieli (art. 3 ust. 4 u.p.o.l.) odpowiedzialność większą niż wynikająca z wysokości ich udziałów i w dodatku niemożliwą do zrealizowania w sądzie, w ramach odpowiedzialności regresowej. W piśmiennictwie</w:t>
      </w:r>
      <w:r w:rsidRPr="009A3C86">
        <w:rPr>
          <w:rFonts w:ascii="Times New Roman" w:eastAsia="Times New Roman" w:hAnsi="Times New Roman"/>
          <w:color w:val="000000"/>
          <w:sz w:val="24"/>
          <w:szCs w:val="24"/>
          <w:vertAlign w:val="superscript"/>
        </w:rPr>
        <w:footnoteReference w:id="359"/>
      </w:r>
      <w:r w:rsidRPr="009A3C86">
        <w:rPr>
          <w:rFonts w:ascii="Times New Roman" w:eastAsia="Times New Roman" w:hAnsi="Times New Roman"/>
          <w:color w:val="000000"/>
          <w:sz w:val="24"/>
          <w:szCs w:val="24"/>
        </w:rPr>
        <w:t xml:space="preserve"> wyrażane są poglądy o niepodzielności zobowiązania wynikającego z solidarnego charakteru zobowiązania podatkowego wymierzonego współwłaścicielom, jednakże dotyczy to oczywiście zobowiązania już wymierzonego. Niepodzielność ta nie dotyczy więc etapu „przedwymiarowego”, który następuje w omawianym przypadku. Decyzja o zakresie odpowiedzialności lub uprawnień, o których mowa w tym przepisie, będzie wydawana także w stosunku do przedsiębiorstwa w spadku i do zapisobierców windykacyjnych a określać będzie </w:t>
      </w:r>
      <w:r w:rsidRPr="009A3C86">
        <w:rPr>
          <w:rFonts w:ascii="Times New Roman" w:eastAsia="Times New Roman" w:hAnsi="Times New Roman"/>
          <w:color w:val="000000"/>
          <w:sz w:val="24"/>
          <w:szCs w:val="24"/>
        </w:rPr>
        <w:lastRenderedPageBreak/>
        <w:t xml:space="preserve">zakres tej odpowiedzialności lub uprawnień tych  następców prawnych (jedna decyzja). Jednakże decyzją o zakresie odpowiedzialności lub uprawnień zapisobierców windykacyjnych nie będzie można objąć zakresu odpowiedzialności lub uprawnień  spadkobierców. Jest tak dlatego, że inny jest w stosunku do tych podmiotów charakter i zakres następstwa prawnego określony w art. </w:t>
      </w:r>
      <w:r w:rsidR="00665B5F" w:rsidRPr="009A3C86">
        <w:rPr>
          <w:rFonts w:ascii="Times New Roman" w:eastAsia="Times New Roman" w:hAnsi="Times New Roman"/>
          <w:color w:val="000000"/>
          <w:sz w:val="24"/>
          <w:szCs w:val="24"/>
        </w:rPr>
        <w:t xml:space="preserve">284 </w:t>
      </w:r>
      <w:r w:rsidRPr="009A3C86">
        <w:rPr>
          <w:rFonts w:ascii="Times New Roman" w:eastAsia="Times New Roman" w:hAnsi="Times New Roman"/>
          <w:color w:val="000000"/>
          <w:sz w:val="24"/>
          <w:szCs w:val="24"/>
        </w:rPr>
        <w:t xml:space="preserve">§ 1 i § 4 projektu. Określenie zawarte w art. </w:t>
      </w:r>
      <w:r w:rsidR="00665B5F" w:rsidRPr="009A3C86">
        <w:rPr>
          <w:rFonts w:ascii="Times New Roman" w:eastAsia="Times New Roman" w:hAnsi="Times New Roman"/>
          <w:b/>
          <w:color w:val="000000"/>
          <w:sz w:val="24"/>
          <w:szCs w:val="24"/>
        </w:rPr>
        <w:t xml:space="preserve">288 </w:t>
      </w:r>
      <w:r w:rsidRPr="009A3C86">
        <w:rPr>
          <w:rFonts w:ascii="Times New Roman" w:eastAsia="Times New Roman" w:hAnsi="Times New Roman"/>
          <w:b/>
          <w:color w:val="000000"/>
          <w:sz w:val="24"/>
          <w:szCs w:val="24"/>
        </w:rPr>
        <w:t>§ 2</w:t>
      </w:r>
      <w:r w:rsidRPr="009A3C86">
        <w:rPr>
          <w:rFonts w:ascii="Times New Roman" w:eastAsia="Times New Roman" w:hAnsi="Times New Roman"/>
          <w:color w:val="000000"/>
          <w:sz w:val="24"/>
          <w:szCs w:val="24"/>
        </w:rPr>
        <w:t xml:space="preserve"> projektu, że „orzekając o zakresie odpowiedzialności lub uprawnień spadkobierców lub zapisobierców windykacyjnych, organ podatkowy (…) stwierdza nadpłatę” oznacza, iż w tym zakresie stosować należy wszystkie przepisy odnoszące się do stwierdzenia nadpłaty zawarte w projekcie ustawy.</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 xml:space="preserve">Regulacja zawarta w art. </w:t>
      </w:r>
      <w:r w:rsidR="00665B5F" w:rsidRPr="009A3C86">
        <w:rPr>
          <w:rFonts w:ascii="Times New Roman" w:eastAsia="Times New Roman" w:hAnsi="Times New Roman"/>
          <w:b/>
          <w:color w:val="000000"/>
          <w:sz w:val="24"/>
          <w:szCs w:val="24"/>
        </w:rPr>
        <w:t xml:space="preserve">288 </w:t>
      </w:r>
      <w:r w:rsidRPr="009A3C86">
        <w:rPr>
          <w:rFonts w:ascii="Times New Roman" w:eastAsia="Times New Roman" w:hAnsi="Times New Roman"/>
          <w:b/>
          <w:color w:val="000000"/>
          <w:sz w:val="24"/>
          <w:szCs w:val="24"/>
        </w:rPr>
        <w:t>§ 1-2</w:t>
      </w:r>
      <w:r w:rsidRPr="009A3C86">
        <w:rPr>
          <w:rFonts w:ascii="Times New Roman" w:eastAsia="Times New Roman" w:hAnsi="Times New Roman"/>
          <w:color w:val="000000"/>
          <w:sz w:val="24"/>
          <w:szCs w:val="24"/>
        </w:rPr>
        <w:t xml:space="preserve"> w odniesieniu do zakresu odpowiedzialności lub uprawnień poszczególnych spadkobierców nie uległa istotnej zmianie w stosunku do stanu obowiązującego. Regulacja zawarta w tym przepisie jest jednak bardziej zrozumiała i</w:t>
      </w:r>
      <w:r w:rsidRPr="009A3C86">
        <w:rPr>
          <w:rFonts w:ascii="Times New Roman" w:eastAsia="Times New Roman" w:hAnsi="Times New Roman"/>
          <w:sz w:val="24"/>
          <w:szCs w:val="24"/>
        </w:rPr>
        <w:t xml:space="preserve"> klarowniejsza. Użycie w art. </w:t>
      </w:r>
      <w:r w:rsidR="00665B5F"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xml:space="preserve">§ 2 projektu dotychczasowego określenia (art. 100 § 2 o.p.), że „organ podatkowy orzekając o zakresie odpowiedzialności lub uprawnień spadkobierców, jednocześnie ustala lub określa kwoty”, byłoby niespójne z art. </w:t>
      </w:r>
      <w:r w:rsidR="00665B5F" w:rsidRPr="009A3C86">
        <w:rPr>
          <w:rFonts w:ascii="Times New Roman" w:eastAsia="Times New Roman" w:hAnsi="Times New Roman"/>
          <w:sz w:val="24"/>
          <w:szCs w:val="24"/>
        </w:rPr>
        <w:t xml:space="preserve"> 287 </w:t>
      </w:r>
      <w:r w:rsidRPr="009A3C86">
        <w:rPr>
          <w:rFonts w:ascii="Times New Roman" w:eastAsia="Times New Roman" w:hAnsi="Times New Roman"/>
          <w:sz w:val="24"/>
          <w:szCs w:val="24"/>
        </w:rPr>
        <w:t xml:space="preserve">§ 1 w zw. z art. 1030 i nast. k.c. Organ podatkowy na gruncie art. </w:t>
      </w:r>
      <w:r w:rsidR="00665B5F"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xml:space="preserve">§ 2 w związku z art. </w:t>
      </w:r>
      <w:r w:rsidR="00665B5F" w:rsidRPr="009A3C86">
        <w:rPr>
          <w:rFonts w:ascii="Times New Roman" w:eastAsia="Times New Roman" w:hAnsi="Times New Roman"/>
          <w:sz w:val="24"/>
          <w:szCs w:val="24"/>
        </w:rPr>
        <w:t xml:space="preserve">287 </w:t>
      </w:r>
      <w:r w:rsidRPr="009A3C86">
        <w:rPr>
          <w:rFonts w:ascii="Times New Roman" w:eastAsia="Times New Roman" w:hAnsi="Times New Roman"/>
          <w:sz w:val="24"/>
          <w:szCs w:val="24"/>
        </w:rPr>
        <w:t>§ 2 projektu nie będzie musiał wydawać decyzji ustalającej, a tylko określającą, deklaratoryjną. Zresztą w świetle uzasadnienia uchwały 7 sędziów NSA z dnia 23 maja 2016 r., II FPS 6/15</w:t>
      </w:r>
      <w:r w:rsidRPr="009A3C86">
        <w:rPr>
          <w:rFonts w:ascii="Times New Roman" w:eastAsia="Times New Roman" w:hAnsi="Times New Roman"/>
          <w:sz w:val="24"/>
          <w:szCs w:val="24"/>
          <w:vertAlign w:val="superscript"/>
        </w:rPr>
        <w:footnoteReference w:id="360"/>
      </w:r>
      <w:r w:rsidRPr="009A3C86">
        <w:rPr>
          <w:rFonts w:ascii="Times New Roman" w:eastAsia="Times New Roman" w:hAnsi="Times New Roman"/>
          <w:sz w:val="24"/>
          <w:szCs w:val="24"/>
        </w:rPr>
        <w:t xml:space="preserve"> i na gruncie obowiązującej treści art. 100 o.p. nie było przypadków, by organ podatkowy mógł wydać decyzję ustalającą. W decyzji o zakresie odpowiedzialności spadkobierców organ nie orzekał o zaistnieniu samej odpowiedzialności, albowiem ta wynikała z mocy prawa (zob. art. 98 § 1 i 2 o.p. w związku z art. 1030 i art. 1031 k.c.</w:t>
      </w:r>
      <w:r w:rsidRPr="009A3C86">
        <w:rPr>
          <w:rFonts w:ascii="Times New Roman" w:eastAsia="Times New Roman" w:hAnsi="Times New Roman"/>
          <w:sz w:val="24"/>
          <w:szCs w:val="24"/>
          <w:vertAlign w:val="superscript"/>
        </w:rPr>
        <w:footnoteReference w:id="361"/>
      </w:r>
      <w:r w:rsidRPr="009A3C86">
        <w:rPr>
          <w:rFonts w:ascii="Times New Roman" w:eastAsia="Times New Roman" w:hAnsi="Times New Roman"/>
          <w:sz w:val="24"/>
          <w:szCs w:val="24"/>
        </w:rPr>
        <w:t xml:space="preserve">). Oznacza to, że doręczenie decyzji organu pierwszej instancji, o której tu mowa, spadkobiercom lub zapisobiercom windykacyjnym przed upływem terminu przedawnienia spowoduje zachowanie terminu do wydania decyzji o zakresie odpowiedzialności lub uprawnień spadkobierców, zapisobierców windykacyjnych, czy przedsiębiorstwa w spadku. Dotychczasowa regulacja zawarta w art. 100 o.p. wywołuje ponadto wątpliwości, czy wydanie i doręczenie decyzji o zakresie odpowiedzialności lub uprawnień spadkobierców przez organ pierwszej instancji wywołuje skutki prawne w zakresie zachowania terminu przedawnienia, czy też wymagane jest dla jego osiągnięcia wydanie i doręczenie decyzji organu odwoławczego. Na gruncie projektu problem ten zostaję </w:t>
      </w:r>
      <w:r w:rsidRPr="009A3C86">
        <w:rPr>
          <w:rFonts w:ascii="Times New Roman" w:eastAsia="Times New Roman" w:hAnsi="Times New Roman"/>
          <w:sz w:val="24"/>
          <w:szCs w:val="24"/>
        </w:rPr>
        <w:lastRenderedPageBreak/>
        <w:t xml:space="preserve">rozwiązany. Oznacza on, że organ odwoławczy, podobnie jak to jest przy odpowiedzialności osób trzecich może rozpoznając odwołanie – po terminie przedawnienia – utrzymać zaskarżoną decyzję w mocy albo uchylić ją i zmniejszyć wysokość kwot, za które odpowiedzialność ponoszą spadkobiercy, zapisobiercy windykacyjni, czy przedsiębiorstwo w spadku. Może także zmniejszyć zakres tej odpowiedzialności. Art. </w:t>
      </w:r>
      <w:r w:rsidR="00151D8E" w:rsidRPr="009A3C86">
        <w:rPr>
          <w:rFonts w:ascii="Times New Roman" w:eastAsia="Times New Roman" w:hAnsi="Times New Roman"/>
          <w:b/>
          <w:sz w:val="24"/>
          <w:szCs w:val="24"/>
        </w:rPr>
        <w:t>289</w:t>
      </w:r>
      <w:r w:rsidR="00151D8E"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projektu dotyczy określenia zasad odpowiedzialności i uprawnień w sytuacji, gdy spadkobierca lub zapisobierca windykacyjny zmarli w trakcie okresu rozliczeniowego danego podatku. Za powstałe za ten okres do ich śmierci zobowiązanie podatkowe (jego część) ponosić będą odpowiedzialność spadkobiercy, jak i zapisobiercy windykacyjni na zasadach określonych w przepisach art. </w:t>
      </w:r>
      <w:r w:rsidR="00151D8E" w:rsidRPr="009A3C86">
        <w:rPr>
          <w:rFonts w:ascii="Times New Roman" w:eastAsia="Times New Roman" w:hAnsi="Times New Roman"/>
          <w:sz w:val="24"/>
          <w:szCs w:val="24"/>
        </w:rPr>
        <w:t>284</w:t>
      </w:r>
      <w:r w:rsidRPr="009A3C86">
        <w:rPr>
          <w:rFonts w:ascii="Times New Roman" w:eastAsia="Times New Roman" w:hAnsi="Times New Roman"/>
          <w:sz w:val="24"/>
          <w:szCs w:val="24"/>
        </w:rPr>
        <w:t>-</w:t>
      </w:r>
      <w:r w:rsidR="00151D8E"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projektu. Przysługiwać im także będzie na tych samych zasadach uprawnienie do nadpłaty.</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Termin płatności należności przejętych przez spadkobierców lub zapisobierców windykacyjnych będzie uregulowany dla wszystkich należności (art. </w:t>
      </w:r>
      <w:r w:rsidR="008D4026" w:rsidRPr="009A3C86">
        <w:rPr>
          <w:rFonts w:ascii="Times New Roman" w:eastAsia="Times New Roman" w:hAnsi="Times New Roman"/>
          <w:b/>
          <w:sz w:val="24"/>
          <w:szCs w:val="24"/>
        </w:rPr>
        <w:t xml:space="preserve">288 </w:t>
      </w:r>
      <w:r w:rsidRPr="009A3C86">
        <w:rPr>
          <w:rFonts w:ascii="Times New Roman" w:eastAsia="Times New Roman" w:hAnsi="Times New Roman"/>
          <w:b/>
          <w:sz w:val="24"/>
          <w:szCs w:val="24"/>
        </w:rPr>
        <w:t>§ 1-3</w:t>
      </w:r>
      <w:r w:rsidRPr="009A3C86">
        <w:rPr>
          <w:rFonts w:ascii="Times New Roman" w:eastAsia="Times New Roman" w:hAnsi="Times New Roman"/>
          <w:sz w:val="24"/>
          <w:szCs w:val="24"/>
        </w:rPr>
        <w:t xml:space="preserve"> projektu) jednolicie</w:t>
      </w:r>
      <w:r w:rsidR="00C942FF"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a więc 14 dni od dnia doręczenia decyzji.</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Zauważyć tu należy, że to, iż w art. </w:t>
      </w:r>
      <w:r w:rsidR="008D4026"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xml:space="preserve">§ 2 projektu (art. 100 § 2 o.p.) nie wymieniono wprost decyzji o odpowiedzialności płatnika lub inkasenta (art. </w:t>
      </w:r>
      <w:r w:rsidR="008D4026" w:rsidRPr="009A3C86">
        <w:rPr>
          <w:rFonts w:ascii="Times New Roman" w:eastAsia="Times New Roman" w:hAnsi="Times New Roman"/>
          <w:sz w:val="24"/>
          <w:szCs w:val="24"/>
        </w:rPr>
        <w:t xml:space="preserve">244 </w:t>
      </w:r>
      <w:r w:rsidRPr="009A3C86">
        <w:rPr>
          <w:rFonts w:ascii="Times New Roman" w:eastAsia="Times New Roman" w:hAnsi="Times New Roman"/>
          <w:sz w:val="24"/>
          <w:szCs w:val="24"/>
        </w:rPr>
        <w:t xml:space="preserve">§ 1 i art. </w:t>
      </w:r>
      <w:r w:rsidR="008D4026" w:rsidRPr="009A3C86">
        <w:rPr>
          <w:rFonts w:ascii="Times New Roman" w:eastAsia="Times New Roman" w:hAnsi="Times New Roman"/>
          <w:sz w:val="24"/>
          <w:szCs w:val="24"/>
        </w:rPr>
        <w:t xml:space="preserve">247 </w:t>
      </w:r>
      <w:r w:rsidRPr="009A3C86">
        <w:rPr>
          <w:rFonts w:ascii="Times New Roman" w:eastAsia="Times New Roman" w:hAnsi="Times New Roman"/>
          <w:sz w:val="24"/>
          <w:szCs w:val="24"/>
        </w:rPr>
        <w:t xml:space="preserve">w zw. z art. </w:t>
      </w:r>
      <w:r w:rsidR="008D4026" w:rsidRPr="009A3C86">
        <w:rPr>
          <w:rFonts w:ascii="Times New Roman" w:eastAsia="Times New Roman" w:hAnsi="Times New Roman"/>
          <w:sz w:val="24"/>
          <w:szCs w:val="24"/>
        </w:rPr>
        <w:t xml:space="preserve">244 </w:t>
      </w:r>
      <w:r w:rsidRPr="009A3C86">
        <w:rPr>
          <w:rFonts w:ascii="Times New Roman" w:eastAsia="Times New Roman" w:hAnsi="Times New Roman"/>
          <w:sz w:val="24"/>
          <w:szCs w:val="24"/>
        </w:rPr>
        <w:t xml:space="preserve">§ 1 projektu) nie oznacza, że spadkobiercy i zapisobiercy windykacyjni nie odpowiadają za te należności. Odpowiedzialność ta bowiem musi wynikać z „decyzji ostatecznych wydanych wobec spadkodawcy”, o której mowa w art. </w:t>
      </w:r>
      <w:r w:rsidR="008D4026"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xml:space="preserve">§ 1 projektu (art. 100 § 1 o.p.), a także z art. </w:t>
      </w:r>
      <w:r w:rsidR="008D4026"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2 projektu (art. 100 § 2 o.p.), który mówi o deklaracji złożonej przez spadkodawcę (także płatnika) albo niezłożonej. W tym ostatnim przypadku organ określi kwotę, za którą ponosić będą odpowiedzialność spadkobiercy płatnika (spadkodawcy).</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art. </w:t>
      </w:r>
      <w:r w:rsidR="008D4026" w:rsidRPr="009A3C86">
        <w:rPr>
          <w:rFonts w:ascii="Times New Roman" w:eastAsia="Times New Roman" w:hAnsi="Times New Roman"/>
          <w:b/>
          <w:sz w:val="24"/>
          <w:szCs w:val="24"/>
        </w:rPr>
        <w:t xml:space="preserve">289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projektu uregulowano skutki, jakie dla zakresu odpowiedzialności spadkobierców i zapisobierców windykacyjnych </w:t>
      </w:r>
      <w:r w:rsidR="00F30B50" w:rsidRPr="009A3C86">
        <w:rPr>
          <w:rFonts w:ascii="Times New Roman" w:eastAsia="Times New Roman" w:hAnsi="Times New Roman"/>
          <w:sz w:val="24"/>
          <w:szCs w:val="24"/>
        </w:rPr>
        <w:t xml:space="preserve">i podmiotów, o których mowa w art. </w:t>
      </w:r>
      <w:r w:rsidR="008D4026" w:rsidRPr="009A3C86">
        <w:rPr>
          <w:rFonts w:ascii="Times New Roman" w:eastAsia="Times New Roman" w:hAnsi="Times New Roman"/>
          <w:sz w:val="24"/>
          <w:szCs w:val="24"/>
        </w:rPr>
        <w:t xml:space="preserve">286 </w:t>
      </w:r>
      <w:r w:rsidR="00F30B50" w:rsidRPr="009A3C86">
        <w:rPr>
          <w:rFonts w:ascii="Times New Roman" w:eastAsia="Times New Roman" w:hAnsi="Times New Roman"/>
          <w:sz w:val="24"/>
          <w:szCs w:val="24"/>
        </w:rPr>
        <w:t xml:space="preserve">projektu </w:t>
      </w:r>
      <w:r w:rsidRPr="009A3C86">
        <w:rPr>
          <w:rFonts w:ascii="Times New Roman" w:eastAsia="Times New Roman" w:hAnsi="Times New Roman"/>
          <w:sz w:val="24"/>
          <w:szCs w:val="24"/>
        </w:rPr>
        <w:t xml:space="preserve">niesie przepis art. </w:t>
      </w:r>
      <w:r w:rsidR="008D4026"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3 i 4 projektu. Przepis ten reguluje sytuację, w której w trakcie postępowania o zakresie odpowiedzialności spadkobierców i zapisobierców windykacyjnych, o którym mowa w art. </w:t>
      </w:r>
      <w:r w:rsidR="008D4026" w:rsidRPr="009A3C86">
        <w:rPr>
          <w:rFonts w:ascii="Times New Roman" w:eastAsia="Times New Roman" w:hAnsi="Times New Roman"/>
          <w:sz w:val="24"/>
          <w:szCs w:val="24"/>
        </w:rPr>
        <w:t>288</w:t>
      </w:r>
      <w:r w:rsidR="00D4270C"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 1, umiera jeden z tych następców prawnych. Wówczas jego spadkobiercy lub nabywca spadku nie mogą, z uwagi na treść art. </w:t>
      </w:r>
      <w:r w:rsidR="009F670E"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3, wstąpić do postępowania w charakterze strony. Następcami odpowiedzialnymi za tę część zobowiązania podatkowego zmarłego nie mogą być także pozostali spadkobiercy, uczestnicy postępowania, o którym mowa w art. </w:t>
      </w:r>
      <w:r w:rsidR="009F670E" w:rsidRPr="009A3C86">
        <w:rPr>
          <w:rFonts w:ascii="Times New Roman" w:eastAsia="Times New Roman" w:hAnsi="Times New Roman"/>
          <w:sz w:val="24"/>
          <w:szCs w:val="24"/>
        </w:rPr>
        <w:t xml:space="preserve">289 </w:t>
      </w:r>
      <w:r w:rsidRPr="009A3C86">
        <w:rPr>
          <w:rFonts w:ascii="Times New Roman" w:eastAsia="Times New Roman" w:hAnsi="Times New Roman"/>
          <w:sz w:val="24"/>
          <w:szCs w:val="24"/>
        </w:rPr>
        <w:t xml:space="preserve">§ 1, gdyż naruszałoby to zakres podmiotowy i przedmiotowy następstwa prawnego wskazany w art. </w:t>
      </w:r>
      <w:r w:rsidR="009F670E"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w:t>
      </w:r>
      <w:r w:rsidR="005B5776" w:rsidRPr="009A3C86">
        <w:rPr>
          <w:rFonts w:ascii="Times New Roman" w:eastAsia="Times New Roman" w:hAnsi="Times New Roman"/>
          <w:sz w:val="24"/>
          <w:szCs w:val="24"/>
        </w:rPr>
        <w:t xml:space="preserve"> i</w:t>
      </w:r>
      <w:r w:rsidRPr="009A3C86">
        <w:rPr>
          <w:rFonts w:ascii="Times New Roman" w:eastAsia="Times New Roman" w:hAnsi="Times New Roman"/>
          <w:sz w:val="24"/>
          <w:szCs w:val="24"/>
        </w:rPr>
        <w:t xml:space="preserve"> art. </w:t>
      </w:r>
      <w:r w:rsidR="009F670E" w:rsidRPr="009A3C86">
        <w:rPr>
          <w:rFonts w:ascii="Times New Roman" w:eastAsia="Times New Roman" w:hAnsi="Times New Roman"/>
          <w:sz w:val="24"/>
          <w:szCs w:val="24"/>
        </w:rPr>
        <w:t xml:space="preserve">287 </w:t>
      </w:r>
      <w:r w:rsidRPr="009A3C86">
        <w:rPr>
          <w:rFonts w:ascii="Times New Roman" w:eastAsia="Times New Roman" w:hAnsi="Times New Roman"/>
          <w:sz w:val="24"/>
          <w:szCs w:val="24"/>
        </w:rPr>
        <w:t xml:space="preserve">§ 1 projektu. Dlatego zobowiązanie podatkowe ulegnie pomniejszeniu w zakresie przypadającym na tego zmarłego, a postępowanie podatkowe w tym zakresie podlegać będzie umorzeniu w części. Jest w świetle ogólnych zasad następstwa prawnego oczywiste (art. </w:t>
      </w:r>
      <w:r w:rsidR="009F670E"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3 w związku z art. </w:t>
      </w:r>
      <w:r w:rsidR="009F670E" w:rsidRPr="009A3C86">
        <w:rPr>
          <w:rFonts w:ascii="Times New Roman" w:eastAsia="Times New Roman" w:hAnsi="Times New Roman"/>
          <w:sz w:val="24"/>
          <w:szCs w:val="24"/>
        </w:rPr>
        <w:t xml:space="preserve">446 </w:t>
      </w:r>
      <w:r w:rsidRPr="009A3C86">
        <w:rPr>
          <w:rFonts w:ascii="Times New Roman" w:eastAsia="Times New Roman" w:hAnsi="Times New Roman"/>
          <w:sz w:val="24"/>
          <w:szCs w:val="24"/>
        </w:rPr>
        <w:t xml:space="preserve">§ 1 projektu), że w sytuacji, </w:t>
      </w:r>
      <w:r w:rsidRPr="009A3C86">
        <w:rPr>
          <w:rFonts w:ascii="Times New Roman" w:eastAsia="Times New Roman" w:hAnsi="Times New Roman"/>
          <w:sz w:val="24"/>
          <w:szCs w:val="24"/>
        </w:rPr>
        <w:lastRenderedPageBreak/>
        <w:t xml:space="preserve">gdy umrze jedyny spadkobierca lub zapisobierca windykacyjny, o zakresie odpowiedzialności którego orzeczono w postępowaniu, to zostanie ono umorzone w całości. Jeżeli dotyczyć to będzie tylko jednego z kilku spadkobierców, czy zapisobierców windykacyjnych to umorzone ono zostanie tylko w tej części. W związku zaś z niespójnością terminologiczną między § 2 i § 3 art. 100 o.p. uznano za niezbędne dostosowanie treści art. </w:t>
      </w:r>
      <w:r w:rsidR="009F670E"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2 do uchwały 7 sędziów NSA z dnia 23 maja 2016 r., II FPS 6/15</w:t>
      </w:r>
      <w:r w:rsidRPr="009A3C86">
        <w:rPr>
          <w:rFonts w:ascii="Times New Roman" w:eastAsia="Times New Roman" w:hAnsi="Times New Roman"/>
          <w:sz w:val="24"/>
          <w:szCs w:val="24"/>
          <w:vertAlign w:val="superscript"/>
        </w:rPr>
        <w:footnoteReference w:id="362"/>
      </w:r>
      <w:r w:rsidRPr="009A3C86">
        <w:rPr>
          <w:rFonts w:ascii="Times New Roman" w:eastAsia="Times New Roman" w:hAnsi="Times New Roman"/>
          <w:sz w:val="24"/>
          <w:szCs w:val="24"/>
        </w:rPr>
        <w:t>, tak by wyeliminować spory co do terminu przedawnienia wymiaru zobowiązań podatkowych spadkodawcy. Następstwo prawne w istocie bowiem nie kreuje żadnego zobowiązania, a jest tylko wstąpieniem w sytuację prawną poprzednika z mocy prawa.</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Przepisy art. </w:t>
      </w:r>
      <w:r w:rsidR="009F670E" w:rsidRPr="009A3C86">
        <w:rPr>
          <w:rFonts w:ascii="Times New Roman" w:eastAsia="Times New Roman" w:hAnsi="Times New Roman"/>
          <w:b/>
          <w:sz w:val="24"/>
          <w:szCs w:val="24"/>
        </w:rPr>
        <w:t xml:space="preserve">290 </w:t>
      </w:r>
      <w:r w:rsidRPr="009A3C86">
        <w:rPr>
          <w:rFonts w:ascii="Times New Roman" w:eastAsia="Times New Roman" w:hAnsi="Times New Roman"/>
          <w:b/>
          <w:sz w:val="24"/>
          <w:szCs w:val="24"/>
        </w:rPr>
        <w:t>§ 1 i 2</w:t>
      </w:r>
      <w:r w:rsidRPr="009A3C86">
        <w:rPr>
          <w:rFonts w:ascii="Times New Roman" w:eastAsia="Times New Roman" w:hAnsi="Times New Roman"/>
          <w:sz w:val="24"/>
          <w:szCs w:val="24"/>
        </w:rPr>
        <w:t xml:space="preserve"> są odpowiednikami dotychczasowych art. 101 § 1 i 2 o.p.</w:t>
      </w:r>
    </w:p>
    <w:p w:rsidR="00741954" w:rsidRPr="009A3C86" w:rsidRDefault="00741954" w:rsidP="00741954">
      <w:pPr>
        <w:spacing w:after="0" w:line="360" w:lineRule="auto"/>
        <w:jc w:val="both"/>
        <w:rPr>
          <w:rFonts w:ascii="Times New Roman" w:eastAsia="Times New Roman" w:hAnsi="Times New Roman"/>
          <w:color w:val="000000"/>
          <w:sz w:val="24"/>
          <w:szCs w:val="24"/>
        </w:rPr>
      </w:pPr>
      <w:r w:rsidRPr="009A3C86">
        <w:rPr>
          <w:rFonts w:ascii="Times New Roman" w:eastAsia="Times New Roman" w:hAnsi="Times New Roman"/>
          <w:sz w:val="24"/>
          <w:szCs w:val="24"/>
        </w:rPr>
        <w:t xml:space="preserve">Art. </w:t>
      </w:r>
      <w:r w:rsidR="009F670E" w:rsidRPr="009A3C86">
        <w:rPr>
          <w:rFonts w:ascii="Times New Roman" w:eastAsia="Times New Roman" w:hAnsi="Times New Roman"/>
          <w:b/>
          <w:sz w:val="24"/>
          <w:szCs w:val="24"/>
        </w:rPr>
        <w:t>291</w:t>
      </w:r>
      <w:r w:rsidR="009F670E"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jest w istotnej części powtórzeniem metody regulacji następstwa prawnego spadkobierców przewidzianej dotychczas w art. 102 § 2 o.p., natomiast przepis art. </w:t>
      </w:r>
      <w:r w:rsidR="009F670E" w:rsidRPr="009A3C86">
        <w:rPr>
          <w:rFonts w:ascii="Times New Roman" w:eastAsia="Times New Roman" w:hAnsi="Times New Roman"/>
          <w:b/>
          <w:sz w:val="24"/>
          <w:szCs w:val="24"/>
        </w:rPr>
        <w:t xml:space="preserve">291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projektu, jako przepis  postępowania, jest konsekwencją art. </w:t>
      </w:r>
      <w:r w:rsidR="009F670E"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xml:space="preserve">§ 2 jako przepisu prawa materialnego. W projektowanym art. </w:t>
      </w:r>
      <w:r w:rsidR="009F670E"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xml:space="preserve">§ 2 proponuje się, aby w przypadku śmierci strony w toku postępowania w sprawie ustalenia wysokości zobowiązania podatkowego w jej miejsce nie wstępowali spadkobiercy (nie dotyczy to przedsiębiorstwa w spadku i zapisobiercy windykacyjnego, z uwagi na treść  art. </w:t>
      </w:r>
      <w:r w:rsidR="009F670E" w:rsidRPr="009A3C86">
        <w:rPr>
          <w:rFonts w:ascii="Times New Roman" w:eastAsia="Times New Roman" w:hAnsi="Times New Roman"/>
          <w:sz w:val="24"/>
          <w:szCs w:val="24"/>
        </w:rPr>
        <w:t xml:space="preserve">285 </w:t>
      </w:r>
      <w:r w:rsidRPr="009A3C86">
        <w:rPr>
          <w:rFonts w:ascii="Times New Roman" w:eastAsia="Times New Roman" w:hAnsi="Times New Roman"/>
          <w:sz w:val="24"/>
          <w:szCs w:val="24"/>
        </w:rPr>
        <w:t xml:space="preserve">§ 2 i art. </w:t>
      </w:r>
      <w:r w:rsidR="009F670E"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4). W praktyce będzie to oznaczało, że w tych sytuacjach, w których występowała tylko jedna strona postępowania, jej śmierć będzie skutkowała umorzeniem postępowania w całości. Natomiast gdy w postępowaniu dotyczącym ustalenia wysokości zobowiązania podatkowego umiera jedna z osób mających status strony, a postępowanie to zmierza do ustalenia zobowiązania o charakterze solidarnym, wówczas w postępowaniu, o którym mowa w art. </w:t>
      </w:r>
      <w:r w:rsidR="009F670E"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xml:space="preserve">§ 1 i 3, zakres odpowiedzialności pozostałych podatników ulega pomniejszeniu w zakresie odpowiedzialności przypadającym na tego zmarłego spadkobiercę (ale nie przedsiębiorstwo w spadku i zapisobiercę windykacyjnego z uwagi na określony w art. </w:t>
      </w:r>
      <w:r w:rsidR="009F670E" w:rsidRPr="009A3C86">
        <w:rPr>
          <w:rFonts w:ascii="Times New Roman" w:eastAsia="Times New Roman" w:hAnsi="Times New Roman"/>
          <w:sz w:val="24"/>
          <w:szCs w:val="24"/>
        </w:rPr>
        <w:t xml:space="preserve">285 </w:t>
      </w:r>
      <w:r w:rsidRPr="009A3C86">
        <w:rPr>
          <w:rFonts w:ascii="Times New Roman" w:eastAsia="Times New Roman" w:hAnsi="Times New Roman"/>
          <w:sz w:val="24"/>
          <w:szCs w:val="24"/>
        </w:rPr>
        <w:t xml:space="preserve">§ 2 i art. </w:t>
      </w:r>
      <w:r w:rsidR="009F670E"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4 zakres ich następstwa prawnego) i będzie ciążył na pozostałych podatnikach stosownie do zakresu ich odpowiedzialności. Przepis art. </w:t>
      </w:r>
      <w:r w:rsidR="00583A02"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xml:space="preserve">§ 1 będzie miał zastosowanie do postępowania w przedmiocie określenia wysokości zobowiązania np. współwłaścicielom nieruchomości (art. 6 ust. 7 u. p. o.l., art. 6a ust. 10 u.p.r., art. 6 ust. 11 u.p.o.l.), wśród których jest osoba fizyczna, która umrze w toku postępowania podatkowego, gdyż wówczas wejdą w jej miejsce spadkobiercy (art. </w:t>
      </w:r>
      <w:r w:rsidR="00583A02" w:rsidRPr="009A3C86">
        <w:rPr>
          <w:rFonts w:ascii="Times New Roman" w:eastAsia="Times New Roman" w:hAnsi="Times New Roman"/>
          <w:sz w:val="24"/>
          <w:szCs w:val="24"/>
        </w:rPr>
        <w:t xml:space="preserve">280 </w:t>
      </w:r>
      <w:r w:rsidRPr="009A3C86">
        <w:rPr>
          <w:rFonts w:ascii="Times New Roman" w:eastAsia="Times New Roman" w:hAnsi="Times New Roman"/>
          <w:sz w:val="24"/>
          <w:szCs w:val="24"/>
        </w:rPr>
        <w:t xml:space="preserve">§ 1). Regulacja zawarta w art. </w:t>
      </w:r>
      <w:r w:rsidR="00583A02" w:rsidRPr="009A3C86">
        <w:rPr>
          <w:rFonts w:ascii="Times New Roman" w:eastAsia="Times New Roman" w:hAnsi="Times New Roman"/>
          <w:sz w:val="24"/>
          <w:szCs w:val="24"/>
        </w:rPr>
        <w:t xml:space="preserve">291 </w:t>
      </w:r>
      <w:r w:rsidRPr="009A3C86">
        <w:rPr>
          <w:rFonts w:ascii="Times New Roman" w:eastAsia="Times New Roman" w:hAnsi="Times New Roman"/>
          <w:sz w:val="24"/>
          <w:szCs w:val="24"/>
        </w:rPr>
        <w:t xml:space="preserve">§ 1-3 będzie miała zastosowanie np. do przypadków, w których postępowanie toczyć się będzie w przedmiocie ustalenia zobowiązania podatkowego </w:t>
      </w:r>
      <w:r w:rsidRPr="009A3C86">
        <w:rPr>
          <w:rFonts w:ascii="Times New Roman" w:eastAsia="Times New Roman" w:hAnsi="Times New Roman"/>
          <w:sz w:val="24"/>
          <w:szCs w:val="24"/>
        </w:rPr>
        <w:lastRenderedPageBreak/>
        <w:t xml:space="preserve">małżonków, którzy zostali ustawowymi spadkobiercami i nabyli spadek na współwłasność łączną (tak może też być przy nabyciu rzeczy i praw majątkowych na podstawie umowy darowizny, czy na podstawie zapisu zwykłego). W sytuacji, gdy umrze jeden z małżonków, to jego spadkobiercy nie wstąpią do postępowania podatkowego (art. </w:t>
      </w:r>
      <w:r w:rsidR="00583A02"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3) i dlatego wysokość zobowiązania podatkowego pozostającego przy życiu małżonka ulegnie pomniejszeniu, a postępowanie w części zostanie umorzone. Regulacja zawarta w art. </w:t>
      </w:r>
      <w:r w:rsidR="00D4270C" w:rsidRPr="009A3C86">
        <w:rPr>
          <w:rFonts w:ascii="Times New Roman" w:eastAsia="Times New Roman" w:hAnsi="Times New Roman"/>
          <w:sz w:val="24"/>
          <w:szCs w:val="24"/>
        </w:rPr>
        <w:t xml:space="preserve">282 </w:t>
      </w:r>
      <w:r w:rsidRPr="009A3C86">
        <w:rPr>
          <w:rFonts w:ascii="Times New Roman" w:eastAsia="Times New Roman" w:hAnsi="Times New Roman"/>
          <w:sz w:val="24"/>
          <w:szCs w:val="24"/>
        </w:rPr>
        <w:t>§ 1 ma charakter ogólny</w:t>
      </w:r>
      <w:r w:rsidRPr="009A3C86">
        <w:rPr>
          <w:rFonts w:ascii="Times New Roman" w:eastAsia="Times New Roman" w:hAnsi="Times New Roman"/>
          <w:color w:val="000000"/>
          <w:sz w:val="24"/>
          <w:szCs w:val="24"/>
        </w:rPr>
        <w:t xml:space="preserve">. Jeżeli nie będzie następców prawnych po zmarłym to decyzja umarzająca postępowanie nie może im być doręczona ale musi być pozostawiona w aktach sprawy ( art. </w:t>
      </w:r>
      <w:r w:rsidR="00583A02" w:rsidRPr="009A3C86">
        <w:rPr>
          <w:rFonts w:ascii="Times New Roman" w:eastAsia="Times New Roman" w:hAnsi="Times New Roman"/>
          <w:b/>
          <w:color w:val="000000"/>
          <w:sz w:val="24"/>
          <w:szCs w:val="24"/>
        </w:rPr>
        <w:t xml:space="preserve">291 </w:t>
      </w:r>
      <w:r w:rsidRPr="009A3C86">
        <w:rPr>
          <w:rFonts w:ascii="Times New Roman" w:eastAsia="Times New Roman" w:hAnsi="Times New Roman"/>
          <w:b/>
          <w:color w:val="000000"/>
          <w:sz w:val="24"/>
          <w:szCs w:val="24"/>
        </w:rPr>
        <w:t>§ 4</w:t>
      </w:r>
      <w:r w:rsidRPr="009A3C86">
        <w:rPr>
          <w:rFonts w:ascii="Times New Roman" w:eastAsia="Times New Roman" w:hAnsi="Times New Roman"/>
          <w:color w:val="000000"/>
          <w:sz w:val="24"/>
          <w:szCs w:val="24"/>
        </w:rPr>
        <w:t xml:space="preserve"> projektu). </w:t>
      </w:r>
    </w:p>
    <w:p w:rsidR="00F30B50" w:rsidRPr="009A3C86" w:rsidRDefault="00741954" w:rsidP="00F30B50">
      <w:pPr>
        <w:spacing w:after="0" w:line="360" w:lineRule="auto"/>
        <w:jc w:val="both"/>
        <w:rPr>
          <w:rFonts w:ascii="Times New Roman" w:eastAsia="Times New Roman" w:hAnsi="Times New Roman"/>
          <w:sz w:val="24"/>
          <w:szCs w:val="24"/>
        </w:rPr>
      </w:pPr>
      <w:r w:rsidRPr="009A3C86">
        <w:rPr>
          <w:rFonts w:ascii="Times New Roman" w:eastAsia="Times New Roman" w:hAnsi="Times New Roman"/>
          <w:color w:val="000000"/>
          <w:sz w:val="24"/>
          <w:szCs w:val="24"/>
        </w:rPr>
        <w:t xml:space="preserve">Określony w art. </w:t>
      </w:r>
      <w:r w:rsidR="00583A02" w:rsidRPr="009A3C86">
        <w:rPr>
          <w:rFonts w:ascii="Times New Roman" w:eastAsia="Times New Roman" w:hAnsi="Times New Roman"/>
          <w:b/>
          <w:color w:val="000000"/>
          <w:sz w:val="24"/>
          <w:szCs w:val="24"/>
        </w:rPr>
        <w:t xml:space="preserve">292 </w:t>
      </w:r>
      <w:r w:rsidRPr="009A3C86">
        <w:rPr>
          <w:rFonts w:ascii="Times New Roman" w:eastAsia="Times New Roman" w:hAnsi="Times New Roman"/>
          <w:b/>
          <w:color w:val="000000"/>
          <w:sz w:val="24"/>
          <w:szCs w:val="24"/>
        </w:rPr>
        <w:t>§ 1 i 2</w:t>
      </w:r>
      <w:r w:rsidRPr="009A3C86">
        <w:rPr>
          <w:rFonts w:ascii="Times New Roman" w:eastAsia="Times New Roman" w:hAnsi="Times New Roman"/>
          <w:color w:val="000000"/>
          <w:sz w:val="24"/>
          <w:szCs w:val="24"/>
        </w:rPr>
        <w:t xml:space="preserve"> katalog obowiązków informacyjnych ciążący na organach podatkowych powinien być, z uwagi na treść art. </w:t>
      </w:r>
      <w:r w:rsidR="00583A02" w:rsidRPr="009A3C86">
        <w:rPr>
          <w:rFonts w:ascii="Times New Roman" w:eastAsia="Times New Roman" w:hAnsi="Times New Roman"/>
          <w:color w:val="000000"/>
          <w:sz w:val="24"/>
          <w:szCs w:val="24"/>
        </w:rPr>
        <w:t xml:space="preserve">284 </w:t>
      </w:r>
      <w:r w:rsidRPr="009A3C86">
        <w:rPr>
          <w:rFonts w:ascii="Times New Roman" w:eastAsia="Times New Roman" w:hAnsi="Times New Roman"/>
          <w:color w:val="000000"/>
          <w:sz w:val="24"/>
          <w:szCs w:val="24"/>
        </w:rPr>
        <w:t>§ 1, katalogiem otwartym, a jest to</w:t>
      </w:r>
      <w:r w:rsidRPr="009A3C86">
        <w:rPr>
          <w:rFonts w:ascii="Times New Roman" w:eastAsia="Times New Roman" w:hAnsi="Times New Roman"/>
          <w:sz w:val="24"/>
          <w:szCs w:val="24"/>
        </w:rPr>
        <w:t xml:space="preserve">  konsekwencją tego, że spadkobiercy oraz zapisobierca windykacyjny przejmują (wstępuje) wszelkie uprawnienia spadkodawcy. Katalog ten został uzupełniony (art. </w:t>
      </w:r>
      <w:r w:rsidR="00583A02" w:rsidRPr="009A3C86">
        <w:rPr>
          <w:rFonts w:ascii="Times New Roman" w:eastAsia="Times New Roman" w:hAnsi="Times New Roman"/>
          <w:sz w:val="24"/>
          <w:szCs w:val="24"/>
        </w:rPr>
        <w:t xml:space="preserve">292 </w:t>
      </w:r>
      <w:r w:rsidRPr="009A3C86">
        <w:rPr>
          <w:rFonts w:ascii="Times New Roman" w:eastAsia="Times New Roman" w:hAnsi="Times New Roman"/>
          <w:sz w:val="24"/>
          <w:szCs w:val="24"/>
        </w:rPr>
        <w:t xml:space="preserve">§ 1 pkt 6 i 7) o przypadki, w których wydano decyzję ograniczającą spadkodawcy jako podatnikowi pobór zaliczek na podatki oraz jeżeli zajdą przypadki wskazane w art. </w:t>
      </w:r>
      <w:r w:rsidR="00583A02" w:rsidRPr="009A3C86">
        <w:rPr>
          <w:rFonts w:ascii="Times New Roman" w:eastAsia="Times New Roman" w:hAnsi="Times New Roman"/>
          <w:sz w:val="24"/>
          <w:szCs w:val="24"/>
        </w:rPr>
        <w:t xml:space="preserve">463 </w:t>
      </w:r>
      <w:r w:rsidRPr="009A3C86">
        <w:rPr>
          <w:rFonts w:ascii="Times New Roman" w:eastAsia="Times New Roman" w:hAnsi="Times New Roman"/>
          <w:sz w:val="24"/>
          <w:szCs w:val="24"/>
        </w:rPr>
        <w:t>projektu.</w:t>
      </w:r>
      <w:r w:rsidR="00F30B50" w:rsidRPr="009A3C86">
        <w:rPr>
          <w:rFonts w:ascii="Times New Roman" w:eastAsia="Times New Roman" w:hAnsi="Times New Roman"/>
          <w:sz w:val="24"/>
          <w:szCs w:val="24"/>
        </w:rPr>
        <w:t xml:space="preserve"> Skoro adresatem decyzji o zakresie odpowiedzialności, o której mowa w art. </w:t>
      </w:r>
      <w:r w:rsidR="00583A02" w:rsidRPr="009A3C86">
        <w:rPr>
          <w:rFonts w:ascii="Times New Roman" w:eastAsia="Times New Roman" w:hAnsi="Times New Roman"/>
          <w:sz w:val="24"/>
          <w:szCs w:val="24"/>
        </w:rPr>
        <w:t xml:space="preserve">286 </w:t>
      </w:r>
      <w:r w:rsidR="00F30B50" w:rsidRPr="009A3C86">
        <w:rPr>
          <w:rFonts w:ascii="Times New Roman" w:eastAsia="Times New Roman" w:hAnsi="Times New Roman"/>
          <w:sz w:val="24"/>
          <w:szCs w:val="24"/>
        </w:rPr>
        <w:t xml:space="preserve">projektu i podmiotem wykonującym prawa i obowiązki spadkodawcy wynikające z wstąpienia we wszelkie prawa i obowiązki,  jest zarządca sukcesyjny, to i on powinien być wskazany jako uprawniony do otrzymywania informacji, o których mowa w art. </w:t>
      </w:r>
      <w:r w:rsidR="00583A02" w:rsidRPr="009A3C86">
        <w:rPr>
          <w:rFonts w:ascii="Times New Roman" w:eastAsia="Times New Roman" w:hAnsi="Times New Roman"/>
          <w:sz w:val="24"/>
          <w:szCs w:val="24"/>
        </w:rPr>
        <w:t xml:space="preserve">292 </w:t>
      </w:r>
      <w:r w:rsidR="00F30B50" w:rsidRPr="009A3C86">
        <w:rPr>
          <w:rFonts w:ascii="Times New Roman" w:eastAsia="Times New Roman" w:hAnsi="Times New Roman"/>
          <w:sz w:val="24"/>
          <w:szCs w:val="24"/>
        </w:rPr>
        <w:t xml:space="preserve">projektu. Okoliczność, że jest wykonującym prawa spadkodawcy, zgodnie z art. </w:t>
      </w:r>
      <w:r w:rsidR="00583A02" w:rsidRPr="009A3C86">
        <w:rPr>
          <w:rFonts w:ascii="Times New Roman" w:eastAsia="Times New Roman" w:hAnsi="Times New Roman"/>
          <w:sz w:val="24"/>
          <w:szCs w:val="24"/>
        </w:rPr>
        <w:t xml:space="preserve">285 </w:t>
      </w:r>
      <w:r w:rsidR="00F30B50" w:rsidRPr="009A3C86">
        <w:rPr>
          <w:rFonts w:ascii="Times New Roman" w:eastAsia="Times New Roman" w:hAnsi="Times New Roman"/>
          <w:sz w:val="24"/>
          <w:szCs w:val="24"/>
        </w:rPr>
        <w:t xml:space="preserve">§ 3 projektu tego problemu nie rozwiązuje. Przepis art. </w:t>
      </w:r>
      <w:r w:rsidR="00583A02" w:rsidRPr="009A3C86">
        <w:rPr>
          <w:rFonts w:ascii="Times New Roman" w:eastAsia="Times New Roman" w:hAnsi="Times New Roman"/>
          <w:sz w:val="24"/>
          <w:szCs w:val="24"/>
        </w:rPr>
        <w:t xml:space="preserve">292 </w:t>
      </w:r>
      <w:r w:rsidR="00F30B50" w:rsidRPr="009A3C86">
        <w:rPr>
          <w:rFonts w:ascii="Times New Roman" w:eastAsia="Times New Roman" w:hAnsi="Times New Roman"/>
          <w:sz w:val="24"/>
          <w:szCs w:val="24"/>
        </w:rPr>
        <w:t>projektu reguluje inne kwestie i dlatego mimo, że ustawa o zarządzie sukcesyjnym nie zmieniła art. 103 o.p.</w:t>
      </w:r>
      <w:r w:rsidR="00583A02" w:rsidRPr="009A3C86">
        <w:rPr>
          <w:rFonts w:ascii="Times New Roman" w:eastAsia="Times New Roman" w:hAnsi="Times New Roman"/>
          <w:sz w:val="24"/>
          <w:szCs w:val="24"/>
        </w:rPr>
        <w:t xml:space="preserve"> </w:t>
      </w:r>
      <w:r w:rsidR="00F30B50" w:rsidRPr="009A3C86">
        <w:rPr>
          <w:rFonts w:ascii="Times New Roman" w:eastAsia="Times New Roman" w:hAnsi="Times New Roman"/>
          <w:sz w:val="24"/>
          <w:szCs w:val="24"/>
        </w:rPr>
        <w:t xml:space="preserve">(art. </w:t>
      </w:r>
      <w:r w:rsidR="00583A02" w:rsidRPr="009A3C86">
        <w:rPr>
          <w:rFonts w:ascii="Times New Roman" w:eastAsia="Times New Roman" w:hAnsi="Times New Roman"/>
          <w:sz w:val="24"/>
          <w:szCs w:val="24"/>
        </w:rPr>
        <w:t xml:space="preserve">292 </w:t>
      </w:r>
      <w:r w:rsidR="00F30B50" w:rsidRPr="009A3C86">
        <w:rPr>
          <w:rFonts w:ascii="Times New Roman" w:eastAsia="Times New Roman" w:hAnsi="Times New Roman"/>
          <w:sz w:val="24"/>
          <w:szCs w:val="24"/>
        </w:rPr>
        <w:t>projektu), to należało te lukę wypełnić.</w:t>
      </w:r>
    </w:p>
    <w:p w:rsidR="00741954" w:rsidRPr="009A3C86" w:rsidRDefault="00F30B50" w:rsidP="00F30B50">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art. </w:t>
      </w:r>
      <w:r w:rsidR="00583A02" w:rsidRPr="009A3C86">
        <w:rPr>
          <w:rFonts w:ascii="Times New Roman" w:eastAsia="Times New Roman" w:hAnsi="Times New Roman"/>
          <w:sz w:val="24"/>
          <w:szCs w:val="24"/>
        </w:rPr>
        <w:t xml:space="preserve">464 </w:t>
      </w:r>
      <w:r w:rsidRPr="009A3C86">
        <w:rPr>
          <w:rFonts w:ascii="Times New Roman" w:eastAsia="Times New Roman" w:hAnsi="Times New Roman"/>
          <w:sz w:val="24"/>
          <w:szCs w:val="24"/>
        </w:rPr>
        <w:t xml:space="preserve">projektu przewiduje </w:t>
      </w:r>
      <w:r w:rsidR="00741954" w:rsidRPr="009A3C86">
        <w:rPr>
          <w:rFonts w:ascii="Times New Roman" w:eastAsia="Times New Roman" w:hAnsi="Times New Roman"/>
          <w:sz w:val="24"/>
          <w:szCs w:val="24"/>
        </w:rPr>
        <w:t xml:space="preserve">możliwość skorzystania przez stronę z prawa do rezygnacji z odwołania od decyzji i wniesienie skargi do sądu administracyjnego. O takiej sytuacji organ podatkowy powinien pouczyć spadkobierców i zapisobierców windykacyjnych, gdyby strona po rezygnacji z odwołania wniosła skargę do sądu i zmarła. Pouczenie takie powinno też zostać dokonane również wtedy, gdy śmierć strony nastąpiła po wniesieniu odwołania, a przed wniesieniem skargi do sądu administracyjnego. Obowiązek pouczenia w tych przypadkach przewiduje art. </w:t>
      </w:r>
      <w:r w:rsidR="004E2F9D" w:rsidRPr="009A3C86">
        <w:rPr>
          <w:rFonts w:ascii="Times New Roman" w:eastAsia="Times New Roman" w:hAnsi="Times New Roman"/>
          <w:b/>
          <w:sz w:val="24"/>
          <w:szCs w:val="24"/>
        </w:rPr>
        <w:t xml:space="preserve">292 </w:t>
      </w:r>
      <w:r w:rsidR="00741954" w:rsidRPr="009A3C86">
        <w:rPr>
          <w:rFonts w:ascii="Times New Roman" w:eastAsia="Times New Roman" w:hAnsi="Times New Roman"/>
          <w:b/>
          <w:sz w:val="24"/>
          <w:szCs w:val="24"/>
        </w:rPr>
        <w:t>§ 1 pkt 7</w:t>
      </w:r>
      <w:r w:rsidR="00741954" w:rsidRPr="009A3C86">
        <w:rPr>
          <w:rFonts w:ascii="Times New Roman" w:eastAsia="Times New Roman" w:hAnsi="Times New Roman"/>
          <w:sz w:val="24"/>
          <w:szCs w:val="24"/>
        </w:rPr>
        <w:t xml:space="preserve"> projektu. Użyte w art. </w:t>
      </w:r>
      <w:r w:rsidR="004E2F9D" w:rsidRPr="009A3C86">
        <w:rPr>
          <w:rFonts w:ascii="Times New Roman" w:eastAsia="Times New Roman" w:hAnsi="Times New Roman"/>
          <w:sz w:val="24"/>
          <w:szCs w:val="24"/>
        </w:rPr>
        <w:t xml:space="preserve">292 </w:t>
      </w:r>
      <w:r w:rsidR="00741954" w:rsidRPr="009A3C86">
        <w:rPr>
          <w:rFonts w:ascii="Times New Roman" w:eastAsia="Times New Roman" w:hAnsi="Times New Roman"/>
          <w:sz w:val="24"/>
          <w:szCs w:val="24"/>
        </w:rPr>
        <w:t xml:space="preserve">§ 1 pkt 7 projektu określenie „o przypadkach” oznacza, że organ podatkowy pierwszej instancji ma obowiązek pouczyć spadkobierców lub zapisobierców windykacyjnych o każdej sytuacji, w tym przepisie wymienionej, a więc nie tylko o wniesieniu przez spadkodawcę skargi do sądu administracyjnego bezpośrednio na decyzję tego organu, ale także o uprawnieniu do takiego wniesienia, jeżeli spadkodawca nie złożył odwołania, a termin do jego złożenia rozpoczął swój </w:t>
      </w:r>
      <w:r w:rsidR="00741954" w:rsidRPr="009A3C86">
        <w:rPr>
          <w:rFonts w:ascii="Times New Roman" w:eastAsia="Times New Roman" w:hAnsi="Times New Roman"/>
          <w:sz w:val="24"/>
          <w:szCs w:val="24"/>
        </w:rPr>
        <w:lastRenderedPageBreak/>
        <w:t xml:space="preserve">bieg. Pouczeniem objąć należy także sytuację, w której skargę spadkodawcy sąd odrzucił i spadkobiercy przysługuje uprawnienie do wniesienia odwołania (art. </w:t>
      </w:r>
      <w:r w:rsidR="004E2F9D" w:rsidRPr="009A3C86">
        <w:rPr>
          <w:rFonts w:ascii="Times New Roman" w:eastAsia="Times New Roman" w:hAnsi="Times New Roman"/>
          <w:sz w:val="24"/>
          <w:szCs w:val="24"/>
        </w:rPr>
        <w:t xml:space="preserve">434 </w:t>
      </w:r>
      <w:r w:rsidR="00741954" w:rsidRPr="009A3C86">
        <w:rPr>
          <w:rFonts w:ascii="Times New Roman" w:eastAsia="Times New Roman" w:hAnsi="Times New Roman"/>
          <w:sz w:val="24"/>
          <w:szCs w:val="24"/>
        </w:rPr>
        <w:t xml:space="preserve">§ 2 projektu), jak również sytuację, o której mowa w art. </w:t>
      </w:r>
      <w:r w:rsidR="004E2F9D" w:rsidRPr="009A3C86">
        <w:rPr>
          <w:rFonts w:ascii="Times New Roman" w:eastAsia="Times New Roman" w:hAnsi="Times New Roman"/>
          <w:sz w:val="24"/>
          <w:szCs w:val="24"/>
        </w:rPr>
        <w:t xml:space="preserve">463 </w:t>
      </w:r>
      <w:r w:rsidR="00741954" w:rsidRPr="009A3C86">
        <w:rPr>
          <w:rFonts w:ascii="Times New Roman" w:eastAsia="Times New Roman" w:hAnsi="Times New Roman"/>
          <w:sz w:val="24"/>
          <w:szCs w:val="24"/>
        </w:rPr>
        <w:t xml:space="preserve">§ 3 projektu. Należy mimo to zauważyć, że obowiązek pouczenia zawarty w art. </w:t>
      </w:r>
      <w:r w:rsidR="004E2F9D" w:rsidRPr="009A3C86">
        <w:rPr>
          <w:rFonts w:ascii="Times New Roman" w:eastAsia="Times New Roman" w:hAnsi="Times New Roman"/>
          <w:sz w:val="24"/>
          <w:szCs w:val="24"/>
        </w:rPr>
        <w:t xml:space="preserve">292 </w:t>
      </w:r>
      <w:r w:rsidR="00741954" w:rsidRPr="009A3C86">
        <w:rPr>
          <w:rFonts w:ascii="Times New Roman" w:eastAsia="Times New Roman" w:hAnsi="Times New Roman"/>
          <w:sz w:val="24"/>
          <w:szCs w:val="24"/>
        </w:rPr>
        <w:t xml:space="preserve">§ 1 pkt 7 w pewnym zakresie dotyczącym wniesienia odwołania lub skargi do sądu administracyjnego zawiera się w art. </w:t>
      </w:r>
      <w:r w:rsidR="004E2F9D" w:rsidRPr="009A3C86">
        <w:rPr>
          <w:rFonts w:ascii="Times New Roman" w:eastAsia="Times New Roman" w:hAnsi="Times New Roman"/>
          <w:sz w:val="24"/>
          <w:szCs w:val="24"/>
        </w:rPr>
        <w:t>292</w:t>
      </w:r>
      <w:r w:rsidR="00741954" w:rsidRPr="009A3C86">
        <w:rPr>
          <w:rFonts w:ascii="Times New Roman" w:eastAsia="Times New Roman" w:hAnsi="Times New Roman"/>
          <w:sz w:val="24"/>
          <w:szCs w:val="24"/>
        </w:rPr>
        <w:t xml:space="preserve">§ 1 pkt 1 projektu, to jednak nie wyczerpuje ta regulacja sytuacji, w której skargę sąd administracyjny odrzucił. Spadkobiercy powinni zatem uzyskać stosownie do art. 16 w związku z art. </w:t>
      </w:r>
      <w:r w:rsidR="004E2F9D" w:rsidRPr="009A3C86">
        <w:rPr>
          <w:rFonts w:ascii="Times New Roman" w:eastAsia="Times New Roman" w:hAnsi="Times New Roman"/>
          <w:sz w:val="24"/>
          <w:szCs w:val="24"/>
        </w:rPr>
        <w:t xml:space="preserve">292 </w:t>
      </w:r>
      <w:r w:rsidR="00741954" w:rsidRPr="009A3C86">
        <w:rPr>
          <w:rFonts w:ascii="Times New Roman" w:eastAsia="Times New Roman" w:hAnsi="Times New Roman"/>
          <w:sz w:val="24"/>
          <w:szCs w:val="24"/>
        </w:rPr>
        <w:t xml:space="preserve">§ 1 pkt 7 i art. </w:t>
      </w:r>
      <w:r w:rsidR="004E2F9D" w:rsidRPr="009A3C86">
        <w:rPr>
          <w:rFonts w:ascii="Times New Roman" w:eastAsia="Times New Roman" w:hAnsi="Times New Roman"/>
          <w:sz w:val="24"/>
          <w:szCs w:val="24"/>
        </w:rPr>
        <w:t xml:space="preserve">463  </w:t>
      </w:r>
      <w:r w:rsidR="00741954" w:rsidRPr="009A3C86">
        <w:rPr>
          <w:rFonts w:ascii="Times New Roman" w:eastAsia="Times New Roman" w:hAnsi="Times New Roman"/>
          <w:sz w:val="24"/>
          <w:szCs w:val="24"/>
        </w:rPr>
        <w:t>pełną informację o sytuacji prawnej, jaką pozostawił im spadkodawca.</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13.</w:t>
      </w:r>
      <w:r w:rsidR="005B5776"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 ustawy – Ordynacja podatkowa następcami prawnymi czyni zapisobierców windykacyjnych jednakże tylko w zakresie uczynionego na ich rzecz zapisu przedsiębiorstwa (przedsiębiorstw). Zapis windykacyjny pozostałych rzeczy i praw wskazanych w art. 981</w:t>
      </w:r>
      <w:r w:rsidRPr="009A3C86">
        <w:rPr>
          <w:rFonts w:ascii="Times New Roman" w:eastAsia="Times New Roman" w:hAnsi="Times New Roman"/>
          <w:sz w:val="24"/>
          <w:szCs w:val="24"/>
          <w:vertAlign w:val="superscript"/>
        </w:rPr>
        <w:t>1</w:t>
      </w:r>
      <w:r w:rsidRPr="009A3C86">
        <w:rPr>
          <w:rFonts w:ascii="Times New Roman" w:eastAsia="Times New Roman" w:hAnsi="Times New Roman"/>
          <w:sz w:val="24"/>
          <w:szCs w:val="24"/>
        </w:rPr>
        <w:t xml:space="preserve"> § 2 k.c. nie będzie prowadził w prawie podatkowym do następstwa prawnego zapisobiercy windykacyjnego, na rzecz którego daną rzecz lub prawo ustanowiono przedmiotem zapisu windykacyjnego. W tym zakresie stosować należy regulacje ogólne z art. </w:t>
      </w:r>
      <w:r w:rsidR="00506BC2"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1 projektu. To oznaczałoby, że w przypadku gdyby u spadkodawcy powstała zaległość podatkowa, nadpłata czy zwrot podatku w związku z zapisem windykacyjnym innych rzeczy lub praw majątkowych niż przedsiębiorstwo (zob. art. 981</w:t>
      </w:r>
      <w:r w:rsidRPr="009A3C86">
        <w:rPr>
          <w:rFonts w:ascii="Times New Roman" w:eastAsia="Times New Roman" w:hAnsi="Times New Roman"/>
          <w:sz w:val="24"/>
          <w:szCs w:val="24"/>
          <w:vertAlign w:val="superscript"/>
        </w:rPr>
        <w:t>1</w:t>
      </w:r>
      <w:r w:rsidRPr="009A3C86">
        <w:rPr>
          <w:rFonts w:ascii="Times New Roman" w:eastAsia="Times New Roman" w:hAnsi="Times New Roman"/>
          <w:sz w:val="24"/>
          <w:szCs w:val="24"/>
        </w:rPr>
        <w:t xml:space="preserve"> § 2 pkt 1, 2 i 4 k.c. w tym też co do gospodarstwa rolnego), to zobowiązanymi z tego tytułu lub uprawnionymi byliby wyłącznie spadkobiercy podatnika, płatnika lub inkasenta.</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14. Zapisobiercy zwykli są osobami trzecimi odpowiadającymi tylko za zaległości podatkowe spadkodawcy jako osoby trzecie (art. </w:t>
      </w:r>
      <w:r w:rsidR="00506BC2" w:rsidRPr="009A3C86">
        <w:rPr>
          <w:rFonts w:ascii="Times New Roman" w:eastAsia="Times New Roman" w:hAnsi="Times New Roman"/>
          <w:sz w:val="24"/>
          <w:szCs w:val="24"/>
        </w:rPr>
        <w:t>273</w:t>
      </w:r>
      <w:r w:rsidRPr="009A3C86">
        <w:rPr>
          <w:rFonts w:ascii="Times New Roman" w:eastAsia="Times New Roman" w:hAnsi="Times New Roman"/>
          <w:sz w:val="24"/>
          <w:szCs w:val="24"/>
        </w:rPr>
        <w:t xml:space="preserve">). Dalsi zapisobiercy zwykli nie będą podmiotami objętymi regulacjami proponowanej ustawy. Następcą prawnym zgodnie z proponowanymi rozwiązaniami nie jest także nabywca spadku. Regulacja następstwa prawnego w prawie podatkowym jest wyrazem respektowania – co do zasady – w tym prawie terminów mających ustalone znaczenie w innych gałęziach prawa, szczególnie z zakresu prawa cywilnego i prawa spółek. </w:t>
      </w:r>
    </w:p>
    <w:p w:rsidR="00741954" w:rsidRPr="009A3C86" w:rsidRDefault="00741954" w:rsidP="00741954">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15. Przepis art. </w:t>
      </w:r>
      <w:r w:rsidR="00506BC2" w:rsidRPr="009A3C86">
        <w:rPr>
          <w:rFonts w:ascii="Times New Roman" w:eastAsia="Times New Roman" w:hAnsi="Times New Roman"/>
          <w:b/>
          <w:sz w:val="24"/>
          <w:szCs w:val="24"/>
        </w:rPr>
        <w:t>293</w:t>
      </w:r>
      <w:r w:rsidR="00506BC2"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jest dostosowanym odpowiednikiem art. 105 o.p., z tym że w przypadku śmierci spadkobiercy (tj. przypadku opisanym w art. </w:t>
      </w:r>
      <w:r w:rsidR="006B2508" w:rsidRPr="009A3C86">
        <w:rPr>
          <w:rFonts w:ascii="Times New Roman" w:eastAsia="Times New Roman" w:hAnsi="Times New Roman"/>
          <w:sz w:val="24"/>
          <w:szCs w:val="24"/>
        </w:rPr>
        <w:t>293</w:t>
      </w:r>
      <w:r w:rsidRPr="009A3C86">
        <w:rPr>
          <w:rFonts w:ascii="Times New Roman" w:eastAsia="Times New Roman" w:hAnsi="Times New Roman"/>
          <w:sz w:val="24"/>
          <w:szCs w:val="24"/>
        </w:rPr>
        <w:t xml:space="preserve">§ 3) lub zapisobiercy windykacyjnego przysługująca im (wynikająca z deklaracji lub decyzji podatkowej) część nadpłaty lub zwrotu podatku należna będzie ich spadkobiercom po przedłożeniu prawomocnego postanowienia sądu o stwierdzeniu nabycia spadku, prawomocnego postanowienia sądu o stwierdzeniu nabycia przedmiotu zapisu windykacyjnego, prawomocnego postanowienia sądu o wydaniu europejskiego poświadczenia spadkowego, zarejestrowanym akcie poświadczenia dziedziczenia. Jest to wyjątek od podmiotowego zakresu następstwa prawnego uregulowanego </w:t>
      </w:r>
      <w:r w:rsidRPr="009A3C86">
        <w:rPr>
          <w:rFonts w:ascii="Times New Roman" w:eastAsia="Times New Roman" w:hAnsi="Times New Roman"/>
          <w:sz w:val="24"/>
          <w:szCs w:val="24"/>
        </w:rPr>
        <w:lastRenderedPageBreak/>
        <w:t xml:space="preserve">w art. </w:t>
      </w:r>
      <w:r w:rsidR="006B2508" w:rsidRPr="009A3C86">
        <w:rPr>
          <w:rFonts w:ascii="Times New Roman" w:eastAsia="Times New Roman" w:hAnsi="Times New Roman"/>
          <w:sz w:val="24"/>
          <w:szCs w:val="24"/>
        </w:rPr>
        <w:t xml:space="preserve">284 </w:t>
      </w:r>
      <w:r w:rsidRPr="009A3C86">
        <w:rPr>
          <w:rFonts w:ascii="Times New Roman" w:eastAsia="Times New Roman" w:hAnsi="Times New Roman"/>
          <w:sz w:val="24"/>
          <w:szCs w:val="24"/>
        </w:rPr>
        <w:t xml:space="preserve">§ 1 i 2. Odpowiednie stosowanie art. </w:t>
      </w:r>
      <w:r w:rsidR="006B2508" w:rsidRPr="009A3C86">
        <w:rPr>
          <w:rFonts w:ascii="Times New Roman" w:eastAsia="Times New Roman" w:hAnsi="Times New Roman"/>
          <w:sz w:val="24"/>
          <w:szCs w:val="24"/>
        </w:rPr>
        <w:t xml:space="preserve">214 </w:t>
      </w:r>
      <w:r w:rsidRPr="009A3C86">
        <w:rPr>
          <w:rFonts w:ascii="Times New Roman" w:eastAsia="Times New Roman" w:hAnsi="Times New Roman"/>
          <w:sz w:val="24"/>
          <w:szCs w:val="24"/>
        </w:rPr>
        <w:t>pkt 5 i art.</w:t>
      </w:r>
      <w:r w:rsidR="005B5776" w:rsidRPr="009A3C86">
        <w:rPr>
          <w:rFonts w:ascii="Times New Roman" w:eastAsia="Times New Roman" w:hAnsi="Times New Roman"/>
          <w:sz w:val="24"/>
          <w:szCs w:val="24"/>
        </w:rPr>
        <w:t xml:space="preserve"> </w:t>
      </w:r>
      <w:r w:rsidR="006B2508" w:rsidRPr="009A3C86">
        <w:rPr>
          <w:rFonts w:ascii="Times New Roman" w:eastAsia="Times New Roman" w:hAnsi="Times New Roman"/>
          <w:sz w:val="24"/>
          <w:szCs w:val="24"/>
        </w:rPr>
        <w:t xml:space="preserve">219 </w:t>
      </w:r>
      <w:r w:rsidRPr="009A3C86">
        <w:rPr>
          <w:rFonts w:ascii="Times New Roman" w:eastAsia="Times New Roman" w:hAnsi="Times New Roman"/>
          <w:sz w:val="24"/>
          <w:szCs w:val="24"/>
        </w:rPr>
        <w:t xml:space="preserve">pkt 5 dotyczy terminu zwrotu  nadpłaty i jej oprocentowania, a odpowiednie stosowanie art. </w:t>
      </w:r>
      <w:r w:rsidR="006B2508" w:rsidRPr="009A3C86">
        <w:rPr>
          <w:rFonts w:ascii="Times New Roman" w:eastAsia="Times New Roman" w:hAnsi="Times New Roman"/>
          <w:sz w:val="24"/>
          <w:szCs w:val="24"/>
        </w:rPr>
        <w:t xml:space="preserve">288 </w:t>
      </w:r>
      <w:r w:rsidRPr="009A3C86">
        <w:rPr>
          <w:rFonts w:ascii="Times New Roman" w:eastAsia="Times New Roman" w:hAnsi="Times New Roman"/>
          <w:sz w:val="24"/>
          <w:szCs w:val="24"/>
        </w:rPr>
        <w:t>§ 1 - 3 projektu dotyczy procedury orzekania w tym zakresie.</w:t>
      </w:r>
    </w:p>
    <w:p w:rsidR="00741954" w:rsidRPr="009A3C86" w:rsidRDefault="00741954" w:rsidP="00D72E74">
      <w:pPr>
        <w:spacing w:after="12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16. Zagraniczne ustawy typu ordynacja podatkowa w zakresie następstwa prawnego przewidują różne rozwiązania. Ich lektura wskazuje, że nie ma uniwersalnego modelu następstwa prawnego, a wszystkie one są w jakimś stopniu podobne. Jednakże generalnie rzecz ujmując unormowania ordynacji podatkowej Hiszpanii, RFN, Austrii, Serbii przewidują sukcesję uniwersalną praw i obowiązków podatkowych. Niektóre z nich wprost wskazują, że spadkobiercy nie przejmują np. obowiązku podatkowego ciążącego na spadkodawcy (Hiszpania). Inne z nich wyłączają z zakresu regulacji następstwo prawne i wprost odsyłają w zakresie przedmiotowym następstwa prawnego spadkobierców do przepisów prawa cywilnego (RFN, Austria). W przypadku niektórych państw (Włochy, Łotwa, Bośnia i Hercegowina) przepisy o następstwie prawnym tak w zakresie podmiotowym, jak i przedmiotowym uregulowane są nie w ogólnej ustawie ordynacja podatkowa, a w przepisach ustaw odnoszących się do poszczególnych podatków. Sukcesję uniwersalną spadkobierców, jak i podmiotowych przekształconych przewiduje też wzór kodeksu podatkowego CIAT.</w:t>
      </w:r>
    </w:p>
    <w:p w:rsidR="003B7CF1" w:rsidRPr="009A3C86" w:rsidRDefault="003B7CF1" w:rsidP="003B7CF1">
      <w:pPr>
        <w:tabs>
          <w:tab w:val="num" w:pos="720"/>
        </w:tabs>
        <w:spacing w:after="0" w:line="360" w:lineRule="auto"/>
        <w:jc w:val="both"/>
        <w:outlineLvl w:val="2"/>
        <w:rPr>
          <w:rFonts w:ascii="Times New Roman" w:eastAsia="Times New Roman" w:hAnsi="Times New Roman"/>
          <w:b/>
          <w:bCs/>
          <w:sz w:val="24"/>
          <w:szCs w:val="24"/>
        </w:rPr>
      </w:pPr>
      <w:bookmarkStart w:id="35" w:name="_Toc494363263"/>
      <w:r w:rsidRPr="009A3C86">
        <w:rPr>
          <w:rFonts w:ascii="Times New Roman" w:eastAsia="Times New Roman" w:hAnsi="Times New Roman"/>
          <w:b/>
          <w:bCs/>
          <w:sz w:val="24"/>
          <w:szCs w:val="24"/>
        </w:rPr>
        <w:t>Rozdział 13. Wykonywanie zobowiązań solidarnych</w:t>
      </w:r>
      <w:bookmarkEnd w:id="35"/>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W aktualnym stanie prawnym problematyka odpowiedzialności solidarnej w prawie podatkowym uregulowana jest w art. 91-92 o.p. Regulacje te opierają się na odesłaniu w art. 91 o.p. do odpowiedniego stosowania przepisów Kodeksu cywilnego dla zobowiązań cywilnoprawnych, z bardzo wąskim uregulowaniem w art. 92 o.p. sytuacji specyficznych dla prawa podatkowego. Rozwiązanie takie, wobec szerokiego katalogu sytuacji, w których zarówno zobowiązanie podatkowe, jak i odpowiedzialność za takie zobowiązanie mają charakter solidarny, jest niewystarczające</w:t>
      </w:r>
      <w:r w:rsidRPr="009A3C86">
        <w:rPr>
          <w:rFonts w:ascii="Times New Roman" w:eastAsia="Times New Roman" w:hAnsi="Times New Roman"/>
          <w:sz w:val="24"/>
          <w:szCs w:val="24"/>
          <w:vertAlign w:val="superscript"/>
        </w:rPr>
        <w:footnoteReference w:id="363"/>
      </w:r>
      <w:r w:rsidRPr="009A3C86">
        <w:rPr>
          <w:rFonts w:ascii="Times New Roman" w:eastAsia="Times New Roman" w:hAnsi="Times New Roman"/>
          <w:sz w:val="24"/>
          <w:szCs w:val="24"/>
        </w:rPr>
        <w:t>. Należy także zauważyć, iż przepisy prawa podatkowego, obok solidarnej odpowiedzialności za zobowiązanie podatkowe, wynikającej z przepisów regulujących konstrukcję poszczególnych podatków, wprowadzają również solidarną odpowiedzialność w przypadku osób trzecich. Solidarna jest także odpowiedzialność spadkobierców do czasu działu spadku, a w niektórych przypadkach także zapisobierców windykacyjnych, czy podmiotów zobowiązanych do poniesienia kosztów postępowania podatkowego.</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Należy więc stwierdzić, że wielość sytuacji, w których mamy do czynienia z solidarnością w prawie podatkowym, wymaga doregulowania tej instytucji. Nie jest przy tym zasadne przenoszenie do nowej ustawy w mechaniczny sposób instytucji cywilnoprawnych zobowiązań solidarnych, chociaż bez wątpienia powinny one stanowić bazę dla tworzonych nowych rozwiązań. W związku z tym proponuje się, aby przepisy Kodeksu cywilnego dotyczące zobowiązań i wierzytelności cywilnoprawnych stosować w prawie podatkowym jedynie odpowiednio i wyłącznie w zakresie nieuregulowanym w ordynacji podatkowej (art. </w:t>
      </w:r>
      <w:r w:rsidR="007A4D6D" w:rsidRPr="009A3C86">
        <w:rPr>
          <w:rFonts w:ascii="Times New Roman" w:eastAsia="Times New Roman" w:hAnsi="Times New Roman"/>
          <w:b/>
          <w:sz w:val="24"/>
          <w:szCs w:val="24"/>
        </w:rPr>
        <w:t>297</w:t>
      </w:r>
      <w:r w:rsidRPr="009A3C86">
        <w:rPr>
          <w:rFonts w:ascii="Times New Roman" w:eastAsia="Times New Roman" w:hAnsi="Times New Roman"/>
          <w:sz w:val="24"/>
          <w:szCs w:val="24"/>
        </w:rPr>
        <w:t xml:space="preserve">).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Należy podkreślić, iż solidarność w prawie podatkowym jest instytucją, która powinna być w sposób kompleksowy uregulowana w przepisach ogólnego prawa podatkowego. Zasadą powinno przy tym pozostać, iż solidarność zobowiązania i odpowiedzialności w prawie podatkowym musi wynikać wprost z przepisów ustawy podatkowej i nie można jej domniemywać (proponowany art. </w:t>
      </w:r>
      <w:r w:rsidR="007A4D6D" w:rsidRPr="009A3C86">
        <w:rPr>
          <w:rFonts w:ascii="Times New Roman" w:eastAsia="Times New Roman" w:hAnsi="Times New Roman"/>
          <w:b/>
          <w:sz w:val="24"/>
          <w:szCs w:val="24"/>
        </w:rPr>
        <w:t xml:space="preserve">294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Mając na uwadze, że zobowiązanie podatkowe może powstać zarówno z mocy samej ustawy, jak i w następstwie doręczenia konstytutywnej decyzji, należy zachować zasadę, wedle której w drugiej ze wskazanych sytuacji dla powstania zobowiązania o charakterze solidarnym konieczne jest doręczenie decyzji wszystkim zobowiązanym. W przypadku decyzji o charakterze deklaratoryjnym obowiązek ich wydawania na wszystkich zobowiązanych w sposób solidarny wynika z istoty tej odpowiedzialności.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konsekwencji utrzymana zostanie reguła, wedle której organ podatkowy nie jest uprawniony do wyboru dłużnika na etapie ustalenia wysokości zobowiązania podatkowego - powinien je ustalić każdemu z takich podmiotów. Natomiast jego uprawnienie wynikające z solidarnego charakteru odpowiedzialności za powstałe w ten sposób zobowiązanie polega na prawie wyboru podmiotu, od którego będzie dochodził należności już po doręczeniu decyzji ustalającej.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Powyższa reguła znajduje również zastosowanie do odpowiedzialności osób trzecich, o której orzeka się w drodze decyzji mającej konstytutywny charakter oraz do osób zobowiązanych solidarnie do uiszczenia kosztów postępowania podatkowego (art. </w:t>
      </w:r>
      <w:r w:rsidR="007A4D6D" w:rsidRPr="009A3C86">
        <w:rPr>
          <w:rFonts w:ascii="Times New Roman" w:eastAsia="Times New Roman" w:hAnsi="Times New Roman"/>
          <w:sz w:val="24"/>
          <w:szCs w:val="24"/>
        </w:rPr>
        <w:t xml:space="preserve">517 </w:t>
      </w:r>
      <w:r w:rsidRPr="009A3C86">
        <w:rPr>
          <w:rFonts w:ascii="Times New Roman" w:eastAsia="Times New Roman" w:hAnsi="Times New Roman"/>
          <w:sz w:val="24"/>
          <w:szCs w:val="24"/>
        </w:rPr>
        <w:t xml:space="preserve">§ 2). Oznacza to, że organ podatkowy powinien dążyć do przeniesienia odpowiedzialności na wszystkie osoby, które potencjalnie mogą ponosić odpowiedzialność i nie jest uprawniony na etapie postępowania w tej sprawie do wyboru dłużnika.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Analogicznie jak wskazane wyżej zasady dotyczą przypadku niewykonania w sposób prawidłowy obowiązków związanych z samoobliczeniem podatku. W tych sytuacjach organ podatkowy powinien prowadzić postępowanie w sprawie określenia wysokości zobowiązania podatkowego wobec wszystkich podmiotów zobowiązanych.</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Jednocześnie podkreślić trzeba, iż w obowiązującym stanie prawnym na mocy art. 92 § 2 o.p. wskazana zasada doznaje wyjątku w przypadku zobowiązań podatkowych ustalanych w formie łącznego zobowiązania podatkowego. Są to sytuacje, w których w jednej decyzji organ podatkowy wymierza podatnikowi dwa lub więcej podatków (rolny, leśny, od nieruchomości). Powołany przepis umożliwia doręczenie nakazu płatniczego, z którego wynika to zobowiązanie, jednemu ze zobowiązanych, ale ze skutkiem dla pozostałych. Zgodnie bowiem z art. 6c ust. 2 ustawy o podatku rolnym łączne zobowiązanie pieniężne należne od przedmiotów opodatkowania stanowiących współwłasność lub znajdujących się w posiadaniu dwóch lub więcej osób fizycznych ustala się w odrębnej decyzji (nakazie płatniczym), którą wystawia się na któregokolwiek ze współwłaścicieli (posiadaczy). Analogiczne rozwiązanie zawiera art. 6a ust. 2 ustawy o podatku leśnym. W takim przypadku tylko jeden z zobowiązanych otrzymuje decyzję, ale odpowiedzialność solidarną za podatek wynikający z niej ponoszą również pozostali.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Należy uznać, iż tego rodzaju rozwiązanie nie chroni w sposób dostateczny interesów tych podatników, którzy zobowiązani są do zapłaty podatku nie posiadając nawet decyzji, w której został on ustalony. Nakaz płatniczy jest formą decyzji, którą objęte są dwa lub trzy podatki, ale fakt ten nie stanowi dostatecznego uzasadnienia dla tak szczególnych, jak obecnie obowiązujące, zasad odpowiedzialności za zobowiązanie podatkowe. W związku z tym w proponowanych przepisach nie ma odpowiednika art. 92 § 2 o.p., co oznacza, że zgodnie z zasadą wyrażoną w art. </w:t>
      </w:r>
      <w:r w:rsidR="007A4D6D" w:rsidRPr="009A3C86">
        <w:rPr>
          <w:rFonts w:ascii="Times New Roman" w:eastAsia="Times New Roman" w:hAnsi="Times New Roman"/>
          <w:b/>
          <w:sz w:val="24"/>
          <w:szCs w:val="24"/>
        </w:rPr>
        <w:t xml:space="preserve">294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xml:space="preserve">, w przypadku nakazów płatniczych organ podatkowy zobowiązany jest wystawić i doręczyć taki nakaz każdemu z zobowiązanych.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3. Obowiązujące przepisy art. 92 § 3, 3a i 4 o.p. regulują problematykę zarówno odpowiedzialności solidarnej, jak i wierzytelności o charakterze solidarnym w przypadku małżonków opodatkowanych łącznie na gruncie podatku dochodowego od osób fizycznych. Pomimo tego, iż wskazana sytuacja odnosi się wyłącznie do powołanego świadczenia, celem wyeliminowania wątpliwości interpretacyjnych, zasadne jest pozostawienie tej problematyki w ordynacji podatkowej i nie przenoszenie jej do ustawy o podatku dochodowym od osób fizycznych. W szczególności zauważyć bowiem należy, iż zaliczanie nadpłat małżonków w podatku dochodowym od osób fizycznych nie musi mieć miejsca wyłącznie na zobowiązania czy zaległości w tym podatku, co mogłoby wywoływać wątpliwości, gdyby podstawę prawną do zaliczenia zawarto w ustawie o podatku dochodowym.</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Jednym z istotnych mankamentów obowiązującej ordynacji podatkowej jest całkowite pominięcie w jej regulacjach rozwiązań prawnych dotyczących wykonywania obowiązku o charakterze instrumentalnym, jakim jest składanie deklaracji, w przypadku obowiązku </w:t>
      </w:r>
      <w:r w:rsidRPr="009A3C86">
        <w:rPr>
          <w:rFonts w:ascii="Times New Roman" w:eastAsia="Times New Roman" w:hAnsi="Times New Roman"/>
          <w:sz w:val="24"/>
          <w:szCs w:val="24"/>
        </w:rPr>
        <w:lastRenderedPageBreak/>
        <w:t xml:space="preserve">podatkowego lub uprawnienia o charakterze solidarnym. Proponuje się uregulowanie tej kwestii w art. </w:t>
      </w:r>
      <w:r w:rsidR="00B41347" w:rsidRPr="009A3C86">
        <w:rPr>
          <w:rFonts w:ascii="Times New Roman" w:eastAsia="Times New Roman" w:hAnsi="Times New Roman"/>
          <w:b/>
          <w:sz w:val="24"/>
          <w:szCs w:val="24"/>
        </w:rPr>
        <w:t>295</w:t>
      </w:r>
      <w:r w:rsidR="00B41347"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poprzez wskazanie, iż w przypadku obowiązku podatkowego, prawa do zwrotu nadpłaty lub prawa do zwrotu podatku, które mają solidarny charakter i wiąże się z nimi obowiązek złożenia deklaracji, taki obowiązek co do zasady musi być wykonany odrębnie przez każdego z podatników. Zatem każdy z nich samodzielnie składa wymaganą prawem deklarację, która wywołuje skutki prawne jedynie wobec niego i nie zwalnia z takiego obowiązku pozostałych. Analogicznie korekta takiej deklaracji nie ma skutku względem pozostałych zobowiązanych i nie zwalnia ich od dokonania korekty.</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W art. </w:t>
      </w:r>
      <w:r w:rsidR="00B41347" w:rsidRPr="009A3C86">
        <w:rPr>
          <w:rFonts w:ascii="Times New Roman" w:eastAsia="Times New Roman" w:hAnsi="Times New Roman"/>
          <w:b/>
          <w:sz w:val="24"/>
          <w:szCs w:val="24"/>
        </w:rPr>
        <w:t>296</w:t>
      </w:r>
      <w:r w:rsidR="00B41347"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projektowanej ustawy proponuje się uregulować problematykę solidarnego charakteru odpowiedzialności za zobowiązania podatkowe w kontekście stosowania preferencji podatkowych (ulg, zwolnień, umorzeń). Obowiązujący model polegający na odpowiednim stosowaniu w tym zakresie przepisów Kodeksu cywilnego właściwych dla zobowiązań cywilnoprawnych (art. 91 o.p.), bez uwzględnienia specyfiki prawa podatkowego, rodzi praktyczne problemy. W szczególności z art. 373 k.c. wynika, iż zwolnienie z długu lub zrzeczenie się solidarności przez wierzyciela względem jednego z dłużników solidarnych nie ma skutku względem pozostałych. Na tle tej regulacji powstają wątpliwości związane ze stosowaniem preferencji o charakterze podmiotowym oraz przedmiotowo-podmiotowym, co m.in. sygnalizował Rzecznik Praw Obywatelskich w piśmie</w:t>
      </w:r>
      <w:r w:rsidRPr="009A3C86">
        <w:rPr>
          <w:rFonts w:ascii="Times New Roman" w:eastAsia="Times New Roman" w:hAnsi="Times New Roman"/>
          <w:sz w:val="24"/>
          <w:szCs w:val="24"/>
          <w:vertAlign w:val="superscript"/>
        </w:rPr>
        <w:footnoteReference w:id="364"/>
      </w:r>
      <w:r w:rsidRPr="009A3C86">
        <w:rPr>
          <w:rFonts w:ascii="Times New Roman" w:eastAsia="Times New Roman" w:hAnsi="Times New Roman"/>
          <w:sz w:val="24"/>
          <w:szCs w:val="24"/>
        </w:rPr>
        <w:t xml:space="preserve"> skierowanym do Ministra Finansów, wnosząc o ocenę problemu i ewentualne zmiany legislacyjne. Zagadnienie to znajduje odzwierciedlenie także w orzeczeniach sądów administracyjnych. Dla przykładu - w przypadku ulgi w spłacie zobowiązania podatkowego w postaci umorzenia dopuszcza się zwolnienie z obowiązku zapłaty jednego z zobowiązanych solidarnie, bez skutku dla pozostałych</w:t>
      </w:r>
      <w:r w:rsidRPr="009A3C86">
        <w:rPr>
          <w:rFonts w:ascii="Times New Roman" w:eastAsia="Times New Roman" w:hAnsi="Times New Roman"/>
          <w:sz w:val="24"/>
          <w:szCs w:val="24"/>
          <w:vertAlign w:val="superscript"/>
        </w:rPr>
        <w:footnoteReference w:id="365"/>
      </w:r>
      <w:r w:rsidRPr="009A3C86">
        <w:rPr>
          <w:rFonts w:ascii="Times New Roman" w:eastAsia="Times New Roman" w:hAnsi="Times New Roman"/>
          <w:sz w:val="24"/>
          <w:szCs w:val="24"/>
        </w:rPr>
        <w:t>. Jednakże z obowiązującego art. 59 § 1 pkt 8 o.p. wynika, że zobowiązanie podatkowe, także takie, które ma solidarny charakter, wygasa przez umorzenie. Przepis ten wskazuje więc na niepodzielność takiego zobowiązania, a zatem skutek jego umorzenia na wniosek jednego z zobowiązanych rozciągałby się także na pozostałych.</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 kolei w przypadku zwolnień podatkowych o charakterze przedmiotowo-podmiotowym można mówić o kształtującej się linii orzeczniczej, w świetle której, gdy jeden z odpowiedzialnych solidarnie za zobowiązanie podatkowe korzysta ze zwolnienia, to wartość podatku należy pomniejszyć proporcjonalnie o przypadającą na niego kwotę. Pozostali zobowiązani będą więc ponosić odpowiedzialność solidarną tylko w zakresie tak wyliczonego </w:t>
      </w:r>
      <w:r w:rsidRPr="009A3C86">
        <w:rPr>
          <w:rFonts w:ascii="Times New Roman" w:eastAsia="Times New Roman" w:hAnsi="Times New Roman"/>
          <w:sz w:val="24"/>
          <w:szCs w:val="24"/>
        </w:rPr>
        <w:lastRenderedPageBreak/>
        <w:t>podatku</w:t>
      </w:r>
      <w:r w:rsidRPr="009A3C86">
        <w:rPr>
          <w:rFonts w:ascii="Times New Roman" w:eastAsia="Times New Roman" w:hAnsi="Times New Roman"/>
          <w:sz w:val="24"/>
          <w:szCs w:val="24"/>
          <w:vertAlign w:val="superscript"/>
        </w:rPr>
        <w:footnoteReference w:id="366"/>
      </w:r>
      <w:r w:rsidRPr="009A3C86">
        <w:rPr>
          <w:rFonts w:ascii="Times New Roman" w:eastAsia="Times New Roman" w:hAnsi="Times New Roman"/>
          <w:sz w:val="24"/>
          <w:szCs w:val="24"/>
        </w:rPr>
        <w:t>. Taka koncepcja została już wprowadzona do ustaw regulujących konstrukcję podatku rolnego, leśnego oraz od nieruchomości</w:t>
      </w:r>
      <w:r w:rsidRPr="009A3C86">
        <w:rPr>
          <w:rFonts w:ascii="Times New Roman" w:eastAsia="Times New Roman" w:hAnsi="Times New Roman"/>
          <w:sz w:val="24"/>
          <w:szCs w:val="24"/>
          <w:vertAlign w:val="superscript"/>
        </w:rPr>
        <w:footnoteReference w:id="367"/>
      </w:r>
      <w:r w:rsidRPr="009A3C86">
        <w:rPr>
          <w:rFonts w:ascii="Times New Roman" w:eastAsia="Times New Roman" w:hAnsi="Times New Roman"/>
          <w:sz w:val="24"/>
          <w:szCs w:val="24"/>
        </w:rPr>
        <w:t>.</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Kolejnym obszarem ordynacji podatkowej, który w analizowanym zakresie budzi wątpliwości, są regulacje dotyczące przedawnienia. Na tym tle podkreślić należy, że aktualnie bieg terminu przedawnienia może być przerwany lub zawieszony, a przesłanki w tym zakresie mają niekiedy charakter związany ściśle z osobą odpowiedzialnego za zobowiązanie o charakterze solidarnym (np. ogłoszeniem upadłości, zastosowaniem środka egzekucyjnego, o którym podatnik został zawiadomiony). Również w projektowanych przepisach wskazuje się na przesłanki zawieszenia i przerwania biegu terminu przedawnienia poboru, które mają indywidualny charakter (por. art. </w:t>
      </w:r>
      <w:r w:rsidR="007C0CC9" w:rsidRPr="009A3C86">
        <w:rPr>
          <w:rFonts w:ascii="Times New Roman" w:eastAsia="Times New Roman" w:hAnsi="Times New Roman"/>
          <w:sz w:val="24"/>
          <w:szCs w:val="24"/>
        </w:rPr>
        <w:t>18</w:t>
      </w:r>
      <w:r w:rsidR="00F21633" w:rsidRPr="009A3C86">
        <w:rPr>
          <w:rFonts w:ascii="Times New Roman" w:eastAsia="Times New Roman" w:hAnsi="Times New Roman"/>
          <w:sz w:val="24"/>
          <w:szCs w:val="24"/>
        </w:rPr>
        <w:t>0</w:t>
      </w:r>
      <w:r w:rsidR="007C0CC9"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oraz art. </w:t>
      </w:r>
      <w:r w:rsidR="007C0CC9" w:rsidRPr="009A3C86">
        <w:rPr>
          <w:rFonts w:ascii="Times New Roman" w:eastAsia="Times New Roman" w:hAnsi="Times New Roman"/>
          <w:sz w:val="24"/>
          <w:szCs w:val="24"/>
        </w:rPr>
        <w:t>18</w:t>
      </w:r>
      <w:r w:rsidR="00F21633" w:rsidRPr="009A3C86">
        <w:rPr>
          <w:rFonts w:ascii="Times New Roman" w:eastAsia="Times New Roman" w:hAnsi="Times New Roman"/>
          <w:sz w:val="24"/>
          <w:szCs w:val="24"/>
        </w:rPr>
        <w:t>3</w:t>
      </w:r>
      <w:r w:rsidR="007C0CC9"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projektowanej ustawy).</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Wskazane wyżej okoliczności przemawiają za koniecznością doregulowania w nowej ordynacji podatkowej zasad stosowania różnego rodzaju preferencji podatkowych, a także kwestii przedawnienia w przypadku zobowiązań o charakterze solidarnym. W tym zakresie przyjęto następujące, podstawowe założenia</w:t>
      </w:r>
      <w:r w:rsidRPr="009A3C86">
        <w:rPr>
          <w:rFonts w:ascii="Times New Roman" w:eastAsia="Times New Roman" w:hAnsi="Times New Roman"/>
          <w:sz w:val="24"/>
          <w:szCs w:val="24"/>
          <w:vertAlign w:val="superscript"/>
        </w:rPr>
        <w:footnoteReference w:id="368"/>
      </w:r>
      <w:r w:rsidRPr="009A3C86">
        <w:rPr>
          <w:rFonts w:ascii="Times New Roman" w:eastAsia="Times New Roman" w:hAnsi="Times New Roman"/>
          <w:sz w:val="24"/>
          <w:szCs w:val="24"/>
        </w:rPr>
        <w:t>:</w:t>
      </w:r>
    </w:p>
    <w:p w:rsidR="003B7CF1" w:rsidRPr="009A3C86" w:rsidRDefault="003B7CF1" w:rsidP="00D72E74">
      <w:pPr>
        <w:numPr>
          <w:ilvl w:val="0"/>
          <w:numId w:val="9"/>
        </w:numPr>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solidarny charakter odpowiedzialności za zobowiązania podatkowe nie może prowadzić do pozbawienia podmiotu, który spełnia określone ustawowo przesłanki, prawa do preferencji;</w:t>
      </w:r>
    </w:p>
    <w:p w:rsidR="003B7CF1" w:rsidRPr="009A3C86" w:rsidRDefault="003B7CF1" w:rsidP="00D72E74">
      <w:pPr>
        <w:numPr>
          <w:ilvl w:val="0"/>
          <w:numId w:val="9"/>
        </w:numPr>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zastosowanie preferencji wobec uprawnionego, proporcjonalnie pomniejsza zobowiązanie do zapłaty obciążające pozostałych podatników;</w:t>
      </w:r>
    </w:p>
    <w:p w:rsidR="003B7CF1" w:rsidRPr="009A3C86" w:rsidRDefault="003B7CF1" w:rsidP="00D72E74">
      <w:pPr>
        <w:numPr>
          <w:ilvl w:val="0"/>
          <w:numId w:val="9"/>
        </w:numPr>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przesłanki przerwania i zawieszenia biegu terminu przedawnienia poboru podatku, które mają charakter personalny i odnoszą się do jednego z zobowiązanych solidarnie, nie powinny mieć wpływu na bieg terminu przedawnienia u pozostałych zobowiązanych.</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6. Realizując powyższe założenia w art. </w:t>
      </w:r>
      <w:r w:rsidR="00F21633" w:rsidRPr="009A3C86">
        <w:rPr>
          <w:rFonts w:ascii="Times New Roman" w:eastAsia="Times New Roman" w:hAnsi="Times New Roman"/>
          <w:b/>
          <w:sz w:val="24"/>
          <w:szCs w:val="24"/>
        </w:rPr>
        <w:t xml:space="preserve">296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 xml:space="preserve"> projektowanej ustawy, przyjęto zasadę, wedle której w przypadku wygaśnięcia zobowiązania podatkowego w następstwie zwolnienia z obowiązku zapłaty podatku lub zaniechania poboru podatku względem jednego z podatników odpowiedzialnych solidarnie, zobowiązanie podatkowe ulega pomniejszeniu w zakresie przypadającym na tego podatnika. Zasada ta znajduje odpowiednie zastosowanie również </w:t>
      </w:r>
      <w:r w:rsidRPr="009A3C86">
        <w:rPr>
          <w:rFonts w:ascii="Times New Roman" w:eastAsia="Times New Roman" w:hAnsi="Times New Roman"/>
          <w:sz w:val="24"/>
          <w:szCs w:val="24"/>
        </w:rPr>
        <w:lastRenderedPageBreak/>
        <w:t xml:space="preserve">wtedy, gdy jeden z podmiotów nie podlega opodatkowaniu (art. </w:t>
      </w:r>
      <w:r w:rsidR="00F21633" w:rsidRPr="009A3C86">
        <w:rPr>
          <w:rFonts w:ascii="Times New Roman" w:eastAsia="Times New Roman" w:hAnsi="Times New Roman"/>
          <w:b/>
          <w:sz w:val="24"/>
          <w:szCs w:val="24"/>
        </w:rPr>
        <w:t xml:space="preserve">296 </w:t>
      </w:r>
      <w:r w:rsidRPr="009A3C86">
        <w:rPr>
          <w:rFonts w:ascii="Times New Roman" w:eastAsia="Times New Roman" w:hAnsi="Times New Roman"/>
          <w:b/>
          <w:sz w:val="24"/>
          <w:szCs w:val="24"/>
        </w:rPr>
        <w:t>§ 2</w:t>
      </w:r>
      <w:r w:rsidRPr="009A3C86">
        <w:rPr>
          <w:rFonts w:ascii="Times New Roman" w:eastAsia="Times New Roman" w:hAnsi="Times New Roman"/>
          <w:sz w:val="24"/>
          <w:szCs w:val="24"/>
        </w:rPr>
        <w:t>). W konsekwencji wskazane wyżej preferencje o charakterze podmiotowym zasadniczo nie mogą uwolnić od obowiązku zapłaty podatku zobowiązanych solidarnie, do których nie są one adresowane. Jednakże należy mieć też na uwadze, iż w orzecznictwie NSA</w:t>
      </w:r>
      <w:r w:rsidRPr="009A3C86">
        <w:rPr>
          <w:rFonts w:ascii="Times New Roman" w:eastAsia="Times New Roman" w:hAnsi="Times New Roman"/>
          <w:sz w:val="24"/>
          <w:szCs w:val="24"/>
          <w:vertAlign w:val="superscript"/>
        </w:rPr>
        <w:footnoteReference w:id="369"/>
      </w:r>
      <w:r w:rsidRPr="009A3C86">
        <w:rPr>
          <w:rFonts w:ascii="Times New Roman" w:eastAsia="Times New Roman" w:hAnsi="Times New Roman"/>
          <w:sz w:val="24"/>
          <w:szCs w:val="24"/>
        </w:rPr>
        <w:t xml:space="preserve">, a także na gruncie podatku rolnego, od nieruchomości czy leśnego uznaje się za zasadne w przypadku zwolnienia lub niepodlegania opodatkowaniu, które dotyczy zobowiązania solidarnego, pomniejszenie zobowiązania przypadającego do zapłaty na pozostałych podatników o proporcjonalnie ustaloną kwotę podatku przypadającą na podatnika objętego zwolnieniem. Proporcja ta będzie zależna od okoliczności sprawy, np. w przypadku opodatkowania nieruchomości będzie stosowna do udziału w prawie własności, a gdy takiego parametru nie ma, należy przyjąć domniemanie równych proporcji (np. w zakresie małżonków rozliczających się łącznie w podatku dochodowym od osób fizycznych).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Pomimo więc wynikającego z prawa cywilnego niepodzielnego charakteru zobowiązania o charakterze solidarnym, na potrzeby prawa podatkowego, w przypadku stosowania preferencji podatkowych, zasadne wydaje się dopuszczenie do proporcjonalnego (odpowiedniego) przypisania części zobowiązania do jednego z podmiotów, który korzysta ze zwolnienia lub nie podlega opodatkowaniu. Jedynie przy takim założeniu wykluczy się możliwość egzekwowania od zobowiązanych solidarnie, którzy nie korzystają z preferencji podatkowych, całości zobowiązania podatkowego. Zobowiązanie to powinno ulegać pomniejszeniu w zakresie, w jakim przypada na podatnika korzystającego z preferencji, a ponieważ ma ona charakter podmiotowy, jego odpowiedzialność za zobowiązanie wygaśnie. W odniesieniu do zobowiązania pozostałego po pomniejszeniu o część przypadającą na podatnika, który jest zwolniony od podatku albo też wobec którego zaniechano jego poboru, odpowiedzialność solidarną będą ponosić wyłącznie pozostali zobowiązani. Reguła ta powinna mieć charakter generalny, a więc znajdować się w ordynacji podatkowej, a nie w przepisach szczegółowego prawa podatkowego regulujących konstrukcję poszczególnych podatków.</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Nadmienić należy, iż zobowiązania o charakterze solidarnym występują w podatku dochodowym od osób fizycznych przy łącznym opodatkowaniu małżonków, w zakresie opodatkowania majątku (podatek od nieruchomości, rolny, leśny, od środków transportowych - w przypadku współwłasności lub współposiadania), a także w zakresie podatku od towarów i usług oraz akcyzowego. Odpowiedzialność solidarna występuje także w przypadku osób </w:t>
      </w:r>
      <w:r w:rsidRPr="009A3C86">
        <w:rPr>
          <w:rFonts w:ascii="Times New Roman" w:eastAsia="Times New Roman" w:hAnsi="Times New Roman"/>
          <w:sz w:val="24"/>
          <w:szCs w:val="24"/>
        </w:rPr>
        <w:lastRenderedPageBreak/>
        <w:t>trzecich (w szczególności w zakresie odpowiedzialności za zaległości w podatku od towarów i usług) oraz następców prawnych, jakimi są spadkobiercy, do czasu działu spadku. Przyjąć więc należy, że w większości przypadków nie będzie problemu z ustaleniem, w jakim zakresie zobowiązanie solidarne powinno być pomniejszone. Jak już wskazano przy współwłasności ułamkowej nieruchomości czy środka transportowego, będzie to odpowiednik udziału w prawie własności. Z kolei przy współwłasnościach łącznych należy przyjąć, iż zobowiązanie podatkowe ulega pomniejszeniu w równym zakresie dla każdego z zobowiązanych objętych preferencją. Taka zasada będzie też właściwa w zakresie odpowiedzialności osób trzecich.</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7. Analogiczne jak wskazane wyżej zasady powinny być przyjęte w odniesieniu do ulgi w spłacie zobowiązań podatkowych polegającej na umorzeniu. Przesłanki stosowania tej preferencji mają charakter zasadniczo osobisty (ważny interes podatnika), a instytucja ta zbliżona jest do zwolnienia z długu, o którym mowa w art. 373 k.c. Należy więc wprost wskazać, iż stroną postępowania w sprawie ulgi wszczętego przez jednego z dłużników solidarnych nie są pozostali dłużnicy</w:t>
      </w:r>
      <w:r w:rsidRPr="009A3C86">
        <w:rPr>
          <w:rFonts w:ascii="Times New Roman" w:eastAsia="Times New Roman" w:hAnsi="Times New Roman"/>
          <w:sz w:val="24"/>
          <w:szCs w:val="24"/>
          <w:vertAlign w:val="superscript"/>
        </w:rPr>
        <w:footnoteReference w:id="370"/>
      </w:r>
      <w:r w:rsidRPr="009A3C86">
        <w:rPr>
          <w:rFonts w:ascii="Times New Roman" w:eastAsia="Times New Roman" w:hAnsi="Times New Roman"/>
          <w:sz w:val="24"/>
          <w:szCs w:val="24"/>
        </w:rPr>
        <w:t xml:space="preserve">. Proponuje się więc, aby w przypadku umorzenia stosowanego wobec jednego ze zobowiązanych solidarnie zobowiązanie podatkowe wygasało w zakresie wynikającym z decyzji o umorzeniu, lecz nie wyższym niż przypadający na tego zobowiązanego, a w pozostałym zakresie - aby ciążyło na podmiotach zobowiązanych. Jeżeli natomiast umorzona kwota jest niższa niż przypadająca na podatnika, który uzyskał ulgę, wówczas w odniesieniu do kwoty stanowiącej różnicę pomiędzy kwotą przypadającą na tego podatnika a kwotą umorzoną, solidarną odpowiedzialność będą ponosić wszyscy zobowiązani, w tym również ten, na którego wniosek dokonano częściowego umorzenia (art. </w:t>
      </w:r>
      <w:r w:rsidR="00F21633" w:rsidRPr="009A3C86">
        <w:rPr>
          <w:rFonts w:ascii="Times New Roman" w:eastAsia="Times New Roman" w:hAnsi="Times New Roman"/>
          <w:b/>
          <w:sz w:val="24"/>
          <w:szCs w:val="24"/>
        </w:rPr>
        <w:t xml:space="preserve">296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Nastąpi więc swoiste „rozszczepienie” odpowiedzialności za zobowiązanie o charakterze solidarnym na potrzeby stosowania umorzenia. W zakresie zobowiązania przypadającego na wnioskodawcę częściowe umorzenie będzie skutkowało wyłączeniem jego odpowiedzialności w odniesieniu do tej części zobowiązania, która została mu umorzona. Nie zmienia się natomiast krąg podmiotów odpowiedzialnych za zobowiązanie do kwoty, która stanowi różnicę pomiędzy częścią zobowiązania przypadającą na wnioskodawcę, a umorzoną kwotą - w tym zakresie odpowiedzialność ponoszą wszyscy zobowiązani.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Celem ułatwienia podatnikom zapłaty podatku po zastosowaniu umorzenia wobec jednego ze zobowiązanych solidarnie, proponuje się, aby organ podatkowy zawiadamiał ich zarówno o zastosowaniu ulgi, jak i o kwocie pomniejszającej zobowiązanie podatkowe (art. </w:t>
      </w:r>
      <w:r w:rsidR="003661A7" w:rsidRPr="009A3C86">
        <w:rPr>
          <w:rFonts w:ascii="Times New Roman" w:eastAsia="Times New Roman" w:hAnsi="Times New Roman"/>
          <w:b/>
          <w:sz w:val="24"/>
          <w:szCs w:val="24"/>
        </w:rPr>
        <w:t xml:space="preserve">296 </w:t>
      </w:r>
      <w:r w:rsidRPr="009A3C86">
        <w:rPr>
          <w:rFonts w:ascii="Times New Roman" w:eastAsia="Times New Roman" w:hAnsi="Times New Roman"/>
          <w:b/>
          <w:sz w:val="24"/>
          <w:szCs w:val="24"/>
        </w:rPr>
        <w:t>§ 5</w:t>
      </w:r>
      <w:r w:rsidRPr="009A3C86">
        <w:rPr>
          <w:rFonts w:ascii="Times New Roman" w:eastAsia="Times New Roman" w:hAnsi="Times New Roman"/>
          <w:sz w:val="24"/>
          <w:szCs w:val="24"/>
        </w:rPr>
        <w:t>).</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Konsekwencją projektowanych przepisów będzie to, że wskutek umorzenia tylko wnioskodawca może być uwolniony od obowiązku zapłaty podatku. Jednocześnie, ponieważ umorzenie może dotyczyć całości lub części zobowiązania, organ podatkowy będzie uprawniony do jego zastosowania jedynie w zakresie przypadającym na wnioskodawcę. W pozostałym zakresie każdy z zobowiązanych solidarnie będzie mógł niezależnie od siebie wnosić o umorzenie. </w:t>
      </w:r>
    </w:p>
    <w:p w:rsidR="003B7CF1" w:rsidRPr="009A3C86" w:rsidRDefault="003661A7"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R</w:t>
      </w:r>
      <w:r w:rsidR="003B7CF1" w:rsidRPr="009A3C86">
        <w:rPr>
          <w:rFonts w:ascii="Times New Roman" w:eastAsia="Times New Roman" w:hAnsi="Times New Roman"/>
          <w:sz w:val="24"/>
          <w:szCs w:val="24"/>
        </w:rPr>
        <w:t>ównież w przypadku częściowego zaniechania poboru podatku</w:t>
      </w:r>
      <w:r w:rsidRPr="009A3C86">
        <w:rPr>
          <w:rFonts w:ascii="Times New Roman" w:eastAsia="Times New Roman" w:hAnsi="Times New Roman"/>
          <w:sz w:val="24"/>
          <w:szCs w:val="24"/>
        </w:rPr>
        <w:t xml:space="preserve"> gdy kwota objęta zaniechaniem będzie niższa niż przypadająca proporcjonalnie na podatnika, któremu zaniechano poboru podatku, do wysokości kwoty nie objętej zaniechaniem przypadającej na tego podatnika, solidarną odpowiedzialność ponosić będą wszyscy podatnicy (296 § 4).</w:t>
      </w:r>
      <w:r w:rsidR="003B7CF1" w:rsidRPr="009A3C86">
        <w:rPr>
          <w:rFonts w:ascii="Times New Roman" w:eastAsia="Times New Roman" w:hAnsi="Times New Roman"/>
          <w:sz w:val="24"/>
          <w:szCs w:val="24"/>
        </w:rPr>
        <w:t xml:space="preserve">. </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Na zasadach zbliżonych do udzielania umorzenia proponuje się także ukształtowanie zasad stosowania przy zobowiązaniach solidarnych takich instytucji, jak: odroczenie terminu przewidzianego w przepisach prawa podatkowego, odroczenie terminu płatności oraz rozłożenie na raty. Zgodnie z art. </w:t>
      </w:r>
      <w:r w:rsidR="003661A7" w:rsidRPr="009A3C86">
        <w:rPr>
          <w:rFonts w:ascii="Times New Roman" w:eastAsia="Times New Roman" w:hAnsi="Times New Roman"/>
          <w:b/>
          <w:sz w:val="24"/>
          <w:szCs w:val="24"/>
        </w:rPr>
        <w:t xml:space="preserve">296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projektowanej ustawy zastosowanie tych instytucji wobec jednego z zobowiązanych solidarnie nie wywiera skutku względem pozostałych.</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9. Jednym z nieefektywnych sposobów wygaśnięcia zobowiązania podatkowego będzie w projektowanym akcie przedawnienie poboru podatku. Uzasadnione jest, aby w tych przypadkach, w których przedawnienie poboru podatku uzależnione jest od indywidualnych okoliczności związanych z osobą zobowiązanego, nie wywierały one skutku względem pozostałych zobowiązanych solidarnie. Natomiast w zakresie przedawnienia wymiaru, ze względu na charakter przesłanek zawieszenia biegu jego terminu, ich zaistnienie powinno wpływać na sytuację wszystkich podmiotów, na których ciąży solidarny obowiązek podatkowy.</w:t>
      </w:r>
      <w:r w:rsidRPr="009A3C86">
        <w:rPr>
          <w:rFonts w:ascii="Times New Roman" w:eastAsia="Times New Roman" w:hAnsi="Times New Roman"/>
          <w:sz w:val="24"/>
          <w:szCs w:val="24"/>
          <w:vertAlign w:val="superscript"/>
        </w:rPr>
        <w:t xml:space="preserve"> </w:t>
      </w:r>
      <w:r w:rsidRPr="009A3C86">
        <w:rPr>
          <w:rFonts w:ascii="Times New Roman" w:eastAsia="Times New Roman" w:hAnsi="Times New Roman"/>
          <w:sz w:val="24"/>
          <w:szCs w:val="24"/>
          <w:vertAlign w:val="superscript"/>
        </w:rPr>
        <w:footnoteReference w:id="371"/>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konsekwencji należy przyjąć, iż upływ terminu przedawnienia poboru podatku u jednego z podatników solidarnych, skutkuje wygaśnięciem jego odpowiedzialności za powstałe zobowiązanie (art. </w:t>
      </w:r>
      <w:r w:rsidR="00CE6458" w:rsidRPr="009A3C86">
        <w:rPr>
          <w:rFonts w:ascii="Times New Roman" w:eastAsia="Times New Roman" w:hAnsi="Times New Roman"/>
          <w:b/>
          <w:sz w:val="24"/>
          <w:szCs w:val="24"/>
        </w:rPr>
        <w:t>296</w:t>
      </w:r>
      <w:r w:rsidR="00C015E4" w:rsidRPr="009A3C86">
        <w:rPr>
          <w:rFonts w:ascii="Times New Roman" w:eastAsia="Times New Roman" w:hAnsi="Times New Roman"/>
          <w:sz w:val="24"/>
          <w:szCs w:val="24"/>
        </w:rPr>
        <w:t xml:space="preserve">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Jednakże z tych samych względów, które wskazano w odniesieniu do wyłączenia z opodatkowania, zwolnienia lub zaniechania poboru podatku, należy przyjąć, iż przedawnienie poboru podatku względem jednego z zobowiązanych solidarnie powinno skutkować zmniejszeniem zobowiązania podatkowego w zakresie przypadającym na tego zobowiązanego. Odpowiednio pomniejszone zobowiązanie będzie obciążało w sposób solidarny wyłącznie pozostałych zobowiązanych.</w:t>
      </w:r>
    </w:p>
    <w:p w:rsidR="003B7CF1" w:rsidRPr="009A3C86" w:rsidRDefault="003B7CF1" w:rsidP="003B7CF1">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W związku z tym w projektowanym art. </w:t>
      </w:r>
      <w:r w:rsidR="00C015E4" w:rsidRPr="009A3C86">
        <w:rPr>
          <w:rFonts w:ascii="Times New Roman" w:eastAsia="Times New Roman" w:hAnsi="Times New Roman"/>
          <w:sz w:val="24"/>
          <w:szCs w:val="24"/>
        </w:rPr>
        <w:t xml:space="preserve">296 </w:t>
      </w:r>
      <w:r w:rsidRPr="009A3C86">
        <w:rPr>
          <w:rFonts w:ascii="Times New Roman" w:eastAsia="Times New Roman" w:hAnsi="Times New Roman"/>
          <w:sz w:val="24"/>
          <w:szCs w:val="24"/>
        </w:rPr>
        <w:t>§ 6 przyjęto zasadę, wedle której bez wpływu na przedawnienie zobowiązania pozostałych zobowiązanych solidarnie pozostawałoby:</w:t>
      </w:r>
    </w:p>
    <w:p w:rsidR="003B7CF1" w:rsidRPr="009A3C86" w:rsidRDefault="003B7CF1" w:rsidP="00D72E74">
      <w:pPr>
        <w:numPr>
          <w:ilvl w:val="0"/>
          <w:numId w:val="10"/>
        </w:numPr>
        <w:tabs>
          <w:tab w:val="clear" w:pos="720"/>
          <w:tab w:val="left" w:pos="709"/>
        </w:tabs>
        <w:spacing w:after="0" w:line="360" w:lineRule="auto"/>
        <w:ind w:left="0" w:firstLine="0"/>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wydanie decyzji o udzieleniu ulgi w spłacie lub decyzji o odroczeniu terminu złożenia deklaracji;</w:t>
      </w:r>
    </w:p>
    <w:p w:rsidR="003B7CF1" w:rsidRPr="009A3C86" w:rsidRDefault="003B7CF1" w:rsidP="00D72E74">
      <w:pPr>
        <w:numPr>
          <w:ilvl w:val="0"/>
          <w:numId w:val="10"/>
        </w:numPr>
        <w:tabs>
          <w:tab w:val="clear" w:pos="720"/>
          <w:tab w:val="left" w:pos="709"/>
        </w:tabs>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doręczenie zawiadomienia o przystąpieniu do zabezpieczenia w przypadkach określonych w art. 32a § 3 i art. 35 § 2 ustawy z dnia 17 czerwca 1966 r. o postępowaniu administracyjnym w administracji;</w:t>
      </w:r>
    </w:p>
    <w:p w:rsidR="003B7CF1" w:rsidRPr="009A3C86" w:rsidRDefault="003B7CF1" w:rsidP="00D72E74">
      <w:pPr>
        <w:numPr>
          <w:ilvl w:val="0"/>
          <w:numId w:val="10"/>
        </w:numPr>
        <w:tabs>
          <w:tab w:val="clear" w:pos="720"/>
          <w:tab w:val="left" w:pos="709"/>
        </w:tabs>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ustanowienie  hipoteki lub zastawu;</w:t>
      </w:r>
    </w:p>
    <w:p w:rsidR="003B7CF1" w:rsidRPr="009A3C86" w:rsidRDefault="003B7CF1" w:rsidP="00D72E74">
      <w:pPr>
        <w:numPr>
          <w:ilvl w:val="0"/>
          <w:numId w:val="10"/>
        </w:numPr>
        <w:tabs>
          <w:tab w:val="clear" w:pos="720"/>
          <w:tab w:val="left" w:pos="709"/>
        </w:tabs>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ogłoszenie upadłości podmiotu zobowiązanego lub otwarcie postępowania restrukturyzacyjnego w rozumieniu ustawy z dnia 15 maja 2015 r. – Prawo restrukturyzacyjne;</w:t>
      </w:r>
    </w:p>
    <w:p w:rsidR="003B7CF1" w:rsidRPr="009A3C86" w:rsidRDefault="003B7CF1" w:rsidP="00D72E74">
      <w:pPr>
        <w:numPr>
          <w:ilvl w:val="0"/>
          <w:numId w:val="10"/>
        </w:numPr>
        <w:tabs>
          <w:tab w:val="clear" w:pos="720"/>
          <w:tab w:val="left" w:pos="709"/>
        </w:tabs>
        <w:spacing w:after="0" w:line="360" w:lineRule="auto"/>
        <w:ind w:left="0" w:firstLine="0"/>
        <w:jc w:val="both"/>
        <w:rPr>
          <w:rFonts w:ascii="Times New Roman" w:eastAsia="Times New Roman" w:hAnsi="Times New Roman"/>
          <w:sz w:val="24"/>
          <w:szCs w:val="24"/>
        </w:rPr>
      </w:pPr>
      <w:r w:rsidRPr="009A3C86">
        <w:rPr>
          <w:rFonts w:ascii="Times New Roman" w:eastAsia="Times New Roman" w:hAnsi="Times New Roman"/>
          <w:sz w:val="24"/>
          <w:szCs w:val="24"/>
        </w:rPr>
        <w:t>zastosowanie pierwszego środka egzekucyjnego, o ile podatnikowi doręczono przed upływem terminu przedawnienia poboru zawiadomienie o jego zastosowaniu.</w:t>
      </w:r>
    </w:p>
    <w:p w:rsidR="003B7CF1" w:rsidRPr="009A3C86" w:rsidRDefault="003B7CF1" w:rsidP="00D72E74">
      <w:pPr>
        <w:spacing w:after="12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11. Wynikające z art. </w:t>
      </w:r>
      <w:r w:rsidR="00C015E4" w:rsidRPr="009A3C86">
        <w:rPr>
          <w:rFonts w:ascii="Times New Roman" w:eastAsia="Times New Roman" w:hAnsi="Times New Roman"/>
          <w:sz w:val="24"/>
          <w:szCs w:val="24"/>
        </w:rPr>
        <w:t xml:space="preserve">296 </w:t>
      </w:r>
      <w:r w:rsidRPr="009A3C86">
        <w:rPr>
          <w:rFonts w:ascii="Times New Roman" w:eastAsia="Times New Roman" w:hAnsi="Times New Roman"/>
          <w:sz w:val="24"/>
          <w:szCs w:val="24"/>
        </w:rPr>
        <w:t xml:space="preserve">zasady związane ze stosowaniem preferencji podatkowych oraz skutkami zaistnienia przesłanek zawieszenia i przerwania przedawnienia poboru podatku stosuje się odpowiednio w przypadku solidarnej odpowiedzialności spadkobierców, zapisobierców windykacyjnych oraz osób obciążonych kosztami postępowania. Reguły te, w tym zwłaszcza związane z pomniejszeniem zobowiązania obciążającego pozostałych zobowiązanych, nie dotyczą natomiast osób trzecich. W stosunku do nich odpowiednie zastosowanie znajdzie jedynie art. </w:t>
      </w:r>
      <w:r w:rsidR="00C015E4" w:rsidRPr="009A3C86">
        <w:rPr>
          <w:rFonts w:ascii="Times New Roman" w:eastAsia="Times New Roman" w:hAnsi="Times New Roman"/>
          <w:sz w:val="24"/>
          <w:szCs w:val="24"/>
        </w:rPr>
        <w:t xml:space="preserve">296 </w:t>
      </w:r>
      <w:r w:rsidRPr="009A3C86">
        <w:rPr>
          <w:rFonts w:ascii="Times New Roman" w:eastAsia="Times New Roman" w:hAnsi="Times New Roman"/>
          <w:sz w:val="24"/>
          <w:szCs w:val="24"/>
        </w:rPr>
        <w:t xml:space="preserve">§ 6. </w:t>
      </w:r>
    </w:p>
    <w:p w:rsidR="007A1F05" w:rsidRPr="009A3C86" w:rsidRDefault="007A1F05" w:rsidP="007A1F05">
      <w:pPr>
        <w:tabs>
          <w:tab w:val="num" w:pos="720"/>
        </w:tabs>
        <w:spacing w:after="0" w:line="360" w:lineRule="auto"/>
        <w:jc w:val="both"/>
        <w:outlineLvl w:val="2"/>
        <w:rPr>
          <w:rFonts w:ascii="Times New Roman" w:hAnsi="Times New Roman"/>
          <w:b/>
          <w:bCs/>
          <w:sz w:val="24"/>
          <w:szCs w:val="24"/>
        </w:rPr>
      </w:pPr>
      <w:bookmarkStart w:id="36" w:name="_Toc494363264"/>
      <w:r w:rsidRPr="009A3C86">
        <w:rPr>
          <w:rFonts w:ascii="Times New Roman" w:hAnsi="Times New Roman"/>
          <w:b/>
          <w:bCs/>
          <w:sz w:val="24"/>
          <w:szCs w:val="24"/>
        </w:rPr>
        <w:t xml:space="preserve">Rozdział 14. </w:t>
      </w:r>
      <w:r w:rsidR="00C015E4" w:rsidRPr="009A3C86">
        <w:rPr>
          <w:rFonts w:ascii="Times New Roman" w:hAnsi="Times New Roman"/>
          <w:b/>
          <w:bCs/>
          <w:sz w:val="24"/>
          <w:szCs w:val="24"/>
        </w:rPr>
        <w:t>Informacje podatkowe</w:t>
      </w:r>
      <w:bookmarkEnd w:id="36"/>
    </w:p>
    <w:p w:rsidR="007A1F05" w:rsidRPr="009A3C86" w:rsidRDefault="007A1F05" w:rsidP="007A1F05">
      <w:pPr>
        <w:autoSpaceDE w:val="0"/>
        <w:autoSpaceDN w:val="0"/>
        <w:adjustRightInd w:val="0"/>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1. Proponowane w ordynacji podatkowej rozwiązania utrzymują trzy dotychczasowe tryby przekazywania informacji podatkowych: na pisemne żądanie organu podatkowego, bez wezwania organu podatkowego oraz na zasadach określonych w odrębnych przepisach. Przyjęto koncepcję, że ordynacja podatkowa reguluje generalne zasady, pozostawiając aktom wykonawczym wypełnienie ich szczegółową treścią. Rozważano także przeniesienie regulacji obecnie zawartych w akcie podustawowym do aktu rangi ustawy. Zrezygnowano jednak z takiego rozwiązania, głównie z tego powodu, że zwiększyłoby to znacznie objętość ustawy, a jednocześnie nie zmieniłoby w sposób znaczący pozycji prawnej zobowiązanych do przekazywania informacji. </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2. Na podstawie art. </w:t>
      </w:r>
      <w:r w:rsidR="00EC7C46" w:rsidRPr="009A3C86">
        <w:rPr>
          <w:rFonts w:ascii="Times New Roman" w:hAnsi="Times New Roman"/>
          <w:b/>
          <w:sz w:val="24"/>
          <w:szCs w:val="24"/>
        </w:rPr>
        <w:t xml:space="preserve">298 </w:t>
      </w:r>
      <w:r w:rsidRPr="009A3C86">
        <w:rPr>
          <w:rFonts w:ascii="Times New Roman" w:hAnsi="Times New Roman"/>
          <w:b/>
          <w:sz w:val="24"/>
          <w:szCs w:val="24"/>
        </w:rPr>
        <w:t>§ 1 pkt 1</w:t>
      </w:r>
      <w:r w:rsidRPr="009A3C86">
        <w:rPr>
          <w:rFonts w:ascii="Times New Roman" w:hAnsi="Times New Roman"/>
          <w:sz w:val="24"/>
          <w:szCs w:val="24"/>
        </w:rPr>
        <w:t xml:space="preserve"> do sporządzania i przekazywania informacji mogą zostać zobowiązane wszystkie rodzaje podmiotów, z wyjątkiem osób fizycznych nieprowadzących działalności gospodarczej. Podmioty te nie muszą być (i zwykle nie są) podatnikami w zakresie </w:t>
      </w:r>
      <w:r w:rsidRPr="009A3C86">
        <w:rPr>
          <w:rFonts w:ascii="Times New Roman" w:hAnsi="Times New Roman"/>
          <w:sz w:val="24"/>
          <w:szCs w:val="24"/>
        </w:rPr>
        <w:lastRenderedPageBreak/>
        <w:t xml:space="preserve">podatków, których informacje dotyczą. Treść informacji powinna być natomiast związana z szeroko rozumianym obrotem i stosunkami gospodarczymi. </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Informacje wymagane na podstawie wniosku organu podatkowego muszą być powiązane, przynajmniej potencjalnie, z powstawaniem obowiązku podatkowego lub wymiarem podatku. Organ podatkowy w kierowanym do przedsiębiorcy wniosku obowiązany jest określić zakres żądanych informacji, ale nie musi wskazywać innych szczegółów związanych ze sprawą.</w:t>
      </w:r>
    </w:p>
    <w:p w:rsidR="007A1F05" w:rsidRPr="009A3C86" w:rsidRDefault="007A1F05" w:rsidP="007A1F05">
      <w:pPr>
        <w:autoSpaceDE w:val="0"/>
        <w:autoSpaceDN w:val="0"/>
        <w:adjustRightInd w:val="0"/>
        <w:spacing w:after="0" w:line="360" w:lineRule="auto"/>
        <w:jc w:val="both"/>
        <w:rPr>
          <w:rFonts w:ascii="Times New Roman" w:hAnsi="Times New Roman"/>
          <w:i/>
          <w:sz w:val="24"/>
          <w:szCs w:val="24"/>
        </w:rPr>
      </w:pPr>
      <w:r w:rsidRPr="009A3C86">
        <w:rPr>
          <w:rFonts w:ascii="Times New Roman" w:hAnsi="Times New Roman"/>
          <w:bCs/>
          <w:sz w:val="24"/>
          <w:szCs w:val="24"/>
        </w:rPr>
        <w:t>3.</w:t>
      </w:r>
      <w:r w:rsidRPr="009A3C86">
        <w:rPr>
          <w:rFonts w:ascii="Times New Roman" w:hAnsi="Times New Roman"/>
          <w:sz w:val="24"/>
          <w:szCs w:val="24"/>
        </w:rPr>
        <w:t xml:space="preserve"> Projekt nie zawiera odpowiednika przepisu art. 82 § 2 Ordynacji podatkowej </w:t>
      </w:r>
      <w:r w:rsidR="00CB29FE" w:rsidRPr="009A3C86">
        <w:rPr>
          <w:rFonts w:ascii="Times New Roman" w:hAnsi="Times New Roman"/>
          <w:sz w:val="24"/>
          <w:szCs w:val="24"/>
        </w:rPr>
        <w:t xml:space="preserve">w brzmieniu obowiązującym przed dniem 30 kwietnia 2019 r. </w:t>
      </w:r>
      <w:r w:rsidRPr="009A3C86">
        <w:rPr>
          <w:rFonts w:ascii="Times New Roman" w:hAnsi="Times New Roman"/>
          <w:sz w:val="24"/>
          <w:szCs w:val="24"/>
        </w:rPr>
        <w:t xml:space="preserve">nakładającego na banki i spółdzielcze kasy oszczędnościowo-kredytowe (SKOK-i) obowiązek sporządzania i przekazywania Szefowi Krajowej Administracji Skarbowej, w formie dokumentu elektronicznego, w określonych terminach, informacji o otwartych i zamkniętych rachunkach bankowych związanych z prowadzeniem działalności gospodarczej. Powyższe informacje są przekazywane przez banki i SKOK-i w ramach systemu STIR na podstawie art. </w:t>
      </w:r>
      <w:r w:rsidR="00BA4699">
        <w:rPr>
          <w:rFonts w:ascii="Times New Roman" w:hAnsi="Times New Roman"/>
          <w:sz w:val="24"/>
          <w:szCs w:val="24"/>
        </w:rPr>
        <w:t>711</w:t>
      </w:r>
      <w:r w:rsidR="009253E6" w:rsidRPr="009A3C86">
        <w:rPr>
          <w:rFonts w:ascii="Times New Roman" w:hAnsi="Times New Roman"/>
          <w:sz w:val="24"/>
          <w:szCs w:val="24"/>
        </w:rPr>
        <w:t xml:space="preserve"> </w:t>
      </w:r>
      <w:r w:rsidRPr="009A3C86">
        <w:rPr>
          <w:rFonts w:ascii="Times New Roman" w:hAnsi="Times New Roman"/>
          <w:sz w:val="24"/>
          <w:szCs w:val="24"/>
        </w:rPr>
        <w:t xml:space="preserve">pkt 1 Ordynacji podatkowej w terminach określonych w art. </w:t>
      </w:r>
      <w:r w:rsidR="00BA4699">
        <w:rPr>
          <w:rFonts w:ascii="Times New Roman" w:hAnsi="Times New Roman"/>
          <w:sz w:val="24"/>
          <w:szCs w:val="24"/>
        </w:rPr>
        <w:t>710</w:t>
      </w:r>
      <w:r w:rsidR="009253E6" w:rsidRPr="009A3C86">
        <w:rPr>
          <w:rFonts w:ascii="Times New Roman" w:hAnsi="Times New Roman"/>
          <w:sz w:val="24"/>
          <w:szCs w:val="24"/>
        </w:rPr>
        <w:t xml:space="preserve"> </w:t>
      </w:r>
      <w:r w:rsidRPr="009A3C86">
        <w:rPr>
          <w:rFonts w:ascii="Times New Roman" w:hAnsi="Times New Roman"/>
          <w:sz w:val="24"/>
          <w:szCs w:val="24"/>
        </w:rPr>
        <w:t>§ 1 pkt 1 i § 2 pkt 1 tej ustawy. Aby uniknąć podwójnego raportowania tych samych informacji zrezygnowano z wprowadzenia do projektu odpowiednika § 2 w art. 82 Ordynacji podatkowej i innych przepisów z nim związanych (art. 82 § 2c, § 7 i § 8 o.p.).</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bCs/>
          <w:sz w:val="24"/>
          <w:szCs w:val="24"/>
        </w:rPr>
        <w:t>4.</w:t>
      </w:r>
      <w:r w:rsidRPr="009A3C86">
        <w:rPr>
          <w:rFonts w:ascii="Times New Roman" w:hAnsi="Times New Roman"/>
          <w:sz w:val="24"/>
          <w:szCs w:val="24"/>
        </w:rPr>
        <w:t xml:space="preserve"> Jednostki organizacyjne ZUS, na pisemne żądanie urzędu skarbowego i naczelnika urzędu celno-skarbowego, sporządzają i przekazują informacje o składkach na ubezpieczenie społeczne. Informacje mogą dotyczyć i ubezpieczonego, i płatnika składek. Przedmiotem informacji mogą być tylko składki (wysokość, pobór, stanu rachunku), a nie inne finansowe aspekty ubezpieczenia społecznego (art. </w:t>
      </w:r>
      <w:r w:rsidR="009253E6" w:rsidRPr="009A3C86">
        <w:rPr>
          <w:rFonts w:ascii="Times New Roman" w:hAnsi="Times New Roman"/>
          <w:b/>
          <w:sz w:val="24"/>
          <w:szCs w:val="24"/>
        </w:rPr>
        <w:t xml:space="preserve">298 </w:t>
      </w:r>
      <w:r w:rsidRPr="009A3C86">
        <w:rPr>
          <w:rFonts w:ascii="Times New Roman" w:hAnsi="Times New Roman"/>
          <w:b/>
          <w:sz w:val="24"/>
          <w:szCs w:val="24"/>
        </w:rPr>
        <w:t xml:space="preserve">§ </w:t>
      </w:r>
      <w:r w:rsidR="009253E6" w:rsidRPr="009A3C86">
        <w:rPr>
          <w:rFonts w:ascii="Times New Roman" w:hAnsi="Times New Roman"/>
          <w:b/>
          <w:sz w:val="24"/>
          <w:szCs w:val="24"/>
        </w:rPr>
        <w:t>4</w:t>
      </w:r>
      <w:r w:rsidRPr="009A3C86">
        <w:rPr>
          <w:rFonts w:ascii="Times New Roman" w:hAnsi="Times New Roman"/>
          <w:sz w:val="24"/>
          <w:szCs w:val="24"/>
        </w:rPr>
        <w:t>).</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bCs/>
          <w:sz w:val="24"/>
          <w:szCs w:val="24"/>
        </w:rPr>
        <w:t xml:space="preserve">5. </w:t>
      </w:r>
      <w:r w:rsidRPr="009A3C86">
        <w:rPr>
          <w:rFonts w:ascii="Times New Roman" w:hAnsi="Times New Roman"/>
          <w:sz w:val="24"/>
          <w:szCs w:val="24"/>
        </w:rPr>
        <w:t xml:space="preserve">Obowiązek informacyjny określony w art. </w:t>
      </w:r>
      <w:r w:rsidR="009253E6" w:rsidRPr="009A3C86">
        <w:rPr>
          <w:rFonts w:ascii="Times New Roman" w:hAnsi="Times New Roman"/>
          <w:b/>
          <w:sz w:val="24"/>
          <w:szCs w:val="24"/>
        </w:rPr>
        <w:t>299</w:t>
      </w:r>
      <w:r w:rsidR="009253E6" w:rsidRPr="009A3C86">
        <w:rPr>
          <w:rFonts w:ascii="Times New Roman" w:hAnsi="Times New Roman"/>
          <w:sz w:val="24"/>
          <w:szCs w:val="24"/>
        </w:rPr>
        <w:t xml:space="preserve"> </w:t>
      </w:r>
      <w:r w:rsidRPr="009A3C86">
        <w:rPr>
          <w:rFonts w:ascii="Times New Roman" w:hAnsi="Times New Roman"/>
          <w:sz w:val="24"/>
          <w:szCs w:val="24"/>
        </w:rPr>
        <w:t xml:space="preserve">obciąża podmioty (osoby prawne, jednostki organizacyjne niemające osobowości prawnej i osoby fizyczne prowadzące działalność gospodarczą), na rzecz których świadczone są usługi lub praca, jeżeli należność za te świadczenia wypłacana jest przez nierezydentów osobom fizycznym będącym nierezydentami. Obowiązek ten dotyczy sytuacji, gdy w świetle umów międzynarodowych wynagrodzenie to może mieć wpływ na powstanie w Polsce obowiązku podatkowego lub wysokość wymierzanego w Polsce zobowiązania podatkowego osoby otrzymującej wynagrodzenie, oraz każdego przypadku, gdy nierezydent wypłacający wynagrodzenie pozostaje  w określonych w art. </w:t>
      </w:r>
      <w:r w:rsidR="00BB5CA4" w:rsidRPr="009A3C86">
        <w:rPr>
          <w:rFonts w:ascii="Times New Roman" w:hAnsi="Times New Roman"/>
          <w:sz w:val="24"/>
          <w:szCs w:val="24"/>
        </w:rPr>
        <w:t xml:space="preserve">299 </w:t>
      </w:r>
      <w:r w:rsidRPr="009A3C86">
        <w:rPr>
          <w:rFonts w:ascii="Times New Roman" w:hAnsi="Times New Roman"/>
          <w:sz w:val="24"/>
          <w:szCs w:val="24"/>
        </w:rPr>
        <w:t>§ 1 pkt 2 związkach kapitałowych lub zarządczych.</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bCs/>
          <w:sz w:val="24"/>
          <w:szCs w:val="24"/>
        </w:rPr>
        <w:t xml:space="preserve">6. </w:t>
      </w:r>
      <w:r w:rsidRPr="009A3C86">
        <w:rPr>
          <w:rFonts w:ascii="Times New Roman" w:hAnsi="Times New Roman"/>
          <w:sz w:val="24"/>
          <w:szCs w:val="24"/>
        </w:rPr>
        <w:t xml:space="preserve">Na podstawie art. </w:t>
      </w:r>
      <w:r w:rsidR="00BB5CA4" w:rsidRPr="009A3C86">
        <w:rPr>
          <w:rFonts w:ascii="Times New Roman" w:hAnsi="Times New Roman"/>
          <w:b/>
          <w:sz w:val="24"/>
          <w:szCs w:val="24"/>
        </w:rPr>
        <w:t>302</w:t>
      </w:r>
      <w:r w:rsidR="00BB5CA4" w:rsidRPr="009A3C86">
        <w:rPr>
          <w:rFonts w:ascii="Times New Roman" w:hAnsi="Times New Roman"/>
          <w:sz w:val="24"/>
          <w:szCs w:val="24"/>
        </w:rPr>
        <w:t xml:space="preserve"> </w:t>
      </w:r>
      <w:r w:rsidRPr="009A3C86">
        <w:rPr>
          <w:rFonts w:ascii="Times New Roman" w:hAnsi="Times New Roman"/>
          <w:sz w:val="24"/>
          <w:szCs w:val="24"/>
        </w:rPr>
        <w:t xml:space="preserve">sądy, komornicy sądowi oraz notariusze są obowiązani sporządzać oraz przekazywać właściwym organom podatkowym informacje wynikające ze zdarzeń prawnych, które mogą spowodować powstanie zobowiązania podatkowego. W wykonaniu </w:t>
      </w:r>
      <w:r w:rsidRPr="009A3C86">
        <w:rPr>
          <w:rFonts w:ascii="Times New Roman" w:hAnsi="Times New Roman"/>
          <w:sz w:val="24"/>
          <w:szCs w:val="24"/>
        </w:rPr>
        <w:lastRenderedPageBreak/>
        <w:t>upoważnienia ustawowego minister właściwy do spraw finansów publicznych w porozumieniu z ministrem sprawiedliwości określi szczegółowe zasady oraz zakres przekazywanych informacji.</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7. Projekt zachował szerokie upoważnienie ustawowe zawarte w art. </w:t>
      </w:r>
      <w:r w:rsidR="007E143B" w:rsidRPr="009A3C86">
        <w:rPr>
          <w:rFonts w:ascii="Times New Roman" w:hAnsi="Times New Roman"/>
          <w:b/>
          <w:sz w:val="24"/>
          <w:szCs w:val="24"/>
        </w:rPr>
        <w:t>303</w:t>
      </w:r>
      <w:r w:rsidR="007E143B" w:rsidRPr="009A3C86">
        <w:rPr>
          <w:rFonts w:ascii="Times New Roman" w:hAnsi="Times New Roman"/>
          <w:sz w:val="24"/>
          <w:szCs w:val="24"/>
        </w:rPr>
        <w:t xml:space="preserve"> </w:t>
      </w:r>
      <w:r w:rsidRPr="009A3C86">
        <w:rPr>
          <w:rFonts w:ascii="Times New Roman" w:hAnsi="Times New Roman"/>
          <w:sz w:val="24"/>
          <w:szCs w:val="24"/>
        </w:rPr>
        <w:t>(będące odpowiednikiem art. 85 o.p.). Upoważnienie to było przedmiotem analizy Trybunału Konstytucyjnego i nie stwierdzono niezgodności z normami konstytucyjnymi. Z tego  upoważnienia  skorzystano w  rozporządzeniu z 24.12.2002 r. w sprawie informacji podatkowych. W rozporządzeniu tym określono m.in.:</w:t>
      </w:r>
      <w:r w:rsidRPr="009A3C86">
        <w:rPr>
          <w:rFonts w:ascii="Times New Roman" w:hAnsi="Times New Roman"/>
          <w:sz w:val="24"/>
          <w:szCs w:val="24"/>
          <w:lang w:eastAsia="pl-PL"/>
        </w:rPr>
        <w:t>1)</w:t>
      </w:r>
      <w:r w:rsidRPr="009A3C86">
        <w:rPr>
          <w:rFonts w:ascii="Times New Roman" w:hAnsi="Times New Roman"/>
          <w:sz w:val="24"/>
          <w:szCs w:val="24"/>
        </w:rPr>
        <w:t xml:space="preserve"> </w:t>
      </w:r>
      <w:r w:rsidRPr="009A3C86">
        <w:rPr>
          <w:rFonts w:ascii="Times New Roman" w:hAnsi="Times New Roman"/>
          <w:sz w:val="24"/>
          <w:szCs w:val="24"/>
          <w:lang w:eastAsia="pl-PL"/>
        </w:rPr>
        <w:t>grupy podmiotów obowiązanych do składania informacji o umowach cywilnoprawnych albo z zakresu prawa pracy, zakres danych zawartych w tych informacjach, a także szczegółowe zasady oraz termin i tryb ich sporządzania i przekazywania;</w:t>
      </w:r>
      <w:r w:rsidRPr="009A3C86">
        <w:rPr>
          <w:rFonts w:ascii="Times New Roman" w:hAnsi="Times New Roman"/>
          <w:sz w:val="24"/>
          <w:szCs w:val="24"/>
        </w:rPr>
        <w:t xml:space="preserve"> </w:t>
      </w:r>
      <w:r w:rsidRPr="009A3C86">
        <w:rPr>
          <w:rFonts w:ascii="Times New Roman" w:hAnsi="Times New Roman"/>
          <w:sz w:val="24"/>
          <w:szCs w:val="24"/>
          <w:lang w:eastAsia="pl-PL"/>
        </w:rPr>
        <w:t>2)</w:t>
      </w:r>
      <w:r w:rsidRPr="009A3C86">
        <w:rPr>
          <w:rFonts w:ascii="Times New Roman" w:hAnsi="Times New Roman"/>
          <w:sz w:val="24"/>
          <w:szCs w:val="24"/>
        </w:rPr>
        <w:t xml:space="preserve"> </w:t>
      </w:r>
      <w:r w:rsidRPr="009A3C86">
        <w:rPr>
          <w:rFonts w:ascii="Times New Roman" w:hAnsi="Times New Roman"/>
          <w:sz w:val="24"/>
          <w:szCs w:val="24"/>
          <w:lang w:eastAsia="pl-PL"/>
        </w:rPr>
        <w:t>przypadki, w których składane są informacje podatkowe o umowach zawartych z nierezydentami, zakres tych informacji oraz szczegółowe zasady, termin i tryb ich sporządzania i przekazywania;</w:t>
      </w:r>
      <w:r w:rsidRPr="009A3C86">
        <w:rPr>
          <w:rFonts w:ascii="Times New Roman" w:hAnsi="Times New Roman"/>
          <w:sz w:val="24"/>
          <w:szCs w:val="24"/>
        </w:rPr>
        <w:t xml:space="preserve"> </w:t>
      </w:r>
      <w:r w:rsidRPr="009A3C86">
        <w:rPr>
          <w:rFonts w:ascii="Times New Roman" w:hAnsi="Times New Roman"/>
          <w:sz w:val="24"/>
          <w:szCs w:val="24"/>
          <w:lang w:eastAsia="pl-PL"/>
        </w:rPr>
        <w:t>3)</w:t>
      </w:r>
      <w:r w:rsidRPr="009A3C86">
        <w:rPr>
          <w:rFonts w:ascii="Times New Roman" w:hAnsi="Times New Roman"/>
          <w:sz w:val="24"/>
          <w:szCs w:val="24"/>
        </w:rPr>
        <w:t xml:space="preserve"> </w:t>
      </w:r>
      <w:r w:rsidRPr="009A3C86">
        <w:rPr>
          <w:rFonts w:ascii="Times New Roman" w:hAnsi="Times New Roman"/>
          <w:sz w:val="24"/>
          <w:szCs w:val="24"/>
          <w:lang w:eastAsia="pl-PL"/>
        </w:rPr>
        <w:t>organy administracji rządowej i samorządowej obowiązane do przekazywania informacji podatkowych bez wezwania przez organ podatkowy, zakres tych informacji, a także tryb ich sporządzania oraz terminy przekazywania.</w:t>
      </w:r>
      <w:r w:rsidRPr="009A3C86">
        <w:rPr>
          <w:rFonts w:ascii="Times New Roman" w:hAnsi="Times New Roman"/>
          <w:sz w:val="24"/>
          <w:szCs w:val="24"/>
        </w:rPr>
        <w:t xml:space="preserve"> Zatem obawa, że upoważnienie to będzie nadużywane wydaje się nieuzasadniona. </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 8. Wprowadzenie przedawnienia wymiaru oraz przedawnienia poboru, znalazło swoje odzwierciedlenie w terminach przechowywania dokumentacji podatkowej. W przypadku podatników, księgi i związane z ich prowadzeniem dokumenty przechowywane będą do upływu terminu przedawnienia wymiaru, chyba że organ podatkowy doręczył w tym okresie decyzję wymiarową (art. </w:t>
      </w:r>
      <w:r w:rsidR="007E143B" w:rsidRPr="009A3C86">
        <w:rPr>
          <w:rFonts w:ascii="Times New Roman" w:hAnsi="Times New Roman"/>
          <w:b/>
          <w:sz w:val="24"/>
          <w:szCs w:val="24"/>
        </w:rPr>
        <w:t>304</w:t>
      </w:r>
      <w:r w:rsidRPr="009A3C86">
        <w:rPr>
          <w:rFonts w:ascii="Times New Roman" w:hAnsi="Times New Roman"/>
          <w:sz w:val="24"/>
          <w:szCs w:val="24"/>
        </w:rPr>
        <w:t>). Doręczenie decyzji, mając na uwadze np. możliwość zastosowania w tym zakresie trybów nadzwyczajnych, uzasadnia przedłużenie terminu przechowywania ksiąg i dokumentów do upływu terminu przedawnienia poboru.</w:t>
      </w:r>
    </w:p>
    <w:p w:rsidR="007A1F05" w:rsidRPr="009A3C86" w:rsidRDefault="007A1F05"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9. Utrzymane zostaną dotychczasowe zasady przechowywania dokumentów związanych z poborem lub inkasem, przez płatników i inkasentów (art. </w:t>
      </w:r>
      <w:r w:rsidR="00510894" w:rsidRPr="009A3C86">
        <w:rPr>
          <w:rFonts w:ascii="Times New Roman" w:hAnsi="Times New Roman"/>
          <w:b/>
          <w:sz w:val="24"/>
          <w:szCs w:val="24"/>
        </w:rPr>
        <w:t>305</w:t>
      </w:r>
      <w:r w:rsidRPr="009A3C86">
        <w:rPr>
          <w:rFonts w:ascii="Times New Roman" w:hAnsi="Times New Roman"/>
          <w:sz w:val="24"/>
          <w:szCs w:val="24"/>
        </w:rPr>
        <w:t>). Dokumenty przechowywane będą do upływu okresu przedawnienia poboru.</w:t>
      </w:r>
    </w:p>
    <w:p w:rsidR="005F6AB7" w:rsidRPr="009A3C86" w:rsidRDefault="005F6AB7" w:rsidP="00D72E74">
      <w:pPr>
        <w:keepNext/>
        <w:keepLines/>
        <w:spacing w:before="120" w:after="0" w:line="360" w:lineRule="auto"/>
        <w:jc w:val="both"/>
        <w:outlineLvl w:val="0"/>
        <w:rPr>
          <w:rFonts w:ascii="Times New Roman" w:hAnsi="Times New Roman"/>
          <w:b/>
          <w:sz w:val="24"/>
          <w:szCs w:val="24"/>
        </w:rPr>
      </w:pPr>
      <w:r w:rsidRPr="009A3C86">
        <w:rPr>
          <w:rFonts w:ascii="Times New Roman" w:hAnsi="Times New Roman"/>
          <w:b/>
          <w:sz w:val="24"/>
          <w:szCs w:val="24"/>
        </w:rPr>
        <w:t>Rozdział 15. Obowiązek przekazywania organom podatkowym informacji o schematach podatkowych (MDR)</w:t>
      </w:r>
    </w:p>
    <w:p w:rsidR="00D62378" w:rsidRPr="009A3C86" w:rsidRDefault="005F6AB7" w:rsidP="005F6AB7">
      <w:pPr>
        <w:keepNext/>
        <w:keepLines/>
        <w:spacing w:after="0" w:line="360" w:lineRule="auto"/>
        <w:jc w:val="both"/>
        <w:outlineLvl w:val="1"/>
        <w:rPr>
          <w:rFonts w:ascii="Times New Roman" w:hAnsi="Times New Roman"/>
          <w:b/>
          <w:sz w:val="24"/>
          <w:szCs w:val="24"/>
        </w:rPr>
      </w:pPr>
      <w:r w:rsidRPr="009A3C86">
        <w:rPr>
          <w:rFonts w:ascii="Times New Roman" w:hAnsi="Times New Roman"/>
          <w:b/>
          <w:sz w:val="24"/>
          <w:szCs w:val="24"/>
        </w:rPr>
        <w:t>Część ogólna</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Rozdział 15 </w:t>
      </w:r>
      <w:r w:rsidR="00510894" w:rsidRPr="009A3C86">
        <w:rPr>
          <w:rFonts w:ascii="Times New Roman" w:eastAsiaTheme="minorHAnsi" w:hAnsi="Times New Roman"/>
          <w:sz w:val="24"/>
          <w:szCs w:val="24"/>
        </w:rPr>
        <w:t xml:space="preserve">projektowanej ustawy </w:t>
      </w:r>
      <w:r w:rsidRPr="009A3C86">
        <w:rPr>
          <w:rFonts w:ascii="Times New Roman" w:eastAsiaTheme="minorHAnsi" w:hAnsi="Times New Roman"/>
          <w:sz w:val="24"/>
          <w:szCs w:val="24"/>
        </w:rPr>
        <w:t>powiela przepisy rozdziału 11a działu III obowiązującej Ordynacji podatkowej, który został dodany ustawą z dnia 23 października 2018 r.</w:t>
      </w:r>
      <w:r w:rsidRPr="009A3C86">
        <w:rPr>
          <w:rFonts w:asciiTheme="minorHAnsi" w:eastAsiaTheme="minorHAnsi" w:hAnsiTheme="minorHAnsi" w:cstheme="minorBidi"/>
        </w:rPr>
        <w:t xml:space="preserve"> </w:t>
      </w:r>
      <w:r w:rsidRPr="009A3C86">
        <w:rPr>
          <w:rFonts w:ascii="Times New Roman" w:eastAsiaTheme="minorHAnsi" w:hAnsi="Times New Roman"/>
          <w:i/>
          <w:sz w:val="24"/>
          <w:szCs w:val="24"/>
        </w:rPr>
        <w:t>o zmianie ustawy o podatku dochodowym od osób fizycznych, ustawy o podatku dochodowym od osób prawnych, ustawy – Ordynacja podatkowa oraz niektórych innych ustaw</w:t>
      </w:r>
      <w:r w:rsidRPr="009A3C86">
        <w:rPr>
          <w:rFonts w:ascii="Times New Roman" w:eastAsiaTheme="minorHAnsi" w:hAnsi="Times New Roman"/>
          <w:sz w:val="24"/>
          <w:szCs w:val="24"/>
        </w:rPr>
        <w:t xml:space="preserve"> (Dz. U. poz. 2193). </w:t>
      </w:r>
      <w:r w:rsidRPr="009A3C86">
        <w:rPr>
          <w:rFonts w:ascii="Times New Roman" w:eastAsiaTheme="minorHAnsi" w:hAnsi="Times New Roman"/>
          <w:sz w:val="24"/>
          <w:szCs w:val="24"/>
        </w:rPr>
        <w:lastRenderedPageBreak/>
        <w:t>Przepisy te wprowadziły do przepisów ogólnego prawa podatkowego now</w:t>
      </w:r>
      <w:r w:rsidR="007853C6" w:rsidRPr="009A3C86">
        <w:rPr>
          <w:rFonts w:ascii="Times New Roman" w:eastAsiaTheme="minorHAnsi" w:hAnsi="Times New Roman"/>
          <w:sz w:val="24"/>
          <w:szCs w:val="24"/>
        </w:rPr>
        <w:t>ą</w:t>
      </w:r>
      <w:r w:rsidRPr="009A3C86">
        <w:rPr>
          <w:rFonts w:ascii="Times New Roman" w:eastAsiaTheme="minorHAnsi" w:hAnsi="Times New Roman"/>
          <w:sz w:val="24"/>
          <w:szCs w:val="24"/>
        </w:rPr>
        <w:t xml:space="preserve"> instytucj</w:t>
      </w:r>
      <w:r w:rsidR="007853C6" w:rsidRPr="009A3C86">
        <w:rPr>
          <w:rFonts w:ascii="Times New Roman" w:eastAsiaTheme="minorHAnsi" w:hAnsi="Times New Roman"/>
          <w:sz w:val="24"/>
          <w:szCs w:val="24"/>
        </w:rPr>
        <w:t>ę tj.</w:t>
      </w:r>
      <w:r w:rsidRPr="009A3C86">
        <w:rPr>
          <w:rFonts w:ascii="Times New Roman" w:eastAsiaTheme="minorHAnsi" w:hAnsi="Times New Roman"/>
          <w:sz w:val="24"/>
          <w:szCs w:val="24"/>
        </w:rPr>
        <w:t xml:space="preserve"> – obowiąze</w:t>
      </w:r>
      <w:r w:rsidR="007853C6" w:rsidRPr="009A3C86">
        <w:rPr>
          <w:rFonts w:ascii="Times New Roman" w:eastAsiaTheme="minorHAnsi" w:hAnsi="Times New Roman"/>
          <w:sz w:val="24"/>
          <w:szCs w:val="24"/>
        </w:rPr>
        <w:t>k</w:t>
      </w:r>
      <w:r w:rsidRPr="009A3C86">
        <w:rPr>
          <w:rFonts w:ascii="Times New Roman" w:eastAsiaTheme="minorHAnsi" w:hAnsi="Times New Roman"/>
          <w:sz w:val="24"/>
          <w:szCs w:val="24"/>
        </w:rPr>
        <w:t xml:space="preserve"> ujawniania informacji o schematach podatkowych (ang. </w:t>
      </w:r>
      <w:r w:rsidRPr="009A3C86">
        <w:rPr>
          <w:rFonts w:ascii="Times New Roman" w:eastAsiaTheme="minorHAnsi" w:hAnsi="Times New Roman" w:cstheme="minorBidi"/>
          <w:i/>
          <w:sz w:val="24"/>
          <w:szCs w:val="24"/>
        </w:rPr>
        <w:t xml:space="preserve">Mandatory Disclosure Rules – </w:t>
      </w:r>
      <w:r w:rsidRPr="009A3C86">
        <w:rPr>
          <w:rFonts w:ascii="Times New Roman" w:eastAsiaTheme="minorHAnsi" w:hAnsi="Times New Roman"/>
          <w:sz w:val="24"/>
          <w:szCs w:val="24"/>
        </w:rPr>
        <w:t xml:space="preserve">dalej: </w:t>
      </w:r>
      <w:r w:rsidRPr="009A3C86">
        <w:rPr>
          <w:rFonts w:ascii="Times New Roman" w:eastAsiaTheme="minorHAnsi" w:hAnsi="Times New Roman" w:cstheme="minorBidi"/>
          <w:b/>
          <w:sz w:val="24"/>
          <w:szCs w:val="24"/>
        </w:rPr>
        <w:t>MDR</w:t>
      </w:r>
      <w:r w:rsidRPr="009A3C86">
        <w:rPr>
          <w:rFonts w:ascii="Times New Roman" w:eastAsiaTheme="minorHAnsi" w:hAnsi="Times New Roman"/>
          <w:sz w:val="24"/>
          <w:szCs w:val="24"/>
        </w:rPr>
        <w:t>)</w:t>
      </w:r>
      <w:r w:rsidR="007853C6" w:rsidRPr="009A3C86">
        <w:rPr>
          <w:rFonts w:ascii="Times New Roman" w:eastAsiaTheme="minorHAnsi" w:hAnsi="Times New Roman"/>
          <w:sz w:val="24"/>
          <w:szCs w:val="24"/>
        </w:rPr>
        <w:t>.Jest to</w:t>
      </w:r>
      <w:r w:rsidRPr="009A3C86">
        <w:rPr>
          <w:rFonts w:ascii="Times New Roman" w:eastAsiaTheme="minorHAnsi" w:hAnsi="Times New Roman"/>
          <w:sz w:val="24"/>
          <w:szCs w:val="24"/>
        </w:rPr>
        <w:t xml:space="preserve">  częściow</w:t>
      </w:r>
      <w:r w:rsidR="007853C6" w:rsidRPr="009A3C86">
        <w:rPr>
          <w:rFonts w:ascii="Times New Roman" w:eastAsiaTheme="minorHAnsi" w:hAnsi="Times New Roman"/>
          <w:sz w:val="24"/>
          <w:szCs w:val="24"/>
        </w:rPr>
        <w:t>a</w:t>
      </w:r>
      <w:r w:rsidRPr="009A3C86">
        <w:rPr>
          <w:rFonts w:ascii="Times New Roman" w:eastAsiaTheme="minorHAnsi" w:hAnsi="Times New Roman"/>
          <w:sz w:val="24"/>
          <w:szCs w:val="24"/>
        </w:rPr>
        <w:t xml:space="preserve"> transpozycj</w:t>
      </w:r>
      <w:r w:rsidR="007853C6" w:rsidRPr="009A3C86">
        <w:rPr>
          <w:rFonts w:ascii="Times New Roman" w:eastAsiaTheme="minorHAnsi" w:hAnsi="Times New Roman"/>
          <w:sz w:val="24"/>
          <w:szCs w:val="24"/>
        </w:rPr>
        <w:t>a</w:t>
      </w:r>
      <w:r w:rsidRPr="009A3C86">
        <w:rPr>
          <w:rFonts w:ascii="Times New Roman" w:eastAsiaTheme="minorHAnsi" w:hAnsi="Times New Roman"/>
          <w:sz w:val="24"/>
          <w:szCs w:val="24"/>
        </w:rPr>
        <w:t xml:space="preserve"> dyrektywy Rady (UE) 2018/822 z dnia 25 maja 2018 r. zmieniająca dyrektywę 2011/16/UE w zakresie obowiązkowej automatycznej wymiany informacji w dziedzinie opodatkowania w odniesieniu do podlegających zgłoszeniu uzgodnień transgranicznych (dalej: </w:t>
      </w:r>
      <w:r w:rsidRPr="009A3C86">
        <w:rPr>
          <w:rFonts w:ascii="Times New Roman" w:eastAsiaTheme="minorHAnsi" w:hAnsi="Times New Roman" w:cstheme="minorBidi"/>
          <w:b/>
          <w:sz w:val="24"/>
          <w:szCs w:val="24"/>
        </w:rPr>
        <w:t>Dyrektywa</w:t>
      </w:r>
      <w:r w:rsidRPr="009A3C86">
        <w:rPr>
          <w:rFonts w:ascii="Times New Roman" w:eastAsiaTheme="minorHAnsi" w:hAnsi="Times New Roman"/>
          <w:sz w:val="24"/>
          <w:szCs w:val="24"/>
        </w:rPr>
        <w:t xml:space="preserve">). </w:t>
      </w:r>
      <w:r w:rsidR="007853C6" w:rsidRPr="009A3C86">
        <w:rPr>
          <w:rFonts w:ascii="Times New Roman" w:eastAsiaTheme="minorHAnsi" w:hAnsi="Times New Roman"/>
          <w:sz w:val="24"/>
          <w:szCs w:val="24"/>
        </w:rPr>
        <w:t xml:space="preserve">Działania na forum UE są odpowiedzią na Wytyczne OECD przygotowane w ramach BEPS. W 2015 r. opublikowano końcowy Raport BEPS 12, w którym rekomenduje się określenie obowiązków raportowania do organów podatkowych schematów optymalizacyjnych.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Na wzór obecnie obowiązujących rozwiązań projekt NOP przewiduje w szczególności:</w:t>
      </w:r>
    </w:p>
    <w:p w:rsidR="00D62378" w:rsidRPr="009A3C86" w:rsidRDefault="00D62378" w:rsidP="00D62378">
      <w:pPr>
        <w:numPr>
          <w:ilvl w:val="0"/>
          <w:numId w:val="53"/>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określenie definicji schematu podatkowego oraz przesłanek raportowania,</w:t>
      </w:r>
    </w:p>
    <w:p w:rsidR="00D62378" w:rsidRPr="009A3C86" w:rsidRDefault="00D62378" w:rsidP="00D62378">
      <w:pPr>
        <w:numPr>
          <w:ilvl w:val="0"/>
          <w:numId w:val="53"/>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wskazanie kręgu podmiotów obowiązanych do przekazywania informacji,</w:t>
      </w:r>
    </w:p>
    <w:p w:rsidR="00D62378" w:rsidRPr="009A3C86" w:rsidRDefault="00D62378" w:rsidP="00D62378">
      <w:pPr>
        <w:numPr>
          <w:ilvl w:val="0"/>
          <w:numId w:val="53"/>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określenie organu podatkowego, do którego będą kierowane informacje,</w:t>
      </w:r>
    </w:p>
    <w:p w:rsidR="00D62378" w:rsidRPr="009A3C86" w:rsidRDefault="00D62378" w:rsidP="00D62378">
      <w:pPr>
        <w:numPr>
          <w:ilvl w:val="0"/>
          <w:numId w:val="53"/>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zakres raportowanych informacji,</w:t>
      </w:r>
    </w:p>
    <w:p w:rsidR="00D62378" w:rsidRPr="009A3C86" w:rsidRDefault="00D62378" w:rsidP="00D62378">
      <w:pPr>
        <w:numPr>
          <w:ilvl w:val="0"/>
          <w:numId w:val="53"/>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sposób i termin raportowania,</w:t>
      </w:r>
    </w:p>
    <w:p w:rsidR="00D62378" w:rsidRPr="009A3C86" w:rsidRDefault="00D62378" w:rsidP="00D62378">
      <w:pPr>
        <w:numPr>
          <w:ilvl w:val="0"/>
          <w:numId w:val="53"/>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konsekwencje karne niewypełnienia tego obowiązku przez podmioty obowiązane. </w:t>
      </w:r>
    </w:p>
    <w:p w:rsidR="00D62378" w:rsidRPr="009A3C86" w:rsidRDefault="00D62378" w:rsidP="00D62378">
      <w:pPr>
        <w:spacing w:before="120"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Za </w:t>
      </w:r>
      <w:r w:rsidR="007853C6" w:rsidRPr="009A3C86">
        <w:rPr>
          <w:rFonts w:ascii="Times New Roman" w:eastAsia="Times New Roman" w:hAnsi="Times New Roman"/>
          <w:sz w:val="24"/>
          <w:szCs w:val="24"/>
          <w:lang w:eastAsia="pl-PL"/>
        </w:rPr>
        <w:t xml:space="preserve">obowiązywaniem tego typu rozwiązań, pomijając fakt obowiązek implementacji Dyrektywy Rady 2018/822  </w:t>
      </w:r>
      <w:r w:rsidRPr="009A3C86">
        <w:rPr>
          <w:rFonts w:ascii="Times New Roman" w:eastAsia="Times New Roman" w:hAnsi="Times New Roman"/>
          <w:sz w:val="24"/>
          <w:szCs w:val="24"/>
          <w:lang w:eastAsia="pl-PL"/>
        </w:rPr>
        <w:t>przemawia również szczególna ochrona konstytucyjnych zasad sprawiedliwości podatkowej i powszechności opodatkowania oraz ochrona równowagi budżetowej i stabilności finansów publicznych. Nakładanie przez państwo podatków i ściąganie dochodów budżetowych jest czynnikiem ściśle powiązanym z suwerennością państwa i z tego powodu powinno podlegać szczególnej ochronie.</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imes New Roman" w:hAnsi="Times New Roman"/>
          <w:sz w:val="24"/>
          <w:szCs w:val="24"/>
          <w:lang w:eastAsia="pl-PL"/>
        </w:rPr>
        <w:t>Artykuł 84 Konstytucji</w:t>
      </w:r>
      <w:r w:rsidRPr="009A3C86">
        <w:rPr>
          <w:rFonts w:ascii="Times New Roman" w:eastAsiaTheme="minorHAnsi" w:hAnsi="Times New Roman"/>
          <w:sz w:val="24"/>
          <w:szCs w:val="24"/>
        </w:rPr>
        <w:t xml:space="preserve"> RP określa zasadę powszechności opodatkowania, będącą wyrazem zasady sprawiedliwości podatkowej, wynikającej z art. 217 Konstytucji RP. </w:t>
      </w:r>
      <w:r w:rsidR="007853C6" w:rsidRPr="009A3C86">
        <w:rPr>
          <w:rFonts w:ascii="Times New Roman" w:eastAsiaTheme="minorHAnsi" w:hAnsi="Times New Roman"/>
          <w:sz w:val="24"/>
          <w:szCs w:val="24"/>
        </w:rPr>
        <w:t xml:space="preserve">Przepisy </w:t>
      </w:r>
      <w:r w:rsidRPr="009A3C86">
        <w:rPr>
          <w:rFonts w:ascii="Times New Roman" w:eastAsiaTheme="minorHAnsi" w:hAnsi="Times New Roman"/>
          <w:sz w:val="24"/>
          <w:szCs w:val="24"/>
        </w:rPr>
        <w:t>MDR wypełni</w:t>
      </w:r>
      <w:r w:rsidR="007853C6" w:rsidRPr="009A3C86">
        <w:rPr>
          <w:rFonts w:ascii="Times New Roman" w:eastAsiaTheme="minorHAnsi" w:hAnsi="Times New Roman"/>
          <w:sz w:val="24"/>
          <w:szCs w:val="24"/>
        </w:rPr>
        <w:t>ają</w:t>
      </w:r>
      <w:r w:rsidRPr="009A3C86">
        <w:rPr>
          <w:rFonts w:ascii="Times New Roman" w:eastAsiaTheme="minorHAnsi" w:hAnsi="Times New Roman"/>
          <w:sz w:val="24"/>
          <w:szCs w:val="24"/>
        </w:rPr>
        <w:t xml:space="preserve"> lukę w systemie podatkowym, która powoduje, że wartości konstytucyjne – równość i powszechność opodatkowania – nie są w pełni realizowane. </w:t>
      </w:r>
    </w:p>
    <w:p w:rsidR="00D62378" w:rsidRPr="009A3C86" w:rsidRDefault="00D62378" w:rsidP="00D62378">
      <w:pPr>
        <w:spacing w:before="120" w:after="0" w:line="360" w:lineRule="auto"/>
        <w:jc w:val="both"/>
        <w:rPr>
          <w:rFonts w:ascii="Times New Roman" w:eastAsia="Times New Roman" w:hAnsi="Times New Roman" w:cs="Arial"/>
          <w:color w:val="000000"/>
          <w:sz w:val="24"/>
          <w:szCs w:val="24"/>
          <w:lang w:eastAsia="pl-PL"/>
        </w:rPr>
      </w:pPr>
      <w:r w:rsidRPr="009A3C86">
        <w:rPr>
          <w:rFonts w:ascii="Times New Roman" w:eastAsia="Times New Roman" w:hAnsi="Times New Roman" w:cs="Arial"/>
          <w:color w:val="000000"/>
          <w:sz w:val="24"/>
          <w:szCs w:val="24"/>
          <w:lang w:eastAsia="pl-PL"/>
        </w:rPr>
        <w:t>Unikanie opodatkowania stanowi także zagrożenie dla wartości konstytucyjnej, jaką jest równowaga budżetowa i stabilność finansów publicznych. Równowaga budżetowa stanowi samoistną wartość konstytucyjną, od której zależy zdolność państwa do działania i</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wypełniania jego zadań. Konieczność jej ochrony i zachowania wynika z ogółu regulacji zawartych w</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 xml:space="preserve">rozdziale X Konstytucji RP oraz z jej art. 1 stanowiącego, że Rzeczpospolita Polska jest dobrem wspólnym. Z orzecznictwa Trybunału Konstytucyjnego wynika, że różnego rodzaju wartości konstytucyjne powinny być ze sobą harmonijnie godzone, z tym zastrzeżeniem, że </w:t>
      </w:r>
      <w:r w:rsidRPr="009A3C86">
        <w:rPr>
          <w:rFonts w:ascii="Times New Roman" w:eastAsia="Times New Roman" w:hAnsi="Times New Roman" w:cs="Arial"/>
          <w:color w:val="000000"/>
          <w:sz w:val="24"/>
          <w:szCs w:val="24"/>
          <w:lang w:eastAsia="pl-PL"/>
        </w:rPr>
        <w:lastRenderedPageBreak/>
        <w:t>akurat te wartości konstytucyjne, którymi są równowaga budżetowa i</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stabilność finansów publicznych, mają zdecydowanie priorytetowy charakter (zob. wyroki TK z: 26 listopada 2001</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r., sygn. K</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2/00; 12 grudnia 2012 r., sygn. K 1/12). Społeczna gospodarka rynkowa oparta na wolności działalności gospodarczej, własności prywatnej oraz solidarności, dialogu i</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współpracy partnerów społecznych stanowi podstawę ustroju gospodarczego Rzeczypospolitej Polskiej.</w:t>
      </w:r>
    </w:p>
    <w:p w:rsidR="00D62378" w:rsidRPr="009A3C86" w:rsidRDefault="00D62378" w:rsidP="00D62378">
      <w:pPr>
        <w:spacing w:before="120" w:after="0" w:line="360" w:lineRule="auto"/>
        <w:jc w:val="both"/>
        <w:rPr>
          <w:rFonts w:ascii="Times New Roman" w:eastAsia="Times New Roman" w:hAnsi="Times New Roman" w:cs="Arial"/>
          <w:color w:val="000000"/>
          <w:sz w:val="24"/>
          <w:szCs w:val="24"/>
          <w:lang w:eastAsia="pl-PL"/>
        </w:rPr>
      </w:pPr>
      <w:r w:rsidRPr="009A3C86">
        <w:rPr>
          <w:rFonts w:ascii="Times New Roman" w:eastAsia="Times New Roman" w:hAnsi="Times New Roman" w:cs="Arial"/>
          <w:color w:val="000000"/>
          <w:sz w:val="24"/>
          <w:szCs w:val="24"/>
          <w:lang w:eastAsia="pl-PL"/>
        </w:rPr>
        <w:t>Z kolei art. 20 Konstytucji RP wyraża zasady ustroju gospodarczego Rzeczypospolitej Polskiej wskazując, że jego podstawę stanowi społeczna gospodarka rynkowa oparta na wolności działalności gospodarczej, własności prywatnej oraz solidarności, dialogu i</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współpracy partnerów społecznych. Podstawową zasadą tego ustroju jest wolność gospodarcza, obejmująca m.in. prawo do konkurencji. Ograniczenie wolności prowadzenia działalności i konkurencji może mieć miejsce ze względu na konieczność realizacji innej zasady konstytucyjnej i może nastąpić jedynie w drodze ustawy.</w:t>
      </w:r>
    </w:p>
    <w:p w:rsidR="00D62378" w:rsidRPr="009A3C86" w:rsidRDefault="007853C6" w:rsidP="00D62378">
      <w:pPr>
        <w:spacing w:before="120" w:after="0" w:line="360" w:lineRule="auto"/>
        <w:jc w:val="both"/>
        <w:rPr>
          <w:rFonts w:ascii="Times New Roman" w:eastAsia="Times New Roman" w:hAnsi="Times New Roman" w:cs="Arial"/>
          <w:color w:val="000000"/>
          <w:sz w:val="24"/>
          <w:szCs w:val="24"/>
          <w:lang w:eastAsia="pl-PL"/>
        </w:rPr>
      </w:pPr>
      <w:r w:rsidRPr="009A3C86">
        <w:rPr>
          <w:rFonts w:ascii="Times New Roman" w:eastAsia="Times New Roman" w:hAnsi="Times New Roman" w:cs="Arial"/>
          <w:color w:val="000000"/>
          <w:sz w:val="24"/>
          <w:szCs w:val="24"/>
          <w:lang w:eastAsia="pl-PL"/>
        </w:rPr>
        <w:t>I</w:t>
      </w:r>
      <w:r w:rsidR="00D62378" w:rsidRPr="009A3C86">
        <w:rPr>
          <w:rFonts w:ascii="Times New Roman" w:eastAsia="Times New Roman" w:hAnsi="Times New Roman" w:cs="Arial"/>
          <w:color w:val="000000"/>
          <w:sz w:val="24"/>
          <w:szCs w:val="24"/>
          <w:lang w:eastAsia="pl-PL"/>
        </w:rPr>
        <w:t>stotną funkcj</w:t>
      </w:r>
      <w:r w:rsidRPr="009A3C86">
        <w:rPr>
          <w:rFonts w:ascii="Times New Roman" w:eastAsia="Times New Roman" w:hAnsi="Times New Roman" w:cs="Arial"/>
          <w:color w:val="000000"/>
          <w:sz w:val="24"/>
          <w:szCs w:val="24"/>
          <w:lang w:eastAsia="pl-PL"/>
        </w:rPr>
        <w:t>ą</w:t>
      </w:r>
      <w:r w:rsidR="00D62378" w:rsidRPr="009A3C86">
        <w:rPr>
          <w:rFonts w:ascii="Times New Roman" w:eastAsia="Times New Roman" w:hAnsi="Times New Roman" w:cs="Arial"/>
          <w:color w:val="000000"/>
          <w:sz w:val="24"/>
          <w:szCs w:val="24"/>
          <w:lang w:eastAsia="pl-PL"/>
        </w:rPr>
        <w:t xml:space="preserve"> </w:t>
      </w:r>
      <w:r w:rsidRPr="009A3C86">
        <w:rPr>
          <w:rFonts w:ascii="Times New Roman" w:eastAsia="Times New Roman" w:hAnsi="Times New Roman" w:cs="Arial"/>
          <w:color w:val="000000"/>
          <w:sz w:val="24"/>
          <w:szCs w:val="24"/>
          <w:lang w:eastAsia="pl-PL"/>
        </w:rPr>
        <w:t xml:space="preserve">obowiązywania przepisów </w:t>
      </w:r>
      <w:r w:rsidR="00D62378" w:rsidRPr="009A3C86">
        <w:rPr>
          <w:rFonts w:ascii="Times New Roman" w:eastAsia="Times New Roman" w:hAnsi="Times New Roman" w:cs="Arial"/>
          <w:color w:val="000000"/>
          <w:sz w:val="24"/>
          <w:szCs w:val="24"/>
          <w:lang w:eastAsia="pl-PL"/>
        </w:rPr>
        <w:t>MDR jest zniechęcenie podatników do korzystania ze schematów podatkowych. Wiedząc, że rezultaty i ewentualne korzyści podatkowe udziału w schematach podatkowych będą musiały zostać ujawnione i</w:t>
      </w:r>
      <w:r w:rsidR="00D62378" w:rsidRPr="009A3C86">
        <w:rPr>
          <w:rFonts w:ascii="Times New Roman" w:eastAsia="Times New Roman" w:hAnsi="Times New Roman"/>
          <w:color w:val="000000"/>
          <w:sz w:val="24"/>
          <w:szCs w:val="24"/>
          <w:lang w:eastAsia="pl-PL"/>
        </w:rPr>
        <w:t> </w:t>
      </w:r>
      <w:r w:rsidR="00D62378" w:rsidRPr="009A3C86">
        <w:rPr>
          <w:rFonts w:ascii="Times New Roman" w:eastAsia="Times New Roman" w:hAnsi="Times New Roman" w:cs="Arial"/>
          <w:color w:val="000000"/>
          <w:sz w:val="24"/>
          <w:szCs w:val="24"/>
          <w:lang w:eastAsia="pl-PL"/>
        </w:rPr>
        <w:t xml:space="preserve">mogą być później kwestionowane przez administrację podatkową, jest mniej prawdopodobne, że podatnik podejmie ryzyko wejścia do systemu agresywnego planowania podatkowego.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Przepisy dotyczące obowiązkowego raportowania schematów podatkowych to część większego procesu zmian w prawie podatkowym, który zmierza do ograniczenia nieuczciwych praktyk podatkowych. Inicjatywa dotycząca przeciwdziałania erozji bazy podatkowej i przenoszeniu zysków podjęta została przez Organizację Współpracy Gospodarczej i Rozwoju. OECD wraz z przedstawicielami państw Grupy G20 opublikowała w 2015 roku ostateczną wersję raportu </w:t>
      </w:r>
      <w:r w:rsidRPr="009A3C86">
        <w:rPr>
          <w:rFonts w:ascii="Times New Roman" w:eastAsiaTheme="minorHAnsi" w:hAnsi="Times New Roman" w:cstheme="minorBidi"/>
          <w:i/>
          <w:sz w:val="24"/>
          <w:szCs w:val="24"/>
        </w:rPr>
        <w:t>Mandatory Disclosure Rules, Action 12 - 2015 Final Report OECD</w:t>
      </w:r>
      <w:r w:rsidRPr="009A3C86">
        <w:rPr>
          <w:rFonts w:ascii="Times New Roman" w:eastAsiaTheme="minorHAnsi" w:hAnsi="Times New Roman"/>
          <w:i/>
          <w:sz w:val="24"/>
          <w:szCs w:val="24"/>
          <w:vertAlign w:val="superscript"/>
        </w:rPr>
        <w:footnoteReference w:id="372"/>
      </w:r>
      <w:r w:rsidRPr="009A3C86">
        <w:rPr>
          <w:rFonts w:ascii="Times New Roman" w:eastAsiaTheme="minorHAnsi" w:hAnsi="Times New Roman"/>
          <w:sz w:val="24"/>
          <w:szCs w:val="24"/>
        </w:rPr>
        <w:t xml:space="preserve"> w którym rekomendowanym działaniem, mającym na celu przeciwdziałanie praktykom nadużyć podatkowych, jest wprowadzenie przez państwa członkowskie zasad obowiązkowego ujawniania informacji. W raporcie określono zalecenia dotyczące między innymi modelowego projektu obowiązkowego systemu raportowania, w którym wykorzystano doświadczenia państw, w których funkcjonuje system obowiązkowego ujawniania informacji podatkowych.</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Zgodnie z zaleceniami OECD dotyczącymi obowiązkowego systemu ujawniania informacji, celem tego systemu jest też zdobycie informacji o międzynarodowych systemach podatkowych. </w:t>
      </w:r>
      <w:r w:rsidRPr="009A3C86">
        <w:rPr>
          <w:rFonts w:ascii="Times New Roman" w:eastAsiaTheme="minorHAnsi" w:hAnsi="Times New Roman"/>
          <w:sz w:val="24"/>
          <w:szCs w:val="24"/>
        </w:rPr>
        <w:lastRenderedPageBreak/>
        <w:t>OECD rekomenduje rozwiązanie, zgodnie z którym zasady obowiązkowego ujawniania informacji zostały rozszerzone i umocnione w taki sposób, by zwiększyć skuteczność walki z transgranicznymi schematami unikania opodatkowania.</w:t>
      </w:r>
    </w:p>
    <w:p w:rsidR="00D62378" w:rsidRPr="009A3C86" w:rsidRDefault="00D62378" w:rsidP="00D62378">
      <w:pPr>
        <w:spacing w:before="120" w:after="0" w:line="360" w:lineRule="auto"/>
        <w:jc w:val="both"/>
        <w:rPr>
          <w:rFonts w:ascii="Times New Roman" w:hAnsi="Times New Roman"/>
          <w:b/>
          <w:sz w:val="24"/>
          <w:szCs w:val="24"/>
        </w:rPr>
      </w:pPr>
      <w:r w:rsidRPr="009A3C86">
        <w:rPr>
          <w:rFonts w:ascii="Times New Roman" w:hAnsi="Times New Roman"/>
          <w:b/>
          <w:sz w:val="24"/>
          <w:szCs w:val="24"/>
        </w:rPr>
        <w:t>Realizacja zasady proporcjonalności</w:t>
      </w:r>
    </w:p>
    <w:p w:rsidR="00D62378" w:rsidRPr="009A3C86" w:rsidRDefault="007853C6" w:rsidP="00D62378">
      <w:pPr>
        <w:spacing w:before="120" w:after="0" w:line="360" w:lineRule="auto"/>
        <w:jc w:val="both"/>
        <w:rPr>
          <w:rFonts w:ascii="Times New Roman" w:hAnsi="Times New Roman"/>
          <w:sz w:val="24"/>
          <w:szCs w:val="24"/>
        </w:rPr>
      </w:pPr>
      <w:r w:rsidRPr="009A3C86">
        <w:rPr>
          <w:rFonts w:ascii="Times New Roman" w:hAnsi="Times New Roman"/>
          <w:sz w:val="24"/>
          <w:szCs w:val="24"/>
        </w:rPr>
        <w:t xml:space="preserve">Wprowadzone 1 stycznia 2019 r. do polskiego systemu prawa podatkowego przepisy MDR </w:t>
      </w:r>
      <w:r w:rsidR="00D62378" w:rsidRPr="009A3C86">
        <w:rPr>
          <w:rFonts w:ascii="Times New Roman" w:hAnsi="Times New Roman"/>
          <w:sz w:val="24"/>
          <w:szCs w:val="24"/>
        </w:rPr>
        <w:t>uwzględni</w:t>
      </w:r>
      <w:r w:rsidRPr="009A3C86">
        <w:rPr>
          <w:rFonts w:ascii="Times New Roman" w:hAnsi="Times New Roman"/>
          <w:sz w:val="24"/>
          <w:szCs w:val="24"/>
        </w:rPr>
        <w:t>ły</w:t>
      </w:r>
      <w:r w:rsidR="00D62378" w:rsidRPr="009A3C86">
        <w:rPr>
          <w:rFonts w:ascii="Times New Roman" w:hAnsi="Times New Roman"/>
          <w:sz w:val="24"/>
          <w:szCs w:val="24"/>
        </w:rPr>
        <w:t xml:space="preserve"> konstytucyjną zasadę proporcjonalności, z której Trybunał Konstytucyjny wyprowadził trzy powiązane między sobą obowiązki prawodawcy: 1) przyjmowanie danej regulacji tylko wówczas, gdy jest niezbędna dla ochrony interesu publicznego, z którym jest związana, 2) kształtowanie danej regulacji w sposób zapewniający osiągnięcie zamierzonych celów (skutków), 3) zachowanie proporcji między efektami wprowadzonej regulacji a ciężarami bądź niedogodnościami wynikającymi z niej dla obywateli. Zasada ta kładzie szczególny nacisk na adekwatność celu i środka użytego do jego osiągnięcia. To znaczy, że spośród możliwych środków oddziaływania należałoby wybierać środki skuteczne dla osiągnięcia założonych celów, a zarazem jak najmniej uciążliwe dla podmiotów, wobec których mają być zastosowane, lub dolegliwe w stopniu nie większym niż jest to niezbędne dla osiągnięcia założonego celu (wyroki z: 18 października 2011 r., SK 2/10, 12 stycznia 2012 r., Kp 10/09 i 23 maja 2012 r., P 11/10).</w:t>
      </w:r>
    </w:p>
    <w:p w:rsidR="00D62378" w:rsidRPr="009A3C86" w:rsidRDefault="007853C6" w:rsidP="00D62378">
      <w:pPr>
        <w:spacing w:before="120" w:after="0" w:line="360" w:lineRule="auto"/>
        <w:jc w:val="both"/>
        <w:rPr>
          <w:rFonts w:ascii="Times New Roman" w:hAnsi="Times New Roman"/>
          <w:sz w:val="24"/>
          <w:szCs w:val="24"/>
        </w:rPr>
      </w:pPr>
      <w:r w:rsidRPr="009A3C86">
        <w:rPr>
          <w:rFonts w:ascii="Times New Roman" w:hAnsi="Times New Roman"/>
          <w:sz w:val="24"/>
          <w:szCs w:val="24"/>
        </w:rPr>
        <w:t xml:space="preserve">Obowiązujące przepisy MDR  </w:t>
      </w:r>
      <w:r w:rsidR="00D62378" w:rsidRPr="009A3C86">
        <w:rPr>
          <w:rFonts w:ascii="Times New Roman" w:hAnsi="Times New Roman"/>
          <w:sz w:val="24"/>
          <w:szCs w:val="24"/>
        </w:rPr>
        <w:t xml:space="preserve">nie stanowią naruszenia analizowanej zasady. </w:t>
      </w:r>
    </w:p>
    <w:p w:rsidR="00D62378" w:rsidRPr="009A3C86" w:rsidRDefault="00D62378" w:rsidP="009A3C86">
      <w:pPr>
        <w:spacing w:before="120" w:after="0" w:line="360" w:lineRule="auto"/>
        <w:jc w:val="both"/>
        <w:rPr>
          <w:rFonts w:ascii="Times New Roman" w:hAnsi="Times New Roman"/>
          <w:sz w:val="24"/>
          <w:szCs w:val="24"/>
        </w:rPr>
      </w:pPr>
      <w:r w:rsidRPr="009A3C86">
        <w:rPr>
          <w:rFonts w:ascii="Times New Roman" w:hAnsi="Times New Roman"/>
          <w:sz w:val="24"/>
          <w:szCs w:val="24"/>
        </w:rPr>
        <w:t xml:space="preserve">MDR uzupełnia dostępne administracji podatkowej narzędzia do walki z agresywnym opodatkowaniem. W odróżnieniu od innych jest rozwiązaniem znacznie bardziej precyzyjnym i przede wszystkim szybszym. Dotychczas organy podatkowe nie były w stanie – na podstawie dostępnych rozwiązań (instytucji) – osiągnąć celów określonych Dyrektywą. Rozwiązanie MDR zakłada później międzynarodową wymianę informacji o możliwych potencjalnych agresywnych schematach podatkowych. Dotychczas w UE nie było takiego rodzaju rozwiązania, na podstawie którego dane państwo otrzymuje szczegółową informację o potencjalnych zagrożeniach dla budżetu państwa. </w:t>
      </w:r>
    </w:p>
    <w:p w:rsidR="00D62378" w:rsidRPr="009A3C86" w:rsidRDefault="00D62378" w:rsidP="00D62378">
      <w:pPr>
        <w:keepNext/>
        <w:spacing w:before="120" w:after="0" w:line="360" w:lineRule="auto"/>
        <w:jc w:val="both"/>
        <w:rPr>
          <w:rFonts w:ascii="Times New Roman" w:hAnsi="Times New Roman"/>
          <w:b/>
          <w:sz w:val="24"/>
          <w:szCs w:val="24"/>
        </w:rPr>
      </w:pPr>
      <w:r w:rsidRPr="009A3C86">
        <w:rPr>
          <w:rFonts w:ascii="Times New Roman" w:hAnsi="Times New Roman"/>
          <w:b/>
          <w:sz w:val="24"/>
          <w:szCs w:val="24"/>
        </w:rPr>
        <w:t>Rozwiązania wychodzące poza wymagania Dyrektywy</w:t>
      </w:r>
    </w:p>
    <w:p w:rsidR="00D62378" w:rsidRPr="009A3C86" w:rsidRDefault="00D62378" w:rsidP="00D62378">
      <w:pPr>
        <w:keepNext/>
        <w:spacing w:before="120" w:after="0" w:line="360" w:lineRule="auto"/>
        <w:jc w:val="both"/>
        <w:rPr>
          <w:rFonts w:ascii="Times New Roman" w:hAnsi="Times New Roman"/>
          <w:sz w:val="24"/>
          <w:szCs w:val="24"/>
        </w:rPr>
      </w:pPr>
      <w:r w:rsidRPr="009A3C86">
        <w:rPr>
          <w:rFonts w:ascii="Times New Roman" w:hAnsi="Times New Roman"/>
          <w:sz w:val="24"/>
          <w:szCs w:val="24"/>
        </w:rPr>
        <w:t xml:space="preserve">Niniejsza część uzasadnienia dotyczy skorzystania z zasady określonej w Dyrektywie (motyw 10 Preambuły Dyrektywy), który mówi „(…) </w:t>
      </w:r>
      <w:r w:rsidRPr="009A3C86">
        <w:rPr>
          <w:rFonts w:ascii="Times New Roman" w:hAnsi="Times New Roman"/>
          <w:i/>
          <w:sz w:val="24"/>
          <w:szCs w:val="24"/>
        </w:rPr>
        <w:t xml:space="preserve">Państwo członkowskie może przedsięwziąć dodatkowe krajowe środki sprawozdawcze o podobnym charakterze, jednak wszelkie informacje zebrane dodatkowo względem informacji podlegających zgłoszeniu zgodnie z niniejszą dyrektywą nie powinny być automatycznie przekazywane właściwym organom innych </w:t>
      </w:r>
      <w:r w:rsidRPr="009A3C86">
        <w:rPr>
          <w:rFonts w:ascii="Times New Roman" w:hAnsi="Times New Roman"/>
          <w:i/>
          <w:sz w:val="24"/>
          <w:szCs w:val="24"/>
        </w:rPr>
        <w:lastRenderedPageBreak/>
        <w:t>państw członkowskich. Informacje takie mogłyby być udostępniane na wniosek lub z własnej inicjatywy zgodnie z mającymi zastosowanie przepisami.</w:t>
      </w:r>
      <w:r w:rsidRPr="009A3C86">
        <w:rPr>
          <w:rFonts w:ascii="Times New Roman" w:hAnsi="Times New Roman"/>
          <w:sz w:val="24"/>
          <w:szCs w:val="24"/>
        </w:rPr>
        <w:t>”</w:t>
      </w:r>
    </w:p>
    <w:p w:rsidR="00D62378" w:rsidRPr="009A3C86" w:rsidRDefault="00D62378" w:rsidP="00D62378">
      <w:pPr>
        <w:keepNext/>
        <w:spacing w:before="120" w:after="0" w:line="360" w:lineRule="auto"/>
        <w:jc w:val="both"/>
        <w:rPr>
          <w:rFonts w:ascii="Times New Roman" w:hAnsi="Times New Roman"/>
          <w:sz w:val="24"/>
          <w:szCs w:val="24"/>
        </w:rPr>
      </w:pPr>
      <w:r w:rsidRPr="009A3C86">
        <w:rPr>
          <w:rFonts w:ascii="Times New Roman" w:hAnsi="Times New Roman"/>
          <w:sz w:val="24"/>
          <w:szCs w:val="24"/>
        </w:rPr>
        <w:t xml:space="preserve">Dyrektywa dotyczy uzgodnień transgranicznych oraz ich automatycznej wymiany pomiędzy państwami członkowskimi. Wynika to z faktu ścisłego zainteresowania prawodawcy unijnego funkcjonowaniem wspólnego rynku i związanych z tym transgranicznych operacji gospodarczych. Polski prawodawca jest jednak zdania, że agresywna optymalizacja nie dotyczy tylko uzgodnień transgranicznych. Jak pokazuje dotychczasowa praktyka agresywnej optymalizacji podatkowej w Polsce, wskazana również w niniejszym uzasadnieniu, często unikanie opodatkowania dotyczy właśnie relacji </w:t>
      </w:r>
      <w:r w:rsidRPr="009A3C86">
        <w:rPr>
          <w:rFonts w:ascii="Times New Roman" w:hAnsi="Times New Roman"/>
          <w:i/>
          <w:sz w:val="24"/>
          <w:szCs w:val="24"/>
        </w:rPr>
        <w:t>stricte</w:t>
      </w:r>
      <w:r w:rsidRPr="009A3C86">
        <w:rPr>
          <w:rFonts w:ascii="Times New Roman" w:hAnsi="Times New Roman"/>
          <w:sz w:val="24"/>
          <w:szCs w:val="24"/>
        </w:rPr>
        <w:t xml:space="preserve"> krajowych. W ocenie prawodawcy, zasadnym jest zatem określenie rozwiązań MDR do krajowych sytuacji, celem szybkiego otrzymania informacji o schematach podatkowych. </w:t>
      </w:r>
    </w:p>
    <w:p w:rsidR="00D62378" w:rsidRPr="009A3C86" w:rsidRDefault="00D62378" w:rsidP="007853C6">
      <w:pPr>
        <w:keepNext/>
        <w:spacing w:before="120" w:after="0" w:line="360" w:lineRule="auto"/>
        <w:jc w:val="both"/>
        <w:rPr>
          <w:rFonts w:ascii="Times New Roman" w:hAnsi="Times New Roman"/>
          <w:sz w:val="24"/>
          <w:szCs w:val="24"/>
        </w:rPr>
      </w:pPr>
      <w:r w:rsidRPr="009A3C86">
        <w:rPr>
          <w:rFonts w:ascii="Times New Roman" w:hAnsi="Times New Roman"/>
          <w:sz w:val="24"/>
          <w:szCs w:val="24"/>
        </w:rPr>
        <w:t xml:space="preserve">Dyrektywa w świetle jej motywu 10 umożliwia więc państwom członkowskim Unii Europejskiej nałożenie obowiązków raportowania o schematach podatkowych również do uzgodnień, które nie mają w sobie elementu transgranicznego. Polski prawodawca postanowił skorzystać z tej możliwości, jednakże przewidując dodatkowe przesłanki do powstania obowiązku raportowania uzgodnień krajowych w stosunku do uzgodnień transgranicznych. </w:t>
      </w:r>
    </w:p>
    <w:p w:rsidR="00D62378" w:rsidRPr="009A3C86" w:rsidRDefault="00D62378" w:rsidP="00D62378">
      <w:pPr>
        <w:keepNext/>
        <w:spacing w:before="120" w:after="0" w:line="360" w:lineRule="auto"/>
        <w:jc w:val="both"/>
        <w:rPr>
          <w:rFonts w:ascii="Times New Roman" w:hAnsi="Times New Roman"/>
          <w:b/>
          <w:sz w:val="24"/>
          <w:szCs w:val="24"/>
        </w:rPr>
      </w:pPr>
      <w:r w:rsidRPr="009A3C86">
        <w:rPr>
          <w:rFonts w:ascii="Times New Roman" w:hAnsi="Times New Roman"/>
          <w:b/>
          <w:sz w:val="24"/>
          <w:szCs w:val="24"/>
        </w:rPr>
        <w:t>Szczegółowe wskazanie działań na forum Unii Europejskiej</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W dniu 5 czerwca 2018 r. w Dzienniku Urzędowym Unii Europejskiej opublikowano Dyrektywę Rady (UE) 2018/822 z dnia 25 maja 2018 r. zmieniającą dyrektywę 2011/16/UE w zakresie obowiązkowej automatycznej wymiany informacji w dziedzinie opodatkowania w odniesieniu do podlegających zgłoszeniu uzgodnień transgranicznych. Dyrektywa ta wpisuje się w proces zwiększania przejrzystości i wymiany informacji, uznanych za jedne z kluczowych środków mających na celu walkę z agresywnym planowaniem podatkowym i uchylaniem się od opodatkowania. Główne cele projektowanej dyrektywy, to rozwiązanie problemu unikania opodatkowania i uchylania się od opodatkowania poprzez wprowadzenie obowiązku raportowania o transgranicznych uzgodnieniach z zakresu potencjalnie agresywnego planowania podatkowego przez pośredników i podatników.</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Celem Dyrektywy jest zwiększenie przejrzystości i dostępu organów podatkowych do właściwych informacji na wczesnym etapie, co powinno umożliwić organom szybszą i dokładniejszą ocenę ryzyka oraz terminowe podejmowanie świadomych decyzji w zakresie ochrony dochodów podatkowych państw członkowskich Unii Europejskiej. Jeżeli organy podatkowe będą otrzymywać informacje o uzgodnieniach z zakresu potencjalnie agresywnego </w:t>
      </w:r>
      <w:r w:rsidRPr="009A3C86">
        <w:rPr>
          <w:rFonts w:ascii="Times New Roman" w:eastAsiaTheme="minorHAnsi" w:hAnsi="Times New Roman"/>
          <w:sz w:val="24"/>
          <w:szCs w:val="24"/>
        </w:rPr>
        <w:lastRenderedPageBreak/>
        <w:t>planowania podatkowego przed ich wdrożeniem, powinny być w stanie monitorować uzgodnienia i reagować na stwarzane przez nie zagrożenia podatkowe poprzez podjęcie odpowiednich kroków w celu ich ograniczenia.</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Dwoma kluczowymi celami MDR są:</w:t>
      </w:r>
    </w:p>
    <w:p w:rsidR="00D62378" w:rsidRPr="009A3C86" w:rsidRDefault="00D62378" w:rsidP="00D62378">
      <w:pPr>
        <w:numPr>
          <w:ilvl w:val="0"/>
          <w:numId w:val="37"/>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szybki dostęp administracji podatkowych do informacji o potencjalnie agresywnym planowaniu lub nadużyciach związanych z planowaniem podatkowym oraz o promotorach i użytkownikach schematów podatkowych,</w:t>
      </w:r>
    </w:p>
    <w:p w:rsidR="00D62378" w:rsidRPr="009A3C86" w:rsidRDefault="00D62378" w:rsidP="00D62378">
      <w:pPr>
        <w:numPr>
          <w:ilvl w:val="0"/>
          <w:numId w:val="37"/>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zniechęcenie podatników i ich doradców do korzystania ze schematów podatkowych.</w:t>
      </w:r>
    </w:p>
    <w:p w:rsidR="00D62378" w:rsidRPr="009A3C86" w:rsidRDefault="00D62378" w:rsidP="00D62378">
      <w:pPr>
        <w:spacing w:before="120" w:after="0" w:line="360" w:lineRule="auto"/>
        <w:jc w:val="both"/>
        <w:rPr>
          <w:rFonts w:ascii="Times New Roman" w:eastAsia="Times New Roman" w:hAnsi="Times New Roman" w:cs="Arial"/>
          <w:color w:val="000000"/>
          <w:sz w:val="24"/>
          <w:szCs w:val="24"/>
          <w:lang w:eastAsia="pl-PL"/>
        </w:rPr>
      </w:pPr>
      <w:r w:rsidRPr="009A3C86">
        <w:rPr>
          <w:rFonts w:ascii="Times New Roman" w:eastAsia="Times New Roman" w:hAnsi="Times New Roman" w:cs="Arial"/>
          <w:color w:val="000000"/>
          <w:sz w:val="24"/>
          <w:szCs w:val="24"/>
          <w:lang w:eastAsia="pl-PL"/>
        </w:rPr>
        <w:t>Przepisy dyrektywy przewidują obowiązek przyjęcia i publikacji przez państwa członkowskie najpóźniej do dnia 31 grudnia 2019</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r., przepisów ustawowych, wykonawczych i</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administracyjnych niezbędnych do wykonania tej dyrektywy. Dyrektywa będzie miała zastosowanie od dnia 1 lipca 2020 r.</w:t>
      </w:r>
    </w:p>
    <w:p w:rsidR="00D62378" w:rsidRPr="009A3C86" w:rsidRDefault="00D62378" w:rsidP="00D62378">
      <w:pPr>
        <w:spacing w:before="120" w:after="0" w:line="360" w:lineRule="auto"/>
        <w:jc w:val="both"/>
        <w:rPr>
          <w:rFonts w:ascii="Times New Roman" w:eastAsia="Times New Roman" w:hAnsi="Times New Roman" w:cs="Arial"/>
          <w:color w:val="000000"/>
          <w:sz w:val="24"/>
          <w:szCs w:val="24"/>
          <w:lang w:eastAsia="pl-PL"/>
        </w:rPr>
      </w:pPr>
      <w:r w:rsidRPr="009A3C86">
        <w:rPr>
          <w:rFonts w:ascii="Times New Roman" w:eastAsia="Times New Roman" w:hAnsi="Times New Roman" w:cs="Arial"/>
          <w:color w:val="000000"/>
          <w:sz w:val="24"/>
          <w:szCs w:val="24"/>
          <w:lang w:eastAsia="pl-PL"/>
        </w:rPr>
        <w:t>Zgodnie z ustawodawstwem unijnym, każde państwo członkowskie ma obowiązek wdrożenia dyrektywy w terminie przez nią określonym. Jednocześnie w okresie poprzedzającym termin implementacji, państwo jest zobowiązane powstrzymać się od wydawania przepisów, które mogłyby podważyć cele dyrektyw</w:t>
      </w:r>
      <w:r w:rsidRPr="009A3C86">
        <w:rPr>
          <w:rFonts w:ascii="Times New Roman" w:eastAsia="Times New Roman" w:hAnsi="Times New Roman"/>
          <w:color w:val="000000"/>
          <w:sz w:val="24"/>
          <w:szCs w:val="24"/>
          <w:vertAlign w:val="superscript"/>
          <w:lang w:eastAsia="pl-PL"/>
        </w:rPr>
        <w:footnoteReference w:id="373"/>
      </w:r>
      <w:r w:rsidRPr="009A3C86">
        <w:rPr>
          <w:rFonts w:ascii="Times New Roman" w:eastAsia="Times New Roman" w:hAnsi="Times New Roman" w:cs="Arial"/>
          <w:color w:val="000000"/>
          <w:sz w:val="24"/>
          <w:szCs w:val="24"/>
          <w:lang w:eastAsia="pl-PL"/>
        </w:rPr>
        <w:t>. Zatem w okresie prac nad transpozycją dyrektywy państwa członkowskie UE muszą podejmować działania na rzecz osiągnięcia rezultatu określonego w dyrektywie i powstrzymywać się od działań, które mogłyby utrudniać jej późniejszą transpozycję. Niniejszy projekt ustawy realizuję tę zasadę, w możliwie największym stopniu „transponując” jej przepisy do krajowego ustawodawstwa. Niemniej jednak, pełna transpozycja do polskiego ustawodawstwa kwestii związanych przede wszystkim z automatyczną wymianą informacji o schematach podatkowych, będzie miała miejsce w 2019 r. Niniejsza ustawa krok po kroku implementuje do polskiego systemu prawnego założenia dyrektywy, którymi są m.in. raportowanie przez pośrednika (</w:t>
      </w:r>
      <w:r w:rsidRPr="009A3C86">
        <w:rPr>
          <w:rFonts w:ascii="Times New Roman" w:eastAsia="Times New Roman" w:hAnsi="Times New Roman" w:cs="Arial"/>
          <w:i/>
          <w:color w:val="000000"/>
          <w:sz w:val="24"/>
          <w:szCs w:val="24"/>
          <w:lang w:eastAsia="pl-PL"/>
        </w:rPr>
        <w:t>intermediary</w:t>
      </w:r>
      <w:r w:rsidRPr="009A3C86">
        <w:rPr>
          <w:rFonts w:ascii="Times New Roman" w:eastAsia="Times New Roman" w:hAnsi="Times New Roman" w:cs="Arial"/>
          <w:color w:val="000000"/>
          <w:sz w:val="24"/>
          <w:szCs w:val="24"/>
          <w:lang w:eastAsia="pl-PL"/>
        </w:rPr>
        <w:t>) z</w:t>
      </w:r>
      <w:r w:rsidRPr="009A3C86">
        <w:rPr>
          <w:rFonts w:ascii="Times New Roman" w:eastAsia="Times New Roman" w:hAnsi="Times New Roman"/>
          <w:color w:val="000000"/>
          <w:sz w:val="24"/>
          <w:szCs w:val="24"/>
          <w:lang w:eastAsia="pl-PL"/>
        </w:rPr>
        <w:t> </w:t>
      </w:r>
      <w:r w:rsidRPr="009A3C86">
        <w:rPr>
          <w:rFonts w:ascii="Times New Roman" w:eastAsia="Times New Roman" w:hAnsi="Times New Roman" w:cs="Arial"/>
          <w:color w:val="000000"/>
          <w:sz w:val="24"/>
          <w:szCs w:val="24"/>
          <w:lang w:eastAsia="pl-PL"/>
        </w:rPr>
        <w:t>możliwością powołania się na tajemnicę zawodową oraz raportowanie do państwa rezydencji pośrednika lub podatnika (w zależności, który podmiot zobowiązany jest do zaraportowania) są zgodne z przepisami projektowanej ustawy. Kolejnym etapem implementacji Dyrektywy będzie nowelizacja ustawy o wymianie informacji podatkowych z innymi państwami</w:t>
      </w:r>
      <w:r w:rsidRPr="009A3C86">
        <w:rPr>
          <w:rFonts w:ascii="Times New Roman" w:eastAsia="Times New Roman" w:hAnsi="Times New Roman"/>
          <w:color w:val="000000"/>
          <w:sz w:val="24"/>
          <w:szCs w:val="24"/>
          <w:vertAlign w:val="superscript"/>
          <w:lang w:eastAsia="pl-PL"/>
        </w:rPr>
        <w:footnoteReference w:id="374"/>
      </w:r>
      <w:r w:rsidRPr="009A3C86">
        <w:rPr>
          <w:rFonts w:ascii="Times New Roman" w:eastAsia="Times New Roman" w:hAnsi="Times New Roman" w:cs="Arial"/>
          <w:color w:val="000000"/>
          <w:sz w:val="24"/>
          <w:szCs w:val="24"/>
          <w:lang w:eastAsia="pl-PL"/>
        </w:rPr>
        <w:t xml:space="preserve">. </w:t>
      </w:r>
    </w:p>
    <w:p w:rsidR="00D62378" w:rsidRPr="009A3C86" w:rsidRDefault="00D62378" w:rsidP="00D62378">
      <w:pPr>
        <w:keepNext/>
        <w:keepLines/>
        <w:spacing w:before="40" w:after="0" w:line="360" w:lineRule="auto"/>
        <w:ind w:left="720"/>
        <w:jc w:val="both"/>
        <w:outlineLvl w:val="2"/>
        <w:rPr>
          <w:rFonts w:ascii="Times New Roman" w:eastAsiaTheme="majorEastAsia" w:hAnsi="Times New Roman" w:cstheme="majorBidi"/>
          <w:i/>
          <w:color w:val="000000" w:themeColor="text1"/>
          <w:sz w:val="24"/>
          <w:szCs w:val="24"/>
        </w:rPr>
      </w:pPr>
      <w:r w:rsidRPr="009A3C86">
        <w:rPr>
          <w:rFonts w:ascii="Times New Roman" w:eastAsiaTheme="majorEastAsia" w:hAnsi="Times New Roman" w:cstheme="majorBidi"/>
          <w:i/>
          <w:color w:val="000000" w:themeColor="text1"/>
          <w:sz w:val="24"/>
          <w:szCs w:val="24"/>
        </w:rPr>
        <w:lastRenderedPageBreak/>
        <w:t>Konstytucyjność projektowanych rozwiązań. Ochrona tajemnicy zawodowej</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Projekt zawiera regulacje dotyczące raportowania o schematach podatkowych przez podmioty korzystające ze schematów oraz ich promotorów. Projekt wkracza w obszar, który stanowi materię konstytucyjną, dlatego powinien być oceniony pod względem jego zgodności z Konstytucją RP. Według projektodawcy </w:t>
      </w:r>
      <w:r w:rsidR="00AA1DE3" w:rsidRPr="009A3C86">
        <w:rPr>
          <w:rFonts w:ascii="Times New Roman" w:eastAsiaTheme="minorHAnsi" w:hAnsi="Times New Roman"/>
          <w:sz w:val="24"/>
          <w:szCs w:val="24"/>
        </w:rPr>
        <w:t>przepisy MDR</w:t>
      </w:r>
      <w:r w:rsidRPr="009A3C86">
        <w:rPr>
          <w:rFonts w:ascii="Times New Roman" w:eastAsiaTheme="minorHAnsi" w:hAnsi="Times New Roman"/>
          <w:sz w:val="24"/>
          <w:szCs w:val="24"/>
        </w:rPr>
        <w:t xml:space="preserve"> spełnia</w:t>
      </w:r>
      <w:r w:rsidR="00AA1DE3" w:rsidRPr="009A3C86">
        <w:rPr>
          <w:rFonts w:ascii="Times New Roman" w:eastAsiaTheme="minorHAnsi" w:hAnsi="Times New Roman"/>
          <w:sz w:val="24"/>
          <w:szCs w:val="24"/>
        </w:rPr>
        <w:t>ją</w:t>
      </w:r>
      <w:r w:rsidRPr="009A3C86">
        <w:rPr>
          <w:rFonts w:ascii="Times New Roman" w:eastAsiaTheme="minorHAnsi" w:hAnsi="Times New Roman"/>
          <w:sz w:val="24"/>
          <w:szCs w:val="24"/>
        </w:rPr>
        <w:t xml:space="preserve"> standardy konstytucyjne.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Obowiązek raportowania schematów odnosi się do sfery związanej z planowaniem podatkowym, a więc działaniami, które mogą wiązać się z tajemnicą przedsiębiorstwa, ze szczegółami współpracy z określonymi doradcami, w tym zobowiązanymi do przestrzegania tajemnicy zawodowej, czy też ze strategią rozwoju firmy, co pomaga budować przewagę nad konkurencją. Takie aspekty działalności podatnicy zwykle zachowują w poufności wobec osób trzecich, w tym w szczególności jeśli działania nie są przejrzyste i noszą znamiona agresywnego planowania.</w:t>
      </w:r>
    </w:p>
    <w:p w:rsidR="00D62378" w:rsidRPr="009A3C86" w:rsidRDefault="00AA1DE3" w:rsidP="00D62378">
      <w:pPr>
        <w:spacing w:before="120" w:after="0" w:line="360" w:lineRule="auto"/>
        <w:jc w:val="both"/>
        <w:rPr>
          <w:rFonts w:ascii="Times New Roman" w:eastAsiaTheme="minorHAnsi" w:hAnsi="Times New Roman"/>
          <w:sz w:val="24"/>
          <w:szCs w:val="24"/>
        </w:rPr>
      </w:pPr>
      <w:r w:rsidRPr="009A3C86">
        <w:rPr>
          <w:rFonts w:ascii="Times New Roman" w:eastAsia="Times New Roman" w:hAnsi="Times New Roman"/>
          <w:sz w:val="24"/>
          <w:szCs w:val="24"/>
          <w:lang w:eastAsia="pl-PL"/>
        </w:rPr>
        <w:t xml:space="preserve">Przepisy </w:t>
      </w:r>
      <w:r w:rsidR="00D62378" w:rsidRPr="009A3C86">
        <w:rPr>
          <w:rFonts w:ascii="Times New Roman" w:eastAsia="Times New Roman" w:hAnsi="Times New Roman"/>
          <w:sz w:val="24"/>
          <w:szCs w:val="24"/>
          <w:lang w:eastAsia="pl-PL"/>
        </w:rPr>
        <w:t xml:space="preserve">MDR mogą budzić obawy, że noszą cechy „samooskarżania się” podatników przed administracją skarbową. Rozwiewając te obawy należy zwrócić uwagę, że zakres informacji, które podatnik będzie przekazywał w ramach obowiązku raportowania schematów podatkowych nie będzie szerszy niż informacje czy dokumenty, których organ podatkowy mógłby wymagać w ramach prowadzonej kontroli lub postępowania podatkowego. Dodatkowo należy pamiętać, że </w:t>
      </w:r>
      <w:r w:rsidR="00D62378" w:rsidRPr="009A3C86">
        <w:rPr>
          <w:rFonts w:ascii="Times New Roman" w:eastAsiaTheme="minorHAnsi" w:hAnsi="Times New Roman"/>
          <w:sz w:val="24"/>
          <w:szCs w:val="24"/>
        </w:rPr>
        <w:t xml:space="preserve">indywidualne dane zawarte w deklaracji oraz innych dokumentach składanych przez podatników, płatników lub inkasentów objęte są tajemnicą skarbową, co gwarantuje art. </w:t>
      </w:r>
      <w:r w:rsidR="00693BA5" w:rsidRPr="009A3C86">
        <w:rPr>
          <w:rFonts w:ascii="Times New Roman" w:eastAsiaTheme="minorHAnsi" w:hAnsi="Times New Roman"/>
          <w:sz w:val="24"/>
          <w:szCs w:val="24"/>
        </w:rPr>
        <w:t xml:space="preserve">99 </w:t>
      </w:r>
      <w:r w:rsidR="00D62378" w:rsidRPr="009A3C86">
        <w:rPr>
          <w:rFonts w:ascii="Times New Roman" w:eastAsiaTheme="minorHAnsi" w:hAnsi="Times New Roman"/>
          <w:sz w:val="24"/>
          <w:szCs w:val="24"/>
        </w:rPr>
        <w:t xml:space="preserve">§ 1 ustawy – Ordynacja podatkowa.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Podkreślić należy, że w projektowanym art. </w:t>
      </w:r>
      <w:r w:rsidR="00CE6458" w:rsidRPr="009A3C86">
        <w:rPr>
          <w:rFonts w:ascii="Times New Roman" w:eastAsiaTheme="minorHAnsi" w:hAnsi="Times New Roman"/>
          <w:b/>
          <w:sz w:val="24"/>
          <w:szCs w:val="24"/>
        </w:rPr>
        <w:t>313 § 2</w:t>
      </w:r>
      <w:r w:rsidRPr="009A3C86">
        <w:rPr>
          <w:rFonts w:ascii="Times New Roman" w:eastAsiaTheme="minorHAnsi" w:hAnsi="Times New Roman"/>
          <w:sz w:val="24"/>
          <w:szCs w:val="24"/>
        </w:rPr>
        <w:t xml:space="preserve"> Ordynacji podatkowej nie wszczyna się postępowania w sprawach o przestępstwa skarbowe lub wykroczenia skarbowe wyłącznie w oparciu o informacj</w:t>
      </w:r>
      <w:r w:rsidR="00520B0E" w:rsidRPr="009A3C86">
        <w:rPr>
          <w:rFonts w:ascii="Times New Roman" w:eastAsiaTheme="minorHAnsi" w:hAnsi="Times New Roman"/>
          <w:sz w:val="24"/>
          <w:szCs w:val="24"/>
        </w:rPr>
        <w:t xml:space="preserve">ę lub zawiadomienie </w:t>
      </w:r>
      <w:r w:rsidRPr="009A3C86">
        <w:rPr>
          <w:rFonts w:ascii="Times New Roman" w:eastAsiaTheme="minorHAnsi" w:hAnsi="Times New Roman"/>
          <w:sz w:val="24"/>
          <w:szCs w:val="24"/>
        </w:rPr>
        <w:t xml:space="preserve"> przekazywane na podstawie</w:t>
      </w:r>
      <w:r w:rsidR="00520B0E" w:rsidRPr="009A3C86">
        <w:rPr>
          <w:rFonts w:ascii="Times New Roman" w:eastAsiaTheme="minorHAnsi" w:hAnsi="Times New Roman"/>
          <w:sz w:val="24"/>
          <w:szCs w:val="24"/>
        </w:rPr>
        <w:t xml:space="preserve"> przepisów</w:t>
      </w:r>
      <w:r w:rsidRPr="009A3C86">
        <w:rPr>
          <w:rFonts w:ascii="Times New Roman" w:eastAsiaTheme="minorHAnsi" w:hAnsi="Times New Roman"/>
          <w:sz w:val="24"/>
          <w:szCs w:val="24"/>
        </w:rPr>
        <w:t xml:space="preserve"> niniejszego rozdziału. Ponadto art. 36 </w:t>
      </w:r>
      <w:r w:rsidR="00520B0E" w:rsidRPr="009A3C86">
        <w:rPr>
          <w:rFonts w:ascii="Times New Roman" w:eastAsiaTheme="minorHAnsi" w:hAnsi="Times New Roman"/>
          <w:sz w:val="24"/>
          <w:szCs w:val="24"/>
        </w:rPr>
        <w:t xml:space="preserve">§ 3a </w:t>
      </w:r>
      <w:r w:rsidRPr="009A3C86">
        <w:rPr>
          <w:rFonts w:ascii="Times New Roman" w:eastAsiaTheme="minorHAnsi" w:hAnsi="Times New Roman"/>
          <w:sz w:val="24"/>
          <w:szCs w:val="24"/>
        </w:rPr>
        <w:t>Kodeksu karnego skarbowego stwierdza, że jeżeli w związku z przestępstwem skarbowym nastąpiło uszczuplenie należności publicznoprawnej, sąd może zastosować nadzwyczajne złagodzenie kary, w przypadku, gdy sprawca w terminie złożył informacje o schemacie podatkowym, a uszczuplona należność publicznoprawna wynika bezpośrednio z zastosowania tego schematu podatkowego.</w:t>
      </w:r>
    </w:p>
    <w:p w:rsidR="00D62378" w:rsidRPr="009A3C86" w:rsidRDefault="00AA1DE3"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Przepisy MDR </w:t>
      </w:r>
      <w:r w:rsidR="00D62378" w:rsidRPr="009A3C86">
        <w:rPr>
          <w:rFonts w:ascii="Times New Roman" w:eastAsiaTheme="minorHAnsi" w:hAnsi="Times New Roman"/>
          <w:sz w:val="24"/>
          <w:szCs w:val="24"/>
        </w:rPr>
        <w:t>przewidują również sytuacje, w których obowiązek raportowania spoczywa n</w:t>
      </w:r>
      <w:r w:rsidR="00D62378" w:rsidRPr="009A3C86">
        <w:rPr>
          <w:rFonts w:ascii="Times New Roman" w:eastAsia="Times New Roman" w:hAnsi="Times New Roman"/>
          <w:sz w:val="24"/>
          <w:szCs w:val="24"/>
          <w:lang w:eastAsia="pl-PL"/>
        </w:rPr>
        <w:t xml:space="preserve">a promotorze czy wspomagającym. </w:t>
      </w:r>
      <w:r w:rsidR="00D62378" w:rsidRPr="009A3C86">
        <w:rPr>
          <w:rFonts w:ascii="Times New Roman" w:eastAsiaTheme="minorHAnsi" w:hAnsi="Times New Roman"/>
          <w:sz w:val="24"/>
          <w:szCs w:val="24"/>
        </w:rPr>
        <w:t xml:space="preserve">Przewiduje się, że promotorem może być każda osoba fizyczna, w szczególności: doradca podatkowy, adwokat, radca prawny, pracownik banku lub innej instytucji finansowej doradzającego klientom, a także każda inna osoba fizyczna, osoba </w:t>
      </w:r>
      <w:r w:rsidR="00D62378" w:rsidRPr="009A3C86">
        <w:rPr>
          <w:rFonts w:ascii="Times New Roman" w:eastAsiaTheme="minorHAnsi" w:hAnsi="Times New Roman"/>
          <w:sz w:val="24"/>
          <w:szCs w:val="24"/>
        </w:rPr>
        <w:lastRenderedPageBreak/>
        <w:t>prawna lub jednostka organizacyjna nieposiadająca osobowości prawnej, również w przypadku gdy nie posiada miejsca zamieszkania, siedziby ani zarządu na terytorium Rzeczypospolitej Polskiej, jeśli wykonuje czynności objęte regulacjami projektu.</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Natomiast za wspomagającego będzie uznany m.in. biegły rewident, notariusz czy osoba świadcząca usługi prowadzenia ksiąg rachunkowych spełniająca określone w ustawie przesłanki.</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Oznacza to, że pojęcie „promotor” i „wspomagający” będzie obejmowało szeroki krąg doradców, w tym osób wykonujących zawody zaufania publicznego.</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Istotną kwestią jest obowiązek raportowania nałożony na osoby wykonujące zawody zaufania publicznego (np. doradca podatkowy, adwokat, radca prawny, notariusz czy biegły rewident). Podmioty te obowiązane są do zachowania w tajemnicy wszystkich informacji i dokumentów związanych z wykonywaniem zawodu. Obowiązek zachowania tajemnicy zawodowej nie jest ograniczony w czasie. Obowiązek zachowania tajemnicy zawodowej został uregulowany w art. 37 ustawy o doradztwie podatkowym</w:t>
      </w:r>
      <w:r w:rsidRPr="009A3C86">
        <w:rPr>
          <w:rFonts w:ascii="Times New Roman" w:eastAsiaTheme="minorHAnsi" w:hAnsi="Times New Roman"/>
          <w:sz w:val="24"/>
          <w:szCs w:val="24"/>
          <w:vertAlign w:val="superscript"/>
        </w:rPr>
        <w:footnoteReference w:id="375"/>
      </w:r>
      <w:r w:rsidRPr="009A3C86">
        <w:rPr>
          <w:rFonts w:ascii="Times New Roman" w:eastAsiaTheme="minorHAnsi" w:hAnsi="Times New Roman"/>
          <w:sz w:val="24"/>
          <w:szCs w:val="24"/>
        </w:rPr>
        <w:t>, w art. 6 ustawy – Prawo o adwokaturze</w:t>
      </w:r>
      <w:r w:rsidRPr="009A3C86">
        <w:rPr>
          <w:rFonts w:ascii="Times New Roman" w:eastAsiaTheme="minorHAnsi" w:hAnsi="Times New Roman"/>
          <w:sz w:val="24"/>
          <w:szCs w:val="24"/>
          <w:vertAlign w:val="superscript"/>
        </w:rPr>
        <w:footnoteReference w:id="376"/>
      </w:r>
      <w:r w:rsidRPr="009A3C86">
        <w:rPr>
          <w:rFonts w:ascii="Times New Roman" w:eastAsiaTheme="minorHAnsi" w:hAnsi="Times New Roman"/>
          <w:sz w:val="24"/>
          <w:szCs w:val="24"/>
        </w:rPr>
        <w:t>, w art. 3 ustawy o radcach prawnych</w:t>
      </w:r>
      <w:r w:rsidRPr="009A3C86">
        <w:rPr>
          <w:rFonts w:ascii="Times New Roman" w:eastAsiaTheme="minorHAnsi" w:hAnsi="Times New Roman"/>
          <w:sz w:val="24"/>
          <w:szCs w:val="24"/>
          <w:vertAlign w:val="superscript"/>
        </w:rPr>
        <w:footnoteReference w:id="377"/>
      </w:r>
      <w:r w:rsidRPr="009A3C86">
        <w:rPr>
          <w:rFonts w:ascii="Times New Roman" w:eastAsiaTheme="minorHAnsi" w:hAnsi="Times New Roman"/>
          <w:sz w:val="24"/>
          <w:szCs w:val="24"/>
        </w:rPr>
        <w:t>, w art. 18 ustawy. - Prawo o notariacie</w:t>
      </w:r>
      <w:r w:rsidRPr="009A3C86">
        <w:rPr>
          <w:rFonts w:ascii="Times New Roman" w:eastAsiaTheme="minorHAnsi" w:hAnsi="Times New Roman"/>
          <w:sz w:val="24"/>
          <w:szCs w:val="24"/>
          <w:vertAlign w:val="superscript"/>
        </w:rPr>
        <w:footnoteReference w:id="378"/>
      </w:r>
      <w:r w:rsidRPr="009A3C86">
        <w:rPr>
          <w:rFonts w:ascii="Times New Roman" w:eastAsiaTheme="minorHAnsi" w:hAnsi="Times New Roman"/>
          <w:sz w:val="24"/>
          <w:szCs w:val="24"/>
        </w:rPr>
        <w:t xml:space="preserve"> i w art. 78 ust. 1 ustawy o biegłych rewidentach, firmach audytorskich oraz o nadzorze publicznym</w:t>
      </w:r>
      <w:r w:rsidRPr="009A3C86">
        <w:rPr>
          <w:rFonts w:ascii="Times New Roman" w:eastAsiaTheme="minorHAnsi" w:hAnsi="Times New Roman"/>
          <w:sz w:val="24"/>
          <w:szCs w:val="24"/>
          <w:vertAlign w:val="superscript"/>
        </w:rPr>
        <w:footnoteReference w:id="379"/>
      </w:r>
      <w:r w:rsidRPr="009A3C86">
        <w:rPr>
          <w:rFonts w:ascii="Times New Roman" w:eastAsiaTheme="minorHAnsi" w:hAnsi="Times New Roman"/>
          <w:sz w:val="24"/>
          <w:szCs w:val="24"/>
        </w:rPr>
        <w:t>.</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Obowiązek zachowania tajemnicy zawodowej doznaje jednak pewnego ograniczenia. Nie dotyczy informacji udostępnianych na podstawie przepisów rozdziału 9 ustawy z dnia 16 listopada 2000 r. o przeciwdziałaniu praniu pieniędzy oraz finansowaniu terroryzmu (Dz.U. z 2018 r. poz. 723) - w zakresie określonym tymi przepisami.</w:t>
      </w:r>
    </w:p>
    <w:p w:rsidR="00D62378" w:rsidRPr="009A3C86" w:rsidRDefault="00AA1DE3"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Przepisy </w:t>
      </w:r>
      <w:r w:rsidR="00D62378" w:rsidRPr="009A3C86">
        <w:rPr>
          <w:rFonts w:ascii="Times New Roman" w:eastAsiaTheme="minorHAnsi" w:hAnsi="Times New Roman"/>
          <w:sz w:val="24"/>
          <w:szCs w:val="24"/>
        </w:rPr>
        <w:t>MDR nie naruszają gwarantowanego prawnie obowiązku zachowania tajemnicy zawodowej przez osoby wykonujące zawody zaufania publicznego. Reasumując, proponowane rozwiązania mają na celu jak najdalej idącą ochronę tajemnicy zawodowej, co przejawia się w:</w:t>
      </w:r>
    </w:p>
    <w:p w:rsidR="00D62378" w:rsidRPr="009A3C86" w:rsidRDefault="00D62378" w:rsidP="00D62378">
      <w:pPr>
        <w:numPr>
          <w:ilvl w:val="0"/>
          <w:numId w:val="43"/>
        </w:num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zasadzie nieujawniania danych korzystających ze schematów podatkowych w przypadku braku zwolnienia promotora lub wspomagającego z obowiązku zachowania tajemnicy zawodowej,</w:t>
      </w:r>
    </w:p>
    <w:p w:rsidR="00D62378" w:rsidRPr="009A3C86" w:rsidRDefault="00D62378" w:rsidP="00D62378">
      <w:pPr>
        <w:numPr>
          <w:ilvl w:val="0"/>
          <w:numId w:val="43"/>
        </w:num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lastRenderedPageBreak/>
        <w:t>zasadzie raportowania schematów przez korzystającego, jeśli promotor lub wspomagający nie zostaną zwolnieni z obowiązku zachowania tajemnicy zawodowej,</w:t>
      </w:r>
    </w:p>
    <w:p w:rsidR="00D62378" w:rsidRPr="009A3C86" w:rsidRDefault="00D62378" w:rsidP="00D62378">
      <w:pPr>
        <w:numPr>
          <w:ilvl w:val="0"/>
          <w:numId w:val="43"/>
        </w:num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zasadzie raportowania schematów standaryzowanych, w których nie będą ujawniane dane korzystających objęte tajemnicą zawodową, które pozwoliłyby na identyfikację korzystających. </w:t>
      </w:r>
    </w:p>
    <w:p w:rsidR="00D62378" w:rsidRPr="009A3C86" w:rsidRDefault="00D62378" w:rsidP="00D62378">
      <w:pPr>
        <w:spacing w:before="120" w:after="16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Przyjęte w projekcie rozwiązania pozwalają na realizację celu ustawy, przy jednoczesnym respektowaniu obowiązku zachowania tajemnicy zawodowej przez promotorów lub wspomagających.</w:t>
      </w:r>
    </w:p>
    <w:p w:rsidR="00D62378" w:rsidRPr="009A3C86" w:rsidRDefault="00D62378" w:rsidP="00D62378">
      <w:pPr>
        <w:spacing w:before="120" w:after="16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W konsekwencji informowanie o schematach standaryzowanych nie narusz</w:t>
      </w:r>
      <w:r w:rsidR="00AA1DE3" w:rsidRPr="009A3C86">
        <w:rPr>
          <w:rFonts w:ascii="Times New Roman" w:eastAsiaTheme="minorHAnsi" w:hAnsi="Times New Roman"/>
          <w:sz w:val="24"/>
          <w:szCs w:val="24"/>
        </w:rPr>
        <w:t>a</w:t>
      </w:r>
      <w:r w:rsidRPr="009A3C86">
        <w:rPr>
          <w:rFonts w:ascii="Times New Roman" w:eastAsiaTheme="minorHAnsi" w:hAnsi="Times New Roman"/>
          <w:sz w:val="24"/>
          <w:szCs w:val="24"/>
        </w:rPr>
        <w:t xml:space="preserve"> zasady zachowania tajemnicy zawodowej.</w:t>
      </w:r>
      <w:r w:rsidR="00851A08" w:rsidRPr="009A3C86">
        <w:rPr>
          <w:rFonts w:ascii="Times New Roman" w:eastAsiaTheme="minorHAnsi" w:hAnsi="Times New Roman"/>
          <w:sz w:val="24"/>
          <w:szCs w:val="24"/>
        </w:rPr>
        <w:t xml:space="preserve"> </w:t>
      </w:r>
      <w:r w:rsidR="00AA1DE3" w:rsidRPr="009A3C86">
        <w:rPr>
          <w:rFonts w:ascii="Times New Roman" w:eastAsiaTheme="minorHAnsi" w:hAnsi="Times New Roman"/>
          <w:sz w:val="24"/>
          <w:szCs w:val="24"/>
        </w:rPr>
        <w:t>P</w:t>
      </w:r>
      <w:r w:rsidRPr="009A3C86">
        <w:rPr>
          <w:rFonts w:ascii="Times New Roman" w:eastAsiaTheme="minorHAnsi" w:hAnsi="Times New Roman"/>
          <w:sz w:val="24"/>
          <w:szCs w:val="24"/>
        </w:rPr>
        <w:t xml:space="preserve">rzekazywana informacja o schemacie nie będzie zawierała danych identyfikujących korzystającego. Co więcej, kwartalna aktualizacja m.in. o udostępnieniu schematu standaryzowanego również zawiera ustawową gwarancję braku obowiązku przekazywania takich danych (art. </w:t>
      </w:r>
      <w:r w:rsidR="00CE6458" w:rsidRPr="009A3C86">
        <w:rPr>
          <w:rFonts w:ascii="Times New Roman" w:eastAsiaTheme="minorHAnsi" w:hAnsi="Times New Roman"/>
          <w:b/>
          <w:sz w:val="24"/>
          <w:szCs w:val="24"/>
        </w:rPr>
        <w:t>311 § 4</w:t>
      </w:r>
      <w:r w:rsidRPr="009A3C86">
        <w:rPr>
          <w:rFonts w:ascii="Times New Roman" w:eastAsiaTheme="minorHAnsi" w:hAnsi="Times New Roman"/>
          <w:sz w:val="24"/>
          <w:szCs w:val="24"/>
        </w:rPr>
        <w:t>). Należy wskazać, że abstrakcyjne opisy stosowanych schematów podatkowych są często otwarcie publikowane w celach marketingowych na stronach promotorów oraz w szeroko dostępnych publikacjach prawnopodatkowych. Nie są znane projektodawcy żadne sprawy, w których tego rodzaju działania byłyby traktowane jako naruszenie tajemnicy zawodowej. Wynika to z faktu, że nie ma prostego sposobu „skojarzenia” schematu standaryzowanego z konkretnym korzystającym. Taka jest bowiem istota tego rodzaju schematów, które bez istotnych zmian można potencjalnie wdrożyć u wielu korzystających. Przykłady wymienione zostały w dalszej części uzasadnienia dotyczącej specyficznie tego rodzaju schematów.</w:t>
      </w:r>
    </w:p>
    <w:p w:rsidR="00D62378" w:rsidRPr="009A3C86" w:rsidRDefault="00D62378" w:rsidP="00D62378">
      <w:pPr>
        <w:spacing w:before="120" w:after="16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 kolei w przypadku schematów innych niż standaryzowane, gdzie istniałoby rzeczywiste ryzyko ujawnienia tożsamości korzystającego, promotor objęty obowiązkiem zachowania tajemnicy zawodowej (i niezwolniony z niej przez klienta) nie ma obowiązku przekazania tych informacji Szefowi KAS. Również więc w tym wypadku ochrona tej tajemnicy nie uznaje uszczerbku. </w:t>
      </w:r>
    </w:p>
    <w:p w:rsidR="00D62378" w:rsidRPr="009A3C86" w:rsidRDefault="00AA1DE3" w:rsidP="00D62378">
      <w:pPr>
        <w:keepNext/>
        <w:keepLines/>
        <w:spacing w:before="40" w:after="0" w:line="360" w:lineRule="auto"/>
        <w:ind w:left="720"/>
        <w:jc w:val="both"/>
        <w:outlineLvl w:val="2"/>
        <w:rPr>
          <w:rFonts w:ascii="Times New Roman" w:eastAsiaTheme="majorEastAsia" w:hAnsi="Times New Roman" w:cstheme="majorBidi"/>
          <w:i/>
          <w:color w:val="000000" w:themeColor="text1"/>
          <w:sz w:val="24"/>
          <w:szCs w:val="24"/>
        </w:rPr>
      </w:pPr>
      <w:r w:rsidRPr="009A3C86">
        <w:rPr>
          <w:rFonts w:ascii="Times New Roman" w:eastAsiaTheme="majorEastAsia" w:hAnsi="Times New Roman" w:cstheme="majorBidi"/>
          <w:i/>
          <w:color w:val="000000" w:themeColor="text1"/>
          <w:sz w:val="24"/>
          <w:szCs w:val="24"/>
        </w:rPr>
        <w:t>S</w:t>
      </w:r>
      <w:r w:rsidR="00D62378" w:rsidRPr="009A3C86">
        <w:rPr>
          <w:rFonts w:ascii="Times New Roman" w:eastAsiaTheme="majorEastAsia" w:hAnsi="Times New Roman" w:cstheme="majorBidi"/>
          <w:i/>
          <w:color w:val="000000" w:themeColor="text1"/>
          <w:sz w:val="24"/>
          <w:szCs w:val="24"/>
        </w:rPr>
        <w:t>kutki realizacji projektu</w:t>
      </w:r>
    </w:p>
    <w:p w:rsidR="00D62378" w:rsidRPr="009A3C86" w:rsidRDefault="00D62378" w:rsidP="00D62378">
      <w:pPr>
        <w:numPr>
          <w:ilvl w:val="0"/>
          <w:numId w:val="36"/>
        </w:numPr>
        <w:spacing w:before="120" w:after="0" w:line="360" w:lineRule="auto"/>
        <w:contextualSpacing/>
        <w:jc w:val="both"/>
        <w:rPr>
          <w:rFonts w:ascii="Times New Roman" w:eastAsiaTheme="minorHAnsi" w:hAnsi="Times New Roman" w:cstheme="minorBidi"/>
          <w:color w:val="000000" w:themeColor="text1"/>
          <w:sz w:val="24"/>
          <w:szCs w:val="24"/>
        </w:rPr>
      </w:pPr>
      <w:r w:rsidRPr="009A3C86">
        <w:rPr>
          <w:rFonts w:ascii="Times New Roman" w:eastAsiaTheme="minorHAnsi" w:hAnsi="Times New Roman" w:cstheme="minorBidi"/>
          <w:color w:val="000000" w:themeColor="text1"/>
          <w:sz w:val="24"/>
          <w:szCs w:val="24"/>
        </w:rPr>
        <w:t>zapewnienie organom administracji skarbowej szybkiego dostępu do informacji o schematach podatkowych, potencjalnie agresywnym planowaniu lub nadużyciach związanych z planowaniem podatkowym oraz możliwości identyfikowania promotorów i użytkowników schematów podatkowych; pozwoli to na szybką reakcję na zagrożenia podatkowe, jakie stwarzają systemy planowania podatkowego,</w:t>
      </w:r>
    </w:p>
    <w:p w:rsidR="00D62378" w:rsidRPr="009A3C86" w:rsidRDefault="00D62378" w:rsidP="00D62378">
      <w:pPr>
        <w:numPr>
          <w:ilvl w:val="0"/>
          <w:numId w:val="36"/>
        </w:numPr>
        <w:spacing w:before="120" w:after="0" w:line="360" w:lineRule="auto"/>
        <w:contextualSpacing/>
        <w:jc w:val="both"/>
        <w:rPr>
          <w:rFonts w:ascii="Times New Roman" w:eastAsiaTheme="minorHAnsi" w:hAnsi="Times New Roman" w:cstheme="minorBidi"/>
          <w:color w:val="000000" w:themeColor="text1"/>
          <w:sz w:val="24"/>
          <w:szCs w:val="24"/>
        </w:rPr>
      </w:pPr>
      <w:r w:rsidRPr="009A3C86">
        <w:rPr>
          <w:rFonts w:ascii="Times New Roman" w:eastAsiaTheme="minorHAnsi" w:hAnsi="Times New Roman" w:cstheme="minorBidi"/>
          <w:color w:val="000000" w:themeColor="text1"/>
          <w:sz w:val="24"/>
          <w:szCs w:val="24"/>
        </w:rPr>
        <w:lastRenderedPageBreak/>
        <w:t>zachęcenie podatników i ich doradców do dostarczania organom podatkowym szczegółowo i terminowo istotnych informacji o planowaniu podatkowym, jeśli mieszczą się w definicji schematu podatkowego,</w:t>
      </w:r>
    </w:p>
    <w:p w:rsidR="00D62378" w:rsidRPr="009A3C86" w:rsidRDefault="00D62378" w:rsidP="00D62378">
      <w:pPr>
        <w:numPr>
          <w:ilvl w:val="0"/>
          <w:numId w:val="36"/>
        </w:numPr>
        <w:spacing w:before="120" w:after="0" w:line="360" w:lineRule="auto"/>
        <w:contextualSpacing/>
        <w:jc w:val="both"/>
        <w:rPr>
          <w:rFonts w:ascii="Times New Roman" w:eastAsiaTheme="minorHAnsi" w:hAnsi="Times New Roman" w:cstheme="minorBidi"/>
          <w:color w:val="000000" w:themeColor="text1"/>
          <w:sz w:val="24"/>
          <w:szCs w:val="24"/>
        </w:rPr>
      </w:pPr>
      <w:r w:rsidRPr="009A3C86">
        <w:rPr>
          <w:rFonts w:ascii="Times New Roman" w:eastAsiaTheme="minorHAnsi" w:hAnsi="Times New Roman" w:cstheme="minorBidi"/>
          <w:color w:val="000000" w:themeColor="text1"/>
          <w:sz w:val="24"/>
          <w:szCs w:val="24"/>
        </w:rPr>
        <w:t xml:space="preserve">zidentyfikowanie obszarów, gdzie mogą występować luki w systemie podatkowym wykorzystywane w schematach podatkowych, w tym w schematach transgranicznych, </w:t>
      </w:r>
    </w:p>
    <w:p w:rsidR="00D62378" w:rsidRPr="009A3C86" w:rsidRDefault="00D62378" w:rsidP="00D62378">
      <w:pPr>
        <w:numPr>
          <w:ilvl w:val="0"/>
          <w:numId w:val="36"/>
        </w:numPr>
        <w:spacing w:before="120" w:after="0" w:line="360" w:lineRule="auto"/>
        <w:contextualSpacing/>
        <w:jc w:val="both"/>
        <w:rPr>
          <w:rFonts w:ascii="Times New Roman" w:eastAsiaTheme="minorHAnsi" w:hAnsi="Times New Roman" w:cstheme="minorBidi"/>
          <w:color w:val="000000" w:themeColor="text1"/>
          <w:sz w:val="24"/>
          <w:szCs w:val="24"/>
        </w:rPr>
      </w:pPr>
      <w:r w:rsidRPr="009A3C86">
        <w:rPr>
          <w:rFonts w:ascii="Times New Roman" w:eastAsiaTheme="minorHAnsi" w:hAnsi="Times New Roman" w:cstheme="minorBidi"/>
          <w:color w:val="000000" w:themeColor="text1"/>
          <w:sz w:val="24"/>
          <w:szCs w:val="24"/>
        </w:rPr>
        <w:t>uszczelnienie systemu podatkowego, ograniczenie nadużyć podatkowych związanych z agresywnym planowaniem podatkowym; posiadanie przez organy podatkowe informacji o schematach podatkowych, ich użytkownikach i promotorach może mieć istotne znaczenie w walce z unikaniem opodatkowania, co powinno skutkować zwiększeniem wpływów budżetowych,</w:t>
      </w:r>
    </w:p>
    <w:p w:rsidR="00D62378" w:rsidRPr="009A3C86" w:rsidRDefault="00D62378" w:rsidP="00D62378">
      <w:pPr>
        <w:numPr>
          <w:ilvl w:val="0"/>
          <w:numId w:val="36"/>
        </w:numPr>
        <w:spacing w:before="120" w:after="160" w:line="360" w:lineRule="auto"/>
        <w:contextualSpacing/>
        <w:jc w:val="both"/>
        <w:rPr>
          <w:rFonts w:ascii="Times New Roman" w:eastAsiaTheme="minorHAnsi" w:hAnsi="Times New Roman" w:cstheme="minorBidi"/>
          <w:color w:val="000000" w:themeColor="text1"/>
          <w:sz w:val="24"/>
          <w:szCs w:val="24"/>
        </w:rPr>
      </w:pPr>
      <w:r w:rsidRPr="009A3C86">
        <w:rPr>
          <w:rFonts w:ascii="Times New Roman" w:eastAsiaTheme="minorHAnsi" w:hAnsi="Times New Roman" w:cstheme="minorBidi"/>
          <w:color w:val="000000" w:themeColor="text1"/>
          <w:sz w:val="24"/>
          <w:szCs w:val="24"/>
        </w:rPr>
        <w:t>zniechęcenie podatników i ich doradców do podejmowania agresywnego planowania podatkowego przy użyciu schematów podatkowych.</w:t>
      </w:r>
    </w:p>
    <w:p w:rsidR="00D62378" w:rsidRPr="009A3C86" w:rsidRDefault="00D62378" w:rsidP="00D62378">
      <w:pPr>
        <w:keepNext/>
        <w:keepLines/>
        <w:spacing w:before="40" w:after="0" w:line="360" w:lineRule="auto"/>
        <w:ind w:left="660"/>
        <w:jc w:val="both"/>
        <w:outlineLvl w:val="1"/>
        <w:rPr>
          <w:rFonts w:ascii="Times New Roman" w:eastAsiaTheme="majorEastAsia" w:hAnsi="Times New Roman" w:cstheme="majorBidi"/>
          <w:sz w:val="24"/>
          <w:szCs w:val="24"/>
        </w:rPr>
      </w:pPr>
      <w:r w:rsidRPr="009A3C86">
        <w:rPr>
          <w:rFonts w:ascii="Times New Roman" w:eastAsiaTheme="majorEastAsia" w:hAnsi="Times New Roman"/>
          <w:b/>
          <w:sz w:val="24"/>
          <w:szCs w:val="24"/>
        </w:rPr>
        <w:t>Szczegółowe omówienie przepisów dotyczących</w:t>
      </w:r>
      <w:r w:rsidRPr="009A3C86">
        <w:rPr>
          <w:rFonts w:ascii="Times New Roman" w:eastAsiaTheme="majorEastAsia" w:hAnsi="Times New Roman" w:cstheme="majorBidi"/>
          <w:b/>
          <w:sz w:val="24"/>
          <w:szCs w:val="24"/>
        </w:rPr>
        <w:t xml:space="preserve"> raportowania schematów podatkowych „MDR” </w:t>
      </w:r>
    </w:p>
    <w:p w:rsidR="00D62378" w:rsidRPr="009A3C86" w:rsidRDefault="00D62378" w:rsidP="00D62378">
      <w:pPr>
        <w:spacing w:before="120" w:after="0" w:line="360" w:lineRule="auto"/>
        <w:jc w:val="both"/>
        <w:rPr>
          <w:rFonts w:ascii="Times New Roman" w:eastAsiaTheme="minorHAnsi" w:hAnsi="Times New Roman" w:cstheme="minorBidi"/>
          <w:i/>
          <w:color w:val="000000" w:themeColor="text1"/>
          <w:sz w:val="24"/>
          <w:szCs w:val="24"/>
        </w:rPr>
      </w:pPr>
      <w:r w:rsidRPr="009A3C86">
        <w:rPr>
          <w:rFonts w:ascii="Times New Roman" w:eastAsiaTheme="minorHAnsi" w:hAnsi="Times New Roman" w:cstheme="minorBidi"/>
          <w:i/>
          <w:sz w:val="24"/>
          <w:szCs w:val="24"/>
        </w:rPr>
        <w:t>Określenie definicji najistotniejszych pojęć: korzystający, promotor, korzyść podatkowa, schemat podatkowy oraz przesłanki raportowania.</w:t>
      </w:r>
    </w:p>
    <w:p w:rsidR="00D62378" w:rsidRPr="009A3C86" w:rsidRDefault="00D62378" w:rsidP="00D62378">
      <w:pPr>
        <w:spacing w:before="120" w:after="0" w:line="360" w:lineRule="auto"/>
        <w:jc w:val="both"/>
        <w:rPr>
          <w:rFonts w:ascii="Times New Roman" w:eastAsiaTheme="minorHAnsi" w:hAnsi="Times New Roman" w:cstheme="minorBidi"/>
          <w:color w:val="000000" w:themeColor="text1"/>
          <w:sz w:val="24"/>
          <w:szCs w:val="24"/>
        </w:rPr>
      </w:pPr>
      <w:r w:rsidRPr="009A3C86">
        <w:rPr>
          <w:rFonts w:ascii="Times New Roman" w:eastAsiaTheme="minorHAnsi" w:hAnsi="Times New Roman" w:cstheme="minorBidi"/>
          <w:color w:val="000000" w:themeColor="text1"/>
          <w:sz w:val="24"/>
          <w:szCs w:val="24"/>
        </w:rPr>
        <w:t xml:space="preserve">Projektowane przepisy, z uwagi na swoją specyfikę i odrębność zostały zawarte w dziale </w:t>
      </w:r>
      <w:r w:rsidR="00304F61" w:rsidRPr="009A3C86">
        <w:rPr>
          <w:rFonts w:ascii="Times New Roman" w:eastAsiaTheme="minorHAnsi" w:hAnsi="Times New Roman" w:cstheme="minorBidi"/>
          <w:color w:val="000000" w:themeColor="text1"/>
          <w:sz w:val="24"/>
          <w:szCs w:val="24"/>
        </w:rPr>
        <w:t>II</w:t>
      </w:r>
      <w:r w:rsidRPr="009A3C86">
        <w:rPr>
          <w:rFonts w:ascii="Times New Roman" w:eastAsiaTheme="minorHAnsi" w:hAnsi="Times New Roman" w:cstheme="minorBidi"/>
          <w:color w:val="000000" w:themeColor="text1"/>
          <w:sz w:val="24"/>
          <w:szCs w:val="24"/>
        </w:rPr>
        <w:t xml:space="preserve"> rozdziale 15 Ordynacji podatkowej </w:t>
      </w:r>
      <w:r w:rsidRPr="009A3C86">
        <w:rPr>
          <w:rFonts w:ascii="Times New Roman" w:eastAsiaTheme="minorHAnsi" w:hAnsi="Times New Roman" w:cstheme="minorBidi"/>
          <w:i/>
          <w:color w:val="000000" w:themeColor="text1"/>
          <w:sz w:val="24"/>
          <w:szCs w:val="24"/>
        </w:rPr>
        <w:t>Informacje o schematach podatkowych</w:t>
      </w:r>
      <w:r w:rsidRPr="009A3C86">
        <w:rPr>
          <w:rFonts w:ascii="Times New Roman" w:eastAsiaTheme="minorHAnsi" w:hAnsi="Times New Roman" w:cstheme="minorBidi"/>
          <w:color w:val="000000" w:themeColor="text1"/>
          <w:sz w:val="24"/>
          <w:szCs w:val="24"/>
        </w:rPr>
        <w:t xml:space="preserve">. MDR, jako instrument służący do pozyskiwania informacji podatkowych o schematach podatkowych, został umieszczony – zgodnie z systematyką ww. ustawy w dziale </w:t>
      </w:r>
      <w:r w:rsidR="00304F61" w:rsidRPr="009A3C86">
        <w:rPr>
          <w:rFonts w:ascii="Times New Roman" w:eastAsiaTheme="minorHAnsi" w:hAnsi="Times New Roman" w:cstheme="minorBidi"/>
          <w:color w:val="000000" w:themeColor="text1"/>
          <w:sz w:val="24"/>
          <w:szCs w:val="24"/>
        </w:rPr>
        <w:t>II</w:t>
      </w:r>
      <w:r w:rsidRPr="009A3C86">
        <w:rPr>
          <w:rFonts w:ascii="Times New Roman" w:eastAsiaTheme="minorHAnsi" w:hAnsi="Times New Roman" w:cstheme="minorBidi"/>
          <w:color w:val="000000" w:themeColor="text1"/>
          <w:sz w:val="24"/>
          <w:szCs w:val="24"/>
        </w:rPr>
        <w:t>, bezpośrednio po rozdziale 14</w:t>
      </w:r>
      <w:r w:rsidR="00304F61" w:rsidRPr="009A3C86">
        <w:rPr>
          <w:rFonts w:ascii="Times New Roman" w:eastAsiaTheme="minorHAnsi" w:hAnsi="Times New Roman" w:cstheme="minorBidi"/>
          <w:color w:val="000000" w:themeColor="text1"/>
          <w:sz w:val="24"/>
          <w:szCs w:val="24"/>
        </w:rPr>
        <w:t xml:space="preserve"> Informacje podatkowe</w:t>
      </w:r>
      <w:r w:rsidRPr="009A3C86">
        <w:rPr>
          <w:rFonts w:ascii="Times New Roman" w:eastAsiaTheme="minorHAnsi" w:hAnsi="Times New Roman" w:cstheme="minorBidi"/>
          <w:color w:val="000000" w:themeColor="text1"/>
          <w:sz w:val="24"/>
          <w:szCs w:val="24"/>
        </w:rPr>
        <w:t>.</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Celem </w:t>
      </w:r>
      <w:r w:rsidR="00AA1DE3" w:rsidRPr="009A3C86">
        <w:rPr>
          <w:rFonts w:ascii="Times New Roman" w:eastAsiaTheme="minorHAnsi" w:hAnsi="Times New Roman"/>
          <w:sz w:val="24"/>
          <w:szCs w:val="24"/>
        </w:rPr>
        <w:t>MDR</w:t>
      </w:r>
      <w:r w:rsidRPr="009A3C86">
        <w:rPr>
          <w:rFonts w:ascii="Times New Roman" w:eastAsiaTheme="minorHAnsi" w:hAnsi="Times New Roman"/>
          <w:sz w:val="24"/>
          <w:szCs w:val="24"/>
        </w:rPr>
        <w:t xml:space="preserve"> jest przede wszystkim gromadzenie wiedzy dotyczącej działań podatników, którzy osiągają korzyści podatkowe. Efektem pozyskiwania informacji, będzie możliwość szybkiego reagowania oraz ewentualna nowelizacja przepisów.</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Dodatkowo projekt ustawy na potrzeby rozdziału definiuje również „korzyść podatkową”. Zgodnie z propozycją (art. </w:t>
      </w:r>
      <w:r w:rsidR="00CE6458" w:rsidRPr="009A3C86">
        <w:rPr>
          <w:rFonts w:ascii="Times New Roman" w:eastAsiaTheme="minorEastAsia" w:hAnsi="Times New Roman" w:cs="Arial"/>
          <w:b/>
          <w:bCs/>
          <w:sz w:val="24"/>
          <w:szCs w:val="24"/>
          <w:lang w:eastAsia="pl-PL"/>
        </w:rPr>
        <w:t>306 § 1 pkt 4</w:t>
      </w:r>
      <w:r w:rsidR="00EB5B8B"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Ordynacji podatkowej) korzyścią podatkową, będzie również:</w:t>
      </w:r>
    </w:p>
    <w:p w:rsidR="00AA1DE3" w:rsidRPr="009A3C86" w:rsidRDefault="00D62378" w:rsidP="00463D52">
      <w:pPr>
        <w:numPr>
          <w:ilvl w:val="0"/>
          <w:numId w:val="56"/>
        </w:numPr>
        <w:spacing w:after="0" w:line="360" w:lineRule="auto"/>
        <w:jc w:val="both"/>
        <w:rPr>
          <w:rFonts w:ascii="Times New Roman" w:eastAsiaTheme="minorEastAsia" w:hAnsi="Times New Roman" w:cs="Arial"/>
          <w:bCs/>
          <w:sz w:val="24"/>
          <w:szCs w:val="24"/>
          <w:lang w:eastAsia="pl-PL"/>
        </w:rPr>
      </w:pPr>
      <w:r w:rsidRPr="009A3C86">
        <w:rPr>
          <w:rFonts w:ascii="Times" w:eastAsiaTheme="minorEastAsia" w:hAnsi="Times" w:cs="Arial"/>
          <w:bCs/>
          <w:sz w:val="24"/>
          <w:szCs w:val="24"/>
          <w:lang w:eastAsia="pl-PL"/>
        </w:rPr>
        <w:t>podwyższenie kwoty nadwyżki podatku naliczonego nad należnym – w rozumieniu przepisów ustawy o podatku od towarów i usług – do przeniesienia na następny okres rozliczeniowy,</w:t>
      </w:r>
      <w:r w:rsidR="00094582" w:rsidRPr="009A3C86">
        <w:rPr>
          <w:rFonts w:ascii="Times" w:eastAsiaTheme="minorEastAsia" w:hAnsi="Times" w:cs="Arial"/>
          <w:bCs/>
          <w:sz w:val="24"/>
          <w:szCs w:val="24"/>
          <w:lang w:eastAsia="pl-PL"/>
        </w:rPr>
        <w:t xml:space="preserve"> </w:t>
      </w:r>
      <w:r w:rsidR="00EB5B8B" w:rsidRPr="009A3C86">
        <w:rPr>
          <w:rFonts w:ascii="Times" w:eastAsiaTheme="minorEastAsia" w:hAnsi="Times" w:cs="Arial"/>
          <w:bCs/>
          <w:sz w:val="24"/>
          <w:szCs w:val="24"/>
          <w:lang w:eastAsia="pl-PL"/>
        </w:rPr>
        <w:t xml:space="preserve">lub </w:t>
      </w:r>
      <w:r w:rsidRPr="009A3C86">
        <w:rPr>
          <w:rFonts w:ascii="Times" w:eastAsiaTheme="minorEastAsia" w:hAnsi="Times" w:cs="Arial"/>
          <w:bCs/>
          <w:sz w:val="24"/>
          <w:szCs w:val="24"/>
          <w:lang w:eastAsia="pl-PL"/>
        </w:rPr>
        <w:t>niepowstanie obowiązku lub odsunięcie w czasie powstania obowiązku sporządzania i przekazywania informacji podatkowych</w:t>
      </w:r>
      <w:r w:rsidR="00EB5B8B" w:rsidRPr="009A3C86">
        <w:rPr>
          <w:rFonts w:ascii="Times" w:eastAsiaTheme="minorEastAsia" w:hAnsi="Times" w:cs="Arial"/>
          <w:bCs/>
          <w:sz w:val="24"/>
          <w:szCs w:val="24"/>
          <w:lang w:eastAsia="pl-PL"/>
        </w:rPr>
        <w:t xml:space="preserve"> oraz </w:t>
      </w:r>
      <w:r w:rsidRPr="009A3C86">
        <w:rPr>
          <w:rFonts w:ascii="Times" w:eastAsiaTheme="minorEastAsia" w:hAnsi="Times" w:cs="Arial"/>
          <w:bCs/>
          <w:sz w:val="24"/>
          <w:szCs w:val="24"/>
          <w:lang w:eastAsia="pl-PL"/>
        </w:rPr>
        <w:t xml:space="preserve">informacji o schematach podatkowych. </w:t>
      </w:r>
    </w:p>
    <w:p w:rsidR="00D62378" w:rsidRPr="009A3C86" w:rsidRDefault="00D62378" w:rsidP="00463D52">
      <w:pPr>
        <w:spacing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Poszerzenie definicji korzyści podatkowej dla potrzeb przepisów o raportowaniu informacji o</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schematach podatkowych wynika ze specyfiki tych uregulowań, która obejmuje zakresem zainteresowania szerszy zakres działań podatników niż ma to miejsce w przypadku przepisów klauzuli przeciwko unikaniu opodatkowania, tj. tworzenie schematów wymierzonych w</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obchodzenie obowiązków informacyjnych.</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Dodatkowo, z uwagi na odrębne uregulowanie problematyki nadużyć podatkowych, które zawarte jest w ustawie o podatku od towarów i</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usług (art. 5 ust. 5 ustawy o podatku od towarów i usług) przepisy klauzuli przeciwko unikaniu opodatkowania nie znajdują zastosowania do nieprawidłowości na gruncie tego podatku. W tym celu za właściwe uznano poszerzenie definicji korzyści podatkowej dla potrzeb informacji o schematach podatkowych również o sytuacje odnoszące się wprost do problematyki podatku od towarów i usług – tj. sytuację podwyższenia kwoty nadwyżki podatku naliczonego nad należnym przepisów wskazanej ustawy.</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Najistotniejsze pojęcia m.in.: „</w:t>
      </w:r>
      <w:r w:rsidRPr="009A3C86">
        <w:rPr>
          <w:rFonts w:ascii="Times New Roman" w:eastAsiaTheme="minorHAnsi" w:hAnsi="Times New Roman" w:cstheme="minorBidi"/>
          <w:b/>
          <w:sz w:val="24"/>
          <w:szCs w:val="24"/>
        </w:rPr>
        <w:t>promotor”, „</w:t>
      </w:r>
      <w:r w:rsidRPr="009A3C86">
        <w:rPr>
          <w:rFonts w:ascii="Times New Roman" w:eastAsiaTheme="minorEastAsia" w:hAnsi="Times New Roman"/>
          <w:bCs/>
          <w:sz w:val="24"/>
          <w:szCs w:val="24"/>
        </w:rPr>
        <w:t xml:space="preserve">korzystający”, „wspomagający”, </w:t>
      </w:r>
      <w:r w:rsidRPr="009A3C86">
        <w:rPr>
          <w:rFonts w:ascii="Times New Roman" w:eastAsiaTheme="minorHAnsi" w:hAnsi="Times New Roman"/>
          <w:sz w:val="24"/>
          <w:szCs w:val="24"/>
        </w:rPr>
        <w:t>„schemat podatkowy”,</w:t>
      </w:r>
      <w:r w:rsidRPr="009A3C86">
        <w:rPr>
          <w:rFonts w:ascii="Times New Roman" w:eastAsiaTheme="minorEastAsia" w:hAnsi="Times New Roman"/>
          <w:bCs/>
          <w:sz w:val="24"/>
          <w:szCs w:val="24"/>
        </w:rPr>
        <w:t xml:space="preserve"> „ogólna cecha rozpoznawcza”, „szczególna cecha rozpoznawcza”, „udostępnianie schematu” czy „wdrożenie schematu” </w:t>
      </w:r>
      <w:r w:rsidRPr="009A3C86">
        <w:rPr>
          <w:rFonts w:ascii="Times New Roman" w:eastAsiaTheme="minorHAnsi" w:hAnsi="Times New Roman"/>
          <w:sz w:val="24"/>
          <w:szCs w:val="24"/>
        </w:rPr>
        <w:t>zostały zdefiniowane dla potrzeb stosowania rozdziału 15 w słowniczku w </w:t>
      </w:r>
      <w:r w:rsidRPr="009A3C86">
        <w:rPr>
          <w:rFonts w:ascii="Times New Roman" w:eastAsiaTheme="minorHAnsi" w:hAnsi="Times New Roman"/>
          <w:b/>
          <w:sz w:val="24"/>
          <w:szCs w:val="24"/>
        </w:rPr>
        <w:t xml:space="preserve">art. </w:t>
      </w:r>
      <w:r w:rsidR="00EB5B8B" w:rsidRPr="009A3C86">
        <w:rPr>
          <w:rFonts w:ascii="Times New Roman" w:eastAsiaTheme="minorHAnsi" w:hAnsi="Times New Roman"/>
          <w:b/>
          <w:sz w:val="24"/>
          <w:szCs w:val="24"/>
        </w:rPr>
        <w:t>306</w:t>
      </w:r>
      <w:r w:rsidR="00693BA5" w:rsidRPr="009A3C86">
        <w:rPr>
          <w:rFonts w:ascii="Times New Roman" w:eastAsiaTheme="minorHAnsi" w:hAnsi="Times New Roman"/>
          <w:b/>
          <w:sz w:val="24"/>
          <w:szCs w:val="24"/>
        </w:rPr>
        <w:t xml:space="preserve"> </w:t>
      </w:r>
      <w:r w:rsidRPr="009A3C86">
        <w:rPr>
          <w:rFonts w:ascii="Times New Roman" w:eastAsiaTheme="minorHAnsi" w:hAnsi="Times New Roman"/>
          <w:b/>
          <w:sz w:val="24"/>
          <w:szCs w:val="24"/>
        </w:rPr>
        <w:t>§ 1</w:t>
      </w:r>
      <w:r w:rsidRPr="009A3C86">
        <w:rPr>
          <w:rFonts w:ascii="Times New Roman" w:eastAsiaTheme="minorHAnsi" w:hAnsi="Times New Roman"/>
          <w:sz w:val="24"/>
          <w:szCs w:val="24"/>
        </w:rPr>
        <w:t xml:space="preserve"> Ordynacji podatkowej. Definicje zostały ułożone w kolejności alfabetycznej.</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Pojęcie </w:t>
      </w:r>
      <w:r w:rsidRPr="009A3C86">
        <w:rPr>
          <w:rFonts w:ascii="Times New Roman" w:eastAsiaTheme="minorHAnsi" w:hAnsi="Times New Roman" w:cstheme="minorBidi"/>
          <w:b/>
          <w:sz w:val="24"/>
          <w:szCs w:val="24"/>
        </w:rPr>
        <w:t>„korzystający”</w:t>
      </w:r>
      <w:r w:rsidRPr="009A3C86">
        <w:rPr>
          <w:rFonts w:ascii="Times New Roman" w:eastAsiaTheme="minorHAnsi" w:hAnsi="Times New Roman"/>
          <w:sz w:val="24"/>
          <w:szCs w:val="24"/>
        </w:rPr>
        <w:t xml:space="preserve"> zostało zdefiniowane w pkt </w:t>
      </w:r>
      <w:r w:rsidR="00EB5B8B" w:rsidRPr="009A3C86">
        <w:rPr>
          <w:rFonts w:ascii="Times New Roman" w:eastAsiaTheme="minorHAnsi" w:hAnsi="Times New Roman"/>
          <w:sz w:val="24"/>
          <w:szCs w:val="24"/>
        </w:rPr>
        <w:t>3</w:t>
      </w:r>
      <w:r w:rsidRPr="009A3C86">
        <w:rPr>
          <w:rFonts w:ascii="Times New Roman" w:eastAsiaTheme="minorHAnsi" w:hAnsi="Times New Roman"/>
          <w:sz w:val="24"/>
          <w:szCs w:val="24"/>
        </w:rPr>
        <w:t xml:space="preserve"> art. </w:t>
      </w:r>
      <w:r w:rsidR="00EB5B8B" w:rsidRPr="009A3C86">
        <w:rPr>
          <w:rFonts w:ascii="Times New Roman" w:eastAsiaTheme="minorHAnsi" w:hAnsi="Times New Roman"/>
          <w:sz w:val="24"/>
          <w:szCs w:val="24"/>
        </w:rPr>
        <w:t xml:space="preserve">306 </w:t>
      </w:r>
      <w:r w:rsidRPr="009A3C86">
        <w:rPr>
          <w:rFonts w:ascii="Times New Roman" w:eastAsiaTheme="minorHAnsi" w:hAnsi="Times New Roman"/>
          <w:sz w:val="24"/>
          <w:szCs w:val="24"/>
        </w:rPr>
        <w:t xml:space="preserve">§ 1 Ordynacji podatkowej. Zgodnie z projektowanym przepisem, korzystającym jest osoba fizyczna, osoba prawna lub jednostka organizacyjna niemająca osobowości prawnej, której </w:t>
      </w:r>
      <w:r w:rsidR="00EB5B8B" w:rsidRPr="009A3C86">
        <w:rPr>
          <w:rFonts w:ascii="Times New Roman" w:eastAsiaTheme="minorHAnsi" w:hAnsi="Times New Roman"/>
          <w:sz w:val="24"/>
          <w:szCs w:val="24"/>
        </w:rPr>
        <w:t xml:space="preserve">jest </w:t>
      </w:r>
      <w:r w:rsidRPr="009A3C86">
        <w:rPr>
          <w:rFonts w:ascii="Times New Roman" w:eastAsiaTheme="minorHAnsi" w:hAnsi="Times New Roman"/>
          <w:sz w:val="24"/>
          <w:szCs w:val="24"/>
        </w:rPr>
        <w:t xml:space="preserve">udostępniane lub u której </w:t>
      </w:r>
      <w:r w:rsidR="00EB5B8B" w:rsidRPr="009A3C86">
        <w:rPr>
          <w:rFonts w:ascii="Times New Roman" w:eastAsiaTheme="minorHAnsi" w:hAnsi="Times New Roman"/>
          <w:sz w:val="24"/>
          <w:szCs w:val="24"/>
        </w:rPr>
        <w:t xml:space="preserve">jest </w:t>
      </w:r>
      <w:r w:rsidRPr="009A3C86">
        <w:rPr>
          <w:rFonts w:ascii="Times New Roman" w:eastAsiaTheme="minorHAnsi" w:hAnsi="Times New Roman"/>
          <w:sz w:val="24"/>
          <w:szCs w:val="24"/>
        </w:rPr>
        <w:t>wdrażane uzgodnienie, lub która przygotowana jest do wdrożenia uzgodnienie lub dokonała jakiejkolwiek czynności służącej wdrożeniu takiego uzgodnienia.</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 </w:t>
      </w:r>
      <w:r w:rsidR="00CE6458" w:rsidRPr="009A3C86">
        <w:rPr>
          <w:rFonts w:ascii="Times New Roman" w:eastAsiaTheme="minorHAnsi" w:hAnsi="Times New Roman"/>
          <w:b/>
          <w:sz w:val="24"/>
          <w:szCs w:val="24"/>
        </w:rPr>
        <w:t>Punkt 4 w art. 306 § 1</w:t>
      </w:r>
      <w:r w:rsidRPr="009A3C86">
        <w:rPr>
          <w:rFonts w:ascii="Times New Roman" w:eastAsiaTheme="minorHAnsi" w:hAnsi="Times New Roman"/>
          <w:sz w:val="24"/>
          <w:szCs w:val="24"/>
        </w:rPr>
        <w:t xml:space="preserve"> Ordynacji podatkowej poszerz</w:t>
      </w:r>
      <w:r w:rsidR="00AA1DE3" w:rsidRPr="009A3C86">
        <w:rPr>
          <w:rFonts w:ascii="Times New Roman" w:eastAsiaTheme="minorHAnsi" w:hAnsi="Times New Roman"/>
          <w:sz w:val="24"/>
          <w:szCs w:val="24"/>
        </w:rPr>
        <w:t>a</w:t>
      </w:r>
      <w:r w:rsidRPr="009A3C86">
        <w:rPr>
          <w:rFonts w:ascii="Times New Roman" w:eastAsiaTheme="minorHAnsi" w:hAnsi="Times New Roman"/>
          <w:sz w:val="24"/>
          <w:szCs w:val="24"/>
        </w:rPr>
        <w:t xml:space="preserve"> ogóln</w:t>
      </w:r>
      <w:r w:rsidR="00AA1DE3" w:rsidRPr="009A3C86">
        <w:rPr>
          <w:rFonts w:ascii="Times New Roman" w:eastAsiaTheme="minorHAnsi" w:hAnsi="Times New Roman"/>
          <w:sz w:val="24"/>
          <w:szCs w:val="24"/>
        </w:rPr>
        <w:t>ą definicję</w:t>
      </w:r>
      <w:r w:rsidRPr="009A3C86">
        <w:rPr>
          <w:rFonts w:ascii="Times New Roman" w:eastAsiaTheme="minorHAnsi" w:hAnsi="Times New Roman"/>
          <w:sz w:val="24"/>
          <w:szCs w:val="24"/>
        </w:rPr>
        <w:t xml:space="preserve"> korzyści podatkowej z art. 13 pkt 7 Ordynacji podatkowej dla potrzeb stosowania przepisów o raportowaniu informacji o schematach podatkowych. Ustawa zawiera też definicję „</w:t>
      </w:r>
      <w:r w:rsidRPr="009A3C86">
        <w:rPr>
          <w:rFonts w:ascii="Times New Roman" w:eastAsiaTheme="minorHAnsi" w:hAnsi="Times New Roman" w:cstheme="minorBidi"/>
          <w:b/>
          <w:sz w:val="24"/>
          <w:szCs w:val="24"/>
        </w:rPr>
        <w:t>instytucji finansowej</w:t>
      </w:r>
      <w:r w:rsidRPr="009A3C86">
        <w:rPr>
          <w:rFonts w:ascii="Times New Roman" w:eastAsiaTheme="minorHAnsi" w:hAnsi="Times New Roman"/>
          <w:sz w:val="24"/>
          <w:szCs w:val="24"/>
        </w:rPr>
        <w:t>” (</w:t>
      </w:r>
      <w:r w:rsidRPr="009A3C86">
        <w:rPr>
          <w:rFonts w:ascii="Times New Roman" w:eastAsiaTheme="minorHAnsi" w:hAnsi="Times New Roman"/>
          <w:b/>
          <w:sz w:val="24"/>
          <w:szCs w:val="24"/>
        </w:rPr>
        <w:t xml:space="preserve">art. </w:t>
      </w:r>
      <w:r w:rsidR="00840C43" w:rsidRPr="009A3C86">
        <w:rPr>
          <w:rFonts w:ascii="Times New Roman" w:eastAsiaTheme="minorHAnsi" w:hAnsi="Times New Roman"/>
          <w:b/>
          <w:sz w:val="24"/>
          <w:szCs w:val="24"/>
        </w:rPr>
        <w:t xml:space="preserve">306 </w:t>
      </w:r>
      <w:r w:rsidRPr="009A3C86">
        <w:rPr>
          <w:rFonts w:ascii="Times New Roman" w:eastAsiaTheme="minorHAnsi" w:hAnsi="Times New Roman"/>
          <w:b/>
          <w:sz w:val="24"/>
          <w:szCs w:val="24"/>
        </w:rPr>
        <w:t xml:space="preserve">§ 1 pkt </w:t>
      </w:r>
      <w:r w:rsidR="00AA1DE3" w:rsidRPr="009A3C86">
        <w:rPr>
          <w:rFonts w:ascii="Times New Roman" w:eastAsiaTheme="minorHAnsi" w:hAnsi="Times New Roman"/>
          <w:b/>
          <w:sz w:val="24"/>
          <w:szCs w:val="24"/>
        </w:rPr>
        <w:t>2</w:t>
      </w:r>
      <w:r w:rsidRPr="009A3C86">
        <w:rPr>
          <w:rFonts w:ascii="Times New Roman" w:eastAsiaTheme="minorHAnsi" w:hAnsi="Times New Roman"/>
          <w:sz w:val="24"/>
          <w:szCs w:val="24"/>
        </w:rPr>
        <w:t xml:space="preserve">). Definicja wskazuje, że termin ten obejmować będzie instytucje finansowe w rozumieniu z art. 24 ust. 1 pkt 8 ustawy o wymianie informacji podatkowych z innymi państwami, jak również instytucje finansowe w rozumieniu art. 1 ust. 1 lit. g </w:t>
      </w:r>
      <w:r w:rsidR="00AC6E72" w:rsidRPr="009A3C86">
        <w:rPr>
          <w:rFonts w:ascii="Times New Roman" w:eastAsiaTheme="minorHAnsi" w:hAnsi="Times New Roman"/>
          <w:sz w:val="24"/>
          <w:szCs w:val="24"/>
        </w:rPr>
        <w:t>U</w:t>
      </w:r>
      <w:r w:rsidRPr="009A3C86">
        <w:rPr>
          <w:rFonts w:ascii="Times New Roman" w:eastAsiaTheme="minorHAnsi" w:hAnsi="Times New Roman"/>
          <w:sz w:val="24"/>
          <w:szCs w:val="24"/>
        </w:rPr>
        <w:t xml:space="preserve">mowy między Rządem Rzeczypospolitej Polskiej a Rządem Stanów Zjednoczonych Ameryki w sprawie poprawy wypełniania międzynarodowych obowiązków podatkowych oraz wdrożenia ustawodawstwa FATCA. Odwołanie do tych uregulowań związane jest z implementacją </w:t>
      </w:r>
      <w:r w:rsidRPr="009A3C86">
        <w:rPr>
          <w:rFonts w:ascii="Times New Roman" w:eastAsiaTheme="minorHAnsi" w:hAnsi="Times New Roman"/>
          <w:sz w:val="24"/>
          <w:szCs w:val="24"/>
        </w:rPr>
        <w:lastRenderedPageBreak/>
        <w:t>zastosowanych w Dyrektywie cech szczególnych powiązanych z automatyczną wymianą informacji (zob. cechy szczególne zawarte w lit. D załącznika do Dyrektywy).</w:t>
      </w:r>
    </w:p>
    <w:p w:rsidR="00D62378" w:rsidRPr="009A3C86" w:rsidRDefault="00AA1DE3"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Z</w:t>
      </w:r>
      <w:r w:rsidR="00D62378" w:rsidRPr="009A3C86">
        <w:rPr>
          <w:rFonts w:ascii="Times New Roman" w:eastAsiaTheme="minorHAnsi" w:hAnsi="Times New Roman"/>
          <w:sz w:val="24"/>
          <w:szCs w:val="24"/>
        </w:rPr>
        <w:t xml:space="preserve">głaszanym schematom podatkowym będzie nadawany </w:t>
      </w:r>
      <w:r w:rsidR="00D62378" w:rsidRPr="009A3C86">
        <w:rPr>
          <w:rFonts w:ascii="Times New Roman" w:eastAsiaTheme="minorHAnsi" w:hAnsi="Times New Roman" w:cstheme="minorBidi"/>
          <w:b/>
          <w:sz w:val="24"/>
          <w:szCs w:val="24"/>
        </w:rPr>
        <w:t>numer schematu podatkowego</w:t>
      </w:r>
      <w:r w:rsidR="00D62378" w:rsidRPr="009A3C86">
        <w:rPr>
          <w:rFonts w:ascii="Times New Roman" w:eastAsiaTheme="minorHAnsi" w:hAnsi="Times New Roman"/>
          <w:sz w:val="24"/>
          <w:szCs w:val="24"/>
        </w:rPr>
        <w:t xml:space="preserve"> (dalej: </w:t>
      </w:r>
      <w:r w:rsidR="00D62378" w:rsidRPr="009A3C86">
        <w:rPr>
          <w:rFonts w:ascii="Times New Roman" w:eastAsiaTheme="minorHAnsi" w:hAnsi="Times New Roman" w:cstheme="minorBidi"/>
          <w:b/>
          <w:sz w:val="24"/>
          <w:szCs w:val="24"/>
        </w:rPr>
        <w:t>NSP</w:t>
      </w:r>
      <w:r w:rsidR="00D62378" w:rsidRPr="009A3C86">
        <w:rPr>
          <w:rFonts w:ascii="Times New Roman" w:eastAsiaTheme="minorHAnsi" w:hAnsi="Times New Roman" w:cstheme="minorBidi"/>
          <w:sz w:val="24"/>
          <w:szCs w:val="24"/>
        </w:rPr>
        <w:t>)</w:t>
      </w:r>
      <w:r w:rsidR="00D62378" w:rsidRPr="009A3C86">
        <w:rPr>
          <w:rFonts w:ascii="Times New Roman" w:eastAsiaTheme="minorHAnsi" w:hAnsi="Times New Roman"/>
          <w:sz w:val="24"/>
          <w:szCs w:val="24"/>
        </w:rPr>
        <w:t xml:space="preserve"> - </w:t>
      </w:r>
      <w:r w:rsidR="00D62378" w:rsidRPr="009A3C86">
        <w:rPr>
          <w:rFonts w:ascii="Times New Roman" w:eastAsiaTheme="minorHAnsi" w:hAnsi="Times New Roman"/>
          <w:b/>
          <w:sz w:val="24"/>
          <w:szCs w:val="24"/>
        </w:rPr>
        <w:t xml:space="preserve">art. </w:t>
      </w:r>
      <w:r w:rsidR="00AC6E72" w:rsidRPr="009A3C86">
        <w:rPr>
          <w:rFonts w:ascii="Times New Roman" w:eastAsiaTheme="minorHAnsi" w:hAnsi="Times New Roman"/>
          <w:b/>
          <w:sz w:val="24"/>
          <w:szCs w:val="24"/>
        </w:rPr>
        <w:t xml:space="preserve">306 </w:t>
      </w:r>
      <w:r w:rsidR="00D62378" w:rsidRPr="009A3C86">
        <w:rPr>
          <w:rFonts w:ascii="Times New Roman" w:eastAsiaTheme="minorHAnsi" w:hAnsi="Times New Roman"/>
          <w:b/>
          <w:sz w:val="24"/>
          <w:szCs w:val="24"/>
        </w:rPr>
        <w:t xml:space="preserve">§ 1 pkt </w:t>
      </w:r>
      <w:r w:rsidRPr="009A3C86">
        <w:rPr>
          <w:rFonts w:ascii="Times New Roman" w:eastAsiaTheme="minorHAnsi" w:hAnsi="Times New Roman"/>
          <w:b/>
          <w:sz w:val="24"/>
          <w:szCs w:val="24"/>
        </w:rPr>
        <w:t>5</w:t>
      </w:r>
      <w:r w:rsidR="00D62378" w:rsidRPr="009A3C86">
        <w:rPr>
          <w:rFonts w:ascii="Times New Roman" w:eastAsiaTheme="minorHAnsi" w:hAnsi="Times New Roman"/>
          <w:sz w:val="24"/>
          <w:szCs w:val="24"/>
        </w:rPr>
        <w:t xml:space="preserve"> Ordynacji podatkowej). Projektowane przepisy przewidują obowiązek pisemnego informowania o NSP innych podmiotów, które zobowiązane mogą być do przekazania do Szefa KAS informacji o schemacie podatkowym (np. obowiązek promotora do pisemnego informowania korzystającego o nadanym NSP – </w:t>
      </w:r>
      <w:r w:rsidR="00D62378" w:rsidRPr="009A3C86">
        <w:rPr>
          <w:rFonts w:ascii="Times New Roman" w:eastAsiaTheme="minorHAnsi" w:hAnsi="Times New Roman"/>
          <w:b/>
          <w:sz w:val="24"/>
          <w:szCs w:val="24"/>
        </w:rPr>
        <w:t xml:space="preserve">art. </w:t>
      </w:r>
      <w:r w:rsidR="00AC6E72" w:rsidRPr="009A3C86">
        <w:rPr>
          <w:rFonts w:ascii="Times New Roman" w:eastAsiaTheme="minorHAnsi" w:hAnsi="Times New Roman"/>
          <w:b/>
          <w:sz w:val="24"/>
          <w:szCs w:val="24"/>
        </w:rPr>
        <w:t xml:space="preserve">307 </w:t>
      </w:r>
      <w:r w:rsidR="00D62378" w:rsidRPr="009A3C86">
        <w:rPr>
          <w:rFonts w:ascii="Times New Roman" w:eastAsiaTheme="minorHAnsi" w:hAnsi="Times New Roman"/>
          <w:b/>
          <w:sz w:val="24"/>
          <w:szCs w:val="24"/>
        </w:rPr>
        <w:t>§ 2</w:t>
      </w:r>
      <w:r w:rsidR="00D62378" w:rsidRPr="009A3C86">
        <w:rPr>
          <w:rFonts w:ascii="Times New Roman" w:eastAsiaTheme="minorHAnsi" w:hAnsi="Times New Roman"/>
          <w:sz w:val="24"/>
          <w:szCs w:val="24"/>
        </w:rPr>
        <w:t xml:space="preserve"> Ordynacji podatkowej). Przepisy wskazują również na konsekwencje pisemnego poinformowania innych podmiotów o NSP (art. </w:t>
      </w:r>
      <w:r w:rsidR="00AC6E72" w:rsidRPr="009A3C86">
        <w:rPr>
          <w:rFonts w:ascii="Times New Roman" w:eastAsiaTheme="minorHAnsi" w:hAnsi="Times New Roman"/>
          <w:sz w:val="24"/>
          <w:szCs w:val="24"/>
        </w:rPr>
        <w:t xml:space="preserve">310 </w:t>
      </w:r>
      <w:r w:rsidR="00D62378" w:rsidRPr="009A3C86">
        <w:rPr>
          <w:rFonts w:ascii="Times New Roman" w:eastAsiaTheme="minorHAnsi" w:hAnsi="Times New Roman"/>
          <w:sz w:val="24"/>
          <w:szCs w:val="24"/>
        </w:rPr>
        <w:t xml:space="preserve">§ 1 Ordynacji podatkowej). W przepisach przewidziano również prawo zainteresowanego do potwierdzenia w systemie MDR poprawności i braku unieważnienia </w:t>
      </w:r>
      <w:r w:rsidR="00C234E8" w:rsidRPr="009A3C86">
        <w:rPr>
          <w:rFonts w:ascii="Times New Roman" w:eastAsiaTheme="minorHAnsi" w:hAnsi="Times New Roman"/>
          <w:sz w:val="24"/>
          <w:szCs w:val="24"/>
        </w:rPr>
        <w:t>NSP</w:t>
      </w:r>
      <w:r w:rsidR="00AC6E72" w:rsidRPr="009A3C86">
        <w:rPr>
          <w:rFonts w:ascii="Times New Roman" w:eastAsiaTheme="minorHAnsi" w:hAnsi="Times New Roman"/>
          <w:sz w:val="24"/>
          <w:szCs w:val="24"/>
        </w:rPr>
        <w:t xml:space="preserve"> </w:t>
      </w:r>
      <w:r w:rsidR="00D62378" w:rsidRPr="009A3C86">
        <w:rPr>
          <w:rFonts w:ascii="Times New Roman" w:eastAsiaTheme="minorHAnsi" w:hAnsi="Times New Roman"/>
          <w:sz w:val="24"/>
          <w:szCs w:val="24"/>
        </w:rPr>
        <w:t xml:space="preserve">(art. </w:t>
      </w:r>
      <w:r w:rsidR="00AC6E72" w:rsidRPr="009A3C86">
        <w:rPr>
          <w:rFonts w:ascii="Times New Roman" w:eastAsiaTheme="minorHAnsi" w:hAnsi="Times New Roman"/>
          <w:sz w:val="24"/>
          <w:szCs w:val="24"/>
        </w:rPr>
        <w:t xml:space="preserve">312 </w:t>
      </w:r>
      <w:r w:rsidR="00D62378" w:rsidRPr="009A3C86">
        <w:rPr>
          <w:rFonts w:ascii="Times New Roman" w:eastAsiaTheme="minorHAnsi" w:hAnsi="Times New Roman"/>
          <w:sz w:val="24"/>
          <w:szCs w:val="24"/>
        </w:rPr>
        <w:t xml:space="preserve">§ </w:t>
      </w:r>
      <w:r w:rsidR="00AC6E72" w:rsidRPr="009A3C86">
        <w:rPr>
          <w:rFonts w:ascii="Times New Roman" w:eastAsiaTheme="minorHAnsi" w:hAnsi="Times New Roman"/>
          <w:sz w:val="24"/>
          <w:szCs w:val="24"/>
        </w:rPr>
        <w:t xml:space="preserve">5 </w:t>
      </w:r>
      <w:r w:rsidR="00D62378" w:rsidRPr="009A3C86">
        <w:rPr>
          <w:rFonts w:ascii="Times New Roman" w:eastAsiaTheme="minorHAnsi" w:hAnsi="Times New Roman"/>
          <w:sz w:val="24"/>
          <w:szCs w:val="24"/>
        </w:rPr>
        <w:t>Ordynacji podatkowej). Wprowadzenie NSP, posługiwanie się nim oraz możliwość weryfikacji NSP ma więc istotne znaczenie gwarancyjne dla wszystkich zainteresowanych podmiotów.</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Jednym z istotniejszych pojęć w projektowanej ustawie jest pojęcie „</w:t>
      </w:r>
      <w:r w:rsidRPr="009A3C86">
        <w:rPr>
          <w:rFonts w:ascii="Times New Roman" w:eastAsiaTheme="minorHAnsi" w:hAnsi="Times New Roman" w:cstheme="minorBidi"/>
          <w:b/>
          <w:sz w:val="24"/>
          <w:szCs w:val="24"/>
        </w:rPr>
        <w:t>ogólnej cechy rozpoznawczej”</w:t>
      </w:r>
      <w:r w:rsidRPr="009A3C86">
        <w:rPr>
          <w:rFonts w:ascii="Times New Roman" w:eastAsiaTheme="minorHAnsi" w:hAnsi="Times New Roman"/>
          <w:sz w:val="24"/>
          <w:szCs w:val="24"/>
        </w:rPr>
        <w:t xml:space="preserve"> (</w:t>
      </w:r>
      <w:r w:rsidRPr="009A3C86">
        <w:rPr>
          <w:rFonts w:ascii="Times New Roman" w:eastAsiaTheme="minorHAnsi" w:hAnsi="Times New Roman"/>
          <w:b/>
          <w:sz w:val="24"/>
          <w:szCs w:val="24"/>
        </w:rPr>
        <w:t xml:space="preserve">art. </w:t>
      </w:r>
      <w:r w:rsidR="00AC6E72" w:rsidRPr="009A3C86">
        <w:rPr>
          <w:rFonts w:ascii="Times New Roman" w:eastAsiaTheme="minorHAnsi" w:hAnsi="Times New Roman"/>
          <w:b/>
          <w:sz w:val="24"/>
          <w:szCs w:val="24"/>
        </w:rPr>
        <w:t xml:space="preserve">306 </w:t>
      </w:r>
      <w:r w:rsidRPr="009A3C86">
        <w:rPr>
          <w:rFonts w:ascii="Times New Roman" w:eastAsiaTheme="minorHAnsi" w:hAnsi="Times New Roman"/>
          <w:b/>
          <w:sz w:val="24"/>
          <w:szCs w:val="24"/>
        </w:rPr>
        <w:t xml:space="preserve">§ 1 pkt </w:t>
      </w:r>
      <w:r w:rsidR="00C234E8" w:rsidRPr="009A3C86">
        <w:rPr>
          <w:rFonts w:ascii="Times New Roman" w:eastAsiaTheme="minorHAnsi" w:hAnsi="Times New Roman"/>
          <w:b/>
          <w:sz w:val="24"/>
          <w:szCs w:val="24"/>
        </w:rPr>
        <w:t>6</w:t>
      </w:r>
      <w:r w:rsidRPr="009A3C86">
        <w:rPr>
          <w:rFonts w:ascii="Times New Roman" w:eastAsiaTheme="minorHAnsi" w:hAnsi="Times New Roman"/>
          <w:sz w:val="24"/>
          <w:szCs w:val="24"/>
        </w:rPr>
        <w:t xml:space="preserve"> Ordynacji podatkowej), oznacza ono właściwość uzgodnienia polegającą na tym, że:</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promotor lub korzystający zobowiązali się do zachowania w poufności wobec osób trzecich, w szczególności wobec innych korzystających, promotorów lub organów podatkowych, sposobu, w jaki uzgodnienie pozwala na uzyskanie korzyści podatkowej,</w:t>
      </w:r>
    </w:p>
    <w:p w:rsidR="00D62378" w:rsidRPr="009A3C86" w:rsidRDefault="00D62378" w:rsidP="00131803">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promotor </w:t>
      </w:r>
      <w:r w:rsidR="00131803" w:rsidRPr="009A3C86">
        <w:rPr>
          <w:rFonts w:ascii="Times New Roman" w:eastAsiaTheme="minorEastAsia" w:hAnsi="Times New Roman" w:cs="Arial"/>
          <w:bCs/>
          <w:sz w:val="24"/>
          <w:szCs w:val="24"/>
          <w:lang w:eastAsia="pl-PL"/>
        </w:rPr>
        <w:t xml:space="preserve">jest </w:t>
      </w:r>
      <w:r w:rsidRPr="009A3C86">
        <w:rPr>
          <w:rFonts w:ascii="Times New Roman" w:eastAsiaTheme="minorEastAsia" w:hAnsi="Times New Roman" w:cs="Arial"/>
          <w:bCs/>
          <w:sz w:val="24"/>
          <w:szCs w:val="24"/>
          <w:lang w:eastAsia="pl-PL"/>
        </w:rPr>
        <w:t xml:space="preserve">uprawniony do otrzymania wynagrodzenia, którego wysokość </w:t>
      </w:r>
      <w:r w:rsidR="00131803" w:rsidRPr="009A3C86">
        <w:rPr>
          <w:rFonts w:ascii="Times New Roman" w:eastAsiaTheme="minorEastAsia" w:hAnsi="Times New Roman" w:cs="Arial"/>
          <w:bCs/>
          <w:sz w:val="24"/>
          <w:szCs w:val="24"/>
          <w:lang w:eastAsia="pl-PL"/>
        </w:rPr>
        <w:t xml:space="preserve">jest </w:t>
      </w:r>
      <w:r w:rsidRPr="009A3C86">
        <w:rPr>
          <w:rFonts w:ascii="Times New Roman" w:eastAsiaTheme="minorEastAsia" w:hAnsi="Times New Roman" w:cs="Arial"/>
          <w:bCs/>
          <w:sz w:val="24"/>
          <w:szCs w:val="24"/>
          <w:lang w:eastAsia="pl-PL"/>
        </w:rPr>
        <w:t>uzależniona od wysokości korzyści podatkowej wynikającej z uzgodnienia,</w:t>
      </w:r>
    </w:p>
    <w:p w:rsidR="00D62378" w:rsidRPr="009A3C86" w:rsidRDefault="00D62378" w:rsidP="00131803">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promotor</w:t>
      </w:r>
      <w:r w:rsidR="00131803" w:rsidRPr="009A3C86">
        <w:t xml:space="preserve"> </w:t>
      </w:r>
      <w:r w:rsidR="00131803" w:rsidRPr="009A3C86">
        <w:rPr>
          <w:rFonts w:ascii="Times New Roman" w:eastAsiaTheme="minorEastAsia" w:hAnsi="Times New Roman" w:cs="Arial"/>
          <w:bCs/>
          <w:sz w:val="24"/>
          <w:szCs w:val="24"/>
          <w:lang w:eastAsia="pl-PL"/>
        </w:rPr>
        <w:t>jest</w:t>
      </w:r>
      <w:r w:rsidRPr="009A3C86">
        <w:rPr>
          <w:rFonts w:ascii="Times New Roman" w:eastAsiaTheme="minorEastAsia" w:hAnsi="Times New Roman" w:cs="Arial"/>
          <w:bCs/>
          <w:sz w:val="24"/>
          <w:szCs w:val="24"/>
          <w:lang w:eastAsia="pl-PL"/>
        </w:rPr>
        <w:t xml:space="preserve"> uprawniony do otrzymania wynagrodzenia uzależnionego od uzyskania korzyści podatkowej wynikającej z uzgodnienia lub zobowiązał się do zwrotu wynagrodzenia lub jego części, w przypadku gdy korzyść podatkowa nie powstanie lub powstanie w wysokości niższej, niż zakładano,</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dokonywane w ramach uzgodnienia czynności opierają się na znacznie ujednoliconej dokumentacji albo przyjmują znacznie ujednoliconą formę, które nie wymagają istotnych zmian w celu wdrożenia schematu u więcej niż jednego korzystającego</w:t>
      </w:r>
      <w:r w:rsidRPr="009A3C86">
        <w:rPr>
          <w:rFonts w:ascii="Times New Roman" w:eastAsiaTheme="minorEastAsia" w:hAnsi="Times New Roman"/>
          <w:bCs/>
          <w:sz w:val="24"/>
          <w:szCs w:val="24"/>
          <w:lang w:eastAsia="pl-PL"/>
        </w:rPr>
        <w:t>,</w:t>
      </w:r>
    </w:p>
    <w:p w:rsidR="00D62378" w:rsidRPr="009A3C86" w:rsidRDefault="00131803" w:rsidP="00131803">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są </w:t>
      </w:r>
      <w:r w:rsidR="00D62378" w:rsidRPr="009A3C86">
        <w:rPr>
          <w:rFonts w:ascii="Times New Roman" w:eastAsiaTheme="minorEastAsia" w:hAnsi="Times New Roman" w:cs="Arial"/>
          <w:bCs/>
          <w:sz w:val="24"/>
          <w:szCs w:val="24"/>
          <w:lang w:eastAsia="pl-PL"/>
        </w:rPr>
        <w:t>podejmowane celowe czynności dotyczące nabycia spółki przynoszącej straty, zaprzestanie głównej działalności takiej spółki i wykorzystywanie strat takiej spółki w celu zmniejszenia zobowiązań podatkowych, w tym poprzez przeniesienie tych strat do podmiotu na terytorium innego państwa lub przyspieszenie wykorzystania tych strat,</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dochodzi do zmiany kwalifikacji dochodów (przychodów) do innego źródła dochodów (przychodów), lub zmiany zasad opodatkowania, których skutkiem jest faktycznie niższe opodatkowanie, zwolnienie lub wyłączenie z opodatkowania,</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czynności prowadzą do okrężnego obiegu środków pieniężnych poprzez zaangażowanie podmiotów pośredniczących nie pełniących istotnych funkcji gospodarczych, lub działania, które wzajemnie się znoszą lub kompensują lub prowadzą do uzyskania stanu identycznego lub zbliżonego do stanu istniejącego przed dokonaniem tych czynności albo mają inne podobne cechy,</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obejmuje ono podlegające zaliczeniu do kosztów uzyskania przychodów transgraniczne płatności pomiędzy podmiotami powiązanymi i w państwie miejsca zamieszkania, siedziby lub zarządu odbiorcy:</w:t>
      </w:r>
    </w:p>
    <w:p w:rsidR="00D62378" w:rsidRPr="009A3C86" w:rsidRDefault="00D62378" w:rsidP="00D62378">
      <w:pPr>
        <w:spacing w:before="120" w:after="0" w:line="360" w:lineRule="auto"/>
        <w:ind w:left="709" w:hanging="283"/>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sym w:font="Symbol" w:char="F02D"/>
      </w:r>
      <w:r w:rsidRPr="009A3C86">
        <w:rPr>
          <w:rFonts w:ascii="Times New Roman" w:eastAsiaTheme="minorEastAsia" w:hAnsi="Times New Roman" w:cs="Arial"/>
          <w:bCs/>
          <w:sz w:val="24"/>
          <w:szCs w:val="24"/>
          <w:lang w:eastAsia="pl-PL"/>
        </w:rPr>
        <w:tab/>
        <w:t>nie nakłada się podatku od osób prawnych lub pobiera podatek od osób prawnych według stawki zerowej lub stawki mniejszej niż 5% ,</w:t>
      </w:r>
    </w:p>
    <w:p w:rsidR="00D62378" w:rsidRPr="009A3C86" w:rsidRDefault="00D62378" w:rsidP="00D62378">
      <w:pPr>
        <w:spacing w:before="120" w:after="0" w:line="360" w:lineRule="auto"/>
        <w:ind w:left="709" w:hanging="283"/>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t>
      </w:r>
      <w:r w:rsidRPr="009A3C86">
        <w:rPr>
          <w:rFonts w:ascii="Times New Roman" w:eastAsiaTheme="minorEastAsia" w:hAnsi="Times New Roman" w:cs="Arial"/>
          <w:bCs/>
          <w:sz w:val="24"/>
          <w:szCs w:val="24"/>
          <w:lang w:eastAsia="pl-PL"/>
        </w:rPr>
        <w:tab/>
        <w:t>płatności te korzystają z całkowitego zwolnienia lub objęte są preferencyjnymi zasadami opodatkowania,</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korzystający zobowiązał się, że w przypadku wdrożenia uzgodnienia będzie współpracował z promotorem, który udostępnił uzgodnienie, albo zapłaci promotorowi wynagrodzenie lub odszkodowanie,</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promotor lub korzystający faktycznie respektują co najmniej jedno ze zobowiązań wskazanych w lit. b i c,</w:t>
      </w:r>
    </w:p>
    <w:p w:rsidR="00D62378" w:rsidRPr="009A3C86" w:rsidRDefault="00D62378" w:rsidP="00D62378">
      <w:pPr>
        <w:numPr>
          <w:ilvl w:val="0"/>
          <w:numId w:val="3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na podstawie istniejących okoliczności należy przyjąć, że rozsądnie działający promotor lub korzystający, do których nie stosowałyby się obowiązki przewidziane niniejszym rozdziałem, chcieliby, żeby co najmniej jedno ze zobowiązań wskazanych w lit. a-</w:t>
      </w:r>
      <w:r w:rsidRPr="009A3C86">
        <w:rPr>
          <w:rFonts w:ascii="Times New Roman" w:eastAsiaTheme="minorEastAsia" w:hAnsi="Times New Roman"/>
          <w:bCs/>
          <w:sz w:val="24"/>
          <w:szCs w:val="24"/>
          <w:lang w:eastAsia="pl-PL"/>
        </w:rPr>
        <w:t>c</w:t>
      </w:r>
      <w:r w:rsidRPr="009A3C86">
        <w:rPr>
          <w:rFonts w:ascii="Times New Roman" w:eastAsiaTheme="minorEastAsia" w:hAnsi="Times New Roman" w:cs="Arial"/>
          <w:bCs/>
          <w:sz w:val="24"/>
          <w:szCs w:val="24"/>
          <w:lang w:eastAsia="pl-PL"/>
        </w:rPr>
        <w:t xml:space="preserve"> było faktycznie respektowane;</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Ogólne cechy rozpoznawcze będą służyły ustaleniu, czy dane uzgodnienie stanowi schemat podatkowy podlegający raportowaniu do Szefa KAS. Obowiązek raportowania wystąpi w</w:t>
      </w:r>
      <w:r w:rsidRPr="009A3C86">
        <w:rPr>
          <w:rFonts w:ascii="Times New Roman" w:eastAsiaTheme="minorHAnsi" w:hAnsi="Times New Roman"/>
          <w:bCs/>
          <w:sz w:val="24"/>
          <w:szCs w:val="24"/>
        </w:rPr>
        <w:t> </w:t>
      </w:r>
      <w:r w:rsidRPr="009A3C86">
        <w:rPr>
          <w:rFonts w:ascii="Times New Roman" w:eastAsiaTheme="minorEastAsia" w:hAnsi="Times New Roman" w:cs="Arial"/>
          <w:bCs/>
          <w:sz w:val="24"/>
          <w:szCs w:val="24"/>
          <w:lang w:eastAsia="pl-PL"/>
        </w:rPr>
        <w:t>przypadku spełnienia przez uzgodnienie choćby jednej ze wskazanych ogólnych cech rozpoznawczych oraz kryterium głównej korzyści.</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Pojęcie</w:t>
      </w:r>
      <w:r w:rsidRPr="009A3C86">
        <w:rPr>
          <w:rFonts w:ascii="Times New Roman" w:eastAsiaTheme="minorHAnsi" w:hAnsi="Times New Roman" w:cstheme="minorBidi"/>
          <w:b/>
          <w:sz w:val="24"/>
          <w:szCs w:val="24"/>
        </w:rPr>
        <w:t xml:space="preserve"> „podmiot powiązany” </w:t>
      </w:r>
      <w:r w:rsidRPr="009A3C86">
        <w:rPr>
          <w:rFonts w:ascii="Times New Roman" w:eastAsiaTheme="minorHAnsi" w:hAnsi="Times New Roman"/>
          <w:sz w:val="24"/>
          <w:szCs w:val="24"/>
        </w:rPr>
        <w:t xml:space="preserve">zdefiniowane zostało w projektowanym art. </w:t>
      </w:r>
      <w:r w:rsidR="00CE6458" w:rsidRPr="009A3C86">
        <w:rPr>
          <w:rFonts w:ascii="Times New Roman" w:eastAsiaTheme="minorHAnsi" w:hAnsi="Times New Roman"/>
          <w:b/>
          <w:sz w:val="24"/>
          <w:szCs w:val="24"/>
        </w:rPr>
        <w:t>306</w:t>
      </w:r>
      <w:r w:rsidR="00131803" w:rsidRPr="009A3C86">
        <w:rPr>
          <w:rFonts w:ascii="Times New Roman" w:eastAsiaTheme="minorHAnsi" w:hAnsi="Times New Roman" w:cstheme="minorBidi"/>
          <w:b/>
          <w:sz w:val="24"/>
          <w:szCs w:val="24"/>
        </w:rPr>
        <w:t xml:space="preserve"> </w:t>
      </w:r>
      <w:r w:rsidR="00CE6458" w:rsidRPr="009A3C86">
        <w:rPr>
          <w:rFonts w:ascii="Times New Roman" w:eastAsiaTheme="minorHAnsi" w:hAnsi="Times New Roman"/>
          <w:b/>
          <w:sz w:val="24"/>
          <w:szCs w:val="24"/>
        </w:rPr>
        <w:t>§ 1 pkt 7</w:t>
      </w:r>
      <w:r w:rsidR="00131803" w:rsidRPr="009A3C86">
        <w:rPr>
          <w:rFonts w:ascii="Times New Roman" w:eastAsiaTheme="minorHAnsi" w:hAnsi="Times New Roman"/>
          <w:sz w:val="24"/>
          <w:szCs w:val="24"/>
        </w:rPr>
        <w:t xml:space="preserve"> </w:t>
      </w:r>
      <w:r w:rsidRPr="009A3C86">
        <w:rPr>
          <w:rFonts w:ascii="Times New Roman" w:eastAsiaTheme="minorHAnsi" w:hAnsi="Times New Roman"/>
          <w:sz w:val="24"/>
          <w:szCs w:val="24"/>
        </w:rPr>
        <w:t>Ordynacji podatkowej, rozumie się przez to podmiot powiązany z innym podmiotem poprzez co najmniej jeden ze sposobów określonych poniżej:</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w:eastAsia="Times New Roman" w:hAnsi="Times" w:cs="Arial"/>
          <w:sz w:val="24"/>
          <w:szCs w:val="24"/>
          <w:lang w:eastAsia="pl-PL"/>
        </w:rPr>
        <w:lastRenderedPageBreak/>
        <w:t>a)</w:t>
      </w:r>
      <w:r w:rsidRPr="009A3C86">
        <w:rPr>
          <w:rFonts w:ascii="Times" w:eastAsia="Times New Roman" w:hAnsi="Times" w:cs="Arial"/>
          <w:sz w:val="24"/>
          <w:szCs w:val="24"/>
          <w:lang w:eastAsia="pl-PL"/>
        </w:rPr>
        <w:tab/>
      </w:r>
      <w:r w:rsidRPr="009A3C86">
        <w:rPr>
          <w:rFonts w:ascii="Times New Roman" w:eastAsiaTheme="minorEastAsia" w:hAnsi="Times New Roman" w:cs="Arial"/>
          <w:bCs/>
          <w:sz w:val="24"/>
          <w:szCs w:val="24"/>
          <w:lang w:eastAsia="pl-PL"/>
        </w:rPr>
        <w:t>osoba fizyczna, osoba prawna lub jednostka organizacyjna niemająca osobowości prawnej uczestniczy w zarządzaniu innym podmiotem i wywiera znaczący wpływ na podmiot zarządzany,</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New Roman" w:eastAsiaTheme="minorEastAsia" w:hAnsi="Times New Roman" w:cs="Arial"/>
          <w:bCs/>
          <w:sz w:val="24"/>
          <w:szCs w:val="24"/>
          <w:lang w:eastAsia="pl-PL"/>
        </w:rPr>
        <w:t>b)</w:t>
      </w:r>
      <w:r w:rsidRPr="009A3C86">
        <w:rPr>
          <w:rFonts w:ascii="Times New Roman" w:eastAsiaTheme="minorEastAsia" w:hAnsi="Times New Roman" w:cs="Arial"/>
          <w:bCs/>
          <w:sz w:val="24"/>
          <w:szCs w:val="24"/>
          <w:lang w:eastAsia="pl-PL"/>
        </w:rPr>
        <w:tab/>
        <w:t>osoba fizyczna, osoba prawna lub jednostka organizacyjna niemająca osobowości prawnej uczestniczy w sprawowaniu kontroli nad innym podmiotem poprzez udział kapitałowy, który uprawnia do ponad 25 % praw głosu,</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New Roman" w:eastAsiaTheme="minorEastAsia" w:hAnsi="Times New Roman" w:cs="Arial"/>
          <w:bCs/>
          <w:sz w:val="24"/>
          <w:szCs w:val="24"/>
          <w:lang w:eastAsia="pl-PL"/>
        </w:rPr>
        <w:t>c)</w:t>
      </w:r>
      <w:r w:rsidRPr="009A3C86">
        <w:rPr>
          <w:rFonts w:ascii="Times New Roman" w:eastAsiaTheme="minorEastAsia" w:hAnsi="Times New Roman" w:cs="Arial"/>
          <w:bCs/>
          <w:sz w:val="24"/>
          <w:szCs w:val="24"/>
          <w:lang w:eastAsia="pl-PL"/>
        </w:rPr>
        <w:tab/>
        <w:t>osoba fizyczna, osoba prawna lub jednostka organizacyjna niemająca osobowości prawnej posiada bezpośrednio lub pośrednio udział w kapitale innego podmiotu w wysokości ponad 25% kapitału. Wysokość udziału pośredniego ustala się, mnożąc wysokość udziału na kolejnych poziomach. Uznaje się, że osoba posiadająca ponad 50% praw głosu posiada 100% tych praw,</w:t>
      </w:r>
    </w:p>
    <w:p w:rsidR="00D62378" w:rsidRPr="009A3C86" w:rsidRDefault="00D62378" w:rsidP="00D62378">
      <w:pPr>
        <w:spacing w:before="120" w:after="0" w:line="360" w:lineRule="auto"/>
        <w:ind w:left="567" w:hanging="283"/>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d)</w:t>
      </w:r>
      <w:r w:rsidRPr="009A3C86">
        <w:rPr>
          <w:rFonts w:ascii="Times New Roman" w:eastAsiaTheme="minorEastAsia" w:hAnsi="Times New Roman" w:cs="Arial"/>
          <w:bCs/>
          <w:sz w:val="24"/>
          <w:szCs w:val="24"/>
          <w:lang w:eastAsia="pl-PL"/>
        </w:rPr>
        <w:tab/>
        <w:t>osoba fizyczna, osoba prawna lub jednostka organizacyjna niemająca osobowości prawnej jest uprawniona do co najmniej 25% zysków innego podmiotu,</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New Roman" w:eastAsiaTheme="minorEastAsia" w:hAnsi="Times New Roman" w:cs="Arial"/>
          <w:bCs/>
          <w:sz w:val="24"/>
          <w:szCs w:val="24"/>
          <w:lang w:eastAsia="pl-PL"/>
        </w:rPr>
        <w:t>przy czym:</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ab/>
        <w:t>jeżeli w zarządzaniu, kontroli, kapitale lub zyskach tego samego podmiotu uczestniczy, zgodnie z lit. a-d, więcej niż jeden podmiot, wszystkie takie podmioty są uznawane za podmioty powiązane,</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ab/>
        <w:t>jeżeli te same podmioty uczestniczą w zarządzaniu lub kontroli lub posiadają udział w kapitale lub zyskach, zgodnie z lit. a-d, więcej niż jednego podmiotu, wszystkie takie podmioty są uznawane za podmioty powiązane,</w:t>
      </w:r>
    </w:p>
    <w:p w:rsidR="00D62378" w:rsidRPr="009A3C86" w:rsidRDefault="00D62378" w:rsidP="00D62378">
      <w:pPr>
        <w:spacing w:before="120" w:after="0" w:line="360" w:lineRule="auto"/>
        <w:ind w:left="567" w:hanging="283"/>
        <w:jc w:val="both"/>
        <w:rPr>
          <w:rFonts w:ascii="Times New Roman" w:eastAsiaTheme="minorEastAsia" w:hAnsi="Times New Roman"/>
          <w:bCs/>
          <w:sz w:val="24"/>
          <w:szCs w:val="24"/>
          <w:lang w:eastAsia="pl-PL"/>
        </w:rPr>
      </w:pPr>
      <w:r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ab/>
        <w:t>powiązania określone zgodnie z lit. a-d, stosuje się również do powiązań o charakterze rodzinnym lub majątkowym pomiędzy podmiotami krajowymi lub osobami pełniącymi w tych podmiotach funkcje zarządzające lub kontrolne albo nadzorcze oraz jeżeli którakolwiek osoba łączy funkcje zarządzające lub kontrolne albo nadzorcze w tych podmiotach.</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w:t>
      </w:r>
      <w:r w:rsidRPr="009A3C86">
        <w:rPr>
          <w:rFonts w:ascii="Times New Roman" w:eastAsiaTheme="minorHAnsi" w:hAnsi="Times New Roman" w:cstheme="minorBidi"/>
          <w:b/>
          <w:sz w:val="24"/>
          <w:szCs w:val="24"/>
        </w:rPr>
        <w:t xml:space="preserve">Promotorem” </w:t>
      </w:r>
      <w:r w:rsidRPr="009A3C86">
        <w:rPr>
          <w:rFonts w:ascii="Times New Roman" w:eastAsiaTheme="minorHAnsi" w:hAnsi="Times New Roman"/>
          <w:sz w:val="24"/>
          <w:szCs w:val="24"/>
        </w:rPr>
        <w:t xml:space="preserve">w rozumieniu projektowanej ustawy (art. </w:t>
      </w:r>
      <w:r w:rsidR="00CE6458" w:rsidRPr="009A3C86">
        <w:rPr>
          <w:rFonts w:ascii="Times New Roman" w:eastAsiaTheme="minorHAnsi" w:hAnsi="Times New Roman"/>
          <w:b/>
          <w:sz w:val="24"/>
          <w:szCs w:val="24"/>
        </w:rPr>
        <w:t>306 § 1 pkt 8</w:t>
      </w:r>
      <w:r w:rsidRPr="009A3C86">
        <w:rPr>
          <w:rFonts w:ascii="Times New Roman" w:eastAsiaTheme="minorHAnsi" w:hAnsi="Times New Roman"/>
          <w:sz w:val="24"/>
          <w:szCs w:val="24"/>
        </w:rPr>
        <w:t xml:space="preserve"> Ordynacji podatkowej) jest</w:t>
      </w:r>
      <w:r w:rsidRPr="009A3C86">
        <w:rPr>
          <w:rFonts w:ascii="Times New Roman" w:eastAsiaTheme="minorHAnsi" w:hAnsi="Times New Roman" w:cstheme="minorBidi"/>
          <w:b/>
          <w:sz w:val="24"/>
          <w:szCs w:val="24"/>
        </w:rPr>
        <w:t xml:space="preserve"> </w:t>
      </w:r>
      <w:r w:rsidRPr="009A3C86">
        <w:rPr>
          <w:rFonts w:ascii="Times New Roman" w:eastAsiaTheme="minorHAnsi" w:hAnsi="Times New Roman"/>
          <w:sz w:val="24"/>
          <w:szCs w:val="24"/>
        </w:rPr>
        <w:t xml:space="preserve">osobę fizyczną, osobę prawną lub jednostkę organizacyjną niemającą osobowości prawnej, w szczególności doradcę podatkowego, adwokata, radcę prawnego, pracownika banku lub innej instytucji finansowej doradzającego klientom, również w przypadku gdy nie posiada miejsca zamieszkania, siedziby ani zarządu na terytorium </w:t>
      </w:r>
      <w:r w:rsidR="00131803" w:rsidRPr="009A3C86">
        <w:rPr>
          <w:rFonts w:ascii="Times New Roman" w:eastAsiaTheme="minorHAnsi" w:hAnsi="Times New Roman"/>
          <w:sz w:val="24"/>
          <w:szCs w:val="24"/>
        </w:rPr>
        <w:t>Rzeczpospolitej Polskiej</w:t>
      </w:r>
      <w:r w:rsidRPr="009A3C86">
        <w:rPr>
          <w:rFonts w:ascii="Times New Roman" w:eastAsiaTheme="minorHAnsi" w:hAnsi="Times New Roman"/>
          <w:sz w:val="24"/>
          <w:szCs w:val="24"/>
        </w:rPr>
        <w:t xml:space="preserve">, która opracowuje, oferuje, udostępnia, wdraża lub zarządza wdrażaniem uzgodnienia. Należy podkreślić, że </w:t>
      </w:r>
      <w:r w:rsidRPr="009A3C86">
        <w:rPr>
          <w:rFonts w:ascii="Times New Roman" w:eastAsiaTheme="minorHAnsi" w:hAnsi="Times New Roman"/>
          <w:sz w:val="24"/>
          <w:szCs w:val="24"/>
        </w:rPr>
        <w:lastRenderedPageBreak/>
        <w:t>powyższy katalog nie jest zamknięty, przykładowo wyliczono zawody, które obejmują szeroko rozumiane usługi doradcze i konkretną pomoc w kształtowaniu oraz prowadzeniu strategii podatkowej korzystającego. Poza wymienioną w definicji grupą zawodów, w tym zawodów zaufania publicznego, promotorem może być także inna osoba wykonująca czynności pozostające w zakresie działania tych osób lub posiadająca podobne kwalifikacje. Szeroka definicja promotora powinna pozwolić zapobiec uchylaniu się od obowiązku raportowania Szefowi KAS schematów podatkowych, przez podmioty, które je opracowują.</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Uzasadnieniem stosowania MDR również do promotora, który nie posiada miejsca zamieszkania, siedziby ani zarządu na terytorium kraju, wynika przede wszystkim z praktyki funkcjonowania międzynarodowych korporacji. Co do zasady, ich funkcjonowanie opiera się na wewnętrznych procedurach, </w:t>
      </w:r>
      <w:r w:rsidRPr="009A3C86">
        <w:rPr>
          <w:rFonts w:ascii="Times New Roman" w:eastAsiaTheme="minorHAnsi" w:hAnsi="Times New Roman"/>
          <w:i/>
          <w:sz w:val="24"/>
          <w:szCs w:val="24"/>
        </w:rPr>
        <w:t>corporate governance</w:t>
      </w:r>
      <w:r w:rsidRPr="009A3C86">
        <w:rPr>
          <w:rFonts w:ascii="Times New Roman" w:eastAsiaTheme="minorHAnsi" w:hAnsi="Times New Roman"/>
          <w:sz w:val="24"/>
          <w:szCs w:val="24"/>
        </w:rPr>
        <w:t>, oraz kwestiach wizerunkowych, tym samym, nawet w sytuacji gdy nie ma możliwości efektywnego wyegzekwowania ewentualnych sankcji lub kar, tego rodzaju korporacje nie podejmują działań (doradztwa), które są sprzeczne z przepisami danego państwa, których ich usługi dotyczą (np. porada podatkowa udzielona przez firmę z UK, która zahacza m.in. o skutki podatkowe w Polsce, która spełniałaby przesłanki stosowania polskiego MDR).</w:t>
      </w:r>
    </w:p>
    <w:p w:rsidR="00D62378" w:rsidRPr="009A3C86" w:rsidRDefault="00C234E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D</w:t>
      </w:r>
      <w:r w:rsidR="00D62378" w:rsidRPr="009A3C86">
        <w:rPr>
          <w:rFonts w:ascii="Times New Roman" w:eastAsiaTheme="minorHAnsi" w:hAnsi="Times New Roman"/>
          <w:sz w:val="24"/>
          <w:szCs w:val="24"/>
        </w:rPr>
        <w:t>efinicje promotora oraz wspomagającego, w tym zwłaszcza zakres czynności podejmowanych przez te podmioty, odpowiadają definicji promotora (</w:t>
      </w:r>
      <w:r w:rsidR="00D62378" w:rsidRPr="009A3C86">
        <w:rPr>
          <w:rFonts w:ascii="Times New Roman" w:eastAsiaTheme="minorHAnsi" w:hAnsi="Times New Roman" w:cstheme="minorBidi"/>
          <w:i/>
          <w:sz w:val="24"/>
          <w:szCs w:val="24"/>
        </w:rPr>
        <w:t>pośrednika</w:t>
      </w:r>
      <w:r w:rsidR="00D62378" w:rsidRPr="009A3C86">
        <w:rPr>
          <w:rFonts w:ascii="Times New Roman" w:eastAsiaTheme="minorHAnsi" w:hAnsi="Times New Roman"/>
          <w:sz w:val="24"/>
          <w:szCs w:val="24"/>
        </w:rPr>
        <w:t>) zawartej w Dyrektywie. Zgodnie bowiem z Dyrektywą za pośrednika uważana jest osoba, która opracowuje, wprowadza do obrotu, organizuje lub udostępnia do wdrożenia podlegające zgłoszeniu uzgodnienie transgraniczne lub zarządza wdrażaniem takiego uzgodnienia. Dyrektywa wskazuje również, że „termin ten obejmuje również osobę, która, uwzględniając odpowiednie fakty i okoliczności i w oparciu o dostępne informacje i właściwą wiedzę fachową i orientację wymagane do świadczenia takich usług, zdaje sobie sprawę lub można racjonalnie oczekiwać, że zdaje sobie sprawę, że podjęła się udzielić, bezpośrednio lub za pośrednictwem innych osób, pomocy, wsparcia lub porad dotyczących opracowywania, wprowadzania do obrotu, organizowania, udostępniania do wdrożenia lub nadzorowania wdrożenia podlegającego zgłoszeniu uzgodnienia transgranicznego”.</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W tym kontekście zauważyć należy, że w pierwotnym brzmieniu Dyrektywy (patrz: Wniosek Dyrektywa Rady zmieniająca dyrektywę 2011/16/UE w zakresie obowiązkowej automatycznej wymiany informacji w dziedzinie opodatkowania w odniesieniu do raportowanych uzgodnień </w:t>
      </w:r>
      <w:r w:rsidRPr="009A3C86">
        <w:rPr>
          <w:rFonts w:ascii="Times New Roman" w:eastAsiaTheme="minorHAnsi" w:hAnsi="Times New Roman"/>
          <w:sz w:val="24"/>
          <w:szCs w:val="24"/>
        </w:rPr>
        <w:lastRenderedPageBreak/>
        <w:t>transgranicznych 21 czerwca 2017 r.</w:t>
      </w:r>
      <w:r w:rsidRPr="009A3C86">
        <w:rPr>
          <w:rFonts w:ascii="Times New Roman" w:eastAsiaTheme="minorHAnsi" w:hAnsi="Times New Roman"/>
          <w:sz w:val="24"/>
          <w:szCs w:val="24"/>
          <w:vertAlign w:val="superscript"/>
        </w:rPr>
        <w:footnoteReference w:id="380"/>
      </w:r>
      <w:r w:rsidRPr="009A3C86">
        <w:rPr>
          <w:rFonts w:ascii="Times New Roman" w:eastAsiaTheme="minorHAnsi" w:hAnsi="Times New Roman"/>
          <w:sz w:val="24"/>
          <w:szCs w:val="24"/>
        </w:rPr>
        <w:t>) wskazywano, że „</w:t>
      </w:r>
      <w:r w:rsidRPr="009A3C86">
        <w:rPr>
          <w:rFonts w:ascii="Times New Roman" w:eastAsiaTheme="minorHAnsi" w:hAnsi="Times New Roman" w:cstheme="minorBidi"/>
          <w:i/>
          <w:sz w:val="24"/>
          <w:szCs w:val="24"/>
        </w:rPr>
        <w:t>Pośrednicy</w:t>
      </w:r>
      <w:r w:rsidRPr="009A3C86">
        <w:rPr>
          <w:rFonts w:ascii="Times New Roman" w:eastAsiaTheme="minorHAnsi" w:hAnsi="Times New Roman"/>
          <w:sz w:val="24"/>
          <w:szCs w:val="24"/>
        </w:rPr>
        <w:t xml:space="preserve"> oznaczają również każdą osobę, która zobowiązuje się przekazać, bezpośrednio lub za pośrednictwem innych osób, z którymi jest powiązana, pomoc materialną, wsparcie lub porady dotyczące opracowywania, wprowadzania do obrotu, organizowania lub nadzorowania wdrożenia </w:t>
      </w:r>
      <w:r w:rsidRPr="009A3C86">
        <w:rPr>
          <w:rFonts w:ascii="Times New Roman" w:eastAsiaTheme="minorHAnsi" w:hAnsi="Times New Roman" w:cstheme="minorBidi"/>
          <w:b/>
          <w:sz w:val="24"/>
          <w:szCs w:val="24"/>
          <w:u w:val="single"/>
        </w:rPr>
        <w:t>aspektów podatkowych</w:t>
      </w:r>
      <w:r w:rsidRPr="009A3C86">
        <w:rPr>
          <w:rFonts w:ascii="Times New Roman" w:eastAsiaTheme="minorHAnsi" w:hAnsi="Times New Roman"/>
          <w:sz w:val="24"/>
          <w:szCs w:val="24"/>
          <w:vertAlign w:val="superscript"/>
        </w:rPr>
        <w:footnoteReference w:id="381"/>
      </w:r>
      <w:r w:rsidRPr="009A3C86">
        <w:rPr>
          <w:rFonts w:ascii="Times New Roman" w:eastAsiaTheme="minorHAnsi" w:hAnsi="Times New Roman"/>
          <w:sz w:val="24"/>
          <w:szCs w:val="24"/>
        </w:rPr>
        <w:t xml:space="preserve"> raportowanego uzgodnienia transgranicznego”. Uznać należy, że usunięcie w procedurze legislacyjnej dot. Dyrektywy odniesienie do aspektów podatkowych w definicji podatnika miało na celu objęcie definicją tego pojęcia również podmioty wykonujące ww. czynności w odniesieniu do aspektów innych niż podatkowe.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Projektodawca</w:t>
      </w:r>
      <w:r w:rsidRPr="009A3C86">
        <w:rPr>
          <w:rFonts w:ascii="Times New Roman" w:eastAsiaTheme="minorHAnsi" w:hAnsi="Times New Roman" w:cstheme="minorBidi"/>
          <w:b/>
          <w:sz w:val="24"/>
          <w:szCs w:val="24"/>
        </w:rPr>
        <w:t xml:space="preserve"> </w:t>
      </w:r>
      <w:r w:rsidRPr="009A3C86">
        <w:rPr>
          <w:rFonts w:ascii="Times New Roman" w:eastAsiaTheme="minorHAnsi" w:hAnsi="Times New Roman"/>
          <w:sz w:val="24"/>
          <w:szCs w:val="24"/>
        </w:rPr>
        <w:t xml:space="preserve">definiując w art. </w:t>
      </w:r>
      <w:r w:rsidR="00CE6458" w:rsidRPr="009A3C86">
        <w:rPr>
          <w:rFonts w:ascii="Times New Roman" w:eastAsiaTheme="minorHAnsi" w:hAnsi="Times New Roman"/>
          <w:b/>
          <w:sz w:val="24"/>
          <w:szCs w:val="24"/>
        </w:rPr>
        <w:t>306 § 1 pkt 9</w:t>
      </w:r>
      <w:r w:rsidRPr="009A3C86">
        <w:rPr>
          <w:rFonts w:ascii="Times New Roman" w:eastAsiaTheme="minorHAnsi" w:hAnsi="Times New Roman"/>
          <w:sz w:val="24"/>
          <w:szCs w:val="24"/>
        </w:rPr>
        <w:t xml:space="preserve"> Ordynacji podatkowej pojęcie</w:t>
      </w:r>
      <w:r w:rsidRPr="009A3C86">
        <w:rPr>
          <w:rFonts w:ascii="Times New Roman" w:eastAsiaTheme="minorHAnsi" w:hAnsi="Times New Roman" w:cstheme="minorBidi"/>
          <w:b/>
          <w:sz w:val="24"/>
          <w:szCs w:val="24"/>
        </w:rPr>
        <w:t xml:space="preserve"> „rachunek finansowy”</w:t>
      </w:r>
      <w:r w:rsidRPr="009A3C86">
        <w:rPr>
          <w:rFonts w:ascii="Times New Roman" w:eastAsiaTheme="minorHAnsi" w:hAnsi="Times New Roman"/>
          <w:sz w:val="24"/>
          <w:szCs w:val="24"/>
        </w:rPr>
        <w:t xml:space="preserve"> odwołał się do art. 24 ust 1 pkt 38 ustawy o wymianie informacji podatkowych z innymi państwami oraz do art. 1 ust. 1 lit. s </w:t>
      </w:r>
      <w:r w:rsidR="00131803" w:rsidRPr="009A3C86">
        <w:rPr>
          <w:rFonts w:ascii="Times New Roman" w:eastAsiaTheme="minorHAnsi" w:hAnsi="Times New Roman"/>
          <w:sz w:val="24"/>
          <w:szCs w:val="24"/>
        </w:rPr>
        <w:t>U</w:t>
      </w:r>
      <w:r w:rsidRPr="009A3C86">
        <w:rPr>
          <w:rFonts w:ascii="Times New Roman" w:eastAsiaTheme="minorHAnsi" w:hAnsi="Times New Roman"/>
          <w:sz w:val="24"/>
          <w:szCs w:val="24"/>
        </w:rPr>
        <w:t>mowy między Rządem Rzeczypospolitej Polskiej a Rządem Stanów Zjednoczonych Ameryki w sprawie poprawy wypełniania międzynarodowych obowiązków podatkowych oraz wdrożenia ustawodawstwa FATCA.</w:t>
      </w:r>
    </w:p>
    <w:p w:rsidR="00D62378" w:rsidRPr="009A3C86" w:rsidRDefault="00D62378" w:rsidP="00D62378">
      <w:pPr>
        <w:spacing w:before="120" w:after="0" w:line="360" w:lineRule="auto"/>
        <w:jc w:val="both"/>
        <w:rPr>
          <w:rFonts w:ascii="Times New Roman" w:eastAsiaTheme="minorHAnsi" w:hAnsi="Times New Roman"/>
          <w:bCs/>
          <w:sz w:val="24"/>
          <w:szCs w:val="24"/>
        </w:rPr>
      </w:pPr>
      <w:r w:rsidRPr="009A3C86">
        <w:rPr>
          <w:rFonts w:ascii="Times New Roman" w:eastAsiaTheme="minorHAnsi" w:hAnsi="Times New Roman"/>
          <w:bCs/>
          <w:sz w:val="24"/>
          <w:szCs w:val="24"/>
        </w:rPr>
        <w:t xml:space="preserve">W art. </w:t>
      </w:r>
      <w:r w:rsidR="00CE6458" w:rsidRPr="009A3C86">
        <w:rPr>
          <w:rFonts w:ascii="Times New Roman" w:eastAsiaTheme="minorHAnsi" w:hAnsi="Times New Roman"/>
          <w:b/>
          <w:bCs/>
          <w:sz w:val="24"/>
          <w:szCs w:val="24"/>
        </w:rPr>
        <w:t xml:space="preserve">306 </w:t>
      </w:r>
      <w:r w:rsidR="00CE6458" w:rsidRPr="009A3C86">
        <w:rPr>
          <w:rFonts w:ascii="Times New Roman" w:eastAsiaTheme="minorHAnsi" w:hAnsi="Times New Roman"/>
          <w:b/>
          <w:sz w:val="24"/>
          <w:szCs w:val="24"/>
        </w:rPr>
        <w:t>§ 1 pkt 10</w:t>
      </w:r>
      <w:r w:rsidRPr="009A3C86">
        <w:rPr>
          <w:rFonts w:ascii="Times New Roman" w:eastAsiaTheme="minorHAnsi" w:hAnsi="Times New Roman"/>
          <w:sz w:val="24"/>
          <w:szCs w:val="24"/>
        </w:rPr>
        <w:t xml:space="preserve"> Ordynacji podatkowej</w:t>
      </w:r>
      <w:r w:rsidRPr="009A3C86">
        <w:rPr>
          <w:rFonts w:ascii="Times New Roman" w:eastAsiaTheme="minorHAnsi" w:hAnsi="Times New Roman"/>
          <w:bCs/>
          <w:sz w:val="24"/>
          <w:szCs w:val="24"/>
        </w:rPr>
        <w:t xml:space="preserve"> projektodawca wyjaśnił co należy rozumieć pod pojęciem </w:t>
      </w:r>
      <w:r w:rsidRPr="009A3C86">
        <w:rPr>
          <w:rFonts w:ascii="Times New Roman" w:eastAsiaTheme="minorHAnsi" w:hAnsi="Times New Roman" w:cstheme="minorBidi"/>
          <w:b/>
          <w:sz w:val="24"/>
          <w:szCs w:val="24"/>
        </w:rPr>
        <w:t>„schemat podatkowy”</w:t>
      </w:r>
      <w:r w:rsidRPr="009A3C86">
        <w:rPr>
          <w:rFonts w:ascii="Times New Roman" w:eastAsiaTheme="minorHAnsi" w:hAnsi="Times New Roman"/>
          <w:bCs/>
          <w:sz w:val="24"/>
          <w:szCs w:val="24"/>
        </w:rPr>
        <w:t>, jest to uzgodnienie, które:</w:t>
      </w:r>
    </w:p>
    <w:p w:rsidR="00D62378" w:rsidRPr="009A3C86" w:rsidRDefault="00D62378" w:rsidP="00D62378">
      <w:pPr>
        <w:numPr>
          <w:ilvl w:val="0"/>
          <w:numId w:val="52"/>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spełnia kryterium głównej korzyści oraz posiada ogólną cechę rozpoznawczą,</w:t>
      </w:r>
    </w:p>
    <w:p w:rsidR="00D62378" w:rsidRPr="009A3C86" w:rsidRDefault="00D62378" w:rsidP="00D62378">
      <w:pPr>
        <w:numPr>
          <w:ilvl w:val="0"/>
          <w:numId w:val="52"/>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posiada szczególną cechę rozpoznawczą, lub</w:t>
      </w:r>
    </w:p>
    <w:p w:rsidR="00D62378" w:rsidRPr="009A3C86" w:rsidRDefault="00D62378" w:rsidP="00D62378">
      <w:pPr>
        <w:numPr>
          <w:ilvl w:val="0"/>
          <w:numId w:val="52"/>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posiada inną szczególną cechę rozpoznawczą;</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W myśl projektowanej ustawy pod pojęciem „</w:t>
      </w:r>
      <w:r w:rsidRPr="009A3C86">
        <w:rPr>
          <w:rFonts w:ascii="Times New Roman" w:eastAsiaTheme="minorHAnsi" w:hAnsi="Times New Roman" w:cstheme="minorBidi"/>
          <w:b/>
          <w:sz w:val="24"/>
          <w:szCs w:val="24"/>
        </w:rPr>
        <w:t>schemat podatkowy standaryzowany</w:t>
      </w:r>
      <w:r w:rsidRPr="009A3C86">
        <w:rPr>
          <w:rFonts w:ascii="Times New Roman" w:eastAsiaTheme="minorHAnsi" w:hAnsi="Times New Roman"/>
          <w:sz w:val="24"/>
          <w:szCs w:val="24"/>
        </w:rPr>
        <w:t>” należy natomiast rozumieć schemat podatkowy, w tym schemat transgraniczny możliwy do wdrożenia lub udostępnienia u więcej niż jednego korzystającego bez konieczności zmiany jego istotnych założeń, w szczególności dotyczących rodzaju czynności podejmowanych lub planowanych w ramach schematu (</w:t>
      </w:r>
      <w:r w:rsidR="00CE6458" w:rsidRPr="009A3C86">
        <w:rPr>
          <w:rFonts w:ascii="Times New Roman" w:eastAsiaTheme="minorHAnsi" w:hAnsi="Times New Roman"/>
          <w:b/>
          <w:sz w:val="24"/>
          <w:szCs w:val="24"/>
        </w:rPr>
        <w:t>art. 306 § 1</w:t>
      </w:r>
      <w:r w:rsidRPr="009A3C86">
        <w:rPr>
          <w:rFonts w:ascii="Times New Roman" w:eastAsiaTheme="minorHAnsi" w:hAnsi="Times New Roman"/>
          <w:sz w:val="24"/>
          <w:szCs w:val="24"/>
        </w:rPr>
        <w:t xml:space="preserve"> </w:t>
      </w:r>
      <w:r w:rsidR="00131803" w:rsidRPr="009A3C86">
        <w:rPr>
          <w:rFonts w:ascii="Times New Roman" w:eastAsiaTheme="minorHAnsi" w:hAnsi="Times New Roman"/>
          <w:sz w:val="24"/>
          <w:szCs w:val="24"/>
        </w:rPr>
        <w:t xml:space="preserve">pkt 11 </w:t>
      </w:r>
      <w:r w:rsidRPr="009A3C86">
        <w:rPr>
          <w:rFonts w:ascii="Times New Roman" w:eastAsiaTheme="minorHAnsi" w:hAnsi="Times New Roman"/>
          <w:sz w:val="24"/>
          <w:szCs w:val="24"/>
        </w:rPr>
        <w:t xml:space="preserve">Ordynacji podatkowej). </w:t>
      </w:r>
    </w:p>
    <w:p w:rsidR="00D62378" w:rsidRPr="009A3C86" w:rsidRDefault="00C234E8" w:rsidP="00D62378">
      <w:pPr>
        <w:autoSpaceDE w:val="0"/>
        <w:autoSpaceDN w:val="0"/>
        <w:adjustRightInd w:val="0"/>
        <w:spacing w:before="120" w:after="0" w:line="360" w:lineRule="auto"/>
        <w:jc w:val="both"/>
        <w:rPr>
          <w:rFonts w:ascii="Times New Roman" w:eastAsia="Times New Roman" w:hAnsi="Times New Roman"/>
          <w:sz w:val="24"/>
          <w:szCs w:val="24"/>
          <w:lang w:eastAsia="pl-PL"/>
        </w:rPr>
      </w:pPr>
      <w:r w:rsidRPr="009A3C86">
        <w:rPr>
          <w:rFonts w:ascii="Times New Roman" w:eastAsiaTheme="minorHAnsi" w:hAnsi="Times New Roman"/>
          <w:sz w:val="24"/>
          <w:szCs w:val="24"/>
        </w:rPr>
        <w:t xml:space="preserve">W </w:t>
      </w:r>
      <w:r w:rsidR="00D62378" w:rsidRPr="009A3C86">
        <w:rPr>
          <w:rFonts w:ascii="Times New Roman" w:eastAsiaTheme="minorHAnsi" w:hAnsi="Times New Roman"/>
          <w:sz w:val="24"/>
          <w:szCs w:val="24"/>
        </w:rPr>
        <w:t xml:space="preserve"> praktyce funkcjonują </w:t>
      </w:r>
      <w:r w:rsidR="00D62378" w:rsidRPr="009A3C86">
        <w:rPr>
          <w:rFonts w:ascii="Times New Roman" w:eastAsia="Times New Roman" w:hAnsi="Times New Roman"/>
          <w:sz w:val="24"/>
          <w:szCs w:val="24"/>
          <w:lang w:eastAsia="pl-PL"/>
        </w:rPr>
        <w:t xml:space="preserve">schematy podatkowe będące rezultatem rozważań teoretycznych, które zostały opracowane abstrakcyjnie, bez potrzeby pozyskania informacji od przyszłego klienta/korzystającego. Świadczą o tym przytaczane już dane dotyczące SKA oraz PGK. Nie oznacza to jednak, że pojęcie schematu podatkowego standaryzowanego obejmuje jedynie przypadki relatywnie masowo wykorzystywanych uzgodnień. Wystarczające będzie, aby schemat podatkowy możliwy był do wdrożenia u więcej niż jednego korzystającego bez </w:t>
      </w:r>
      <w:r w:rsidR="00D62378" w:rsidRPr="009A3C86">
        <w:rPr>
          <w:rFonts w:ascii="Times New Roman" w:eastAsia="Times New Roman" w:hAnsi="Times New Roman"/>
          <w:sz w:val="24"/>
          <w:szCs w:val="24"/>
          <w:lang w:eastAsia="pl-PL"/>
        </w:rPr>
        <w:lastRenderedPageBreak/>
        <w:t xml:space="preserve">konieczności zmiany jego istotnych założeń, w szczególności dotyczących rodzaju czynności podejmowanych lub planowanych w ramach schematu. Prowadzi to do wniosku, że jeśli dany schemat podatkowy może być stosowany u podatników działających w określonej branży (np. stosowane rozwiązania instrumentów finansowych – przykładowo </w:t>
      </w:r>
      <w:r w:rsidR="00D62378" w:rsidRPr="009A3C86">
        <w:rPr>
          <w:rFonts w:ascii="Times New Roman" w:eastAsiaTheme="minorHAnsi" w:hAnsi="Times New Roman" w:cstheme="minorBidi"/>
          <w:i/>
          <w:sz w:val="24"/>
          <w:szCs w:val="24"/>
        </w:rPr>
        <w:t>credit default swap</w:t>
      </w:r>
      <w:r w:rsidR="00D62378" w:rsidRPr="009A3C86">
        <w:rPr>
          <w:rFonts w:ascii="Times New Roman" w:eastAsia="Times New Roman" w:hAnsi="Times New Roman"/>
          <w:sz w:val="24"/>
          <w:szCs w:val="24"/>
          <w:lang w:eastAsia="pl-PL"/>
        </w:rPr>
        <w:t xml:space="preserve"> w firmach udzielających pożyczek, lecz niebędących bankami) będzie on podlegać zaraportowaniu jako schemat podatkowy standaryzowany.</w:t>
      </w:r>
    </w:p>
    <w:p w:rsidR="00D62378" w:rsidRPr="009A3C86" w:rsidRDefault="00D62378" w:rsidP="00D62378">
      <w:pPr>
        <w:autoSpaceDE w:val="0"/>
        <w:autoSpaceDN w:val="0"/>
        <w:adjustRightInd w:val="0"/>
        <w:spacing w:before="120"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Wyróżnienie pojęcia schemat podatkowy standaryzowany stanowi próbę odpowiedzi na uwagi zgłaszane przez respondentów w ramach przeprowadzonych konsultacji podatkowych, w szczególności jest odpowiedzią na wątpliwości respondentów dotyczące naruszenia tajemnicy zawodowej. Tajemnica zawodowa jest ważnym elementem zawodów regulowanych. Należy podkreślić, że celem projektodawcy jest respektowanie tajemnicy zawodowej z uwzględnieniem jednak celów projektowanej ustawy, w tym zwłaszcza wartości i zasad konstytucyjnych. Realizacji tych wartości i zasad konstytucyjnych ma służyć wprowadzenie obowiązku raportowania schematów podatkowych. W świetle rozwiązania, zgodnie z którym promotorzy będą mieli obowiązek ograniczonego przedmiotowo raportowania standaryzowanych schematów podatkowych, tj. w istocie rozwiązań bazujących na znajomości przepisów, tajemnica zawodowa nie zostanie naruszona.</w:t>
      </w:r>
    </w:p>
    <w:p w:rsidR="00D62378" w:rsidRPr="009A3C86" w:rsidRDefault="00D62378" w:rsidP="00D62378">
      <w:pPr>
        <w:autoSpaceDE w:val="0"/>
        <w:autoSpaceDN w:val="0"/>
        <w:adjustRightInd w:val="0"/>
        <w:spacing w:before="120"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Raportowanie schematów podatkowych standaryzowanych ma między innymi za zadanie szybką identyfikację schematów działań, które mogą zmierzać do relatywnie rozpowszechnionego wykorzystywania nieścisłości i niedoskonałości funkcjonującego prawa podatkowego. Należy wskazać, że analogiczne rozwiązanie zaproponowało OECD</w:t>
      </w:r>
      <w:r w:rsidRPr="009A3C86">
        <w:rPr>
          <w:rFonts w:ascii="Times New Roman" w:eastAsia="Times New Roman" w:hAnsi="Times New Roman"/>
          <w:sz w:val="24"/>
          <w:szCs w:val="24"/>
          <w:vertAlign w:val="superscript"/>
          <w:lang w:eastAsia="pl-PL"/>
        </w:rPr>
        <w:footnoteReference w:id="382"/>
      </w:r>
      <w:r w:rsidRPr="009A3C86">
        <w:rPr>
          <w:rFonts w:ascii="Times New Roman" w:eastAsia="Times New Roman" w:hAnsi="Times New Roman"/>
          <w:sz w:val="24"/>
          <w:szCs w:val="24"/>
          <w:lang w:eastAsia="pl-PL"/>
        </w:rPr>
        <w:t>, prezentując koncepcję, zgodnie z którą promotorzy mieliby obowiązek ujawniania schematów podatkowych przed pozyskaniem konkretnych podmiotów (osób), które mogłyby takie schematy zastosować. Zgodnie ze stanowiskiem OECD takie informowanie pozwoliłoby na szybką identyfikację schematów.</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Pod pojęciem </w:t>
      </w:r>
      <w:r w:rsidRPr="009A3C86">
        <w:rPr>
          <w:rFonts w:ascii="Times New Roman" w:eastAsiaTheme="minorHAnsi" w:hAnsi="Times New Roman" w:cstheme="minorBidi"/>
          <w:b/>
          <w:sz w:val="24"/>
          <w:szCs w:val="24"/>
        </w:rPr>
        <w:t xml:space="preserve">„schemat podatkowy transgraniczny” </w:t>
      </w:r>
      <w:r w:rsidRPr="009A3C86">
        <w:rPr>
          <w:rFonts w:ascii="Times New Roman" w:eastAsiaTheme="minorHAnsi" w:hAnsi="Times New Roman"/>
          <w:sz w:val="24"/>
          <w:szCs w:val="24"/>
        </w:rPr>
        <w:t>(</w:t>
      </w:r>
      <w:r w:rsidR="00CE6458" w:rsidRPr="009A3C86">
        <w:rPr>
          <w:rFonts w:ascii="Times New Roman" w:eastAsiaTheme="minorHAnsi" w:hAnsi="Times New Roman"/>
          <w:b/>
          <w:sz w:val="24"/>
          <w:szCs w:val="24"/>
        </w:rPr>
        <w:t>art.306 § 1 pkt 12</w:t>
      </w:r>
      <w:r w:rsidR="00ED24EF" w:rsidRPr="009A3C86">
        <w:rPr>
          <w:rFonts w:ascii="Times New Roman" w:eastAsiaTheme="minorHAnsi" w:hAnsi="Times New Roman"/>
          <w:sz w:val="24"/>
          <w:szCs w:val="24"/>
        </w:rPr>
        <w:t xml:space="preserve"> </w:t>
      </w:r>
      <w:r w:rsidRPr="009A3C86">
        <w:rPr>
          <w:rFonts w:ascii="Times New Roman" w:eastAsiaTheme="minorHAnsi" w:hAnsi="Times New Roman"/>
          <w:sz w:val="24"/>
          <w:szCs w:val="24"/>
        </w:rPr>
        <w:t>Ordynacji podatkowej) należy rozumieć natomiast uzgodnienie, które spełnia kryterium transgraniczne oraz:</w:t>
      </w:r>
    </w:p>
    <w:p w:rsidR="00D62378" w:rsidRPr="009A3C86" w:rsidRDefault="00D62378" w:rsidP="00D62378">
      <w:pPr>
        <w:numPr>
          <w:ilvl w:val="0"/>
          <w:numId w:val="44"/>
        </w:numPr>
        <w:autoSpaceDE w:val="0"/>
        <w:autoSpaceDN w:val="0"/>
        <w:adjustRightInd w:val="0"/>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lastRenderedPageBreak/>
        <w:t>spełnia kryterium głównej korzyści oraz posiada którąkolwiek z ogólnych cech rozpoznawczych, o których mowa w pkt. 5 lit. a-h, lub</w:t>
      </w:r>
    </w:p>
    <w:p w:rsidR="00D62378" w:rsidRPr="009A3C86" w:rsidRDefault="00D62378" w:rsidP="00D62378">
      <w:pPr>
        <w:numPr>
          <w:ilvl w:val="0"/>
          <w:numId w:val="44"/>
        </w:numPr>
        <w:autoSpaceDE w:val="0"/>
        <w:autoSpaceDN w:val="0"/>
        <w:adjustRightInd w:val="0"/>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posiada szczególną cechę rozpoznawczą.</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W rozumieniu projektowanych przepisów pojęcie „</w:t>
      </w:r>
      <w:r w:rsidRPr="009A3C86">
        <w:rPr>
          <w:rFonts w:ascii="Times New Roman" w:eastAsiaTheme="minorHAnsi" w:hAnsi="Times New Roman" w:cstheme="minorBidi"/>
          <w:b/>
          <w:sz w:val="24"/>
          <w:szCs w:val="24"/>
        </w:rPr>
        <w:t>szczególna cecha rozpoznawcza”</w:t>
      </w:r>
      <w:r w:rsidRPr="009A3C86">
        <w:rPr>
          <w:rFonts w:ascii="Times New Roman" w:eastAsiaTheme="minorHAnsi" w:hAnsi="Times New Roman"/>
          <w:sz w:val="24"/>
          <w:szCs w:val="24"/>
        </w:rPr>
        <w:t>, należy traktować jako właściwość uzgodnienia polegającą na tym, że (</w:t>
      </w:r>
      <w:r w:rsidR="00CE6458" w:rsidRPr="009A3C86">
        <w:rPr>
          <w:rFonts w:ascii="Times New Roman" w:eastAsiaTheme="minorHAnsi" w:hAnsi="Times New Roman"/>
          <w:b/>
          <w:sz w:val="24"/>
          <w:szCs w:val="24"/>
        </w:rPr>
        <w:t>art. 306 § 1 pkt 13</w:t>
      </w:r>
      <w:r w:rsidRPr="009A3C86">
        <w:rPr>
          <w:rFonts w:ascii="Times New Roman" w:eastAsiaTheme="minorHAnsi" w:hAnsi="Times New Roman"/>
          <w:sz w:val="24"/>
          <w:szCs w:val="24"/>
        </w:rPr>
        <w:t xml:space="preserve"> Ordynacji podatkowej):</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obejmuje ono podlegające zaliczeniu do kosztów uzyskania przychodów transgraniczne płatności pomiędzy podmiotami powiązanymi oraz:</w:t>
      </w:r>
    </w:p>
    <w:p w:rsidR="00D62378" w:rsidRPr="009A3C86" w:rsidRDefault="00D62378" w:rsidP="00D62378">
      <w:pPr>
        <w:numPr>
          <w:ilvl w:val="0"/>
          <w:numId w:val="46"/>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odbiorca płatności nie ma miejsca zamieszkania, siedziby ani zarządu w żadnym z państw,</w:t>
      </w:r>
    </w:p>
    <w:p w:rsidR="00D62378" w:rsidRPr="009A3C86" w:rsidRDefault="00D62378" w:rsidP="00D62378">
      <w:pPr>
        <w:numPr>
          <w:ilvl w:val="0"/>
          <w:numId w:val="46"/>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odbiorca płatności posiada miejsce zamieszkania, siedzibę lub zarząd na terytorium lub w kraju stosującym szkodliwą konkurencję podatkową w zakresie podatku dochodowego od osób fizycznych oraz podatku dochodowym od osób prawnych,</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w odniesieniu do tego samego środka trwałego lub wartości niematerialnej i prawnej dokonywane są odpisy amortyzacyjne w więcej niż jednym państwie,</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ten sam dochód lub majątek korzysta z metod mających na celu unikanie podwójnego opodatkowania w więcej niż jednym państwie,</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w ramach uzgodnienia dochodzi do przeniesienia aktywów i określone przez dwa państwa wynagrodzenie z tego tytułu dla celów podatkowych różni się co najmniej o 25%,</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może skutkować obejściem obowiązku raportowania wynikającego z ustawy o wymianie informacji podatkowych z innymi państwami lub równoważnych ustaw, umów lub porozumień w zakresie automatycznej wymiany informacji o rachunkach finansowych, włączając umowy lub porozumienia z państwami trzecimi lub wykorzystywać brak równoważnych przepisów, umów lub porozumień lub ich niewłaściwe wdrożenie. Dotyczy to w szczególności uzgodnień, w których:</w:t>
      </w:r>
    </w:p>
    <w:p w:rsidR="00D62378" w:rsidRPr="009A3C86" w:rsidRDefault="00D62378" w:rsidP="00D62378">
      <w:pPr>
        <w:numPr>
          <w:ilvl w:val="0"/>
          <w:numId w:val="54"/>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 xml:space="preserve">wykorzystywany jest rachunek, produkt lub inwestycja, które nie spełniają definicji rachunku finansowego, lecz posiadają cechy rachunku finansowego, </w:t>
      </w:r>
    </w:p>
    <w:p w:rsidR="00D62378" w:rsidRPr="009A3C86" w:rsidRDefault="00D62378" w:rsidP="00D62378">
      <w:pPr>
        <w:numPr>
          <w:ilvl w:val="0"/>
          <w:numId w:val="54"/>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dochodzi do przeniesienia rachunku finansowego lub aktywów do państw lub dochodzi do wykorzystania regulacji prawnych tych państw, z którymi brak jest podstawy do automatycznej wymiany informacji z państwem rezydencji posiadacza rachunku,</w:t>
      </w:r>
    </w:p>
    <w:p w:rsidR="00D62378" w:rsidRPr="009A3C86" w:rsidRDefault="00D62378" w:rsidP="00D62378">
      <w:pPr>
        <w:numPr>
          <w:ilvl w:val="0"/>
          <w:numId w:val="54"/>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lastRenderedPageBreak/>
        <w:t>dochodzi do przekwalifikowania dochodu lub majątku na produkty lub płatności, które nie podlegają automatycznej wymianie informacji o rachunkach finansowych,</w:t>
      </w:r>
    </w:p>
    <w:p w:rsidR="00D62378" w:rsidRPr="009A3C86" w:rsidRDefault="00D62378" w:rsidP="00D62378">
      <w:pPr>
        <w:numPr>
          <w:ilvl w:val="0"/>
          <w:numId w:val="54"/>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dochodzi do przeniesienia lub przekwalifikowania instytucji finansowej, rachunku finansowego lub znajdujących się w nich aktywów na instytucje finansowe, rachunki lub aktywa, które nie podlegają obowiązkowi raportowania w ramach automatycznej wymiany informacji o rachunkach finansowych,</w:t>
      </w:r>
    </w:p>
    <w:p w:rsidR="00D62378" w:rsidRPr="009A3C86" w:rsidRDefault="00D62378" w:rsidP="00D62378">
      <w:pPr>
        <w:numPr>
          <w:ilvl w:val="0"/>
          <w:numId w:val="54"/>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wykorzystywane są podmioty, porozumienia umowne lub struktury, które prowadzą lub których celem jest doprowadzenie do braku raportowania o przynajmniej jednym posiadaczu rachunku lub przynajmniej jednej osobie kontrolującej w ramach automatycznej wymiany informacji o rachunkach finansowych,</w:t>
      </w:r>
    </w:p>
    <w:p w:rsidR="00D62378" w:rsidRPr="009A3C86" w:rsidRDefault="00D62378" w:rsidP="00D62378">
      <w:pPr>
        <w:numPr>
          <w:ilvl w:val="0"/>
          <w:numId w:val="47"/>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wykorzystywana jest nieskuteczność lub niedoskonałość procedur należytej staranności stosowanych przez instytucje finansowe w celu wywiązania się z obowiązków raportowania informacji o rachunkach finansowych, włączając wykorzystanie państw z nieadekwatnymi lub nieefektywnymi systemami egzekwowania przepisów dotyczących przeciwdziałania praniu brudnych pieniędzy lub posiadającymi nieefektywne przepisy dotyczące przejrzystości w odniesieniu do osób prawnych, jednostek organizacyjnych niemających osobowości prawnej lub porozumień prawnych,</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występuje nieprzejrzysta struktura własności prawnej lub trudny do ustalenia jest beneficjent rzeczywisty z uwagi na wykorzystanie osób prawnych oraz jednostek organizacyjnych niemających osobowości prawnej, konstrukcji lub struktur prawnych:</w:t>
      </w:r>
    </w:p>
    <w:p w:rsidR="00D62378" w:rsidRPr="009A3C86" w:rsidRDefault="00D62378" w:rsidP="00D62378">
      <w:pPr>
        <w:numPr>
          <w:ilvl w:val="0"/>
          <w:numId w:val="5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które nie prowadzą znaczącej działalności gospodarczej z wykorzystaniem lokalu, personelu oraz wyposażenia wykorzystywanego w prowadzonej działalności gospodarczej,</w:t>
      </w:r>
    </w:p>
    <w:p w:rsidR="00D62378" w:rsidRPr="009A3C86" w:rsidRDefault="00D62378" w:rsidP="00D62378">
      <w:pPr>
        <w:numPr>
          <w:ilvl w:val="0"/>
          <w:numId w:val="5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które są zarejestrowane, zarządzane, znajdują się, są kontrolowane lub założone w jurysdykcji innej niż jurysdykcja miejsca zamieszkania, siedziby lub zarządu beneficjenta rzeczywistego aktywów będących w posiadaniu takich osób prawnych oraz jednostek organizacyjnych niemających osobowości prawnej, konstrukcji lub struktur prawnych,</w:t>
      </w:r>
    </w:p>
    <w:p w:rsidR="00D62378" w:rsidRPr="009A3C86" w:rsidRDefault="00ED24EF">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 xml:space="preserve">dla których </w:t>
      </w:r>
      <w:r w:rsidR="00D62378" w:rsidRPr="009A3C86">
        <w:rPr>
          <w:rFonts w:ascii="Times New Roman" w:eastAsiaTheme="minorHAnsi" w:hAnsi="Times New Roman"/>
          <w:bCs/>
          <w:sz w:val="24"/>
          <w:szCs w:val="24"/>
        </w:rPr>
        <w:t xml:space="preserve">nie można wskazać beneficjenta rzeczywistego wykorzystuje wprowadzone jednostronnie w danym państwie uproszczenie w stosowaniu przepisów związanych z ustalaniem cen transferowych, przy czym nie uważa się za uproszczenie wprowadzone jednostronnie, które wynika bezpośrednio z Wytycznych Organizacji Współpracy </w:t>
      </w:r>
      <w:r w:rsidR="00D62378" w:rsidRPr="009A3C86">
        <w:rPr>
          <w:rFonts w:ascii="Times New Roman" w:eastAsiaTheme="minorHAnsi" w:hAnsi="Times New Roman"/>
          <w:bCs/>
          <w:sz w:val="24"/>
          <w:szCs w:val="24"/>
        </w:rPr>
        <w:lastRenderedPageBreak/>
        <w:t>Gospodarczej i Rozwoju w sprawie cen transferowych dla przedsiębiorstw wielonarodowych oraz administracji podatkowych, a także innych międzynarodowych regulacji, wytycznych lub rekomendacji w zakresie cen transferowych,</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dochodzi do przeniesienia praw trudnych do wyceny wartości niematerialnych,</w:t>
      </w:r>
    </w:p>
    <w:p w:rsidR="00D62378" w:rsidRPr="009A3C86" w:rsidRDefault="00D62378" w:rsidP="00D62378">
      <w:pPr>
        <w:numPr>
          <w:ilvl w:val="0"/>
          <w:numId w:val="45"/>
        </w:numPr>
        <w:autoSpaceDE w:val="0"/>
        <w:autoSpaceDN w:val="0"/>
        <w:adjustRightInd w:val="0"/>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 xml:space="preserve">pomiędzy podmiotami powiązanymi dochodzi do przeniesienia funkcji, ryzyka lub aktywów, jeżeli przewidywany roczny wynik finansowy podmiotu przenoszącego lub podmiotów przenoszących przed </w:t>
      </w:r>
      <w:r w:rsidR="00ED24EF" w:rsidRPr="009A3C86">
        <w:rPr>
          <w:rFonts w:ascii="Times New Roman" w:eastAsiaTheme="minorHAnsi" w:hAnsi="Times New Roman"/>
          <w:bCs/>
          <w:sz w:val="24"/>
          <w:szCs w:val="24"/>
        </w:rPr>
        <w:t xml:space="preserve">odliczeniem </w:t>
      </w:r>
      <w:r w:rsidRPr="009A3C86">
        <w:rPr>
          <w:rFonts w:ascii="Times New Roman" w:eastAsiaTheme="minorHAnsi" w:hAnsi="Times New Roman"/>
          <w:bCs/>
          <w:sz w:val="24"/>
          <w:szCs w:val="24"/>
        </w:rPr>
        <w:t>odset</w:t>
      </w:r>
      <w:r w:rsidR="00ED24EF" w:rsidRPr="009A3C86">
        <w:rPr>
          <w:rFonts w:ascii="Times New Roman" w:eastAsiaTheme="minorHAnsi" w:hAnsi="Times New Roman"/>
          <w:bCs/>
          <w:sz w:val="24"/>
          <w:szCs w:val="24"/>
        </w:rPr>
        <w:t>e</w:t>
      </w:r>
      <w:r w:rsidRPr="009A3C86">
        <w:rPr>
          <w:rFonts w:ascii="Times New Roman" w:eastAsiaTheme="minorHAnsi" w:hAnsi="Times New Roman"/>
          <w:bCs/>
          <w:sz w:val="24"/>
          <w:szCs w:val="24"/>
        </w:rPr>
        <w:t xml:space="preserve">k i </w:t>
      </w:r>
      <w:r w:rsidR="00ED24EF" w:rsidRPr="009A3C86">
        <w:rPr>
          <w:rFonts w:ascii="Times New Roman" w:eastAsiaTheme="minorHAnsi" w:hAnsi="Times New Roman"/>
          <w:bCs/>
          <w:sz w:val="24"/>
          <w:szCs w:val="24"/>
        </w:rPr>
        <w:t xml:space="preserve">podatków </w:t>
      </w:r>
      <w:r w:rsidRPr="009A3C86">
        <w:rPr>
          <w:rFonts w:ascii="Times New Roman" w:eastAsiaTheme="minorHAnsi" w:hAnsi="Times New Roman"/>
          <w:bCs/>
          <w:sz w:val="24"/>
          <w:szCs w:val="24"/>
        </w:rPr>
        <w:t>(EBIT) w trzyletnim okresie po tym przeniesieniu wyniósłby mniej niż 50% przewidywanego rocznego EBIT, gdyby nie dokonano przeniesienia.</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Szczególne cechy rozpoznawcze stanowić będą kryteria ustalenia, czy dane uzgodnienie powinno podlegać obowiązkowi raportowania jako schemat podatkowy.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Warto przy tym podkreślić, że „szczególna cecha rozpoznawcza” zawarta w projektowanym art. </w:t>
      </w:r>
      <w:r w:rsidR="00ED24EF" w:rsidRPr="009A3C86">
        <w:rPr>
          <w:rFonts w:ascii="Times New Roman" w:eastAsiaTheme="minorHAnsi" w:hAnsi="Times New Roman"/>
          <w:sz w:val="24"/>
          <w:szCs w:val="24"/>
        </w:rPr>
        <w:t xml:space="preserve">306 </w:t>
      </w:r>
      <w:r w:rsidRPr="009A3C86">
        <w:rPr>
          <w:rFonts w:ascii="Times New Roman" w:eastAsiaTheme="minorHAnsi" w:hAnsi="Times New Roman"/>
          <w:sz w:val="24"/>
          <w:szCs w:val="24"/>
        </w:rPr>
        <w:t>§ 1 pkt 1</w:t>
      </w:r>
      <w:r w:rsidR="00C234E8" w:rsidRPr="009A3C86">
        <w:rPr>
          <w:rFonts w:ascii="Times New Roman" w:eastAsiaTheme="minorHAnsi" w:hAnsi="Times New Roman"/>
          <w:sz w:val="24"/>
          <w:szCs w:val="24"/>
        </w:rPr>
        <w:t>3</w:t>
      </w:r>
      <w:r w:rsidRPr="009A3C86">
        <w:rPr>
          <w:rFonts w:ascii="Times New Roman" w:eastAsiaTheme="minorHAnsi" w:hAnsi="Times New Roman"/>
          <w:sz w:val="24"/>
          <w:szCs w:val="24"/>
        </w:rPr>
        <w:t xml:space="preserve"> lit. e) oraz f) Ordynacji podatkowej stanowi implementację postanowień Dyrektywy, która zawiera analogiczne do wypracowanych na arenie OECD rozwiązań w zakresie obowiązku ujawniania schematów mających na celu obejście wspólnego systemu raportowania o rachunkach finansowych. Aby zapewnić spójność stosowania we wszystkich państwach przy wdrażaniu Dyrektywy oraz interpretacji przepisów krajowych państwa członkowskie powinny korzystać z komentarzy do modelowych rozwiązań wypracowanych przez OECD do wspólnego standardu wymiany informacji</w:t>
      </w:r>
      <w:r w:rsidRPr="009A3C86">
        <w:rPr>
          <w:rFonts w:ascii="Times New Roman" w:eastAsiaTheme="minorHAnsi" w:hAnsi="Times New Roman"/>
          <w:sz w:val="24"/>
          <w:szCs w:val="24"/>
          <w:vertAlign w:val="superscript"/>
        </w:rPr>
        <w:footnoteReference w:id="383"/>
      </w:r>
      <w:r w:rsidRPr="009A3C86">
        <w:rPr>
          <w:rFonts w:ascii="Times New Roman" w:eastAsiaTheme="minorHAnsi" w:hAnsi="Times New Roman"/>
          <w:sz w:val="24"/>
          <w:szCs w:val="24"/>
        </w:rPr>
        <w:t xml:space="preserve"> w zakresie w jakim teksty te są spójne z postanowieniami Dyrektywy, jako źródła przykładów lub interpretacji.</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Kryterium wyłączenia z kategorii „szczególnej cechy rozpoznawczej” określonego w art. </w:t>
      </w:r>
      <w:r w:rsidR="00ED24EF" w:rsidRPr="009A3C86">
        <w:rPr>
          <w:rFonts w:ascii="Times New Roman" w:eastAsiaTheme="minorHAnsi" w:hAnsi="Times New Roman"/>
          <w:sz w:val="24"/>
          <w:szCs w:val="24"/>
        </w:rPr>
        <w:t xml:space="preserve">306 </w:t>
      </w:r>
      <w:r w:rsidRPr="009A3C86">
        <w:rPr>
          <w:rFonts w:ascii="Times New Roman" w:eastAsiaTheme="minorHAnsi" w:hAnsi="Times New Roman"/>
          <w:sz w:val="24"/>
          <w:szCs w:val="24"/>
        </w:rPr>
        <w:t>§ 1 pkt 1</w:t>
      </w:r>
      <w:r w:rsidR="00C234E8" w:rsidRPr="009A3C86">
        <w:rPr>
          <w:rFonts w:ascii="Times New Roman" w:eastAsiaTheme="minorHAnsi" w:hAnsi="Times New Roman"/>
          <w:sz w:val="24"/>
          <w:szCs w:val="24"/>
        </w:rPr>
        <w:t>3</w:t>
      </w:r>
      <w:r w:rsidRPr="009A3C86">
        <w:rPr>
          <w:rFonts w:ascii="Times New Roman" w:eastAsiaTheme="minorHAnsi" w:hAnsi="Times New Roman"/>
          <w:sz w:val="24"/>
          <w:szCs w:val="24"/>
        </w:rPr>
        <w:t xml:space="preserve"> lit. g spełnia w szczególności „bezpieczna przystań” w odniesieniu do „usług o niskiej wartości dodanej”, jako wynikająca z wytycznych OECD.</w:t>
      </w:r>
    </w:p>
    <w:p w:rsidR="00D62378" w:rsidRPr="009A3C86" w:rsidRDefault="00D62378" w:rsidP="00D62378">
      <w:pPr>
        <w:spacing w:before="120" w:after="0" w:line="360" w:lineRule="auto"/>
        <w:jc w:val="both"/>
        <w:rPr>
          <w:rFonts w:ascii="Times New Roman" w:eastAsiaTheme="minorHAnsi" w:hAnsi="Times New Roman"/>
          <w:bCs/>
          <w:sz w:val="24"/>
          <w:szCs w:val="24"/>
        </w:rPr>
      </w:pPr>
      <w:r w:rsidRPr="009A3C86">
        <w:rPr>
          <w:rFonts w:ascii="Times New Roman" w:eastAsiaTheme="minorHAnsi" w:hAnsi="Times New Roman"/>
          <w:sz w:val="24"/>
          <w:szCs w:val="24"/>
        </w:rPr>
        <w:t xml:space="preserve">W myśl projektu poprzez określenie </w:t>
      </w:r>
      <w:r w:rsidRPr="009A3C86">
        <w:rPr>
          <w:rFonts w:ascii="Times New Roman" w:eastAsiaTheme="minorHAnsi" w:hAnsi="Times New Roman" w:cstheme="minorBidi"/>
          <w:b/>
          <w:sz w:val="24"/>
          <w:szCs w:val="24"/>
        </w:rPr>
        <w:t>„inna szczególna cecha rozpoznawcza”</w:t>
      </w:r>
      <w:r w:rsidRPr="009A3C86">
        <w:rPr>
          <w:rFonts w:ascii="Times New Roman" w:eastAsiaTheme="minorHAnsi" w:hAnsi="Times New Roman"/>
          <w:sz w:val="24"/>
          <w:szCs w:val="24"/>
        </w:rPr>
        <w:t xml:space="preserve"> (</w:t>
      </w:r>
      <w:r w:rsidR="00CE6458" w:rsidRPr="009A3C86">
        <w:rPr>
          <w:rFonts w:ascii="Times New Roman" w:eastAsiaTheme="minorHAnsi" w:hAnsi="Times New Roman"/>
          <w:b/>
          <w:sz w:val="24"/>
          <w:szCs w:val="24"/>
        </w:rPr>
        <w:t xml:space="preserve">art. 306 § 1 pkt 1 </w:t>
      </w:r>
      <w:r w:rsidRPr="009A3C86">
        <w:rPr>
          <w:rFonts w:ascii="Times New Roman" w:eastAsiaTheme="minorHAnsi" w:hAnsi="Times New Roman"/>
          <w:sz w:val="24"/>
          <w:szCs w:val="24"/>
        </w:rPr>
        <w:t>Ordynacji podatkowej) należy rozumieć sytuację, w której:</w:t>
      </w:r>
    </w:p>
    <w:p w:rsidR="00D62378" w:rsidRPr="009A3C86" w:rsidRDefault="00D62378" w:rsidP="00D62378">
      <w:pPr>
        <w:numPr>
          <w:ilvl w:val="0"/>
          <w:numId w:val="48"/>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 xml:space="preserve">wpływ na część odroczoną podatku dochodowego lub aktywa albo rezerwy z tytułu podatku odroczonego, wynikający lub oczekiwany w związku z wykonaniem uzgodnienia u któregokolwiek z korzystających jest istotny dla danej jednostki w </w:t>
      </w:r>
      <w:r w:rsidRPr="009A3C86">
        <w:rPr>
          <w:rFonts w:ascii="Times New Roman" w:eastAsiaTheme="minorHAnsi" w:hAnsi="Times New Roman"/>
          <w:bCs/>
          <w:sz w:val="24"/>
          <w:szCs w:val="24"/>
        </w:rPr>
        <w:lastRenderedPageBreak/>
        <w:t>rozumieniu przepisów o rachunkowości oraz przekracza łącznie u korzystających, bez względu na okres, kwotę 5 000 000 złotych,</w:t>
      </w:r>
    </w:p>
    <w:p w:rsidR="00D62378" w:rsidRPr="009A3C86" w:rsidRDefault="00D62378" w:rsidP="00D62378">
      <w:pPr>
        <w:numPr>
          <w:ilvl w:val="0"/>
          <w:numId w:val="48"/>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płatnik lub płatnicy podatku dochodowego byliby zobowiązani do pobrania podatku przekraczającego łącznie, bez względu na okres, kwotę 5 000 000 złotych, jeżeli w odniesieniu do wypłat należności wynikających lub oczekiwanych w związku z wykonaniem uzgodnienia nie miałyby zastosowania właściwe umowy o unikaniu podwójnego opodatkowania lub zwolnienia podatkowe,</w:t>
      </w:r>
    </w:p>
    <w:p w:rsidR="00D62378" w:rsidRPr="009A3C86" w:rsidRDefault="00D62378" w:rsidP="00D62378">
      <w:pPr>
        <w:numPr>
          <w:ilvl w:val="0"/>
          <w:numId w:val="48"/>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dochody (przychody), podatników o których mowa w art. 3 ust. 2 ustawy o podatku dochodowym od osób prawnych lub art. 3 ust. 2a ustawy o podatku dochodowym od osób fizycznych wynikające lub oczekiwane w związku z wykonaniem uzgodnienia, przekraczają łącznie, bez względu na okres i liczbę korzystających, kwotę 25 000 000 złotych,</w:t>
      </w:r>
    </w:p>
    <w:p w:rsidR="00D62378" w:rsidRPr="009A3C86" w:rsidRDefault="00D62378" w:rsidP="00ED24EF">
      <w:pPr>
        <w:numPr>
          <w:ilvl w:val="0"/>
          <w:numId w:val="48"/>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 xml:space="preserve">różnica pomiędzy podatkiem dochodowym, który byłby należny </w:t>
      </w:r>
      <w:r w:rsidR="00ED24EF" w:rsidRPr="009A3C86">
        <w:rPr>
          <w:rFonts w:ascii="Times New Roman" w:eastAsiaTheme="minorHAnsi" w:hAnsi="Times New Roman"/>
          <w:bCs/>
          <w:sz w:val="24"/>
          <w:szCs w:val="24"/>
        </w:rPr>
        <w:t xml:space="preserve">w Rzeczpospolitej Polskiej </w:t>
      </w:r>
      <w:r w:rsidRPr="009A3C86">
        <w:rPr>
          <w:rFonts w:ascii="Times New Roman" w:eastAsiaTheme="minorHAnsi" w:hAnsi="Times New Roman"/>
          <w:bCs/>
          <w:sz w:val="24"/>
          <w:szCs w:val="24"/>
        </w:rPr>
        <w:t xml:space="preserve">w związku z wykonaniem uzgodnienia od przynajmniej jednego z korzystających nieposiadających siedziby, zarządu ani miejsca zamieszkania na terytorium Rzeczypospolitej Polskiej, gdyby był on podatnikiem, o którym mowa w art. 3 ust. 1 ustawy o podatku dochodowym od osób prawnych lub art. 3 ust. 1 ustawy o podatku dochodowym od osób fizycznym, a </w:t>
      </w:r>
      <w:r w:rsidR="00ED24EF" w:rsidRPr="009A3C86">
        <w:rPr>
          <w:rFonts w:ascii="Times New Roman" w:eastAsiaTheme="minorHAnsi" w:hAnsi="Times New Roman"/>
          <w:bCs/>
          <w:sz w:val="24"/>
          <w:szCs w:val="24"/>
        </w:rPr>
        <w:t xml:space="preserve">podatkiem dochodowym </w:t>
      </w:r>
      <w:r w:rsidRPr="009A3C86">
        <w:rPr>
          <w:rFonts w:ascii="Times New Roman" w:eastAsiaTheme="minorHAnsi" w:hAnsi="Times New Roman"/>
          <w:bCs/>
          <w:sz w:val="24"/>
          <w:szCs w:val="24"/>
        </w:rPr>
        <w:t>podlegającym faktycznej zapłacie w państwie siedziby, zarządu lub miejsca zamieszkania korzystającego w związku z wykonaniem uzgodnienia, przekracza łącznie, bez względu na okres i liczbę korzystających, kwotę 5 000 000 złotych;</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Określenie </w:t>
      </w:r>
      <w:r w:rsidRPr="009A3C86">
        <w:rPr>
          <w:rFonts w:ascii="Times New Roman" w:eastAsiaTheme="minorHAnsi" w:hAnsi="Times New Roman" w:cstheme="minorBidi"/>
          <w:b/>
          <w:sz w:val="24"/>
          <w:szCs w:val="24"/>
        </w:rPr>
        <w:t>„trudne do wyceny wartości niematerialne”</w:t>
      </w:r>
      <w:r w:rsidRPr="009A3C86">
        <w:rPr>
          <w:rFonts w:ascii="Times New Roman" w:eastAsiaTheme="minorHAnsi" w:hAnsi="Times New Roman"/>
          <w:sz w:val="24"/>
          <w:szCs w:val="24"/>
        </w:rPr>
        <w:t xml:space="preserve">, zgodnie z projektowanym </w:t>
      </w:r>
      <w:r w:rsidR="00CE6458" w:rsidRPr="009A3C86">
        <w:rPr>
          <w:rFonts w:ascii="Times New Roman" w:eastAsiaTheme="minorHAnsi" w:hAnsi="Times New Roman"/>
          <w:b/>
          <w:sz w:val="24"/>
          <w:szCs w:val="24"/>
        </w:rPr>
        <w:t xml:space="preserve">art. </w:t>
      </w:r>
      <w:r w:rsidR="00ED24EF" w:rsidRPr="009A3C86">
        <w:rPr>
          <w:rFonts w:ascii="Times New Roman" w:eastAsiaTheme="minorHAnsi" w:hAnsi="Times New Roman"/>
          <w:b/>
          <w:sz w:val="24"/>
          <w:szCs w:val="24"/>
        </w:rPr>
        <w:t>306</w:t>
      </w:r>
      <w:r w:rsidR="00CE6458" w:rsidRPr="009A3C86">
        <w:rPr>
          <w:rFonts w:ascii="Times New Roman" w:eastAsiaTheme="minorHAnsi" w:hAnsi="Times New Roman"/>
          <w:b/>
          <w:sz w:val="24"/>
          <w:szCs w:val="24"/>
        </w:rPr>
        <w:t xml:space="preserve"> § 1 pkt 14</w:t>
      </w:r>
      <w:r w:rsidR="00ED24EF" w:rsidRPr="009A3C86">
        <w:rPr>
          <w:rFonts w:ascii="Times New Roman" w:eastAsiaTheme="minorHAnsi" w:hAnsi="Times New Roman"/>
          <w:sz w:val="24"/>
          <w:szCs w:val="24"/>
        </w:rPr>
        <w:t xml:space="preserve"> </w:t>
      </w:r>
      <w:r w:rsidRPr="009A3C86">
        <w:rPr>
          <w:rFonts w:ascii="Times New Roman" w:eastAsiaTheme="minorHAnsi" w:hAnsi="Times New Roman"/>
          <w:sz w:val="24"/>
          <w:szCs w:val="24"/>
        </w:rPr>
        <w:t>Ordynacji podatkowej, należy rozumieć jako wartości niematerialne, w tym wartości prawne a także prawa do tych wartości, które w momencie ich przenoszenia między podmiotami powiązanymi nie miały wiarygodnie określonej wartości porównywalnej oraz prognozy przyszłych przepływów pieniężnych lub spodziewanych przychodów z tych wartości, lub założenia zastosowane przy ich wycenie, obarczone są wysokim poziomem niepewności.</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Zgodnie z projektowanym </w:t>
      </w:r>
      <w:r w:rsidR="00CE6458" w:rsidRPr="009A3C86">
        <w:rPr>
          <w:rFonts w:ascii="Times New Roman" w:eastAsiaTheme="minorHAnsi" w:hAnsi="Times New Roman"/>
          <w:b/>
          <w:sz w:val="24"/>
          <w:szCs w:val="24"/>
        </w:rPr>
        <w:t xml:space="preserve">art. </w:t>
      </w:r>
      <w:r w:rsidR="00ED24EF" w:rsidRPr="009A3C86">
        <w:rPr>
          <w:rFonts w:ascii="Times New Roman" w:eastAsiaTheme="minorHAnsi" w:hAnsi="Times New Roman"/>
          <w:b/>
          <w:sz w:val="24"/>
          <w:szCs w:val="24"/>
        </w:rPr>
        <w:t>306</w:t>
      </w:r>
      <w:r w:rsidR="00CE6458" w:rsidRPr="009A3C86">
        <w:rPr>
          <w:rFonts w:ascii="Times New Roman" w:eastAsiaTheme="minorHAnsi" w:hAnsi="Times New Roman"/>
          <w:b/>
          <w:sz w:val="24"/>
          <w:szCs w:val="24"/>
        </w:rPr>
        <w:t xml:space="preserve"> § 1 pkt 15</w:t>
      </w:r>
      <w:r w:rsidR="00ED24EF" w:rsidRPr="009A3C86">
        <w:rPr>
          <w:rFonts w:ascii="Times New Roman" w:eastAsiaTheme="minorHAnsi" w:hAnsi="Times New Roman"/>
          <w:sz w:val="24"/>
          <w:szCs w:val="24"/>
        </w:rPr>
        <w:t xml:space="preserve"> </w:t>
      </w:r>
      <w:r w:rsidRPr="009A3C86">
        <w:rPr>
          <w:rFonts w:ascii="Times New Roman" w:eastAsiaTheme="minorHAnsi" w:hAnsi="Times New Roman"/>
          <w:sz w:val="24"/>
          <w:szCs w:val="24"/>
        </w:rPr>
        <w:t xml:space="preserve"> Ordynacji podatkowej pod pojęciem</w:t>
      </w:r>
      <w:r w:rsidRPr="009A3C86">
        <w:rPr>
          <w:rFonts w:ascii="Times New Roman" w:eastAsiaTheme="minorHAnsi" w:hAnsi="Times New Roman" w:cstheme="minorBidi"/>
          <w:b/>
          <w:sz w:val="24"/>
          <w:szCs w:val="24"/>
        </w:rPr>
        <w:t xml:space="preserve"> „udostępniania”</w:t>
      </w:r>
      <w:r w:rsidRPr="009A3C86">
        <w:rPr>
          <w:rFonts w:ascii="Times New Roman" w:eastAsiaTheme="minorHAnsi" w:hAnsi="Times New Roman"/>
          <w:sz w:val="24"/>
          <w:szCs w:val="24"/>
        </w:rPr>
        <w:t xml:space="preserve"> rozumie się następujące czynności:</w:t>
      </w:r>
    </w:p>
    <w:p w:rsidR="00D62378" w:rsidRPr="009A3C86" w:rsidRDefault="00D62378" w:rsidP="00D62378">
      <w:pPr>
        <w:numPr>
          <w:ilvl w:val="0"/>
          <w:numId w:val="41"/>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t>oferowanie uzgodnienia korzystającemu, zawarcie umowy, której przedmiotem jest przekazanie informacji o uzgodnieniu, lub przyjmowanie wynagrodzenia z tytułu przekazania informacji o uzgodnieniu, lub</w:t>
      </w:r>
    </w:p>
    <w:p w:rsidR="00D62378" w:rsidRPr="009A3C86" w:rsidRDefault="00D62378" w:rsidP="00D62378">
      <w:pPr>
        <w:numPr>
          <w:ilvl w:val="0"/>
          <w:numId w:val="41"/>
        </w:numPr>
        <w:spacing w:before="120" w:after="0" w:line="360" w:lineRule="auto"/>
        <w:contextualSpacing/>
        <w:jc w:val="both"/>
        <w:rPr>
          <w:rFonts w:ascii="Times New Roman" w:eastAsiaTheme="minorHAnsi" w:hAnsi="Times New Roman"/>
          <w:sz w:val="24"/>
          <w:szCs w:val="24"/>
        </w:rPr>
      </w:pPr>
      <w:r w:rsidRPr="009A3C86">
        <w:rPr>
          <w:rFonts w:ascii="Times New Roman" w:eastAsiaTheme="minorHAnsi" w:hAnsi="Times New Roman"/>
          <w:sz w:val="24"/>
          <w:szCs w:val="24"/>
        </w:rPr>
        <w:lastRenderedPageBreak/>
        <w:t>przekazywanie korzystającemu w jakiejkolwiek formie, w tym drogą elektroniczną, telefoniczną lub osobiście, informacji o uzgodnieniu, w szczególności poprzez przedstawianie jego założeń.</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Zgodnie z proponowaną definicją, istotą udostępnienia jest zaznajomienie podmiotu korzystającego z informacją o uzgodnieniu, choćby ten nie zdecydował się na skorzystanie z oferowanego uzgodnienia. Udostępnianiem uzgodnienia jest nie tylko koncepcja czy plan działania, który np. może być zwizualizowany w formie graficznej, ale także informacja o pojedynczej czynności lub zespole takich czynności i działań. Udostępnianie uzgodnienia obejmuje sytuacje, w których promotor przekazuje informacje w dowolnej formie. Nie jest przy tym konieczne, aby przekazywane informacje były szczegółowe, a opis uzgodnienia kompletny. Wystarczającym będzie przedstawienie założeń uzgodnienia, aby uznać, że nastąpiło jego udostępnienie.</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Przekazanie informacji może nastąpić w dowolnej formie np. forma pisemna, grafika, prezentacja. Promotor może to uczynić za pomocą dowolnego środka komunikacji (np. poczta elektroniczna, bezpośrednie spotkanie, konferencja).</w:t>
      </w:r>
    </w:p>
    <w:p w:rsidR="00D62378" w:rsidRPr="009A3C86" w:rsidRDefault="00C234E8" w:rsidP="00D62378">
      <w:pPr>
        <w:autoSpaceDE w:val="0"/>
        <w:autoSpaceDN w:val="0"/>
        <w:adjustRightInd w:val="0"/>
        <w:spacing w:before="120" w:after="0" w:line="360" w:lineRule="auto"/>
        <w:jc w:val="both"/>
        <w:rPr>
          <w:rFonts w:ascii="Times New Roman" w:eastAsiaTheme="minorHAnsi" w:hAnsi="Times New Roman"/>
          <w:sz w:val="24"/>
          <w:szCs w:val="24"/>
        </w:rPr>
      </w:pPr>
      <w:r w:rsidRPr="009A3C86" w:rsidDel="00C234E8">
        <w:rPr>
          <w:rFonts w:ascii="Times New Roman" w:eastAsiaTheme="minorEastAsia" w:hAnsi="Times New Roman" w:cs="Arial"/>
          <w:bCs/>
          <w:sz w:val="24"/>
          <w:szCs w:val="24"/>
          <w:lang w:eastAsia="pl-PL"/>
        </w:rPr>
        <w:t xml:space="preserve"> </w:t>
      </w:r>
      <w:r w:rsidR="00D62378" w:rsidRPr="009A3C86">
        <w:rPr>
          <w:rFonts w:ascii="Times New Roman" w:eastAsiaTheme="minorHAnsi" w:hAnsi="Times New Roman"/>
          <w:sz w:val="24"/>
          <w:szCs w:val="24"/>
        </w:rPr>
        <w:t>„</w:t>
      </w:r>
      <w:r w:rsidR="00D62378" w:rsidRPr="009A3C86">
        <w:rPr>
          <w:rFonts w:ascii="Times New Roman" w:eastAsiaTheme="minorHAnsi" w:hAnsi="Times New Roman" w:cstheme="minorBidi"/>
          <w:b/>
          <w:sz w:val="24"/>
          <w:szCs w:val="24"/>
        </w:rPr>
        <w:t>Uzgodnieniem</w:t>
      </w:r>
      <w:r w:rsidR="00D62378" w:rsidRPr="009A3C86">
        <w:rPr>
          <w:rFonts w:ascii="Times New Roman" w:eastAsiaTheme="minorHAnsi" w:hAnsi="Times New Roman"/>
          <w:sz w:val="24"/>
          <w:szCs w:val="24"/>
        </w:rPr>
        <w:t>” jest czynność lub zespół powiązanych ze sobą czynności, w tym czynność planowana lub zespół czynności planowanych, w których co najmniej jedna strona jest podatnikiem, lub które mają lub mogą mieć wpływ na powstanie lub niepowstanie obowiązku podatkowego (</w:t>
      </w:r>
      <w:r w:rsidR="00CE6458" w:rsidRPr="009A3C86">
        <w:rPr>
          <w:rFonts w:ascii="Times New Roman" w:eastAsiaTheme="minorHAnsi" w:hAnsi="Times New Roman"/>
          <w:b/>
          <w:sz w:val="24"/>
          <w:szCs w:val="24"/>
        </w:rPr>
        <w:t>art. 306 § 1 pkt 1</w:t>
      </w:r>
      <w:r w:rsidR="00ED24EF" w:rsidRPr="009A3C86">
        <w:rPr>
          <w:rFonts w:ascii="Times New Roman" w:eastAsiaTheme="minorHAnsi" w:hAnsi="Times New Roman"/>
          <w:b/>
          <w:sz w:val="24"/>
          <w:szCs w:val="24"/>
        </w:rPr>
        <w:t>6</w:t>
      </w:r>
      <w:r w:rsidR="00ED24EF" w:rsidRPr="009A3C86">
        <w:rPr>
          <w:rFonts w:ascii="Times New Roman" w:eastAsiaTheme="minorHAnsi" w:hAnsi="Times New Roman"/>
          <w:sz w:val="24"/>
          <w:szCs w:val="24"/>
        </w:rPr>
        <w:t xml:space="preserve"> </w:t>
      </w:r>
      <w:r w:rsidR="00D62378" w:rsidRPr="009A3C86">
        <w:rPr>
          <w:rFonts w:ascii="Times New Roman" w:eastAsiaTheme="minorHAnsi" w:hAnsi="Times New Roman"/>
          <w:sz w:val="24"/>
          <w:szCs w:val="24"/>
        </w:rPr>
        <w:t>Ordynacji podatkowej).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Pojęcie </w:t>
      </w:r>
      <w:r w:rsidRPr="009A3C86">
        <w:rPr>
          <w:rFonts w:ascii="Times New Roman" w:eastAsiaTheme="minorEastAsia" w:hAnsi="Times New Roman" w:cs="Arial"/>
          <w:b/>
          <w:bCs/>
          <w:sz w:val="24"/>
          <w:szCs w:val="24"/>
          <w:lang w:eastAsia="pl-PL"/>
        </w:rPr>
        <w:t>„wdrażanie”</w:t>
      </w:r>
      <w:r w:rsidRPr="009A3C86">
        <w:rPr>
          <w:rFonts w:ascii="Times New Roman" w:eastAsiaTheme="minorEastAsia" w:hAnsi="Times New Roman" w:cs="Arial"/>
          <w:bCs/>
          <w:sz w:val="24"/>
          <w:szCs w:val="24"/>
          <w:lang w:eastAsia="pl-PL"/>
        </w:rPr>
        <w:t xml:space="preserve"> zdefiniowano w projektowanym art. </w:t>
      </w:r>
      <w:r w:rsidR="00CE6458" w:rsidRPr="009A3C86">
        <w:rPr>
          <w:rFonts w:ascii="Times New Roman" w:eastAsiaTheme="minorEastAsia" w:hAnsi="Times New Roman" w:cs="Arial"/>
          <w:b/>
          <w:bCs/>
          <w:sz w:val="24"/>
          <w:szCs w:val="24"/>
          <w:lang w:eastAsia="pl-PL"/>
        </w:rPr>
        <w:t>306 § 1 pkt 17</w:t>
      </w:r>
      <w:r w:rsidRPr="009A3C86">
        <w:rPr>
          <w:rFonts w:ascii="Times New Roman" w:eastAsiaTheme="minorEastAsia" w:hAnsi="Times New Roman" w:cs="Arial"/>
          <w:bCs/>
          <w:sz w:val="24"/>
          <w:szCs w:val="24"/>
          <w:lang w:eastAsia="pl-PL"/>
        </w:rPr>
        <w:t xml:space="preserve"> Ordynacji podatkowej. Pod pojęciem tym rozumie się, dokonywanie czynności faktycznych lub prawnych umożliwiających wykonanie lub zmierzających do wykonania uzgodnienia, w tym: </w:t>
      </w:r>
    </w:p>
    <w:p w:rsidR="00D62378" w:rsidRPr="009A3C86" w:rsidRDefault="00D62378" w:rsidP="00D62378">
      <w:pPr>
        <w:numPr>
          <w:ilvl w:val="0"/>
          <w:numId w:val="4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zarządzanie, faktyczne uczestniczenie w podejmowaniu decyzji lub przeprowadzanie czynności związanych z uzgodnieniem, także gdy podejmowanie decyzji lub czynności dotyczy wykonania uzgodnienia przez inny podmiot,</w:t>
      </w:r>
    </w:p>
    <w:p w:rsidR="00D62378" w:rsidRPr="009A3C86" w:rsidRDefault="00D62378" w:rsidP="00D62378">
      <w:pPr>
        <w:numPr>
          <w:ilvl w:val="0"/>
          <w:numId w:val="4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pośredniczenie lub udzielanie pomocy w czynnościach związanych z uzgodnieniem,</w:t>
      </w:r>
    </w:p>
    <w:p w:rsidR="00D62378" w:rsidRPr="009A3C86" w:rsidRDefault="00D62378" w:rsidP="00ED24EF">
      <w:pPr>
        <w:numPr>
          <w:ilvl w:val="0"/>
          <w:numId w:val="4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dokonywanie innych czynności </w:t>
      </w:r>
      <w:r w:rsidR="00ED24EF" w:rsidRPr="009A3C86">
        <w:rPr>
          <w:rFonts w:ascii="Times New Roman" w:eastAsiaTheme="minorEastAsia" w:hAnsi="Times New Roman" w:cs="Arial"/>
          <w:bCs/>
          <w:sz w:val="24"/>
          <w:szCs w:val="24"/>
          <w:lang w:eastAsia="pl-PL"/>
        </w:rPr>
        <w:t xml:space="preserve">niż określone w lit. a i b, </w:t>
      </w:r>
      <w:r w:rsidRPr="009A3C86">
        <w:rPr>
          <w:rFonts w:ascii="Times New Roman" w:eastAsiaTheme="minorEastAsia" w:hAnsi="Times New Roman" w:cs="Arial"/>
          <w:bCs/>
          <w:sz w:val="24"/>
          <w:szCs w:val="24"/>
          <w:lang w:eastAsia="pl-PL"/>
        </w:rPr>
        <w:t>będących elementem uzgodnienia, lub</w:t>
      </w:r>
    </w:p>
    <w:p w:rsidR="00D62378" w:rsidRPr="009A3C86" w:rsidRDefault="00D62378" w:rsidP="00D62378">
      <w:pPr>
        <w:numPr>
          <w:ilvl w:val="0"/>
          <w:numId w:val="49"/>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oferowanie czynności wskazanych w lit. a-c, zawarcie umowy, której przedmiotem są te czynności, lub przyjmowanie wynagrodzenia z tytułu tych czynności lub umowy</w:t>
      </w:r>
      <w:r w:rsidRPr="009A3C86">
        <w:rPr>
          <w:rFonts w:ascii="Times New Roman" w:eastAsiaTheme="minorEastAsia" w:hAnsi="Times New Roman"/>
          <w:bCs/>
          <w:sz w:val="24"/>
          <w:szCs w:val="24"/>
          <w:lang w:eastAsia="pl-PL"/>
        </w:rPr>
        <w:t>;</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 xml:space="preserve">Pojęcie </w:t>
      </w:r>
      <w:r w:rsidRPr="009A3C86">
        <w:rPr>
          <w:rFonts w:ascii="Times New Roman" w:eastAsiaTheme="minorEastAsia" w:hAnsi="Times New Roman" w:cs="Arial"/>
          <w:b/>
          <w:bCs/>
          <w:sz w:val="24"/>
          <w:szCs w:val="24"/>
          <w:lang w:eastAsia="pl-PL"/>
        </w:rPr>
        <w:t>„wspomagający”</w:t>
      </w:r>
      <w:r w:rsidRPr="009A3C86">
        <w:rPr>
          <w:rFonts w:ascii="Times New Roman" w:eastAsiaTheme="minorEastAsia" w:hAnsi="Times New Roman" w:cs="Arial"/>
          <w:bCs/>
          <w:sz w:val="24"/>
          <w:szCs w:val="24"/>
          <w:lang w:eastAsia="pl-PL"/>
        </w:rPr>
        <w:t xml:space="preserve"> należy rozumieć jako osobę fizyczną, osobę prawną lub jednostkę organizacyjną nieposiadającą osobowości prawnej, w szczególności biegłego rewidenta, notariusza, osobę świadczącą usługi prowadzenia ksiąg rachunkowych, księgowego lub dyrektora finansowego, bank lub inną instytucję finansową a także ich pracownika, która przy zachowaniu staranności ogólnie wymaganej w dokonywanych czynnościach, przy uwzględnieniu zawodowego charakteru działalności, obszaru specjalizacji oraz przedmiotu wykonywanych czynności, podjęła się udzielić, bezpośrednio lub za pośrednictwem innych osób, pomocy, wsparcia lub porad dotyczących opracowania, wprowadzenia do obrotu, organizowania, udostępnienia do wdrożenia lub nadzorowania wdrożenia uzgodnienia (</w:t>
      </w:r>
      <w:r w:rsidR="00CE6458" w:rsidRPr="009A3C86">
        <w:rPr>
          <w:rFonts w:ascii="Times New Roman" w:eastAsiaTheme="minorEastAsia" w:hAnsi="Times New Roman" w:cs="Arial"/>
          <w:b/>
          <w:bCs/>
          <w:sz w:val="24"/>
          <w:szCs w:val="24"/>
          <w:lang w:eastAsia="pl-PL"/>
        </w:rPr>
        <w:t xml:space="preserve">art. 306 § 1 pkt 19 </w:t>
      </w:r>
      <w:r w:rsidRPr="009A3C86">
        <w:rPr>
          <w:rFonts w:ascii="Times New Roman" w:eastAsiaTheme="minorEastAsia" w:hAnsi="Times New Roman" w:cs="Arial"/>
          <w:bCs/>
          <w:sz w:val="24"/>
          <w:szCs w:val="24"/>
          <w:lang w:eastAsia="pl-PL"/>
        </w:rPr>
        <w:t>Ordynacji podatkowej).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Projektowana ustawa definiuje pojęcie </w:t>
      </w:r>
      <w:r w:rsidRPr="009A3C86">
        <w:rPr>
          <w:rFonts w:ascii="Times New Roman" w:eastAsiaTheme="minorEastAsia" w:hAnsi="Times New Roman" w:cs="Arial"/>
          <w:b/>
          <w:bCs/>
          <w:sz w:val="24"/>
          <w:szCs w:val="24"/>
          <w:lang w:eastAsia="pl-PL"/>
        </w:rPr>
        <w:t>„kryterium głównej korzyści”</w:t>
      </w:r>
      <w:r w:rsidRPr="009A3C86">
        <w:rPr>
          <w:rFonts w:ascii="Times New Roman" w:eastAsiaTheme="minorEastAsia" w:hAnsi="Times New Roman" w:cs="Arial"/>
          <w:bCs/>
          <w:sz w:val="24"/>
          <w:szCs w:val="24"/>
          <w:lang w:eastAsia="pl-PL"/>
        </w:rPr>
        <w:t xml:space="preserve"> (art. </w:t>
      </w:r>
      <w:r w:rsidR="00CE6458" w:rsidRPr="009A3C86">
        <w:rPr>
          <w:rFonts w:ascii="Times New Roman" w:eastAsiaTheme="minorEastAsia" w:hAnsi="Times New Roman" w:cs="Arial"/>
          <w:b/>
          <w:bCs/>
          <w:sz w:val="24"/>
          <w:szCs w:val="24"/>
          <w:lang w:eastAsia="pl-PL"/>
        </w:rPr>
        <w:t>306 § 2 Ordynacji podatkowej</w:t>
      </w:r>
      <w:r w:rsidRPr="009A3C86">
        <w:rPr>
          <w:rFonts w:ascii="Times New Roman" w:eastAsiaTheme="minorEastAsia" w:hAnsi="Times New Roman" w:cs="Arial"/>
          <w:bCs/>
          <w:sz w:val="24"/>
          <w:szCs w:val="24"/>
          <w:lang w:eastAsia="pl-PL"/>
        </w:rPr>
        <w:t>). Kryterium głównej korzyści uważa się za spełnione, jeżeli na podstawie istniejących okoliczności oraz faktów należy przyjąć, że podmiot działający rozsądnie i</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kierujący się zgodnymi z prawem celami innymi niż osiągnięcie korzyści podatkowej mógłby zasadnie wybrać inny sposób postępowania, z którym nie wiązałoby się uzyskanie korzyści podatkowej takiej jak rozsądnie oczekiwana lub wynikająca w związku z wykonaniem uzgodnienia, a korzyść podatkowa jest główną lub jedną z głównych korzyści, którą podmiot spodziewa się osiągnąć w związku z wykonaniem uzgodnienia. Przykładowo więc kryterium głównej korzyści zostanie spełnione w sytuacji podmiotu, który decydując się na poszerzenie skali działalności dokonał nowej inwestycji na terenie specjalnej strefy ekonomicznej. Można bowiem przyjąć, że podmiot działający rozsądnie</w:t>
      </w:r>
      <w:r w:rsidRPr="009A3C86">
        <w:rPr>
          <w:rFonts w:ascii="Times New Roman" w:eastAsiaTheme="minorEastAsia" w:hAnsi="Times New Roman"/>
          <w:bCs/>
          <w:sz w:val="24"/>
          <w:szCs w:val="24"/>
          <w:lang w:eastAsia="pl-PL"/>
        </w:rPr>
        <w:t>, który nie kierowałby się osiągnięciem korzyści podatkowej,</w:t>
      </w:r>
      <w:r w:rsidRPr="009A3C86">
        <w:rPr>
          <w:rFonts w:ascii="Times New Roman" w:eastAsiaTheme="minorEastAsia" w:hAnsi="Times New Roman" w:cs="Arial"/>
          <w:bCs/>
          <w:sz w:val="24"/>
          <w:szCs w:val="24"/>
          <w:lang w:eastAsia="pl-PL"/>
        </w:rPr>
        <w:t xml:space="preserve"> mógłby zdecydować się na poszerzenie skali działalności również poza terenem strefy. Jednocześnie jednak analizowany przypadek, co do zasady, nie stanowiłby unikania opodatkowania (chyba, że w danych okolicznościach spełnione byłyby przesłanki sprzeczności korzyści z przedmiotem i celem przepisu ustawy podatkowej oraz sztucznego sposobu działania). </w:t>
      </w:r>
      <w:r w:rsidRPr="009A3C86">
        <w:rPr>
          <w:rFonts w:ascii="Times New Roman" w:eastAsiaTheme="minorEastAsia" w:hAnsi="Times New Roman"/>
          <w:bCs/>
          <w:sz w:val="24"/>
          <w:szCs w:val="24"/>
          <w:lang w:eastAsia="pl-PL"/>
        </w:rPr>
        <w:t>Warto przy tym zaznaczyć, że korzyść podatkowa, o której mowa w tym przepisie nie musi być sprzeczna z przedmiotem lub celem ustawy podatkowej lub jej przepisu. Unaocznia to również wskazany przykład korzyści wynikającej z dokonania inwestycji na terenie specjalnej strefy ekonomicznej, która – co do zasady – powinna być zgoda z celem przepisów stanowiących o preferencji dla tego rodzaju inwestycji. Kryterium głównej korzyści należy zatem traktować jako swego rodzaju dodatkowy „filtr”, przez który muszą przejść uzgodnienia posiadające ogólne cechy rozpoznawcze, aby uznać je za schematy podatkowe. Nie jest to natomiast konstrukcja zbliżona do klauzuli przeciwko unikaniu opodatkowania.</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lastRenderedPageBreak/>
        <w:t>Projektowana ustawa określa ponadto kryterium transgraniczne (</w:t>
      </w:r>
      <w:r w:rsidR="00CE6458" w:rsidRPr="009A3C86">
        <w:rPr>
          <w:rFonts w:ascii="Times New Roman" w:eastAsiaTheme="minorHAnsi" w:hAnsi="Times New Roman"/>
          <w:b/>
          <w:sz w:val="24"/>
          <w:szCs w:val="24"/>
        </w:rPr>
        <w:t>art. 306 § 3</w:t>
      </w:r>
      <w:r w:rsidRPr="009A3C86">
        <w:rPr>
          <w:rFonts w:ascii="Times New Roman" w:eastAsiaTheme="minorHAnsi" w:hAnsi="Times New Roman"/>
          <w:sz w:val="24"/>
          <w:szCs w:val="24"/>
        </w:rPr>
        <w:t xml:space="preserve"> Ordynacji podatkowej). Kryterium to uważa się za spełnione jeżeli uzgodnienie dotyczy więcej niż jednego państwa członkowskiego Unii Europejskiej lub państwa członkowskiego Unii Europejskiej i państwa trzeciego oraz uzgodnienie spełnia co najmniej jeden z poniższych warunków:</w:t>
      </w:r>
    </w:p>
    <w:p w:rsidR="00D62378" w:rsidRPr="009A3C86" w:rsidRDefault="00D62378" w:rsidP="00D62378">
      <w:pPr>
        <w:numPr>
          <w:ilvl w:val="1"/>
          <w:numId w:val="50"/>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nie wszyscy uczestnicy uzgodnienia mają miejsce zamieszkania, siedzibę lub zarząd na terytorium tego samego państwa;</w:t>
      </w:r>
    </w:p>
    <w:p w:rsidR="00D62378" w:rsidRPr="009A3C86" w:rsidRDefault="00D62378" w:rsidP="00D62378">
      <w:pPr>
        <w:numPr>
          <w:ilvl w:val="1"/>
          <w:numId w:val="50"/>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co najmniej jeden uczestnik uzgodnienia ma miejsce zamieszkania, siedzibę lub zarząd na terytorium więcej niż jednego państwa;</w:t>
      </w:r>
    </w:p>
    <w:p w:rsidR="00D62378" w:rsidRPr="009A3C86" w:rsidRDefault="00D62378" w:rsidP="00D62378">
      <w:pPr>
        <w:numPr>
          <w:ilvl w:val="1"/>
          <w:numId w:val="50"/>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co najmniej jeden uczestnik uzgodnienia prowadzi działalność na terytorium danego państwa za pośrednictwem zagranicznego zakładu w tym państwie, a uzgodnienie stanowi część lub całość działalności gospodarczej tego zagranicznego zakładu;</w:t>
      </w:r>
    </w:p>
    <w:p w:rsidR="00D62378" w:rsidRPr="009A3C86" w:rsidRDefault="00D62378" w:rsidP="00D62378">
      <w:pPr>
        <w:numPr>
          <w:ilvl w:val="1"/>
          <w:numId w:val="50"/>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co najmniej jeden uczestnik uzgodnienia prowadzi działalność na terytorium innego państwa nie mając miejsca zamieszkania lub siedziby na terytorium tego państwa oraz nie posiada zagranicznego zakładu na terytorium tego państwa;</w:t>
      </w:r>
    </w:p>
    <w:p w:rsidR="00D62378" w:rsidRPr="009A3C86" w:rsidRDefault="00D62378" w:rsidP="00D62378">
      <w:pPr>
        <w:numPr>
          <w:ilvl w:val="1"/>
          <w:numId w:val="50"/>
        </w:numPr>
        <w:spacing w:before="120" w:after="0" w:line="360" w:lineRule="auto"/>
        <w:contextualSpacing/>
        <w:jc w:val="both"/>
        <w:rPr>
          <w:rFonts w:ascii="Times New Roman" w:eastAsiaTheme="minorHAnsi" w:hAnsi="Times New Roman"/>
          <w:bCs/>
          <w:sz w:val="24"/>
          <w:szCs w:val="24"/>
        </w:rPr>
      </w:pPr>
      <w:r w:rsidRPr="009A3C86">
        <w:rPr>
          <w:rFonts w:ascii="Times New Roman" w:eastAsiaTheme="minorHAnsi" w:hAnsi="Times New Roman"/>
          <w:bCs/>
          <w:sz w:val="24"/>
          <w:szCs w:val="24"/>
        </w:rPr>
        <w:t>takie uzgodnienie może mieć wpływ na automatyczną wymianę informacji, o której mowa w dziale III ustawy o wymianie informacji lub na wskazanie beneficjanta rzeczywistego.</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bCs/>
          <w:sz w:val="24"/>
          <w:szCs w:val="24"/>
        </w:rPr>
        <w:t xml:space="preserve">W art. </w:t>
      </w:r>
      <w:r w:rsidR="00CE6458" w:rsidRPr="009A3C86">
        <w:rPr>
          <w:rFonts w:ascii="Times New Roman" w:eastAsiaTheme="minorHAnsi" w:hAnsi="Times New Roman"/>
          <w:b/>
          <w:bCs/>
          <w:sz w:val="24"/>
          <w:szCs w:val="24"/>
        </w:rPr>
        <w:t>306 § 4</w:t>
      </w:r>
      <w:r w:rsidR="00B30ADA" w:rsidRPr="009A3C86">
        <w:rPr>
          <w:rFonts w:ascii="Times New Roman" w:eastAsiaTheme="minorHAnsi" w:hAnsi="Times New Roman"/>
          <w:bCs/>
          <w:sz w:val="24"/>
          <w:szCs w:val="24"/>
        </w:rPr>
        <w:t xml:space="preserve"> </w:t>
      </w:r>
      <w:r w:rsidR="00693BA5" w:rsidRPr="009A3C86">
        <w:rPr>
          <w:rFonts w:ascii="Times New Roman" w:eastAsiaTheme="minorHAnsi" w:hAnsi="Times New Roman"/>
          <w:bCs/>
          <w:sz w:val="24"/>
          <w:szCs w:val="24"/>
        </w:rPr>
        <w:t xml:space="preserve"> </w:t>
      </w:r>
      <w:r w:rsidRPr="009A3C86">
        <w:rPr>
          <w:rFonts w:ascii="Times New Roman" w:eastAsiaTheme="minorHAnsi" w:hAnsi="Times New Roman"/>
          <w:bCs/>
          <w:sz w:val="24"/>
          <w:szCs w:val="24"/>
        </w:rPr>
        <w:t xml:space="preserve">projektowanej ustawy, zdefiniowane zostało pojęcie </w:t>
      </w:r>
      <w:r w:rsidRPr="009A3C86">
        <w:rPr>
          <w:rFonts w:ascii="Times New Roman" w:eastAsiaTheme="minorHAnsi" w:hAnsi="Times New Roman" w:cstheme="minorBidi"/>
          <w:b/>
          <w:sz w:val="24"/>
          <w:szCs w:val="24"/>
        </w:rPr>
        <w:t>kryterium kwalifikowanego korzystającego</w:t>
      </w:r>
      <w:r w:rsidRPr="009A3C86">
        <w:rPr>
          <w:rFonts w:ascii="Times New Roman" w:eastAsiaTheme="minorHAnsi" w:hAnsi="Times New Roman"/>
          <w:bCs/>
          <w:sz w:val="24"/>
          <w:szCs w:val="24"/>
        </w:rPr>
        <w:t xml:space="preserve">, uważa się za spełnione, jeżeli przychody lub koszty korzystającego albo wartość aktywów tego podmiotu w rozumieniu przepisów o rachunkowości, ustalone na podstawie prowadzonych ksiąg rachunkowych przekroczyły w roku poprzedzającym lub w bieżącym roku obrotowym równowartość 10 000 000 euro lub  </w:t>
      </w:r>
      <w:r w:rsidR="00B30ADA" w:rsidRPr="009A3C86">
        <w:rPr>
          <w:rFonts w:ascii="Times New Roman" w:eastAsiaTheme="minorHAnsi" w:hAnsi="Times New Roman"/>
          <w:bCs/>
          <w:sz w:val="24"/>
          <w:szCs w:val="24"/>
        </w:rPr>
        <w:t xml:space="preserve">korzystający jest podmiotem powiązanym, w rozumieniu art. 23m ust. 1 pkt 4 ustawy z dnia 26 lipca 1991 r. o podatku dochodowym od osób fizycznych lub art. 11a ust. 1 pkt 4 ustawy z dnia 15 lutego 1992 r. o podatku dochodowym od osób prawnych z podmiotem, o którym mowa w pkt 1takim podmiotem, lub </w:t>
      </w:r>
      <w:r w:rsidRPr="009A3C86">
        <w:rPr>
          <w:rFonts w:ascii="Times New Roman" w:eastAsiaTheme="minorHAnsi" w:hAnsi="Times New Roman"/>
          <w:bCs/>
          <w:sz w:val="24"/>
          <w:szCs w:val="24"/>
        </w:rPr>
        <w:t>udostępniane lub wdrażane uzgodnienie dotyczy rzeczy lub praw o wartości rynkowej przekraczającej równowartość 2 500 000 euro. W przypadku</w:t>
      </w:r>
      <w:r w:rsidR="00B30ADA" w:rsidRPr="009A3C86">
        <w:rPr>
          <w:rFonts w:ascii="Times New Roman" w:eastAsiaTheme="minorHAnsi" w:hAnsi="Times New Roman"/>
          <w:bCs/>
          <w:sz w:val="24"/>
          <w:szCs w:val="24"/>
        </w:rPr>
        <w:t>, o którym mowa w § 4, przychody i koszty</w:t>
      </w:r>
      <w:r w:rsidRPr="009A3C86">
        <w:rPr>
          <w:rFonts w:ascii="Times New Roman" w:eastAsiaTheme="minorHAnsi" w:hAnsi="Times New Roman"/>
          <w:bCs/>
          <w:sz w:val="24"/>
          <w:szCs w:val="24"/>
        </w:rPr>
        <w:t xml:space="preserve"> podmiotów, które nie prowadzą ksiąg rachunkowych, ustala się odpowiednio zgodnie z ustawą o podatku dochodowym od osób fizycznych lub ustawą o podatku dochodowym od osób prawnych w odpowiednich latach podatkowych, zaś wartość aktywów zgodnie z ich wartością rynkową w odpowiednich latach kalendarzowych</w:t>
      </w:r>
      <w:r w:rsidR="00B30ADA" w:rsidRPr="009A3C86">
        <w:rPr>
          <w:rFonts w:ascii="Times New Roman" w:eastAsiaTheme="minorHAnsi" w:hAnsi="Times New Roman"/>
          <w:bCs/>
          <w:sz w:val="24"/>
          <w:szCs w:val="24"/>
        </w:rPr>
        <w:t xml:space="preserve"> (</w:t>
      </w:r>
      <w:r w:rsidR="00CE6458" w:rsidRPr="009A3C86">
        <w:rPr>
          <w:rFonts w:ascii="Times New Roman" w:eastAsiaTheme="minorHAnsi" w:hAnsi="Times New Roman"/>
          <w:b/>
          <w:bCs/>
          <w:sz w:val="24"/>
          <w:szCs w:val="24"/>
        </w:rPr>
        <w:t>art. 306 § 5</w:t>
      </w:r>
      <w:r w:rsidR="00B30ADA" w:rsidRPr="009A3C86">
        <w:rPr>
          <w:rFonts w:ascii="Times New Roman" w:eastAsiaTheme="minorHAnsi" w:hAnsi="Times New Roman"/>
          <w:bCs/>
          <w:sz w:val="24"/>
          <w:szCs w:val="24"/>
        </w:rPr>
        <w:t>)</w:t>
      </w:r>
      <w:r w:rsidRPr="009A3C86">
        <w:rPr>
          <w:rFonts w:ascii="Times New Roman" w:eastAsiaTheme="minorHAnsi" w:hAnsi="Times New Roman"/>
          <w:bCs/>
          <w:sz w:val="24"/>
          <w:szCs w:val="24"/>
        </w:rPr>
        <w:t xml:space="preserve">. Wobec powyższego, obowiązek przekazania informacji o schemacie podatkowym nie </w:t>
      </w:r>
      <w:r w:rsidRPr="009A3C86">
        <w:rPr>
          <w:rFonts w:ascii="Times New Roman" w:eastAsiaTheme="minorHAnsi" w:hAnsi="Times New Roman"/>
          <w:bCs/>
          <w:sz w:val="24"/>
          <w:szCs w:val="24"/>
        </w:rPr>
        <w:lastRenderedPageBreak/>
        <w:t>powstaje, gdy schemat podatkowy, inny niż schemat podatkowy transgraniczny, dotyczy korzystającego, dla którego nie jest spełnione kryterium kwalifikowanego korzystającego</w:t>
      </w:r>
      <w:r w:rsidRPr="009A3C86">
        <w:rPr>
          <w:rFonts w:ascii="Times New Roman" w:eastAsiaTheme="minorHAnsi" w:hAnsi="Times New Roman"/>
          <w:sz w:val="24"/>
          <w:szCs w:val="24"/>
        </w:rPr>
        <w:t xml:space="preserve">. Regulacja ta ma charakter progu </w:t>
      </w:r>
      <w:r w:rsidRPr="009A3C86">
        <w:rPr>
          <w:rFonts w:ascii="Times New Roman" w:eastAsiaTheme="minorHAnsi" w:hAnsi="Times New Roman"/>
          <w:i/>
          <w:sz w:val="24"/>
          <w:szCs w:val="24"/>
        </w:rPr>
        <w:t>de minimis</w:t>
      </w:r>
      <w:r w:rsidRPr="009A3C86">
        <w:rPr>
          <w:rFonts w:ascii="Times New Roman" w:eastAsiaTheme="minorHAnsi" w:hAnsi="Times New Roman"/>
          <w:sz w:val="24"/>
          <w:szCs w:val="24"/>
        </w:rPr>
        <w:t>, który wyłącza zastosowanie obowiązków raportowania w odniesieniu do korzystających (podatników) o mniejszej skali działalności. Z uwagi jednak, że Dyrektywa nie przewiduje możliwości wprowadzenia takiego progu przez państwa członkowskie, projekt przewiduje, że ma on zastosowanie jedynie do schematów podatkowych innych niż schematy podatkowe transgraniczne (tj. do schematów, których obowiązek raportowania nie wynika z Dyrektywy).</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Zgodnie z projektowanym art. </w:t>
      </w:r>
      <w:r w:rsidR="00CE6458" w:rsidRPr="009A3C86">
        <w:rPr>
          <w:rFonts w:ascii="Times New Roman" w:eastAsiaTheme="minorHAnsi" w:hAnsi="Times New Roman"/>
          <w:b/>
          <w:sz w:val="24"/>
          <w:szCs w:val="24"/>
        </w:rPr>
        <w:t>306 § 7</w:t>
      </w:r>
      <w:r w:rsidRPr="009A3C86">
        <w:rPr>
          <w:rFonts w:ascii="Times New Roman" w:eastAsiaTheme="minorHAnsi" w:hAnsi="Times New Roman"/>
          <w:sz w:val="24"/>
          <w:szCs w:val="24"/>
        </w:rPr>
        <w:t>, przy ustalaniu podmiotu powiązanego uznaje się, że:</w:t>
      </w:r>
    </w:p>
    <w:p w:rsidR="00D62378" w:rsidRPr="009A3C86" w:rsidRDefault="00D62378" w:rsidP="00D62378">
      <w:pPr>
        <w:spacing w:before="120" w:after="0" w:line="360" w:lineRule="auto"/>
        <w:jc w:val="both"/>
        <w:rPr>
          <w:rFonts w:ascii="Times New Roman" w:eastAsiaTheme="minorHAnsi" w:hAnsi="Times New Roman"/>
          <w:bCs/>
          <w:sz w:val="24"/>
          <w:szCs w:val="24"/>
        </w:rPr>
      </w:pPr>
      <w:r w:rsidRPr="009A3C86">
        <w:rPr>
          <w:rFonts w:ascii="Times New Roman" w:eastAsiaTheme="minorHAnsi" w:hAnsi="Times New Roman"/>
          <w:bCs/>
          <w:sz w:val="24"/>
          <w:szCs w:val="24"/>
        </w:rPr>
        <w:t>1)</w:t>
      </w:r>
      <w:r w:rsidRPr="009A3C86">
        <w:rPr>
          <w:rFonts w:ascii="Times New Roman" w:eastAsiaTheme="minorHAnsi" w:hAnsi="Times New Roman"/>
          <w:bCs/>
          <w:sz w:val="24"/>
          <w:szCs w:val="24"/>
        </w:rPr>
        <w:tab/>
      </w:r>
      <w:r w:rsidR="00B30ADA" w:rsidRPr="009A3C86">
        <w:rPr>
          <w:rFonts w:ascii="Times New Roman" w:eastAsiaTheme="minorHAnsi" w:hAnsi="Times New Roman"/>
          <w:bCs/>
          <w:sz w:val="24"/>
          <w:szCs w:val="24"/>
        </w:rPr>
        <w:t xml:space="preserve">w przypadku gdy </w:t>
      </w:r>
      <w:r w:rsidRPr="009A3C86">
        <w:rPr>
          <w:rFonts w:ascii="Times New Roman" w:eastAsiaTheme="minorHAnsi" w:hAnsi="Times New Roman"/>
          <w:bCs/>
          <w:sz w:val="24"/>
          <w:szCs w:val="24"/>
        </w:rPr>
        <w:t xml:space="preserve">w zarządzaniu, kontroli, kapitale lub zyskach tego samego podmiotu uczestniczy, zgodnie z definicją podmiotu powiązanego (określoną w pkt 6 </w:t>
      </w:r>
      <w:r w:rsidRPr="009A3C86">
        <w:rPr>
          <w:rFonts w:ascii="Times New Roman" w:eastAsiaTheme="minorHAnsi" w:hAnsi="Times New Roman"/>
          <w:sz w:val="24"/>
          <w:szCs w:val="24"/>
        </w:rPr>
        <w:t xml:space="preserve">§ 1 art. </w:t>
      </w:r>
      <w:r w:rsidR="00693BA5" w:rsidRPr="009A3C86">
        <w:rPr>
          <w:rFonts w:ascii="Times New Roman" w:eastAsiaTheme="minorHAnsi" w:hAnsi="Times New Roman"/>
          <w:sz w:val="24"/>
          <w:szCs w:val="24"/>
        </w:rPr>
        <w:t>297</w:t>
      </w:r>
      <w:r w:rsidRPr="009A3C86">
        <w:rPr>
          <w:rFonts w:ascii="Times New Roman" w:eastAsiaTheme="minorHAnsi" w:hAnsi="Times New Roman"/>
          <w:bCs/>
          <w:sz w:val="24"/>
          <w:szCs w:val="24"/>
        </w:rPr>
        <w:t>), więcej niż jeden podmiot, wszystkie takie podmioty są podmiotami powiązanymi;</w:t>
      </w:r>
    </w:p>
    <w:p w:rsidR="00D62378" w:rsidRPr="009A3C86" w:rsidRDefault="00D62378" w:rsidP="00D62378">
      <w:pPr>
        <w:spacing w:before="120" w:after="0" w:line="360" w:lineRule="auto"/>
        <w:jc w:val="both"/>
        <w:rPr>
          <w:rFonts w:ascii="Times New Roman" w:eastAsiaTheme="minorHAnsi" w:hAnsi="Times New Roman"/>
          <w:bCs/>
          <w:sz w:val="24"/>
          <w:szCs w:val="24"/>
        </w:rPr>
      </w:pPr>
      <w:r w:rsidRPr="009A3C86">
        <w:rPr>
          <w:rFonts w:ascii="Times New Roman" w:eastAsiaTheme="minorHAnsi" w:hAnsi="Times New Roman"/>
          <w:bCs/>
          <w:sz w:val="24"/>
          <w:szCs w:val="24"/>
        </w:rPr>
        <w:t>2)</w:t>
      </w:r>
      <w:r w:rsidRPr="009A3C86">
        <w:rPr>
          <w:rFonts w:ascii="Times New Roman" w:eastAsiaTheme="minorHAnsi" w:hAnsi="Times New Roman"/>
          <w:bCs/>
          <w:sz w:val="24"/>
          <w:szCs w:val="24"/>
        </w:rPr>
        <w:tab/>
      </w:r>
      <w:r w:rsidR="00B30ADA" w:rsidRPr="009A3C86">
        <w:rPr>
          <w:rFonts w:ascii="Times New Roman" w:eastAsiaTheme="minorHAnsi" w:hAnsi="Times New Roman"/>
          <w:bCs/>
          <w:sz w:val="24"/>
          <w:szCs w:val="24"/>
        </w:rPr>
        <w:t xml:space="preserve">w przypadku gdy </w:t>
      </w:r>
      <w:r w:rsidRPr="009A3C86">
        <w:rPr>
          <w:rFonts w:ascii="Times New Roman" w:eastAsiaTheme="minorHAnsi" w:hAnsi="Times New Roman"/>
          <w:bCs/>
          <w:sz w:val="24"/>
          <w:szCs w:val="24"/>
        </w:rPr>
        <w:t xml:space="preserve">te same podmioty uczestniczą w zarządzaniu lub kontroli lub posiadają udział w kapitale lub zyskach, zgodnie z definicją podmiotu powiązanego (określoną w pkt 6 § 1 art. </w:t>
      </w:r>
      <w:r w:rsidR="00693BA5" w:rsidRPr="009A3C86">
        <w:rPr>
          <w:rFonts w:ascii="Times New Roman" w:eastAsiaTheme="minorHAnsi" w:hAnsi="Times New Roman"/>
          <w:bCs/>
          <w:sz w:val="24"/>
          <w:szCs w:val="24"/>
        </w:rPr>
        <w:t>297</w:t>
      </w:r>
      <w:r w:rsidRPr="009A3C86">
        <w:rPr>
          <w:rFonts w:ascii="Times New Roman" w:eastAsiaTheme="minorHAnsi" w:hAnsi="Times New Roman"/>
          <w:bCs/>
          <w:sz w:val="24"/>
          <w:szCs w:val="24"/>
        </w:rPr>
        <w:t>), więcej niż jednego podmiotu, wszystkie takie podmioty są podmiotami powiązanymi;</w:t>
      </w:r>
    </w:p>
    <w:p w:rsidR="00D62378" w:rsidRPr="009A3C86" w:rsidRDefault="00B30ADA" w:rsidP="00D62378">
      <w:pPr>
        <w:spacing w:before="120" w:after="0" w:line="360" w:lineRule="auto"/>
        <w:jc w:val="both"/>
        <w:rPr>
          <w:rFonts w:ascii="Times New Roman" w:eastAsiaTheme="minorHAnsi" w:hAnsi="Times New Roman"/>
          <w:bCs/>
          <w:sz w:val="24"/>
          <w:szCs w:val="24"/>
        </w:rPr>
      </w:pPr>
      <w:r w:rsidRPr="009A3C86">
        <w:rPr>
          <w:rFonts w:ascii="Times New Roman" w:eastAsiaTheme="minorHAnsi" w:hAnsi="Times New Roman"/>
          <w:bCs/>
          <w:sz w:val="24"/>
          <w:szCs w:val="24"/>
        </w:rPr>
        <w:t>3</w:t>
      </w:r>
      <w:r w:rsidR="00D62378" w:rsidRPr="009A3C86">
        <w:rPr>
          <w:rFonts w:ascii="Times New Roman" w:eastAsiaTheme="minorHAnsi" w:hAnsi="Times New Roman"/>
          <w:bCs/>
          <w:sz w:val="24"/>
          <w:szCs w:val="24"/>
        </w:rPr>
        <w:t>)</w:t>
      </w:r>
      <w:r w:rsidR="00D62378" w:rsidRPr="009A3C86">
        <w:rPr>
          <w:rFonts w:ascii="Times New Roman" w:eastAsiaTheme="minorHAnsi" w:hAnsi="Times New Roman"/>
          <w:bCs/>
          <w:sz w:val="24"/>
          <w:szCs w:val="24"/>
        </w:rPr>
        <w:tab/>
        <w:t>podmiot, który działa wspólnie z drugim podmiotem w odniesieniu do praw głosu lub udziału w kapitale trzeciego podmiotu, jest podmiotem dysponującym prawami głosu w tym trzecim podmiocie lub udziałem w kapitale tego trzeciego podmiotu, które należą do drugiego podmiotu;</w:t>
      </w:r>
    </w:p>
    <w:p w:rsidR="00D62378" w:rsidRPr="009A3C86" w:rsidRDefault="00B30ADA" w:rsidP="00D62378">
      <w:pPr>
        <w:spacing w:before="120" w:after="0" w:line="360" w:lineRule="auto"/>
        <w:jc w:val="both"/>
        <w:rPr>
          <w:rFonts w:ascii="Times New Roman" w:eastAsiaTheme="minorHAnsi" w:hAnsi="Times New Roman"/>
          <w:bCs/>
          <w:sz w:val="24"/>
          <w:szCs w:val="24"/>
        </w:rPr>
      </w:pPr>
      <w:r w:rsidRPr="009A3C86">
        <w:rPr>
          <w:rFonts w:ascii="Times New Roman" w:eastAsiaTheme="minorHAnsi" w:hAnsi="Times New Roman"/>
          <w:bCs/>
          <w:sz w:val="24"/>
          <w:szCs w:val="24"/>
        </w:rPr>
        <w:t>4</w:t>
      </w:r>
      <w:r w:rsidR="00D62378" w:rsidRPr="009A3C86">
        <w:rPr>
          <w:rFonts w:ascii="Times New Roman" w:eastAsiaTheme="minorHAnsi" w:hAnsi="Times New Roman"/>
          <w:bCs/>
          <w:sz w:val="24"/>
          <w:szCs w:val="24"/>
        </w:rPr>
        <w:t>)</w:t>
      </w:r>
      <w:r w:rsidR="00D62378" w:rsidRPr="009A3C86">
        <w:rPr>
          <w:rFonts w:ascii="Times New Roman" w:eastAsiaTheme="minorHAnsi" w:hAnsi="Times New Roman"/>
          <w:bCs/>
          <w:sz w:val="24"/>
          <w:szCs w:val="24"/>
        </w:rPr>
        <w:tab/>
        <w:t>osoba fizyczna, jej małżonek oraz wstępni lub zstępni w linii prostej stanowią pojedynczą osobę.</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Zgodnie z projektowanym art. </w:t>
      </w:r>
      <w:r w:rsidR="00CE6458" w:rsidRPr="009A3C86">
        <w:rPr>
          <w:rFonts w:ascii="Times New Roman" w:eastAsiaTheme="minorHAnsi" w:hAnsi="Times New Roman"/>
          <w:b/>
          <w:sz w:val="24"/>
          <w:szCs w:val="24"/>
        </w:rPr>
        <w:t>306 § 8</w:t>
      </w:r>
      <w:r w:rsidR="00B30ADA" w:rsidRPr="009A3C86">
        <w:rPr>
          <w:rFonts w:ascii="Times New Roman" w:eastAsiaTheme="minorHAnsi" w:hAnsi="Times New Roman"/>
          <w:sz w:val="24"/>
          <w:szCs w:val="24"/>
        </w:rPr>
        <w:t xml:space="preserve"> </w:t>
      </w:r>
      <w:r w:rsidR="00693BA5" w:rsidRPr="009A3C86">
        <w:rPr>
          <w:rFonts w:ascii="Times New Roman" w:eastAsiaTheme="minorHAnsi" w:hAnsi="Times New Roman"/>
          <w:sz w:val="24"/>
          <w:szCs w:val="24"/>
        </w:rPr>
        <w:t xml:space="preserve"> </w:t>
      </w:r>
      <w:r w:rsidRPr="009A3C86">
        <w:rPr>
          <w:rFonts w:ascii="Times New Roman" w:eastAsiaTheme="minorHAnsi" w:hAnsi="Times New Roman"/>
          <w:sz w:val="24"/>
          <w:szCs w:val="24"/>
        </w:rPr>
        <w:t>wyrażone w euro kwoty, o których mowa w § 4 (kwalifikowany korzystający) przelicza się na złote według średniego kursu ogłaszanego przez Narodowy Bank Polski w ostatnim dniu roku kalendarzowego poprzedzającego zdarzenie skutkujące obowiązkiem przekazania informacji o schemacie podatkowym innym niż schemat podatkowy transgraniczny.</w:t>
      </w:r>
    </w:p>
    <w:p w:rsidR="00D62378" w:rsidRPr="009A3C86" w:rsidRDefault="00D62378" w:rsidP="00D62378">
      <w:pPr>
        <w:spacing w:before="120" w:after="0" w:line="360" w:lineRule="auto"/>
        <w:jc w:val="both"/>
        <w:rPr>
          <w:rFonts w:ascii="Times New Roman" w:eastAsiaTheme="minorHAnsi" w:hAnsi="Times New Roman" w:cstheme="minorBidi"/>
          <w:i/>
          <w:sz w:val="24"/>
          <w:szCs w:val="24"/>
        </w:rPr>
      </w:pPr>
      <w:r w:rsidRPr="009A3C86">
        <w:rPr>
          <w:rFonts w:ascii="Times New Roman" w:eastAsiaTheme="minorHAnsi" w:hAnsi="Times New Roman" w:cstheme="minorBidi"/>
          <w:i/>
          <w:sz w:val="24"/>
          <w:szCs w:val="24"/>
        </w:rPr>
        <w:t>Termin raportowania i organ właściwy.</w:t>
      </w:r>
    </w:p>
    <w:p w:rsidR="00D62378" w:rsidRPr="009A3C86" w:rsidRDefault="00191782"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C</w:t>
      </w:r>
      <w:r w:rsidR="00D62378" w:rsidRPr="009A3C86">
        <w:rPr>
          <w:rFonts w:ascii="Times New Roman" w:eastAsiaTheme="minorEastAsia" w:hAnsi="Times New Roman" w:cs="Arial"/>
          <w:bCs/>
          <w:sz w:val="24"/>
          <w:szCs w:val="24"/>
          <w:lang w:eastAsia="pl-PL"/>
        </w:rPr>
        <w:t>o do zasady – informacje o schemacie podatkowym będą przekazywane</w:t>
      </w:r>
      <w:r w:rsidR="00D62378" w:rsidRPr="009A3C86">
        <w:rPr>
          <w:rFonts w:ascii="Times New Roman" w:eastAsiaTheme="minorEastAsia" w:hAnsi="Times New Roman" w:cs="Arial"/>
          <w:b/>
          <w:bCs/>
          <w:sz w:val="24"/>
          <w:szCs w:val="24"/>
          <w:lang w:eastAsia="pl-PL"/>
        </w:rPr>
        <w:t xml:space="preserve"> </w:t>
      </w:r>
      <w:r w:rsidR="00D62378" w:rsidRPr="009A3C86">
        <w:rPr>
          <w:rFonts w:ascii="Times New Roman" w:eastAsiaTheme="minorEastAsia" w:hAnsi="Times New Roman" w:cs="Arial"/>
          <w:bCs/>
          <w:sz w:val="24"/>
          <w:szCs w:val="24"/>
          <w:lang w:eastAsia="pl-PL"/>
        </w:rPr>
        <w:t>Szefowi KAS</w:t>
      </w:r>
      <w:r w:rsidR="00D62378" w:rsidRPr="009A3C86">
        <w:rPr>
          <w:rFonts w:ascii="Times New Roman" w:eastAsiaTheme="minorEastAsia" w:hAnsi="Times New Roman" w:cs="Arial"/>
          <w:b/>
          <w:bCs/>
          <w:sz w:val="24"/>
          <w:szCs w:val="24"/>
          <w:lang w:eastAsia="pl-PL"/>
        </w:rPr>
        <w:t xml:space="preserve"> przez promotora</w:t>
      </w:r>
      <w:r w:rsidR="00D62378" w:rsidRPr="009A3C86">
        <w:rPr>
          <w:rFonts w:ascii="Times New Roman" w:eastAsiaTheme="minorEastAsia" w:hAnsi="Times New Roman" w:cs="Arial"/>
          <w:bCs/>
          <w:sz w:val="24"/>
          <w:szCs w:val="24"/>
          <w:lang w:eastAsia="pl-PL"/>
        </w:rPr>
        <w:t xml:space="preserve">. </w:t>
      </w:r>
      <w:r w:rsidR="00D62378" w:rsidRPr="009A3C86">
        <w:rPr>
          <w:rFonts w:ascii="Times New Roman" w:eastAsiaTheme="minorEastAsia" w:hAnsi="Times New Roman" w:cs="Arial"/>
          <w:b/>
          <w:bCs/>
          <w:sz w:val="24"/>
          <w:szCs w:val="24"/>
          <w:lang w:eastAsia="pl-PL"/>
        </w:rPr>
        <w:t>Korzystający</w:t>
      </w:r>
      <w:r w:rsidR="00D62378" w:rsidRPr="009A3C86">
        <w:rPr>
          <w:rFonts w:ascii="Times New Roman" w:eastAsiaTheme="minorEastAsia" w:hAnsi="Times New Roman" w:cs="Arial"/>
          <w:bCs/>
          <w:sz w:val="24"/>
          <w:szCs w:val="24"/>
          <w:lang w:eastAsia="pl-PL"/>
        </w:rPr>
        <w:t xml:space="preserve"> będzie zobowiązany do przekazywania informacji o schemacie </w:t>
      </w:r>
      <w:r w:rsidR="00D62378" w:rsidRPr="009A3C86">
        <w:rPr>
          <w:rFonts w:ascii="Times New Roman" w:eastAsiaTheme="minorEastAsia" w:hAnsi="Times New Roman" w:cs="Arial"/>
          <w:bCs/>
          <w:sz w:val="24"/>
          <w:szCs w:val="24"/>
          <w:lang w:eastAsia="pl-PL"/>
        </w:rPr>
        <w:lastRenderedPageBreak/>
        <w:t xml:space="preserve">podatkowym w określonych sytuacjach (np. brak promotora lub niezwolnienie promotora z obowiązku zachowania tajemnicy zawodowej). Wyjątkowo obowiązkiem przekazania informacji o schemacie podatkowym może zostać obciążony wspomagający (art. </w:t>
      </w:r>
      <w:r w:rsidR="00693BA5" w:rsidRPr="009A3C86">
        <w:rPr>
          <w:rFonts w:ascii="Times New Roman" w:eastAsiaTheme="minorEastAsia" w:hAnsi="Times New Roman" w:cs="Arial"/>
          <w:bCs/>
          <w:sz w:val="24"/>
          <w:szCs w:val="24"/>
          <w:lang w:eastAsia="pl-PL"/>
        </w:rPr>
        <w:t xml:space="preserve">300 </w:t>
      </w:r>
      <w:r w:rsidR="00D62378" w:rsidRPr="009A3C86">
        <w:rPr>
          <w:rFonts w:ascii="Times New Roman" w:eastAsiaTheme="minorEastAsia" w:hAnsi="Times New Roman" w:cs="Arial"/>
          <w:bCs/>
          <w:sz w:val="24"/>
          <w:szCs w:val="24"/>
          <w:lang w:eastAsia="pl-PL"/>
        </w:rPr>
        <w:t>Ordynacji podatkowej). Podkreślenia wymaga, że zakres raportowania obejmuje schematy podatkowe krajowe oraz transgraniczne.</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Generalnie schemat podatkowy podlega raportowaniu przez promotora w terminie 30 dni od udostępnienia schematu podatkowego lub dokonania czynności związanej z wdrażaniem schematu podatkowego lub od następ</w:t>
      </w:r>
      <w:r w:rsidR="00B30ADA" w:rsidRPr="009A3C86">
        <w:rPr>
          <w:rFonts w:ascii="Times New Roman" w:eastAsiaTheme="minorEastAsia" w:hAnsi="Times New Roman" w:cs="Arial"/>
          <w:bCs/>
          <w:sz w:val="24"/>
          <w:szCs w:val="24"/>
          <w:lang w:eastAsia="pl-PL"/>
        </w:rPr>
        <w:t>ującego</w:t>
      </w:r>
      <w:r w:rsidRPr="009A3C86">
        <w:rPr>
          <w:rFonts w:ascii="Times New Roman" w:eastAsiaTheme="minorEastAsia" w:hAnsi="Times New Roman" w:cs="Arial"/>
          <w:bCs/>
          <w:sz w:val="24"/>
          <w:szCs w:val="24"/>
          <w:lang w:eastAsia="pl-PL"/>
        </w:rPr>
        <w:t xml:space="preserve"> </w:t>
      </w:r>
      <w:r w:rsidR="00B30ADA" w:rsidRPr="009A3C86">
        <w:rPr>
          <w:rFonts w:ascii="Times New Roman" w:eastAsiaTheme="minorEastAsia" w:hAnsi="Times New Roman" w:cs="Arial"/>
          <w:bCs/>
          <w:sz w:val="24"/>
          <w:szCs w:val="24"/>
          <w:lang w:eastAsia="pl-PL"/>
        </w:rPr>
        <w:t xml:space="preserve">po </w:t>
      </w:r>
      <w:r w:rsidRPr="009A3C86">
        <w:rPr>
          <w:rFonts w:ascii="Times New Roman" w:eastAsiaTheme="minorEastAsia" w:hAnsi="Times New Roman" w:cs="Arial"/>
          <w:bCs/>
          <w:sz w:val="24"/>
          <w:szCs w:val="24"/>
          <w:lang w:eastAsia="pl-PL"/>
        </w:rPr>
        <w:t>dni</w:t>
      </w:r>
      <w:r w:rsidR="00B30ADA" w:rsidRPr="009A3C86">
        <w:rPr>
          <w:rFonts w:ascii="Times New Roman" w:eastAsiaTheme="minorEastAsia" w:hAnsi="Times New Roman" w:cs="Arial"/>
          <w:bCs/>
          <w:sz w:val="24"/>
          <w:szCs w:val="24"/>
          <w:lang w:eastAsia="pl-PL"/>
        </w:rPr>
        <w:t>u</w:t>
      </w:r>
      <w:r w:rsidRPr="009A3C86">
        <w:rPr>
          <w:rFonts w:ascii="Times New Roman" w:eastAsiaTheme="minorEastAsia" w:hAnsi="Times New Roman" w:cs="Arial"/>
          <w:bCs/>
          <w:sz w:val="24"/>
          <w:szCs w:val="24"/>
          <w:lang w:eastAsia="pl-PL"/>
        </w:rPr>
        <w:t xml:space="preserve"> po przygotowani</w:t>
      </w:r>
      <w:r w:rsidR="00B30ADA" w:rsidRPr="009A3C86">
        <w:rPr>
          <w:rFonts w:ascii="Times New Roman" w:eastAsiaTheme="minorEastAsia" w:hAnsi="Times New Roman" w:cs="Arial"/>
          <w:bCs/>
          <w:sz w:val="24"/>
          <w:szCs w:val="24"/>
          <w:lang w:eastAsia="pl-PL"/>
        </w:rPr>
        <w:t>a</w:t>
      </w:r>
      <w:r w:rsidRPr="009A3C86">
        <w:rPr>
          <w:rFonts w:ascii="Times New Roman" w:eastAsiaTheme="minorEastAsia" w:hAnsi="Times New Roman" w:cs="Arial"/>
          <w:bCs/>
          <w:sz w:val="24"/>
          <w:szCs w:val="24"/>
          <w:lang w:eastAsia="pl-PL"/>
        </w:rPr>
        <w:t xml:space="preserve"> do wdrożenia schematu podatkowego w zależności od tego, które z tych zdarzeń nastąpi wcześniej (art. </w:t>
      </w:r>
      <w:r w:rsidR="00CE6458" w:rsidRPr="009A3C86">
        <w:rPr>
          <w:rFonts w:ascii="Times New Roman" w:eastAsiaTheme="minorEastAsia" w:hAnsi="Times New Roman" w:cs="Arial"/>
          <w:b/>
          <w:bCs/>
          <w:sz w:val="24"/>
          <w:szCs w:val="24"/>
          <w:lang w:eastAsia="pl-PL"/>
        </w:rPr>
        <w:t>307 § 1</w:t>
      </w:r>
      <w:r w:rsidRPr="009A3C86">
        <w:rPr>
          <w:rFonts w:ascii="Times New Roman" w:eastAsiaTheme="minorEastAsia" w:hAnsi="Times New Roman" w:cs="Arial"/>
          <w:bCs/>
          <w:sz w:val="24"/>
          <w:szCs w:val="24"/>
          <w:lang w:eastAsia="pl-PL"/>
        </w:rPr>
        <w:t xml:space="preserve"> Ordynacji podatkowej). Jeżeli promotor jest 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obowiązek ten podlega wykonaniu wyłącznie w tym państwie członkowskim, które widnieje wyżej na poniższej liście:</w:t>
      </w:r>
    </w:p>
    <w:p w:rsidR="00D62378" w:rsidRPr="009A3C86" w:rsidRDefault="00D62378" w:rsidP="00D62378">
      <w:pPr>
        <w:numPr>
          <w:ilvl w:val="1"/>
          <w:numId w:val="60"/>
        </w:numPr>
        <w:spacing w:before="120" w:after="0" w:line="360" w:lineRule="auto"/>
        <w:ind w:left="426"/>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ma miejsce zamieszkania, siedzibę lub zarząd;</w:t>
      </w:r>
    </w:p>
    <w:p w:rsidR="00D62378" w:rsidRPr="009A3C86" w:rsidRDefault="00D62378" w:rsidP="00D62378">
      <w:pPr>
        <w:numPr>
          <w:ilvl w:val="1"/>
          <w:numId w:val="60"/>
        </w:numPr>
        <w:spacing w:before="120" w:after="0" w:line="360" w:lineRule="auto"/>
        <w:ind w:left="426"/>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za pośrednictwem zagranicznego zakładu świadczy usługi dotyczące schematu podatkowego;</w:t>
      </w:r>
    </w:p>
    <w:p w:rsidR="00D62378" w:rsidRPr="009A3C86" w:rsidRDefault="00D62378" w:rsidP="00D62378">
      <w:pPr>
        <w:numPr>
          <w:ilvl w:val="1"/>
          <w:numId w:val="60"/>
        </w:numPr>
        <w:spacing w:before="120" w:after="0" w:line="360" w:lineRule="auto"/>
        <w:ind w:left="426"/>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jest zarejestrowany, lub którego przepisom prawa podlega;</w:t>
      </w:r>
    </w:p>
    <w:p w:rsidR="00D62378" w:rsidRPr="009A3C86" w:rsidRDefault="00D62378" w:rsidP="00D62378">
      <w:pPr>
        <w:numPr>
          <w:ilvl w:val="1"/>
          <w:numId w:val="60"/>
        </w:numPr>
        <w:spacing w:before="120" w:after="0" w:line="360" w:lineRule="auto"/>
        <w:ind w:left="426"/>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jest członkiem samorządu zawodowego lub innej organizacji pozarządowej posiadającej siedzibę lub zarząd na terytorium tego państwa reprezentującego osoby lub podmioty świadczące usługi prawne, doradztwa podatkowego  lub doradcze (</w:t>
      </w:r>
      <w:r w:rsidR="00CE6458" w:rsidRPr="009A3C86">
        <w:rPr>
          <w:rFonts w:ascii="Times New Roman" w:eastAsiaTheme="minorEastAsia" w:hAnsi="Times New Roman" w:cs="Arial"/>
          <w:b/>
          <w:bCs/>
          <w:sz w:val="24"/>
          <w:szCs w:val="24"/>
          <w:lang w:eastAsia="pl-PL"/>
        </w:rPr>
        <w:t>art. 307§ 8</w:t>
      </w:r>
      <w:r w:rsidRPr="009A3C86">
        <w:rPr>
          <w:rFonts w:ascii="Times New Roman" w:eastAsiaTheme="minorEastAsia" w:hAnsi="Times New Roman" w:cs="Arial"/>
          <w:bCs/>
          <w:sz w:val="24"/>
          <w:szCs w:val="24"/>
          <w:lang w:eastAsia="pl-PL"/>
        </w:rPr>
        <w:t xml:space="preserve"> Ordynacji podatkowej).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Wyjątek stanowi sytuacja, gdy promotor jest zobowiązany do przekazania informacji Szefowi KAS o schemacie podatkowym </w:t>
      </w:r>
      <w:r w:rsidRPr="009A3C86">
        <w:rPr>
          <w:rFonts w:ascii="Times New Roman" w:eastAsiaTheme="minorEastAsia" w:hAnsi="Times New Roman" w:cs="Arial"/>
          <w:b/>
          <w:bCs/>
          <w:sz w:val="24"/>
          <w:szCs w:val="24"/>
          <w:lang w:eastAsia="pl-PL"/>
        </w:rPr>
        <w:t>innym niż schemat standaryzowany</w:t>
      </w:r>
      <w:r w:rsidRPr="009A3C86">
        <w:rPr>
          <w:rFonts w:ascii="Times New Roman" w:eastAsiaTheme="minorEastAsia" w:hAnsi="Times New Roman" w:cs="Arial"/>
          <w:bCs/>
          <w:sz w:val="24"/>
          <w:szCs w:val="24"/>
          <w:lang w:eastAsia="pl-PL"/>
        </w:rPr>
        <w:t xml:space="preserve"> jeżeli dany promotor </w:t>
      </w:r>
      <w:r w:rsidRPr="009A3C86">
        <w:rPr>
          <w:rFonts w:ascii="Times New Roman" w:eastAsiaTheme="minorEastAsia" w:hAnsi="Times New Roman" w:cs="Arial"/>
          <w:b/>
          <w:bCs/>
          <w:sz w:val="24"/>
          <w:szCs w:val="24"/>
          <w:lang w:eastAsia="pl-PL"/>
        </w:rPr>
        <w:t>nie został zwolniony</w:t>
      </w:r>
      <w:r w:rsidRPr="009A3C86">
        <w:rPr>
          <w:rFonts w:ascii="Times New Roman" w:eastAsiaTheme="minorEastAsia" w:hAnsi="Times New Roman"/>
          <w:bCs/>
          <w:sz w:val="24"/>
          <w:szCs w:val="24"/>
          <w:vertAlign w:val="superscript"/>
          <w:lang w:eastAsia="pl-PL"/>
        </w:rPr>
        <w:footnoteReference w:id="384"/>
      </w:r>
      <w:r w:rsidRPr="009A3C86">
        <w:rPr>
          <w:rFonts w:ascii="Times New Roman" w:eastAsiaTheme="minorEastAsia" w:hAnsi="Times New Roman" w:cs="Arial"/>
          <w:b/>
          <w:bCs/>
          <w:sz w:val="24"/>
          <w:szCs w:val="24"/>
          <w:lang w:eastAsia="pl-PL"/>
        </w:rPr>
        <w:t xml:space="preserve"> z obowiązku zachowania tajemnicy zawodowej</w:t>
      </w:r>
      <w:r w:rsidRPr="009A3C86">
        <w:rPr>
          <w:rFonts w:ascii="Times New Roman" w:eastAsiaTheme="minorEastAsia" w:hAnsi="Times New Roman" w:cs="Arial"/>
          <w:bCs/>
          <w:sz w:val="24"/>
          <w:szCs w:val="24"/>
          <w:lang w:eastAsia="pl-PL"/>
        </w:rPr>
        <w:t xml:space="preserve"> w tym zakresie. W takiej sytuacji promotor jest zobowiązany poinformować pisemnie korzystającego, że zastosowany schemat podatkowy objęty jest obowiązkiem raportowania Szefowi KAS. W </w:t>
      </w:r>
      <w:r w:rsidRPr="009A3C86">
        <w:rPr>
          <w:rFonts w:ascii="Times New Roman" w:eastAsiaTheme="minorEastAsia" w:hAnsi="Times New Roman" w:cs="Arial"/>
          <w:bCs/>
          <w:sz w:val="24"/>
          <w:szCs w:val="24"/>
          <w:lang w:eastAsia="pl-PL"/>
        </w:rPr>
        <w:lastRenderedPageBreak/>
        <w:t xml:space="preserve">sytuacji opisanej powyżej promotor jest obowiązany przekazać korzystającemu informacje o schemacie podatkowym wymagane przez przepisy art. </w:t>
      </w:r>
      <w:r w:rsidR="00CE6458" w:rsidRPr="009A3C86">
        <w:rPr>
          <w:rFonts w:ascii="Times New Roman" w:eastAsiaTheme="minorEastAsia" w:hAnsi="Times New Roman" w:cs="Arial"/>
          <w:b/>
          <w:bCs/>
          <w:sz w:val="24"/>
          <w:szCs w:val="24"/>
          <w:lang w:eastAsia="pl-PL"/>
        </w:rPr>
        <w:t>311 § 1</w:t>
      </w:r>
      <w:r w:rsidRPr="009A3C86">
        <w:rPr>
          <w:rFonts w:ascii="Times New Roman" w:eastAsiaTheme="minorEastAsia" w:hAnsi="Times New Roman" w:cs="Arial"/>
          <w:bCs/>
          <w:sz w:val="24"/>
          <w:szCs w:val="24"/>
          <w:lang w:eastAsia="pl-PL"/>
        </w:rPr>
        <w:t xml:space="preserve"> Ordynacji podatkowej, tj. dane będące w dyspozycji promotora, które umożliwiać będą korzystającemu przekazanie Szefowi KAS pełnej informacji o schemacie podatkowym. Rozwiązanie, zgodnie z którym promotor jest obowiązany do przekazania korzystającemu tych danych w celu przesłania Szefowi KAS, usprawni proces raportowania oraz zminimalizuje ewentualne błędy wynikające z samodzielnego zaangażowania korzystającego w proces przygotowywania materiałów do zaraportowania. Innymi słowy przygotowanie przez promotorów, którzy </w:t>
      </w:r>
      <w:r w:rsidRPr="009A3C86">
        <w:rPr>
          <w:rFonts w:ascii="Times New Roman" w:eastAsiaTheme="minorEastAsia" w:hAnsi="Times New Roman"/>
          <w:bCs/>
          <w:sz w:val="24"/>
          <w:szCs w:val="24"/>
          <w:lang w:eastAsia="pl-PL"/>
        </w:rPr>
        <w:t>co do zasady są podmiotami</w:t>
      </w:r>
      <w:r w:rsidRPr="009A3C86">
        <w:rPr>
          <w:rFonts w:ascii="Times New Roman" w:eastAsiaTheme="minorEastAsia" w:hAnsi="Times New Roman" w:cs="Arial"/>
          <w:bCs/>
          <w:sz w:val="24"/>
          <w:szCs w:val="24"/>
          <w:lang w:eastAsia="pl-PL"/>
        </w:rPr>
        <w:t xml:space="preserve"> profesjonalnymi, danych do przekazania do Szefa KAS pozwoli na uniknięcie błędów, obniżenie kosztów administracyjnych oraz przyspieszy procedurę raportowania. Promotor obowiązany jest wykonać te czynności w terminie 30 dni. W sytuacji opisanej powyżej, zgodnie z art. </w:t>
      </w:r>
      <w:r w:rsidR="00CE6458" w:rsidRPr="009A3C86">
        <w:rPr>
          <w:rFonts w:ascii="Times New Roman" w:eastAsiaTheme="minorEastAsia" w:hAnsi="Times New Roman" w:cs="Arial"/>
          <w:b/>
          <w:bCs/>
          <w:sz w:val="24"/>
          <w:szCs w:val="24"/>
          <w:lang w:eastAsia="pl-PL"/>
        </w:rPr>
        <w:t>307 § 5</w:t>
      </w:r>
      <w:r w:rsidRPr="009A3C86">
        <w:rPr>
          <w:rFonts w:ascii="Times New Roman" w:eastAsiaTheme="minorEastAsia" w:hAnsi="Times New Roman" w:cs="Arial"/>
          <w:bCs/>
          <w:sz w:val="24"/>
          <w:szCs w:val="24"/>
          <w:lang w:eastAsia="pl-PL"/>
        </w:rPr>
        <w:t xml:space="preserve"> Ordynacji podatkowej, gdy więcej niż jeden promotor jest obowiązany do przekazania informacji o schemacie podatkowym, promotor równocześnie z poinformowaniem korzystającego, informuje pisemnie inne znane mu podmioty zobowiązane do przekazania informacji o schemacie podatkowym o tym, że nie przekaże informacji o schemacie podatkowym do Szefa KAS. </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 tym samym terminie promotor zobowiązany jest zawiadomić Szefa KAS, że wystąpiła sytuacja, w której obowiązany był do przekazania informacji o schemacie podatkowym, jednak tego nie uczynił z powodu braku zwolnienia go z obowiązku zachowania tajemnicy zawodowej. Informując o tej sytuacji Szefa KAS promotor wskazuje datę udostępnienia schematu podatkowego lub dokonania pierwszej czynności związanej z wdrażaniem schematu podatkowego oraz liczbę podmiotów, które poinformował o obowiązku przekazania informacji Szefowi KAS (możliwe są bowiem sytuacje, w których uzgodnienie dotyczyć będzie więcej niż jednego korzystającego). Notyfikacja ma na celu uszczelnienie systemu raportowania o schematach podatkowych. Szef KAS pozyskiwać będzie w ten sposób wiedzę o liczbie schematów, dla których powinny zostać przekazane informacje o schemacie podatkowym. Porównanie tych danych z liczbą faktycznie zaraportowanych schematów podatkowych pozwoli Szefowi KAS oszacować „szarą strefę” schematów, które choć powinny zostać zaraportowane, nie zostały zgłoszone.</w:t>
      </w:r>
      <w:r w:rsidRPr="009A3C86">
        <w:rPr>
          <w:rFonts w:ascii="Times New Roman" w:eastAsiaTheme="minorEastAsia" w:hAnsi="Times New Roman"/>
          <w:bCs/>
          <w:sz w:val="24"/>
          <w:szCs w:val="24"/>
          <w:lang w:eastAsia="pl-PL"/>
        </w:rPr>
        <w:t xml:space="preserve"> Promotor nie ma jednak obowiązku przekazania danych identyfikacyjnych korzystającego. Rozwiązanie to podyktowane jest ochroną tajemnicy zawodowej.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 sytuacji, w której obowiązek przekazania informacji o schemacie podatkowym dotyczy </w:t>
      </w:r>
      <w:r w:rsidRPr="009A3C86">
        <w:rPr>
          <w:rFonts w:ascii="Times New Roman" w:eastAsiaTheme="minorEastAsia" w:hAnsi="Times New Roman" w:cs="Arial"/>
          <w:b/>
          <w:bCs/>
          <w:sz w:val="24"/>
          <w:szCs w:val="24"/>
          <w:lang w:eastAsia="pl-PL"/>
        </w:rPr>
        <w:t>schematu podatkowego standaryzowanego</w:t>
      </w:r>
      <w:r w:rsidRPr="009A3C86">
        <w:rPr>
          <w:rFonts w:ascii="Times New Roman" w:eastAsiaTheme="minorEastAsia" w:hAnsi="Times New Roman" w:cs="Arial"/>
          <w:bCs/>
          <w:sz w:val="24"/>
          <w:szCs w:val="24"/>
          <w:lang w:eastAsia="pl-PL"/>
        </w:rPr>
        <w:t xml:space="preserve">, z uwagi na specyfikę tego schematu, ewentualny </w:t>
      </w:r>
      <w:r w:rsidRPr="009A3C86">
        <w:rPr>
          <w:rFonts w:ascii="Times New Roman" w:eastAsiaTheme="minorEastAsia" w:hAnsi="Times New Roman" w:cs="Arial"/>
          <w:bCs/>
          <w:sz w:val="24"/>
          <w:szCs w:val="24"/>
          <w:lang w:eastAsia="pl-PL"/>
        </w:rPr>
        <w:lastRenderedPageBreak/>
        <w:t xml:space="preserve">brak zwolnienia promotora z obowiązku zachowania prawnie chronionej tajemnicy zawodowej, nie powoduje wyłączenia obowiązku raportowania tego schematu przez promotora. Należy bowiem wskazać, że w schemacie standaryzowanym nie są ujawniane informacje poufne, objęte tajemnicą zawodową, dotyczące konkretnych podmiotów. W takiej sytuacji, promotor będzie miał obowiązek przekazania informacji o schemacie podatkowym standaryzowanym zgodnie z zakresem przewidzianym w art. </w:t>
      </w:r>
      <w:r w:rsidR="00CE6458" w:rsidRPr="009A3C86">
        <w:rPr>
          <w:rFonts w:ascii="Times New Roman" w:eastAsiaTheme="minorEastAsia" w:hAnsi="Times New Roman" w:cs="Arial"/>
          <w:b/>
          <w:bCs/>
          <w:sz w:val="24"/>
          <w:szCs w:val="24"/>
          <w:lang w:eastAsia="pl-PL"/>
        </w:rPr>
        <w:t>311 § 2</w:t>
      </w:r>
      <w:r w:rsidRPr="009A3C86">
        <w:rPr>
          <w:rFonts w:ascii="Times New Roman" w:eastAsiaTheme="minorEastAsia" w:hAnsi="Times New Roman" w:cs="Arial"/>
          <w:bCs/>
          <w:sz w:val="24"/>
          <w:szCs w:val="24"/>
          <w:lang w:eastAsia="pl-PL"/>
        </w:rPr>
        <w:t xml:space="preserve"> Ordynacji podatkowej – bez danych identyfikujących podmioty zaangażowane w ten schemat. Informacje przekazywane na tej podstawie dostarczać zaś będą Szefowi KAS informacji o samym sposobie osiągania korzyści, które wykorzystane są w danym schemacie.</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Istotnym wsparciem celu regulacji jest projektowany art. </w:t>
      </w:r>
      <w:r w:rsidR="00CE6458" w:rsidRPr="009A3C86">
        <w:rPr>
          <w:rFonts w:ascii="Times New Roman" w:eastAsiaTheme="minorEastAsia" w:hAnsi="Times New Roman" w:cs="Arial"/>
          <w:b/>
          <w:bCs/>
          <w:sz w:val="24"/>
          <w:szCs w:val="24"/>
          <w:lang w:eastAsia="pl-PL"/>
        </w:rPr>
        <w:t>311 § 3</w:t>
      </w:r>
      <w:r w:rsidR="00577A29"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 xml:space="preserve">Ordynacji podatkowej. Zgodnie z tym przepisem w sytuacji, w której promotor w ogóle nie jest zobowiązany do zachowania prawnie chronionej tajemnicy zawodowej lub został zwolniony z obowiązku jej zachowania, łącznie z informacją o schemacie podatkowym standaryzowanym zobowiązany jest przekazać Szefowi KAS dane wskazane w § 2 tego artykułu związane z pierwszym podmiotem, któremu udostępnił ten schemat podatkowy, bądź u którego dokonał pierwszej czynności związanej z wdrażaniem tego schematu podatkowego, którekolwiek z tych zdarzeń nastąpiło wcześniej. Promotor ten jest również zobowiązany, w terminie do 30 dni po zakończeniu kwartału, przekazywać Szefowi KAS dane wskazane § 1, które związane z każdym podmiotem, któremu w trakcie tego kwartału udostępnił taki standaryzowany schemat podatkowy. W tej sytuacji promotor obowiązany jest informować korzystającego o numerze NSP standaryzowanego schematu podatkowego (art. </w:t>
      </w:r>
      <w:r w:rsidR="00CE6458" w:rsidRPr="009A3C86">
        <w:rPr>
          <w:rFonts w:ascii="Times New Roman" w:eastAsiaTheme="minorEastAsia" w:hAnsi="Times New Roman" w:cs="Arial"/>
          <w:b/>
          <w:bCs/>
          <w:sz w:val="24"/>
          <w:szCs w:val="24"/>
          <w:lang w:eastAsia="pl-PL"/>
        </w:rPr>
        <w:t>307 § 2</w:t>
      </w:r>
      <w:r w:rsidRPr="009A3C86">
        <w:rPr>
          <w:rFonts w:ascii="Times New Roman" w:eastAsiaTheme="minorEastAsia" w:hAnsi="Times New Roman" w:cs="Arial"/>
          <w:bCs/>
          <w:sz w:val="24"/>
          <w:szCs w:val="24"/>
          <w:lang w:eastAsia="pl-PL"/>
        </w:rPr>
        <w:t xml:space="preserve"> Ordynacji podatkowej). Szef KAS może zwrócić się do promotora o uzupełnienie informacji lub wyjaśnienie wątpliwości co do treści przekazywanych informacji (art. </w:t>
      </w:r>
      <w:r w:rsidR="00693BA5" w:rsidRPr="009A3C86">
        <w:rPr>
          <w:rFonts w:ascii="Times New Roman" w:eastAsiaTheme="minorEastAsia" w:hAnsi="Times New Roman" w:cs="Arial"/>
          <w:bCs/>
          <w:sz w:val="24"/>
          <w:szCs w:val="24"/>
          <w:lang w:eastAsia="pl-PL"/>
        </w:rPr>
        <w:t> </w:t>
      </w:r>
      <w:r w:rsidR="00CE6458" w:rsidRPr="009A3C86">
        <w:rPr>
          <w:rFonts w:ascii="Times New Roman" w:eastAsiaTheme="minorEastAsia" w:hAnsi="Times New Roman" w:cs="Arial"/>
          <w:b/>
          <w:bCs/>
          <w:sz w:val="24"/>
          <w:szCs w:val="24"/>
          <w:lang w:eastAsia="pl-PL"/>
        </w:rPr>
        <w:t>313 § 1</w:t>
      </w:r>
      <w:r w:rsidRPr="009A3C86">
        <w:rPr>
          <w:rFonts w:ascii="Times New Roman" w:eastAsiaTheme="minorEastAsia" w:hAnsi="Times New Roman" w:cs="Arial"/>
          <w:bCs/>
          <w:sz w:val="24"/>
          <w:szCs w:val="24"/>
          <w:lang w:eastAsia="pl-PL"/>
        </w:rPr>
        <w:t xml:space="preserve"> Ordynacji podatkowej). Przekazywanie przez promotora tych danych następuje za pośrednictwem systemu MDR, który omówiony zostanie w dalszej części uzasadnienia.</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
          <w:bCs/>
          <w:sz w:val="24"/>
          <w:szCs w:val="24"/>
          <w:lang w:eastAsia="pl-PL"/>
        </w:rPr>
        <w:t>Przesłanki raportowania schematów przez korzystającego</w:t>
      </w:r>
      <w:r w:rsidRPr="009A3C86">
        <w:rPr>
          <w:rFonts w:ascii="Times New Roman" w:eastAsiaTheme="minorEastAsia" w:hAnsi="Times New Roman" w:cs="Arial"/>
          <w:bCs/>
          <w:sz w:val="24"/>
          <w:szCs w:val="24"/>
          <w:lang w:eastAsia="pl-PL"/>
        </w:rPr>
        <w:t xml:space="preserve"> normuje art. </w:t>
      </w:r>
      <w:r w:rsidR="00CE6458" w:rsidRPr="009A3C86">
        <w:rPr>
          <w:rFonts w:ascii="Times New Roman" w:eastAsiaTheme="minorEastAsia" w:hAnsi="Times New Roman" w:cs="Arial"/>
          <w:b/>
          <w:bCs/>
          <w:sz w:val="24"/>
          <w:szCs w:val="24"/>
          <w:lang w:eastAsia="pl-PL"/>
        </w:rPr>
        <w:t>308 § 1</w:t>
      </w:r>
      <w:r w:rsidR="00577A29"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 xml:space="preserve">Ordynacji podatkowej. Projektowane rozwiązanie przewiduje, że korzystający, który nie został poinformowany przez promotora o numerze NSP danego schematu lub o przekazaniu przez promotora do Szefa KAS informacji o schemacie podatkowym (tj. nie wystąpiły okoliczności uregulowane w art. </w:t>
      </w:r>
      <w:r w:rsidR="00577A29" w:rsidRPr="009A3C86">
        <w:rPr>
          <w:rFonts w:ascii="Times New Roman" w:eastAsiaTheme="minorEastAsia" w:hAnsi="Times New Roman" w:cs="Arial"/>
          <w:bCs/>
          <w:sz w:val="24"/>
          <w:szCs w:val="24"/>
          <w:lang w:eastAsia="pl-PL"/>
        </w:rPr>
        <w:t xml:space="preserve">307 </w:t>
      </w:r>
      <w:r w:rsidRPr="009A3C86">
        <w:rPr>
          <w:rFonts w:ascii="Times New Roman" w:eastAsiaTheme="minorEastAsia" w:hAnsi="Times New Roman" w:cs="Arial"/>
          <w:bCs/>
          <w:sz w:val="24"/>
          <w:szCs w:val="24"/>
          <w:lang w:eastAsia="pl-PL"/>
        </w:rPr>
        <w:t xml:space="preserve">§ 2 lub 3) przekazuje Szefowi KAS informację o schemacie podatkowym w terminie 30 dni od dnia następującego po udostępnieniu mu schematu podatkowego lub przygotowaniu schematu podatkowego do wdrożenia przez tego korzystającego lub od dnia dokonania pierwszej czynności związanej z wdrażaniem schematu </w:t>
      </w:r>
      <w:r w:rsidRPr="009A3C86">
        <w:rPr>
          <w:rFonts w:ascii="Times New Roman" w:eastAsiaTheme="minorEastAsia" w:hAnsi="Times New Roman" w:cs="Arial"/>
          <w:bCs/>
          <w:sz w:val="24"/>
          <w:szCs w:val="24"/>
          <w:lang w:eastAsia="pl-PL"/>
        </w:rPr>
        <w:lastRenderedPageBreak/>
        <w:t xml:space="preserve">podatkowego przez tego korzystającego, w zależności od tego, które z tych zdarzeń nastąpi wcześniej. </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color w:val="000000"/>
          <w:sz w:val="24"/>
          <w:szCs w:val="24"/>
        </w:rPr>
      </w:pPr>
      <w:r w:rsidRPr="009A3C86">
        <w:rPr>
          <w:rFonts w:ascii="Times New Roman" w:eastAsiaTheme="minorHAnsi" w:hAnsi="Times New Roman"/>
          <w:color w:val="000000"/>
          <w:sz w:val="24"/>
          <w:szCs w:val="24"/>
        </w:rPr>
        <w:t xml:space="preserve">W sytuacji, w której promotor nie został zwolniony z obowiązku zachowania prawnie chronionej tajemnicy zawodowej i w efekcie korzystający został poinformowany zgodnie z art. </w:t>
      </w:r>
      <w:r w:rsidR="00577A29" w:rsidRPr="009A3C86">
        <w:rPr>
          <w:rFonts w:ascii="Times New Roman" w:eastAsiaTheme="minorHAnsi" w:hAnsi="Times New Roman"/>
          <w:color w:val="000000"/>
          <w:sz w:val="24"/>
          <w:szCs w:val="24"/>
        </w:rPr>
        <w:t xml:space="preserve">307 </w:t>
      </w:r>
      <w:r w:rsidRPr="009A3C86">
        <w:rPr>
          <w:rFonts w:ascii="Times New Roman" w:eastAsiaTheme="minorHAnsi" w:hAnsi="Times New Roman"/>
          <w:color w:val="000000"/>
          <w:sz w:val="24"/>
          <w:szCs w:val="24"/>
        </w:rPr>
        <w:t xml:space="preserve">§ 4 Ordynacji podatkowej o obowiązku przekazania tej informacji do Szefa KAS, korzystający przekazuje Szefowi KAS informację o schemacie podatkowym w terminie 30 dni od otrzymania tej informacji od promotora. W takiej sytuacji korzystający, przekazując informację o schemacie podatkowym, weryfikuje dane otrzymane od promotora oraz dokonuje w nich uzupełnień lub modyfikacji. Dane otrzymane od promotora zgodnie z art. </w:t>
      </w:r>
      <w:r w:rsidR="00577A29" w:rsidRPr="009A3C86">
        <w:rPr>
          <w:rFonts w:ascii="Times New Roman" w:eastAsiaTheme="minorHAnsi" w:hAnsi="Times New Roman"/>
          <w:color w:val="000000"/>
          <w:sz w:val="24"/>
          <w:szCs w:val="24"/>
        </w:rPr>
        <w:t xml:space="preserve">307 </w:t>
      </w:r>
      <w:r w:rsidRPr="009A3C86">
        <w:rPr>
          <w:rFonts w:ascii="Times New Roman" w:eastAsiaTheme="minorHAnsi" w:hAnsi="Times New Roman"/>
          <w:color w:val="000000"/>
          <w:sz w:val="24"/>
          <w:szCs w:val="24"/>
        </w:rPr>
        <w:t xml:space="preserve">§ 4 Ordynacji podatkowej korzystający przekazuje Szefowi KAS razem z informacją o schemacie podatkowym lub w terminie określonym w zdaniu pierwszym, jeśli uzgodnienie w ocenie korzystającego nie stanowi schematu podatkowego. Przyjęte rozwiązanie ma na celu wykluczenie sytuacji braku przekazania do Szefa KAS jakichkolwiek informacji, w sytuacji, w której korzystający odmiennie zinterpretuje stan faktyczny i uzna, że konkretne uzgodnienie nie stanowi schematu podatkowego. </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color w:val="000000"/>
          <w:sz w:val="24"/>
          <w:szCs w:val="24"/>
        </w:rPr>
      </w:pPr>
      <w:r w:rsidRPr="009A3C86">
        <w:rPr>
          <w:rFonts w:ascii="Times New Roman" w:eastAsiaTheme="minorHAnsi" w:hAnsi="Times New Roman"/>
          <w:color w:val="000000"/>
          <w:sz w:val="24"/>
          <w:szCs w:val="24"/>
        </w:rPr>
        <w:t xml:space="preserve">Zgodnie z projektowanym art. </w:t>
      </w:r>
      <w:r w:rsidR="00CE6458" w:rsidRPr="009A3C86">
        <w:rPr>
          <w:rFonts w:ascii="Times New Roman" w:eastAsiaTheme="minorHAnsi" w:hAnsi="Times New Roman"/>
          <w:b/>
          <w:color w:val="000000"/>
          <w:sz w:val="24"/>
          <w:szCs w:val="24"/>
        </w:rPr>
        <w:t xml:space="preserve">308 § 3  </w:t>
      </w:r>
      <w:r w:rsidRPr="009A3C86">
        <w:rPr>
          <w:rFonts w:ascii="Times New Roman" w:eastAsiaTheme="minorHAnsi" w:hAnsi="Times New Roman"/>
          <w:color w:val="000000"/>
          <w:sz w:val="24"/>
          <w:szCs w:val="24"/>
        </w:rPr>
        <w:t>jeżeli korzystający jest zobowiązany do przekazania informacji o schemacie podatkowym transgranicznym w więcej niż jednym państwie członkowskim Unii Europejskiej na podstawie przepisów tego państwa implementującymi wymogi wynikające z przepisu art. 8ab dyrektywy Rady 2011/16/UE z dnia 15 lutego 2011 r. w sprawie współpracy administracyjnej w dziedzinie opodatkowania, obowiązek ten podlega wykonaniu</w:t>
      </w:r>
      <w:r w:rsidR="00577A29" w:rsidRPr="009A3C86">
        <w:rPr>
          <w:rFonts w:ascii="Times New Roman" w:eastAsiaTheme="minorHAnsi" w:hAnsi="Times New Roman"/>
          <w:color w:val="000000"/>
          <w:sz w:val="24"/>
          <w:szCs w:val="24"/>
        </w:rPr>
        <w:t>,</w:t>
      </w:r>
      <w:r w:rsidRPr="009A3C86">
        <w:rPr>
          <w:rFonts w:ascii="Times New Roman" w:eastAsiaTheme="minorHAnsi" w:hAnsi="Times New Roman"/>
          <w:color w:val="000000"/>
          <w:sz w:val="24"/>
          <w:szCs w:val="24"/>
        </w:rPr>
        <w:t xml:space="preserve"> </w:t>
      </w:r>
      <w:r w:rsidR="00577A29" w:rsidRPr="009A3C86">
        <w:rPr>
          <w:rFonts w:ascii="Times New Roman" w:eastAsiaTheme="minorHAnsi" w:hAnsi="Times New Roman"/>
          <w:color w:val="000000"/>
          <w:sz w:val="24"/>
          <w:szCs w:val="24"/>
        </w:rPr>
        <w:t xml:space="preserve">z zachowaniem kolejności państw określonej w pkt 1 – 4, </w:t>
      </w:r>
      <w:r w:rsidRPr="009A3C86">
        <w:rPr>
          <w:rFonts w:ascii="Times New Roman" w:eastAsiaTheme="minorHAnsi" w:hAnsi="Times New Roman"/>
          <w:color w:val="000000"/>
          <w:sz w:val="24"/>
          <w:szCs w:val="24"/>
        </w:rPr>
        <w:t>wyłącznie w tym państwie członkowskim</w:t>
      </w:r>
      <w:r w:rsidR="00577A29" w:rsidRPr="009A3C86">
        <w:rPr>
          <w:rFonts w:ascii="Times New Roman" w:eastAsiaTheme="minorHAnsi" w:hAnsi="Times New Roman"/>
          <w:color w:val="000000"/>
          <w:sz w:val="24"/>
          <w:szCs w:val="24"/>
        </w:rPr>
        <w:t>, w którym korzystający</w:t>
      </w:r>
      <w:r w:rsidRPr="009A3C86">
        <w:rPr>
          <w:rFonts w:ascii="Times New Roman" w:eastAsiaTheme="minorHAnsi" w:hAnsi="Times New Roman"/>
          <w:color w:val="000000"/>
          <w:sz w:val="24"/>
          <w:szCs w:val="24"/>
        </w:rPr>
        <w:t>:</w:t>
      </w:r>
    </w:p>
    <w:p w:rsidR="00D62378" w:rsidRPr="009A3C86" w:rsidRDefault="00577A29" w:rsidP="00D62378">
      <w:pPr>
        <w:numPr>
          <w:ilvl w:val="1"/>
          <w:numId w:val="58"/>
        </w:num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ma</w:t>
      </w:r>
      <w:r w:rsidR="00D62378" w:rsidRPr="009A3C86">
        <w:rPr>
          <w:rFonts w:ascii="Times New Roman" w:eastAsiaTheme="minorHAnsi" w:hAnsi="Times New Roman"/>
          <w:bCs/>
          <w:color w:val="000000"/>
          <w:sz w:val="24"/>
          <w:szCs w:val="24"/>
        </w:rPr>
        <w:t xml:space="preserve"> miejsca zamieszkania, siedzibę lub zarząd,</w:t>
      </w:r>
    </w:p>
    <w:p w:rsidR="00D62378" w:rsidRPr="009A3C86" w:rsidRDefault="00D62378" w:rsidP="00D62378">
      <w:pPr>
        <w:numPr>
          <w:ilvl w:val="1"/>
          <w:numId w:val="58"/>
        </w:num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za pośrednictwem zagranicznego zakładu korzysta ze schematu podatkowego,</w:t>
      </w:r>
    </w:p>
    <w:p w:rsidR="00D62378" w:rsidRPr="009A3C86" w:rsidRDefault="00D62378" w:rsidP="00D62378">
      <w:pPr>
        <w:numPr>
          <w:ilvl w:val="1"/>
          <w:numId w:val="58"/>
        </w:num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 xml:space="preserve">uzyskuje dochody lub osiąga zyski, mimo, że nie </w:t>
      </w:r>
      <w:r w:rsidR="00577A29" w:rsidRPr="009A3C86">
        <w:rPr>
          <w:rFonts w:ascii="Times New Roman" w:eastAsiaTheme="minorHAnsi" w:hAnsi="Times New Roman"/>
          <w:bCs/>
          <w:color w:val="000000"/>
          <w:sz w:val="24"/>
          <w:szCs w:val="24"/>
        </w:rPr>
        <w:t xml:space="preserve">ma </w:t>
      </w:r>
      <w:r w:rsidRPr="009A3C86">
        <w:rPr>
          <w:rFonts w:ascii="Times New Roman" w:eastAsiaTheme="minorHAnsi" w:hAnsi="Times New Roman"/>
          <w:bCs/>
          <w:color w:val="000000"/>
          <w:sz w:val="24"/>
          <w:szCs w:val="24"/>
        </w:rPr>
        <w:t>miejsca zamieszkania, siedziby, zarządu ani zagranicznego zakładu w żadnym państwie członkowskim,</w:t>
      </w:r>
    </w:p>
    <w:p w:rsidR="00D62378" w:rsidRPr="009A3C86" w:rsidRDefault="00D62378" w:rsidP="00D62378">
      <w:pPr>
        <w:numPr>
          <w:ilvl w:val="1"/>
          <w:numId w:val="58"/>
        </w:num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państwo, w którym prowadzi działalność, mimo że nie posiada miejsca zamieszkania, siedziby, zarządu ani zagranicznego zakładu w żadnym państwie członkowskim.</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color w:val="000000"/>
          <w:sz w:val="24"/>
          <w:szCs w:val="24"/>
        </w:rPr>
      </w:pPr>
      <w:r w:rsidRPr="009A3C86">
        <w:rPr>
          <w:rFonts w:ascii="Times New Roman" w:eastAsiaTheme="minorHAnsi" w:hAnsi="Times New Roman"/>
          <w:color w:val="000000"/>
          <w:sz w:val="24"/>
          <w:szCs w:val="24"/>
        </w:rPr>
        <w:lastRenderedPageBreak/>
        <w:t xml:space="preserve">Zgodnie z projektowanym art. </w:t>
      </w:r>
      <w:r w:rsidR="00CE6458" w:rsidRPr="009A3C86">
        <w:rPr>
          <w:rFonts w:ascii="Times New Roman" w:eastAsiaTheme="minorHAnsi" w:hAnsi="Times New Roman"/>
          <w:b/>
          <w:color w:val="000000"/>
          <w:sz w:val="24"/>
          <w:szCs w:val="24"/>
        </w:rPr>
        <w:t>308 § 4</w:t>
      </w:r>
      <w:r w:rsidR="00577A29" w:rsidRPr="009A3C86">
        <w:rPr>
          <w:rFonts w:ascii="Times New Roman" w:eastAsiaTheme="minorHAnsi" w:hAnsi="Times New Roman"/>
          <w:color w:val="000000"/>
          <w:sz w:val="24"/>
          <w:szCs w:val="24"/>
        </w:rPr>
        <w:t xml:space="preserve"> </w:t>
      </w:r>
      <w:r w:rsidRPr="009A3C86">
        <w:rPr>
          <w:rFonts w:ascii="Times New Roman" w:eastAsiaTheme="minorHAnsi" w:hAnsi="Times New Roman"/>
          <w:color w:val="000000"/>
          <w:sz w:val="24"/>
          <w:szCs w:val="24"/>
        </w:rPr>
        <w:t>jeżeli więcej niż jeden korzystający ma obowiązek przekazania informacji o tym samym schemacie podatkowym transgranicznym, obowiązek ten podlega wykonaniu</w:t>
      </w:r>
      <w:r w:rsidR="00C25DC4" w:rsidRPr="009A3C86">
        <w:rPr>
          <w:rFonts w:ascii="Times New Roman" w:eastAsiaTheme="minorHAnsi" w:hAnsi="Times New Roman"/>
          <w:color w:val="000000"/>
          <w:sz w:val="24"/>
          <w:szCs w:val="24"/>
        </w:rPr>
        <w:t xml:space="preserve"> z zachowaniem następującej kolejności:</w:t>
      </w:r>
      <w:r w:rsidRPr="009A3C86">
        <w:rPr>
          <w:rFonts w:ascii="Times New Roman" w:eastAsiaTheme="minorHAnsi" w:hAnsi="Times New Roman"/>
          <w:color w:val="000000"/>
          <w:sz w:val="24"/>
          <w:szCs w:val="24"/>
        </w:rPr>
        <w:t>:</w:t>
      </w:r>
    </w:p>
    <w:p w:rsidR="00D62378" w:rsidRPr="009A3C86" w:rsidRDefault="00C25DC4" w:rsidP="00C25DC4">
      <w:pPr>
        <w:numPr>
          <w:ilvl w:val="1"/>
          <w:numId w:val="59"/>
        </w:num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 xml:space="preserve">przez korzystającego, który </w:t>
      </w:r>
      <w:r w:rsidR="00D62378" w:rsidRPr="009A3C86">
        <w:rPr>
          <w:rFonts w:ascii="Times New Roman" w:eastAsiaTheme="minorHAnsi" w:hAnsi="Times New Roman"/>
          <w:bCs/>
          <w:color w:val="000000"/>
          <w:sz w:val="24"/>
          <w:szCs w:val="24"/>
        </w:rPr>
        <w:t>uzgodnił schemat podatkowy transgraniczny z promotorem lub wspomagającym,</w:t>
      </w:r>
    </w:p>
    <w:p w:rsidR="00D62378" w:rsidRPr="009A3C86" w:rsidRDefault="00C25DC4" w:rsidP="00C25DC4">
      <w:pPr>
        <w:numPr>
          <w:ilvl w:val="1"/>
          <w:numId w:val="59"/>
        </w:num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 xml:space="preserve">przez korzystającego, który </w:t>
      </w:r>
      <w:r w:rsidR="00D62378" w:rsidRPr="009A3C86">
        <w:rPr>
          <w:rFonts w:ascii="Times New Roman" w:eastAsiaTheme="minorHAnsi" w:hAnsi="Times New Roman"/>
          <w:bCs/>
          <w:color w:val="000000"/>
          <w:sz w:val="24"/>
          <w:szCs w:val="24"/>
        </w:rPr>
        <w:t>zarządza wdrożeniem schematu podatkowego transgranicznego.</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bCs/>
          <w:color w:val="000000"/>
          <w:sz w:val="24"/>
          <w:szCs w:val="24"/>
        </w:rPr>
      </w:pPr>
      <w:r w:rsidRPr="009A3C86">
        <w:rPr>
          <w:rFonts w:ascii="Times New Roman" w:eastAsiaTheme="minorHAnsi" w:hAnsi="Times New Roman"/>
          <w:bCs/>
          <w:color w:val="000000"/>
          <w:sz w:val="24"/>
          <w:szCs w:val="24"/>
        </w:rPr>
        <w:t xml:space="preserve">- przy czym pozostali korzystający są zwolnieni z tego obowiązku, jeżeli udowodnią, że informacja o tym schemacie podatkowym transgranicznym została przekazana przez tego korzystającego, w szczególności poprzez przedstawienie potwierdzenia nadania NSP. Przepis art. </w:t>
      </w:r>
      <w:r w:rsidR="00C25DC4" w:rsidRPr="009A3C86">
        <w:rPr>
          <w:rFonts w:ascii="Times New Roman" w:eastAsiaTheme="minorHAnsi" w:hAnsi="Times New Roman"/>
          <w:bCs/>
          <w:color w:val="000000"/>
          <w:sz w:val="24"/>
          <w:szCs w:val="24"/>
        </w:rPr>
        <w:t xml:space="preserve">307 </w:t>
      </w:r>
      <w:r w:rsidRPr="009A3C86">
        <w:rPr>
          <w:rFonts w:ascii="Times New Roman" w:eastAsiaTheme="minorHAnsi" w:hAnsi="Times New Roman"/>
          <w:bCs/>
          <w:color w:val="000000"/>
          <w:sz w:val="24"/>
          <w:szCs w:val="24"/>
        </w:rPr>
        <w:t>§ 3 stosuje się odpowiednio.</w:t>
      </w:r>
    </w:p>
    <w:p w:rsidR="00D62378" w:rsidRPr="009A3C86" w:rsidRDefault="00D62378" w:rsidP="00D62378">
      <w:pPr>
        <w:autoSpaceDE w:val="0"/>
        <w:autoSpaceDN w:val="0"/>
        <w:adjustRightInd w:val="0"/>
        <w:spacing w:before="120" w:after="0" w:line="360" w:lineRule="auto"/>
        <w:jc w:val="both"/>
        <w:rPr>
          <w:rFonts w:ascii="Times New Roman" w:eastAsiaTheme="minorHAnsi" w:hAnsi="Times New Roman"/>
          <w:color w:val="000000"/>
          <w:sz w:val="24"/>
          <w:szCs w:val="24"/>
        </w:rPr>
      </w:pPr>
      <w:r w:rsidRPr="009A3C86">
        <w:rPr>
          <w:rFonts w:ascii="Times New Roman" w:eastAsiaTheme="minorHAnsi" w:hAnsi="Times New Roman"/>
          <w:color w:val="000000"/>
          <w:sz w:val="24"/>
          <w:szCs w:val="24"/>
        </w:rPr>
        <w:t>Rozwiązania opisane powyżej zmierzają w istocie do uszczelnienia systemu raportowania schematów podatkowych oraz usprawnienia procesu ewidencjonowania schematów, które będą opracowywane przez profesjonalistów, przy jednoczesnym respektowaniu obowiązku zachowania przez nich tajemnicy zawodowej. Rozwiązanie zaproponowane w projekcie ustawy realizuje założenia Dyrektywy, zgodnie z którym „każde państwo członkowskie może przyjąć niezbędne środki w celu umożliwienia pośrednikom zwolnienia się z obowiązku przekazywania informacji dotyczących podlegających zgłoszeniu uzgodnień transgranicznych, jeżeli takie zgłoszenie wiązałby się z naruszeniem tajemnicy zawodowej na mocy prawa krajowego tego państwa członkowskiego. w takich okolicznościach każde państwo członkowskie przyjmuje niezbędne środki w celu zobowiązania pośredników do bezzwłocznego powiadomienia każdego innego pośrednika lub, w przypadku braku takiego pośrednika, właściwego podatnika o ciążących na nich obowiązkach zgłoszenia na mocy ust. 6. (…) – art.</w:t>
      </w:r>
      <w:r w:rsidRPr="009A3C86">
        <w:rPr>
          <w:rFonts w:ascii="Times New Roman" w:eastAsiaTheme="minorHAnsi" w:hAnsi="Times New Roman"/>
          <w:iCs/>
          <w:color w:val="000000"/>
          <w:sz w:val="24"/>
          <w:szCs w:val="24"/>
        </w:rPr>
        <w:t> </w:t>
      </w:r>
      <w:r w:rsidRPr="009A3C86">
        <w:rPr>
          <w:rFonts w:ascii="Times New Roman" w:eastAsiaTheme="minorHAnsi" w:hAnsi="Times New Roman"/>
          <w:color w:val="000000"/>
          <w:sz w:val="24"/>
          <w:szCs w:val="24"/>
        </w:rPr>
        <w:t>8ab ust. 5</w:t>
      </w:r>
      <w:r w:rsidRPr="009A3C86">
        <w:rPr>
          <w:rFonts w:ascii="Times New Roman" w:eastAsiaTheme="minorHAnsi" w:hAnsi="Times New Roman"/>
          <w:i/>
          <w:color w:val="000000"/>
          <w:sz w:val="24"/>
          <w:szCs w:val="24"/>
        </w:rPr>
        <w:t>.</w:t>
      </w:r>
    </w:p>
    <w:p w:rsidR="00D62378" w:rsidRPr="009A3C86" w:rsidRDefault="00191782"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N</w:t>
      </w:r>
      <w:r w:rsidR="00D62378" w:rsidRPr="009A3C86">
        <w:rPr>
          <w:rFonts w:ascii="Times New Roman" w:eastAsiaTheme="minorEastAsia" w:hAnsi="Times New Roman" w:cs="Arial"/>
          <w:bCs/>
          <w:sz w:val="24"/>
          <w:szCs w:val="24"/>
          <w:lang w:eastAsia="pl-PL"/>
        </w:rPr>
        <w:t xml:space="preserve">ie stanowi naruszenia obowiązku zachowania prawnie chronionej tajemnicy zawodowej (art. </w:t>
      </w:r>
      <w:r w:rsidR="00CE6458" w:rsidRPr="009A3C86">
        <w:rPr>
          <w:rFonts w:ascii="Times New Roman" w:eastAsiaTheme="minorEastAsia" w:hAnsi="Times New Roman" w:cs="Arial"/>
          <w:b/>
          <w:bCs/>
          <w:sz w:val="24"/>
          <w:szCs w:val="24"/>
          <w:lang w:eastAsia="pl-PL"/>
        </w:rPr>
        <w:t>304 § 7</w:t>
      </w:r>
      <w:r w:rsidR="00D62378" w:rsidRPr="009A3C86">
        <w:rPr>
          <w:rFonts w:ascii="Times New Roman" w:eastAsiaTheme="minorEastAsia" w:hAnsi="Times New Roman" w:cs="Arial"/>
          <w:bCs/>
          <w:sz w:val="24"/>
          <w:szCs w:val="24"/>
          <w:lang w:eastAsia="pl-PL"/>
        </w:rPr>
        <w:t xml:space="preserve"> Ordynacji podatkowej): </w:t>
      </w:r>
    </w:p>
    <w:p w:rsidR="00D62378" w:rsidRPr="009A3C86" w:rsidRDefault="00D62378" w:rsidP="00D62378">
      <w:pPr>
        <w:numPr>
          <w:ilvl w:val="0"/>
          <w:numId w:val="42"/>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przekazanie informacji o schemacie podatkowym, w sytuacji, w której przekazujący tę informację został zwolniony z obowiązku jej zachowania, </w:t>
      </w:r>
    </w:p>
    <w:p w:rsidR="00D62378" w:rsidRPr="009A3C86" w:rsidRDefault="00D62378" w:rsidP="00D62378">
      <w:pPr>
        <w:numPr>
          <w:ilvl w:val="0"/>
          <w:numId w:val="42"/>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przekazanie informacji o schemacie podatkowym standaryzowanym, </w:t>
      </w:r>
    </w:p>
    <w:p w:rsidR="00D62378" w:rsidRPr="009A3C86" w:rsidRDefault="00D62378" w:rsidP="00D62378">
      <w:pPr>
        <w:numPr>
          <w:ilvl w:val="0"/>
          <w:numId w:val="42"/>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przesłanie do Szefa KAS informacji o fakcie poinformowania korzystającego o obowiązku przekazania informacji o schemacie podatkowym, w momencie, gdy do</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 xml:space="preserve">zaraportowania schematu obowiązany jest korzystający. </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
          <w:bCs/>
          <w:sz w:val="24"/>
          <w:szCs w:val="24"/>
          <w:lang w:eastAsia="pl-PL"/>
        </w:rPr>
        <w:t>Wyjątkowo obowiązek przekazania Szefowi KAS informacji o schemacie podatkowym może zostać nałożony na wspomagającego</w:t>
      </w:r>
      <w:r w:rsidRPr="009A3C86">
        <w:rPr>
          <w:rFonts w:ascii="Times New Roman" w:eastAsiaTheme="minorEastAsia" w:hAnsi="Times New Roman" w:cs="Arial"/>
          <w:bCs/>
          <w:sz w:val="24"/>
          <w:szCs w:val="24"/>
          <w:lang w:eastAsia="pl-PL"/>
        </w:rPr>
        <w:t xml:space="preserve">, sytuację tę reguluje art. </w:t>
      </w:r>
      <w:r w:rsidR="00CE6458" w:rsidRPr="009A3C86">
        <w:rPr>
          <w:rFonts w:ascii="Times New Roman" w:eastAsiaTheme="minorEastAsia" w:hAnsi="Times New Roman" w:cs="Arial"/>
          <w:b/>
          <w:bCs/>
          <w:sz w:val="24"/>
          <w:szCs w:val="24"/>
          <w:lang w:eastAsia="pl-PL"/>
        </w:rPr>
        <w:t>309 § 1</w:t>
      </w:r>
      <w:r w:rsidRPr="009A3C86">
        <w:rPr>
          <w:rFonts w:ascii="Times New Roman" w:eastAsiaTheme="minorEastAsia" w:hAnsi="Times New Roman" w:cs="Arial"/>
          <w:bCs/>
          <w:sz w:val="24"/>
          <w:szCs w:val="24"/>
          <w:lang w:eastAsia="pl-PL"/>
        </w:rPr>
        <w:t xml:space="preserve"> Ordynacji podatkowej. Na wstępie należy wskazać, że ustawa nakłada obowiązek na promotora lub korzystającego, którzy zlecają wspomagającemu wykonanie czynności pozostających w</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 xml:space="preserve">zakresie jego działania w odniesieniu do schematu podatkowego pisemnego poinformowania wspomagającego o NSP tego schematu podatkowego i załączenia potwierdzenia nadania NSP. Obowiązek ten powinien zostać zrealizowany przez promotora lub korzystającego najpóźniej w dniu poprzedzającym wykonanie czynności przez wspomagającego. W tym zakresie odpowiednie zastosowanie znajduje art. </w:t>
      </w:r>
      <w:r w:rsidR="00C25DC4" w:rsidRPr="009A3C86">
        <w:rPr>
          <w:rFonts w:ascii="Times New Roman" w:eastAsiaTheme="minorEastAsia" w:hAnsi="Times New Roman" w:cs="Arial"/>
          <w:bCs/>
          <w:sz w:val="24"/>
          <w:szCs w:val="24"/>
          <w:lang w:eastAsia="pl-PL"/>
        </w:rPr>
        <w:t xml:space="preserve">307 </w:t>
      </w:r>
      <w:r w:rsidRPr="009A3C86">
        <w:rPr>
          <w:rFonts w:ascii="Times New Roman" w:eastAsiaTheme="minorEastAsia" w:hAnsi="Times New Roman" w:cs="Arial"/>
          <w:bCs/>
          <w:sz w:val="24"/>
          <w:szCs w:val="24"/>
          <w:lang w:eastAsia="pl-PL"/>
        </w:rPr>
        <w:t>§ 3 Ordynacji podatkowej regulujący zakres przekazywanej informacji w sytuacji, w której mimo przekazania informacji o schemacie podatkowym do Szefa KAS nie nadano jeszcze NSP. Jeśli wystąpią sytuacje opisane powyżej, obowiązek raportowania schematu podatkowego przez wspomagającego nie wystąpi.</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Jeśli jednak wspomagający nie zostanie poinformowany o NSP schematu podatkowego będzie on obowiązany niezwłocznie, nie później niż w terminie 5 dni roboczych wystąpić do</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promotora lub korzystającego zlecających wykonanie czynności o przekazanie mu pisemnego oświadczenia, że uzgodnienie nie stanowi schematu podatkowego, w sytuacji gdy przy zachowaniu staranności ogólnie wymaganej w dokonywanych przez niego czynnościach, przy uwzględnieniu zawodowego charakteru jego działalności, obszaru jego specjalizacji oraz przedmiotu wykonywanych przez niego czynności – powziął lub powinien był powziąć wątpliwości, że uzgodnienie, w odniesieniu do którego jest wspomagającym, może stanowić schemat podatkowy. Jednocześnie wspomagający zobowiązany jest w tym samym terminie zawiadomić Szefa KAS, że powziął wątpliwości, że uzgodnienie stanowi schemat podatkowy, wskazując dzień, w którym podjął wątpliwości oraz liczbę podmiotów, do których wystąpił o przekazanie mu pisemnego oświadczenia, że uzgodnienie nie stanowi schematu podatkowego. Przekazywanie tych informacji umożliwiać będzie Szefowi KAS szacowanie liczby niezaraportowanych schematów podatkowych. Mechanizm ten powinien również wpłynąć na sposób postępowania promotorów i korzystających, ograniczając liczbę przypadków, w których nie doszło do przekazania informacji o schemacie podatkowym mimo istnienia tego obowiązku.</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 xml:space="preserve">W takiej sytuacji wspomagającemu przyznano prawo do wstrzymania się z wykonaniem czynności w odniesieniu do danego uzgodnienia do dnia otrzymania tego oświadczenia, potwierdzenia nadania NSP lub informacji, o której mowa w art. </w:t>
      </w:r>
      <w:r w:rsidR="00C25DC4" w:rsidRPr="009A3C86">
        <w:rPr>
          <w:rFonts w:ascii="Times New Roman" w:eastAsiaTheme="minorEastAsia" w:hAnsi="Times New Roman" w:cs="Arial"/>
          <w:bCs/>
          <w:sz w:val="24"/>
          <w:szCs w:val="24"/>
          <w:lang w:eastAsia="pl-PL"/>
        </w:rPr>
        <w:t xml:space="preserve">307 </w:t>
      </w:r>
      <w:r w:rsidRPr="009A3C86">
        <w:rPr>
          <w:rFonts w:ascii="Times New Roman" w:eastAsiaTheme="minorEastAsia" w:hAnsi="Times New Roman" w:cs="Arial"/>
          <w:bCs/>
          <w:sz w:val="24"/>
          <w:szCs w:val="24"/>
          <w:lang w:eastAsia="pl-PL"/>
        </w:rPr>
        <w:t>§ 3 Ordynacji podatkowej. Wstrzymanie się przez wspomagającego w opisanej sytuacji z wykonaniem czynności nie może prowadzić do powstania po jego stronie ryzyka odpowiedzialności cywilnej lub dyscyplinarnej względem zlecającego mu te czynności w zakresie tych czynności, które są związane ze</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 xml:space="preserve">wtrzymaniem się z pracami w odniesieniu do uzgodnienia (art. </w:t>
      </w:r>
      <w:r w:rsidR="00CE6458" w:rsidRPr="009A3C86">
        <w:rPr>
          <w:rFonts w:ascii="Times New Roman" w:eastAsiaTheme="minorEastAsia" w:hAnsi="Times New Roman" w:cs="Arial"/>
          <w:b/>
          <w:bCs/>
          <w:sz w:val="24"/>
          <w:szCs w:val="24"/>
          <w:lang w:eastAsia="pl-PL"/>
        </w:rPr>
        <w:t>309 § 5</w:t>
      </w:r>
      <w:r w:rsidRPr="009A3C86">
        <w:rPr>
          <w:rFonts w:ascii="Times New Roman" w:eastAsiaTheme="minorEastAsia" w:hAnsi="Times New Roman" w:cs="Arial"/>
          <w:bCs/>
          <w:sz w:val="24"/>
          <w:szCs w:val="24"/>
          <w:lang w:eastAsia="pl-PL"/>
        </w:rPr>
        <w:t xml:space="preserve"> Ordynacji podatkowej). Uregulowania te mają na celu wzmocnienie niezależności wspomagających, w szczególności tych, którzy wykonują zawody zaufania publicznego, przez co powinni działać w sposób profesjonalny oraz zgodnie z zasadami etyki zawodowej.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Jeżeli wspomagający nie zostanie poinformowany o NSP schematu podatkowego, będzie on obowiązany przekazać Szefowi KAS informację o schemacie podatkowym w terminie 30 dni od dnia, w którym dostrzegł lub powinien był dostrzec, że uzgodnienie, w odniesieniu do którego jest wspomagającym, stanowi schemat podatkowy przy zachowaniu staranności ogólnie wymaganej w dokonywanych przez niego czynnościach, przy uwzględnieniu zawodowego charakteru jego działalności, obszaru jego specjalizacji oraz przedmiotu wykonywanych przez niego czynności (art. </w:t>
      </w:r>
      <w:r w:rsidR="00C25DC4" w:rsidRPr="009A3C86">
        <w:rPr>
          <w:rFonts w:ascii="Times New Roman" w:eastAsiaTheme="minorEastAsia" w:hAnsi="Times New Roman" w:cs="Arial"/>
          <w:bCs/>
          <w:sz w:val="24"/>
          <w:szCs w:val="24"/>
          <w:lang w:eastAsia="pl-PL"/>
        </w:rPr>
        <w:t xml:space="preserve">309 </w:t>
      </w:r>
      <w:r w:rsidRPr="009A3C86">
        <w:rPr>
          <w:rFonts w:ascii="Times New Roman" w:eastAsiaTheme="minorEastAsia" w:hAnsi="Times New Roman" w:cs="Arial"/>
          <w:bCs/>
          <w:sz w:val="24"/>
          <w:szCs w:val="24"/>
          <w:lang w:eastAsia="pl-PL"/>
        </w:rPr>
        <w:t>§ 3 Ordynacji podatkowej). Na ocenę tego, czy wspomagający powinien był dostrzec, że uzgodnienie, w odniesieniu do którego jest wspomagającym, stanowi schemat podatkowy, wpływać może wiele czynników, np.</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dotychczasowe czynności wykonywane przez wspomagającego w stosunku do tych samych lub powiązanych podmiotów, stosowanie rozwiązań nietypowych w danej branży. Przykładowo przyjąć należy, że w sytuacji, w której wspomagającemu (np. notariuszowi) zlecanych jest w pewnych odstępach czasu wykonanie szeregu czynności w odniesieniu do tych samych lub powiązanych podmiotów, które się wzajemnie znoszą i prowadzą do efektu zbliżonego lub tożsamego z sytuacją występującą na początku, uznać należy, że wspomagający powinien był dostrzec, że uzgodnienie stanowi schemat podatkowy. Z drugiej strony uwzględnić jednak należy fakt, że wspomagający wykonuje czynności dotyczące jedynie pewnej części uzgodnienia. Czynności te mogą być jednocześnie typowe i rozpowszechnione – np. sporządzenie aktu notarialnego przy tworzeniu spółek prawa handlowego. Nie jest oczekiwane, że wspomagający powinien był dostrzec, że wspiera implementację schematu podatkowego, w sytuacji w której posiada on wycinkową wiedzę o uzgodnieniu oraz dokonuje jednej lub kilku typowych w danej branży czynności.</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W przypadku gdyby przekazanie przez wspomagającego informacji o schemacie podatkowym naruszało obowiązek zachowania prawnie chronionej tajemnicy zawodowej i wspomagający nie został zwolniony z obowiązku zachowania tajemnicy w tym zakresie, jest on obowiązany poinformować pisemnie korzystającego lub promotora zlecających mu czynności, że w jego opinii uzgodnienie stanowi schemat podatkowy, który podlega raportowaniu Szefowi KAS. W</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 xml:space="preserve">tym samym terminie wspomagający ma obowiązek zawiadomić Szefa KAS o wystąpieniu sytuacji opisanej powyżej, bez ujawniania danych podmiotu. W takiej sytuacji, wspomagający podejmuje działania analogiczne do działań podejmowanych przez promotora, w przypadku, gdy ten nie został zwolniony z tajemnicy zawodowej (art. </w:t>
      </w:r>
      <w:r w:rsidR="00C25DC4" w:rsidRPr="009A3C86">
        <w:rPr>
          <w:rFonts w:ascii="Times New Roman" w:eastAsiaTheme="minorEastAsia" w:hAnsi="Times New Roman" w:cs="Arial"/>
          <w:bCs/>
          <w:sz w:val="24"/>
          <w:szCs w:val="24"/>
          <w:lang w:eastAsia="pl-PL"/>
        </w:rPr>
        <w:t xml:space="preserve">309 </w:t>
      </w:r>
      <w:r w:rsidRPr="009A3C86">
        <w:rPr>
          <w:rFonts w:ascii="Times New Roman" w:eastAsiaTheme="minorEastAsia" w:hAnsi="Times New Roman" w:cs="Arial"/>
          <w:bCs/>
          <w:sz w:val="24"/>
          <w:szCs w:val="24"/>
          <w:lang w:eastAsia="pl-PL"/>
        </w:rPr>
        <w:t>§ 4 Ordynacji podatkowej).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Taki sposób sformułowania przesłanek aktualizacji obowiązku raportowania schematu podatkowego przez wspomagającego związany jest z faktem, że – co do zasady – wykonuje on ograniczone przedmiotowo czynności w stosunku do uzgodnienia i może nie być świadomy, że wspiera podmioty w realizacji schematu podatkowego, dla którego nie została przekazana do Szefa KAS informacja o schemacie podatkowym. Z drugiej jednak strony, wspomagający ma obowiązek zachowania czujności oraz reagowania w sytuacji, w której ma podejrzenie, że</w:t>
      </w:r>
      <w:r w:rsidRPr="009A3C86">
        <w:rPr>
          <w:rFonts w:ascii="Times New Roman" w:eastAsiaTheme="minorEastAsia" w:hAnsi="Times New Roman"/>
          <w:sz w:val="24"/>
          <w:szCs w:val="24"/>
          <w:lang w:eastAsia="pl-PL"/>
        </w:rPr>
        <w:t> </w:t>
      </w:r>
      <w:r w:rsidRPr="009A3C86">
        <w:rPr>
          <w:rFonts w:ascii="Times New Roman" w:eastAsiaTheme="minorEastAsia" w:hAnsi="Times New Roman" w:cs="Arial"/>
          <w:bCs/>
          <w:sz w:val="24"/>
          <w:szCs w:val="24"/>
          <w:lang w:eastAsia="pl-PL"/>
        </w:rPr>
        <w:t xml:space="preserve">uzgodnienie, w odniesieniu do którego jest wspomagającym może stanowić schemat podatkowy. Rozwiązanie to umożliwi jak najlepszą realizację założeń projektu ustawy oraz ujawnianie schematów podatkowych, które nie zostały zaraportowane przez promotora lub korzystającego. </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Jeżeli wspomagający jest zobowiązany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obowiązek ten podlega wykonaniu wyłącznie w tym państwie członkowskim, które widnieje wyżej na poniższej liście:</w:t>
      </w:r>
    </w:p>
    <w:p w:rsidR="00D62378" w:rsidRPr="009A3C86" w:rsidRDefault="00D62378" w:rsidP="00D62378">
      <w:pPr>
        <w:numPr>
          <w:ilvl w:val="1"/>
          <w:numId w:val="61"/>
        </w:numPr>
        <w:spacing w:before="120" w:after="0" w:line="360" w:lineRule="auto"/>
        <w:ind w:left="360"/>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posiada miejsca zamieszkania, siedzibę lub zarząd,</w:t>
      </w:r>
    </w:p>
    <w:p w:rsidR="00D62378" w:rsidRPr="009A3C86" w:rsidRDefault="00D62378" w:rsidP="00D62378">
      <w:pPr>
        <w:numPr>
          <w:ilvl w:val="1"/>
          <w:numId w:val="61"/>
        </w:numPr>
        <w:spacing w:before="120" w:after="0" w:line="360" w:lineRule="auto"/>
        <w:ind w:left="360"/>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za pośrednictwem zagranicznego zakładu świadczy usługi dotyczące schematu podatkowego,</w:t>
      </w:r>
    </w:p>
    <w:p w:rsidR="00D62378" w:rsidRPr="009A3C86" w:rsidRDefault="00D62378" w:rsidP="00D62378">
      <w:pPr>
        <w:numPr>
          <w:ilvl w:val="1"/>
          <w:numId w:val="61"/>
        </w:numPr>
        <w:spacing w:before="120" w:after="0" w:line="360" w:lineRule="auto"/>
        <w:ind w:left="360"/>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państwo, w którym jest zarejestrowany, lub którego przepisom prawa podlega,</w:t>
      </w:r>
    </w:p>
    <w:p w:rsidR="00D62378" w:rsidRPr="009A3C86" w:rsidRDefault="00D62378" w:rsidP="00D62378">
      <w:pPr>
        <w:numPr>
          <w:ilvl w:val="1"/>
          <w:numId w:val="61"/>
        </w:numPr>
        <w:spacing w:before="120" w:after="0" w:line="360" w:lineRule="auto"/>
        <w:ind w:left="360"/>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państwo, w którym  jest członkiem samorządu zawodowego lub innej organizacji pozarządowej posiadającej siedzibę lub zarząd na terytorium tego państwa </w:t>
      </w:r>
      <w:r w:rsidRPr="009A3C86">
        <w:rPr>
          <w:rFonts w:ascii="Times New Roman" w:eastAsiaTheme="minorEastAsia" w:hAnsi="Times New Roman" w:cs="Arial"/>
          <w:bCs/>
          <w:sz w:val="24"/>
          <w:szCs w:val="24"/>
          <w:lang w:eastAsia="pl-PL"/>
        </w:rPr>
        <w:lastRenderedPageBreak/>
        <w:t>reprezentującego osoby lub podmioty świadczące usługi prawne, doradztwa podatkowego  lub doradcze.</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 projektowanej ustawie w art. </w:t>
      </w:r>
      <w:r w:rsidR="00CE6458" w:rsidRPr="009A3C86">
        <w:rPr>
          <w:rFonts w:ascii="Times New Roman" w:eastAsiaTheme="minorEastAsia" w:hAnsi="Times New Roman" w:cs="Arial"/>
          <w:b/>
          <w:bCs/>
          <w:sz w:val="24"/>
          <w:szCs w:val="24"/>
          <w:lang w:eastAsia="pl-PL"/>
        </w:rPr>
        <w:t>310</w:t>
      </w:r>
      <w:r w:rsidR="00573F6C"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 xml:space="preserve">Ordynacji podatkowej zawarto uregulowanie dotyczące sytuacji, w której wiele podmiotów zobowiązanych jest do przekazania informacji o schemacie podatkowym (np. schemat podatkowy został opracowany i jest wdrażany przez kilku promotorów jednocześnie lub występuje wielu korzystających). W takiej sytuacji wykonanie tego obowiązku przez jednego z nich zwalnia pozostałych, którzy zostali wskazani w informacji o schemacie podatkowym i pisemnie poinformowani o NSP tego schematu podatkowego, z załączeniem potwierdzenia nadania NSP (art. </w:t>
      </w:r>
      <w:r w:rsidR="00573F6C" w:rsidRPr="009A3C86">
        <w:rPr>
          <w:rFonts w:ascii="Times New Roman" w:eastAsiaTheme="minorEastAsia" w:hAnsi="Times New Roman" w:cs="Arial"/>
          <w:bCs/>
          <w:sz w:val="24"/>
          <w:szCs w:val="24"/>
          <w:lang w:eastAsia="pl-PL"/>
        </w:rPr>
        <w:t xml:space="preserve">307 </w:t>
      </w:r>
      <w:r w:rsidRPr="009A3C86">
        <w:rPr>
          <w:rFonts w:ascii="Times New Roman" w:eastAsiaTheme="minorEastAsia" w:hAnsi="Times New Roman" w:cs="Arial"/>
          <w:bCs/>
          <w:sz w:val="24"/>
          <w:szCs w:val="24"/>
          <w:lang w:eastAsia="pl-PL"/>
        </w:rPr>
        <w:t>§ 3 Ordynacji podatkowej). Takie rozwiązanie ma na celu zagwarantowanie, że schemat podatkowy zostanie zaraportowany. Jednocześnie informacja zwrotna, jaką przekazywać będzie pozostałym zobowiązanym do</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zaraportowania schematu podatkowego podmiot, który przekazał dane Szefowi KAS (tj. pisemne poinformowanie ich o NSP danego schematu podatkowego), dostarczać będzie tym podmiotom wiedzy o wypełnieniu obowiązku sprawozdawczego w stosunku do danego schematu podatkowego. Uregulowanie takie powinno wpłynąć na zachowanie podmiotów zobowiązanych do raportowania schematów podatkowych, które powinny między sobą uzgadniać, który z podmiotów przekaże informacje o schemacie podatkowym Szefowi KAS.</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Przepis art. </w:t>
      </w:r>
      <w:r w:rsidR="00CE6458" w:rsidRPr="009A3C86">
        <w:rPr>
          <w:rFonts w:ascii="Times New Roman" w:eastAsiaTheme="minorEastAsia" w:hAnsi="Times New Roman" w:cs="Arial"/>
          <w:b/>
          <w:bCs/>
          <w:sz w:val="24"/>
          <w:szCs w:val="24"/>
          <w:lang w:eastAsia="pl-PL"/>
        </w:rPr>
        <w:t>315</w:t>
      </w:r>
      <w:r w:rsidR="00573F6C"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stanowi transpozycję regulacji z art. 8ab Dyrektywy 2018/822. W przypadku gdy schemat podatkowy transgraniczny został poprawnie przekazany właściwym organom w innym państwie członkowskim Unii Europejskiej na podstawie przepisów tego państwa implementującymi przepisy Dyrektywy 2018/822 pozostałe podmioty, które zostały wskazane informacji, przekazanej właściwym organom w innym państwie członkowskim są zwolnione z obowiązku przekazania Szefowi Krajowej Administracji Skarbowej informacji o tym schemacie podatkowym.</w:t>
      </w:r>
    </w:p>
    <w:p w:rsidR="00D62378" w:rsidRPr="009A3C86" w:rsidRDefault="00D62378" w:rsidP="00D62378">
      <w:pPr>
        <w:spacing w:before="120" w:after="24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Warto jednocześnie podkreślić, iż </w:t>
      </w:r>
      <w:r w:rsidR="00573F6C" w:rsidRPr="009A3C86">
        <w:rPr>
          <w:rFonts w:ascii="Times New Roman" w:eastAsiaTheme="minorEastAsia" w:hAnsi="Times New Roman" w:cs="Arial"/>
          <w:bCs/>
          <w:sz w:val="24"/>
          <w:szCs w:val="24"/>
          <w:lang w:eastAsia="pl-PL"/>
        </w:rPr>
        <w:t>z</w:t>
      </w:r>
      <w:r w:rsidRPr="009A3C86">
        <w:rPr>
          <w:rFonts w:ascii="Times New Roman" w:eastAsiaTheme="minorEastAsia" w:hAnsi="Times New Roman" w:cs="Arial"/>
          <w:bCs/>
          <w:sz w:val="24"/>
          <w:szCs w:val="24"/>
          <w:lang w:eastAsia="pl-PL"/>
        </w:rPr>
        <w:t xml:space="preserve"> obowiązku przekazania informacji o schemacie podatkowym </w:t>
      </w:r>
      <w:r w:rsidR="00573F6C" w:rsidRPr="009A3C86">
        <w:rPr>
          <w:rFonts w:ascii="Times New Roman" w:eastAsiaTheme="minorEastAsia" w:hAnsi="Times New Roman" w:cs="Arial"/>
          <w:bCs/>
          <w:sz w:val="24"/>
          <w:szCs w:val="24"/>
          <w:lang w:eastAsia="pl-PL"/>
        </w:rPr>
        <w:t xml:space="preserve">nie zwalnia </w:t>
      </w:r>
      <w:r w:rsidRPr="009A3C86">
        <w:rPr>
          <w:rFonts w:ascii="Times New Roman" w:eastAsiaTheme="minorEastAsia" w:hAnsi="Times New Roman" w:cs="Arial"/>
          <w:bCs/>
          <w:sz w:val="24"/>
          <w:szCs w:val="24"/>
          <w:lang w:eastAsia="pl-PL"/>
        </w:rPr>
        <w:t xml:space="preserve">trwające postępowanie </w:t>
      </w:r>
      <w:r w:rsidR="00573F6C" w:rsidRPr="009A3C86">
        <w:rPr>
          <w:rFonts w:ascii="Times New Roman" w:eastAsiaTheme="minorEastAsia" w:hAnsi="Times New Roman" w:cs="Arial"/>
          <w:bCs/>
          <w:sz w:val="24"/>
          <w:szCs w:val="24"/>
          <w:lang w:eastAsia="pl-PL"/>
        </w:rPr>
        <w:t xml:space="preserve">dotyczące </w:t>
      </w:r>
      <w:r w:rsidR="00BA3382" w:rsidRPr="009A3C86">
        <w:rPr>
          <w:rFonts w:ascii="Times New Roman" w:eastAsiaTheme="minorEastAsia" w:hAnsi="Times New Roman" w:cs="Arial"/>
          <w:bCs/>
          <w:sz w:val="24"/>
          <w:szCs w:val="24"/>
          <w:lang w:eastAsia="pl-PL"/>
        </w:rPr>
        <w:t xml:space="preserve">uprzednich porozumień cenowych </w:t>
      </w:r>
      <w:r w:rsidRPr="009A3C86">
        <w:rPr>
          <w:rFonts w:ascii="Times New Roman" w:eastAsiaTheme="minorEastAsia" w:hAnsi="Times New Roman" w:cs="Arial"/>
          <w:bCs/>
          <w:sz w:val="24"/>
          <w:szCs w:val="24"/>
          <w:lang w:eastAsia="pl-PL"/>
        </w:rPr>
        <w:t xml:space="preserve">lub wydanie decyzji </w:t>
      </w:r>
      <w:r w:rsidR="00573F6C" w:rsidRPr="009A3C86">
        <w:rPr>
          <w:rFonts w:ascii="Times New Roman" w:eastAsiaTheme="minorEastAsia" w:hAnsi="Times New Roman" w:cs="Arial"/>
          <w:bCs/>
          <w:sz w:val="24"/>
          <w:szCs w:val="24"/>
          <w:lang w:eastAsia="pl-PL"/>
        </w:rPr>
        <w:t>w tej sprawie</w:t>
      </w:r>
      <w:r w:rsidRPr="009A3C86">
        <w:rPr>
          <w:rFonts w:ascii="Times New Roman" w:eastAsiaTheme="minorEastAsia" w:hAnsi="Times New Roman" w:cs="Arial"/>
          <w:bCs/>
          <w:sz w:val="24"/>
          <w:szCs w:val="24"/>
          <w:lang w:eastAsia="pl-PL"/>
        </w:rPr>
        <w:t xml:space="preserve">(art. </w:t>
      </w:r>
      <w:r w:rsidR="00573F6C" w:rsidRPr="009A3C86">
        <w:rPr>
          <w:rFonts w:ascii="Times New Roman" w:eastAsiaTheme="minorEastAsia" w:hAnsi="Times New Roman" w:cs="Arial"/>
          <w:bCs/>
          <w:sz w:val="24"/>
          <w:szCs w:val="24"/>
          <w:lang w:eastAsia="pl-PL"/>
        </w:rPr>
        <w:t xml:space="preserve">310 </w:t>
      </w:r>
      <w:r w:rsidRPr="009A3C86">
        <w:rPr>
          <w:rFonts w:ascii="Times New Roman" w:eastAsiaTheme="minorEastAsia" w:hAnsi="Times New Roman" w:cs="Arial"/>
          <w:bCs/>
          <w:sz w:val="24"/>
          <w:szCs w:val="24"/>
          <w:lang w:eastAsia="pl-PL"/>
        </w:rPr>
        <w:t>§</w:t>
      </w:r>
      <w:r w:rsidR="00310BA0"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3).</w:t>
      </w:r>
    </w:p>
    <w:p w:rsidR="00D62378" w:rsidRPr="009A3C86" w:rsidRDefault="00D62378" w:rsidP="00D62378">
      <w:pPr>
        <w:keepNext/>
        <w:keepLines/>
        <w:spacing w:before="40" w:after="0" w:line="360" w:lineRule="auto"/>
        <w:ind w:left="720"/>
        <w:jc w:val="both"/>
        <w:outlineLvl w:val="2"/>
        <w:rPr>
          <w:rFonts w:ascii="Times New Roman" w:eastAsiaTheme="majorEastAsia" w:hAnsi="Times New Roman" w:cstheme="majorBidi"/>
          <w:i/>
          <w:color w:val="000000" w:themeColor="text1"/>
          <w:sz w:val="24"/>
          <w:szCs w:val="24"/>
        </w:rPr>
      </w:pPr>
      <w:r w:rsidRPr="009A3C86">
        <w:rPr>
          <w:rFonts w:ascii="Times New Roman" w:eastAsiaTheme="majorEastAsia" w:hAnsi="Times New Roman" w:cstheme="majorBidi"/>
          <w:i/>
          <w:color w:val="000000" w:themeColor="text1"/>
          <w:sz w:val="24"/>
          <w:szCs w:val="24"/>
        </w:rPr>
        <w:t>Treść raportowanych informacji</w:t>
      </w:r>
      <w:r w:rsidRPr="009A3C86">
        <w:rPr>
          <w:rFonts w:ascii="Times New Roman" w:eastAsiaTheme="majorEastAsia" w:hAnsi="Times New Roman"/>
          <w:i/>
          <w:color w:val="000000" w:themeColor="text1"/>
          <w:sz w:val="24"/>
          <w:szCs w:val="24"/>
        </w:rPr>
        <w:t>.</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
          <w:bCs/>
          <w:sz w:val="24"/>
          <w:szCs w:val="24"/>
          <w:lang w:eastAsia="pl-PL"/>
        </w:rPr>
        <w:t>Zakres przekazywanych informacji o schemacie podatkowym</w:t>
      </w:r>
      <w:r w:rsidRPr="009A3C86">
        <w:rPr>
          <w:rFonts w:ascii="Times New Roman" w:eastAsiaTheme="minorEastAsia" w:hAnsi="Times New Roman" w:cs="Arial"/>
          <w:bCs/>
          <w:sz w:val="24"/>
          <w:szCs w:val="24"/>
          <w:lang w:eastAsia="pl-PL"/>
        </w:rPr>
        <w:t xml:space="preserve"> określono w projektowanym art. </w:t>
      </w:r>
      <w:r w:rsidR="005046C5" w:rsidRPr="009A3C86">
        <w:rPr>
          <w:rFonts w:ascii="Times New Roman" w:eastAsiaTheme="minorEastAsia" w:hAnsi="Times New Roman" w:cs="Arial"/>
          <w:b/>
          <w:bCs/>
          <w:sz w:val="24"/>
          <w:szCs w:val="24"/>
          <w:lang w:eastAsia="pl-PL"/>
        </w:rPr>
        <w:t>311</w:t>
      </w:r>
      <w:r w:rsidR="00573F6C" w:rsidRPr="009A3C86">
        <w:rPr>
          <w:rFonts w:ascii="Times New Roman" w:eastAsiaTheme="minorEastAsia" w:hAnsi="Times New Roman" w:cs="Arial"/>
          <w:bCs/>
          <w:sz w:val="24"/>
          <w:szCs w:val="24"/>
          <w:lang w:eastAsia="pl-PL"/>
        </w:rPr>
        <w:t xml:space="preserve"> </w:t>
      </w:r>
      <w:r w:rsidRPr="009A3C86">
        <w:rPr>
          <w:rFonts w:ascii="Times New Roman" w:eastAsiaTheme="minorEastAsia" w:hAnsi="Times New Roman" w:cs="Arial"/>
          <w:bCs/>
          <w:sz w:val="24"/>
          <w:szCs w:val="24"/>
          <w:lang w:eastAsia="pl-PL"/>
        </w:rPr>
        <w:t xml:space="preserve">Ordynacji podatkowej. Paragraf pierwszy tego przepisu określa wszystkie dane, które powinna zawierać przekazywana informacja o schemacie podatkowym. </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W paragrafie drugim tego artykułu wyodrębniono informacje, jakie są przekazywane w przypadku standaryzowanego schematu podatkowego.</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Informacja o schemacie podatkowym innym niż schemat podatkowy standaryzowany zawiera następujące dane:</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dane identyfikujące </w:t>
      </w:r>
      <w:r w:rsidRPr="009A3C86">
        <w:rPr>
          <w:rFonts w:ascii="Times" w:eastAsiaTheme="minorEastAsia" w:hAnsi="Times" w:cs="Arial"/>
          <w:bCs/>
          <w:sz w:val="24"/>
          <w:szCs w:val="24"/>
          <w:lang w:eastAsia="pl-PL"/>
        </w:rPr>
        <w:t>przekazującego informację oraz korzystającego, któremu udostępniony został schemat podatkowy</w:t>
      </w:r>
      <w:r w:rsidRPr="009A3C86">
        <w:rPr>
          <w:rFonts w:ascii="Times New Roman" w:eastAsiaTheme="minorEastAsia" w:hAnsi="Times New Roman" w:cs="Arial"/>
          <w:bCs/>
          <w:sz w:val="24"/>
          <w:szCs w:val="24"/>
          <w:lang w:eastAsia="pl-PL"/>
        </w:rPr>
        <w:t>, w tym informacje dotyczące firmy lub imię i nazwisko, datę i miejsca urodzenia, identyfikator podatkowy NIP, miejsce zamieszkania, siedziby lub zarządu, a w przypadku osoby niemającej na terytorium Rzeczypospolitej Polskiej miejsca zamieszkania lub podmiotu niemającego na terytorium Rzeczypospolitej Polskiej siedziby lub zarządu – numer i serię paszportu lub innego dokumentu potwierdzającego tożsamość, lub inny numer identyfikacyjny, o ile nie posiada identyfikatora podatkowego oraz, w przypadkach gdy uzgodnienie dotyczy osób będących podmiotami powiązanymi z promotorem lub korzystającym.:</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podstawę prawną przekazywania informacji o schematach podatkowych wraz ze wskazaniem przesłanek skutkujących uznaniem danego uzgodnienia za schemat podatkowy, w tym wskazaniem cechy rozpoznawczej oraz roli przekazującego tę informację;</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wskazanie czy przekazywana informacja o schemacie podatkowym dotyczy schematu podatkowego standaryzowanego lub schematu podatkowego transgranicznego;</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streszczenie opisu uzgodnienia stanowiącego schemat podatkowy, nazwę uzgodnienia jeśli posiada, opis działalności gospodarczej do której ma zastosowanie schemat podatkowy bez ujawnienia danych objętych tajemnicą handlową, przemysłową, zawodową lub procesu produkcyjnego;</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wyczerpujący, według wiedzy przekazującego informację, opis uzgodnienia stanowiącego schemat podatkowy, wraz ze wskazaniem wartości przedmiotów tych czynności, założeń uzgodnienia, czynności dokonywanych w ramach uzgodnienia i ich chronologii oraz występujących powiązań pomiędzy podmiotami powiązanymi;</w:t>
      </w:r>
    </w:p>
    <w:p w:rsidR="00D62378" w:rsidRPr="009A3C86" w:rsidRDefault="00D62378" w:rsidP="005046C5">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wskazanie znanych przekazującemu informację celów, których realizacji </w:t>
      </w:r>
      <w:r w:rsidR="005046C5" w:rsidRPr="009A3C86">
        <w:rPr>
          <w:rFonts w:ascii="Times New Roman" w:eastAsiaTheme="minorEastAsia" w:hAnsi="Times New Roman" w:cs="Arial"/>
          <w:bCs/>
          <w:sz w:val="24"/>
          <w:szCs w:val="24"/>
          <w:lang w:eastAsia="pl-PL"/>
        </w:rPr>
        <w:t xml:space="preserve">ma służyć </w:t>
      </w:r>
      <w:r w:rsidRPr="009A3C86">
        <w:rPr>
          <w:rFonts w:ascii="Times New Roman" w:eastAsiaTheme="minorEastAsia" w:hAnsi="Times New Roman" w:cs="Arial"/>
          <w:bCs/>
          <w:sz w:val="24"/>
          <w:szCs w:val="24"/>
          <w:lang w:eastAsia="pl-PL"/>
        </w:rPr>
        <w:t>schemat podatkowy;</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przepisy prawa podatkowego znajdujące, według wiedzy przekazującego informację, zastosowanie w schemacie podatkowym;</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lastRenderedPageBreak/>
        <w:t>szacunkową wartość korzyści podatkowej lub przybliżoną wartość aktywa w podatku odroczonym, jeśli występują i są znane lub możliwe do oszacowania przekazującemu informację;</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wskazanie dokonanych czynności, które skutkowały przekazaniem informacji o schemacie podatkowym, wraz z datami ich dokonania;</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wskazanie etapu, na jakim zgodnie z wiedzą przekazującego informację</w:t>
      </w:r>
      <w:r w:rsidR="005046C5" w:rsidRPr="009A3C86">
        <w:rPr>
          <w:rFonts w:ascii="Times New Roman" w:eastAsiaTheme="minorEastAsia" w:hAnsi="Times New Roman" w:cs="Arial"/>
          <w:bCs/>
          <w:sz w:val="24"/>
          <w:szCs w:val="24"/>
          <w:lang w:eastAsia="pl-PL"/>
        </w:rPr>
        <w:t>,</w:t>
      </w:r>
      <w:r w:rsidRPr="009A3C86">
        <w:rPr>
          <w:rFonts w:ascii="Times New Roman" w:eastAsiaTheme="minorEastAsia" w:hAnsi="Times New Roman" w:cs="Arial"/>
          <w:bCs/>
          <w:sz w:val="24"/>
          <w:szCs w:val="24"/>
          <w:lang w:eastAsia="pl-PL"/>
        </w:rPr>
        <w:t xml:space="preserve"> znajduje się schemat podatkowy, w szczególności informacji o terminach jego udostępniania lub wdrażania lub o dacie czynności w ramach uzgodnienia;</w:t>
      </w:r>
    </w:p>
    <w:p w:rsidR="00D62378" w:rsidRPr="009A3C86" w:rsidRDefault="00D62378" w:rsidP="005046C5">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wskazanie znanych przekazującemu informację danych identyfikujących, o których mowa w pkt 1 dla podmiotów uczestniczących, mających uczestniczyć w schemacie podatkowym lub których może dotyczyć schemat podatkowy oraz państw i terytoriów, w których podmioty te </w:t>
      </w:r>
      <w:r w:rsidR="005046C5" w:rsidRPr="009A3C86">
        <w:rPr>
          <w:rFonts w:ascii="Times New Roman" w:eastAsiaTheme="minorEastAsia" w:hAnsi="Times New Roman" w:cs="Arial"/>
          <w:bCs/>
          <w:sz w:val="24"/>
          <w:szCs w:val="24"/>
          <w:lang w:eastAsia="pl-PL"/>
        </w:rPr>
        <w:t xml:space="preserve">mają </w:t>
      </w:r>
      <w:r w:rsidRPr="009A3C86">
        <w:rPr>
          <w:rFonts w:ascii="Times New Roman" w:eastAsiaTheme="minorEastAsia" w:hAnsi="Times New Roman" w:cs="Arial"/>
          <w:bCs/>
          <w:sz w:val="24"/>
          <w:szCs w:val="24"/>
          <w:lang w:eastAsia="pl-PL"/>
        </w:rPr>
        <w:t>miejsce zamieszkania, siedzibę lub zarząd</w:t>
      </w:r>
      <w:r w:rsidR="005046C5" w:rsidRPr="009A3C86">
        <w:rPr>
          <w:rFonts w:ascii="Times New Roman" w:eastAsiaTheme="minorEastAsia" w:hAnsi="Times New Roman" w:cs="Arial"/>
          <w:bCs/>
          <w:sz w:val="24"/>
          <w:szCs w:val="24"/>
          <w:lang w:eastAsia="pl-PL"/>
        </w:rPr>
        <w:t>, lub państw i terytoriów, których schemat ten może dotyczyć</w:t>
      </w:r>
      <w:r w:rsidRPr="009A3C86">
        <w:rPr>
          <w:rFonts w:ascii="Times New Roman" w:eastAsiaTheme="minorEastAsia" w:hAnsi="Times New Roman" w:cs="Arial"/>
          <w:bCs/>
          <w:sz w:val="24"/>
          <w:szCs w:val="24"/>
          <w:lang w:eastAsia="pl-PL"/>
        </w:rPr>
        <w:t>;</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wskazanie innych znanych podmiotów obowiązanych do przekazania informacji o schemacie podatkowym, jeśli występują;</w:t>
      </w:r>
    </w:p>
    <w:p w:rsidR="00D62378" w:rsidRPr="009A3C86" w:rsidRDefault="00D62378" w:rsidP="00D62378">
      <w:pPr>
        <w:numPr>
          <w:ilvl w:val="0"/>
          <w:numId w:val="51"/>
        </w:num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adres elektroniczny, na który ma zostać doręczone potwierdzenie nadania NSP, o którym mowa w art. </w:t>
      </w:r>
      <w:r w:rsidR="005046C5" w:rsidRPr="009A3C86">
        <w:rPr>
          <w:rFonts w:ascii="Times New Roman" w:eastAsiaTheme="minorEastAsia" w:hAnsi="Times New Roman" w:cs="Arial"/>
          <w:bCs/>
          <w:sz w:val="24"/>
          <w:szCs w:val="24"/>
          <w:lang w:eastAsia="pl-PL"/>
        </w:rPr>
        <w:t xml:space="preserve">312 </w:t>
      </w:r>
      <w:r w:rsidRPr="009A3C86">
        <w:rPr>
          <w:rFonts w:ascii="Times New Roman" w:eastAsiaTheme="minorEastAsia" w:hAnsi="Times New Roman" w:cs="Arial"/>
          <w:bCs/>
          <w:sz w:val="24"/>
          <w:szCs w:val="24"/>
          <w:lang w:eastAsia="pl-PL"/>
        </w:rPr>
        <w:t xml:space="preserve">§ 2; wskazanie </w:t>
      </w:r>
      <w:r w:rsidR="005046C5" w:rsidRPr="009A3C86">
        <w:rPr>
          <w:rFonts w:ascii="Times New Roman" w:eastAsiaTheme="minorEastAsia" w:hAnsi="Times New Roman" w:cs="Arial"/>
          <w:bCs/>
          <w:sz w:val="24"/>
          <w:szCs w:val="24"/>
          <w:lang w:eastAsia="pl-PL"/>
        </w:rPr>
        <w:t xml:space="preserve">tego </w:t>
      </w:r>
      <w:r w:rsidRPr="009A3C86">
        <w:rPr>
          <w:rFonts w:ascii="Times New Roman" w:eastAsiaTheme="minorEastAsia" w:hAnsi="Times New Roman" w:cs="Arial"/>
          <w:bCs/>
          <w:sz w:val="24"/>
          <w:szCs w:val="24"/>
          <w:lang w:eastAsia="pl-PL"/>
        </w:rPr>
        <w:t>adresu traktuje się na równi z wyrażeniem zgody na doręczanie potwierdzenia nadania NSP wyłącznie za pomocą środków komunikacji elektronicznej.</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W przypadku schematu podatkowego standaryzowanego informacja o schemacie podatkowym nie zawiera danych identyfikujących korzystającego, któremu udostępniony został schemat podatkowy oraz informacji znanych przekazującemu dotyczących danych identyfikujących podmioty uczestniczące, mające uczestniczyć w schemacie podatkowym lub których może dotyczyć schemat podatkowy oraz państw i terytoriów, w których podmioty te posiadają miejsce zamieszkania, siedzibę lub zarząd oraz danych dotyczących innych znanych podmiotów obowiązanych do przekazania informacji o schemacie podatkowym, jeśli występują. </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New Roman" w:eastAsiaTheme="minorEastAsia" w:hAnsi="Times New Roman" w:cs="Arial"/>
          <w:bCs/>
          <w:sz w:val="24"/>
          <w:szCs w:val="24"/>
          <w:lang w:eastAsia="pl-PL"/>
        </w:rPr>
        <w:t xml:space="preserve">Jak już wskazywano, analiza praktyki wskazuje na funkcjonowanie w obrocie pewnych utartych, wielokrotnie implementowanych rozwiązań, mających na celu osiągnięcie korzyści podatkowych. Przemawia to z jednej strony za ograniczeniem możliwości nieprzekazywania informacji o tych schematach przez podmioty, które je wymyśliły (promotorów), z drugiej za ograniczeniem przypadków wielokrotnego przekazywania informacji o tym samym schemacie </w:t>
      </w:r>
      <w:r w:rsidRPr="009A3C86">
        <w:rPr>
          <w:rFonts w:ascii="Times New Roman" w:eastAsiaTheme="minorEastAsia" w:hAnsi="Times New Roman" w:cs="Arial"/>
          <w:bCs/>
          <w:sz w:val="24"/>
          <w:szCs w:val="24"/>
          <w:lang w:eastAsia="pl-PL"/>
        </w:rPr>
        <w:lastRenderedPageBreak/>
        <w:t>podatkowym. Cel ten realizowany jest poprzez ustawowe wyodrębnienie standaryzowanego schematu podatkowego. Zakres informacji przekazywanych do Szefa KAS zmierza do</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dostarczenia administracji skarbowej wiedzy o samym mechanizmie funkcjonowania tego schematu bez obowiązku przekazywania danych pozwalających na identyfikację korzystających. Schemat standaryzowany opracowywany jest w oderwaniu od relacji z</w:t>
      </w:r>
      <w:r w:rsidRPr="009A3C86">
        <w:rPr>
          <w:rFonts w:ascii="Times New Roman" w:eastAsiaTheme="minorEastAsia" w:hAnsi="Times New Roman"/>
          <w:bCs/>
          <w:sz w:val="24"/>
          <w:szCs w:val="24"/>
          <w:lang w:eastAsia="pl-PL"/>
        </w:rPr>
        <w:t> </w:t>
      </w:r>
      <w:r w:rsidRPr="009A3C86">
        <w:rPr>
          <w:rFonts w:ascii="Times New Roman" w:eastAsiaTheme="minorEastAsia" w:hAnsi="Times New Roman" w:cs="Arial"/>
          <w:bCs/>
          <w:sz w:val="24"/>
          <w:szCs w:val="24"/>
          <w:lang w:eastAsia="pl-PL"/>
        </w:rPr>
        <w:t xml:space="preserve">konkretnym klientem oraz przed udostępnieniem przez niego jakichkolwiek informacji objętych tajemnicą zawodową, schemat ten jest opracowaniem teoretycznym oraz abstrakcyjnym, który może zostać implementowany u klienta w określonych stanach faktycznych. </w:t>
      </w:r>
    </w:p>
    <w:p w:rsidR="00D62378" w:rsidRPr="009A3C86" w:rsidRDefault="00D62378" w:rsidP="00D62378">
      <w:pPr>
        <w:spacing w:before="120" w:after="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Jeśli promotor lub wspomagający nie jest zobowiązany do zachowania prawnie chronionej tajemnicy zawodowej lub został zwolniony z obowiązku jej zachowania, </w:t>
      </w:r>
      <w:r w:rsidRPr="009A3C86">
        <w:rPr>
          <w:rFonts w:ascii="Times New Roman" w:eastAsiaTheme="minorHAnsi" w:hAnsi="Times New Roman"/>
          <w:bCs/>
          <w:sz w:val="24"/>
          <w:szCs w:val="24"/>
        </w:rPr>
        <w:t>łącznie</w:t>
      </w:r>
      <w:r w:rsidRPr="009A3C86">
        <w:rPr>
          <w:rFonts w:ascii="Times New Roman" w:eastAsiaTheme="minorHAnsi" w:hAnsi="Times New Roman"/>
          <w:sz w:val="24"/>
          <w:szCs w:val="24"/>
        </w:rPr>
        <w:t xml:space="preserve"> z informacją o schemacie podatkowym standaryzowanym, przekazuje dane identyfikujące korzystającego, który jest lub był pierwszym podmiotem, któremu udostępnił ten schemat podatkowy, oraz informacje, o których mowa w ww. pkt 11 i 12.</w:t>
      </w:r>
    </w:p>
    <w:p w:rsidR="00D62378" w:rsidRPr="009A3C86" w:rsidRDefault="00D62378" w:rsidP="00D62378">
      <w:pPr>
        <w:spacing w:before="120" w:after="16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Projekt ustawy nakłada również obowiązek przekazywania w terminie do 30 dni po zakończeniu kwartału promotor lub wspomagający przekazuje Szefowi Krajowej Administracji Skarbowej informację, zawierającą dane identyfikujące korzystającego, któremu w trakcie tego kwartału udostępnił schemat podatkowy standaryzowany, wskazując numer tego schematu. W sytuacji, w której przekazanie danych, o których mowa w zdaniu pierwszym, naruszałoby obowiązek zachowania prawnie chronionej tajemnicy zawodowej, obowiązek ich przekazania nie obejmuje danych korzystającego, który nie zwolnił promotora lub wspomagającego z obowiązku zachowania tajemnicy w tym zakresie. </w:t>
      </w:r>
    </w:p>
    <w:p w:rsidR="00D62378" w:rsidRPr="009A3C86" w:rsidRDefault="00D62378" w:rsidP="00D62378">
      <w:pPr>
        <w:keepNext/>
        <w:keepLines/>
        <w:spacing w:before="40" w:after="0" w:line="360" w:lineRule="auto"/>
        <w:ind w:left="720"/>
        <w:jc w:val="both"/>
        <w:outlineLvl w:val="2"/>
        <w:rPr>
          <w:rFonts w:ascii="Times New Roman" w:eastAsiaTheme="majorEastAsia" w:hAnsi="Times New Roman" w:cstheme="majorBidi"/>
          <w:i/>
          <w:color w:val="000000" w:themeColor="text1"/>
          <w:sz w:val="24"/>
          <w:szCs w:val="24"/>
        </w:rPr>
      </w:pPr>
      <w:r w:rsidRPr="009A3C86">
        <w:rPr>
          <w:rFonts w:ascii="Times New Roman" w:eastAsiaTheme="majorEastAsia" w:hAnsi="Times New Roman" w:cstheme="majorBidi"/>
          <w:i/>
          <w:color w:val="000000" w:themeColor="text1"/>
          <w:sz w:val="24"/>
          <w:szCs w:val="24"/>
        </w:rPr>
        <w:t>Sposób raportowania. Nadawanie NSP. Decyzje o odmowie nadania NSP</w:t>
      </w:r>
    </w:p>
    <w:p w:rsidR="00D62378" w:rsidRPr="009A3C86" w:rsidRDefault="00D62378" w:rsidP="00D62378">
      <w:pPr>
        <w:spacing w:before="120" w:after="0" w:line="360" w:lineRule="auto"/>
        <w:jc w:val="both"/>
        <w:rPr>
          <w:rFonts w:ascii="Times New Roman" w:eastAsiaTheme="minorEastAsia" w:hAnsi="Times New Roman" w:cs="Arial"/>
          <w:bCs/>
          <w:sz w:val="24"/>
          <w:szCs w:val="24"/>
          <w:lang w:eastAsia="pl-PL"/>
        </w:rPr>
      </w:pPr>
      <w:r w:rsidRPr="009A3C86">
        <w:rPr>
          <w:rFonts w:ascii="Times" w:eastAsiaTheme="minorEastAsia" w:hAnsi="Times" w:cs="Arial"/>
          <w:bCs/>
          <w:sz w:val="24"/>
          <w:szCs w:val="24"/>
          <w:lang w:eastAsia="pl-PL"/>
        </w:rPr>
        <w:t xml:space="preserve"> Informacja o schemacie podatkowym przekazywana jest drogą elektroniczną do Szefa Krajowej Administracji Skarbowej</w:t>
      </w:r>
      <w:r w:rsidRPr="009A3C86">
        <w:rPr>
          <w:rFonts w:ascii="Times New Roman" w:eastAsiaTheme="minorEastAsia" w:hAnsi="Times New Roman" w:cs="Arial"/>
          <w:bCs/>
          <w:sz w:val="24"/>
          <w:szCs w:val="24"/>
          <w:lang w:eastAsia="pl-PL"/>
        </w:rPr>
        <w:t xml:space="preserve"> (art.</w:t>
      </w:r>
      <w:r w:rsidR="00F106FA" w:rsidRPr="009A3C86">
        <w:rPr>
          <w:rFonts w:ascii="Times New Roman" w:eastAsiaTheme="minorEastAsia" w:hAnsi="Times New Roman" w:cs="Arial"/>
          <w:bCs/>
          <w:sz w:val="24"/>
          <w:szCs w:val="24"/>
          <w:lang w:eastAsia="pl-PL"/>
        </w:rPr>
        <w:t xml:space="preserve"> </w:t>
      </w:r>
      <w:r w:rsidR="00CE6458" w:rsidRPr="009A3C86">
        <w:rPr>
          <w:rFonts w:ascii="Times New Roman" w:eastAsiaTheme="minorEastAsia" w:hAnsi="Times New Roman" w:cs="Arial"/>
          <w:b/>
          <w:bCs/>
          <w:sz w:val="24"/>
          <w:szCs w:val="24"/>
          <w:lang w:eastAsia="pl-PL"/>
        </w:rPr>
        <w:t>312 § 1</w:t>
      </w:r>
      <w:r w:rsidRPr="009A3C86">
        <w:rPr>
          <w:rFonts w:ascii="Times New Roman" w:eastAsiaTheme="minorEastAsia" w:hAnsi="Times New Roman" w:cs="Arial"/>
          <w:bCs/>
          <w:sz w:val="24"/>
          <w:szCs w:val="24"/>
          <w:lang w:eastAsia="pl-PL"/>
        </w:rPr>
        <w:t xml:space="preserve"> Ordynacji podatkowej).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Szef Krajowej Administracji Skarbowej nadaje NSP i potwierdza jego nadanie, które zawiera NSP oraz dane zawarte w informacji o schemacie podatkowym przekazanej do Szefa Krajowej Administracji Skarbowej. Potwierdzenie nadania NSP jest wydawane niezwłocznie, nie później niż w terminie 7 dni od dnia wpływu poprawnej informacji o schemacie podatkowym do Szefa Krajowej Administracji Skarbowej (art. </w:t>
      </w:r>
      <w:r w:rsidR="00CE6458" w:rsidRPr="009A3C86">
        <w:rPr>
          <w:rFonts w:ascii="Times New Roman" w:eastAsiaTheme="minorEastAsia" w:hAnsi="Times New Roman" w:cs="Arial"/>
          <w:b/>
          <w:sz w:val="24"/>
          <w:szCs w:val="24"/>
          <w:lang w:eastAsia="pl-PL"/>
        </w:rPr>
        <w:t xml:space="preserve">312 </w:t>
      </w:r>
      <w:r w:rsidR="00CE6458" w:rsidRPr="009A3C86">
        <w:rPr>
          <w:rFonts w:ascii="Times New Roman" w:eastAsiaTheme="minorEastAsia" w:hAnsi="Times New Roman"/>
          <w:b/>
          <w:sz w:val="24"/>
          <w:szCs w:val="24"/>
          <w:lang w:eastAsia="pl-PL"/>
        </w:rPr>
        <w:t>§</w:t>
      </w:r>
      <w:r w:rsidR="00CE6458" w:rsidRPr="009A3C86">
        <w:rPr>
          <w:rFonts w:ascii="Times New Roman" w:eastAsiaTheme="minorEastAsia" w:hAnsi="Times New Roman" w:cs="Arial"/>
          <w:b/>
          <w:sz w:val="24"/>
          <w:szCs w:val="24"/>
          <w:lang w:eastAsia="pl-PL"/>
        </w:rPr>
        <w:t xml:space="preserve"> 2 i 3</w:t>
      </w:r>
      <w:r w:rsidRPr="009A3C86">
        <w:rPr>
          <w:rFonts w:ascii="Times New Roman" w:eastAsiaTheme="minorEastAsia" w:hAnsi="Times New Roman" w:cs="Arial"/>
          <w:sz w:val="24"/>
          <w:szCs w:val="24"/>
          <w:lang w:eastAsia="pl-PL"/>
        </w:rPr>
        <w:t xml:space="preserv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Szef KAS doręcza potwierdzenie nadania NSP drogą elektroniczną na adres wskazany przez przekazującego w informacji o schemacie podatkowym (art. </w:t>
      </w:r>
      <w:r w:rsidR="00CE6458" w:rsidRPr="009A3C86">
        <w:rPr>
          <w:rFonts w:ascii="Times New Roman" w:eastAsiaTheme="minorEastAsia" w:hAnsi="Times New Roman" w:cs="Arial"/>
          <w:b/>
          <w:sz w:val="24"/>
          <w:szCs w:val="24"/>
          <w:lang w:eastAsia="pl-PL"/>
        </w:rPr>
        <w:t xml:space="preserve">312 </w:t>
      </w:r>
      <w:r w:rsidR="00CE6458" w:rsidRPr="009A3C86">
        <w:rPr>
          <w:rFonts w:ascii="Times New Roman" w:eastAsiaTheme="minorEastAsia" w:hAnsi="Times New Roman"/>
          <w:b/>
          <w:sz w:val="24"/>
          <w:szCs w:val="24"/>
          <w:lang w:eastAsia="pl-PL"/>
        </w:rPr>
        <w:t>§</w:t>
      </w:r>
      <w:r w:rsidR="00F106FA" w:rsidRPr="009A3C86">
        <w:rPr>
          <w:rFonts w:ascii="Times New Roman" w:eastAsiaTheme="minorEastAsia" w:hAnsi="Times New Roman"/>
          <w:b/>
          <w:sz w:val="24"/>
          <w:szCs w:val="24"/>
          <w:lang w:eastAsia="pl-PL"/>
        </w:rPr>
        <w:t xml:space="preserve"> </w:t>
      </w:r>
      <w:r w:rsidR="00CE6458" w:rsidRPr="009A3C86">
        <w:rPr>
          <w:rFonts w:ascii="Times New Roman" w:eastAsiaTheme="minorEastAsia" w:hAnsi="Times New Roman" w:cs="Arial"/>
          <w:b/>
          <w:sz w:val="24"/>
          <w:szCs w:val="24"/>
          <w:lang w:eastAsia="pl-PL"/>
        </w:rPr>
        <w:t>4</w:t>
      </w:r>
      <w:r w:rsidRPr="009A3C86">
        <w:rPr>
          <w:rFonts w:ascii="Times New Roman" w:eastAsiaTheme="minorEastAsia" w:hAnsi="Times New Roman" w:cs="Arial"/>
          <w:sz w:val="24"/>
          <w:szCs w:val="24"/>
          <w:lang w:eastAsia="pl-PL"/>
        </w:rPr>
        <w:t xml:space="preserv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lastRenderedPageBreak/>
        <w:t xml:space="preserve">Szef KAS będzie mógł zwrócić się do przekazującego informację, o których mowa w </w:t>
      </w:r>
      <w:r w:rsidR="005046C5" w:rsidRPr="009A3C86">
        <w:rPr>
          <w:rFonts w:ascii="Times New Roman" w:eastAsiaTheme="minorEastAsia" w:hAnsi="Times New Roman" w:cs="Arial"/>
          <w:sz w:val="24"/>
          <w:szCs w:val="24"/>
          <w:lang w:eastAsia="pl-PL"/>
        </w:rPr>
        <w:t>tym</w:t>
      </w:r>
      <w:r w:rsidR="00F106FA" w:rsidRPr="009A3C86">
        <w:rPr>
          <w:rFonts w:ascii="Times New Roman" w:eastAsiaTheme="minorEastAsia" w:hAnsi="Times New Roman" w:cs="Arial"/>
          <w:sz w:val="24"/>
          <w:szCs w:val="24"/>
          <w:lang w:eastAsia="pl-PL"/>
        </w:rPr>
        <w:t xml:space="preserve"> </w:t>
      </w:r>
      <w:r w:rsidRPr="009A3C86">
        <w:rPr>
          <w:rFonts w:ascii="Times New Roman" w:eastAsiaTheme="minorEastAsia" w:hAnsi="Times New Roman" w:cs="Arial"/>
          <w:sz w:val="24"/>
          <w:szCs w:val="24"/>
          <w:lang w:eastAsia="pl-PL"/>
        </w:rPr>
        <w:t xml:space="preserve">rozdziale o uzupełnienie informacji lub wyjaśnienie wątpliwości co do ich treści (art. </w:t>
      </w:r>
      <w:r w:rsidR="00CE6458" w:rsidRPr="009A3C86">
        <w:rPr>
          <w:rFonts w:ascii="Times New Roman" w:eastAsiaTheme="minorEastAsia" w:hAnsi="Times New Roman" w:cs="Arial"/>
          <w:b/>
          <w:sz w:val="24"/>
          <w:szCs w:val="24"/>
          <w:lang w:eastAsia="pl-PL"/>
        </w:rPr>
        <w:t>313</w:t>
      </w:r>
      <w:r w:rsidR="00F106FA" w:rsidRPr="009A3C86">
        <w:rPr>
          <w:rFonts w:ascii="Times New Roman" w:eastAsiaTheme="minorEastAsia" w:hAnsi="Times New Roman" w:cs="Arial"/>
          <w:b/>
          <w:sz w:val="24"/>
          <w:szCs w:val="24"/>
          <w:lang w:eastAsia="pl-PL"/>
        </w:rPr>
        <w:t xml:space="preserve"> </w:t>
      </w:r>
      <w:r w:rsidR="00CE6458" w:rsidRPr="009A3C86">
        <w:rPr>
          <w:rFonts w:ascii="Times New Roman" w:eastAsiaTheme="minorEastAsia" w:hAnsi="Times New Roman" w:cs="Arial"/>
          <w:b/>
          <w:sz w:val="24"/>
          <w:szCs w:val="24"/>
          <w:lang w:eastAsia="pl-PL"/>
        </w:rPr>
        <w:t>§ 1</w:t>
      </w:r>
      <w:r w:rsidRPr="009A3C86">
        <w:rPr>
          <w:rFonts w:ascii="Times New Roman" w:eastAsiaTheme="minorEastAsia" w:hAnsi="Times New Roman" w:cs="Arial"/>
          <w:sz w:val="24"/>
          <w:szCs w:val="24"/>
          <w:lang w:eastAsia="pl-PL"/>
        </w:rPr>
        <w:t xml:space="preserve"> Ordynacji podatkowej).</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Zakłada się, że Szef Krajowej Administracji Skarbowej wydaje postanowienie o odmowie nadania NSP w przypadku stwierdzenia, że przekazana informacja o schemacie podatkowym nie spełnia wymogów określonych dla tej informacji (art. </w:t>
      </w:r>
      <w:r w:rsidR="00CE6458" w:rsidRPr="009A3C86">
        <w:rPr>
          <w:rFonts w:ascii="Times New Roman" w:eastAsiaTheme="minorEastAsia" w:hAnsi="Times New Roman" w:cs="Arial"/>
          <w:b/>
          <w:sz w:val="24"/>
          <w:szCs w:val="24"/>
          <w:lang w:eastAsia="pl-PL"/>
        </w:rPr>
        <w:t>314 § 1</w:t>
      </w:r>
      <w:r w:rsidRPr="009A3C86">
        <w:rPr>
          <w:rFonts w:ascii="Times New Roman" w:eastAsiaTheme="minorEastAsia" w:hAnsi="Times New Roman" w:cs="Arial"/>
          <w:sz w:val="24"/>
          <w:szCs w:val="24"/>
          <w:lang w:eastAsia="pl-PL"/>
        </w:rPr>
        <w:t xml:space="preserve"> Ordynacji podatkowej).</w:t>
      </w:r>
    </w:p>
    <w:p w:rsidR="00D62378" w:rsidRPr="009A3C86" w:rsidRDefault="00D62378" w:rsidP="00D62378">
      <w:pPr>
        <w:suppressAutoHyphens/>
        <w:autoSpaceDE w:val="0"/>
        <w:autoSpaceDN w:val="0"/>
        <w:adjustRightInd w:val="0"/>
        <w:spacing w:before="120" w:after="0" w:line="360" w:lineRule="auto"/>
        <w:ind w:left="57"/>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W przypadku gdy temu samemu schematowi podatkowemu wielokrotnie nadano numer NSP lub numer ten został nadany na podstawie fałszywych lub fikcyjnych danych, projekt w art. </w:t>
      </w:r>
      <w:r w:rsidR="00CE6458" w:rsidRPr="009A3C86">
        <w:rPr>
          <w:rFonts w:ascii="Times New Roman" w:eastAsiaTheme="minorEastAsia" w:hAnsi="Times New Roman" w:cs="Arial"/>
          <w:b/>
          <w:sz w:val="24"/>
          <w:szCs w:val="24"/>
          <w:lang w:eastAsia="pl-PL"/>
        </w:rPr>
        <w:t>314 § 2</w:t>
      </w:r>
      <w:r w:rsidRPr="009A3C86">
        <w:rPr>
          <w:rFonts w:ascii="Times New Roman" w:eastAsiaTheme="minorEastAsia" w:hAnsi="Times New Roman" w:cs="Arial"/>
          <w:sz w:val="24"/>
          <w:szCs w:val="24"/>
          <w:lang w:eastAsia="pl-PL"/>
        </w:rPr>
        <w:t xml:space="preserve"> Ordynacji podatkowej nakłada na Szefa KAS obowiązek unieważnienia z urzędu numeru NSP nadanego schematowi podatkowemu. Unieważnienie następuje w drodze postanowienia, w oparciu o przepisy Ordynacji podatkowej. W sytuacji unieważnienia przez Szefa KAS NSP z powodu nadania wielokrotnie tego numeru takiemu samemu schematowi, w postanowieniu Szef KAS wskazywać będzie właściwy NSP dla danego schematu podatkowego.</w:t>
      </w:r>
    </w:p>
    <w:p w:rsidR="00D62378" w:rsidRPr="009A3C86" w:rsidRDefault="00D62378" w:rsidP="00D62378">
      <w:pPr>
        <w:suppressAutoHyphens/>
        <w:autoSpaceDE w:val="0"/>
        <w:autoSpaceDN w:val="0"/>
        <w:adjustRightInd w:val="0"/>
        <w:spacing w:before="120" w:after="0" w:line="360" w:lineRule="auto"/>
        <w:ind w:left="57"/>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Nie będzie można posługiwać się unieważnionym numerem NSP, a także unieważniony NSP nie będzie mógł zostać ponownie nadany (art. </w:t>
      </w:r>
      <w:r w:rsidR="00CE6458" w:rsidRPr="009A3C86">
        <w:rPr>
          <w:rFonts w:ascii="Times New Roman" w:eastAsiaTheme="minorEastAsia" w:hAnsi="Times New Roman" w:cs="Arial"/>
          <w:b/>
          <w:sz w:val="24"/>
          <w:szCs w:val="24"/>
          <w:lang w:eastAsia="pl-PL"/>
        </w:rPr>
        <w:t>314 § 4</w:t>
      </w:r>
      <w:r w:rsidRPr="009A3C86">
        <w:rPr>
          <w:rFonts w:ascii="Times New Roman" w:eastAsiaTheme="minorEastAsia" w:hAnsi="Times New Roman" w:cs="Arial"/>
          <w:sz w:val="24"/>
          <w:szCs w:val="24"/>
          <w:lang w:eastAsia="pl-PL"/>
        </w:rPr>
        <w:t xml:space="preserve"> Ordynacji podatkowej). Proponowane rozwiązanie zapobiegnie przypadkom dublowania się numerów NSP lub nadawania różnych numerów temu samemu schematowi podatkowemu.</w:t>
      </w:r>
    </w:p>
    <w:p w:rsidR="00D62378" w:rsidRPr="009A3C86" w:rsidRDefault="00D62378" w:rsidP="00D62378">
      <w:pPr>
        <w:suppressAutoHyphens/>
        <w:autoSpaceDE w:val="0"/>
        <w:autoSpaceDN w:val="0"/>
        <w:adjustRightInd w:val="0"/>
        <w:spacing w:before="120" w:after="0" w:line="360" w:lineRule="auto"/>
        <w:ind w:left="57"/>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Na postanowienie o odmowie nadania NSP oraz postanowienie o unieważnieniu NSP służy zażalenie.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Co ważne, w zakresie nieuregulowanym w odniesieniu do nadawania NSP, ale też zwracania się przez Szefa KAS o dodatkowe wyjaśnienia, czy też wydawania postanowień o odmowie nadania NSP zastosowanie znajdą odpowiednio przepisy art. </w:t>
      </w:r>
      <w:r w:rsidR="00310BA0" w:rsidRPr="009A3C86">
        <w:rPr>
          <w:rFonts w:ascii="Times New Roman" w:eastAsiaTheme="minorEastAsia" w:hAnsi="Times New Roman" w:cs="Arial"/>
          <w:sz w:val="24"/>
          <w:szCs w:val="24"/>
          <w:lang w:eastAsia="pl-PL"/>
        </w:rPr>
        <w:t>95</w:t>
      </w:r>
      <w:r w:rsidRPr="009A3C86">
        <w:rPr>
          <w:rFonts w:ascii="Times New Roman" w:eastAsiaTheme="minorEastAsia" w:hAnsi="Times New Roman" w:cs="Arial"/>
          <w:sz w:val="24"/>
          <w:szCs w:val="24"/>
          <w:lang w:eastAsia="pl-PL"/>
        </w:rPr>
        <w:t>-</w:t>
      </w:r>
      <w:r w:rsidR="00310BA0" w:rsidRPr="009A3C86">
        <w:rPr>
          <w:rFonts w:ascii="Times New Roman" w:eastAsiaTheme="minorEastAsia" w:hAnsi="Times New Roman" w:cs="Arial"/>
          <w:sz w:val="24"/>
          <w:szCs w:val="24"/>
          <w:lang w:eastAsia="pl-PL"/>
        </w:rPr>
        <w:t>97</w:t>
      </w:r>
      <w:r w:rsidRPr="009A3C86">
        <w:rPr>
          <w:rFonts w:ascii="Times New Roman" w:eastAsiaTheme="minorEastAsia" w:hAnsi="Times New Roman" w:cs="Arial"/>
          <w:sz w:val="24"/>
          <w:szCs w:val="24"/>
          <w:lang w:eastAsia="pl-PL"/>
        </w:rPr>
        <w:t xml:space="preserve">, art. </w:t>
      </w:r>
      <w:r w:rsidR="00E2647A" w:rsidRPr="009A3C86">
        <w:rPr>
          <w:rFonts w:ascii="Times New Roman" w:eastAsiaTheme="minorEastAsia" w:hAnsi="Times New Roman" w:cs="Arial"/>
          <w:sz w:val="24"/>
          <w:szCs w:val="24"/>
          <w:lang w:eastAsia="pl-PL"/>
        </w:rPr>
        <w:t>126</w:t>
      </w:r>
      <w:r w:rsidRPr="009A3C86">
        <w:rPr>
          <w:rFonts w:ascii="Times New Roman" w:eastAsiaTheme="minorEastAsia" w:hAnsi="Times New Roman" w:cs="Arial"/>
          <w:sz w:val="24"/>
          <w:szCs w:val="24"/>
          <w:lang w:eastAsia="pl-PL"/>
        </w:rPr>
        <w:t xml:space="preserve">, art. </w:t>
      </w:r>
      <w:r w:rsidR="00E2647A" w:rsidRPr="009A3C86">
        <w:rPr>
          <w:rFonts w:ascii="Times New Roman" w:eastAsiaTheme="minorEastAsia" w:hAnsi="Times New Roman" w:cs="Arial"/>
          <w:sz w:val="24"/>
          <w:szCs w:val="24"/>
          <w:lang w:eastAsia="pl-PL"/>
        </w:rPr>
        <w:t>326</w:t>
      </w:r>
      <w:r w:rsidRPr="009A3C86">
        <w:rPr>
          <w:rFonts w:ascii="Times New Roman" w:eastAsiaTheme="minorEastAsia" w:hAnsi="Times New Roman" w:cs="Arial"/>
          <w:sz w:val="24"/>
          <w:szCs w:val="24"/>
          <w:lang w:eastAsia="pl-PL"/>
        </w:rPr>
        <w:t xml:space="preserve">, art. </w:t>
      </w:r>
      <w:r w:rsidR="00E2647A" w:rsidRPr="009A3C86">
        <w:rPr>
          <w:rFonts w:ascii="Times New Roman" w:eastAsiaTheme="minorEastAsia" w:hAnsi="Times New Roman" w:cs="Arial"/>
          <w:sz w:val="24"/>
          <w:szCs w:val="24"/>
          <w:lang w:eastAsia="pl-PL"/>
        </w:rPr>
        <w:t xml:space="preserve">357 </w:t>
      </w:r>
      <w:r w:rsidRPr="009A3C86">
        <w:rPr>
          <w:rFonts w:ascii="Times New Roman" w:eastAsiaTheme="minorEastAsia" w:hAnsi="Times New Roman" w:cs="Arial"/>
          <w:sz w:val="24"/>
          <w:szCs w:val="24"/>
          <w:lang w:eastAsia="pl-PL"/>
        </w:rPr>
        <w:t xml:space="preserve">§ 4, art. </w:t>
      </w:r>
      <w:r w:rsidR="00E2647A" w:rsidRPr="009A3C86">
        <w:rPr>
          <w:rFonts w:ascii="Times New Roman" w:eastAsiaTheme="minorEastAsia" w:hAnsi="Times New Roman" w:cs="Arial"/>
          <w:sz w:val="24"/>
          <w:szCs w:val="24"/>
          <w:lang w:eastAsia="pl-PL"/>
        </w:rPr>
        <w:t>359</w:t>
      </w:r>
      <w:r w:rsidRPr="009A3C86">
        <w:rPr>
          <w:rFonts w:ascii="Times New Roman" w:eastAsiaTheme="minorEastAsia" w:hAnsi="Times New Roman" w:cs="Arial"/>
          <w:sz w:val="24"/>
          <w:szCs w:val="24"/>
          <w:lang w:eastAsia="pl-PL"/>
        </w:rPr>
        <w:t xml:space="preserve">, art. </w:t>
      </w:r>
      <w:r w:rsidR="00E2647A" w:rsidRPr="009A3C86">
        <w:rPr>
          <w:rFonts w:ascii="Times New Roman" w:eastAsiaTheme="minorEastAsia" w:hAnsi="Times New Roman" w:cs="Arial"/>
          <w:sz w:val="24"/>
          <w:szCs w:val="24"/>
          <w:lang w:eastAsia="pl-PL"/>
        </w:rPr>
        <w:t>368</w:t>
      </w:r>
      <w:r w:rsidRPr="009A3C86">
        <w:rPr>
          <w:rFonts w:ascii="Times New Roman" w:eastAsiaTheme="minorEastAsia" w:hAnsi="Times New Roman" w:cs="Arial"/>
          <w:sz w:val="24"/>
          <w:szCs w:val="24"/>
          <w:lang w:eastAsia="pl-PL"/>
        </w:rPr>
        <w:t xml:space="preserve">, art. </w:t>
      </w:r>
      <w:r w:rsidR="00E2647A" w:rsidRPr="009A3C86">
        <w:rPr>
          <w:rFonts w:ascii="Times New Roman" w:eastAsiaTheme="minorEastAsia" w:hAnsi="Times New Roman" w:cs="Arial"/>
          <w:sz w:val="24"/>
          <w:szCs w:val="24"/>
          <w:lang w:eastAsia="pl-PL"/>
        </w:rPr>
        <w:t>369</w:t>
      </w:r>
      <w:r w:rsidRPr="009A3C86">
        <w:rPr>
          <w:rFonts w:ascii="Times New Roman" w:eastAsiaTheme="minorEastAsia" w:hAnsi="Times New Roman" w:cs="Arial"/>
          <w:sz w:val="24"/>
          <w:szCs w:val="24"/>
          <w:lang w:eastAsia="pl-PL"/>
        </w:rPr>
        <w:t xml:space="preserve">, art. </w:t>
      </w:r>
      <w:r w:rsidR="00E2647A" w:rsidRPr="009A3C86">
        <w:rPr>
          <w:rFonts w:ascii="Times New Roman" w:eastAsiaTheme="minorEastAsia" w:hAnsi="Times New Roman" w:cs="Arial"/>
          <w:sz w:val="24"/>
          <w:szCs w:val="24"/>
          <w:lang w:eastAsia="pl-PL"/>
        </w:rPr>
        <w:t xml:space="preserve">384 </w:t>
      </w:r>
      <w:r w:rsidRPr="009A3C86">
        <w:rPr>
          <w:rFonts w:ascii="Times New Roman" w:eastAsiaTheme="minorEastAsia" w:hAnsi="Times New Roman" w:cs="Arial"/>
          <w:sz w:val="24"/>
          <w:szCs w:val="24"/>
          <w:lang w:eastAsia="pl-PL"/>
        </w:rPr>
        <w:t xml:space="preserve">§ 3, działu I rozdziału 7, działu III rozdziałów 3, 4, 15, 17 i 24 oraz działu IV rozdziału </w:t>
      </w:r>
      <w:r w:rsidR="00216D01" w:rsidRPr="009A3C86">
        <w:rPr>
          <w:rFonts w:ascii="Times New Roman" w:eastAsiaTheme="minorEastAsia" w:hAnsi="Times New Roman" w:cs="Arial"/>
          <w:sz w:val="24"/>
          <w:szCs w:val="24"/>
          <w:lang w:eastAsia="pl-PL"/>
        </w:rPr>
        <w:t>11</w:t>
      </w:r>
      <w:r w:rsidRPr="009A3C86" w:rsidDel="00B80718">
        <w:rPr>
          <w:rFonts w:ascii="Times New Roman" w:eastAsiaTheme="minorEastAsia" w:hAnsi="Times New Roman" w:cs="Arial"/>
          <w:sz w:val="24"/>
          <w:szCs w:val="24"/>
          <w:lang w:eastAsia="pl-PL"/>
        </w:rPr>
        <w:t xml:space="preserve"> </w:t>
      </w:r>
      <w:r w:rsidRPr="009A3C86">
        <w:rPr>
          <w:rFonts w:ascii="Times New Roman" w:eastAsiaTheme="minorEastAsia" w:hAnsi="Times New Roman" w:cs="Arial"/>
          <w:sz w:val="24"/>
          <w:szCs w:val="24"/>
          <w:lang w:eastAsia="pl-PL"/>
        </w:rPr>
        <w:t xml:space="preserve">(art. </w:t>
      </w:r>
      <w:r w:rsidR="00CE6458" w:rsidRPr="009A3C86">
        <w:rPr>
          <w:rFonts w:ascii="Times New Roman" w:eastAsiaTheme="minorEastAsia" w:hAnsi="Times New Roman" w:cs="Arial"/>
          <w:b/>
          <w:sz w:val="24"/>
          <w:szCs w:val="24"/>
          <w:lang w:eastAsia="pl-PL"/>
        </w:rPr>
        <w:t> 320</w:t>
      </w:r>
      <w:r w:rsidR="00E2647A" w:rsidRPr="009A3C86">
        <w:rPr>
          <w:rFonts w:ascii="Times New Roman" w:eastAsiaTheme="minorEastAsia" w:hAnsi="Times New Roman" w:cs="Arial"/>
          <w:sz w:val="24"/>
          <w:szCs w:val="24"/>
          <w:lang w:eastAsia="pl-PL"/>
        </w:rPr>
        <w:t xml:space="preserve"> </w:t>
      </w:r>
      <w:r w:rsidR="001E7B86" w:rsidRPr="009A3C86">
        <w:rPr>
          <w:rFonts w:ascii="Times New Roman" w:eastAsiaTheme="minorEastAsia" w:hAnsi="Times New Roman"/>
          <w:b/>
          <w:sz w:val="24"/>
          <w:szCs w:val="24"/>
          <w:lang w:eastAsia="pl-PL"/>
        </w:rPr>
        <w:t>§</w:t>
      </w:r>
      <w:r w:rsidR="001E7B86" w:rsidRPr="009A3C86">
        <w:rPr>
          <w:rFonts w:ascii="Times New Roman" w:eastAsiaTheme="minorEastAsia" w:hAnsi="Times New Roman" w:cs="Arial"/>
          <w:b/>
          <w:sz w:val="24"/>
          <w:szCs w:val="24"/>
          <w:lang w:eastAsia="pl-PL"/>
        </w:rPr>
        <w:t xml:space="preserve"> 2</w:t>
      </w:r>
      <w:r w:rsidR="001E7B86" w:rsidRPr="009A3C86">
        <w:rPr>
          <w:rFonts w:ascii="Times New Roman" w:eastAsiaTheme="minorEastAsia" w:hAnsi="Times New Roman" w:cs="Arial"/>
          <w:sz w:val="24"/>
          <w:szCs w:val="24"/>
          <w:lang w:eastAsia="pl-PL"/>
        </w:rPr>
        <w:t xml:space="preserve"> </w:t>
      </w:r>
      <w:r w:rsidRPr="009A3C86">
        <w:rPr>
          <w:rFonts w:ascii="Times New Roman" w:eastAsiaTheme="minorEastAsia" w:hAnsi="Times New Roman" w:cs="Arial"/>
          <w:sz w:val="24"/>
          <w:szCs w:val="24"/>
          <w:lang w:eastAsia="pl-PL"/>
        </w:rPr>
        <w:t xml:space="preserve">Ordynacji podatkowej). Ograniczenie w postaci stosowania tylko niektórych przepisów ustawy Ordynacji podatkowej, wynika z faktu, iż regulacje dotyczące systemu MDR są szczególnymi rozwiązaniami, w odniesieniu do których, regulacje, które mają zastosowania do „normalnego” postępowania podatkowego, siłą rzeczy nigdy nie znajdą zastosowania do systemu MDR.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i/>
          <w:sz w:val="24"/>
          <w:szCs w:val="24"/>
          <w:lang w:eastAsia="pl-PL"/>
        </w:rPr>
      </w:pPr>
      <w:r w:rsidRPr="009A3C86">
        <w:rPr>
          <w:rFonts w:ascii="Times New Roman" w:eastAsiaTheme="minorEastAsia" w:hAnsi="Times New Roman" w:cs="Arial"/>
          <w:i/>
          <w:sz w:val="24"/>
          <w:szCs w:val="24"/>
          <w:lang w:eastAsia="pl-PL"/>
        </w:rPr>
        <w:t>Obowiązki informacyjne promotora i korzystającego.</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Przepis art. </w:t>
      </w:r>
      <w:r w:rsidR="00CE6458" w:rsidRPr="009A3C86">
        <w:rPr>
          <w:rFonts w:ascii="Times New Roman" w:eastAsiaTheme="minorEastAsia" w:hAnsi="Times New Roman" w:cs="Arial"/>
          <w:b/>
          <w:sz w:val="24"/>
          <w:szCs w:val="24"/>
          <w:lang w:eastAsia="pl-PL"/>
        </w:rPr>
        <w:t>315</w:t>
      </w:r>
      <w:r w:rsidR="00BA3382" w:rsidRPr="009A3C86">
        <w:rPr>
          <w:rFonts w:ascii="Times New Roman" w:eastAsiaTheme="minorEastAsia" w:hAnsi="Times New Roman" w:cs="Arial"/>
          <w:b/>
          <w:sz w:val="24"/>
          <w:szCs w:val="24"/>
          <w:lang w:eastAsia="pl-PL"/>
        </w:rPr>
        <w:t xml:space="preserve"> </w:t>
      </w:r>
      <w:r w:rsidR="00CE6458" w:rsidRPr="009A3C86">
        <w:rPr>
          <w:rFonts w:ascii="Times New Roman" w:eastAsiaTheme="minorEastAsia" w:hAnsi="Times New Roman" w:cs="Arial"/>
          <w:b/>
          <w:sz w:val="24"/>
          <w:szCs w:val="24"/>
          <w:lang w:eastAsia="pl-PL"/>
        </w:rPr>
        <w:t>§ 1</w:t>
      </w:r>
      <w:r w:rsidRPr="009A3C86">
        <w:rPr>
          <w:rFonts w:ascii="Times New Roman" w:eastAsiaTheme="minorEastAsia" w:hAnsi="Times New Roman" w:cs="Arial"/>
          <w:sz w:val="24"/>
          <w:szCs w:val="24"/>
          <w:lang w:eastAsia="pl-PL"/>
        </w:rPr>
        <w:t xml:space="preserve"> Ordynacji podatkowej </w:t>
      </w:r>
      <w:r w:rsidRPr="009A3C86">
        <w:rPr>
          <w:rFonts w:ascii="Times New Roman" w:eastAsiaTheme="minorEastAsia" w:hAnsi="Times New Roman" w:cs="Arial"/>
          <w:b/>
          <w:sz w:val="24"/>
          <w:szCs w:val="24"/>
          <w:lang w:eastAsia="pl-PL"/>
        </w:rPr>
        <w:t>nakłada na korzystającego obowiązek</w:t>
      </w:r>
      <w:r w:rsidRPr="009A3C86">
        <w:rPr>
          <w:rFonts w:ascii="Times New Roman" w:eastAsiaTheme="minorEastAsia" w:hAnsi="Times New Roman" w:cs="Arial"/>
          <w:sz w:val="24"/>
          <w:szCs w:val="24"/>
          <w:lang w:eastAsia="pl-PL"/>
        </w:rPr>
        <w:t xml:space="preserve">, w terminie złożenia deklaracji podatkowej dotyczącej tego okresu rozliczeniowego przekazania informacji </w:t>
      </w:r>
      <w:r w:rsidRPr="009A3C86">
        <w:rPr>
          <w:rFonts w:ascii="Times New Roman" w:eastAsiaTheme="minorEastAsia" w:hAnsi="Times New Roman" w:cs="Arial"/>
          <w:sz w:val="24"/>
          <w:szCs w:val="24"/>
          <w:lang w:eastAsia="pl-PL"/>
        </w:rPr>
        <w:lastRenderedPageBreak/>
        <w:t>za pomocą środków komunikacji elektronicznej zgodnie z przepisami Ordynacji podatkowej do Szefa Krajowej Administracji Skarbowej o zastosowaniu schematu podatkowego. Informacja będzie składana według ustalonego wzoru i będzie zawierało następujące dane:</w:t>
      </w:r>
    </w:p>
    <w:p w:rsidR="00D62378" w:rsidRPr="009A3C86" w:rsidRDefault="00D62378" w:rsidP="00D62378">
      <w:pPr>
        <w:numPr>
          <w:ilvl w:val="1"/>
          <w:numId w:val="40"/>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NSP zastosowanego schematu podatkowego,</w:t>
      </w:r>
    </w:p>
    <w:p w:rsidR="00D62378" w:rsidRPr="009A3C86" w:rsidRDefault="00D62378" w:rsidP="00D62378">
      <w:pPr>
        <w:numPr>
          <w:ilvl w:val="1"/>
          <w:numId w:val="40"/>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wysokość korzyści podatkowej wynikającej ze schematu podatkowego – jeżeli korzystający uzyskiwał w danym okresie rozliczeniowym taką korzyść.</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Dodatkowo, jeśli zastosowany schemat podatkowy nie posiada NSP, informacja ta zawiera dane wskazane w art. </w:t>
      </w:r>
      <w:r w:rsidR="00E2647A" w:rsidRPr="009A3C86">
        <w:rPr>
          <w:rFonts w:ascii="Times New Roman" w:eastAsiaTheme="minorEastAsia" w:hAnsi="Times New Roman" w:cs="Arial"/>
          <w:sz w:val="24"/>
          <w:szCs w:val="24"/>
          <w:lang w:eastAsia="pl-PL"/>
        </w:rPr>
        <w:t xml:space="preserve">311 </w:t>
      </w:r>
      <w:r w:rsidRPr="009A3C86">
        <w:rPr>
          <w:rFonts w:ascii="Times New Roman" w:eastAsiaTheme="minorEastAsia" w:hAnsi="Times New Roman" w:cs="Arial"/>
          <w:sz w:val="24"/>
          <w:szCs w:val="24"/>
          <w:lang w:eastAsia="pl-PL"/>
        </w:rPr>
        <w:t>Ordynacji podatkowej, które są wymagane przy składaniu informacji o schemacie podatkowym.</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Zakłada się, że w przypadku gdy korzystający posiada informacje dotyczące schematu podatkowego, które odbiegają od informacji zawartych w otrzymanym przez niego potwierdzeniu nadania NSP lub je uzupełniają, informacje składane łącznie ze złożeniem deklaracji podatkowych, zawierać będzie te informacje (art. </w:t>
      </w:r>
      <w:r w:rsidR="00CE6458" w:rsidRPr="009A3C86">
        <w:rPr>
          <w:rFonts w:ascii="Times New Roman" w:eastAsiaTheme="minorEastAsia" w:hAnsi="Times New Roman" w:cs="Arial"/>
          <w:b/>
          <w:sz w:val="24"/>
          <w:szCs w:val="24"/>
          <w:lang w:eastAsia="pl-PL"/>
        </w:rPr>
        <w:t>315 § 3</w:t>
      </w:r>
      <w:r w:rsidRPr="009A3C86">
        <w:rPr>
          <w:rFonts w:ascii="Times New Roman" w:eastAsiaTheme="minorEastAsia" w:hAnsi="Times New Roman" w:cs="Arial"/>
          <w:sz w:val="24"/>
          <w:szCs w:val="24"/>
          <w:lang w:eastAsia="pl-PL"/>
        </w:rPr>
        <w:t xml:space="preserv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Przekazywana informacja, o której mowa w § 1, w tym zawierająca dane wskazane w § 2 lub 3, podpisywana jest przez podatnika będącego osobą fizyczną. W przypadku podatników będących osobami prawnymi, informacja, o której mowa w § 1, podpisywana jest przez wszystkich członków organu zarządzającego podatnika. Dowód złożenia podpisów przez te osoby przekazywany jest za pomocą środków komunikacji elektronicznej zgodnie z przepisami Ordynacji podatkowej do Szefa Krajowej Administracji Skarbowej przez jedną z osób, które podpisały te dokumenty (art.</w:t>
      </w:r>
      <w:r w:rsidR="00E2647A" w:rsidRPr="009A3C86">
        <w:rPr>
          <w:rFonts w:ascii="Times New Roman" w:eastAsiaTheme="minorEastAsia" w:hAnsi="Times New Roman" w:cs="Arial"/>
          <w:sz w:val="24"/>
          <w:szCs w:val="24"/>
          <w:lang w:eastAsia="pl-PL"/>
        </w:rPr>
        <w:t xml:space="preserve"> </w:t>
      </w:r>
      <w:r w:rsidR="00CE6458" w:rsidRPr="009A3C86">
        <w:rPr>
          <w:rFonts w:ascii="Times New Roman" w:eastAsiaTheme="minorEastAsia" w:hAnsi="Times New Roman" w:cs="Arial"/>
          <w:b/>
          <w:sz w:val="24"/>
          <w:szCs w:val="24"/>
          <w:lang w:eastAsia="pl-PL"/>
        </w:rPr>
        <w:t>315 § 4</w:t>
      </w:r>
      <w:r w:rsidRPr="009A3C86">
        <w:rPr>
          <w:rFonts w:ascii="Times New Roman" w:eastAsiaTheme="minorEastAsia" w:hAnsi="Times New Roman" w:cs="Arial"/>
          <w:sz w:val="24"/>
          <w:szCs w:val="24"/>
          <w:lang w:eastAsia="pl-PL"/>
        </w:rPr>
        <w:t xml:space="preserve"> Ordynacji podatkowej). W przypadku podatników będących jednostkami organizacyjnymi niemającymi osobowości prawnej, w terminie złożenia deklaracji podatkowej dotyczącej okresów rozliczeniowych, których dotyczy ten schemat, podatnicy składają oświadczenie według ustalonego wzoru, w którym wszyscy uprawnieni do reprezentacji, a w przypadku spółek niebędących osobami prawnymi także wspólnicy posiadający co najmniej 10% udziału w zyskach spółki niebędącej osobą prawną, poświadczą prawdziwość danych zawartych w informacji. . Rozwiązanie to – zaangażowanie w proces raportowania schematu podatkowego możliwie szerokiego kręgu osób odpowiadających za sprawy spółki – ma na celu wykluczenie sytuacji, w której odpowiedzialność ta cedowana byłaby w praktyce na wybrane osoby. Rozwiązanie takie prowadzić może do większej wstrzemięźliwości osób odpowiedzialnych za sprawy podatkowe spółki we wdrażaniu schematów podatkowych, z uwagi na konieczność uzyskania stosownych podpisów od szerszego grona osób odpowiedzialnych za sprawy spółki.</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lastRenderedPageBreak/>
        <w:t xml:space="preserve">W projektowanym art. </w:t>
      </w:r>
      <w:r w:rsidR="00CE6458" w:rsidRPr="009A3C86">
        <w:rPr>
          <w:rFonts w:ascii="Times New Roman" w:eastAsiaTheme="minorEastAsia" w:hAnsi="Times New Roman" w:cs="Arial"/>
          <w:b/>
          <w:sz w:val="24"/>
          <w:szCs w:val="24"/>
          <w:lang w:eastAsia="pl-PL"/>
        </w:rPr>
        <w:t>315 § 6</w:t>
      </w:r>
      <w:r w:rsidRPr="009A3C86">
        <w:rPr>
          <w:rFonts w:ascii="Times New Roman" w:eastAsiaTheme="minorEastAsia" w:hAnsi="Times New Roman" w:cs="Arial"/>
          <w:sz w:val="24"/>
          <w:szCs w:val="24"/>
          <w:lang w:eastAsia="pl-PL"/>
        </w:rPr>
        <w:t xml:space="preserve"> Ordynacji podatkowej zawarto szczególne rozwiązanie dla PGK. Mianowicie, w przypadku korzystającego wchodzącego w skład PGK terminem na złożenie informacji uregulowanej w § 1 tego przepisu jest termin złożenia przez spółkę dominującą deklaracji podatkowej dotyczącej danego okresu rozliczeniowego PGK. Wynika, to z faktu, iż spółki tworzące PGK nie mają obowiązku składania deklaracji podatkowych dotyczącej podatku dochodowego od osób prawnych. Deklarację te składa bowiem spółka dominująca za całą PGK.</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Dodatkowo zaznaczyć należy, że informacja zawierać będzie oświadczenie składane pod rygorem odpowiedzialności karnej za złożenie fałszywego oświadczenia i zawierają odpowiednią klauzulę, zastępującą pouczenie o odpowiedzialności karnej za składanie fałszywych oświadczeń (art. </w:t>
      </w:r>
      <w:r w:rsidR="00E2647A" w:rsidRPr="009A3C86">
        <w:rPr>
          <w:rFonts w:ascii="Times New Roman" w:eastAsiaTheme="minorEastAsia" w:hAnsi="Times New Roman" w:cs="Arial"/>
          <w:b/>
          <w:sz w:val="24"/>
          <w:szCs w:val="24"/>
          <w:lang w:eastAsia="pl-PL"/>
        </w:rPr>
        <w:t>315</w:t>
      </w:r>
      <w:r w:rsidR="00CE6458" w:rsidRPr="009A3C86">
        <w:rPr>
          <w:rFonts w:ascii="Times New Roman" w:eastAsiaTheme="minorEastAsia" w:hAnsi="Times New Roman" w:cs="Arial"/>
          <w:b/>
          <w:sz w:val="24"/>
          <w:szCs w:val="24"/>
          <w:lang w:eastAsia="pl-PL"/>
        </w:rPr>
        <w:t xml:space="preserve"> § 7</w:t>
      </w:r>
      <w:r w:rsidRPr="009A3C86">
        <w:rPr>
          <w:rFonts w:ascii="Times New Roman" w:eastAsiaTheme="minorEastAsia" w:hAnsi="Times New Roman" w:cs="Arial"/>
          <w:sz w:val="24"/>
          <w:szCs w:val="24"/>
          <w:lang w:eastAsia="pl-PL"/>
        </w:rPr>
        <w:t>).</w:t>
      </w:r>
    </w:p>
    <w:p w:rsidR="00D62378" w:rsidRPr="009A3C86" w:rsidRDefault="00D62378" w:rsidP="00D62378">
      <w:pPr>
        <w:suppressAutoHyphens/>
        <w:autoSpaceDE w:val="0"/>
        <w:autoSpaceDN w:val="0"/>
        <w:adjustRightInd w:val="0"/>
        <w:spacing w:before="120" w:after="0" w:line="360" w:lineRule="auto"/>
        <w:ind w:left="57"/>
        <w:jc w:val="both"/>
        <w:rPr>
          <w:rFonts w:ascii="Times New Roman" w:eastAsiaTheme="minorEastAsia" w:hAnsi="Times New Roman" w:cs="Arial"/>
          <w:b/>
          <w:sz w:val="24"/>
          <w:szCs w:val="24"/>
          <w:lang w:eastAsia="pl-PL"/>
        </w:rPr>
      </w:pPr>
      <w:r w:rsidRPr="009A3C86">
        <w:rPr>
          <w:rFonts w:ascii="Times New Roman" w:eastAsiaTheme="minorEastAsia" w:hAnsi="Times New Roman" w:cs="Arial"/>
          <w:b/>
          <w:sz w:val="24"/>
          <w:szCs w:val="24"/>
          <w:lang w:eastAsia="pl-PL"/>
        </w:rPr>
        <w:t>Wydawanie ogólnych wyjaśnień</w:t>
      </w:r>
    </w:p>
    <w:p w:rsidR="00D62378" w:rsidRPr="009A3C86" w:rsidRDefault="00D62378" w:rsidP="00D62378">
      <w:pPr>
        <w:suppressAutoHyphens/>
        <w:autoSpaceDE w:val="0"/>
        <w:autoSpaceDN w:val="0"/>
        <w:adjustRightInd w:val="0"/>
        <w:spacing w:before="120" w:after="0" w:line="360" w:lineRule="auto"/>
        <w:ind w:left="57"/>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Projekt ustawy przewiduje, że minister właściwy do spraw finansów publicznych może wydać i opublikować na właściwej stronie podmiotowej BIP ogólne wyjaśnienia dotyczące możliwości zastosowania klauzuli przeciwko unikaniu opodatkowania lub innych przepisów mających na celu przeciwdziałanie unikaniu opodatkowania do schematu podatkowego lub kategorii schematów podatkowych (art. </w:t>
      </w:r>
      <w:r w:rsidR="00CE6458" w:rsidRPr="009A3C86">
        <w:rPr>
          <w:rFonts w:ascii="Times New Roman" w:eastAsiaTheme="minorEastAsia" w:hAnsi="Times New Roman" w:cs="Arial"/>
          <w:b/>
          <w:sz w:val="24"/>
          <w:szCs w:val="24"/>
          <w:lang w:eastAsia="pl-PL"/>
        </w:rPr>
        <w:t>316 § 1</w:t>
      </w:r>
      <w:r w:rsidRPr="009A3C86">
        <w:rPr>
          <w:rFonts w:ascii="Times New Roman" w:eastAsiaTheme="minorEastAsia" w:hAnsi="Times New Roman" w:cs="Arial"/>
          <w:sz w:val="24"/>
          <w:szCs w:val="24"/>
          <w:lang w:eastAsia="pl-PL"/>
        </w:rPr>
        <w:t xml:space="preserve"> Ordynacji podatkowej). W celu wydania tych wyjaśnień, minister może zwrócić się o opinię do Rady do Spraw Przeciwdziałania Unikaniu Opodatkowania, a także do Szefa KAS</w:t>
      </w:r>
      <w:r w:rsidRPr="009A3C86">
        <w:rPr>
          <w:rFonts w:ascii="Times" w:eastAsiaTheme="minorEastAsia" w:hAnsi="Times" w:cs="Arial"/>
          <w:sz w:val="24"/>
          <w:szCs w:val="24"/>
          <w:lang w:eastAsia="pl-PL"/>
        </w:rPr>
        <w:t xml:space="preserve"> przedstawiając im założenia takich wyjaśnień lub ich projekt</w:t>
      </w:r>
      <w:r w:rsidRPr="009A3C86">
        <w:rPr>
          <w:rFonts w:ascii="Times New Roman" w:eastAsiaTheme="minorEastAsia" w:hAnsi="Times New Roman" w:cs="Arial"/>
          <w:sz w:val="24"/>
          <w:szCs w:val="24"/>
          <w:lang w:eastAsia="pl-PL"/>
        </w:rPr>
        <w:t xml:space="preserve">. Minister publikując wyjaśnienia, może też wskazać NSP schematów podatkowych, których te wyjaśnienia dotyczą (art. </w:t>
      </w:r>
      <w:r w:rsidR="00CE6458" w:rsidRPr="009A3C86">
        <w:rPr>
          <w:rFonts w:ascii="Times New Roman" w:eastAsiaTheme="minorEastAsia" w:hAnsi="Times New Roman" w:cs="Arial"/>
          <w:b/>
          <w:sz w:val="24"/>
          <w:szCs w:val="24"/>
          <w:lang w:eastAsia="pl-PL"/>
        </w:rPr>
        <w:t>316 § 3</w:t>
      </w:r>
      <w:r w:rsidRPr="009A3C86">
        <w:rPr>
          <w:rFonts w:ascii="Times New Roman" w:eastAsiaTheme="minorEastAsia" w:hAnsi="Times New Roman" w:cs="Arial"/>
          <w:sz w:val="24"/>
          <w:szCs w:val="24"/>
          <w:lang w:eastAsia="pl-PL"/>
        </w:rPr>
        <w:t xml:space="preserve"> Ordynacji podatkowej).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W przypadku, gdy pojawią się wątpliwości co do informacji objętych raportowaniem lub zgłoszeniem, Szef KAS może zwrócić się do podmiotu raportującego lub zgłaszającego – promotora lub korzystającego, o ich wyjaśnienie (projektowany </w:t>
      </w:r>
      <w:r w:rsidR="00CE6458" w:rsidRPr="009A3C86">
        <w:rPr>
          <w:rFonts w:ascii="Times New Roman" w:eastAsiaTheme="minorEastAsia" w:hAnsi="Times New Roman" w:cs="Arial"/>
          <w:b/>
          <w:sz w:val="24"/>
          <w:szCs w:val="24"/>
          <w:lang w:eastAsia="pl-PL"/>
        </w:rPr>
        <w:t xml:space="preserve">art. </w:t>
      </w:r>
      <w:r w:rsidR="00D155C1" w:rsidRPr="009A3C86">
        <w:rPr>
          <w:rFonts w:ascii="Times New Roman" w:eastAsiaTheme="minorEastAsia" w:hAnsi="Times New Roman" w:cs="Arial"/>
          <w:b/>
          <w:sz w:val="24"/>
          <w:szCs w:val="24"/>
          <w:lang w:eastAsia="pl-PL"/>
        </w:rPr>
        <w:t>313</w:t>
      </w:r>
      <w:r w:rsidR="00CE6458" w:rsidRPr="009A3C86">
        <w:rPr>
          <w:rFonts w:ascii="Times New Roman" w:eastAsiaTheme="minorEastAsia" w:hAnsi="Times New Roman" w:cs="Arial"/>
          <w:b/>
          <w:sz w:val="24"/>
          <w:szCs w:val="24"/>
          <w:lang w:eastAsia="pl-PL"/>
        </w:rPr>
        <w:t xml:space="preserve"> § 1</w:t>
      </w:r>
      <w:r w:rsidR="00D155C1" w:rsidRPr="009A3C86">
        <w:rPr>
          <w:rFonts w:ascii="Times New Roman" w:eastAsiaTheme="minorEastAsia" w:hAnsi="Times New Roman" w:cs="Arial"/>
          <w:sz w:val="24"/>
          <w:szCs w:val="24"/>
          <w:lang w:eastAsia="pl-PL"/>
        </w:rPr>
        <w:t xml:space="preserve"> </w:t>
      </w:r>
      <w:r w:rsidRPr="009A3C86">
        <w:rPr>
          <w:rFonts w:ascii="Times New Roman" w:eastAsiaTheme="minorEastAsia" w:hAnsi="Times New Roman" w:cs="Arial"/>
          <w:sz w:val="24"/>
          <w:szCs w:val="24"/>
          <w:lang w:eastAsia="pl-PL"/>
        </w:rPr>
        <w:t>Ordynacji podatkowej).</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Gwarancją ochrony konstytucyjnych praw i wolności jednostek jest zasada którą przewiduje art. </w:t>
      </w:r>
      <w:r w:rsidR="00CE6458" w:rsidRPr="009A3C86">
        <w:rPr>
          <w:rFonts w:ascii="Times New Roman" w:eastAsiaTheme="minorEastAsia" w:hAnsi="Times New Roman" w:cs="Arial"/>
          <w:b/>
          <w:sz w:val="24"/>
          <w:szCs w:val="24"/>
          <w:lang w:eastAsia="pl-PL"/>
        </w:rPr>
        <w:t>313 § 2</w:t>
      </w:r>
      <w:r w:rsidRPr="009A3C86">
        <w:rPr>
          <w:rFonts w:ascii="Times New Roman" w:eastAsiaTheme="minorEastAsia" w:hAnsi="Times New Roman" w:cs="Arial"/>
          <w:sz w:val="24"/>
          <w:szCs w:val="24"/>
          <w:lang w:eastAsia="pl-PL"/>
        </w:rPr>
        <w:t xml:space="preserve"> ustawy – Ordynacja podatkowa, zgodnie z nie wszczyna się postępowania w sprawach o przestępstwa skarbowe lub wykroczenia skarbowe wyłącznie w oparciu o informacje przekazywane na podstawie niniejszego rozdziału</w:t>
      </w:r>
      <w:r w:rsidRPr="009A3C86">
        <w:rPr>
          <w:rFonts w:ascii="Times New Roman" w:eastAsiaTheme="minorEastAsia" w:hAnsi="Times New Roman"/>
          <w:sz w:val="24"/>
          <w:szCs w:val="24"/>
          <w:vertAlign w:val="superscript"/>
          <w:lang w:eastAsia="pl-PL"/>
        </w:rPr>
        <w:footnoteReference w:id="385"/>
      </w:r>
      <w:r w:rsidRPr="009A3C86">
        <w:rPr>
          <w:rFonts w:ascii="Times New Roman" w:eastAsiaTheme="minorEastAsia" w:hAnsi="Times New Roman"/>
          <w:sz w:val="24"/>
          <w:szCs w:val="24"/>
          <w:lang w:eastAsia="pl-PL"/>
        </w:rPr>
        <w:t>.</w:t>
      </w:r>
      <w:r w:rsidRPr="009A3C86">
        <w:rPr>
          <w:rFonts w:ascii="Times New Roman" w:eastAsiaTheme="minorEastAsia" w:hAnsi="Times New Roman" w:cs="Arial"/>
          <w:sz w:val="24"/>
          <w:szCs w:val="24"/>
          <w:lang w:eastAsia="pl-PL"/>
        </w:rPr>
        <w:t xml:space="preserv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lastRenderedPageBreak/>
        <w:t xml:space="preserve">Wprowadzona zasada stanowić będzie gwarancję dla podatników, że organy podatkowe nie będą wykorzystywać raportowanych informacji jako swoistego „donosu” na siebie samego, zaś w przypadku ewentualnego podejrzenia o możliwości popełnienia przestępstwa czy wykroczenia skarbowego, pociągnięcie do odpowiedzialności karnej może nastąpić dopiero po przeprowadzeniu postępowania podatkowego. System raportowania został zaprojektowany tak, by pełnić funkcję pomocniczą dla organów państwa oraz aby samo w sobie raportowanie schematów podatkowych nie narażało podatnika na represję ze strony państwa przejawiającą się we wszczynaniu postępowań na podstawie przepisów ustawy Kodeks karny skarbowy wobec podatnika wyłącznie w oparciu o dane zawarte w informacji o schemacie podatkowym. </w:t>
      </w:r>
    </w:p>
    <w:p w:rsidR="00D62378" w:rsidRPr="009A3C86" w:rsidRDefault="00D62378" w:rsidP="00D62378">
      <w:pPr>
        <w:suppressAutoHyphens/>
        <w:autoSpaceDE w:val="0"/>
        <w:autoSpaceDN w:val="0"/>
        <w:adjustRightInd w:val="0"/>
        <w:spacing w:before="120" w:after="24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W przypadku terminowego raportowania schematu podatkowego, którego zastosowanie może powodować powstanie odpowiedzialności karnej za przestępstwo skarbowe lub odpowiedzialności za wykroczenie skarbowe, zastosowanie znajdzie instytucja nadzwyczajnego złagodzenia kary (art. 36 </w:t>
      </w:r>
      <w:r w:rsidRPr="009A3C86">
        <w:rPr>
          <w:rFonts w:ascii="Times New Roman" w:eastAsiaTheme="minorEastAsia" w:hAnsi="Times New Roman"/>
          <w:sz w:val="24"/>
          <w:szCs w:val="24"/>
          <w:lang w:eastAsia="pl-PL"/>
        </w:rPr>
        <w:t>§</w:t>
      </w:r>
      <w:r w:rsidRPr="009A3C86">
        <w:rPr>
          <w:rFonts w:ascii="Times New Roman" w:eastAsiaTheme="minorEastAsia" w:hAnsi="Times New Roman" w:cs="Arial"/>
          <w:sz w:val="24"/>
          <w:szCs w:val="24"/>
          <w:lang w:eastAsia="pl-PL"/>
        </w:rPr>
        <w:t xml:space="preserve">3a Kodeksu karnego skarbowego). </w:t>
      </w:r>
    </w:p>
    <w:p w:rsidR="00D62378" w:rsidRPr="009A3C86" w:rsidRDefault="00D62378" w:rsidP="00D62378">
      <w:pPr>
        <w:keepNext/>
        <w:keepLines/>
        <w:spacing w:before="40" w:after="0" w:line="360" w:lineRule="auto"/>
        <w:ind w:left="720"/>
        <w:jc w:val="both"/>
        <w:outlineLvl w:val="2"/>
        <w:rPr>
          <w:rFonts w:ascii="Times New Roman" w:eastAsiaTheme="majorEastAsia" w:hAnsi="Times New Roman" w:cstheme="majorBidi"/>
          <w:i/>
          <w:color w:val="000000" w:themeColor="text1"/>
          <w:sz w:val="24"/>
          <w:szCs w:val="24"/>
        </w:rPr>
      </w:pPr>
      <w:r w:rsidRPr="009A3C86">
        <w:rPr>
          <w:rFonts w:ascii="Times New Roman" w:eastAsiaTheme="majorEastAsia" w:hAnsi="Times New Roman" w:cstheme="majorBidi"/>
          <w:i/>
          <w:color w:val="000000" w:themeColor="text1"/>
          <w:sz w:val="24"/>
          <w:szCs w:val="24"/>
        </w:rPr>
        <w:t>Obowiązek wprowadzenia procedury wewnętrznej</w:t>
      </w:r>
      <w:r w:rsidRPr="009A3C86">
        <w:rPr>
          <w:rFonts w:ascii="Times New Roman" w:eastAsiaTheme="majorEastAsia" w:hAnsi="Times New Roman"/>
          <w:i/>
          <w:color w:val="000000" w:themeColor="text1"/>
          <w:sz w:val="24"/>
          <w:szCs w:val="24"/>
        </w:rPr>
        <w:t>.</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Przepis art. </w:t>
      </w:r>
      <w:r w:rsidR="00CE6458" w:rsidRPr="009A3C86">
        <w:rPr>
          <w:rFonts w:ascii="Times New Roman" w:eastAsiaTheme="minorEastAsia" w:hAnsi="Times New Roman" w:cs="Arial"/>
          <w:b/>
          <w:sz w:val="24"/>
          <w:szCs w:val="24"/>
          <w:lang w:eastAsia="pl-PL"/>
        </w:rPr>
        <w:t>317 § 1</w:t>
      </w:r>
      <w:r w:rsidRPr="009A3C86">
        <w:rPr>
          <w:rFonts w:ascii="Times New Roman" w:eastAsiaTheme="minorEastAsia" w:hAnsi="Times New Roman" w:cs="Arial"/>
          <w:sz w:val="24"/>
          <w:szCs w:val="24"/>
          <w:lang w:eastAsia="pl-PL"/>
        </w:rPr>
        <w:t xml:space="preserve"> Ordynacji podatkowej nakłada na promotorów będących osobami prawnymi i jednostkami organizacyjnymi nieposiadającymi osobowości prawnej oraz podmioty te zatrudniające promotorów lub faktycznie wypłacające promotorom wynagrodzenie, obowiązek wprowadzenia i stosowania wewnętrznej procedury w zakresie przeciwdziałania niewywiązywaniu się z obowiązku przekazywania informacji o schematach podatkowych tzw.: „</w:t>
      </w:r>
      <w:r w:rsidRPr="009A3C86">
        <w:rPr>
          <w:rFonts w:ascii="Times New Roman" w:eastAsiaTheme="minorEastAsia" w:hAnsi="Times New Roman" w:cs="Arial"/>
          <w:b/>
          <w:sz w:val="24"/>
          <w:szCs w:val="24"/>
          <w:lang w:eastAsia="pl-PL"/>
        </w:rPr>
        <w:t>wewnętrznej procedury</w:t>
      </w:r>
      <w:r w:rsidRPr="009A3C86">
        <w:rPr>
          <w:rFonts w:ascii="Times New Roman" w:eastAsiaTheme="minorEastAsia" w:hAnsi="Times New Roman" w:cs="Arial"/>
          <w:sz w:val="24"/>
          <w:szCs w:val="24"/>
          <w:lang w:eastAsia="pl-PL"/>
        </w:rPr>
        <w:t xml:space="preserve">”. Jednocześnie, w celu zawężenia kręgu podmiotów obowiązanych do wprowadzenia procedury, projektowany przepis określa kryterium wysokości przychodów lub kosztów, w rozumieniu przepisów o rachunkowości, ustalonych na podstawie prowadzonych ksiąg rachunkowych. Oznacza to, że obowiązane do wprowadzenia wewnętrznej procedury będą podmioty, u których przychody lub koszty przekroczyły w roku poprzedzającym rok obrotowy równowartość kwoty 8 mln złotych. Ustalenie limitu przychodów na poziomie kwoty 8 mln złotych jest wynikiem analizy przychodów największych w Polsce firm doradztwa podatkowego. Z przeprowadzonej analizy wynika, że 20 firm doradztwa podatkowego przekroczyło 8 mln zł przychodów za 2016 r. W ocenie projektodawcy limit 8 mln złotych wydaje się właściwy oraz spowoduje, że do wprowadzenia wewnętrznej procedury obowiązane będą jedynie największe podmioty doradcze.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lastRenderedPageBreak/>
        <w:t>Celem projektowanego rozwiązania jest stworzenie odpowiedniego narzędzia pozwalającego na prawidłowe i terminowe wykonanie obowiązków informacyjnych spoczywających na promotorach przez podmioty o rozbudowanej strukturze organizacyjnej. Wewnętrzna procedura pozwoli określić zakres odpowiedzialności osób zaangażowanych w wykonywanie poszczególnych czynności dotyczących schematów (opracowanie, prezentowanie, wdrażanie, audyt itp.) za realizację obowiązku raportowania czy zgłaszania schematu. Powinna też gwarantować prawidłowe wykonanie obowiązków informacyjnych promotora względem korzystającego.</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W wewnętrznej procedurze, zgodnie z przepisem, należy określić stosowane w organizacji zasady postępowania (art. </w:t>
      </w:r>
      <w:r w:rsidR="00CE6458" w:rsidRPr="009A3C86">
        <w:rPr>
          <w:rFonts w:ascii="Times New Roman" w:eastAsiaTheme="minorEastAsia" w:hAnsi="Times New Roman" w:cs="Arial"/>
          <w:b/>
          <w:sz w:val="24"/>
          <w:szCs w:val="24"/>
          <w:lang w:eastAsia="pl-PL"/>
        </w:rPr>
        <w:t>317 § 2</w:t>
      </w:r>
      <w:r w:rsidRPr="009A3C86">
        <w:rPr>
          <w:rFonts w:ascii="Times New Roman" w:eastAsiaTheme="minorEastAsia" w:hAnsi="Times New Roman" w:cs="Arial"/>
          <w:sz w:val="24"/>
          <w:szCs w:val="24"/>
          <w:lang w:eastAsia="pl-PL"/>
        </w:rPr>
        <w:t xml:space="preserve"> Ordynacji podatkowej), w szczególności: </w:t>
      </w:r>
    </w:p>
    <w:p w:rsidR="00D62378" w:rsidRPr="009A3C86" w:rsidRDefault="00D62378" w:rsidP="00D62378">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czynności lub działania podejmowane w celu przeciwdziałania niewywiązywaniu się z obowiązku przekazywania informacji o schematach podatkowych,</w:t>
      </w:r>
    </w:p>
    <w:p w:rsidR="00D62378" w:rsidRPr="009A3C86" w:rsidRDefault="00D62378" w:rsidP="00D62378">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środki stosowane w celu właściwego wypełnienia obowiązku raportowania schematu podatkowego,</w:t>
      </w:r>
    </w:p>
    <w:p w:rsidR="00D62378" w:rsidRPr="009A3C86" w:rsidRDefault="00D62378" w:rsidP="00D62378">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zasady przechowywania dokumentów oraz informacji,</w:t>
      </w:r>
    </w:p>
    <w:p w:rsidR="00D62378" w:rsidRPr="009A3C86" w:rsidRDefault="00D62378" w:rsidP="00D62378">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zasady wykonywania obowiązków obejmujących przekazywanie Szefowi KAS informacji o schematach podatkowych,,</w:t>
      </w:r>
    </w:p>
    <w:p w:rsidR="00D62378" w:rsidRPr="009A3C86" w:rsidRDefault="00D62378" w:rsidP="00D62378">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zasady upowszechniania wśród pracowników tego podmiotu wiedzy z zakresu przepisów niniejszego rozdziału,</w:t>
      </w:r>
    </w:p>
    <w:p w:rsidR="00D62378" w:rsidRPr="009A3C86" w:rsidRDefault="00D62378" w:rsidP="00D155C1">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zasady zgłaszania przez pracowników </w:t>
      </w:r>
      <w:r w:rsidR="00D155C1" w:rsidRPr="009A3C86">
        <w:rPr>
          <w:rFonts w:ascii="Times New Roman" w:eastAsiaTheme="minorEastAsia" w:hAnsi="Times New Roman" w:cs="Arial"/>
          <w:sz w:val="24"/>
          <w:szCs w:val="24"/>
          <w:lang w:eastAsia="pl-PL"/>
        </w:rPr>
        <w:t xml:space="preserve">tego podmiotu </w:t>
      </w:r>
      <w:r w:rsidRPr="009A3C86">
        <w:rPr>
          <w:rFonts w:ascii="Times New Roman" w:eastAsiaTheme="minorEastAsia" w:hAnsi="Times New Roman" w:cs="Arial"/>
          <w:sz w:val="24"/>
          <w:szCs w:val="24"/>
          <w:lang w:eastAsia="pl-PL"/>
        </w:rPr>
        <w:t>rzeczywistych lub potencjalnych naruszeń przepisów niniejszego rozdziału,</w:t>
      </w:r>
    </w:p>
    <w:p w:rsidR="00D62378" w:rsidRPr="009A3C86" w:rsidRDefault="00D62378" w:rsidP="00D155C1">
      <w:pPr>
        <w:numPr>
          <w:ilvl w:val="0"/>
          <w:numId w:val="38"/>
        </w:num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zasady kontroli </w:t>
      </w:r>
      <w:r w:rsidR="00D155C1" w:rsidRPr="009A3C86">
        <w:rPr>
          <w:rFonts w:ascii="Times New Roman" w:eastAsiaTheme="minorEastAsia" w:hAnsi="Times New Roman" w:cs="Arial"/>
          <w:sz w:val="24"/>
          <w:szCs w:val="24"/>
          <w:lang w:eastAsia="pl-PL"/>
        </w:rPr>
        <w:t xml:space="preserve">przeprowadzania </w:t>
      </w:r>
      <w:r w:rsidRPr="009A3C86">
        <w:rPr>
          <w:rFonts w:ascii="Times New Roman" w:eastAsiaTheme="minorEastAsia" w:hAnsi="Times New Roman" w:cs="Arial"/>
          <w:sz w:val="24"/>
          <w:szCs w:val="24"/>
          <w:lang w:eastAsia="pl-PL"/>
        </w:rPr>
        <w:t xml:space="preserve">wewnętrznej lub audytu </w:t>
      </w:r>
      <w:r w:rsidR="00D155C1" w:rsidRPr="009A3C86">
        <w:rPr>
          <w:rFonts w:ascii="Times New Roman" w:eastAsiaTheme="minorEastAsia" w:hAnsi="Times New Roman" w:cs="Arial"/>
          <w:sz w:val="24"/>
          <w:szCs w:val="24"/>
          <w:lang w:eastAsia="pl-PL"/>
        </w:rPr>
        <w:t xml:space="preserve">w zakresie </w:t>
      </w:r>
      <w:r w:rsidRPr="009A3C86">
        <w:rPr>
          <w:rFonts w:ascii="Times New Roman" w:eastAsiaTheme="minorEastAsia" w:hAnsi="Times New Roman" w:cs="Arial"/>
          <w:sz w:val="24"/>
          <w:szCs w:val="24"/>
          <w:lang w:eastAsia="pl-PL"/>
        </w:rPr>
        <w:t>przestrzegania przepisów niniejszego rozdziału oraz zasad postępowania określonych w wewnętrznej procedurze.</w:t>
      </w:r>
    </w:p>
    <w:p w:rsidR="00D62378" w:rsidRPr="009A3C86" w:rsidRDefault="00D62378" w:rsidP="00D62378">
      <w:pPr>
        <w:suppressAutoHyphens/>
        <w:autoSpaceDE w:val="0"/>
        <w:autoSpaceDN w:val="0"/>
        <w:adjustRightInd w:val="0"/>
        <w:spacing w:before="120" w:after="0" w:line="360" w:lineRule="auto"/>
        <w:ind w:firstLine="510"/>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Projektowany przepis zawiera otwarty katalog elementów, jakie powinny zostać objęte wewnętrzną procedurą wskazując najistotniejsze z nich. Szczegółowe rozwiązania powinny być dostosowane do charakteru, rodzaju i rozmiaru prowadzonej działalności. Co istotne, wewnętrzna procedura instytucji obowiązanej przed jej wprowadzeniem do stosowania, musi uzyskać akceptację kadry kierowniczej wyższego szczebla, w tym członków zarządu lub dyrektorów posiadających wiedzę z zakresu prawa podatkowego oraz podejmujących decyzje mające wpływ na ryzyko jego nieprzestrzegania przez kontrahentów będących korzystającymi </w:t>
      </w:r>
      <w:r w:rsidRPr="009A3C86">
        <w:rPr>
          <w:rFonts w:ascii="Times New Roman" w:eastAsiaTheme="minorEastAsia" w:hAnsi="Times New Roman" w:cs="Arial"/>
          <w:sz w:val="24"/>
          <w:szCs w:val="24"/>
          <w:lang w:eastAsia="pl-PL"/>
        </w:rPr>
        <w:lastRenderedPageBreak/>
        <w:t xml:space="preserve">(art. </w:t>
      </w:r>
      <w:r w:rsidR="00CE6458" w:rsidRPr="009A3C86">
        <w:rPr>
          <w:rFonts w:ascii="Times New Roman" w:eastAsiaTheme="minorEastAsia" w:hAnsi="Times New Roman" w:cs="Arial"/>
          <w:b/>
          <w:sz w:val="24"/>
          <w:szCs w:val="24"/>
          <w:lang w:eastAsia="pl-PL"/>
        </w:rPr>
        <w:t>317 § 3</w:t>
      </w:r>
      <w:r w:rsidRPr="009A3C86">
        <w:rPr>
          <w:rFonts w:ascii="Times New Roman" w:eastAsiaTheme="minorEastAsia" w:hAnsi="Times New Roman" w:cs="Arial"/>
          <w:sz w:val="24"/>
          <w:szCs w:val="24"/>
          <w:lang w:eastAsia="pl-PL"/>
        </w:rPr>
        <w:t xml:space="preserve"> Ordynacji podatkowej). Projektowane rozwiązanie powinno podnosić świadomość promotorów o konsekwencjach decyzji i działań podejmowanych w zakresie schematów podatkowych oraz odpowiedzialności zarówno wobec organizacji, w której promotor prowadzi działalność zawodową, ale też odpowiedzialność karną za niedopełnienie obowiązków dotyczących raportowania schematów podatkowych. Przepis ten jest wzorowany na rozwiązaniu, które zostało wprowadzone w ustawie z dnia 1 marca 2018 r. o przeciwdziałaniu praniu pieniędzy oraz finansowaniu terroryzmu</w:t>
      </w:r>
      <w:r w:rsidRPr="009A3C86">
        <w:rPr>
          <w:rFonts w:ascii="Times New Roman" w:eastAsiaTheme="minorEastAsia" w:hAnsi="Times New Roman"/>
          <w:sz w:val="24"/>
          <w:szCs w:val="24"/>
          <w:vertAlign w:val="superscript"/>
          <w:lang w:eastAsia="pl-PL"/>
        </w:rPr>
        <w:footnoteReference w:id="386"/>
      </w:r>
      <w:r w:rsidRPr="009A3C86">
        <w:rPr>
          <w:rFonts w:ascii="Times New Roman" w:eastAsiaTheme="minorEastAsia" w:hAnsi="Times New Roman" w:cs="Arial"/>
          <w:sz w:val="24"/>
          <w:szCs w:val="24"/>
          <w:lang w:eastAsia="pl-PL"/>
        </w:rPr>
        <w:t xml:space="preserve">. </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Obowiązek stosowania wewnętrznej procedury będzie również istniał w kolejnych trzech latach podatkowych po roku obrotowym, w którym obowiązek ten przestał obowiązywać z uwagi na nieprzekroczenie kwoty 8 mln zł.</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i/>
          <w:sz w:val="24"/>
          <w:szCs w:val="24"/>
          <w:lang w:eastAsia="pl-PL"/>
        </w:rPr>
      </w:pPr>
      <w:r w:rsidRPr="009A3C86">
        <w:rPr>
          <w:rFonts w:ascii="Times New Roman" w:eastAsiaTheme="minorEastAsia" w:hAnsi="Times New Roman" w:cs="Arial"/>
          <w:i/>
          <w:sz w:val="24"/>
          <w:szCs w:val="24"/>
          <w:lang w:eastAsia="pl-PL"/>
        </w:rPr>
        <w:t>Kara administracyjna (kara pieniężna</w:t>
      </w:r>
      <w:r w:rsidRPr="009A3C86">
        <w:rPr>
          <w:rFonts w:ascii="Times New Roman" w:eastAsiaTheme="minorEastAsia" w:hAnsi="Times New Roman"/>
          <w:i/>
          <w:sz w:val="24"/>
          <w:szCs w:val="24"/>
          <w:lang w:eastAsia="pl-PL"/>
        </w:rPr>
        <w:t>).</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Zakłada się, że promotorzy będący osobami prawnymi i jednostkami organizacyjnymi nieposiadającymi osobowości prawnej, zatrudniającymi promotorów lub faktycznie wypłacający im wynagrodzenie (o których mowa w art. </w:t>
      </w:r>
      <w:r w:rsidR="00D155C1" w:rsidRPr="009A3C86">
        <w:rPr>
          <w:rFonts w:ascii="Times New Roman" w:eastAsiaTheme="minorEastAsia" w:hAnsi="Times New Roman" w:cs="Arial"/>
          <w:sz w:val="24"/>
          <w:szCs w:val="24"/>
          <w:lang w:eastAsia="pl-PL"/>
        </w:rPr>
        <w:t xml:space="preserve">317 </w:t>
      </w:r>
      <w:r w:rsidRPr="009A3C86">
        <w:rPr>
          <w:rFonts w:ascii="Times New Roman" w:eastAsiaTheme="minorEastAsia" w:hAnsi="Times New Roman" w:cs="Arial"/>
          <w:sz w:val="24"/>
          <w:szCs w:val="24"/>
          <w:lang w:eastAsia="pl-PL"/>
        </w:rPr>
        <w:t xml:space="preserve">§ 1), obowiązani do wprowadzenia i stosowania wewnętrznej procedury w zakresie przeciwdziałania niewywiązywania się z obowiązku przekazywania informacji o schematach podatkowych w przypadku niedopełnienia tych obowiązków, podlegają karze pieniężnej. Karę pieniężną nakłada Szef KAS, w drodze decyzji, w wysokości nie większej niż 2 mln zł (art. </w:t>
      </w:r>
      <w:r w:rsidR="00CE6458" w:rsidRPr="009A3C86">
        <w:rPr>
          <w:rFonts w:ascii="Times New Roman" w:eastAsiaTheme="minorEastAsia" w:hAnsi="Times New Roman" w:cs="Arial"/>
          <w:b/>
          <w:sz w:val="24"/>
          <w:szCs w:val="24"/>
          <w:lang w:eastAsia="pl-PL"/>
        </w:rPr>
        <w:t xml:space="preserve">318 § 1 </w:t>
      </w:r>
      <w:r w:rsidRPr="009A3C86">
        <w:rPr>
          <w:rFonts w:ascii="Times New Roman" w:eastAsiaTheme="minorEastAsia" w:hAnsi="Times New Roman" w:cs="Arial"/>
          <w:sz w:val="24"/>
          <w:szCs w:val="24"/>
          <w:lang w:eastAsia="pl-PL"/>
        </w:rPr>
        <w:t>Ordynacji podatkowej).</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Jednocześnie przepisy ustawy przewidują podwyższenie maksymalnego limitu kary pieniężnej do 10 mln zł w stosunku do promotorów wskazanych w art. </w:t>
      </w:r>
      <w:r w:rsidR="00D155C1" w:rsidRPr="009A3C86">
        <w:rPr>
          <w:rFonts w:ascii="Times New Roman" w:eastAsiaTheme="minorEastAsia" w:hAnsi="Times New Roman" w:cs="Arial"/>
          <w:sz w:val="24"/>
          <w:szCs w:val="24"/>
          <w:lang w:eastAsia="pl-PL"/>
        </w:rPr>
        <w:t xml:space="preserve">317 </w:t>
      </w:r>
      <w:r w:rsidRPr="009A3C86">
        <w:rPr>
          <w:rFonts w:ascii="Times New Roman" w:eastAsiaTheme="minorEastAsia" w:hAnsi="Times New Roman" w:cs="Arial"/>
          <w:sz w:val="24"/>
          <w:szCs w:val="24"/>
          <w:lang w:eastAsia="pl-PL"/>
        </w:rPr>
        <w:t xml:space="preserve">§ 1 w sytuacji, w której podmioty te nie zrealizują obowiązków, o których mowa w art. </w:t>
      </w:r>
      <w:r w:rsidR="00D155C1" w:rsidRPr="009A3C86">
        <w:rPr>
          <w:rFonts w:ascii="Times New Roman" w:eastAsiaTheme="minorEastAsia" w:hAnsi="Times New Roman" w:cs="Arial"/>
          <w:sz w:val="24"/>
          <w:szCs w:val="24"/>
          <w:lang w:eastAsia="pl-PL"/>
        </w:rPr>
        <w:t xml:space="preserve">317 </w:t>
      </w:r>
      <w:r w:rsidRPr="009A3C86">
        <w:rPr>
          <w:rFonts w:ascii="Times New Roman" w:eastAsiaTheme="minorEastAsia" w:hAnsi="Times New Roman" w:cs="Arial"/>
          <w:sz w:val="24"/>
          <w:szCs w:val="24"/>
          <w:lang w:eastAsia="pl-PL"/>
        </w:rPr>
        <w:t>(tj. posiadania i stosowania wewnętrznej procedury) oraz gdy promotor będący osobą fizyczną zatrudnioną lub faktycznie otrzymującą wynagrodzenie od tego podmiotu popełni stwierdzony prawomocnym wyrokiem sądu, czyn wymieniony w art. 80f Kodeksu karnego skarbowego.</w:t>
      </w:r>
    </w:p>
    <w:p w:rsidR="00D62378" w:rsidRPr="009A3C86" w:rsidRDefault="00D62378" w:rsidP="00D62378">
      <w:pPr>
        <w:suppressAutoHyphens/>
        <w:autoSpaceDE w:val="0"/>
        <w:autoSpaceDN w:val="0"/>
        <w:adjustRightInd w:val="0"/>
        <w:spacing w:before="120" w:after="0" w:line="360" w:lineRule="auto"/>
        <w:jc w:val="both"/>
        <w:rPr>
          <w:rFonts w:ascii="Times New Roman" w:eastAsiaTheme="minorEastAsia" w:hAnsi="Times New Roman" w:cs="Arial"/>
          <w:sz w:val="24"/>
          <w:szCs w:val="24"/>
          <w:lang w:eastAsia="pl-PL"/>
        </w:rPr>
      </w:pPr>
      <w:r w:rsidRPr="009A3C86">
        <w:rPr>
          <w:rFonts w:ascii="Times New Roman" w:eastAsiaTheme="minorEastAsia" w:hAnsi="Times New Roman" w:cs="Arial"/>
          <w:sz w:val="24"/>
          <w:szCs w:val="24"/>
          <w:lang w:eastAsia="pl-PL"/>
        </w:rPr>
        <w:t xml:space="preserve">Podstawowym celem kary administracyjnej jest zapewnienie poszanowania prawa oraz wywołanie negatywnych konsekwencji w związku z naruszeniem nakazu lub zakazu. Kara administracyjna to także jedna z form stosowanego przez administrację publiczną tzw. przymusu państwowego. Proponowana wysokość kary administracyjnej wymierzanej za niedopełnienie obowiązków informacyjnych związanych ze schematami podatkowymi powinna być wystarczająco dolegliwa, aby zapobiegać przypadkom niedopełnienia tych </w:t>
      </w:r>
      <w:r w:rsidRPr="009A3C86">
        <w:rPr>
          <w:rFonts w:ascii="Times New Roman" w:eastAsiaTheme="minorEastAsia" w:hAnsi="Times New Roman" w:cs="Arial"/>
          <w:sz w:val="24"/>
          <w:szCs w:val="24"/>
          <w:lang w:eastAsia="pl-PL"/>
        </w:rPr>
        <w:lastRenderedPageBreak/>
        <w:t>obowiązków. Pozwoli to spełnić cele kary w zakresie społecznego oraz indywidualnego oddziaływania.</w:t>
      </w:r>
    </w:p>
    <w:p w:rsidR="00D62378" w:rsidRPr="009A3C86" w:rsidRDefault="00D62378" w:rsidP="00D62378">
      <w:pPr>
        <w:spacing w:before="120" w:after="16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Projekt zakłada, że organem nakładającym karę pieniężną będzie Szef KAS. Kara będzie nakładana w drodze decyzji. Natomiast postępowanie w sprawie jej nałożenia będzie się toczyło na podstawie przepisów Kodeksu postępowania administracyjnego</w:t>
      </w:r>
      <w:r w:rsidRPr="009A3C86">
        <w:rPr>
          <w:rFonts w:ascii="Times New Roman" w:eastAsiaTheme="minorHAnsi" w:hAnsi="Times New Roman"/>
          <w:sz w:val="24"/>
          <w:szCs w:val="24"/>
          <w:vertAlign w:val="superscript"/>
        </w:rPr>
        <w:footnoteReference w:id="387"/>
      </w:r>
      <w:r w:rsidRPr="009A3C86">
        <w:rPr>
          <w:rFonts w:ascii="Times New Roman" w:eastAsiaTheme="minorHAnsi" w:hAnsi="Times New Roman"/>
          <w:sz w:val="24"/>
          <w:szCs w:val="24"/>
        </w:rPr>
        <w:t>. Warto wskazać, że przepisy Kpa przewidują chociażby przesłanki odstąpienia od nałożenia administracyjnej kary pieniężnej, co więcej wymierzając administracyjną karę pieniężną, bierze się pod uwagę wagę i okoliczności naruszenia prawa, w szczególności potrzebę ochrony życia lub zdrowia, ochrony mienia w znacznych rozmiarach lub ochrony ważnego interesu publicznego lub wyjątkowo ważnego interesu strony oraz czas trwania tego naruszenia. Bez wątpienia, odpowiednie stosowanie przepisów Kpa gwarantuje prawidłową ochronę adresatów nowych rozwiązań systemu MDR.</w:t>
      </w:r>
    </w:p>
    <w:p w:rsidR="00D62378" w:rsidRPr="009A3C86" w:rsidRDefault="00D62378" w:rsidP="00D62378">
      <w:pPr>
        <w:keepNext/>
        <w:keepLines/>
        <w:spacing w:before="40" w:after="0" w:line="360" w:lineRule="auto"/>
        <w:jc w:val="both"/>
        <w:outlineLvl w:val="2"/>
        <w:rPr>
          <w:rFonts w:ascii="Times New Roman" w:eastAsiaTheme="majorEastAsia" w:hAnsi="Times New Roman" w:cstheme="majorBidi"/>
          <w:i/>
          <w:color w:val="000000" w:themeColor="text1"/>
          <w:sz w:val="24"/>
          <w:szCs w:val="24"/>
        </w:rPr>
      </w:pPr>
      <w:r w:rsidRPr="009A3C86">
        <w:rPr>
          <w:rFonts w:ascii="Times New Roman" w:eastAsiaTheme="majorEastAsia" w:hAnsi="Times New Roman" w:cstheme="majorBidi"/>
          <w:i/>
          <w:color w:val="000000" w:themeColor="text1"/>
          <w:sz w:val="24"/>
          <w:szCs w:val="24"/>
        </w:rPr>
        <w:t>Informatyzacja przesyłania informacji o schematach podatkowych.</w:t>
      </w:r>
    </w:p>
    <w:p w:rsidR="00D62378" w:rsidRPr="009A3C86" w:rsidRDefault="00D62378" w:rsidP="00D62378">
      <w:pPr>
        <w:spacing w:before="240" w:after="160" w:line="360" w:lineRule="auto"/>
        <w:jc w:val="both"/>
        <w:rPr>
          <w:rFonts w:ascii="Times New Roman" w:eastAsiaTheme="minorHAnsi" w:hAnsi="Times New Roman"/>
          <w:sz w:val="24"/>
          <w:szCs w:val="24"/>
        </w:rPr>
      </w:pPr>
      <w:r w:rsidRPr="009A3C86">
        <w:rPr>
          <w:rFonts w:ascii="Times New Roman" w:eastAsiaTheme="minorHAnsi" w:hAnsi="Times New Roman"/>
          <w:sz w:val="24"/>
          <w:szCs w:val="24"/>
        </w:rPr>
        <w:t xml:space="preserve">Zakłada się całkowitą informatyzację przesyłania wszystkich informacji, o których mowa w rozdziale </w:t>
      </w:r>
      <w:r w:rsidR="00D155C1" w:rsidRPr="009A3C86">
        <w:rPr>
          <w:rFonts w:ascii="Times New Roman" w:eastAsiaTheme="minorHAnsi" w:hAnsi="Times New Roman"/>
          <w:sz w:val="24"/>
          <w:szCs w:val="24"/>
        </w:rPr>
        <w:t xml:space="preserve">15 </w:t>
      </w:r>
      <w:r w:rsidRPr="009A3C86">
        <w:rPr>
          <w:rFonts w:ascii="Times New Roman" w:eastAsiaTheme="minorHAnsi" w:hAnsi="Times New Roman"/>
          <w:sz w:val="24"/>
          <w:szCs w:val="24"/>
        </w:rPr>
        <w:t xml:space="preserve">Ordynacji podatkowej przekazywanych do Szefa KAS. Przepis art. </w:t>
      </w:r>
      <w:r w:rsidR="00CE6458" w:rsidRPr="009A3C86">
        <w:rPr>
          <w:rFonts w:ascii="Times New Roman" w:eastAsiaTheme="minorHAnsi" w:hAnsi="Times New Roman"/>
          <w:b/>
          <w:sz w:val="24"/>
          <w:szCs w:val="24"/>
        </w:rPr>
        <w:t>319</w:t>
      </w:r>
      <w:r w:rsidRPr="009A3C86">
        <w:rPr>
          <w:rFonts w:ascii="Times New Roman" w:eastAsiaTheme="minorHAnsi" w:hAnsi="Times New Roman"/>
          <w:sz w:val="24"/>
          <w:szCs w:val="24"/>
        </w:rPr>
        <w:t xml:space="preserve">, określa, iż informacje, o których mowa w art. </w:t>
      </w:r>
      <w:r w:rsidR="00D155C1" w:rsidRPr="009A3C86">
        <w:rPr>
          <w:rFonts w:ascii="Times New Roman" w:eastAsiaTheme="minorHAnsi" w:hAnsi="Times New Roman"/>
          <w:sz w:val="24"/>
          <w:szCs w:val="24"/>
        </w:rPr>
        <w:t xml:space="preserve">307 </w:t>
      </w:r>
      <w:r w:rsidRPr="009A3C86">
        <w:rPr>
          <w:rFonts w:ascii="Times New Roman" w:eastAsiaTheme="minorHAnsi" w:hAnsi="Times New Roman"/>
          <w:sz w:val="24"/>
          <w:szCs w:val="24"/>
        </w:rPr>
        <w:t xml:space="preserve">§ 1 i 6, art. </w:t>
      </w:r>
      <w:r w:rsidR="00D155C1" w:rsidRPr="009A3C86">
        <w:rPr>
          <w:rFonts w:ascii="Times New Roman" w:eastAsiaTheme="minorHAnsi" w:hAnsi="Times New Roman"/>
          <w:sz w:val="24"/>
          <w:szCs w:val="24"/>
        </w:rPr>
        <w:t xml:space="preserve">308 </w:t>
      </w:r>
      <w:r w:rsidRPr="009A3C86">
        <w:rPr>
          <w:rFonts w:ascii="Times New Roman" w:eastAsiaTheme="minorHAnsi" w:hAnsi="Times New Roman"/>
          <w:sz w:val="24"/>
          <w:szCs w:val="24"/>
        </w:rPr>
        <w:t xml:space="preserve">§ 1 i 2, art. </w:t>
      </w:r>
      <w:r w:rsidR="00D155C1" w:rsidRPr="009A3C86">
        <w:rPr>
          <w:rFonts w:ascii="Times New Roman" w:eastAsiaTheme="minorHAnsi" w:hAnsi="Times New Roman"/>
          <w:sz w:val="24"/>
          <w:szCs w:val="24"/>
        </w:rPr>
        <w:t xml:space="preserve">309 </w:t>
      </w:r>
      <w:r w:rsidRPr="009A3C86">
        <w:rPr>
          <w:rFonts w:ascii="Times New Roman" w:eastAsiaTheme="minorHAnsi" w:hAnsi="Times New Roman"/>
          <w:sz w:val="24"/>
          <w:szCs w:val="24"/>
        </w:rPr>
        <w:t xml:space="preserve">§ , 3 i </w:t>
      </w:r>
      <w:r w:rsidR="00D155C1" w:rsidRPr="009A3C86">
        <w:rPr>
          <w:rFonts w:ascii="Times New Roman" w:eastAsiaTheme="minorHAnsi" w:hAnsi="Times New Roman"/>
          <w:sz w:val="24"/>
          <w:szCs w:val="24"/>
        </w:rPr>
        <w:t>5</w:t>
      </w:r>
      <w:r w:rsidRPr="009A3C86">
        <w:rPr>
          <w:rFonts w:ascii="Times New Roman" w:eastAsiaTheme="minorHAnsi" w:hAnsi="Times New Roman"/>
          <w:sz w:val="24"/>
          <w:szCs w:val="24"/>
        </w:rPr>
        <w:t xml:space="preserve">, art. </w:t>
      </w:r>
      <w:r w:rsidR="00D155C1" w:rsidRPr="009A3C86">
        <w:rPr>
          <w:rFonts w:ascii="Times New Roman" w:eastAsiaTheme="minorHAnsi" w:hAnsi="Times New Roman"/>
          <w:sz w:val="24"/>
          <w:szCs w:val="24"/>
        </w:rPr>
        <w:t xml:space="preserve">311 </w:t>
      </w:r>
      <w:r w:rsidRPr="009A3C86">
        <w:rPr>
          <w:rFonts w:ascii="Times New Roman" w:eastAsiaTheme="minorHAnsi" w:hAnsi="Times New Roman"/>
          <w:sz w:val="24"/>
          <w:szCs w:val="24"/>
        </w:rPr>
        <w:t xml:space="preserve">§ 4 oraz art. </w:t>
      </w:r>
      <w:r w:rsidR="00D155C1" w:rsidRPr="009A3C86">
        <w:rPr>
          <w:rFonts w:ascii="Times New Roman" w:eastAsiaTheme="minorHAnsi" w:hAnsi="Times New Roman"/>
          <w:sz w:val="24"/>
          <w:szCs w:val="24"/>
        </w:rPr>
        <w:t xml:space="preserve">315 </w:t>
      </w:r>
      <w:r w:rsidRPr="009A3C86">
        <w:rPr>
          <w:rFonts w:ascii="Times New Roman" w:eastAsiaTheme="minorHAnsi" w:hAnsi="Times New Roman"/>
          <w:sz w:val="24"/>
          <w:szCs w:val="24"/>
        </w:rPr>
        <w:t>§ 1 będą przesyłane za pomocą środków komunikacji elektronicznej w postaci elektronicznej odpowiadającej strukturze logicznej. Struktura logiczna postaci elektronicznej tych informacji będzie dostępna w Biuletynie Informacji Publicznej na stronie podmiotowej urzędu obsługującego ministra właściwego do spraw finansów publicznych. Minister właściwy do spraw finansów publicznych określi, w drodze rozporządzenia sposób przesyłania informacji za pomocą środków komunikacji elektronicznej, mając na uwadze usprawnienie wypełniania, przekazywania i przetwarzania tych informacji, oraz uwzględniając potrzebę zapewnienia bezpieczeństwa, wiarygodności i niezaprzeczalności danych w nich zawartych, ich ochrony przed nieuprawnionym dostępem.</w:t>
      </w:r>
    </w:p>
    <w:p w:rsidR="005F6AB7" w:rsidRPr="009A3C86" w:rsidRDefault="005F6AB7" w:rsidP="005F6AB7">
      <w:pPr>
        <w:keepNext/>
        <w:keepLines/>
        <w:spacing w:after="0" w:line="360" w:lineRule="auto"/>
        <w:jc w:val="both"/>
        <w:outlineLvl w:val="1"/>
        <w:rPr>
          <w:rFonts w:ascii="Times New Roman" w:hAnsi="Times New Roman"/>
          <w:b/>
          <w:sz w:val="24"/>
          <w:szCs w:val="24"/>
        </w:rPr>
      </w:pPr>
    </w:p>
    <w:p w:rsidR="005F6AB7" w:rsidRPr="009A3C86" w:rsidRDefault="005F6AB7">
      <w:pPr>
        <w:spacing w:after="0" w:line="360" w:lineRule="auto"/>
        <w:jc w:val="both"/>
        <w:rPr>
          <w:rFonts w:ascii="Times New Roman" w:hAnsi="Times New Roman"/>
          <w:sz w:val="24"/>
          <w:szCs w:val="24"/>
        </w:rPr>
      </w:pPr>
      <w:bookmarkStart w:id="37" w:name="_ftnref1"/>
      <w:bookmarkEnd w:id="37"/>
    </w:p>
    <w:p w:rsidR="007A1F05" w:rsidRPr="009A3C86" w:rsidRDefault="007A1F05"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16. Rachunki</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1. Obowiązek wystawiania rachunków dotyczy osób prowadzących działalność gospodarczą nie zobowiązanych do wystawiania faktur (art. </w:t>
      </w:r>
      <w:r w:rsidR="00074C73" w:rsidRPr="009A3C86">
        <w:rPr>
          <w:rFonts w:ascii="Times New Roman" w:hAnsi="Times New Roman"/>
          <w:b/>
          <w:sz w:val="24"/>
          <w:szCs w:val="24"/>
        </w:rPr>
        <w:t xml:space="preserve">321 </w:t>
      </w:r>
      <w:r w:rsidRPr="009A3C86">
        <w:rPr>
          <w:rFonts w:ascii="Times New Roman" w:hAnsi="Times New Roman"/>
          <w:b/>
          <w:sz w:val="24"/>
          <w:szCs w:val="24"/>
        </w:rPr>
        <w:t>§ 1</w:t>
      </w:r>
      <w:r w:rsidRPr="009A3C86">
        <w:rPr>
          <w:rFonts w:ascii="Times New Roman" w:hAnsi="Times New Roman"/>
          <w:sz w:val="24"/>
          <w:szCs w:val="24"/>
        </w:rPr>
        <w:t>). Rachunek ma dokumentować faktycznie dokonaną sprzedaż i wykonanie usługi.</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Przepisy wskazują podmioty, które nie są zobowiązane do wystawiania rachunków (art. </w:t>
      </w:r>
      <w:r w:rsidR="00533D3E" w:rsidRPr="009A3C86">
        <w:rPr>
          <w:rFonts w:ascii="Times New Roman" w:hAnsi="Times New Roman"/>
          <w:b/>
          <w:sz w:val="24"/>
          <w:szCs w:val="24"/>
        </w:rPr>
        <w:t xml:space="preserve">321 </w:t>
      </w:r>
      <w:r w:rsidRPr="009A3C86">
        <w:rPr>
          <w:rFonts w:ascii="Times New Roman" w:hAnsi="Times New Roman"/>
          <w:b/>
          <w:sz w:val="24"/>
          <w:szCs w:val="24"/>
        </w:rPr>
        <w:t>§ 2</w:t>
      </w:r>
      <w:r w:rsidRPr="009A3C86">
        <w:rPr>
          <w:rFonts w:ascii="Times New Roman" w:hAnsi="Times New Roman"/>
          <w:sz w:val="24"/>
          <w:szCs w:val="24"/>
        </w:rPr>
        <w:t>). Obowiązek wystawiania rachunków nie dotyczy rolników sprzedających, pochodzące z własnej produkcji lub hodowli, produkty roślinne i zwierzęce nieprzerobione sposobem przemysłowym. Wyjątek ten nie ma zastosowania, jeśli sprzedaż dokonywana jest przy zastosowaniu odrębnych, stałych (w tym także sezonowych lub okresowych) punktów sprzedaży położonych poza obrębem uprawy lub hodowli (praktycznie – poza obrębem gospodarstwa w znaczeniu ekonomicznym) z wyłączeniem sprzedaży dokonywanej w miejscach przeznaczonych do prowadzenia handlu, o których mowa w art. 20 ust. 1c pkt 3 lit. b ustawy z dnia 26 lipca 1991 r. o podatku dochodowym od osób fizycznych .</w:t>
      </w:r>
    </w:p>
    <w:p w:rsidR="007A1F05" w:rsidRPr="009A3C86" w:rsidRDefault="007A1F05" w:rsidP="007A1F05">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2. Rachunek wystawia się na żądanie kupującego lub usługobiorcy. Jeżeli żądanie zgłoszone zostało przed wydaniem towaru, w trakcie wydawania towaru lub przed zakończeniem wykonania usługi (a praktycznie – do końca dnia, w którym te zdarzenia nastąpiły), rachunek powinien zostać wystawiony w ciągu 15 dni od ich zaistnienia. Żądanie późniejsze (ale nie późniejsze niż 3 miesiące od dnia wydania towaru lub zakończenia wykonywania usługi - po upływie tego terminu wystawienie rachunku jest prawem, a nie obowiązkiem podatnika), powoduje obowiązek wystawienia rachunku w ciągu 15 dni od dnia zgłoszenia żądania (art. </w:t>
      </w:r>
      <w:r w:rsidR="00533D3E" w:rsidRPr="009A3C86">
        <w:rPr>
          <w:rFonts w:ascii="Times New Roman" w:hAnsi="Times New Roman"/>
          <w:b/>
          <w:sz w:val="24"/>
          <w:szCs w:val="24"/>
        </w:rPr>
        <w:t xml:space="preserve">321 </w:t>
      </w:r>
      <w:r w:rsidRPr="009A3C86">
        <w:rPr>
          <w:rFonts w:ascii="Times New Roman" w:hAnsi="Times New Roman"/>
          <w:b/>
          <w:sz w:val="24"/>
          <w:szCs w:val="24"/>
        </w:rPr>
        <w:t>§ 3-4</w:t>
      </w:r>
      <w:r w:rsidRPr="009A3C86">
        <w:rPr>
          <w:rFonts w:ascii="Times New Roman" w:hAnsi="Times New Roman"/>
          <w:sz w:val="24"/>
          <w:szCs w:val="24"/>
        </w:rPr>
        <w:t>). Projektowane przepisy wydłużyły termin do wystawienia rachunku z 7 do 15 dni.</w:t>
      </w:r>
    </w:p>
    <w:p w:rsidR="007A1F05" w:rsidRPr="009A3C86" w:rsidRDefault="007A1F05" w:rsidP="00463D52">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3. Art. </w:t>
      </w:r>
      <w:r w:rsidR="00533D3E" w:rsidRPr="009A3C86">
        <w:rPr>
          <w:rFonts w:ascii="Times New Roman" w:hAnsi="Times New Roman"/>
          <w:b/>
          <w:sz w:val="24"/>
          <w:szCs w:val="24"/>
        </w:rPr>
        <w:t xml:space="preserve">322 </w:t>
      </w:r>
      <w:r w:rsidRPr="009A3C86">
        <w:rPr>
          <w:rFonts w:ascii="Times New Roman" w:hAnsi="Times New Roman"/>
          <w:sz w:val="24"/>
          <w:szCs w:val="24"/>
        </w:rPr>
        <w:t>reguluje termin przechowywania kopii rachunków przez ich wystawców oraz termin przechowywania rachunków  przez podmioty obowiązane do ich żądania.</w:t>
      </w:r>
    </w:p>
    <w:p w:rsidR="00DC7EAC" w:rsidRPr="009A3C86" w:rsidRDefault="00DC7EAC" w:rsidP="00D72E74">
      <w:pPr>
        <w:spacing w:after="120" w:line="360" w:lineRule="auto"/>
        <w:jc w:val="both"/>
        <w:rPr>
          <w:rFonts w:ascii="Times New Roman" w:hAnsi="Times New Roman"/>
          <w:b/>
          <w:sz w:val="24"/>
          <w:szCs w:val="24"/>
        </w:rPr>
      </w:pPr>
      <w:r w:rsidRPr="009A3C86">
        <w:rPr>
          <w:rFonts w:ascii="Times New Roman" w:hAnsi="Times New Roman"/>
          <w:b/>
          <w:sz w:val="24"/>
          <w:szCs w:val="24"/>
        </w:rPr>
        <w:t>Dział III. Postępowanie podatkowe</w:t>
      </w:r>
    </w:p>
    <w:p w:rsidR="00DC7EAC" w:rsidRPr="009A3C86" w:rsidRDefault="00DC7EAC" w:rsidP="00DC7EAC">
      <w:pPr>
        <w:spacing w:after="0" w:line="360" w:lineRule="auto"/>
        <w:jc w:val="both"/>
        <w:rPr>
          <w:rFonts w:ascii="Times New Roman" w:hAnsi="Times New Roman"/>
          <w:b/>
          <w:sz w:val="24"/>
          <w:szCs w:val="24"/>
        </w:rPr>
      </w:pPr>
      <w:r w:rsidRPr="009A3C86">
        <w:rPr>
          <w:rFonts w:ascii="Times New Roman" w:hAnsi="Times New Roman"/>
          <w:b/>
          <w:sz w:val="24"/>
          <w:szCs w:val="24"/>
        </w:rPr>
        <w:t>Rozdział 1. Strona</w:t>
      </w:r>
    </w:p>
    <w:p w:rsidR="00DC7EAC" w:rsidRPr="009A3C86" w:rsidRDefault="00DC7EAC" w:rsidP="00DC7EAC">
      <w:pPr>
        <w:spacing w:after="0" w:line="360" w:lineRule="auto"/>
        <w:jc w:val="both"/>
        <w:rPr>
          <w:rFonts w:ascii="Times New Roman" w:hAnsi="Times New Roman"/>
          <w:sz w:val="24"/>
          <w:szCs w:val="24"/>
        </w:rPr>
      </w:pPr>
      <w:r w:rsidRPr="009A3C86">
        <w:rPr>
          <w:rFonts w:ascii="Times New Roman" w:hAnsi="Times New Roman"/>
          <w:sz w:val="24"/>
          <w:szCs w:val="24"/>
        </w:rPr>
        <w:t xml:space="preserve">1. W nowej ordynacji podatkowej należy przede wszystkich dokonać racjonalizacji istniejących przepisów, które posiadać będą ogólny walor w odniesieniu do większości podatków. Zasadne jest w tym zakresie rozgraniczenie części regulacji odnoszących się bezpośrednio do strony postępowania i przeniesienie ich do przepisów szczególnych w taki sposób, ażeby zachowując dotychczasową ochronę statusu procesowego strony, zapewnić przejrzystość kształtowanych regulacji. </w:t>
      </w:r>
    </w:p>
    <w:p w:rsidR="00DC7EAC" w:rsidRPr="009A3C86" w:rsidRDefault="00DC7EAC" w:rsidP="00DC7EAC">
      <w:pPr>
        <w:spacing w:after="0" w:line="360" w:lineRule="auto"/>
        <w:jc w:val="both"/>
        <w:rPr>
          <w:rFonts w:ascii="Times New Roman" w:hAnsi="Times New Roman"/>
          <w:sz w:val="24"/>
          <w:szCs w:val="24"/>
        </w:rPr>
      </w:pPr>
      <w:r w:rsidRPr="009A3C86">
        <w:rPr>
          <w:rFonts w:ascii="Times New Roman" w:hAnsi="Times New Roman"/>
          <w:sz w:val="24"/>
          <w:szCs w:val="24"/>
        </w:rPr>
        <w:t xml:space="preserve">2. W art. </w:t>
      </w:r>
      <w:r w:rsidR="00533D3E" w:rsidRPr="009A3C86">
        <w:rPr>
          <w:rFonts w:ascii="Times New Roman" w:hAnsi="Times New Roman"/>
          <w:b/>
          <w:sz w:val="24"/>
          <w:szCs w:val="24"/>
        </w:rPr>
        <w:t>323</w:t>
      </w:r>
      <w:r w:rsidR="00533D3E" w:rsidRPr="009A3C86">
        <w:rPr>
          <w:rFonts w:ascii="Times New Roman" w:hAnsi="Times New Roman"/>
          <w:sz w:val="24"/>
          <w:szCs w:val="24"/>
        </w:rPr>
        <w:t xml:space="preserve"> </w:t>
      </w:r>
      <w:r w:rsidRPr="009A3C86">
        <w:rPr>
          <w:rFonts w:ascii="Times New Roman" w:hAnsi="Times New Roman"/>
          <w:sz w:val="24"/>
          <w:szCs w:val="24"/>
        </w:rPr>
        <w:t xml:space="preserve">proponuje się pozostawienie dotychczasowej zasady wskazującej, komu przysługuje status strony w postępowaniu podatkowym. Decydujące znaczenie w aspekcie przyznania podmiotowości strony odgrywa interes prawny podmiotu, który wnosi o dokonanie </w:t>
      </w:r>
      <w:r w:rsidRPr="009A3C86">
        <w:rPr>
          <w:rFonts w:ascii="Times New Roman" w:hAnsi="Times New Roman"/>
          <w:sz w:val="24"/>
          <w:szCs w:val="24"/>
        </w:rPr>
        <w:lastRenderedPageBreak/>
        <w:t xml:space="preserve">określonej czynności przez organ podatkowy. Rozwiązanie to z drobnymi modyfikacjami znane jest z dotychczas obowiązującego art. 133 o.p. </w:t>
      </w:r>
    </w:p>
    <w:p w:rsidR="00DC7EAC" w:rsidRPr="009A3C86" w:rsidRDefault="00DC7EAC" w:rsidP="00DC7EAC">
      <w:pPr>
        <w:spacing w:after="0" w:line="360" w:lineRule="auto"/>
        <w:jc w:val="both"/>
        <w:rPr>
          <w:rFonts w:ascii="Times New Roman" w:hAnsi="Times New Roman"/>
          <w:sz w:val="24"/>
          <w:szCs w:val="24"/>
        </w:rPr>
      </w:pPr>
      <w:r w:rsidRPr="009A3C86">
        <w:rPr>
          <w:rFonts w:ascii="Times New Roman" w:hAnsi="Times New Roman"/>
          <w:sz w:val="24"/>
          <w:szCs w:val="24"/>
        </w:rPr>
        <w:t xml:space="preserve">Jednocześnie zasadne jest pozostawienie w </w:t>
      </w:r>
      <w:r w:rsidRPr="009A3C86">
        <w:rPr>
          <w:rFonts w:ascii="Times New Roman" w:hAnsi="Times New Roman"/>
          <w:b/>
          <w:sz w:val="24"/>
          <w:szCs w:val="24"/>
        </w:rPr>
        <w:t>§ 2</w:t>
      </w:r>
      <w:r w:rsidRPr="009A3C86">
        <w:rPr>
          <w:rFonts w:ascii="Times New Roman" w:hAnsi="Times New Roman"/>
          <w:sz w:val="24"/>
          <w:szCs w:val="24"/>
        </w:rPr>
        <w:t xml:space="preserve"> regulacji odnoszącej się do możliwości uzyskania statusu strony również przez inny podmiot, jeżeli spoczywają na nim szczególne obowiązki przed powstaniem obowiązku podatkowego lub jeżeli podmiot ten zamierza skorzystać z określonych w przepisach podatkowych uprawnień (odpowiednik § 2 art. 133 o.p.). </w:t>
      </w:r>
    </w:p>
    <w:p w:rsidR="00DC7EAC" w:rsidRPr="009A3C86" w:rsidRDefault="00DC7EAC" w:rsidP="00DC7EAC">
      <w:pPr>
        <w:spacing w:after="0" w:line="360" w:lineRule="auto"/>
        <w:jc w:val="both"/>
        <w:rPr>
          <w:rFonts w:ascii="Times New Roman" w:hAnsi="Times New Roman"/>
          <w:sz w:val="24"/>
          <w:szCs w:val="24"/>
        </w:rPr>
      </w:pPr>
      <w:r w:rsidRPr="009A3C86">
        <w:rPr>
          <w:rFonts w:ascii="Times New Roman" w:hAnsi="Times New Roman"/>
          <w:sz w:val="24"/>
          <w:szCs w:val="24"/>
        </w:rPr>
        <w:t xml:space="preserve">3. W art. </w:t>
      </w:r>
      <w:r w:rsidR="00533D3E" w:rsidRPr="009A3C86">
        <w:rPr>
          <w:rFonts w:ascii="Times New Roman" w:hAnsi="Times New Roman"/>
          <w:b/>
          <w:sz w:val="24"/>
          <w:szCs w:val="24"/>
        </w:rPr>
        <w:t>324</w:t>
      </w:r>
      <w:r w:rsidR="00533D3E" w:rsidRPr="009A3C86">
        <w:rPr>
          <w:rFonts w:ascii="Times New Roman" w:hAnsi="Times New Roman"/>
          <w:sz w:val="24"/>
          <w:szCs w:val="24"/>
        </w:rPr>
        <w:t xml:space="preserve"> </w:t>
      </w:r>
      <w:r w:rsidRPr="009A3C86">
        <w:rPr>
          <w:rFonts w:ascii="Times New Roman" w:hAnsi="Times New Roman"/>
          <w:sz w:val="24"/>
          <w:szCs w:val="24"/>
        </w:rPr>
        <w:t xml:space="preserve">proponuje się pozostawienie możliwości zapewnienia udziału organizacji społecznej w postępowaniu podatkowym w sytuacjach, gdy uzasadnione jest to celami statutowymi tej organizacji i przemawia za tym interes publiczny. W tym zakresie proponowane przepisy zostaną zachowane w brzmieniu wynikającym z dotychczasowego art. 133a o.p. </w:t>
      </w:r>
    </w:p>
    <w:p w:rsidR="00DC7EAC" w:rsidRPr="009A3C86" w:rsidRDefault="00DC7EAC" w:rsidP="00DC7EAC">
      <w:pPr>
        <w:spacing w:after="0" w:line="360" w:lineRule="auto"/>
        <w:jc w:val="both"/>
        <w:rPr>
          <w:rFonts w:ascii="Times New Roman" w:hAnsi="Times New Roman"/>
          <w:sz w:val="24"/>
          <w:szCs w:val="24"/>
        </w:rPr>
      </w:pPr>
      <w:r w:rsidRPr="009A3C86">
        <w:rPr>
          <w:rFonts w:ascii="Times New Roman" w:hAnsi="Times New Roman"/>
          <w:sz w:val="24"/>
          <w:szCs w:val="24"/>
        </w:rPr>
        <w:t>4. Pozostałe regulacje znane z dotychczas obowiązującego art. 133 o.p. § 2a - § 3 (strona w postępowaniu podatkowym) z uwagi na to, iż dotyczą rozwiązań w ramach poszczególnych podatków w sferze określenia podmiotów mogących uzyskać status strony postępowania, powinny znaleźć swoje miejsce w unormowaniach zawartych w przepisach szczegółowego prawa podatkowego. Mianowicie rozwiązanie przewidziane w dotychczasowym art. 133 § 2a</w:t>
      </w:r>
      <w:r w:rsidR="005C768B" w:rsidRPr="009A3C86">
        <w:rPr>
          <w:rFonts w:ascii="Times New Roman" w:hAnsi="Times New Roman"/>
          <w:sz w:val="24"/>
          <w:szCs w:val="24"/>
        </w:rPr>
        <w:t>,</w:t>
      </w:r>
      <w:r w:rsidRPr="009A3C86">
        <w:rPr>
          <w:rFonts w:ascii="Times New Roman" w:hAnsi="Times New Roman"/>
          <w:sz w:val="24"/>
          <w:szCs w:val="24"/>
        </w:rPr>
        <w:t xml:space="preserve"> zgodnie z którym stroną w postępowaniu podatkowym w sprawach dotyczących zwrotu podatku od towarów i usług może być wspólnik rozwiązanej spółki cywilnej, uprawniony na podstawie przepisów o podatku od towarów i usług do otrzymania zwrotu podatku na gruncie nowych przepisów, znajduje się w art. </w:t>
      </w:r>
      <w:r w:rsidR="00383EF6" w:rsidRPr="009A3C86">
        <w:rPr>
          <w:rFonts w:ascii="Times New Roman" w:hAnsi="Times New Roman"/>
          <w:sz w:val="24"/>
          <w:szCs w:val="24"/>
        </w:rPr>
        <w:t xml:space="preserve">233 </w:t>
      </w:r>
      <w:r w:rsidRPr="009A3C86">
        <w:rPr>
          <w:rFonts w:ascii="Times New Roman" w:hAnsi="Times New Roman"/>
          <w:sz w:val="24"/>
          <w:szCs w:val="24"/>
        </w:rPr>
        <w:t xml:space="preserve">w zw. z </w:t>
      </w:r>
      <w:r w:rsidR="00383EF6" w:rsidRPr="009A3C86">
        <w:rPr>
          <w:rFonts w:ascii="Times New Roman" w:hAnsi="Times New Roman"/>
          <w:sz w:val="24"/>
          <w:szCs w:val="24"/>
        </w:rPr>
        <w:t xml:space="preserve">189 </w:t>
      </w:r>
      <w:r w:rsidRPr="009A3C86">
        <w:rPr>
          <w:rFonts w:ascii="Times New Roman" w:hAnsi="Times New Roman"/>
          <w:sz w:val="24"/>
          <w:szCs w:val="24"/>
        </w:rPr>
        <w:t xml:space="preserve">§ 2 pkt 2. Dotychczasowe rozwiązanie przewidziane w art. 133 § 2b znajduje się w przepisach dotyczących nadpłat, tj. art. </w:t>
      </w:r>
      <w:r w:rsidR="00383EF6" w:rsidRPr="009A3C86">
        <w:rPr>
          <w:rFonts w:ascii="Times New Roman" w:hAnsi="Times New Roman"/>
          <w:sz w:val="24"/>
          <w:szCs w:val="24"/>
        </w:rPr>
        <w:t xml:space="preserve">189 </w:t>
      </w:r>
      <w:r w:rsidRPr="009A3C86">
        <w:rPr>
          <w:rFonts w:ascii="Times New Roman" w:hAnsi="Times New Roman"/>
          <w:sz w:val="24"/>
          <w:szCs w:val="24"/>
        </w:rPr>
        <w:t>§ 2 pkt 2. Jednocześnie dotychczasowy przepis art. 133 § 3 został przeniesiony do przepisów ustawy o podatku dochodowym od osób fizycznych (art. 6a ust 3d).</w:t>
      </w:r>
    </w:p>
    <w:p w:rsidR="00DC7EAC" w:rsidRPr="009A3C86" w:rsidRDefault="00DC7EAC" w:rsidP="00DC7EAC">
      <w:pPr>
        <w:spacing w:after="0" w:line="360" w:lineRule="auto"/>
        <w:jc w:val="both"/>
        <w:rPr>
          <w:rFonts w:ascii="Times New Roman" w:hAnsi="Times New Roman"/>
          <w:sz w:val="24"/>
          <w:szCs w:val="24"/>
        </w:rPr>
      </w:pPr>
      <w:r w:rsidRPr="009A3C86">
        <w:rPr>
          <w:rFonts w:ascii="Times New Roman" w:hAnsi="Times New Roman"/>
          <w:sz w:val="24"/>
          <w:szCs w:val="24"/>
        </w:rPr>
        <w:t xml:space="preserve">Regulacje dotyczące kuratora oraz zdolności do czynności prawnych zostały przeniesione do odrębnego rozdziału </w:t>
      </w:r>
      <w:r w:rsidR="005C768B" w:rsidRPr="009A3C86">
        <w:rPr>
          <w:rFonts w:ascii="Times New Roman" w:hAnsi="Times New Roman"/>
          <w:sz w:val="24"/>
          <w:szCs w:val="24"/>
        </w:rPr>
        <w:t>7</w:t>
      </w:r>
      <w:r w:rsidRPr="009A3C86">
        <w:rPr>
          <w:rFonts w:ascii="Times New Roman" w:hAnsi="Times New Roman"/>
          <w:sz w:val="24"/>
          <w:szCs w:val="24"/>
        </w:rPr>
        <w:t xml:space="preserve"> </w:t>
      </w:r>
      <w:r w:rsidR="005C768B" w:rsidRPr="009A3C86">
        <w:rPr>
          <w:rFonts w:ascii="Times New Roman" w:hAnsi="Times New Roman"/>
          <w:sz w:val="24"/>
          <w:szCs w:val="24"/>
        </w:rPr>
        <w:t xml:space="preserve">w dziale I </w:t>
      </w:r>
      <w:r w:rsidRPr="009A3C86">
        <w:rPr>
          <w:rFonts w:ascii="Times New Roman" w:hAnsi="Times New Roman"/>
          <w:sz w:val="24"/>
          <w:szCs w:val="24"/>
        </w:rPr>
        <w:t>„Reprezentacja i pełnomocnictwo”.</w:t>
      </w:r>
    </w:p>
    <w:p w:rsidR="0085545A" w:rsidRPr="009A3C86" w:rsidRDefault="0085545A" w:rsidP="00D72E74">
      <w:pPr>
        <w:tabs>
          <w:tab w:val="num" w:pos="720"/>
        </w:tabs>
        <w:spacing w:after="120" w:line="360" w:lineRule="auto"/>
        <w:jc w:val="both"/>
        <w:outlineLvl w:val="2"/>
        <w:rPr>
          <w:rFonts w:ascii="Times New Roman" w:hAnsi="Times New Roman"/>
          <w:b/>
          <w:bCs/>
          <w:sz w:val="24"/>
          <w:szCs w:val="24"/>
        </w:rPr>
      </w:pPr>
      <w:bookmarkStart w:id="38" w:name="_Toc494363268"/>
      <w:r w:rsidRPr="009A3C86">
        <w:rPr>
          <w:rFonts w:ascii="Times New Roman" w:hAnsi="Times New Roman"/>
          <w:b/>
          <w:bCs/>
          <w:sz w:val="24"/>
          <w:szCs w:val="24"/>
        </w:rPr>
        <w:t>Rozdział 2. Załatwianie spraw</w:t>
      </w:r>
      <w:bookmarkEnd w:id="38"/>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1. Jedną z zasad ogólnych postępowania podatkowego jest zasada szybkości postępowania. Bezczynność organu podatkowego lub przewlekłe prowadzenie postępowania godzi w zaufanie obywatela do organów państwa. Terminowość postępowań podatkowych w ostatnich latach zasadniczo uległa poprawie, jednak nadal występują w tym zakresie sytuacje niepożądane</w:t>
      </w:r>
      <w:r w:rsidRPr="009A3C86">
        <w:rPr>
          <w:rFonts w:ascii="Times New Roman" w:hAnsi="Times New Roman"/>
          <w:sz w:val="24"/>
          <w:szCs w:val="24"/>
          <w:vertAlign w:val="superscript"/>
        </w:rPr>
        <w:footnoteReference w:id="388"/>
      </w:r>
      <w:r w:rsidRPr="009A3C86">
        <w:rPr>
          <w:rFonts w:ascii="Times New Roman" w:hAnsi="Times New Roman"/>
          <w:sz w:val="24"/>
          <w:szCs w:val="24"/>
        </w:rPr>
        <w:t xml:space="preserve">. W Informacji Najwyższej Izby Kontroli z dnia 3 czerwca 2014 r. o wynikach kontroli pod </w:t>
      </w:r>
      <w:r w:rsidRPr="009A3C86">
        <w:rPr>
          <w:rFonts w:ascii="Times New Roman" w:hAnsi="Times New Roman"/>
          <w:sz w:val="24"/>
          <w:szCs w:val="24"/>
        </w:rPr>
        <w:lastRenderedPageBreak/>
        <w:t>tytułem „Przestrzeganie praw podatników przez wybrane urzędy skarbowe i izby skarbowe”</w:t>
      </w:r>
      <w:r w:rsidRPr="009A3C86">
        <w:rPr>
          <w:rFonts w:ascii="Times New Roman" w:hAnsi="Times New Roman"/>
          <w:sz w:val="24"/>
          <w:szCs w:val="24"/>
          <w:vertAlign w:val="superscript"/>
        </w:rPr>
        <w:footnoteReference w:id="389"/>
      </w:r>
      <w:r w:rsidRPr="009A3C86">
        <w:rPr>
          <w:rFonts w:ascii="Times New Roman" w:hAnsi="Times New Roman"/>
          <w:sz w:val="24"/>
          <w:szCs w:val="24"/>
        </w:rPr>
        <w:t xml:space="preserve">, stwierdzono, że „Postępowania podatkowe były wszczynane w ustawowym terminie i – z nielicznymi wyjątkami – prowadzone bez zbędnej zwłoki, pomimo przekroczenia ustawowego terminu.” Stwierdzono też jednak, że „(...) w trzech z sześciu kontrolowanych izb skarbowych postępowania odwoławcze były prowadzone przewlekle, z naruszeniem zasady szybkości działania, co podważało zaufanie do organów podatkowych”.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Analizując zjawisko bezczynności i przewlekłości oraz metody jego zwalczania, warto też zwrócić uwagę na stereotypy panujące w tym zakresie w świadomości społecznej</w:t>
      </w:r>
      <w:r w:rsidRPr="009A3C86">
        <w:rPr>
          <w:rFonts w:ascii="Times New Roman" w:hAnsi="Times New Roman"/>
          <w:sz w:val="24"/>
          <w:szCs w:val="24"/>
          <w:vertAlign w:val="superscript"/>
        </w:rPr>
        <w:footnoteReference w:id="390"/>
      </w:r>
      <w:r w:rsidRPr="009A3C86">
        <w:rPr>
          <w:rFonts w:ascii="Times New Roman" w:hAnsi="Times New Roman"/>
          <w:sz w:val="24"/>
          <w:szCs w:val="24"/>
        </w:rPr>
        <w:t>, gdzie przekonanie o bezczynności administracji jest bardzo mocno zakorzenione (94% osób o tym słyszało, a 42% doświadczyło bezczynności bezpośrednio). Blisko połowa badanych (49,6%) uważa, że zjawisko bezczynności występuje w Polsce często lub bardzo często. Sprawy podatkowe wskazywane są jako trzeci najpoważniejszy obszar bezczynności (po sprawach pozwoleń na budowę i pomocy społecznej). Wśród spraw często dotkniętych bezczynnością wskazywano sprawy, w których to urząd musiał wypłacić określone świadczenia bądź też zwolnić obywatela od zobowiązań. Bezczynność nie dotyczy sprawy wymiaru i poboru podatku. W odczuciu społecznym organy administracji działają sprawnie jedynie w przypadku, gdy same otrzymują korzyść w trakcie postępowania. Zdecydowana większość badanych stwierdziła, że bezczynność administracji ma z punktu widzenia klienta administracji bardzo duże lub duże znaczenie (odpowiednio: 63,3% i 32,4%). Bezczynność wydłużająca czas załatwienia sprawy w organach administracji z pewnością nie sprzyja ani zadowoleniu klienta, ani też wizerunkowi urzędu. Niepewność co do terminu rozpatrzenia danej sprawy, brak informacji i nieuzasadnione oczekiwanie może sprawić, że klient administracji publicznej czuje się bezsilny. Większość badanych stwierdziła, że obecne środki są jedynie umiarkowanie skuteczne. Panuje przekonanie, że o skuteczności zwalczania bezczynności lub przewlekłości decyduje reakcja organu nadrzędnego. Poprzez interwencje u organów zwierzchnich możliwe jest przyspieszenie terminów działania organów administracji.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latach 2010-2014 naczelnicy urzędów skarbowych przeprowadzili średniorocznie ok. 410 tys. postępowań podatkowych, a średnia długość postępowania wyniosła 62 dni. W tym samym okresie dyrektorzy izb skarbowych przeprowadzili średniorocznie ok. 23 tys. postępowań podatkowych, a średnia długość postępowania to 110 dni. W latach 2010-2014 uznano za </w:t>
      </w:r>
      <w:r w:rsidRPr="009A3C86">
        <w:rPr>
          <w:rFonts w:ascii="Times New Roman" w:hAnsi="Times New Roman"/>
          <w:sz w:val="24"/>
          <w:szCs w:val="24"/>
        </w:rPr>
        <w:lastRenderedPageBreak/>
        <w:t>zasadne 321 ponagleń na działanie urzędów skarbowych (stwierdzono rażące naruszenie prawa 3 razy w 2013 r., raz w 2014 r.), przy rozpoznaniu w tym okresie ogółem 2521 ponagleń</w:t>
      </w:r>
      <w:r w:rsidRPr="009A3C86">
        <w:rPr>
          <w:rFonts w:ascii="Times New Roman" w:hAnsi="Times New Roman"/>
          <w:sz w:val="24"/>
          <w:szCs w:val="24"/>
          <w:vertAlign w:val="superscript"/>
        </w:rPr>
        <w:footnoteReference w:id="391"/>
      </w:r>
      <w:r w:rsidRPr="009A3C86">
        <w:rPr>
          <w:rFonts w:ascii="Times New Roman" w:hAnsi="Times New Roman"/>
          <w:sz w:val="24"/>
          <w:szCs w:val="24"/>
        </w:rPr>
        <w:t xml:space="preserve">. Wskazać także należy, że skorzystanie z prawa złożenia ponaglenia w dużej mierze zależy od charakteru prowadzonego postępowania. Doświadczenie wskazuje, że podatnicy korzystają z ponaglenia wówczas, gdy zależy im na szybkim zakończeniu postępowania wszczętego na wniosek. Skrócenie czasu postępowania następuje w przypadku uznania ponaglenia za zasadne i wyznaczenia przez organ wyższego stopnia terminu załatwienia sprawy. Niezależnie od stopnia wykorzystywania instytucji ponaglenia w stosunku do wszystkich postępowań podatkowych koniecznym jest </w:t>
      </w:r>
      <w:r w:rsidRPr="009A3C86">
        <w:rPr>
          <w:rFonts w:ascii="Times New Roman" w:hAnsi="Times New Roman"/>
          <w:spacing w:val="-2"/>
          <w:sz w:val="24"/>
          <w:szCs w:val="24"/>
        </w:rPr>
        <w:t xml:space="preserve">zapewnienie </w:t>
      </w:r>
      <w:r w:rsidRPr="009A3C86">
        <w:rPr>
          <w:rFonts w:ascii="Times New Roman" w:hAnsi="Times New Roman"/>
          <w:sz w:val="24"/>
          <w:szCs w:val="24"/>
        </w:rPr>
        <w:t>podatnikom prawa do zaskarżenia ewentualnej bezczynności organu lub przewlekle prowadzonego postępowania. Powyższe dane wskazują, że średni czas trwania postępowania naczelnika urzędu skarbowego jest zbliżony do maksymalnego terminu dopuszczonego w art. 139 § 1 o.p. Analogiczny termin postępowań dyrektorów izb skarbowych określony w art. 139 § 3 o.p. jest jednak przekroczony. Oznacza to, że część postępowań jest prowadzona wyraźnie dłużej, niż ustawa dopuszcza. Zasadne jest więc wzmocnienie pozycji strony postępowania przez wyposażenie jej w efektywne środki prawne działania w sytuacji bezczynnego lub przewlekłego zachowania organu podatkowego.</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Projektowane zmiany ściśle nawiązują do zmian wprowadzonych w art. 36-38 Kodeksu postępowania administracyjnego</w:t>
      </w:r>
      <w:r w:rsidRPr="009A3C86">
        <w:rPr>
          <w:rFonts w:ascii="Times New Roman" w:hAnsi="Times New Roman"/>
          <w:sz w:val="24"/>
          <w:szCs w:val="24"/>
          <w:vertAlign w:val="superscript"/>
        </w:rPr>
        <w:footnoteReference w:id="392"/>
      </w:r>
      <w:r w:rsidRPr="009A3C86">
        <w:rPr>
          <w:rFonts w:ascii="Times New Roman" w:hAnsi="Times New Roman"/>
          <w:sz w:val="24"/>
          <w:szCs w:val="24"/>
        </w:rPr>
        <w:t>.</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lang w:eastAsia="zh-CN"/>
        </w:rPr>
      </w:pPr>
      <w:r w:rsidRPr="009A3C86">
        <w:rPr>
          <w:rFonts w:ascii="Times New Roman" w:hAnsi="Times New Roman"/>
          <w:kern w:val="3"/>
          <w:sz w:val="24"/>
          <w:szCs w:val="24"/>
        </w:rPr>
        <w:t xml:space="preserve">2. W przepisie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325</w:t>
      </w:r>
      <w:r w:rsidR="00D23C45" w:rsidRPr="009A3C86">
        <w:rPr>
          <w:rFonts w:ascii="Times New Roman" w:hAnsi="Times New Roman"/>
          <w:kern w:val="3"/>
          <w:sz w:val="24"/>
          <w:szCs w:val="24"/>
        </w:rPr>
        <w:t xml:space="preserve"> </w:t>
      </w:r>
      <w:r w:rsidRPr="009A3C86">
        <w:rPr>
          <w:rFonts w:ascii="Times New Roman" w:hAnsi="Times New Roman"/>
          <w:kern w:val="3"/>
          <w:sz w:val="24"/>
          <w:szCs w:val="24"/>
        </w:rPr>
        <w:t xml:space="preserve">wyeksponowano, poprzez umieszczenie w § 1, regulację nakazującą niezwłoczne załatwianie spraw, jako regulację podstawową w tym zakresie. Ponadto w stosunku do dotychczasowego art. 139 § 2 o.p. przepis odnosi się do „faktów znanych z urzędu” zamiast „dowodów znanych z urzędu”, co jest zgodne z pojęciami stosowanymi w rozdziale „Dowody” oraz zasadami prowadzenia postępowania dowodowego. Projektowany § 1 pkt 1 lit. a) rozszerza nakaz niezwłocznego załatwienia sprawy, nawiązując także do faktów możliwych do ustalenia na podstawie baz danych i dokumentów organu podatkowego. Sama możliwość szybkiego ustalenia tych faktów poprzez bezpośredni dostęp organu do odpowiednich baz danych lub posiadanych dokumentów urzędowych powinna uzasadniać wymóg niezwłocznego załatwienia sprawy. W tym zakresie nie ma podstaw do prowadzenia postępowania dowodowego uzasadniającego dłuższy termin załatwienia sprawy.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lastRenderedPageBreak/>
        <w:t xml:space="preserve">W projektowanym § 1 pkt 1 lit. b) określa się termin załatwienia sprawy w postępowaniu uproszczonym – 14 dni. Szybkość postępowania jest celem postępowania uproszczonego. Szybkie rozstrzygnięcie sprawy jest główną korzyścią, jaką strona powinna uzyskać, wnioskując albo wyrażając zgodę na postępowanie uproszczone. Z tego przepisu należy też wywodzić normę zobowiązującą organ do dotrzymania tego terminu, jeżeli organ wyszedł z propozycją postępowania uproszczonego, zaakceptowaną przez stronę albo zgodził się na wniosek strony na takie postępowanie. Jeżeli w momencie wszczęcia postępowania uproszczonego organ podatkowy widzi poważne ryzyko niedotrzymania tego terminu, to postępowanie nie powinno być prowadzone w modelu uproszczonym. </w:t>
      </w:r>
    </w:p>
    <w:p w:rsidR="0085545A" w:rsidRPr="009A3C86" w:rsidRDefault="0085545A" w:rsidP="0085545A">
      <w:pPr>
        <w:spacing w:after="0" w:line="360" w:lineRule="auto"/>
        <w:jc w:val="both"/>
        <w:rPr>
          <w:rFonts w:ascii="Times New Roman" w:hAnsi="Times New Roman"/>
          <w:kern w:val="3"/>
          <w:sz w:val="24"/>
          <w:szCs w:val="24"/>
        </w:rPr>
      </w:pPr>
      <w:r w:rsidRPr="009A3C86">
        <w:rPr>
          <w:rFonts w:ascii="Times New Roman" w:hAnsi="Times New Roman"/>
          <w:sz w:val="24"/>
          <w:szCs w:val="24"/>
        </w:rPr>
        <w:t>Przepis § 1 pkt 2 utrzymuje zasadę, że załatwienie sprawy w postępowaniu odwoławczym powinno nastąpić nie później niż w ciągu 2 miesięcy od dnia otrzymania odwołania przez organ odwoławczy.  W</w:t>
      </w:r>
      <w:r w:rsidRPr="009A3C86">
        <w:rPr>
          <w:rFonts w:ascii="Times New Roman" w:hAnsi="Times New Roman"/>
          <w:kern w:val="3"/>
          <w:sz w:val="24"/>
          <w:szCs w:val="24"/>
        </w:rPr>
        <w:t xml:space="preserve"> porównaniu do obecnego art. 139 § 3 o.p., zrezygnowano jedynie z normowania terminu na załatwienie sprawy w postępowaniu odwoławczym, w którym przeprowadzono rozprawę albo złożono wniosek o jej przeprowadzenie. Czynności wymagane przepisami prawa dla przeprowadzenia rozprawy zostały uwzględnione w ogólnej normie wynikającej z projektowanego § 3, więc nie ma potrzeby tworzenia akurat wobec tej instytucji procesowej przepisów szczególnych w zakresie terminu załatwienia sprawy. Ponadto przewidziano możliwość, że „odrębne przepisy” będą stanowić inne terminy załatwienia poszczególnych kategorii sprawy, a nie przepisy ordynacji podatkowej.</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Projektowany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325</w:t>
      </w:r>
      <w:r w:rsidR="00D23C45" w:rsidRPr="009A3C86">
        <w:rPr>
          <w:rFonts w:ascii="Times New Roman" w:hAnsi="Times New Roman"/>
          <w:kern w:val="3"/>
          <w:sz w:val="24"/>
          <w:szCs w:val="24"/>
        </w:rPr>
        <w:t xml:space="preserve"> </w:t>
      </w:r>
      <w:r w:rsidRPr="009A3C86">
        <w:rPr>
          <w:rFonts w:ascii="Times New Roman" w:hAnsi="Times New Roman"/>
          <w:kern w:val="3"/>
          <w:sz w:val="24"/>
          <w:szCs w:val="24"/>
        </w:rPr>
        <w:t xml:space="preserve">§ 2 pkt 1 dotyczący spraw, które </w:t>
      </w:r>
      <w:r w:rsidRPr="009A3C86">
        <w:rPr>
          <w:rFonts w:ascii="Times New Roman" w:hAnsi="Times New Roman"/>
          <w:sz w:val="24"/>
          <w:szCs w:val="24"/>
        </w:rPr>
        <w:t xml:space="preserve">wymagają przeprowadzenia postępowania dowodowego </w:t>
      </w:r>
      <w:r w:rsidRPr="009A3C86">
        <w:rPr>
          <w:rFonts w:ascii="Times New Roman" w:hAnsi="Times New Roman"/>
          <w:kern w:val="3"/>
          <w:sz w:val="24"/>
          <w:szCs w:val="24"/>
        </w:rPr>
        <w:t>jest odpowiednikiem art. 139 § 1 o.p. i zachowuje termin miesiąca lub 2 miesięcy dla spraw szczególnie skomplikowanych.</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shd w:val="clear" w:color="auto" w:fill="FFFFFF"/>
          <w:lang w:eastAsia="pl-PL"/>
        </w:rPr>
      </w:pPr>
      <w:r w:rsidRPr="009A3C86">
        <w:rPr>
          <w:rFonts w:ascii="Times New Roman" w:eastAsia="Times New Roman" w:hAnsi="Times New Roman"/>
          <w:bCs/>
          <w:sz w:val="24"/>
          <w:szCs w:val="24"/>
          <w:lang w:eastAsia="pl-PL"/>
        </w:rPr>
        <w:t xml:space="preserve">W § 2 pkt 2 wprowadza się nowy wyjątek od zasadniczych terminów załatwiania spraw. Wyjątek ten jest adresowany do takich kategorii spraw, gdy z uwagi na specyfikę podatnika (nierezydent) lub podmiot należący do właściwości urzędów skarbowych wyspecjalizowanych do obsługi tzw. „dużych podatników” nie ma realnych przesłanek, aby oczekiwać załatwienia sprawy w terminie wynikającym z powyższych przepisów. Specyfika sprawy podatkowej jest bowiem taka, że wymaga to kontaktu (doręczeń) z podmiotem mającym siedzibę lub miejsce zamieszkania za granicą (dla </w:t>
      </w:r>
      <w:r w:rsidRPr="009A3C86">
        <w:rPr>
          <w:rFonts w:ascii="Times New Roman" w:eastAsia="Times New Roman" w:hAnsi="Times New Roman"/>
          <w:bCs/>
          <w:sz w:val="24"/>
          <w:szCs w:val="24"/>
          <w:shd w:val="clear" w:color="auto" w:fill="FFFFFF"/>
          <w:lang w:eastAsia="pl-PL"/>
        </w:rPr>
        <w:t xml:space="preserve">podatników, dla których właściwość miejscową organów podatkowych określono rozporządzeniem wydanym na podstawie </w:t>
      </w:r>
      <w:r w:rsidRPr="009A3C86">
        <w:rPr>
          <w:rFonts w:ascii="Times New Roman" w:eastAsia="Times New Roman" w:hAnsi="Times New Roman"/>
          <w:b/>
          <w:bCs/>
          <w:sz w:val="24"/>
          <w:szCs w:val="24"/>
          <w:shd w:val="clear" w:color="auto" w:fill="FFFFFF"/>
          <w:lang w:eastAsia="pl-PL"/>
        </w:rPr>
        <w:t xml:space="preserve">art. </w:t>
      </w:r>
      <w:r w:rsidR="00914273" w:rsidRPr="009A3C86">
        <w:rPr>
          <w:rFonts w:ascii="Times New Roman" w:eastAsia="Times New Roman" w:hAnsi="Times New Roman"/>
          <w:b/>
          <w:bCs/>
          <w:sz w:val="24"/>
          <w:szCs w:val="24"/>
          <w:shd w:val="clear" w:color="auto" w:fill="FFFFFF"/>
          <w:lang w:eastAsia="pl-PL"/>
        </w:rPr>
        <w:t>75</w:t>
      </w:r>
      <w:r w:rsidR="00D23C45" w:rsidRPr="009A3C86">
        <w:rPr>
          <w:rFonts w:ascii="Times New Roman" w:eastAsia="Times New Roman" w:hAnsi="Times New Roman"/>
          <w:b/>
          <w:bCs/>
          <w:sz w:val="24"/>
          <w:szCs w:val="24"/>
          <w:shd w:val="clear" w:color="auto" w:fill="FFFFFF"/>
          <w:lang w:eastAsia="pl-PL"/>
        </w:rPr>
        <w:t xml:space="preserve"> </w:t>
      </w:r>
      <w:r w:rsidRPr="009A3C86">
        <w:rPr>
          <w:rFonts w:ascii="Times New Roman" w:eastAsia="Times New Roman" w:hAnsi="Times New Roman"/>
          <w:bCs/>
          <w:sz w:val="24"/>
          <w:szCs w:val="24"/>
          <w:lang w:eastAsia="pl-PL"/>
        </w:rPr>
        <w:t xml:space="preserve">§ 2, </w:t>
      </w:r>
      <w:r w:rsidRPr="009A3C86">
        <w:rPr>
          <w:rFonts w:ascii="Times New Roman" w:eastAsia="Times New Roman" w:hAnsi="Times New Roman"/>
          <w:bCs/>
          <w:sz w:val="24"/>
          <w:szCs w:val="24"/>
          <w:shd w:val="clear" w:color="auto" w:fill="FFFFFF"/>
          <w:lang w:eastAsia="pl-PL"/>
        </w:rPr>
        <w:t xml:space="preserve">ze względu na posiadanie miejsce zamieszkania lub siedziby za granicą), i korzystania w postępowaniu z dokumentacji obcojęzycznej. W prawie podatkowym jest wyodrębniona kategoria podatników i płatników o istotnym znaczeniu gospodarczym lub społecznym, w szczególności wykonujących określony rodzaj działalności gospodarczej lub </w:t>
      </w:r>
      <w:r w:rsidRPr="009A3C86">
        <w:rPr>
          <w:rFonts w:ascii="Times New Roman" w:eastAsia="Times New Roman" w:hAnsi="Times New Roman"/>
          <w:bCs/>
          <w:sz w:val="24"/>
          <w:szCs w:val="24"/>
          <w:shd w:val="clear" w:color="auto" w:fill="FFFFFF"/>
          <w:lang w:eastAsia="pl-PL"/>
        </w:rPr>
        <w:lastRenderedPageBreak/>
        <w:t xml:space="preserve">osiągających określoną wysokość przychodu netto w rozumieniu przepisów o rachunkowości. Katalog tych podmiotów (określony rozporządzeniem wydanym na podstawie art. 11 ust. 6 pkt 1 ustawy </w:t>
      </w:r>
      <w:r w:rsidRPr="009A3C86">
        <w:rPr>
          <w:rFonts w:ascii="Times New Roman" w:eastAsia="Times New Roman" w:hAnsi="Times New Roman"/>
          <w:bCs/>
          <w:sz w:val="24"/>
          <w:szCs w:val="24"/>
          <w:lang w:eastAsia="pl-PL"/>
        </w:rPr>
        <w:t xml:space="preserve">z dnia 16 listopada 2016 r. </w:t>
      </w:r>
      <w:r w:rsidRPr="009A3C86">
        <w:rPr>
          <w:rFonts w:ascii="Times New Roman" w:eastAsia="Times New Roman" w:hAnsi="Times New Roman"/>
          <w:bCs/>
          <w:sz w:val="24"/>
          <w:szCs w:val="24"/>
          <w:shd w:val="clear" w:color="auto" w:fill="FFFFFF"/>
          <w:lang w:eastAsia="pl-PL"/>
        </w:rPr>
        <w:t xml:space="preserve">o Krajowej Administracji Skarbowej) zawiera: podatkowe grupy kapitałowe, banki, zakłady ubezpieczeń, jednostki działające na podstawie przepisów ustawy o obrocie instrumentami finansowymi oraz przepisów o funduszach inwestycyjnych, jednostki działające na podstawie przepisów o organizacji i funkcjonowaniu funduszy emerytalnych, oddziały lub przedstawicielstwa przedsiębiorstw zagranicznych oraz osoby prawne lub jednostki organizacyjne nieposiadające osobowości prawnej, które: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shd w:val="clear" w:color="auto" w:fill="FFFFFF"/>
          <w:lang w:eastAsia="pl-PL"/>
        </w:rPr>
      </w:pPr>
      <w:r w:rsidRPr="009A3C86">
        <w:rPr>
          <w:rFonts w:ascii="Times New Roman" w:eastAsia="Times New Roman" w:hAnsi="Times New Roman"/>
          <w:bCs/>
          <w:sz w:val="24"/>
          <w:szCs w:val="24"/>
          <w:shd w:val="clear" w:color="auto" w:fill="FFFFFF"/>
          <w:lang w:eastAsia="pl-PL"/>
        </w:rPr>
        <w:t xml:space="preserve">- w roku podatkowym osiągnęły przychód netto ze sprzedaży towarów, wyrobów i usług o równowartości w walucie polskiej co najmniej 5 mln euro ustalony na podstawie sprawozdania finansowego sporządzonego zgodnie z przepisami ustawy o rachunkowości albo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shd w:val="clear" w:color="auto" w:fill="FFFFFF"/>
          <w:lang w:eastAsia="pl-PL"/>
        </w:rPr>
      </w:pPr>
      <w:r w:rsidRPr="009A3C86">
        <w:rPr>
          <w:rFonts w:ascii="Times New Roman" w:eastAsia="Times New Roman" w:hAnsi="Times New Roman"/>
          <w:bCs/>
          <w:sz w:val="24"/>
          <w:szCs w:val="24"/>
          <w:shd w:val="clear" w:color="auto" w:fill="FFFFFF"/>
          <w:lang w:eastAsia="pl-PL"/>
        </w:rPr>
        <w:t xml:space="preserve">- jako rezydenci w rozumieniu przepisów ustawy – Prawo dewizowe, biorą udział bezpośrednio lub pośrednio w zarządzaniu przedsiębiorstwami położonymi za granicą lub w ich kontroli, albo posiadają udział w kapitale takich przedsiębiorstw, albo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shd w:val="clear" w:color="auto" w:fill="FFFFFF"/>
          <w:lang w:eastAsia="pl-PL"/>
        </w:rPr>
      </w:pPr>
      <w:r w:rsidRPr="009A3C86">
        <w:rPr>
          <w:rFonts w:ascii="Times New Roman" w:eastAsia="Times New Roman" w:hAnsi="Times New Roman"/>
          <w:bCs/>
          <w:sz w:val="24"/>
          <w:szCs w:val="24"/>
          <w:shd w:val="clear" w:color="auto" w:fill="FFFFFF"/>
          <w:lang w:eastAsia="pl-PL"/>
        </w:rPr>
        <w:t xml:space="preserve">- są zarządzane bezpośrednio lub pośrednio przez nierezydenta w rozumieniu Prawa dewizowego lub nierezydent dysponuje co najmniej 5% głosów na zgromadzeniu wspólników albo na walnym zgromadzeniu, albo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shd w:val="clear" w:color="auto" w:fill="FFFFFF"/>
          <w:lang w:eastAsia="pl-PL"/>
        </w:rPr>
      </w:pPr>
      <w:r w:rsidRPr="009A3C86">
        <w:rPr>
          <w:rFonts w:ascii="Times New Roman" w:eastAsia="Times New Roman" w:hAnsi="Times New Roman"/>
          <w:bCs/>
          <w:sz w:val="24"/>
          <w:szCs w:val="24"/>
          <w:shd w:val="clear" w:color="auto" w:fill="FFFFFF"/>
          <w:lang w:eastAsia="pl-PL"/>
        </w:rPr>
        <w:t xml:space="preserve">- jako rezydenci w rozumieniu przepisów Prawa dewizowego jednocześnie bezpośrednio lub pośrednio biorą udział w zarządzaniu podmiotem krajowym i podmiotem zagranicznym w rozumieniu innych ustaw lub w jego kontroli albo posiadają jednocześnie udział w kapitale takich podmiotów.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shd w:val="clear" w:color="auto" w:fill="FFFFFF"/>
          <w:lang w:eastAsia="pl-PL"/>
        </w:rPr>
      </w:pPr>
      <w:r w:rsidRPr="009A3C86">
        <w:rPr>
          <w:rFonts w:ascii="Times New Roman" w:eastAsia="Times New Roman" w:hAnsi="Times New Roman"/>
          <w:bCs/>
          <w:sz w:val="24"/>
          <w:szCs w:val="24"/>
          <w:shd w:val="clear" w:color="auto" w:fill="FFFFFF"/>
          <w:lang w:eastAsia="pl-PL"/>
        </w:rPr>
        <w:t>Praktyka wskazuje, że sprawy podatkowe tych podmiotów są znacznie bardziej skomplikowane, a postępowania dowodowe bardziej rozległe niż podatników obsługiwanych przez pozostałe urzędy skarbowe. Ustawa nie może zawierać norm iluzorycznych, stanowiących jedynie postulaty nie realne do spełnienia. Taką normą jest obecnie termin załatwienia spraw tych szczególnych kategorii podatników przyjęty tak jak dla wszystkich pozostałych podatników. Wskazać należy, że średni czas trwania postępowań podatkowych wszczętych z urzędu przez naczelników wyspecjalizowanych urzędów skarbowych w okresie od stycznia do września 2018 r. wynosił około 150 dni. Średni czas trwania postępowań liczony jest od wszczęcia postępowania podatkowego (doręczenia postanowienia w tej sprawie) do dnia wydania pierwszej decyzji organu podatkowego. Dla wskazanych kategorii spraw, proponuje się więc urealnienie terminów, aby z</w:t>
      </w:r>
      <w:r w:rsidRPr="009A3C86">
        <w:rPr>
          <w:rFonts w:ascii="Times New Roman" w:eastAsia="Times New Roman" w:hAnsi="Times New Roman"/>
          <w:bCs/>
          <w:sz w:val="24"/>
          <w:szCs w:val="24"/>
          <w:lang w:eastAsia="pl-PL"/>
        </w:rPr>
        <w:t xml:space="preserve">ałatwienie sprawy wymagającej przeprowadzenia postępowania dowodowego powinno nastąpić bez zbędnej zwłoki, jednak nie później niż w ciągu 6 miesięcy, od dnia wszczęcia postępowania, a w postępowaniu odwoławczym nie </w:t>
      </w:r>
      <w:r w:rsidRPr="009A3C86">
        <w:rPr>
          <w:rFonts w:ascii="Times New Roman" w:eastAsia="Times New Roman" w:hAnsi="Times New Roman"/>
          <w:bCs/>
          <w:sz w:val="24"/>
          <w:szCs w:val="24"/>
          <w:lang w:eastAsia="pl-PL"/>
        </w:rPr>
        <w:lastRenderedPageBreak/>
        <w:t>później niż w ciągu 6 miesięcy od dnia otrzymania odwołania przez organ odwoławczy. Proponowane rozwiązanie będzie stanowić rozsądny balans między zasadą prawdy obiektywnej nakazującą ustalenie stanu faktycznego w tych bardziej skomplikowanych sprawach, a zasadą szybkości postępowania.</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 xml:space="preserve">Projektowany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 xml:space="preserve">325 </w:t>
      </w:r>
      <w:r w:rsidRPr="009A3C86">
        <w:rPr>
          <w:rFonts w:ascii="Times New Roman" w:hAnsi="Times New Roman"/>
          <w:kern w:val="3"/>
          <w:sz w:val="24"/>
          <w:szCs w:val="24"/>
        </w:rPr>
        <w:t xml:space="preserve">§ 3 jest odpowiednikiem art. 139 § 4 o.p. Dostrzec jednak należy, że przy wykładni tego przepisu w katalogu „przyczyn niezależnych od organu” powinny być uwzględniane także takie przyczyny, które są niezależne od organu prowadzącego postępowanie, ale równocześnie są zależne od innych organów, np. w przypadku zwrócenia się do tych organów o udzielenie pomocy prawnej, gdy osoba mająca być przesłuchana mieszka w innym województwie lub konieczne jest dokonanie oględzin rzeczy znajdującej się w innej części kraju. Okres trwania rozprawy oraz okres trwania mediacji także wymagają bezpośredniego wyłączenia z terminu załatwienia sprawy, bo nie są to wprost czynności organu podatkowego, dla dokonania których przewidziane są terminy. Regulacja zawarta w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325</w:t>
      </w:r>
      <w:r w:rsidR="00D23C45" w:rsidRPr="009A3C86">
        <w:rPr>
          <w:rFonts w:ascii="Times New Roman" w:hAnsi="Times New Roman"/>
          <w:kern w:val="3"/>
          <w:sz w:val="24"/>
          <w:szCs w:val="24"/>
        </w:rPr>
        <w:t xml:space="preserve"> </w:t>
      </w:r>
      <w:r w:rsidRPr="009A3C86">
        <w:rPr>
          <w:rFonts w:ascii="Times New Roman" w:hAnsi="Times New Roman"/>
          <w:kern w:val="3"/>
          <w:sz w:val="24"/>
          <w:szCs w:val="24"/>
        </w:rPr>
        <w:t>§ 3 dotyczy wszelkich terminów załatwienia spraw tj. zarówno terminów ustawowych załatwienia sprawy (§ 1 i 2), terminów wynikających z zawiadomienia organu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326</w:t>
      </w:r>
      <w:r w:rsidR="00D23C45" w:rsidRPr="009A3C86">
        <w:rPr>
          <w:rFonts w:ascii="Times New Roman" w:hAnsi="Times New Roman"/>
          <w:kern w:val="3"/>
          <w:sz w:val="24"/>
          <w:szCs w:val="24"/>
        </w:rPr>
        <w:t xml:space="preserve"> </w:t>
      </w:r>
      <w:r w:rsidRPr="009A3C86">
        <w:rPr>
          <w:rFonts w:ascii="Times New Roman" w:hAnsi="Times New Roman"/>
          <w:kern w:val="3"/>
          <w:sz w:val="24"/>
          <w:szCs w:val="24"/>
        </w:rPr>
        <w:t>§ 1) oraz wyznaczonych w wyniku rozpatrzenia ponaglenia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328</w:t>
      </w:r>
      <w:r w:rsidR="00D23C45" w:rsidRPr="009A3C86">
        <w:rPr>
          <w:rFonts w:ascii="Times New Roman" w:hAnsi="Times New Roman"/>
          <w:kern w:val="3"/>
          <w:sz w:val="24"/>
          <w:szCs w:val="24"/>
        </w:rPr>
        <w:t xml:space="preserve"> </w:t>
      </w:r>
      <w:r w:rsidRPr="009A3C86">
        <w:rPr>
          <w:rFonts w:ascii="Times New Roman" w:hAnsi="Times New Roman"/>
          <w:kern w:val="3"/>
          <w:sz w:val="24"/>
          <w:szCs w:val="24"/>
        </w:rPr>
        <w:t xml:space="preserve">§ 3 pkt 2).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3. Przepis </w:t>
      </w:r>
      <w:r w:rsidRPr="009A3C86">
        <w:rPr>
          <w:rFonts w:ascii="Times New Roman" w:hAnsi="Times New Roman"/>
          <w:b/>
          <w:kern w:val="3"/>
          <w:sz w:val="24"/>
          <w:szCs w:val="24"/>
        </w:rPr>
        <w:t xml:space="preserve">art. </w:t>
      </w:r>
      <w:r w:rsidR="00D23C45" w:rsidRPr="009A3C86">
        <w:rPr>
          <w:rFonts w:ascii="Times New Roman" w:hAnsi="Times New Roman"/>
          <w:b/>
          <w:kern w:val="3"/>
          <w:sz w:val="24"/>
          <w:szCs w:val="24"/>
        </w:rPr>
        <w:t>326</w:t>
      </w:r>
      <w:r w:rsidR="00D23C45" w:rsidRPr="009A3C86">
        <w:rPr>
          <w:rFonts w:ascii="Times New Roman" w:hAnsi="Times New Roman"/>
          <w:kern w:val="3"/>
          <w:sz w:val="24"/>
          <w:szCs w:val="24"/>
        </w:rPr>
        <w:t xml:space="preserve"> </w:t>
      </w:r>
      <w:r w:rsidRPr="009A3C86">
        <w:rPr>
          <w:rFonts w:ascii="Times New Roman" w:hAnsi="Times New Roman"/>
          <w:kern w:val="3"/>
          <w:sz w:val="24"/>
          <w:szCs w:val="24"/>
        </w:rPr>
        <w:t xml:space="preserve">bazuje na obecnym art. 140 o.p. Utrzymano regulacje nakładające na organ obowiązek zawiadamiania strony o każdym przypadku niezałatwienia sprawy w terminie.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Zmiany polegają na nałożeniu obowiązku sprecyzowania w zawiadomieniu o nowym terminie załatwienia sprawy przyczyny niedotrzymania terminu załatwienia sprawy poprzez wskazanie, czy jest to wynikiem opóźnienia spowodowanego z winy strony albo z winy organu, czy też opóźnienie powstało z przyczyn niezależnych od organu. Przede wszystkim okoliczność spowodowania przez stronę opóźnienia w załatwieniu sprawy jest istotna nie tylko w zakresie procesowym, ale także w zakresie materialnoprawnym poprzez powiązanie z biegiem odsetek za zwłokę lub oprocentowaniem nadpłaty (w niektórych przypadkach). Ważnym pogłębieniem procesowej zasady informowania, a przy tym działaniem zapobiegającym przewlekłości powinno być opatrywanie zawiadomienia o wyznaczeniu dodatkowego terminu załatwienia sprawy pouczeniem strony o prawie wniesienia ponaglenia. Zbędne jest obecne dookreślenie, że zawiadomienie dotyczy niezałatwienia sprawy „we właściwym” terminie. Jest to oczywiste, że termin wynikający z ustawy jest terminem właściwym. Wyłączona jest możliwość samodzielnego wyznaczania terminu załatwienia sprawy przez organ prowadzący postępowanie, gdy termin jest wyznaczany przez organ wyższego stopnia w wyniku rozpatrzenia ponaglenia, co wynika z zastrzeżenia umieszczonego w treści </w:t>
      </w:r>
      <w:r w:rsidRPr="009A3C86">
        <w:rPr>
          <w:rFonts w:ascii="Times New Roman" w:hAnsi="Times New Roman"/>
          <w:b/>
          <w:kern w:val="3"/>
          <w:sz w:val="24"/>
          <w:szCs w:val="24"/>
        </w:rPr>
        <w:t xml:space="preserve">art. </w:t>
      </w:r>
      <w:r w:rsidR="00751283" w:rsidRPr="009A3C86">
        <w:rPr>
          <w:rFonts w:ascii="Times New Roman" w:hAnsi="Times New Roman"/>
          <w:b/>
          <w:kern w:val="3"/>
          <w:sz w:val="24"/>
          <w:szCs w:val="24"/>
        </w:rPr>
        <w:t>326</w:t>
      </w:r>
      <w:r w:rsidR="00751283" w:rsidRPr="009A3C86">
        <w:rPr>
          <w:rFonts w:ascii="Times New Roman" w:hAnsi="Times New Roman"/>
          <w:kern w:val="3"/>
          <w:sz w:val="24"/>
          <w:szCs w:val="24"/>
        </w:rPr>
        <w:t xml:space="preserve"> </w:t>
      </w:r>
      <w:r w:rsidRPr="009A3C86">
        <w:rPr>
          <w:rFonts w:ascii="Times New Roman" w:hAnsi="Times New Roman"/>
          <w:kern w:val="3"/>
          <w:sz w:val="24"/>
          <w:szCs w:val="24"/>
        </w:rPr>
        <w:t>§ 1.</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lastRenderedPageBreak/>
        <w:t>Uznano też za zbędny obecny art. 140 § 2 o.p. skoro obowiązek zawiadomienia o niedotrzymaniu terminu załatwienia sprawy powstaje w każdym przypadku.</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Nowym rozwiązaniem jest wyłączenie obowiązku zawiadomienia o niezałatwieniu sprawy w terminie, jeżeli tego jedyną przyczyną jest doręczanie stronie pism w sposób domniemany (dwukrotne bezskuteczne awizowanie) - § 3. W takim przypadku, z uwagi na 14-dniowy termin awiza, już tylko w przypadku doręczenia w tym trybie postanowienia o wszczęciu postępowania oraz zawiadomienia o prawie zapoznania się z zebranym materiałem dowodowym cały miesięczny termin na załatwienie sprawy zostaje w praktyce „pochłonięty” przez wielokrotne awizowania. Zawiadamianie o niezałatwieniu sprawy w takiej sytuacji zwykle następuje równocześnie z doręczeniem decyzji i prowadzi do nieuzasadnionych kosztów organu prowadzącego postępowanie. Z tych samych przyczyn wyłączono zawiadomienie w przypadku dwukrotnego zawiadamiania o możliwości pobrania pisma doręczanego środkami komunikacji elektronicznej.</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4. Obecnie brak jest dostatecznej harmonizacji między regulacjami art. 140-141 o.p. oraz art. 36-37 k.p.a. w zakresie pojęcia „przewlekłość” i zasad jej zwalczania, co budzi praktyczne wątpliwości. Uzasadnione jest wprowadzenie do o.p. pojęcia „przewlekłości” postępowania wraz z prawem wniesienia ponaglenia. Przyjmując, że bezczynnością jest stan bezprawności, w którym uchybiono terminowi załatwienia sprawy (</w:t>
      </w:r>
      <w:r w:rsidRPr="009A3C86">
        <w:rPr>
          <w:rFonts w:ascii="Times New Roman" w:hAnsi="Times New Roman"/>
          <w:b/>
          <w:kern w:val="3"/>
          <w:sz w:val="24"/>
          <w:szCs w:val="24"/>
        </w:rPr>
        <w:t xml:space="preserve">art. </w:t>
      </w:r>
      <w:r w:rsidR="00751283" w:rsidRPr="009A3C86">
        <w:rPr>
          <w:rFonts w:ascii="Times New Roman" w:hAnsi="Times New Roman"/>
          <w:b/>
          <w:kern w:val="3"/>
          <w:sz w:val="24"/>
          <w:szCs w:val="24"/>
        </w:rPr>
        <w:t>327</w:t>
      </w:r>
      <w:r w:rsidR="00751283" w:rsidRPr="009A3C86">
        <w:rPr>
          <w:rFonts w:ascii="Times New Roman" w:hAnsi="Times New Roman"/>
          <w:kern w:val="3"/>
          <w:sz w:val="24"/>
          <w:szCs w:val="24"/>
        </w:rPr>
        <w:t xml:space="preserve"> </w:t>
      </w:r>
      <w:r w:rsidRPr="009A3C86">
        <w:rPr>
          <w:rFonts w:ascii="Times New Roman" w:hAnsi="Times New Roman"/>
          <w:kern w:val="3"/>
          <w:sz w:val="24"/>
          <w:szCs w:val="24"/>
        </w:rPr>
        <w:t>§ 1 pkt 1), to przewlekłością będzie taki stan, w którym termin załatwienia sprawy jest formalnie zachowany, więc organ podatkowy formalnie „mieści się w terminie”, ale pomimo to postępowanie jest prowadzone dłużej niż jest to niezbędne do załatwienia sprawy (</w:t>
      </w:r>
      <w:r w:rsidRPr="009A3C86">
        <w:rPr>
          <w:rFonts w:ascii="Times New Roman" w:hAnsi="Times New Roman"/>
          <w:b/>
          <w:kern w:val="3"/>
          <w:sz w:val="24"/>
          <w:szCs w:val="24"/>
        </w:rPr>
        <w:t xml:space="preserve">art. </w:t>
      </w:r>
      <w:r w:rsidR="00751283" w:rsidRPr="009A3C86">
        <w:rPr>
          <w:rFonts w:ascii="Times New Roman" w:hAnsi="Times New Roman"/>
          <w:b/>
          <w:kern w:val="3"/>
          <w:sz w:val="24"/>
          <w:szCs w:val="24"/>
        </w:rPr>
        <w:t>327</w:t>
      </w:r>
      <w:r w:rsidR="00751283" w:rsidRPr="009A3C86">
        <w:rPr>
          <w:rFonts w:ascii="Times New Roman" w:hAnsi="Times New Roman"/>
          <w:kern w:val="3"/>
          <w:sz w:val="24"/>
          <w:szCs w:val="24"/>
        </w:rPr>
        <w:t xml:space="preserve"> </w:t>
      </w:r>
      <w:r w:rsidRPr="009A3C86">
        <w:rPr>
          <w:rFonts w:ascii="Times New Roman" w:hAnsi="Times New Roman"/>
          <w:kern w:val="3"/>
          <w:sz w:val="24"/>
          <w:szCs w:val="24"/>
        </w:rPr>
        <w:t>§ 1 pkt 2). W praktyce przewlekłością najczęściej będzie stan, w którym organ bezzasadnie przedłuża termin załatwienia sprawy, uzasadniając to potrzebą podjęcia działań, które są na tle konkretnej sprawy nieefektywne lub pozorowane albo organ bezzasadnie zawiesza postępowanie. Przyczyną przewlekłości postępowania może być swoista „nadaktywność” organu, przejawiająca się przykładowo w: żądaniu przez organ przedłożenia przez stronę lub innych uczestników postępowania zbędnej do załatwienia sprawy dokumentacji; prowadzeniu dowodów na okoliczności już wyjaśnione; fakty notoryjne lub fakty znane organowi z urzędu; niepotrzebnym wystąpieniu o stanowisko innego organu. Do przewlekłości prowadzą także zachowania pasywne organu, przykładowo: bierne i nadmiernie długie wyczekiwanie na otrzymanie akt sprawy od innego organu lub sądu, czy wstrzymywanie się z ekspedycją wydanego aktu administracyjnego</w:t>
      </w:r>
      <w:r w:rsidRPr="009A3C86">
        <w:rPr>
          <w:rFonts w:ascii="Times New Roman" w:hAnsi="Times New Roman"/>
          <w:kern w:val="3"/>
          <w:sz w:val="24"/>
          <w:szCs w:val="24"/>
          <w:vertAlign w:val="superscript"/>
        </w:rPr>
        <w:footnoteReference w:id="393"/>
      </w:r>
      <w:r w:rsidRPr="009A3C86">
        <w:rPr>
          <w:rFonts w:ascii="Times New Roman" w:hAnsi="Times New Roman"/>
          <w:kern w:val="3"/>
          <w:sz w:val="24"/>
          <w:szCs w:val="24"/>
        </w:rPr>
        <w:t xml:space="preserve">. Strona postępowania podatkowego powinna dysponować </w:t>
      </w:r>
      <w:r w:rsidRPr="009A3C86">
        <w:rPr>
          <w:rFonts w:ascii="Times New Roman" w:hAnsi="Times New Roman"/>
          <w:kern w:val="3"/>
          <w:sz w:val="24"/>
          <w:szCs w:val="24"/>
        </w:rPr>
        <w:lastRenderedPageBreak/>
        <w:t>jednoznacznie zdefiniowanymi środkami procesowymi do zwalczania przewlekłości działania organu</w:t>
      </w:r>
      <w:r w:rsidRPr="009A3C86">
        <w:rPr>
          <w:rFonts w:ascii="Times New Roman" w:hAnsi="Times New Roman"/>
          <w:kern w:val="3"/>
          <w:sz w:val="24"/>
          <w:szCs w:val="24"/>
          <w:vertAlign w:val="superscript"/>
        </w:rPr>
        <w:footnoteReference w:id="394"/>
      </w:r>
      <w:r w:rsidRPr="009A3C86">
        <w:rPr>
          <w:rFonts w:ascii="Times New Roman" w:hAnsi="Times New Roman"/>
          <w:kern w:val="3"/>
          <w:sz w:val="24"/>
          <w:szCs w:val="24"/>
        </w:rPr>
        <w:t>. Dla uproszczenia i przejrzystości tekstu prawnego zasadne jest zdefiniowanie (definicją „nawiasową”) pojęcia bezczynności i przewlekłości, co przełoży się też na jednolite rozumienie tego pojęcia na gruncie o.p.</w:t>
      </w:r>
    </w:p>
    <w:p w:rsidR="0085545A" w:rsidRPr="009A3C86" w:rsidRDefault="0085545A" w:rsidP="0085545A">
      <w:pPr>
        <w:spacing w:after="0" w:line="360" w:lineRule="auto"/>
        <w:jc w:val="both"/>
        <w:rPr>
          <w:rFonts w:ascii="Times New Roman" w:hAnsi="Times New Roman"/>
          <w:kern w:val="3"/>
          <w:sz w:val="24"/>
          <w:szCs w:val="24"/>
        </w:rPr>
      </w:pPr>
      <w:r w:rsidRPr="009A3C86">
        <w:rPr>
          <w:rFonts w:ascii="Times New Roman" w:eastAsia="SimSun" w:hAnsi="Times New Roman"/>
          <w:kern w:val="3"/>
          <w:sz w:val="24"/>
          <w:szCs w:val="24"/>
          <w:lang w:eastAsia="zh-CN"/>
        </w:rPr>
        <w:t xml:space="preserve">Pozostawiając regulację obecnego art. 141 </w:t>
      </w:r>
      <w:r w:rsidRPr="009A3C86">
        <w:rPr>
          <w:rFonts w:ascii="Times New Roman" w:hAnsi="Times New Roman"/>
          <w:sz w:val="24"/>
          <w:szCs w:val="24"/>
        </w:rPr>
        <w:t xml:space="preserve">§ 1 o.p. co do właściwości organów właściwych do rozpatrywania ponagleń, w </w:t>
      </w:r>
      <w:r w:rsidRPr="009A3C86">
        <w:rPr>
          <w:rFonts w:ascii="Times New Roman" w:hAnsi="Times New Roman"/>
          <w:b/>
          <w:sz w:val="24"/>
          <w:szCs w:val="24"/>
        </w:rPr>
        <w:t xml:space="preserve">art. </w:t>
      </w:r>
      <w:r w:rsidR="00751283" w:rsidRPr="009A3C86">
        <w:rPr>
          <w:rFonts w:ascii="Times New Roman" w:hAnsi="Times New Roman"/>
          <w:b/>
          <w:sz w:val="24"/>
          <w:szCs w:val="24"/>
        </w:rPr>
        <w:t>327</w:t>
      </w:r>
      <w:r w:rsidR="00751283" w:rsidRPr="009A3C86">
        <w:rPr>
          <w:rFonts w:ascii="Times New Roman" w:hAnsi="Times New Roman"/>
          <w:sz w:val="24"/>
          <w:szCs w:val="24"/>
        </w:rPr>
        <w:t xml:space="preserve"> </w:t>
      </w:r>
      <w:r w:rsidRPr="009A3C86">
        <w:rPr>
          <w:rFonts w:ascii="Times New Roman" w:hAnsi="Times New Roman"/>
          <w:sz w:val="24"/>
          <w:szCs w:val="24"/>
        </w:rPr>
        <w:t xml:space="preserve">§ 2 precyzuje się zasadę wnoszenia ponaglenia za pośrednictwem organu prowadzącego postępowanie. Organ prowadzący postępowanie jest zobowiązany w terminie 7 dni przekazać ponaglenie organowi podatkowemu wyższego stopnia i ustosunkować się do zarzutów ponaglenia. Organ przekazuje ponaglenie wraz ze sprawozdaniem z przebiegu postępowania zawierającym kalendarium wszystkich czynności oraz kopią metryki sprawy (oryginały muszą pozostać w organie prowadzącym postępowanie w celu dalszego jego prowadzenia) - </w:t>
      </w:r>
      <w:r w:rsidRPr="009A3C86">
        <w:rPr>
          <w:rFonts w:ascii="Times New Roman" w:hAnsi="Times New Roman"/>
          <w:b/>
          <w:sz w:val="24"/>
          <w:szCs w:val="24"/>
        </w:rPr>
        <w:t xml:space="preserve">art. </w:t>
      </w:r>
      <w:r w:rsidR="00751283" w:rsidRPr="009A3C86">
        <w:rPr>
          <w:rFonts w:ascii="Times New Roman" w:hAnsi="Times New Roman"/>
          <w:b/>
          <w:sz w:val="24"/>
          <w:szCs w:val="24"/>
        </w:rPr>
        <w:t>327</w:t>
      </w:r>
      <w:r w:rsidR="00751283" w:rsidRPr="009A3C86">
        <w:rPr>
          <w:rFonts w:ascii="Times New Roman" w:hAnsi="Times New Roman"/>
          <w:kern w:val="3"/>
          <w:sz w:val="24"/>
          <w:szCs w:val="24"/>
        </w:rPr>
        <w:t xml:space="preserve"> </w:t>
      </w:r>
      <w:r w:rsidRPr="009A3C86">
        <w:rPr>
          <w:rFonts w:ascii="Times New Roman" w:hAnsi="Times New Roman"/>
          <w:kern w:val="3"/>
          <w:sz w:val="24"/>
          <w:szCs w:val="24"/>
        </w:rPr>
        <w:t xml:space="preserve">§ 3. Nie </w:t>
      </w:r>
      <w:r w:rsidRPr="009A3C86">
        <w:rPr>
          <w:rFonts w:ascii="Times New Roman" w:hAnsi="Times New Roman"/>
          <w:sz w:val="24"/>
          <w:szCs w:val="24"/>
        </w:rPr>
        <w:t xml:space="preserve">w każdym przypadku sprawy będą miały metrykę, ponieważ odrębne rozporządzenie określi, w drodze rozporządzenia, rodzaje spraw, w których obowiązek prowadzenia metryki sprawy jest wyłączony ze względu na nieproporcjonalność nakładu środków koniecznych do prowadzenia metryki w stosunku do prostego i powtarzalnego charakteru tych spraw. </w:t>
      </w:r>
      <w:r w:rsidRPr="009A3C86">
        <w:rPr>
          <w:rFonts w:ascii="Times New Roman" w:hAnsi="Times New Roman"/>
          <w:kern w:val="3"/>
          <w:sz w:val="24"/>
          <w:szCs w:val="24"/>
        </w:rPr>
        <w:t>Obowiązek przekazania kalendarium wraz kopią metryki nie dotyczy  sytuacji, gdy nad organem prowadzącym postępowanie nie ma organu wyższego stopnia.</w:t>
      </w:r>
    </w:p>
    <w:p w:rsidR="0085545A" w:rsidRPr="009A3C86" w:rsidRDefault="0085545A" w:rsidP="0085545A">
      <w:pPr>
        <w:spacing w:after="0" w:line="360" w:lineRule="auto"/>
        <w:jc w:val="both"/>
        <w:rPr>
          <w:rFonts w:ascii="Times New Roman" w:hAnsi="Times New Roman"/>
          <w:kern w:val="3"/>
          <w:sz w:val="24"/>
          <w:szCs w:val="24"/>
        </w:rPr>
      </w:pPr>
      <w:r w:rsidRPr="009A3C86">
        <w:rPr>
          <w:rFonts w:ascii="Times New Roman" w:hAnsi="Times New Roman"/>
          <w:kern w:val="3"/>
          <w:sz w:val="24"/>
          <w:szCs w:val="24"/>
        </w:rPr>
        <w:t>Ponaglenie powinno zawierać uzasadnienie; analogiczne rozwiązanie zawiera art. 37 § 2 k.p.a.</w:t>
      </w:r>
    </w:p>
    <w:p w:rsidR="0085545A" w:rsidRPr="009A3C86" w:rsidRDefault="0085545A" w:rsidP="0085545A">
      <w:pPr>
        <w:tabs>
          <w:tab w:val="left" w:pos="567"/>
          <w:tab w:val="left" w:pos="900"/>
          <w:tab w:val="left" w:pos="1440"/>
          <w:tab w:val="left" w:pos="1620"/>
          <w:tab w:val="left" w:pos="1800"/>
        </w:tabs>
        <w:suppressAutoHyphens/>
        <w:autoSpaceDN w:val="0"/>
        <w:spacing w:after="0" w:line="360" w:lineRule="auto"/>
        <w:jc w:val="both"/>
        <w:rPr>
          <w:rFonts w:ascii="Times New Roman" w:eastAsia="SimSun" w:hAnsi="Times New Roman"/>
          <w:kern w:val="3"/>
          <w:sz w:val="24"/>
          <w:szCs w:val="24"/>
          <w:lang w:eastAsia="zh-CN"/>
        </w:rPr>
      </w:pPr>
      <w:r w:rsidRPr="009A3C86">
        <w:rPr>
          <w:rFonts w:ascii="Times New Roman" w:hAnsi="Times New Roman"/>
          <w:sz w:val="24"/>
          <w:szCs w:val="24"/>
        </w:rPr>
        <w:t xml:space="preserve">5. </w:t>
      </w:r>
      <w:r w:rsidRPr="009A3C86">
        <w:rPr>
          <w:rFonts w:ascii="Times New Roman" w:eastAsia="SimSun" w:hAnsi="Times New Roman"/>
          <w:kern w:val="3"/>
          <w:sz w:val="24"/>
          <w:szCs w:val="24"/>
          <w:lang w:eastAsia="zh-CN"/>
        </w:rPr>
        <w:t>Obecnie obowiązujące wyznaczenie nowego/dodatkowego terminu załatwienia sprawy (art. 141 § 2 o.p.) z perspektywy strony jest kolejnym działaniem utrwalającym stan przewlekłości. Stan przewlekłości, stwierdzony przez organ podatkowy wyższego stopnia, wymaga zdecydowanie twardszej reakcji nadzorczej niż „wyznaczenie dodatkowego terminu” załatwienia sprawy. Proponowanym nowym środkiem procesowym jest zobowiązanie przewlekle działającego organu podatkowego lub organu pozostającego w bezczynności do załatwienia sprawy w wyznaczonym terminie, jeżeli postępowanie nadal jest niezakończone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eastAsia="SimSun" w:hAnsi="Times New Roman"/>
          <w:kern w:val="3"/>
          <w:sz w:val="24"/>
          <w:szCs w:val="24"/>
          <w:lang w:eastAsia="zh-CN"/>
        </w:rPr>
        <w:t xml:space="preserve"> </w:t>
      </w:r>
      <w:r w:rsidRPr="009A3C86">
        <w:rPr>
          <w:rFonts w:ascii="Times New Roman" w:eastAsia="SimSun" w:hAnsi="Times New Roman"/>
          <w:kern w:val="3"/>
          <w:sz w:val="24"/>
          <w:szCs w:val="24"/>
          <w:lang w:eastAsia="zh-CN"/>
        </w:rPr>
        <w:t xml:space="preserve">§ 3 pkt 2). Już po wyznaczeniu terminu zakończenia postępowania mogą jednak zaistnieć okoliczności wymagające odpowiednio dłuższego postępowania. Zasada szybkości </w:t>
      </w:r>
      <w:r w:rsidRPr="009A3C86">
        <w:rPr>
          <w:rFonts w:ascii="Times New Roman" w:eastAsia="SimSun" w:hAnsi="Times New Roman"/>
          <w:kern w:val="3"/>
          <w:sz w:val="24"/>
          <w:szCs w:val="24"/>
          <w:lang w:eastAsia="zh-CN"/>
        </w:rPr>
        <w:lastRenderedPageBreak/>
        <w:t>postępowania nie powinna mieć prymatu nad innymi zasadami ogólnymi, w tym zasadą prawdy obiektywnej i zasadą czynnego udziału strony. Przewidując takie sytuacje, należy pozostawić organowi podatkowemu wyższego stopnia możliwość modyfikacji wyznaczonego pierwotnie terminu zakończenia postępowania. Takie uprawnienie powinno być realizowane tylko wtedy, gdy wyjdą na jaw istotne dla sprawy nowe okoliczności faktyczne lub nowe dowody, wymagające odpowiednio dłuższego postępowania, nieznane w momencie wyznaczania pierwotnego terminu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eastAsia="SimSun" w:hAnsi="Times New Roman"/>
          <w:kern w:val="3"/>
          <w:sz w:val="24"/>
          <w:szCs w:val="24"/>
          <w:lang w:eastAsia="zh-CN"/>
        </w:rPr>
        <w:t xml:space="preserve"> </w:t>
      </w:r>
      <w:r w:rsidRPr="009A3C86">
        <w:rPr>
          <w:rFonts w:ascii="Times New Roman" w:eastAsia="SimSun" w:hAnsi="Times New Roman"/>
          <w:kern w:val="3"/>
          <w:sz w:val="24"/>
          <w:szCs w:val="24"/>
          <w:lang w:eastAsia="zh-CN"/>
        </w:rPr>
        <w:t xml:space="preserve">§ 4). W ten sposób organ wyższego stopnia kontynuować będzie bezpośredni nadzór nad terminowością prowadzenia sprawy, uzasadniony faktem wcześniejszego stwierdzenia bezczynności lub przewlekłości. Organ rozpatrujący ponaglenie zostanie tym samym mocniej związany ze stwierdzeniem przewlekłości lub bezczynności i stanie się, poprzez sprawowany nadzór, współodpowiedzialnym za terminowość załatwienia sprawy. Każdy zamiar dalszego przedłużenia postępowania przez organ prowadzący postępowanie musi być notyfikowany organowi wyższego stopnia. Jednocześnie zachowana zostanie niezbędna elastyczność związana z ewentualną, wcześniej niemożliwą do przewidzenia komplikacją sprawy uzasadniającą dłuższy termin jej załatwienia.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Obecny art. 141 § 2 o.p. nie precyzuje, w jakiej formie należy rozpatrywać ponaglenie. Formę postanowienia załatwiającego ponaglenie należy jednoznacznie zaakcentować w treści przepisu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hAnsi="Times New Roman"/>
          <w:sz w:val="24"/>
          <w:szCs w:val="24"/>
        </w:rPr>
        <w:t xml:space="preserve"> </w:t>
      </w:r>
      <w:r w:rsidRPr="009A3C86">
        <w:rPr>
          <w:rFonts w:ascii="Times New Roman" w:hAnsi="Times New Roman"/>
          <w:sz w:val="24"/>
          <w:szCs w:val="24"/>
        </w:rPr>
        <w:t>§ 2). Postanowienie to nie podlega zaskarżeniu, a wprowadzenie zaskarżalności (zażaleniem) pogarszałoby sytuację strony. Sądy administracyjne orzekają w sprawach skarg na bezczynność lub przewlekłość na podstawie art. 3 § 2 pkt 8 P.p.s.a. Jedynym warunkiem wniesienia skargi do sądu jest uprzednie wniesienie ponaglenia do właściwego organu (art. 52 § 2 i art. 53 § 2b P.p.s.a.), a więc nie wymaga się wydania postanowienia rozpatrującego ponaglenie. Wprowadzenie instytucji zażalenia na postanowienie rozpatrujące ponaglenia zburzyłoby obecny model kontroli sądowoadministracyjnej i znacznie odsunęłoby w czasie możliwość zbadania skargi przez sąd. Strona musiałaby bowiem wyczerpać dwuinstancyjny tok postępowania w sprawie rozpatrzenia ponaglenia.  Kontroli sądowej nie podlegałaby bezczynność lub przewlekłość, rozumiane jako zjawisko, ale akt administracyjny tj. ostateczne postanowienie w sprawie rozpatrzenia ponaglenia.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Szczególnej regulacji wymaga przypadek, gdy nad organem prowadzącym postępowanie nie ma organu wyższego stopnia. W tym przypadku regulacja zobowiązująca do załatwienia sprawy w wyznaczonym terminie staje się bezprzedmiotowa. Organ powinien załatwić sprawę niezwłocznie, a wyznaczanie terminu (samemu sobie) byłoby jedynie petryfikacją stanu bezczynności lub przewlekłości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hAnsi="Times New Roman"/>
          <w:sz w:val="24"/>
          <w:szCs w:val="24"/>
        </w:rPr>
        <w:t xml:space="preserve"> </w:t>
      </w:r>
      <w:r w:rsidRPr="009A3C86">
        <w:rPr>
          <w:rFonts w:ascii="Times New Roman" w:hAnsi="Times New Roman"/>
          <w:sz w:val="24"/>
          <w:szCs w:val="24"/>
        </w:rPr>
        <w:t>§ 5).</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Dodatkowym wzmocnieniem proponowanych regulacji będzie zagwarantowanie dopuszczalności ponaglenia na przewlekłość </w:t>
      </w:r>
      <w:r w:rsidRPr="009A3C86">
        <w:rPr>
          <w:rFonts w:ascii="Times New Roman" w:hAnsi="Times New Roman"/>
          <w:i/>
          <w:iCs/>
          <w:sz w:val="24"/>
          <w:szCs w:val="24"/>
        </w:rPr>
        <w:t>ex post</w:t>
      </w:r>
      <w:r w:rsidRPr="009A3C86">
        <w:rPr>
          <w:rFonts w:ascii="Times New Roman" w:hAnsi="Times New Roman"/>
          <w:sz w:val="24"/>
          <w:szCs w:val="24"/>
        </w:rPr>
        <w:t xml:space="preserve">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eastAsia="SimSun" w:hAnsi="Times New Roman"/>
          <w:kern w:val="3"/>
          <w:sz w:val="24"/>
          <w:szCs w:val="24"/>
          <w:lang w:eastAsia="zh-CN"/>
        </w:rPr>
        <w:t xml:space="preserve"> </w:t>
      </w:r>
      <w:r w:rsidRPr="009A3C86">
        <w:rPr>
          <w:rFonts w:ascii="Times New Roman" w:eastAsia="SimSun" w:hAnsi="Times New Roman"/>
          <w:kern w:val="3"/>
          <w:sz w:val="24"/>
          <w:szCs w:val="24"/>
          <w:lang w:eastAsia="zh-CN"/>
        </w:rPr>
        <w:t>§ 3 pkt 1),</w:t>
      </w:r>
      <w:r w:rsidRPr="009A3C86">
        <w:rPr>
          <w:rFonts w:ascii="Times New Roman" w:hAnsi="Times New Roman"/>
          <w:sz w:val="24"/>
          <w:szCs w:val="24"/>
        </w:rPr>
        <w:t xml:space="preserve"> tj. w celu ustalenia istnienia przewlekłości według stanu z daty wniesienia ponaglenia, co dla strony może okazać się potrzebne dla ewentualnych roszczeń odszkodowawczych. Ponaglenie na przewlekłość wniesione w toku postępowania nie może stawać się bezprzedmiotowe tylko dlatego, że postępowanie zostało zakończone.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przypadku stwierdzenia, że do bezczynności lub przewlekłości doszło z rażącym naruszeniem prawa, organ rozpatrujący ponaglenie obligatoryjnie zarządza wyjaśnienie przyczyn i ustalenie osób winnych bezczynności lub przewlekłości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hAnsi="Times New Roman"/>
          <w:sz w:val="24"/>
          <w:szCs w:val="24"/>
        </w:rPr>
        <w:t xml:space="preserve"> </w:t>
      </w:r>
      <w:r w:rsidRPr="009A3C86">
        <w:rPr>
          <w:rFonts w:ascii="Times New Roman" w:hAnsi="Times New Roman"/>
          <w:sz w:val="24"/>
          <w:szCs w:val="24"/>
        </w:rPr>
        <w:t>§ 3 pkt 1). W każdym przypadku stwierdzenia bezczynności lub przewlekłości organ rozpatrujący ponaglenie może fakultatywnie zarządzić podjęcie środków zapobiegających bezczynności lub przewlekłości w przyszłości, a w tym wyjaśnienie przyczyn i ustalenie osób winnych bezczynności lub przewlekłości (</w:t>
      </w:r>
      <w:r w:rsidRPr="009A3C86">
        <w:rPr>
          <w:rFonts w:ascii="Times New Roman" w:hAnsi="Times New Roman"/>
          <w:b/>
          <w:sz w:val="24"/>
          <w:szCs w:val="24"/>
        </w:rPr>
        <w:t xml:space="preserve">art. </w:t>
      </w:r>
      <w:r w:rsidR="00751283" w:rsidRPr="009A3C86">
        <w:rPr>
          <w:rFonts w:ascii="Times New Roman" w:hAnsi="Times New Roman"/>
          <w:b/>
          <w:sz w:val="24"/>
          <w:szCs w:val="24"/>
        </w:rPr>
        <w:t>328</w:t>
      </w:r>
      <w:r w:rsidR="00751283" w:rsidRPr="009A3C86">
        <w:rPr>
          <w:rFonts w:ascii="Times New Roman" w:hAnsi="Times New Roman"/>
          <w:sz w:val="24"/>
          <w:szCs w:val="24"/>
        </w:rPr>
        <w:t xml:space="preserve"> </w:t>
      </w:r>
      <w:r w:rsidRPr="009A3C86">
        <w:rPr>
          <w:rFonts w:ascii="Times New Roman" w:hAnsi="Times New Roman"/>
          <w:sz w:val="24"/>
          <w:szCs w:val="24"/>
        </w:rPr>
        <w:t>§ 3 pkt 3).</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6. Organami odwoławczymi od decyzji wydawanych przez organy pierwszej instancji: wójtów, burmistrzów (prezydentów miast), starostów oraz marszałków województw są samorządowe kolegia odwoławcze. Podkreślić należy, że nadzór nad działalnością kolegiów sprawuje Prezes Rady Ministrów</w:t>
      </w:r>
      <w:r w:rsidRPr="009A3C86">
        <w:rPr>
          <w:rFonts w:ascii="Times New Roman" w:hAnsi="Times New Roman"/>
          <w:sz w:val="24"/>
          <w:szCs w:val="24"/>
          <w:vertAlign w:val="superscript"/>
        </w:rPr>
        <w:footnoteReference w:id="395"/>
      </w:r>
      <w:r w:rsidRPr="009A3C86">
        <w:rPr>
          <w:rFonts w:ascii="Times New Roman" w:hAnsi="Times New Roman"/>
          <w:sz w:val="24"/>
          <w:szCs w:val="24"/>
        </w:rPr>
        <w:t>. Nie są to, pomimo nazwy, organy działające w strukturze samorządu terytorialnego. Działalność SKO w istotny sposób wpływa na konstytucyjnie chronioną sferę finansów jednostek samorządu terytorialnego. Zgodnie z art. 167 ust. 1 i 2 Konstytucji Rzeczypospolitej Polskiej jednostkom samorządu terytorialnego zapewnia się udział w dochodach publicznych odpowiednio do przypadających im zadań. Dochodami jednostek samorządu terytorialnego są ich dochody własne pochodzące m.in. z podatków. Należy wyraźnie oddzielić posiadające osobowość prawną jednostki samorządu terytorialnego (działające w ich imieniu jednoosobowe organy wykonawcze) oraz piastujących funkcje organów podatkowych wójtów, burmistrzów (prezydentów miast), starostów i marszałków województw. Nie jest zasadne przyznawanie samorządowym organom podatkowym statusu strony postępowania prowadzonego przez samorządowe kolegium odwoławcze, a w dalszej kolejności również prawa do wnoszenia skargi do sądu administracyjnego na decyzję tegoż kolegium</w:t>
      </w:r>
      <w:r w:rsidRPr="009A3C86">
        <w:rPr>
          <w:rFonts w:ascii="Times New Roman" w:hAnsi="Times New Roman"/>
          <w:sz w:val="24"/>
          <w:szCs w:val="24"/>
          <w:vertAlign w:val="superscript"/>
        </w:rPr>
        <w:footnoteReference w:id="396"/>
      </w:r>
      <w:r w:rsidRPr="009A3C86">
        <w:rPr>
          <w:rFonts w:ascii="Times New Roman" w:hAnsi="Times New Roman"/>
          <w:sz w:val="24"/>
          <w:szCs w:val="24"/>
        </w:rPr>
        <w:t xml:space="preserve">. Pomimo to, jednostkom samorządu terytorialnego należy zapewnić pewne </w:t>
      </w:r>
      <w:r w:rsidRPr="009A3C86">
        <w:rPr>
          <w:rFonts w:ascii="Times New Roman" w:hAnsi="Times New Roman"/>
          <w:sz w:val="24"/>
          <w:szCs w:val="24"/>
        </w:rPr>
        <w:lastRenderedPageBreak/>
        <w:t>uprawnienia na etapie tych postępowań dotyczące m. in. terminowości działania SKO. W tym zakresie proponuje się, po pierwsze, nałożenie na SKO obowiązku doręczania jednostce samorządu terytorialnego, której organ podatkowy wydał decyzję lub postanowienie będące przedmiotem postępowania prowadzonego przez kolegium, zawiadomienia o niezałatwieniu sprawy w terminie (</w:t>
      </w:r>
      <w:r w:rsidRPr="009A3C86">
        <w:rPr>
          <w:rFonts w:ascii="Times New Roman" w:hAnsi="Times New Roman"/>
          <w:b/>
          <w:sz w:val="24"/>
          <w:szCs w:val="24"/>
        </w:rPr>
        <w:t xml:space="preserve">art. </w:t>
      </w:r>
      <w:r w:rsidR="00751283" w:rsidRPr="009A3C86">
        <w:rPr>
          <w:rFonts w:ascii="Times New Roman" w:hAnsi="Times New Roman"/>
          <w:b/>
          <w:sz w:val="24"/>
          <w:szCs w:val="24"/>
        </w:rPr>
        <w:t>326</w:t>
      </w:r>
      <w:r w:rsidR="00751283" w:rsidRPr="009A3C86">
        <w:rPr>
          <w:rFonts w:ascii="Times New Roman" w:hAnsi="Times New Roman"/>
          <w:sz w:val="24"/>
          <w:szCs w:val="24"/>
        </w:rPr>
        <w:t xml:space="preserve"> </w:t>
      </w:r>
      <w:r w:rsidRPr="009A3C86">
        <w:rPr>
          <w:rFonts w:ascii="Times New Roman" w:hAnsi="Times New Roman"/>
          <w:sz w:val="24"/>
          <w:szCs w:val="24"/>
        </w:rPr>
        <w:t xml:space="preserve">§ 2). Po drugie, projektowany </w:t>
      </w:r>
      <w:r w:rsidRPr="009A3C86">
        <w:rPr>
          <w:rFonts w:ascii="Times New Roman" w:hAnsi="Times New Roman"/>
          <w:b/>
          <w:sz w:val="24"/>
          <w:szCs w:val="24"/>
        </w:rPr>
        <w:t xml:space="preserve">art. </w:t>
      </w:r>
      <w:r w:rsidR="00751283" w:rsidRPr="009A3C86">
        <w:rPr>
          <w:rFonts w:ascii="Times New Roman" w:hAnsi="Times New Roman"/>
          <w:b/>
          <w:sz w:val="24"/>
          <w:szCs w:val="24"/>
        </w:rPr>
        <w:t>329</w:t>
      </w:r>
      <w:r w:rsidR="00751283" w:rsidRPr="009A3C86">
        <w:rPr>
          <w:rFonts w:ascii="Times New Roman" w:hAnsi="Times New Roman"/>
          <w:sz w:val="24"/>
          <w:szCs w:val="24"/>
        </w:rPr>
        <w:t xml:space="preserve"> </w:t>
      </w:r>
      <w:r w:rsidRPr="009A3C86">
        <w:rPr>
          <w:rFonts w:ascii="Times New Roman" w:hAnsi="Times New Roman"/>
          <w:sz w:val="24"/>
          <w:szCs w:val="24"/>
        </w:rPr>
        <w:t>nadaje jednostkom samorządu terytorialnego prawo do wniesienia ponaglenia na bezczynność lub przewlekłość postępowania prowadzonego przez samorządowe kolegium odwoławcze. Regulacje te nie mają swoich odpowiedników w obowiązującej ordynacji podatkowej.</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Załatwienie sprawy w terminie, zwłaszcza w postępowaniach odwoławczych, do czasu zakończenia których mamy do czynienia z decyzją nieostateczną, leży w interesie nie tylko strony postępowania, ale również beneficjenta dochodów, które wynikają z decyzji będących ich przedmiotem. Pozwala to na odpowiednie planowanie budżetowe, w którym wpływy z podatków własnych mają podstawowe znaczenie. W obowiązującym stanie prawnym jedynie strona postępowania podatkowego jest informowana o niezałatwieniu sprawy w terminie (art. 140 o.p.) i ma prawo do złożenia ponaglenia na niezałatwienie sprawy w terminie (art. 141 o.p.). Nie narusza to interesów Skarbu Państwa reprezentowanego przez państwowe organy podatkowe, które działają w ramach jednolitej struktury Krajowej Administracji Skarbowej obejmującej zarówno organy pierwszej, jak i drugiej instancji. Z odmienną sytuacją mamy natomiast do czynienia w przypadku jednostek samorządu terytorialnego, na rzecz których określone działania wykonują wyłącznie organy podatkowe pierwszej instancji i których interesów samorządowe kolegia odwoławcze nie reprezentują. Zapewnienie jednostkom samorządu terytorialnego informacji o każdym przypadku niezałatwienia sprawy w terminie, a przede wszystkim o nowym terminie załatwienia sprawy leży również w interesie strony. Zauważyć trzeba, że decyzji nieostatecznej może być nadany rygor natychmiastowej wykonalności, co w konsekwencji może doprowadzić do jej przymusowego wykonania jeszcze przed wydaniem rozstrzygnięcia przez organ drugiej instancji. W związku z tym informowanie jednostki samorządu terytorialnego o przewidywanym terminie załatwienia sprawy pozwoli w sposób racjonalny podejmować decyzje dotyczące ewentualnego podjęcia tego rodzaju działań. </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Proponowane rozwiązania, w szczególności prawo wniesienia ponaglenia przez jednostkę samorządu terytorialnego, będzie pełniło również swoistą funkcję prewencyjną. Z opublikowanego w roku 2011 raportu Najwyższej Izby Kontroli dotyczącego działalności </w:t>
      </w:r>
      <w:r w:rsidRPr="009A3C86">
        <w:rPr>
          <w:rFonts w:ascii="Times New Roman" w:hAnsi="Times New Roman"/>
          <w:sz w:val="24"/>
          <w:szCs w:val="24"/>
        </w:rPr>
        <w:lastRenderedPageBreak/>
        <w:t>samorządowych kolegiów odwoławczych w latach 2008-2010</w:t>
      </w:r>
      <w:r w:rsidRPr="009A3C86">
        <w:rPr>
          <w:rFonts w:ascii="Times New Roman" w:hAnsi="Times New Roman"/>
          <w:sz w:val="24"/>
          <w:szCs w:val="24"/>
          <w:vertAlign w:val="superscript"/>
        </w:rPr>
        <w:footnoteReference w:id="397"/>
      </w:r>
      <w:r w:rsidRPr="009A3C86">
        <w:rPr>
          <w:rFonts w:ascii="Times New Roman" w:hAnsi="Times New Roman"/>
          <w:sz w:val="24"/>
          <w:szCs w:val="24"/>
        </w:rPr>
        <w:t xml:space="preserve"> wynika, że kontrola terminowości postępowań w 25 SKO wykazała, że spośród 1 085 poddanych badaniom bezpośrednim spraw administracyjnych, w tym podatkowych, 266 (25%) orzeczeń wydano z przekroczeniem terminów określonych w art. 35 § 3 k.p.a. i art. 139 § 3 o.p. Natomiast w zakresie czasu załatwiania sprawy najdłuższy czas załatwiania spraw dotyczył sześciu z dziewięciu SKO objętych kontrolą, znajdujących się w miastach wojewódzkich. Wynosił on średnio dla tych sześciu kolegiów 4,3 miesiąca w 2008 r. (od 3,3 miesiąca w SKO w Łodzi do 6,2 miesiąca w SKO w Warszawie), 5,3 miesiąca w 2009 r. (od 3 miesięcy w SKO w Krakowie do 7,9 miesiąca w SKO w Warszawie) oraz 5,6 miesiąca w I półroczu 2010 r. (od 2,4 miesiąca w SKO w Krakowie do 7,8 miesiąca w Poznaniu).</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Zauważyć należy, że przewlekłość prowadzonego postępowania nie zawsze narusza interes strony postępowania. Wbrew pozorom może być to czasem dla strony korzystne, gdy prowadzi do uszczuplenia dochodów jednostek samorządu terytorialnego. W konsekwencji upływ terminu przedawnienia</w:t>
      </w:r>
      <w:r w:rsidRPr="009A3C86">
        <w:rPr>
          <w:rFonts w:ascii="Times New Roman" w:hAnsi="Times New Roman"/>
          <w:sz w:val="24"/>
          <w:szCs w:val="24"/>
          <w:vertAlign w:val="superscript"/>
        </w:rPr>
        <w:footnoteReference w:id="398"/>
      </w:r>
      <w:r w:rsidRPr="009A3C86">
        <w:rPr>
          <w:rFonts w:ascii="Times New Roman" w:hAnsi="Times New Roman"/>
          <w:sz w:val="24"/>
          <w:szCs w:val="24"/>
        </w:rPr>
        <w:t xml:space="preserve"> na etapie postępowania odwoławczego prowadzonego przez samorządowe kolegium odwoławcze skutkuje koniecznością uchylenia decyzji organu pierwszej instancji i ograniczeniami albo niemożnością wymiaru podatku. Podkreślić należy, że w przypadku umorzenia postępowania z przyczyn natury proceduralnej inne zarzuty podniesione w odwołaniu nie są w ogóle rozstrzygane, co może prowadzić do sytuacji, w których powstaje obowiązek zwrotu nadpłaty w pełnym zakresie, chociażby uchylana decyzja w części była prawidłowa. Strona postępowania podatkowego nie ma w takim przypadku motywacji do wnoszenia ponaglenia na bezczynność lub przewlekłość w orzekaniu przez SKO. Skutki prawne opisanego zjawiska są szczególnie widoczne w tych przypadkach, gdy samorządowy organ podatkowy wydaje decyzję z zachowaniem terminów do załatwienia sprawy, a następnie następuje przedawnienie zobowiązania podatkowego na etapie przewlekle prowadzonego postępowania przez samorządowe kolegium odwoławcze. Aktualnie jednostka samorządu terytorialnego nie posiada żadnych instrumentów prawnych, aby chociażby sygnalizacyjnie zwrócić uwagę na konieczność załatwienia sprawy przed terminem przedawnienia zobowiązania. Rolę taką będzie pełnił projektowany </w:t>
      </w:r>
      <w:r w:rsidRPr="009A3C86">
        <w:rPr>
          <w:rFonts w:ascii="Times New Roman" w:hAnsi="Times New Roman"/>
          <w:b/>
          <w:sz w:val="24"/>
          <w:szCs w:val="24"/>
        </w:rPr>
        <w:t xml:space="preserve">art. </w:t>
      </w:r>
      <w:r w:rsidR="00751283" w:rsidRPr="009A3C86">
        <w:rPr>
          <w:rFonts w:ascii="Times New Roman" w:hAnsi="Times New Roman"/>
          <w:b/>
          <w:sz w:val="24"/>
          <w:szCs w:val="24"/>
        </w:rPr>
        <w:t>329</w:t>
      </w:r>
      <w:r w:rsidRPr="009A3C86">
        <w:rPr>
          <w:rFonts w:ascii="Times New Roman" w:hAnsi="Times New Roman"/>
          <w:sz w:val="24"/>
          <w:szCs w:val="24"/>
        </w:rPr>
        <w:t xml:space="preserve">. Zatem jednostka samorządu terytorialnego reprezentowana przez odpowiedni organ wykonawczy będzie </w:t>
      </w:r>
      <w:r w:rsidRPr="009A3C86">
        <w:rPr>
          <w:rFonts w:ascii="Times New Roman" w:hAnsi="Times New Roman"/>
          <w:sz w:val="24"/>
          <w:szCs w:val="24"/>
        </w:rPr>
        <w:lastRenderedPageBreak/>
        <w:t>uprawniona do złożenia do samorządowego kolegium odwoławczego ponaglenia zarówno na niezałatwienie sprawy w terminie, jak i przewlekłość prowadzonego postępowania. W konsekwencji SKO będzie zobowiązane nie tylko do stwierdzenia, czy dopuściło się bezczynności lub przewlekłości, ale również, czy miało to miejsce z rażącym naruszeniem prawa. W przypadku powstania szkody związanej z działaniem lub zaniechaniem członka organu kolegialnego, możliwe będzie dochodzenie przez jednostkę samorządu terytorialnego odpowiedzialności na zasadach określonych w art. 417 i następnych Kodeksu cywilnego od Skarbu Państwa</w:t>
      </w:r>
      <w:r w:rsidRPr="009A3C86">
        <w:rPr>
          <w:rFonts w:ascii="Times New Roman" w:hAnsi="Times New Roman"/>
          <w:sz w:val="24"/>
          <w:szCs w:val="24"/>
          <w:vertAlign w:val="superscript"/>
        </w:rPr>
        <w:footnoteReference w:id="399"/>
      </w:r>
      <w:r w:rsidRPr="009A3C86">
        <w:rPr>
          <w:rFonts w:ascii="Times New Roman" w:hAnsi="Times New Roman"/>
          <w:sz w:val="24"/>
          <w:szCs w:val="24"/>
        </w:rPr>
        <w:t>, a w dalszej kolejności pociągnięcie członka takiego organu kolegialnego do odpowiedzialności majątkowej</w:t>
      </w:r>
      <w:r w:rsidRPr="009A3C86">
        <w:rPr>
          <w:rFonts w:ascii="Times New Roman" w:hAnsi="Times New Roman"/>
          <w:sz w:val="24"/>
          <w:szCs w:val="24"/>
          <w:vertAlign w:val="superscript"/>
        </w:rPr>
        <w:footnoteReference w:id="400"/>
      </w:r>
      <w:r w:rsidRPr="009A3C86">
        <w:rPr>
          <w:rFonts w:ascii="Times New Roman" w:hAnsi="Times New Roman"/>
          <w:sz w:val="24"/>
          <w:szCs w:val="24"/>
        </w:rPr>
        <w:t>.</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sz w:val="24"/>
          <w:szCs w:val="24"/>
        </w:rPr>
        <w:t xml:space="preserve">7. </w:t>
      </w:r>
      <w:r w:rsidRPr="009A3C86">
        <w:rPr>
          <w:rFonts w:ascii="Times New Roman" w:hAnsi="Times New Roman"/>
          <w:kern w:val="3"/>
          <w:sz w:val="24"/>
          <w:szCs w:val="24"/>
        </w:rPr>
        <w:t xml:space="preserve">Obecny przepis art. 142 o.p. poddaje reżimowi odpowiedzialności pracowniczej (urzędniczej) jedynie doprowadzenie do bezczynności. Przepis </w:t>
      </w:r>
      <w:r w:rsidRPr="009A3C86">
        <w:rPr>
          <w:rFonts w:ascii="Times New Roman" w:hAnsi="Times New Roman"/>
          <w:b/>
          <w:kern w:val="3"/>
          <w:sz w:val="24"/>
          <w:szCs w:val="24"/>
        </w:rPr>
        <w:t xml:space="preserve">art. </w:t>
      </w:r>
      <w:r w:rsidR="00751283" w:rsidRPr="009A3C86">
        <w:rPr>
          <w:rFonts w:ascii="Times New Roman" w:hAnsi="Times New Roman"/>
          <w:b/>
          <w:kern w:val="3"/>
          <w:sz w:val="24"/>
          <w:szCs w:val="24"/>
        </w:rPr>
        <w:t>330</w:t>
      </w:r>
      <w:r w:rsidR="00751283" w:rsidRPr="009A3C86">
        <w:rPr>
          <w:rFonts w:ascii="Times New Roman" w:hAnsi="Times New Roman"/>
          <w:kern w:val="3"/>
          <w:sz w:val="24"/>
          <w:szCs w:val="24"/>
        </w:rPr>
        <w:t xml:space="preserve"> </w:t>
      </w:r>
      <w:r w:rsidRPr="009A3C86">
        <w:rPr>
          <w:rFonts w:ascii="Times New Roman" w:hAnsi="Times New Roman"/>
          <w:kern w:val="3"/>
          <w:sz w:val="24"/>
          <w:szCs w:val="24"/>
        </w:rPr>
        <w:t xml:space="preserve">uzupełnia więc obecnie obowiązujący przepis o przesłankę odpowiedzialności dotyczącą przewlekłości. </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kern w:val="3"/>
          <w:sz w:val="24"/>
          <w:szCs w:val="24"/>
        </w:rPr>
        <w:t>Obecny art. 143 o.p został umieszczony w rozdziale „Organy podatkowe” z uwagi na zdecydowanie ściślejszy związek tego przepisu z kompetencjami organów niż z załatwianiem spraw.</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39" w:name="_Toc494363269"/>
      <w:r w:rsidRPr="009A3C86">
        <w:rPr>
          <w:rFonts w:ascii="Times New Roman" w:hAnsi="Times New Roman"/>
          <w:b/>
          <w:bCs/>
          <w:sz w:val="24"/>
          <w:szCs w:val="24"/>
        </w:rPr>
        <w:t>Rozdział 3. Doręczenia</w:t>
      </w:r>
      <w:bookmarkEnd w:id="39"/>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1. Przepisy dotyczące doręczeń były przedmiotem gruntownej modyfikacji</w:t>
      </w:r>
      <w:r w:rsidRPr="009A3C86">
        <w:rPr>
          <w:rFonts w:ascii="Times New Roman" w:hAnsi="Times New Roman"/>
          <w:kern w:val="3"/>
          <w:sz w:val="24"/>
          <w:szCs w:val="24"/>
          <w:vertAlign w:val="superscript"/>
        </w:rPr>
        <w:footnoteReference w:id="401"/>
      </w:r>
      <w:r w:rsidRPr="009A3C86">
        <w:rPr>
          <w:rFonts w:ascii="Times New Roman" w:hAnsi="Times New Roman"/>
          <w:kern w:val="3"/>
          <w:sz w:val="24"/>
          <w:szCs w:val="24"/>
        </w:rPr>
        <w:t xml:space="preserve"> od dnia 1 stycznia 2016 r., co usunęło najpoważniejsze problemy interpretacyjne oraz znacząco unowocześniło doręczenia pism, dostosowując je do współczesnych potrzeb i specyfiki funkcjonowania klientów administracji oraz organów podatkowych. Mimo stosunkowo niedługiego czasu obowiązywania zasadne wydaje się stwierdzenie, że wprowadzone zmiany zrealizowały zamierzone cele. Tym samym, co do zasady, przepisy o doręczeniach pism organów podatkowych nie wymagają obecnie istotnych korekt legislacyjnych.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Najważniejszą zmianą w tym zakresie jest powiązanie, dla celów doręczania pism, adresu zamieszkania osoby fizycznej oraz adresu siedziby osoby prawnej lub jednostki organizacyjnej niemającej osobowości prawnej z adresem zgłoszonym w Centralnym Rejestrze Podatników – Krajowym Rejestrze Podatkowym.</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lastRenderedPageBreak/>
        <w:t xml:space="preserve">2. Przepis </w:t>
      </w:r>
      <w:r w:rsidRPr="009A3C86">
        <w:rPr>
          <w:rFonts w:ascii="Times New Roman" w:hAnsi="Times New Roman"/>
          <w:b/>
          <w:kern w:val="3"/>
          <w:sz w:val="24"/>
          <w:szCs w:val="24"/>
        </w:rPr>
        <w:t xml:space="preserve">art. </w:t>
      </w:r>
      <w:r w:rsidR="00A45F20" w:rsidRPr="009A3C86">
        <w:rPr>
          <w:rFonts w:ascii="Times New Roman" w:hAnsi="Times New Roman"/>
          <w:b/>
          <w:kern w:val="3"/>
          <w:sz w:val="24"/>
          <w:szCs w:val="24"/>
        </w:rPr>
        <w:t>331</w:t>
      </w:r>
      <w:r w:rsidRPr="009A3C86">
        <w:rPr>
          <w:rFonts w:ascii="Times New Roman" w:hAnsi="Times New Roman"/>
          <w:kern w:val="3"/>
          <w:sz w:val="24"/>
          <w:szCs w:val="24"/>
        </w:rPr>
        <w:t xml:space="preserve"> jest odpowiednikiem obecnego art. 144 o.p., który określa sposoby doręczania pism organu podatkowego. Zachowano obecnie obowiązujące rozwiązania. Zmodyfikowano treść przepisu § 1, oddzielając doręczenia tradycyjne, za pokwitowaniem, od doręczeń środkami komunikacji elektronicznej, akcentując preferencję dla doręczeń środkami komunikacji elektronicznej poprzez kolejność regulacji w </w:t>
      </w:r>
      <w:r w:rsidRPr="009A3C86">
        <w:rPr>
          <w:rFonts w:ascii="Times New Roman" w:hAnsi="Times New Roman"/>
          <w:b/>
          <w:kern w:val="3"/>
          <w:sz w:val="24"/>
          <w:szCs w:val="24"/>
        </w:rPr>
        <w:t>§ 1</w:t>
      </w:r>
      <w:r w:rsidRPr="009A3C86">
        <w:rPr>
          <w:rFonts w:ascii="Times New Roman" w:hAnsi="Times New Roman"/>
          <w:kern w:val="3"/>
          <w:sz w:val="24"/>
          <w:szCs w:val="24"/>
        </w:rPr>
        <w:t>.</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Rezygnacja ze wskazywania funkcjonariuszy organu podatkowego</w:t>
      </w:r>
      <w:r w:rsidRPr="009A3C86">
        <w:rPr>
          <w:rFonts w:ascii="Times New Roman" w:hAnsi="Times New Roman"/>
          <w:sz w:val="24"/>
          <w:szCs w:val="24"/>
        </w:rPr>
        <w:t xml:space="preserve"> </w:t>
      </w:r>
      <w:r w:rsidRPr="009A3C86">
        <w:rPr>
          <w:rFonts w:ascii="Times New Roman" w:hAnsi="Times New Roman"/>
          <w:kern w:val="3"/>
          <w:sz w:val="24"/>
          <w:szCs w:val="24"/>
        </w:rPr>
        <w:t xml:space="preserve">jako osób za pośrednictwem których doręcza się pisma, wynika z wprowadzenia słowniczkowego pojęcia „pracownika organu podatkowego”, które obejmuje także funkcjonariuszy.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Przepisy o tajemnicy skarbowej nakładają obowiązek jej przestrzegania na osoby odbywające staż, praktykę zawodową lub studencką w urzędzie obsługującym organ podatkowy. Te osoby nie są pracownikami organu podatkowego, jednak nie ma przeszkód, aby w ramach stażu lub praktyki mogły dokonywać też czynności doręczenia pism </w:t>
      </w:r>
      <w:r w:rsidRPr="009A3C86">
        <w:rPr>
          <w:rFonts w:ascii="Times New Roman" w:hAnsi="Times New Roman"/>
          <w:b/>
          <w:kern w:val="3"/>
          <w:sz w:val="24"/>
          <w:szCs w:val="24"/>
        </w:rPr>
        <w:t>(§ 1 pkt 2 lit. c</w:t>
      </w:r>
      <w:r w:rsidRPr="009A3C86">
        <w:rPr>
          <w:rFonts w:ascii="Times New Roman" w:hAnsi="Times New Roman"/>
          <w:kern w:val="3"/>
          <w:sz w:val="24"/>
          <w:szCs w:val="24"/>
        </w:rPr>
        <w:t xml:space="preserve">). Analogiczna zmiana dotyczy osób fizycznych świadczących na rzecz organu podatkowego czynności na podstawie umowy zlecenia - </w:t>
      </w:r>
      <w:r w:rsidRPr="009A3C86">
        <w:rPr>
          <w:rFonts w:ascii="Times New Roman" w:hAnsi="Times New Roman"/>
          <w:b/>
          <w:kern w:val="3"/>
          <w:sz w:val="24"/>
          <w:szCs w:val="24"/>
        </w:rPr>
        <w:t>§ 1 pkt 2 lit. d</w:t>
      </w:r>
      <w:r w:rsidRPr="009A3C86">
        <w:rPr>
          <w:rFonts w:ascii="Times New Roman" w:hAnsi="Times New Roman"/>
          <w:kern w:val="3"/>
          <w:sz w:val="24"/>
          <w:szCs w:val="24"/>
        </w:rPr>
        <w:t>. Nie dotyczy to jednak osób prowadzących działalność w zakresie doręczeń, bo w tym zakresie organ powinien korzystać z usług operatora pocztowego w rozumieniu prawa pocztowego.</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bookmarkStart w:id="40" w:name="_Hlk491963350"/>
      <w:r w:rsidRPr="009A3C86">
        <w:rPr>
          <w:rFonts w:ascii="Times New Roman" w:hAnsi="Times New Roman"/>
          <w:b/>
          <w:kern w:val="3"/>
          <w:sz w:val="24"/>
          <w:szCs w:val="24"/>
        </w:rPr>
        <w:t xml:space="preserve">§ 1 </w:t>
      </w:r>
      <w:bookmarkEnd w:id="40"/>
      <w:r w:rsidRPr="009A3C86">
        <w:rPr>
          <w:rFonts w:ascii="Times New Roman" w:hAnsi="Times New Roman"/>
          <w:b/>
          <w:kern w:val="3"/>
          <w:sz w:val="24"/>
          <w:szCs w:val="24"/>
        </w:rPr>
        <w:t>pkt 2 lit. e)</w:t>
      </w:r>
      <w:r w:rsidRPr="009A3C86">
        <w:rPr>
          <w:rFonts w:ascii="Times New Roman" w:hAnsi="Times New Roman"/>
          <w:kern w:val="3"/>
          <w:sz w:val="24"/>
          <w:szCs w:val="24"/>
        </w:rPr>
        <w:t xml:space="preserve"> zamiast obecnego doręczania za pośrednictwem sołtysa dopuszcza się doręczanie pism samorządowych organów podatkowych za pośrednictwem każdego inkasenta ustanowionego uchwałą jednostki samorządu terytorialnego, a nie tylko sołtysa. Uprości to i przyspieszy doręczenia pism samorządowych organów podatkowych.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dodawanym </w:t>
      </w:r>
      <w:r w:rsidRPr="009A3C86">
        <w:rPr>
          <w:rFonts w:ascii="Times New Roman" w:hAnsi="Times New Roman"/>
          <w:b/>
          <w:kern w:val="3"/>
          <w:sz w:val="24"/>
          <w:szCs w:val="24"/>
        </w:rPr>
        <w:t xml:space="preserve">§ 2 </w:t>
      </w:r>
      <w:r w:rsidRPr="009A3C86">
        <w:rPr>
          <w:rFonts w:ascii="Times New Roman" w:hAnsi="Times New Roman"/>
          <w:kern w:val="3"/>
          <w:sz w:val="24"/>
          <w:szCs w:val="24"/>
        </w:rPr>
        <w:t xml:space="preserve">uregulowano możliwości doręczenia pisma innych organów podatkowych (w ramach pomocy). Taką możliwość przewiduje obecny art. 144 § 1 pkt 1 o.p., ale tylko w zakresie upoważnionych pracowników innego organu podatkowego. Celem projektowanego przepisu jest natomiast umożliwienie realizowania pomocy w doręczaniu pism innych organów podatkowych także przez upoważnione osoby odbywające staż, praktykę zawodową lub studencką albo świadczące na rzecz organu podatkowego czynności na podstawie umowy zlecenia.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4 pkt 2</w:t>
      </w:r>
      <w:r w:rsidRPr="009A3C86">
        <w:rPr>
          <w:rFonts w:ascii="Times New Roman" w:hAnsi="Times New Roman"/>
          <w:sz w:val="24"/>
          <w:szCs w:val="24"/>
        </w:rPr>
        <w:t xml:space="preserve"> w zakresie doręczania pism pełnomocnikowi będącemu adwokatem, radcą prawnym lub doradcą podatkowym, obecny wyjątek od doręczania za pomocą środków komunikacji elektronicznej dotyczący tylko siedziby organu podatkowego. Ten wyjątek rozszerzono także na miejsce prowadzenia kontroli. Nie ma bowiem potrzeby komunikowania się elektronicznie, gdy jest kontakt bezpośredni pracownika organu i pełnomocnika w miejscu prowadzenia kontroli. </w:t>
      </w:r>
      <w:r w:rsidR="00A45F20" w:rsidRPr="009A3C86">
        <w:rPr>
          <w:rFonts w:ascii="Times New Roman" w:hAnsi="Times New Roman"/>
          <w:sz w:val="24"/>
          <w:szCs w:val="24"/>
        </w:rPr>
        <w:t>K</w:t>
      </w:r>
      <w:r w:rsidRPr="009A3C86">
        <w:rPr>
          <w:rFonts w:ascii="Times New Roman" w:hAnsi="Times New Roman"/>
          <w:sz w:val="24"/>
          <w:szCs w:val="24"/>
        </w:rPr>
        <w:t>iedy powinność organu doręczenia pism środkami komunikacji elektronicznej nie może zostać zrealizowana</w:t>
      </w:r>
      <w:r w:rsidR="00A45F20" w:rsidRPr="009A3C86">
        <w:rPr>
          <w:rFonts w:ascii="Times New Roman" w:hAnsi="Times New Roman"/>
          <w:sz w:val="24"/>
          <w:szCs w:val="24"/>
        </w:rPr>
        <w:t>, w</w:t>
      </w:r>
      <w:r w:rsidRPr="009A3C86">
        <w:rPr>
          <w:rFonts w:ascii="Times New Roman" w:hAnsi="Times New Roman"/>
          <w:sz w:val="24"/>
          <w:szCs w:val="24"/>
        </w:rPr>
        <w:t xml:space="preserve"> takim przypadku doręczenie nastąpi zgodnie z </w:t>
      </w:r>
      <w:r w:rsidRPr="009A3C86">
        <w:rPr>
          <w:rFonts w:ascii="Times New Roman" w:hAnsi="Times New Roman"/>
          <w:sz w:val="24"/>
          <w:szCs w:val="24"/>
        </w:rPr>
        <w:lastRenderedPageBreak/>
        <w:t xml:space="preserve">wszystkimi regułami wskazanymi w </w:t>
      </w:r>
      <w:r w:rsidRPr="009A3C86">
        <w:rPr>
          <w:rFonts w:ascii="Times New Roman" w:hAnsi="Times New Roman"/>
          <w:b/>
          <w:sz w:val="24"/>
          <w:szCs w:val="24"/>
        </w:rPr>
        <w:t>§ 1 pkt 2</w:t>
      </w:r>
      <w:r w:rsidR="00A45F20" w:rsidRPr="009A3C86">
        <w:rPr>
          <w:rFonts w:ascii="Times New Roman" w:hAnsi="Times New Roman"/>
          <w:sz w:val="24"/>
          <w:szCs w:val="24"/>
        </w:rPr>
        <w:t xml:space="preserve"> (</w:t>
      </w:r>
      <w:r w:rsidR="00A45F20" w:rsidRPr="009A3C86">
        <w:rPr>
          <w:rFonts w:ascii="Times New Roman" w:hAnsi="Times New Roman"/>
          <w:b/>
          <w:sz w:val="24"/>
          <w:szCs w:val="24"/>
        </w:rPr>
        <w:t>§ 6)</w:t>
      </w:r>
      <w:r w:rsidRPr="009A3C86">
        <w:rPr>
          <w:rFonts w:ascii="Times New Roman" w:hAnsi="Times New Roman"/>
          <w:sz w:val="24"/>
          <w:szCs w:val="24"/>
        </w:rPr>
        <w:t xml:space="preserve">. Za sprawą </w:t>
      </w:r>
      <w:r w:rsidRPr="009A3C86">
        <w:rPr>
          <w:rFonts w:ascii="Times New Roman" w:hAnsi="Times New Roman"/>
          <w:b/>
          <w:sz w:val="24"/>
          <w:szCs w:val="24"/>
        </w:rPr>
        <w:t>§ 7</w:t>
      </w:r>
      <w:r w:rsidRPr="009A3C86">
        <w:rPr>
          <w:rFonts w:ascii="Times New Roman" w:hAnsi="Times New Roman"/>
          <w:sz w:val="24"/>
          <w:szCs w:val="24"/>
        </w:rPr>
        <w:t xml:space="preserve"> rozwiązanie przewidziane w § 4 ma zastosowanie do: użytkownika portalu podatkowego w zakresie spraw załatwianych przez portal podatkowy, </w:t>
      </w:r>
      <w:r w:rsidR="004A16B5" w:rsidRPr="009A3C86">
        <w:rPr>
          <w:rFonts w:ascii="Times New Roman" w:hAnsi="Times New Roman"/>
          <w:sz w:val="24"/>
          <w:szCs w:val="24"/>
        </w:rPr>
        <w:t>użytkownik profilu</w:t>
      </w:r>
      <w:r w:rsidRPr="009A3C86">
        <w:rPr>
          <w:rFonts w:ascii="Times New Roman" w:hAnsi="Times New Roman"/>
          <w:sz w:val="24"/>
          <w:szCs w:val="24"/>
        </w:rPr>
        <w:t xml:space="preserve"> zaufanego (konto ePUAP), do przedsiębiorców w rozumieniu ustawy – Prawo przedsiębiorców, z wyłączeniem mikroprzedsiębiorców oraz do podatników czynnych VAT. Te grupy podmiotów są obecnie przygotowane do komunikacji elektronicznej z organami podatkowymi, także poprzez wymogi nałożone przepisami prawa materialnego (podatnicy VAT).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Obecny art. 144 § 5 o.p. nakazuje doręczać pisma organom administracji publicznej za pomocą środków komunikacji publicznej albo w siedzibie organu podatkowego. Projektowany </w:t>
      </w:r>
      <w:r w:rsidRPr="009A3C86">
        <w:rPr>
          <w:rFonts w:ascii="Times New Roman" w:hAnsi="Times New Roman"/>
          <w:b/>
          <w:sz w:val="24"/>
          <w:szCs w:val="24"/>
        </w:rPr>
        <w:t>§ 5</w:t>
      </w:r>
      <w:r w:rsidRPr="009A3C86">
        <w:rPr>
          <w:rFonts w:ascii="Times New Roman" w:hAnsi="Times New Roman"/>
          <w:sz w:val="24"/>
          <w:szCs w:val="24"/>
        </w:rPr>
        <w:t xml:space="preserve"> ma na celu harmonizację ordynacji podatkowej z przepisem art. 39</w:t>
      </w:r>
      <w:r w:rsidRPr="009A3C86">
        <w:rPr>
          <w:rFonts w:ascii="Times New Roman" w:hAnsi="Times New Roman"/>
          <w:sz w:val="24"/>
          <w:szCs w:val="24"/>
          <w:vertAlign w:val="superscript"/>
        </w:rPr>
        <w:t>2</w:t>
      </w:r>
      <w:r w:rsidRPr="009A3C86">
        <w:rPr>
          <w:rFonts w:ascii="Times New Roman" w:hAnsi="Times New Roman"/>
          <w:sz w:val="24"/>
          <w:szCs w:val="24"/>
        </w:rPr>
        <w:t xml:space="preserve"> Kodeksem postępowania administracyjnego i zmierza do wyrażenia wprost zasady, zgodnie z którą, w przypadku gdy stroną lub innym uczestnikiem postępowania jest podmiot publiczny, zobowiązany do udostępnienia i obsługi elektronicznej skrzynki podawczej na podstawie art. 16 ust. 1a ustawy z dnia 17 lutego 2005 r. o informatyzacji działalności podmiotów realizujących zadania publiczne, doręczanie pism temu podmiotowi będzie następowało na elektroniczną skrzynkę podawczą tego podmiotu. W konsekwencji tej zmiany do podmiotu publicznego nie będzie stosowany przepis </w:t>
      </w:r>
      <w:r w:rsidRPr="009A3C86">
        <w:rPr>
          <w:rFonts w:ascii="Times New Roman" w:hAnsi="Times New Roman"/>
          <w:b/>
          <w:sz w:val="24"/>
          <w:szCs w:val="24"/>
        </w:rPr>
        <w:t xml:space="preserve">art. </w:t>
      </w:r>
      <w:r w:rsidR="0035655D" w:rsidRPr="009A3C86">
        <w:rPr>
          <w:rFonts w:ascii="Times New Roman" w:hAnsi="Times New Roman"/>
          <w:b/>
          <w:sz w:val="24"/>
          <w:szCs w:val="24"/>
        </w:rPr>
        <w:t>333</w:t>
      </w:r>
      <w:r w:rsidRPr="009A3C86">
        <w:rPr>
          <w:rFonts w:ascii="Times New Roman" w:hAnsi="Times New Roman"/>
          <w:sz w:val="24"/>
          <w:szCs w:val="24"/>
        </w:rPr>
        <w:t xml:space="preserve"> dotyczący wymogu uzyskania uprzedniej zgody na doręczanie pism w opisanym trybie.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51148C" w:rsidRPr="009A3C86">
        <w:rPr>
          <w:rFonts w:ascii="Times New Roman" w:hAnsi="Times New Roman"/>
          <w:b/>
          <w:sz w:val="24"/>
          <w:szCs w:val="24"/>
        </w:rPr>
        <w:t>332</w:t>
      </w:r>
      <w:r w:rsidRPr="009A3C86">
        <w:rPr>
          <w:rFonts w:ascii="Times New Roman" w:hAnsi="Times New Roman"/>
          <w:sz w:val="24"/>
          <w:szCs w:val="24"/>
        </w:rPr>
        <w:t xml:space="preserve"> jest nową regulacją ustanawiającą szczególne zasady doręczania pisma, w przypadku gdy organem podatkowym wobec swoich pracowników, funkcjonariuszy lub żołnierzy będą organy, wskazane w </w:t>
      </w:r>
      <w:r w:rsidRPr="009A3C86">
        <w:rPr>
          <w:rFonts w:ascii="Times New Roman" w:hAnsi="Times New Roman"/>
          <w:b/>
          <w:sz w:val="24"/>
          <w:szCs w:val="24"/>
        </w:rPr>
        <w:t xml:space="preserve">art. </w:t>
      </w:r>
      <w:r w:rsidR="00B50DB2" w:rsidRPr="009A3C86">
        <w:rPr>
          <w:rFonts w:ascii="Times New Roman" w:hAnsi="Times New Roman"/>
          <w:b/>
          <w:sz w:val="24"/>
          <w:szCs w:val="24"/>
        </w:rPr>
        <w:t>70</w:t>
      </w:r>
      <w:r w:rsidRPr="009A3C86">
        <w:rPr>
          <w:rFonts w:ascii="Times New Roman" w:hAnsi="Times New Roman"/>
          <w:sz w:val="24"/>
          <w:szCs w:val="24"/>
        </w:rPr>
        <w:t xml:space="preserve"> korzystające z uprawnień organu podatkowego.</w:t>
      </w:r>
    </w:p>
    <w:p w:rsidR="0085545A" w:rsidRPr="009A3C86" w:rsidRDefault="0085545A" w:rsidP="0085545A">
      <w:pPr>
        <w:suppressAutoHyphens/>
        <w:autoSpaceDN w:val="0"/>
        <w:spacing w:after="0" w:line="360" w:lineRule="auto"/>
        <w:jc w:val="both"/>
        <w:textAlignment w:val="baseline"/>
        <w:rPr>
          <w:rFonts w:ascii="Times New Roman" w:hAnsi="Times New Roman"/>
          <w:sz w:val="24"/>
          <w:szCs w:val="24"/>
        </w:rPr>
      </w:pPr>
      <w:r w:rsidRPr="009A3C86">
        <w:rPr>
          <w:rFonts w:ascii="Times New Roman" w:hAnsi="Times New Roman"/>
          <w:kern w:val="3"/>
          <w:sz w:val="24"/>
          <w:szCs w:val="24"/>
        </w:rPr>
        <w:t xml:space="preserve">4. </w:t>
      </w: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51148C" w:rsidRPr="009A3C86">
        <w:rPr>
          <w:rFonts w:ascii="Times New Roman" w:hAnsi="Times New Roman"/>
          <w:b/>
          <w:sz w:val="24"/>
          <w:szCs w:val="24"/>
        </w:rPr>
        <w:t>333</w:t>
      </w:r>
      <w:r w:rsidRPr="009A3C86">
        <w:rPr>
          <w:rFonts w:ascii="Times New Roman" w:hAnsi="Times New Roman"/>
          <w:sz w:val="24"/>
          <w:szCs w:val="24"/>
        </w:rPr>
        <w:t xml:space="preserve"> jest zmodyfikowanym odpowiednikiem obecnego art. 144a o.p. i określa warunki doręczania pisma środkami komunikacji elektronicznej. Ze zdania pierwszego </w:t>
      </w:r>
      <w:r w:rsidRPr="009A3C86">
        <w:rPr>
          <w:rFonts w:ascii="Times New Roman" w:hAnsi="Times New Roman"/>
          <w:b/>
          <w:sz w:val="24"/>
          <w:szCs w:val="24"/>
        </w:rPr>
        <w:t>§ 1</w:t>
      </w:r>
      <w:r w:rsidRPr="009A3C86">
        <w:rPr>
          <w:rFonts w:ascii="Times New Roman" w:hAnsi="Times New Roman"/>
          <w:sz w:val="24"/>
          <w:szCs w:val="24"/>
        </w:rPr>
        <w:t xml:space="preserve"> wynika, że co do zasady doręczanie pism następuje za pomocą środków komunikacji elektronicznej, jeżeli strona spełni jeden warunków wymienionych w punktach 1 – 3. Od zasady tej przewidziane są wyjątki określone w </w:t>
      </w:r>
      <w:r w:rsidRPr="009A3C86">
        <w:rPr>
          <w:rFonts w:ascii="Times New Roman" w:hAnsi="Times New Roman"/>
          <w:b/>
          <w:sz w:val="24"/>
          <w:szCs w:val="24"/>
        </w:rPr>
        <w:t xml:space="preserve">art. </w:t>
      </w:r>
      <w:r w:rsidR="0051148C" w:rsidRPr="009A3C86">
        <w:rPr>
          <w:rFonts w:ascii="Times New Roman" w:hAnsi="Times New Roman"/>
          <w:b/>
          <w:sz w:val="24"/>
          <w:szCs w:val="24"/>
        </w:rPr>
        <w:t>331</w:t>
      </w:r>
      <w:r w:rsidRPr="009A3C86">
        <w:rPr>
          <w:rFonts w:ascii="Times New Roman" w:hAnsi="Times New Roman"/>
          <w:sz w:val="24"/>
          <w:szCs w:val="24"/>
        </w:rPr>
        <w:t xml:space="preserve"> </w:t>
      </w:r>
      <w:r w:rsidRPr="009A3C86">
        <w:rPr>
          <w:rFonts w:ascii="Times New Roman" w:hAnsi="Times New Roman"/>
          <w:b/>
          <w:sz w:val="24"/>
          <w:szCs w:val="24"/>
        </w:rPr>
        <w:t>§ 4, 5 i 7</w:t>
      </w:r>
      <w:r w:rsidRPr="009A3C86">
        <w:rPr>
          <w:rFonts w:ascii="Times New Roman" w:hAnsi="Times New Roman"/>
          <w:sz w:val="24"/>
          <w:szCs w:val="24"/>
        </w:rPr>
        <w:t xml:space="preserve">, które to przepisy regulują przypadki, gdy doręczanie pism za pomocą środków komunikacji elektronicznej jest zasadą. W </w:t>
      </w:r>
      <w:r w:rsidRPr="009A3C86">
        <w:rPr>
          <w:rFonts w:ascii="Times New Roman" w:hAnsi="Times New Roman"/>
          <w:b/>
          <w:sz w:val="24"/>
          <w:szCs w:val="24"/>
        </w:rPr>
        <w:t>§ 1 pkt 3</w:t>
      </w:r>
      <w:r w:rsidRPr="009A3C86">
        <w:rPr>
          <w:rFonts w:ascii="Times New Roman" w:hAnsi="Times New Roman"/>
          <w:sz w:val="24"/>
          <w:szCs w:val="24"/>
        </w:rPr>
        <w:t xml:space="preserve"> zastępując wyraz „doręczenie” wyrazem „doręczanie” podkreślono charakter zgody strony odnoszącej się do sposobu doręczania wszelkich pism, a nie tylko jednego. W </w:t>
      </w:r>
      <w:r w:rsidRPr="009A3C86">
        <w:rPr>
          <w:rFonts w:ascii="Times New Roman" w:hAnsi="Times New Roman"/>
          <w:b/>
          <w:sz w:val="24"/>
          <w:szCs w:val="24"/>
        </w:rPr>
        <w:t>§ 2</w:t>
      </w:r>
      <w:r w:rsidRPr="009A3C86">
        <w:rPr>
          <w:rFonts w:ascii="Times New Roman" w:hAnsi="Times New Roman"/>
          <w:sz w:val="24"/>
          <w:szCs w:val="24"/>
        </w:rPr>
        <w:t xml:space="preserve"> zrezygnowano ze zbędnego, w tym miejscu, wymieniania środków komunikacji elektronicznej.</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W </w:t>
      </w:r>
      <w:r w:rsidRPr="009A3C86">
        <w:rPr>
          <w:rFonts w:ascii="Times New Roman" w:eastAsia="Times New Roman" w:hAnsi="Times New Roman"/>
          <w:b/>
          <w:bCs/>
          <w:sz w:val="24"/>
          <w:szCs w:val="24"/>
          <w:lang w:eastAsia="pl-PL"/>
        </w:rPr>
        <w:t>§ 3</w:t>
      </w:r>
      <w:r w:rsidRPr="009A3C86">
        <w:rPr>
          <w:rFonts w:ascii="Times New Roman" w:eastAsia="Times New Roman" w:hAnsi="Times New Roman"/>
          <w:bCs/>
          <w:sz w:val="24"/>
          <w:szCs w:val="24"/>
          <w:lang w:eastAsia="pl-PL"/>
        </w:rPr>
        <w:t xml:space="preserve"> uregulowano sytuację kolizji rezygnacji przez stronę z doręczania pism za pomocą środków komunikacji elektronicznej z trwającym procesem doręczenia pisma w takiej właśnie formie. Rezygnacja nie wpływa na skuteczność doręczenia pism wysłanych przed wpływem rezygnacji do organu.</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lastRenderedPageBreak/>
        <w:t>5. Obecny przepis art. 144b o.p. został umiejscowiony w ramach nowej systematyki projektowanej ustawy w rozdziale „Zastosowanie środków komunikacji elektronicznej”.</w:t>
      </w:r>
    </w:p>
    <w:p w:rsidR="0085545A" w:rsidRPr="009A3C86" w:rsidRDefault="0085545A" w:rsidP="0085545A">
      <w:pPr>
        <w:spacing w:after="0" w:line="360" w:lineRule="auto"/>
        <w:jc w:val="both"/>
        <w:rPr>
          <w:rFonts w:ascii="Times New Roman" w:hAnsi="Times New Roman"/>
          <w:sz w:val="24"/>
          <w:szCs w:val="24"/>
          <w:shd w:val="clear" w:color="auto" w:fill="FFFFFF"/>
        </w:rPr>
      </w:pPr>
      <w:r w:rsidRPr="009A3C86">
        <w:rPr>
          <w:rFonts w:ascii="Times New Roman" w:hAnsi="Times New Roman"/>
          <w:sz w:val="24"/>
          <w:szCs w:val="24"/>
        </w:rPr>
        <w:t xml:space="preserve">6. Przepis </w:t>
      </w:r>
      <w:r w:rsidRPr="009A3C86">
        <w:rPr>
          <w:rFonts w:ascii="Times New Roman" w:hAnsi="Times New Roman"/>
          <w:b/>
          <w:sz w:val="24"/>
          <w:szCs w:val="24"/>
        </w:rPr>
        <w:t xml:space="preserve">art. </w:t>
      </w:r>
      <w:r w:rsidR="00075110" w:rsidRPr="009A3C86">
        <w:rPr>
          <w:rFonts w:ascii="Times New Roman" w:hAnsi="Times New Roman"/>
          <w:b/>
          <w:sz w:val="24"/>
          <w:szCs w:val="24"/>
        </w:rPr>
        <w:t>334</w:t>
      </w:r>
      <w:r w:rsidRPr="009A3C86">
        <w:rPr>
          <w:rFonts w:ascii="Times New Roman" w:hAnsi="Times New Roman"/>
          <w:sz w:val="24"/>
          <w:szCs w:val="24"/>
        </w:rPr>
        <w:t xml:space="preserve"> jest odpowiednikiem obecnego art. 145 o.p. Przepis ustanawia ogólne reguły doręczenia pism stronie, a gdy strona działa przez przedstawiciela lub pełnomocnika – tym osobom. W § 1 przewiduje się, że inne ustaw</w:t>
      </w:r>
      <w:r w:rsidR="005C3D11" w:rsidRPr="009A3C86">
        <w:rPr>
          <w:rFonts w:ascii="Times New Roman" w:hAnsi="Times New Roman"/>
          <w:sz w:val="24"/>
          <w:szCs w:val="24"/>
        </w:rPr>
        <w:t>y</w:t>
      </w:r>
      <w:r w:rsidRPr="009A3C86">
        <w:rPr>
          <w:rFonts w:ascii="Times New Roman" w:hAnsi="Times New Roman"/>
          <w:sz w:val="24"/>
          <w:szCs w:val="24"/>
        </w:rPr>
        <w:t xml:space="preserve"> mogą wskazywać na konieczność doręczenia decyzji innej osobie niż strona lub jej przedstawiciel lub pełnomocnik. Takim szczególnym przepisem jest art. 67 ust. 2a ustawy o Krajowej Administracji, który nakazuje doręczyć d</w:t>
      </w:r>
      <w:r w:rsidRPr="009A3C86">
        <w:rPr>
          <w:rFonts w:ascii="Times New Roman" w:hAnsi="Times New Roman"/>
          <w:sz w:val="24"/>
          <w:szCs w:val="24"/>
          <w:shd w:val="clear" w:color="auto" w:fill="FFFFFF"/>
        </w:rPr>
        <w:t xml:space="preserve">ecyzję o zarządzeniu konwoju kierującemu pojazdem.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celu usunięcia wątpliwości interpretacyjnych w </w:t>
      </w:r>
      <w:r w:rsidRPr="009A3C86">
        <w:rPr>
          <w:rFonts w:ascii="Times New Roman" w:hAnsi="Times New Roman"/>
          <w:b/>
          <w:sz w:val="24"/>
          <w:szCs w:val="24"/>
        </w:rPr>
        <w:t>§ 4</w:t>
      </w:r>
      <w:r w:rsidRPr="009A3C86">
        <w:rPr>
          <w:rFonts w:ascii="Times New Roman" w:hAnsi="Times New Roman"/>
          <w:sz w:val="24"/>
          <w:szCs w:val="24"/>
        </w:rPr>
        <w:t xml:space="preserve"> sprecyzowano, że w razie niewskazania przez stronę spośród wielu pełnomocników jednego pełnomocnika do doręczeń organ podatkowy doręcza pisma jednemu i to wybranemu przez siebie pełnomocnikowi.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dodanym </w:t>
      </w:r>
      <w:r w:rsidRPr="009A3C86">
        <w:rPr>
          <w:rFonts w:ascii="Times New Roman" w:hAnsi="Times New Roman"/>
          <w:b/>
          <w:sz w:val="24"/>
          <w:szCs w:val="24"/>
        </w:rPr>
        <w:t>§ 5</w:t>
      </w:r>
      <w:r w:rsidRPr="009A3C86">
        <w:rPr>
          <w:rFonts w:ascii="Times New Roman" w:hAnsi="Times New Roman"/>
          <w:sz w:val="24"/>
          <w:szCs w:val="24"/>
        </w:rPr>
        <w:t xml:space="preserve"> uregulowano doręczanie pisma, w sytuacji gdy małżonkowie zamieszkujący pod różnymi adresami są jedną stroną postępowania. W takim przypadku, małżonkowie wskazują jednego z nich, do celów doręczeń. W razie braku takiego wskazania doręczenia są dokonywane wobec obojga małżonków. Zapewni to możliwość czynnego udziału w postępowaniu obu stronom zważywszy, że mając różne miejsca zamieszkania małżonkowie często mogą pozostawać w konflikcie.</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 xml:space="preserve">7. Przepis </w:t>
      </w:r>
      <w:r w:rsidRPr="009A3C86">
        <w:rPr>
          <w:rFonts w:ascii="Times New Roman" w:hAnsi="Times New Roman"/>
          <w:b/>
          <w:kern w:val="3"/>
          <w:sz w:val="24"/>
          <w:szCs w:val="24"/>
        </w:rPr>
        <w:t xml:space="preserve">art. </w:t>
      </w:r>
      <w:r w:rsidR="00075110" w:rsidRPr="009A3C86">
        <w:rPr>
          <w:rFonts w:ascii="Times New Roman" w:hAnsi="Times New Roman"/>
          <w:b/>
          <w:kern w:val="3"/>
          <w:sz w:val="24"/>
          <w:szCs w:val="24"/>
        </w:rPr>
        <w:t>335</w:t>
      </w:r>
      <w:r w:rsidRPr="009A3C86">
        <w:rPr>
          <w:rFonts w:ascii="Times New Roman" w:hAnsi="Times New Roman"/>
          <w:kern w:val="3"/>
          <w:sz w:val="24"/>
          <w:szCs w:val="24"/>
        </w:rPr>
        <w:t xml:space="preserve"> jest odpowiednikiem obecnego art. 146 o.p. Normuje obowiązki spoczywające na stronie, jej przedstawicielu lub pełnomocniku w przypadku zmiany adresu w toku postępowania oraz skutki niedopełnienia tych obowiązków. Przepis uzupełniono o obowiązek informowania o likwidacji adresu elektronicznego.</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Proponowany przepis </w:t>
      </w:r>
      <w:r w:rsidRPr="009A3C86">
        <w:rPr>
          <w:rFonts w:ascii="Times New Roman" w:hAnsi="Times New Roman"/>
          <w:b/>
          <w:kern w:val="3"/>
          <w:sz w:val="24"/>
          <w:szCs w:val="24"/>
        </w:rPr>
        <w:t>§ 2</w:t>
      </w:r>
      <w:r w:rsidRPr="009A3C86">
        <w:rPr>
          <w:rFonts w:ascii="Times New Roman" w:hAnsi="Times New Roman"/>
          <w:kern w:val="3"/>
          <w:sz w:val="24"/>
          <w:szCs w:val="24"/>
        </w:rPr>
        <w:t xml:space="preserve"> rozszerza w stosunku do obecnego art. 146 § 2 o.p. możliwość przyjęcia domniemania doręczenia w razie niewykonania przez stronę obowiązku aktualizacji adresu. Takim domniemaniem zostanie też objęta sytuacja, gdy doręczenie następuje przez inne osoby uprawnione do dokonywania doręczeń, a nie tylko doręczanie za pośrednictwem operatora pocztowego. Pracownik urzędu obsługującego organ podatkowy lub funkcjonariusz pełniący w nim służbę albo inkasent także może przy podjęciu próby doręczenia ujawnić nieaktualność adresu. Zbędnym jest w takim przypadku ponowne wysyłanie pisma na adres nieaktualny, za pośrednictwem operatora pocztowego, tylko po to, aby osiągnąć skutek domniemanego doręczenia. Fakt nieaktualności adresu może być stwierdzony przez każdą osobę uprawnioną do doręczenia, więc skutek tego stwierdzenia (domniemanie doręczenia) powinien być taki sam, bez względu na osobę i status zawodowy doręczyciela. Brak zawiadomienia o zmianie adresu elektronicznego traktuje się analogicznie, jak brak zawiadomienia o zmianie adresu zamieszkania lub siedziby.</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lastRenderedPageBreak/>
        <w:t>Skutkiem niedopełnienia obowiązku aktualizacji adresu jest nie tylko pozostawienie pisma w aktach sprawy, tak jak obecnie, ale także umożliwienie adresatowi dostępu do treści pisma w postaci elektronicznej.</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8. Obecny przepis art. 146a o.p. został umiejscowiony w ramach nowej systematyki w dziale I „Przepisy ogólne”, w rozdziale „Reprezentacja i pełnomocnictwo”.</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9. </w:t>
      </w:r>
      <w:bookmarkStart w:id="41" w:name="_Hlk486326579"/>
      <w:r w:rsidRPr="009A3C86">
        <w:rPr>
          <w:rFonts w:ascii="Times New Roman" w:hAnsi="Times New Roman"/>
          <w:kern w:val="3"/>
          <w:sz w:val="24"/>
          <w:szCs w:val="24"/>
        </w:rPr>
        <w:t xml:space="preserve">Obecne przepisy regulują doręczanie pism stronie, pełnomocnikom, przedstawicielom, lecz brakuje regulacji dotyczących doręczania pism organu podatkowego adresowanych do biegłych, świadków, tłumaczy, mediatorów i innych osób biorących udział w postępowaniu (np. organizacji społecznej). Dodano nowy przepis </w:t>
      </w:r>
      <w:r w:rsidRPr="009A3C86">
        <w:rPr>
          <w:rFonts w:ascii="Times New Roman" w:hAnsi="Times New Roman"/>
          <w:b/>
          <w:kern w:val="3"/>
          <w:sz w:val="24"/>
          <w:szCs w:val="24"/>
        </w:rPr>
        <w:t xml:space="preserve">art. </w:t>
      </w:r>
      <w:r w:rsidR="00075110" w:rsidRPr="009A3C86">
        <w:rPr>
          <w:rFonts w:ascii="Times New Roman" w:hAnsi="Times New Roman"/>
          <w:b/>
          <w:kern w:val="3"/>
          <w:sz w:val="24"/>
          <w:szCs w:val="24"/>
        </w:rPr>
        <w:t>336</w:t>
      </w:r>
      <w:r w:rsidRPr="009A3C86">
        <w:rPr>
          <w:rFonts w:ascii="Times New Roman" w:hAnsi="Times New Roman"/>
          <w:kern w:val="3"/>
          <w:sz w:val="24"/>
          <w:szCs w:val="24"/>
        </w:rPr>
        <w:t xml:space="preserve"> uzupełniający tę lukę. </w:t>
      </w:r>
      <w:bookmarkEnd w:id="41"/>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10. Przepis </w:t>
      </w:r>
      <w:r w:rsidRPr="009A3C86">
        <w:rPr>
          <w:rFonts w:ascii="Times New Roman" w:hAnsi="Times New Roman"/>
          <w:b/>
          <w:kern w:val="3"/>
          <w:sz w:val="24"/>
          <w:szCs w:val="24"/>
        </w:rPr>
        <w:t xml:space="preserve">art. </w:t>
      </w:r>
      <w:r w:rsidR="00075110" w:rsidRPr="009A3C86">
        <w:rPr>
          <w:rFonts w:ascii="Times New Roman" w:hAnsi="Times New Roman"/>
          <w:b/>
          <w:kern w:val="3"/>
          <w:sz w:val="24"/>
          <w:szCs w:val="24"/>
        </w:rPr>
        <w:t>337</w:t>
      </w:r>
      <w:r w:rsidRPr="009A3C86">
        <w:rPr>
          <w:rFonts w:ascii="Times New Roman" w:hAnsi="Times New Roman"/>
          <w:kern w:val="3"/>
          <w:sz w:val="24"/>
          <w:szCs w:val="24"/>
        </w:rPr>
        <w:t xml:space="preserve"> jest odpowiednikiem obecnego art. 147a o.p. Ordynacja podatkowa powinna zawierać komplet regulacji w zakresie doręczania pism organu podatkowego, nawet jeżeli polega to na recypowaniu sposobu doręczenia z prawa celnego, właściwego z uwagi na specyfikę postępowania sprzężonego w zakresie podatków i ceł. Jedyną zmianą jest doprecyzowanie polegające na dodaniu wyrazów „z tytułu importu” po wyrazach „podatku od towarów i usług”.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11. Przepis </w:t>
      </w:r>
      <w:r w:rsidRPr="009A3C86">
        <w:rPr>
          <w:rFonts w:ascii="Times New Roman" w:hAnsi="Times New Roman"/>
          <w:b/>
          <w:kern w:val="3"/>
          <w:sz w:val="24"/>
          <w:szCs w:val="24"/>
        </w:rPr>
        <w:t xml:space="preserve">art. </w:t>
      </w:r>
      <w:r w:rsidR="00075110" w:rsidRPr="009A3C86">
        <w:rPr>
          <w:rFonts w:ascii="Times New Roman" w:hAnsi="Times New Roman"/>
          <w:b/>
          <w:kern w:val="3"/>
          <w:sz w:val="24"/>
          <w:szCs w:val="24"/>
        </w:rPr>
        <w:t>338</w:t>
      </w:r>
      <w:r w:rsidRPr="009A3C86">
        <w:rPr>
          <w:rFonts w:ascii="Times New Roman" w:hAnsi="Times New Roman"/>
          <w:kern w:val="3"/>
          <w:sz w:val="24"/>
          <w:szCs w:val="24"/>
        </w:rPr>
        <w:t xml:space="preserve"> jest odpowiednikiem obecnego art. 148 o.p. i zachowuje obecnie obowiązujący model doręczania pism osobom fizycznym. Sprecyzowano w § 1 hierarchię adresów, jeżeli jednocześnie znany jest adres zamieszkania oraz inny adres do doręczeń w kraju, przyznając pierwszeństwo adresowi do doręczeń.</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 xml:space="preserve">12. Przepis </w:t>
      </w:r>
      <w:r w:rsidRPr="009A3C86">
        <w:rPr>
          <w:rFonts w:ascii="Times New Roman" w:hAnsi="Times New Roman"/>
          <w:b/>
          <w:kern w:val="3"/>
          <w:sz w:val="24"/>
          <w:szCs w:val="24"/>
        </w:rPr>
        <w:t xml:space="preserve">art. </w:t>
      </w:r>
      <w:r w:rsidR="00075110" w:rsidRPr="009A3C86">
        <w:rPr>
          <w:rFonts w:ascii="Times New Roman" w:hAnsi="Times New Roman"/>
          <w:b/>
          <w:kern w:val="3"/>
          <w:sz w:val="24"/>
          <w:szCs w:val="24"/>
        </w:rPr>
        <w:t>339</w:t>
      </w:r>
      <w:r w:rsidRPr="009A3C86">
        <w:rPr>
          <w:rFonts w:ascii="Times New Roman" w:hAnsi="Times New Roman"/>
          <w:kern w:val="3"/>
          <w:sz w:val="24"/>
          <w:szCs w:val="24"/>
        </w:rPr>
        <w:t xml:space="preserve"> jest odpowiednikiem obecnego art. 149 o.p. W przypadku nieobecności adresata zachowano jedynie możliwość doręczenia pisma pełnoletniemu domownikowi. Proponowany przepis znosi natomiast opcję doręczania pism organu podatkowego za pośrednictwem sąsiada, zarządcy domu lub dozorcy. W dobie doręczeń środkami komunikacji elektronicznej doręczanie pism za pośrednictwem sąsiada, zarządcy domu lub dozorcy wydaje się anachronizmem. Praktyka wskazuje na dużą konfliktogenność takiego sposobu doręczenia wynikającą z problemów w identyfikacji zarządcy domu lub dozorcy, uchylania się adresata od przyjęcia pisma od zarządcy domu lub dozorcy, zapomnienia przez zarządcę domu lub dozorcę oddania pisma adresatowi przy zagubieniu zawiadomienia zostawianego w oddawczej skrzynce pocztowej lub na drzwiach mieszkania (wejściu na posesję) adresata</w:t>
      </w:r>
      <w:r w:rsidRPr="009A3C86">
        <w:rPr>
          <w:rFonts w:ascii="Times New Roman" w:hAnsi="Times New Roman"/>
          <w:kern w:val="3"/>
          <w:sz w:val="24"/>
          <w:szCs w:val="24"/>
          <w:vertAlign w:val="superscript"/>
        </w:rPr>
        <w:footnoteReference w:id="402"/>
      </w:r>
      <w:r w:rsidRPr="009A3C86">
        <w:rPr>
          <w:rFonts w:ascii="Times New Roman" w:hAnsi="Times New Roman"/>
          <w:kern w:val="3"/>
          <w:sz w:val="24"/>
          <w:szCs w:val="24"/>
        </w:rPr>
        <w:t xml:space="preserve">. Sytuacja doręczania sąsiadowi występuje sporadycznie, z uwagi na niechęć sąsiada do takiego pośrednictwa. </w:t>
      </w:r>
      <w:r w:rsidRPr="009A3C86">
        <w:rPr>
          <w:rFonts w:ascii="Times New Roman" w:hAnsi="Times New Roman"/>
          <w:kern w:val="3"/>
          <w:sz w:val="24"/>
          <w:szCs w:val="24"/>
        </w:rPr>
        <w:lastRenderedPageBreak/>
        <w:t xml:space="preserve">Częstym skutkiem opisanych problemów są wnioski strony o przywrócenie uchybionego terminu.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13. Przepis </w:t>
      </w:r>
      <w:r w:rsidRPr="009A3C86">
        <w:rPr>
          <w:rFonts w:ascii="Times New Roman" w:hAnsi="Times New Roman"/>
          <w:b/>
          <w:kern w:val="3"/>
          <w:sz w:val="24"/>
          <w:szCs w:val="24"/>
        </w:rPr>
        <w:t xml:space="preserve">art. </w:t>
      </w:r>
      <w:r w:rsidR="00075110" w:rsidRPr="009A3C86">
        <w:rPr>
          <w:rFonts w:ascii="Times New Roman" w:hAnsi="Times New Roman"/>
          <w:b/>
          <w:kern w:val="3"/>
          <w:sz w:val="24"/>
          <w:szCs w:val="24"/>
        </w:rPr>
        <w:t>340</w:t>
      </w:r>
      <w:r w:rsidRPr="009A3C86">
        <w:rPr>
          <w:rFonts w:ascii="Times New Roman" w:hAnsi="Times New Roman"/>
          <w:kern w:val="3"/>
          <w:sz w:val="24"/>
          <w:szCs w:val="24"/>
        </w:rPr>
        <w:t xml:space="preserve"> jest odpowiednikiem obecnego art. 150 o.p., zachowując co do zasady obecne reguły doręczenia pisma w związku z jego awizowaniem.</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Proponuje się zmianę w </w:t>
      </w:r>
      <w:bookmarkStart w:id="42" w:name="_Hlk491963925"/>
      <w:r w:rsidRPr="009A3C86">
        <w:rPr>
          <w:rFonts w:ascii="Times New Roman" w:hAnsi="Times New Roman"/>
          <w:b/>
          <w:kern w:val="3"/>
          <w:sz w:val="24"/>
          <w:szCs w:val="24"/>
        </w:rPr>
        <w:t>§ 1 pkt 2</w:t>
      </w:r>
      <w:r w:rsidRPr="009A3C86">
        <w:rPr>
          <w:rFonts w:ascii="Times New Roman" w:hAnsi="Times New Roman"/>
          <w:kern w:val="3"/>
          <w:sz w:val="24"/>
          <w:szCs w:val="24"/>
        </w:rPr>
        <w:t xml:space="preserve"> </w:t>
      </w:r>
      <w:bookmarkEnd w:id="42"/>
      <w:r w:rsidRPr="009A3C86">
        <w:rPr>
          <w:rFonts w:ascii="Times New Roman" w:hAnsi="Times New Roman"/>
          <w:kern w:val="3"/>
          <w:sz w:val="24"/>
          <w:szCs w:val="24"/>
        </w:rPr>
        <w:t xml:space="preserve">dotyczącą składania pisma na okres 14 dni w urzędzie gminy także przez inkasenta. Obecnie ta regulacja jest zastrzeżona tylko dla doręczających pismo pracowników organu podatkowego lub innych osób upoważnionych do doręczenia. Istnieje luka w zakresie doręczającego pismo sołtysa (zgodnie z proponowanym § 1 – również przez inkasenta). Nie jest jasne, jak ma zadysponować pismem sołtys (inkasent) w przypadku niemożności doręczenia pisma; przepis nie wskazuje, czy i gdzie ma pozostawić doręczane pismo w oczekiwaniu na odbiór przez adresata. </w:t>
      </w:r>
    </w:p>
    <w:p w:rsidR="0085545A" w:rsidRPr="009A3C86" w:rsidRDefault="0085545A" w:rsidP="0085545A">
      <w:pPr>
        <w:suppressAutoHyphens/>
        <w:autoSpaceDN w:val="0"/>
        <w:spacing w:after="0" w:line="360" w:lineRule="auto"/>
        <w:jc w:val="both"/>
        <w:textAlignment w:val="baseline"/>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kern w:val="3"/>
          <w:sz w:val="24"/>
          <w:szCs w:val="24"/>
        </w:rPr>
        <w:t>§ 1 pkt 2</w:t>
      </w:r>
      <w:r w:rsidRPr="009A3C86">
        <w:rPr>
          <w:rFonts w:ascii="Times New Roman" w:hAnsi="Times New Roman"/>
          <w:kern w:val="3"/>
          <w:sz w:val="24"/>
          <w:szCs w:val="24"/>
        </w:rPr>
        <w:t xml:space="preserve"> sprecyzowano także, w którym urzędzie gminy ma zostać złożone pismo. Tym urzędem ma być urząd gminy </w:t>
      </w:r>
      <w:r w:rsidRPr="009A3C86">
        <w:rPr>
          <w:rFonts w:ascii="Times New Roman" w:hAnsi="Times New Roman"/>
          <w:sz w:val="24"/>
          <w:szCs w:val="24"/>
        </w:rPr>
        <w:t>właściwej według miejsca zamieszkania adresata albo wskazanego adresu do doręczeń.</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sz w:val="24"/>
          <w:szCs w:val="24"/>
        </w:rPr>
        <w:t>Z uwagi na regulacje ustawy o samorządzie terytorialnym, z których wynika, że urząd miasta jest też urzędem gminy zrezygnowano ze wskazywania (nawiasie) urzędu miasta. Wystarczające jest wskazanie urzędu gminy.</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14. Przepis </w:t>
      </w:r>
      <w:r w:rsidRPr="009A3C86">
        <w:rPr>
          <w:rFonts w:ascii="Times New Roman" w:hAnsi="Times New Roman"/>
          <w:b/>
          <w:kern w:val="3"/>
          <w:sz w:val="24"/>
          <w:szCs w:val="24"/>
        </w:rPr>
        <w:t xml:space="preserve">art. </w:t>
      </w:r>
      <w:r w:rsidR="0085226B" w:rsidRPr="009A3C86">
        <w:rPr>
          <w:rFonts w:ascii="Times New Roman" w:hAnsi="Times New Roman"/>
          <w:b/>
          <w:kern w:val="3"/>
          <w:sz w:val="24"/>
          <w:szCs w:val="24"/>
        </w:rPr>
        <w:t>341</w:t>
      </w:r>
      <w:r w:rsidRPr="009A3C86">
        <w:rPr>
          <w:rFonts w:ascii="Times New Roman" w:hAnsi="Times New Roman"/>
          <w:kern w:val="3"/>
          <w:sz w:val="24"/>
          <w:szCs w:val="24"/>
        </w:rPr>
        <w:t xml:space="preserve"> jest odpowiednikiem obecnego art. 150a o.p. Przepis uprawniający stronę do wskazania adresu skrytki pocztowej jako miejsca doręczenia należy zachować.</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15. Przepis </w:t>
      </w:r>
      <w:r w:rsidRPr="009A3C86">
        <w:rPr>
          <w:rFonts w:ascii="Times New Roman" w:hAnsi="Times New Roman"/>
          <w:b/>
          <w:kern w:val="3"/>
          <w:sz w:val="24"/>
          <w:szCs w:val="24"/>
        </w:rPr>
        <w:t xml:space="preserve">art. </w:t>
      </w:r>
      <w:r w:rsidR="0085226B" w:rsidRPr="009A3C86">
        <w:rPr>
          <w:rFonts w:ascii="Times New Roman" w:hAnsi="Times New Roman"/>
          <w:b/>
          <w:kern w:val="3"/>
          <w:sz w:val="24"/>
          <w:szCs w:val="24"/>
        </w:rPr>
        <w:t>342</w:t>
      </w:r>
      <w:r w:rsidRPr="009A3C86">
        <w:rPr>
          <w:rFonts w:ascii="Times New Roman" w:hAnsi="Times New Roman"/>
          <w:kern w:val="3"/>
          <w:sz w:val="24"/>
          <w:szCs w:val="24"/>
        </w:rPr>
        <w:t xml:space="preserve"> jest odpowiednikiem obecnego art. 151 o.p. Reguły doręczania pism osobom prawnym oraz jednostkom niemającym osobowości prawnej należy zachować, jednak z omówioną w zakresie </w:t>
      </w:r>
      <w:r w:rsidRPr="009A3C86">
        <w:rPr>
          <w:rFonts w:ascii="Times New Roman" w:hAnsi="Times New Roman"/>
          <w:b/>
          <w:kern w:val="3"/>
          <w:sz w:val="24"/>
          <w:szCs w:val="24"/>
        </w:rPr>
        <w:t xml:space="preserve">art. </w:t>
      </w:r>
      <w:r w:rsidR="0085226B" w:rsidRPr="009A3C86">
        <w:rPr>
          <w:rFonts w:ascii="Times New Roman" w:hAnsi="Times New Roman"/>
          <w:b/>
          <w:kern w:val="3"/>
          <w:sz w:val="24"/>
          <w:szCs w:val="24"/>
        </w:rPr>
        <w:t>338</w:t>
      </w:r>
      <w:r w:rsidRPr="009A3C86">
        <w:rPr>
          <w:rFonts w:ascii="Times New Roman" w:hAnsi="Times New Roman"/>
          <w:kern w:val="3"/>
          <w:sz w:val="24"/>
          <w:szCs w:val="24"/>
        </w:rPr>
        <w:t xml:space="preserve"> rezygnacją z doręczania pisma w miejscu prowadzenia działalności. Sprecyzowano także wyrażenie „lokal siedziby”, odnosząc to bezpośrednio do adresu siedziby. Zbędne jest odsyłanie do odpowiednika art. 146 o.p., bo ten przepis dotyczy każdej strony postępowania, a więc także strony będącej osobą prawną lub jednostką niemającą osobowości prawnej.</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konsekwencji skreślenia w </w:t>
      </w:r>
      <w:r w:rsidRPr="009A3C86">
        <w:rPr>
          <w:rFonts w:ascii="Times New Roman" w:hAnsi="Times New Roman"/>
          <w:b/>
          <w:kern w:val="3"/>
          <w:sz w:val="24"/>
          <w:szCs w:val="24"/>
        </w:rPr>
        <w:t xml:space="preserve">art. </w:t>
      </w:r>
      <w:r w:rsidR="0085226B" w:rsidRPr="009A3C86">
        <w:rPr>
          <w:rFonts w:ascii="Times New Roman" w:hAnsi="Times New Roman"/>
          <w:b/>
          <w:kern w:val="3"/>
          <w:sz w:val="24"/>
          <w:szCs w:val="24"/>
        </w:rPr>
        <w:t>340</w:t>
      </w:r>
      <w:r w:rsidRPr="009A3C86">
        <w:rPr>
          <w:rFonts w:ascii="Times New Roman" w:hAnsi="Times New Roman"/>
          <w:kern w:val="3"/>
          <w:sz w:val="24"/>
          <w:szCs w:val="24"/>
        </w:rPr>
        <w:t xml:space="preserve"> możliwości doręczania pism organu podatkowego za pośrednictwem sąsiada, zarządcy domu lub dozorcy zrezygnowano z obecnej regulacji art. 151 § 2 o.p.</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16. Przepis </w:t>
      </w:r>
      <w:r w:rsidRPr="009A3C86">
        <w:rPr>
          <w:rFonts w:ascii="Times New Roman" w:hAnsi="Times New Roman"/>
          <w:b/>
          <w:kern w:val="3"/>
          <w:sz w:val="24"/>
          <w:szCs w:val="24"/>
        </w:rPr>
        <w:t xml:space="preserve">art. </w:t>
      </w:r>
      <w:r w:rsidR="0085226B" w:rsidRPr="009A3C86">
        <w:rPr>
          <w:rFonts w:ascii="Times New Roman" w:hAnsi="Times New Roman"/>
          <w:b/>
          <w:kern w:val="3"/>
          <w:sz w:val="24"/>
          <w:szCs w:val="24"/>
        </w:rPr>
        <w:t>343</w:t>
      </w:r>
      <w:r w:rsidRPr="009A3C86">
        <w:rPr>
          <w:rFonts w:ascii="Times New Roman" w:hAnsi="Times New Roman"/>
          <w:kern w:val="3"/>
          <w:sz w:val="24"/>
          <w:szCs w:val="24"/>
        </w:rPr>
        <w:t xml:space="preserve"> jest nową regulacją. Obecne przepisy nie regulują źródła i trybu pozyskiwania przez organy podatkowe danych o adresie miejsca zamieszkania osoby fizycznej lub adresie siedziby osoby prawnej albo jednostki niemającej osobowości prawnej. W tym zakresie organy podatkowe czerpią wiedzę przede wszystkim ze zgłoszeń ewidencyjnych NIP, bazy PESEL, </w:t>
      </w:r>
      <w:r w:rsidRPr="009A3C86">
        <w:rPr>
          <w:rFonts w:ascii="Times New Roman" w:hAnsi="Times New Roman"/>
          <w:sz w:val="24"/>
          <w:szCs w:val="24"/>
        </w:rPr>
        <w:t xml:space="preserve">CEiDG, </w:t>
      </w:r>
      <w:r w:rsidRPr="009A3C86">
        <w:rPr>
          <w:rFonts w:ascii="Times New Roman" w:hAnsi="Times New Roman"/>
          <w:kern w:val="3"/>
          <w:sz w:val="24"/>
          <w:szCs w:val="24"/>
        </w:rPr>
        <w:t xml:space="preserve">danych meldunkowych, danych podawanych w deklaracjach </w:t>
      </w:r>
      <w:r w:rsidRPr="009A3C86">
        <w:rPr>
          <w:rFonts w:ascii="Times New Roman" w:hAnsi="Times New Roman"/>
          <w:kern w:val="3"/>
          <w:sz w:val="24"/>
          <w:szCs w:val="24"/>
        </w:rPr>
        <w:lastRenderedPageBreak/>
        <w:t>podatkowych i wnioskach, a wobec osób prawnych i jednostek niemających osobowości prawnej</w:t>
      </w:r>
      <w:r w:rsidRPr="009A3C86">
        <w:rPr>
          <w:rFonts w:ascii="Times New Roman" w:hAnsi="Times New Roman"/>
          <w:sz w:val="24"/>
          <w:szCs w:val="24"/>
        </w:rPr>
        <w:t xml:space="preserve"> takimi bazami jest Krajowy Rejestr Sądowy oraz inne rejestry. Ponadto </w:t>
      </w:r>
      <w:r w:rsidRPr="009A3C86">
        <w:rPr>
          <w:rFonts w:ascii="Times New Roman" w:hAnsi="Times New Roman"/>
          <w:kern w:val="3"/>
          <w:sz w:val="24"/>
          <w:szCs w:val="24"/>
        </w:rPr>
        <w:t>wobec osób prawnych i jednostek niemających osobowości prawnej doręczenie może być dokonywane na adres miejsca prowadzenia działalności, a także osobie fizycznej ją reprezentującej na zasadach określonych w obecnym art. 151a o.p.</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Taki stan rzeczy nie może być dalej akceptowany. Ustalanie przez organy podatkowe prawdy materialnej w zakresie adresu strony odmiennie od treści CRP KEP (</w:t>
      </w:r>
      <w:r w:rsidRPr="009A3C86">
        <w:rPr>
          <w:rFonts w:ascii="Times New Roman" w:hAnsi="Times New Roman"/>
          <w:sz w:val="24"/>
          <w:szCs w:val="24"/>
        </w:rPr>
        <w:t>Centralny Rejestr Podatników Krajowa Ewidencja Podatników)</w:t>
      </w:r>
      <w:r w:rsidRPr="009A3C86">
        <w:rPr>
          <w:rFonts w:ascii="Times New Roman" w:hAnsi="Times New Roman"/>
          <w:kern w:val="3"/>
          <w:sz w:val="24"/>
          <w:szCs w:val="24"/>
        </w:rPr>
        <w:t xml:space="preserve"> jest często przyczyną sporów, a co za tym idzie - kwestionowania skuteczności doręczenia pisma oraz składania wniosków o przywrócenie terminu.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W zgłoszeniach ewidencyjnych NIP są obecnie pozyskiwane dane zawierające pełny adres miejsca zamieszkania oraz pełny adres siedziby. Te dane będą pozyskiwane nadal na podstawie zgłoszeń identyfikacyjnych. Proponuje się więc wykorzystać te dane (</w:t>
      </w:r>
      <w:r w:rsidRPr="009A3C86">
        <w:rPr>
          <w:rFonts w:ascii="Times New Roman" w:hAnsi="Times New Roman"/>
          <w:sz w:val="24"/>
          <w:szCs w:val="24"/>
        </w:rPr>
        <w:t xml:space="preserve">wskazane z zgłoszeniu ewidencyjnym i przechowywane w Centralnym Rejestrze Podatników Krajowej Ewidencji Podatników) </w:t>
      </w:r>
      <w:r w:rsidRPr="009A3C86">
        <w:rPr>
          <w:rFonts w:ascii="Times New Roman" w:hAnsi="Times New Roman"/>
          <w:kern w:val="3"/>
          <w:sz w:val="24"/>
          <w:szCs w:val="24"/>
        </w:rPr>
        <w:t xml:space="preserve">jako podstawę do ustalenia </w:t>
      </w:r>
      <w:r w:rsidRPr="009A3C86">
        <w:rPr>
          <w:rFonts w:ascii="Times New Roman" w:hAnsi="Times New Roman"/>
          <w:sz w:val="24"/>
          <w:szCs w:val="24"/>
        </w:rPr>
        <w:t xml:space="preserve">adresu miejsca zamieszkania oraz adresu siedziby dla celów doręczania pism. Wobec strony postępowania będącej osobą fizyczną zachowana zostaje możliwość wskazania adresu do doręczeń. Wobec </w:t>
      </w:r>
      <w:r w:rsidRPr="009A3C86">
        <w:rPr>
          <w:rFonts w:ascii="Times New Roman" w:hAnsi="Times New Roman"/>
          <w:kern w:val="3"/>
          <w:sz w:val="24"/>
          <w:szCs w:val="24"/>
        </w:rPr>
        <w:t xml:space="preserve">osób prawnych i jednostek niemających osobowości prawnej bezprzedmiotowym staje się doręczanie pisma w miejscu prowadzenia działalności, skoro jest znany i pewny adres siedziby. Z tych samych powodów należy zrezygnować z obecnego art. 151a o.p. </w:t>
      </w:r>
      <w:r w:rsidRPr="009A3C86">
        <w:rPr>
          <w:rFonts w:ascii="Times New Roman" w:hAnsi="Times New Roman"/>
          <w:sz w:val="24"/>
          <w:szCs w:val="24"/>
        </w:rPr>
        <w:t xml:space="preserve">Podkreślić należy, że adres w zgłoszeniu ewidencyjnym podaje sam podatnik, więc to podatnik powinien ponosić konsekwencje zaniedbania w zakresie prawidłowości wskazania tego adresu lub aktualizacji tych danych. </w:t>
      </w:r>
      <w:r w:rsidRPr="009A3C86">
        <w:rPr>
          <w:rFonts w:ascii="Times New Roman" w:hAnsi="Times New Roman"/>
          <w:kern w:val="3"/>
          <w:sz w:val="24"/>
          <w:szCs w:val="24"/>
        </w:rPr>
        <w:t>Dla adresata skutkiem niezgodności zgłoszonych danych ewidencyjnych ze stanem faktycznym będzie doręczenie zastępcze (</w:t>
      </w:r>
      <w:r w:rsidRPr="009A3C86">
        <w:rPr>
          <w:rFonts w:ascii="Times New Roman" w:hAnsi="Times New Roman"/>
          <w:b/>
          <w:kern w:val="3"/>
          <w:sz w:val="24"/>
          <w:szCs w:val="24"/>
        </w:rPr>
        <w:t>§ 2</w:t>
      </w:r>
      <w:r w:rsidRPr="009A3C86">
        <w:rPr>
          <w:rFonts w:ascii="Times New Roman" w:hAnsi="Times New Roman"/>
          <w:kern w:val="3"/>
          <w:sz w:val="24"/>
          <w:szCs w:val="24"/>
        </w:rPr>
        <w:t xml:space="preserve">).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Podkreślić należy, że celem przepisu nie jest zdefiniowanie adresu miejsca zamieszkania lub adresu siedziby wyłącznie jako adresu figurującego w CRP KEP. Po pierwsze, nie wszyscy podatnicy podlegają obowiązkowi ewidencyjnemu. Po drugie, niektórzy podatnicy, mimo że podlegają obowiązkowi ewidencyjnemu, to obowiązków w tym zakresie nie wykonują, a skutkiem tego w CRP KEP ich adres nie figuruje. Informacji o adresie nie można wówczas czerpać z CRP KEP, a więc proponowany </w:t>
      </w:r>
      <w:r w:rsidRPr="009A3C86">
        <w:rPr>
          <w:rFonts w:ascii="Times New Roman" w:hAnsi="Times New Roman"/>
          <w:b/>
          <w:kern w:val="3"/>
          <w:sz w:val="24"/>
          <w:szCs w:val="24"/>
        </w:rPr>
        <w:t>§ 3</w:t>
      </w:r>
      <w:r w:rsidRPr="009A3C86">
        <w:rPr>
          <w:rFonts w:ascii="Times New Roman" w:hAnsi="Times New Roman"/>
          <w:kern w:val="3"/>
          <w:sz w:val="24"/>
          <w:szCs w:val="24"/>
        </w:rPr>
        <w:t xml:space="preserve"> wyłącza stosowanie proponowanego przepisu § 1. W tym przypadku adres miejsca zamieszkania lub adres siedziby organ podatkowy winien ustalić na podstawie innych źródeł, tak jak czyni to obecnie. </w:t>
      </w:r>
    </w:p>
    <w:p w:rsidR="0085545A" w:rsidRPr="009A3C86" w:rsidRDefault="0085545A" w:rsidP="0085545A">
      <w:pPr>
        <w:spacing w:after="0" w:line="360" w:lineRule="auto"/>
        <w:jc w:val="both"/>
        <w:rPr>
          <w:rFonts w:ascii="Times New Roman" w:hAnsi="Times New Roman"/>
          <w:kern w:val="3"/>
          <w:sz w:val="24"/>
          <w:szCs w:val="24"/>
        </w:rPr>
      </w:pPr>
      <w:r w:rsidRPr="009A3C86">
        <w:rPr>
          <w:rFonts w:ascii="Times New Roman" w:hAnsi="Times New Roman"/>
          <w:kern w:val="3"/>
          <w:sz w:val="24"/>
          <w:szCs w:val="24"/>
        </w:rPr>
        <w:lastRenderedPageBreak/>
        <w:t xml:space="preserve">Wprowadzenie wskazanego rozwiązania wymaga odpowiedniego </w:t>
      </w:r>
      <w:r w:rsidRPr="009A3C86">
        <w:rPr>
          <w:rFonts w:ascii="Times New Roman" w:hAnsi="Times New Roman"/>
          <w:i/>
          <w:iCs/>
          <w:kern w:val="3"/>
          <w:sz w:val="24"/>
          <w:szCs w:val="24"/>
        </w:rPr>
        <w:t>vacatio legis</w:t>
      </w:r>
      <w:r w:rsidRPr="009A3C86">
        <w:rPr>
          <w:rFonts w:ascii="Times New Roman" w:hAnsi="Times New Roman"/>
          <w:kern w:val="3"/>
          <w:sz w:val="24"/>
          <w:szCs w:val="24"/>
        </w:rPr>
        <w:t xml:space="preserve"> na ewentualną aktualizację danych rejestrowych w zakresie adresu miejsca zamieszkania lub adresu siedziby i przygotowanie organów podatkowych oraz podatników do proponowanej zmiany.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17. W </w:t>
      </w:r>
      <w:r w:rsidRPr="009A3C86">
        <w:rPr>
          <w:rFonts w:ascii="Times New Roman" w:hAnsi="Times New Roman"/>
          <w:b/>
          <w:sz w:val="24"/>
          <w:szCs w:val="24"/>
        </w:rPr>
        <w:t xml:space="preserve">art. </w:t>
      </w:r>
      <w:r w:rsidR="0085226B" w:rsidRPr="009A3C86">
        <w:rPr>
          <w:rFonts w:ascii="Times New Roman" w:hAnsi="Times New Roman"/>
          <w:b/>
          <w:sz w:val="24"/>
          <w:szCs w:val="24"/>
        </w:rPr>
        <w:t>344</w:t>
      </w:r>
      <w:r w:rsidRPr="009A3C86">
        <w:rPr>
          <w:rFonts w:ascii="Times New Roman" w:hAnsi="Times New Roman"/>
          <w:sz w:val="24"/>
          <w:szCs w:val="24"/>
        </w:rPr>
        <w:t>, wzorem obecnego przepisu art. 152 o.p., reguluje się obowiązki odbierającego pismo oraz skutki braku możności potwierdzenia doręczenia pisma lub uchylania się od tego.</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lang w:eastAsia="pl-PL"/>
        </w:rPr>
        <w:t>Dodano nowy przepis (</w:t>
      </w:r>
      <w:r w:rsidRPr="009A3C86">
        <w:rPr>
          <w:rFonts w:ascii="Times New Roman" w:hAnsi="Times New Roman"/>
          <w:b/>
          <w:sz w:val="24"/>
          <w:szCs w:val="24"/>
          <w:lang w:eastAsia="pl-PL"/>
        </w:rPr>
        <w:t>§ 2</w:t>
      </w:r>
      <w:r w:rsidRPr="009A3C86">
        <w:rPr>
          <w:rFonts w:ascii="Times New Roman" w:hAnsi="Times New Roman"/>
          <w:sz w:val="24"/>
          <w:szCs w:val="24"/>
          <w:lang w:eastAsia="pl-PL"/>
        </w:rPr>
        <w:t xml:space="preserve">). Poczta Polska S.A. realizuje usługę elektronicznego potwierdzenia odbioru na podstawie § 31 ust. 2 rozporządzenia Ministra Administracji i Cyfryzacji z dnia 29 kwietnia 2013 r. </w:t>
      </w:r>
      <w:r w:rsidRPr="009A3C86">
        <w:rPr>
          <w:rFonts w:ascii="Times New Roman" w:hAnsi="Times New Roman"/>
          <w:iCs/>
          <w:sz w:val="24"/>
          <w:szCs w:val="24"/>
          <w:shd w:val="clear" w:color="auto" w:fill="FFFFFF"/>
          <w:lang w:eastAsia="pl-PL"/>
        </w:rPr>
        <w:t>w sprawie warunków wykonywania usług powszechnych przez operatora wyznaczonego</w:t>
      </w:r>
      <w:r w:rsidRPr="009A3C86">
        <w:rPr>
          <w:rFonts w:ascii="Times New Roman" w:hAnsi="Times New Roman"/>
          <w:i/>
          <w:sz w:val="24"/>
          <w:szCs w:val="24"/>
          <w:lang w:eastAsia="pl-PL"/>
        </w:rPr>
        <w:t xml:space="preserve"> </w:t>
      </w:r>
      <w:r w:rsidRPr="009A3C86">
        <w:rPr>
          <w:rFonts w:ascii="Times New Roman" w:hAnsi="Times New Roman"/>
          <w:sz w:val="24"/>
          <w:szCs w:val="24"/>
          <w:lang w:eastAsia="pl-PL"/>
        </w:rPr>
        <w:t xml:space="preserve">(Dz. U. poz. 545). Obecnie przekazywanie nadawcy na jego wniosek informacji o doręczeniu przesyłki przy wykorzystaniu środków komunikacji elektronicznej odbywa się w odniesieniu do przesyłek nadawanych w tzw. trybie zwykłym, tj. na podstawie ustawy z dnia 23 listopada 2012 r. - </w:t>
      </w:r>
      <w:r w:rsidRPr="009A3C86">
        <w:rPr>
          <w:rFonts w:ascii="Times New Roman" w:hAnsi="Times New Roman"/>
          <w:iCs/>
          <w:sz w:val="24"/>
          <w:szCs w:val="24"/>
          <w:shd w:val="clear" w:color="auto" w:fill="FFFFFF"/>
          <w:lang w:eastAsia="pl-PL"/>
        </w:rPr>
        <w:t>Prawo pocztowe</w:t>
      </w:r>
      <w:r w:rsidRPr="009A3C86">
        <w:rPr>
          <w:rFonts w:ascii="Times New Roman" w:hAnsi="Times New Roman"/>
          <w:i/>
          <w:iCs/>
          <w:sz w:val="24"/>
          <w:szCs w:val="24"/>
          <w:shd w:val="clear" w:color="auto" w:fill="FFFFFF"/>
          <w:lang w:eastAsia="pl-PL"/>
        </w:rPr>
        <w:t>.</w:t>
      </w:r>
      <w:r w:rsidRPr="009A3C86">
        <w:rPr>
          <w:rFonts w:ascii="Times New Roman" w:hAnsi="Times New Roman"/>
          <w:sz w:val="24"/>
          <w:szCs w:val="24"/>
          <w:lang w:eastAsia="pl-PL"/>
        </w:rPr>
        <w:t xml:space="preserve"> Dodatkowo elektroniczne potwierdzenie odbioru jest stosowane dla przesyłek doręczanych w trybach szczególnych, tj. przesyłek doręczanych na podstawie ustawy z dnia 17 listopada 1964 r. - </w:t>
      </w:r>
      <w:r w:rsidRPr="009A3C86">
        <w:rPr>
          <w:rFonts w:ascii="Times New Roman" w:hAnsi="Times New Roman"/>
          <w:iCs/>
          <w:sz w:val="24"/>
          <w:szCs w:val="24"/>
          <w:shd w:val="clear" w:color="auto" w:fill="FFFFFF"/>
          <w:lang w:eastAsia="pl-PL"/>
        </w:rPr>
        <w:t>Kodeks postępowania cywilnego</w:t>
      </w:r>
      <w:r w:rsidRPr="009A3C86">
        <w:rPr>
          <w:rFonts w:ascii="Times New Roman" w:hAnsi="Times New Roman"/>
          <w:sz w:val="24"/>
          <w:szCs w:val="24"/>
          <w:lang w:eastAsia="pl-PL"/>
        </w:rPr>
        <w:t xml:space="preserve"> (Dz. U. z 2018 r. poz. 1360, z późn. zm.) oraz ustawy z dnia 6 czerwca 1997 r. - </w:t>
      </w:r>
      <w:r w:rsidRPr="009A3C86">
        <w:rPr>
          <w:rFonts w:ascii="Times New Roman" w:hAnsi="Times New Roman"/>
          <w:iCs/>
          <w:sz w:val="24"/>
          <w:szCs w:val="24"/>
          <w:shd w:val="clear" w:color="auto" w:fill="FFFFFF"/>
          <w:lang w:eastAsia="pl-PL"/>
        </w:rPr>
        <w:t>Kodeks postępowania karnego</w:t>
      </w:r>
      <w:r w:rsidRPr="009A3C86">
        <w:rPr>
          <w:rFonts w:ascii="Times New Roman" w:hAnsi="Times New Roman"/>
          <w:sz w:val="24"/>
          <w:szCs w:val="24"/>
          <w:lang w:eastAsia="pl-PL"/>
        </w:rPr>
        <w:t xml:space="preserve"> (Dz. U. z </w:t>
      </w:r>
      <w:r w:rsidR="00BC3E9B" w:rsidRPr="009A3C86">
        <w:rPr>
          <w:rFonts w:ascii="Times New Roman" w:hAnsi="Times New Roman"/>
          <w:sz w:val="24"/>
          <w:szCs w:val="24"/>
          <w:lang w:eastAsia="pl-PL"/>
        </w:rPr>
        <w:t>2018</w:t>
      </w:r>
      <w:r w:rsidRPr="009A3C86">
        <w:rPr>
          <w:rFonts w:ascii="Times New Roman" w:hAnsi="Times New Roman"/>
          <w:sz w:val="24"/>
          <w:szCs w:val="24"/>
          <w:lang w:eastAsia="pl-PL"/>
        </w:rPr>
        <w:t xml:space="preserve"> r. poz. 19</w:t>
      </w:r>
      <w:r w:rsidR="00BC3E9B" w:rsidRPr="009A3C86">
        <w:rPr>
          <w:rFonts w:ascii="Times New Roman" w:hAnsi="Times New Roman"/>
          <w:sz w:val="24"/>
          <w:szCs w:val="24"/>
          <w:lang w:eastAsia="pl-PL"/>
        </w:rPr>
        <w:t>87</w:t>
      </w:r>
      <w:r w:rsidRPr="009A3C86">
        <w:rPr>
          <w:rFonts w:ascii="Times New Roman" w:hAnsi="Times New Roman"/>
          <w:sz w:val="24"/>
          <w:szCs w:val="24"/>
          <w:lang w:eastAsia="pl-PL"/>
        </w:rPr>
        <w:t>, z późn. zm.). Obecnie o.p. nie przewiduje możliwości uzyskania przez nadawcę dokumentu potwierdzającego odbiór przesyłki rejestrowanej w formie elektronicznej. Należy więc umożliwić nadawcom (organom podatkowym) korzystanie z elektronicznego pokwitowania odbioru pism.</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18. Projektowany </w:t>
      </w:r>
      <w:r w:rsidRPr="009A3C86">
        <w:rPr>
          <w:rFonts w:ascii="Times New Roman" w:hAnsi="Times New Roman"/>
          <w:b/>
          <w:sz w:val="24"/>
          <w:szCs w:val="24"/>
        </w:rPr>
        <w:t xml:space="preserve">art. </w:t>
      </w:r>
      <w:r w:rsidR="009937C6" w:rsidRPr="009A3C86">
        <w:rPr>
          <w:rFonts w:ascii="Times New Roman" w:hAnsi="Times New Roman"/>
          <w:b/>
          <w:sz w:val="24"/>
          <w:szCs w:val="24"/>
        </w:rPr>
        <w:t>345</w:t>
      </w:r>
      <w:r w:rsidRPr="009A3C86">
        <w:rPr>
          <w:rFonts w:ascii="Times New Roman" w:hAnsi="Times New Roman"/>
          <w:sz w:val="24"/>
          <w:szCs w:val="24"/>
        </w:rPr>
        <w:t xml:space="preserve"> zachowuje obecne rozwiązania zawarte w art. 152a o.p. normujące obowiązki organu w zakresie doręczania pism za pomocą środków komunikacji elektronicznej, przesyłania zawiadomień o takim piśmie oraz warunki techniczne i organizacyjnego doręczeń pism środkami komunikacji elektronicznej.</w:t>
      </w:r>
      <w:r w:rsidRPr="009A3C86">
        <w:rPr>
          <w:rFonts w:ascii="Times New Roman" w:hAnsi="Times New Roman"/>
          <w:sz w:val="24"/>
          <w:szCs w:val="24"/>
          <w:lang w:eastAsia="pl-PL"/>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19. W </w:t>
      </w:r>
      <w:r w:rsidRPr="009A3C86">
        <w:rPr>
          <w:rFonts w:ascii="Times New Roman" w:hAnsi="Times New Roman"/>
          <w:b/>
          <w:sz w:val="24"/>
          <w:szCs w:val="24"/>
        </w:rPr>
        <w:t xml:space="preserve">art. </w:t>
      </w:r>
      <w:r w:rsidR="009937C6" w:rsidRPr="009A3C86">
        <w:rPr>
          <w:rFonts w:ascii="Times New Roman" w:hAnsi="Times New Roman"/>
          <w:b/>
          <w:sz w:val="24"/>
          <w:szCs w:val="24"/>
        </w:rPr>
        <w:t>346</w:t>
      </w:r>
      <w:r w:rsidRPr="009A3C86">
        <w:rPr>
          <w:rFonts w:ascii="Times New Roman" w:hAnsi="Times New Roman"/>
          <w:b/>
          <w:sz w:val="24"/>
          <w:szCs w:val="24"/>
        </w:rPr>
        <w:t xml:space="preserve"> </w:t>
      </w:r>
      <w:r w:rsidRPr="009A3C86">
        <w:rPr>
          <w:rFonts w:ascii="Times New Roman" w:hAnsi="Times New Roman"/>
          <w:sz w:val="24"/>
          <w:szCs w:val="24"/>
        </w:rPr>
        <w:t>normuje się skutki odmowy przyjęcia doręczanego pisma identycznie jak w obecnym art. 153 o.p.</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20. Przepis </w:t>
      </w:r>
      <w:r w:rsidRPr="009A3C86">
        <w:rPr>
          <w:rFonts w:ascii="Times New Roman" w:hAnsi="Times New Roman"/>
          <w:b/>
          <w:sz w:val="24"/>
          <w:szCs w:val="24"/>
        </w:rPr>
        <w:t xml:space="preserve">art. </w:t>
      </w:r>
      <w:r w:rsidR="009937C6" w:rsidRPr="009A3C86">
        <w:rPr>
          <w:rFonts w:ascii="Times New Roman" w:hAnsi="Times New Roman"/>
          <w:b/>
          <w:sz w:val="24"/>
          <w:szCs w:val="24"/>
        </w:rPr>
        <w:t>347</w:t>
      </w:r>
      <w:r w:rsidRPr="009A3C86">
        <w:rPr>
          <w:rFonts w:ascii="Times New Roman" w:hAnsi="Times New Roman"/>
          <w:sz w:val="24"/>
          <w:szCs w:val="24"/>
        </w:rPr>
        <w:t xml:space="preserve">, tak jak obecny art. 154 o.p., stanowi, że pisma skierowane do osób prawnych oraz jednostek organizacyjnych niemających osobowości prawnej, które nie mają organów, doręcza się kuratorowi wyznaczonemu przez sąd. Przepis uzupełniono o doręczanie pism tymczasowemu pełnomocnikowi szczególnemu, który działa do czasu ustanowienia kuratora. Pisma kierowane do osób korzystających ze szczególnych uprawnień wynikających z immunitetu dyplomatycznego lub konsularnego doręcza się w sposób przewidziany w przepisach </w:t>
      </w:r>
      <w:r w:rsidR="003C42A3" w:rsidRPr="009A3C86">
        <w:rPr>
          <w:rFonts w:ascii="Times New Roman" w:hAnsi="Times New Roman"/>
          <w:sz w:val="24"/>
          <w:szCs w:val="24"/>
        </w:rPr>
        <w:t>odrębnych</w:t>
      </w:r>
      <w:r w:rsidRPr="009A3C86">
        <w:rPr>
          <w:rFonts w:ascii="Times New Roman" w:hAnsi="Times New Roman"/>
          <w:sz w:val="24"/>
          <w:szCs w:val="24"/>
        </w:rPr>
        <w:t xml:space="preserve"> w umowach i przyjętych zwyczajach międzynarodowych.</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21. Przepisy </w:t>
      </w:r>
      <w:r w:rsidRPr="009A3C86">
        <w:rPr>
          <w:rFonts w:ascii="Times New Roman" w:hAnsi="Times New Roman"/>
          <w:b/>
          <w:sz w:val="24"/>
          <w:szCs w:val="24"/>
        </w:rPr>
        <w:t xml:space="preserve">art. </w:t>
      </w:r>
      <w:r w:rsidR="009937C6" w:rsidRPr="009A3C86">
        <w:rPr>
          <w:rFonts w:ascii="Times New Roman" w:hAnsi="Times New Roman"/>
          <w:b/>
          <w:sz w:val="24"/>
          <w:szCs w:val="24"/>
        </w:rPr>
        <w:t>348</w:t>
      </w:r>
      <w:r w:rsidRPr="009A3C86">
        <w:rPr>
          <w:rFonts w:ascii="Times New Roman" w:hAnsi="Times New Roman"/>
          <w:sz w:val="24"/>
          <w:szCs w:val="24"/>
        </w:rPr>
        <w:t xml:space="preserve"> i </w:t>
      </w:r>
      <w:r w:rsidRPr="009A3C86">
        <w:rPr>
          <w:rFonts w:ascii="Times New Roman" w:hAnsi="Times New Roman"/>
          <w:b/>
          <w:sz w:val="24"/>
          <w:szCs w:val="24"/>
        </w:rPr>
        <w:t xml:space="preserve">art. </w:t>
      </w:r>
      <w:r w:rsidR="009937C6" w:rsidRPr="009A3C86">
        <w:rPr>
          <w:rFonts w:ascii="Times New Roman" w:hAnsi="Times New Roman"/>
          <w:b/>
          <w:sz w:val="24"/>
          <w:szCs w:val="24"/>
        </w:rPr>
        <w:t>349</w:t>
      </w:r>
      <w:r w:rsidRPr="009A3C86">
        <w:rPr>
          <w:rFonts w:ascii="Times New Roman" w:hAnsi="Times New Roman"/>
          <w:sz w:val="24"/>
          <w:szCs w:val="24"/>
        </w:rPr>
        <w:t xml:space="preserve"> zachowują w całości obecny system doręczania pism we współpracy z władzami państw członkowskich Unii Europejskiej, normowany obecnie w art. </w:t>
      </w:r>
      <w:r w:rsidRPr="009A3C86">
        <w:rPr>
          <w:rFonts w:ascii="Times New Roman" w:hAnsi="Times New Roman"/>
          <w:sz w:val="24"/>
          <w:szCs w:val="24"/>
        </w:rPr>
        <w:lastRenderedPageBreak/>
        <w:t xml:space="preserve">154a i art. 154b o.p. W </w:t>
      </w:r>
      <w:r w:rsidRPr="009A3C86">
        <w:rPr>
          <w:rFonts w:ascii="Times New Roman" w:hAnsi="Times New Roman"/>
          <w:b/>
          <w:sz w:val="24"/>
          <w:szCs w:val="24"/>
        </w:rPr>
        <w:t xml:space="preserve">art. </w:t>
      </w:r>
      <w:r w:rsidR="009937C6" w:rsidRPr="009A3C86">
        <w:rPr>
          <w:rFonts w:ascii="Times New Roman" w:hAnsi="Times New Roman"/>
          <w:b/>
          <w:sz w:val="24"/>
          <w:szCs w:val="24"/>
        </w:rPr>
        <w:t>348</w:t>
      </w:r>
      <w:r w:rsidRPr="009A3C86">
        <w:rPr>
          <w:rFonts w:ascii="Times New Roman" w:hAnsi="Times New Roman"/>
          <w:sz w:val="24"/>
          <w:szCs w:val="24"/>
        </w:rPr>
        <w:t xml:space="preserve"> sprecyzowano poprzez odwołanie się do </w:t>
      </w:r>
      <w:r w:rsidRPr="009A3C86">
        <w:rPr>
          <w:rFonts w:ascii="Times New Roman" w:hAnsi="Times New Roman"/>
          <w:b/>
          <w:sz w:val="24"/>
          <w:szCs w:val="24"/>
        </w:rPr>
        <w:t xml:space="preserve">art. </w:t>
      </w:r>
      <w:r w:rsidR="009937C6" w:rsidRPr="009A3C86">
        <w:rPr>
          <w:rFonts w:ascii="Times New Roman" w:hAnsi="Times New Roman"/>
          <w:b/>
          <w:sz w:val="24"/>
          <w:szCs w:val="24"/>
        </w:rPr>
        <w:t>331</w:t>
      </w:r>
      <w:r w:rsidRPr="009A3C86">
        <w:rPr>
          <w:rFonts w:ascii="Times New Roman" w:hAnsi="Times New Roman"/>
          <w:sz w:val="24"/>
          <w:szCs w:val="24"/>
        </w:rPr>
        <w:t xml:space="preserve"> § 1</w:t>
      </w:r>
      <w:r w:rsidR="009937C6" w:rsidRPr="009A3C86">
        <w:rPr>
          <w:rFonts w:ascii="Times New Roman" w:hAnsi="Times New Roman"/>
          <w:sz w:val="24"/>
          <w:szCs w:val="24"/>
        </w:rPr>
        <w:t xml:space="preserve"> pkt 2</w:t>
      </w:r>
      <w:r w:rsidRPr="009A3C86">
        <w:rPr>
          <w:rFonts w:ascii="Times New Roman" w:hAnsi="Times New Roman"/>
          <w:sz w:val="24"/>
          <w:szCs w:val="24"/>
        </w:rPr>
        <w:t>, że wniosek o pomoc obcej władzy w doręczeniu pisma nie obejmuje sytuacji, gdy doręczenie jest możliwe środkami komunikacji elektronicznej.</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22. Tak jak obecny art. 154c o.p., także projektowany </w:t>
      </w:r>
      <w:r w:rsidRPr="009A3C86">
        <w:rPr>
          <w:rFonts w:ascii="Times New Roman" w:hAnsi="Times New Roman"/>
          <w:b/>
          <w:sz w:val="24"/>
          <w:szCs w:val="24"/>
        </w:rPr>
        <w:t xml:space="preserve">art. </w:t>
      </w:r>
      <w:r w:rsidR="009937C6" w:rsidRPr="009A3C86">
        <w:rPr>
          <w:rFonts w:ascii="Times New Roman" w:hAnsi="Times New Roman"/>
          <w:b/>
          <w:sz w:val="24"/>
          <w:szCs w:val="24"/>
        </w:rPr>
        <w:t>350</w:t>
      </w:r>
      <w:r w:rsidRPr="009A3C86">
        <w:rPr>
          <w:rFonts w:ascii="Times New Roman" w:hAnsi="Times New Roman"/>
          <w:sz w:val="24"/>
          <w:szCs w:val="24"/>
        </w:rPr>
        <w:t xml:space="preserve"> stanowi, że pisma obcych władz są doręczane z zachowaniem zasady wzajemności.</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43" w:name="_Toc494363270"/>
      <w:r w:rsidRPr="009A3C86">
        <w:rPr>
          <w:rFonts w:ascii="Times New Roman" w:hAnsi="Times New Roman"/>
          <w:b/>
          <w:bCs/>
          <w:sz w:val="24"/>
          <w:szCs w:val="24"/>
        </w:rPr>
        <w:t>Rozdział 4. Wezwania</w:t>
      </w:r>
      <w:bookmarkEnd w:id="43"/>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1. Przepisy dotyczące wezwań nie budzą problemów praktycznych wymagających interwencji legislacyjnej. Poza zmianami redakcyjnymi proponuje się zmiany zmierzające do promowania kontaktu telefonicznego oraz środków komunikacji elektronicznej.</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9937C6" w:rsidRPr="009A3C86">
        <w:rPr>
          <w:rFonts w:ascii="Times New Roman" w:hAnsi="Times New Roman"/>
          <w:b/>
          <w:sz w:val="24"/>
          <w:szCs w:val="24"/>
        </w:rPr>
        <w:t>351</w:t>
      </w:r>
      <w:r w:rsidRPr="009A3C86">
        <w:rPr>
          <w:rFonts w:ascii="Times New Roman" w:hAnsi="Times New Roman"/>
          <w:sz w:val="24"/>
          <w:szCs w:val="24"/>
        </w:rPr>
        <w:t xml:space="preserve"> jest odpowiednikiem obecnego art. 155 o.p. Ogólnie wskazano, że adresatem wezwania może być nie tylko osoba fizyczna, ale także inny podmiot. Pozostawiono bez zmian zakres uprawnienia organu do dokonania wezwania oraz regułę, wedle której, jeżeli osoba wezwana nie może stawić się z powodu choroby, kalectwa lub innej ważnej przyczyny, organ podatkowy może przyjąć wyjaśnienie lub zeznanie albo dokonać czynności w miejscu pobytu tej osoby. Zastrzeżono, że realizacja wezwania przez pełnomocnika może mieć miejsce wtedy, gdy przepis szczególny nie wymaga osobistego udziału strony.</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3. Przepis </w:t>
      </w:r>
      <w:r w:rsidRPr="009A3C86">
        <w:rPr>
          <w:rFonts w:ascii="Times New Roman" w:hAnsi="Times New Roman"/>
          <w:b/>
          <w:kern w:val="3"/>
          <w:sz w:val="24"/>
          <w:szCs w:val="24"/>
        </w:rPr>
        <w:t xml:space="preserve">art. </w:t>
      </w:r>
      <w:r w:rsidR="009937C6" w:rsidRPr="009A3C86">
        <w:rPr>
          <w:rFonts w:ascii="Times New Roman" w:hAnsi="Times New Roman"/>
          <w:b/>
          <w:kern w:val="3"/>
          <w:sz w:val="24"/>
          <w:szCs w:val="24"/>
        </w:rPr>
        <w:t>352</w:t>
      </w:r>
      <w:r w:rsidRPr="009A3C86">
        <w:rPr>
          <w:rFonts w:ascii="Times New Roman" w:hAnsi="Times New Roman"/>
          <w:kern w:val="3"/>
          <w:sz w:val="24"/>
          <w:szCs w:val="24"/>
        </w:rPr>
        <w:t xml:space="preserve"> jest odpowiednikiem obecnego art. 156 o.p. Wezwany przez organ podatkowy jest obowiązany do osobistego stawienia się tylko na obszarze województwa, w którym zamieszkuje lub przebywa. Osoba wezwana i obowiązana do osobistego stawienia się może jednak zastrzec, że chce stawić się przed organem właściwym do rozpatrzenia sprawy, o czym jest pouczana przez organ podatkowy.</w:t>
      </w:r>
    </w:p>
    <w:p w:rsidR="0085545A" w:rsidRPr="009A3C86" w:rsidRDefault="0085545A" w:rsidP="0085545A">
      <w:pPr>
        <w:autoSpaceDE w:val="0"/>
        <w:autoSpaceDN w:val="0"/>
        <w:spacing w:after="0" w:line="360" w:lineRule="auto"/>
        <w:jc w:val="both"/>
        <w:rPr>
          <w:rFonts w:ascii="Times New Roman" w:hAnsi="Times New Roman"/>
          <w:sz w:val="24"/>
          <w:szCs w:val="24"/>
        </w:rPr>
      </w:pPr>
      <w:r w:rsidRPr="009A3C86">
        <w:rPr>
          <w:rFonts w:ascii="Times New Roman" w:hAnsi="Times New Roman"/>
          <w:sz w:val="24"/>
          <w:szCs w:val="24"/>
        </w:rPr>
        <w:t xml:space="preserve">Zmiana redakcyjna polega na połączeniu w </w:t>
      </w:r>
      <w:r w:rsidRPr="009A3C86">
        <w:rPr>
          <w:rFonts w:ascii="Times New Roman" w:hAnsi="Times New Roman"/>
          <w:b/>
          <w:sz w:val="24"/>
          <w:szCs w:val="24"/>
        </w:rPr>
        <w:t>§ 4</w:t>
      </w:r>
      <w:r w:rsidRPr="009A3C86">
        <w:rPr>
          <w:rFonts w:ascii="Times New Roman" w:hAnsi="Times New Roman"/>
          <w:sz w:val="24"/>
          <w:szCs w:val="24"/>
        </w:rPr>
        <w:t xml:space="preserve"> obecnego art. 156 o.p § 4 i 5. Ten przepis określa wyjątki, gdy wezwany jest obowiązany do osobistego stawienia się także poza obszarem województwa, w którym zamieszkuje lub przebywa. Wyjątki, tak jak obecnie, dotyczą postępowania prowadzonego wobec stron z różnych województw na podstawie wyznaczenia przez Szefa Krajowej Administracji Skarbowej lub postępowania związanego ze stosowaniem klauzuli przeciwko unikaniu opodatkowania.</w:t>
      </w:r>
    </w:p>
    <w:p w:rsidR="0085545A" w:rsidRPr="009A3C86" w:rsidRDefault="0085545A" w:rsidP="0085545A">
      <w:pPr>
        <w:tabs>
          <w:tab w:val="left" w:pos="851"/>
          <w:tab w:val="left" w:pos="993"/>
        </w:tabs>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9937C6" w:rsidRPr="009A3C86">
        <w:rPr>
          <w:rFonts w:ascii="Times New Roman" w:hAnsi="Times New Roman"/>
          <w:b/>
          <w:sz w:val="24"/>
          <w:szCs w:val="24"/>
        </w:rPr>
        <w:t>353</w:t>
      </w:r>
      <w:r w:rsidRPr="009A3C86">
        <w:rPr>
          <w:rFonts w:ascii="Times New Roman" w:hAnsi="Times New Roman"/>
          <w:sz w:val="24"/>
          <w:szCs w:val="24"/>
        </w:rPr>
        <w:t xml:space="preserve"> jest odpowiednikiem obecnego art. 157 o.p. oraz art. 157a o.p. Połączono przepisy dotyczące udzielania organowi prowadzącemu postępowanie pomocy prawnej przez inne organy podatkowe. Pierwsza sytuacja uzasadniająca taką pomoc istnieje, gdy miejsce zamieszkania lub pobytu osoby obowiązanej do osobistego stawiennictwa nie pokrywa się z obszarem województwa, w którym mieści się zakres właściwości miejscowej organu podatkowego prowadzącego postępowanie, a osoba wzywana nie wyraziła woli stawiennictwa </w:t>
      </w:r>
      <w:r w:rsidRPr="009A3C86">
        <w:rPr>
          <w:rFonts w:ascii="Times New Roman" w:hAnsi="Times New Roman"/>
          <w:sz w:val="24"/>
          <w:szCs w:val="24"/>
        </w:rPr>
        <w:lastRenderedPageBreak/>
        <w:t>poza obszarem województwa. W drugim przypadku organ prowadzący postępowanie może zwrócić się do innego organu podatkowego o dokonanie określonej czynności związanej z prowadzonym postępowaniem, jeżeli przyczyni się to do skrócenia czasu trwania lub obniżenia kosztów postępowania. Z uwagi na wspólność materii połączono dotychczas odrębne regulacje w jednym artykule. Dokonano zmiany redakcyjnej polegającej na zastąpieniu wyrazów „organ, przed którym toczy się postępowanie” wyrazami „organ prowadzący postępowanie”. Poprawiono też systematykę przepisu.</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lang w:eastAsia="zh-CN"/>
        </w:rPr>
      </w:pPr>
      <w:r w:rsidRPr="009A3C86">
        <w:rPr>
          <w:rFonts w:ascii="Times New Roman" w:hAnsi="Times New Roman"/>
          <w:kern w:val="3"/>
          <w:sz w:val="24"/>
          <w:szCs w:val="24"/>
        </w:rPr>
        <w:t xml:space="preserve">W związku z wprowadzonym nowym sposobem prowadzenia przesłuchań „na odległość” zastrzeżono, że korzystanie w tym zakresie z pomocy prawnej na zasadach określonych w </w:t>
      </w:r>
      <w:r w:rsidRPr="009A3C86">
        <w:rPr>
          <w:rFonts w:ascii="Times New Roman" w:hAnsi="Times New Roman"/>
          <w:b/>
          <w:kern w:val="3"/>
          <w:sz w:val="24"/>
          <w:szCs w:val="24"/>
        </w:rPr>
        <w:t xml:space="preserve">art. </w:t>
      </w:r>
      <w:r w:rsidR="00F53A3F" w:rsidRPr="009A3C86">
        <w:rPr>
          <w:rFonts w:ascii="Times New Roman" w:hAnsi="Times New Roman"/>
          <w:b/>
          <w:kern w:val="3"/>
          <w:sz w:val="24"/>
          <w:szCs w:val="24"/>
        </w:rPr>
        <w:t>353</w:t>
      </w:r>
      <w:r w:rsidRPr="009A3C86">
        <w:rPr>
          <w:rFonts w:ascii="Times New Roman" w:hAnsi="Times New Roman"/>
          <w:b/>
          <w:kern w:val="3"/>
          <w:sz w:val="24"/>
          <w:szCs w:val="24"/>
        </w:rPr>
        <w:t xml:space="preserve"> </w:t>
      </w:r>
      <w:r w:rsidRPr="009A3C86">
        <w:rPr>
          <w:rFonts w:ascii="Times New Roman" w:hAnsi="Times New Roman"/>
          <w:kern w:val="3"/>
          <w:sz w:val="24"/>
          <w:szCs w:val="24"/>
        </w:rPr>
        <w:t>jest dopuszczalne, tylko gdy nie ma możliwości przeprowadzenia przesłuchania „na odległość” (</w:t>
      </w:r>
      <w:r w:rsidRPr="009A3C86">
        <w:rPr>
          <w:rFonts w:ascii="Times New Roman" w:hAnsi="Times New Roman"/>
          <w:b/>
          <w:kern w:val="3"/>
          <w:sz w:val="24"/>
          <w:szCs w:val="24"/>
        </w:rPr>
        <w:t>§ 3</w:t>
      </w:r>
      <w:r w:rsidRPr="009A3C86">
        <w:rPr>
          <w:rFonts w:ascii="Times New Roman" w:hAnsi="Times New Roman"/>
          <w:kern w:val="3"/>
          <w:sz w:val="24"/>
          <w:szCs w:val="24"/>
        </w:rPr>
        <w:t>).</w:t>
      </w:r>
      <w:r w:rsidRPr="009A3C86">
        <w:rPr>
          <w:rFonts w:ascii="Times New Roman" w:hAnsi="Times New Roman"/>
          <w:sz w:val="24"/>
          <w:szCs w:val="24"/>
        </w:rPr>
        <w:t xml:space="preserve"> Jeżeli możliwe jest przeprowadzenia tej czynności w sposób określony w </w:t>
      </w:r>
      <w:r w:rsidRPr="009A3C86">
        <w:rPr>
          <w:rFonts w:ascii="Times New Roman" w:hAnsi="Times New Roman"/>
          <w:b/>
          <w:sz w:val="24"/>
          <w:szCs w:val="24"/>
        </w:rPr>
        <w:t xml:space="preserve">art. </w:t>
      </w:r>
      <w:r w:rsidR="00F53A3F" w:rsidRPr="009A3C86">
        <w:rPr>
          <w:rFonts w:ascii="Times New Roman" w:hAnsi="Times New Roman"/>
          <w:b/>
          <w:sz w:val="24"/>
          <w:szCs w:val="24"/>
        </w:rPr>
        <w:t>396</w:t>
      </w:r>
      <w:r w:rsidRPr="009A3C86">
        <w:rPr>
          <w:rFonts w:ascii="Times New Roman" w:hAnsi="Times New Roman"/>
          <w:sz w:val="24"/>
          <w:szCs w:val="24"/>
        </w:rPr>
        <w:t xml:space="preserve"> (na odległość), pomoc innego organu ograniczy się do kwestii technicznych związanych z przeprowadzeniem przesłuchania np. zapewnienie stronie, świadkowi lub biegłemu dostępu do urządzeń przesyłających obraz i dźwięk.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5. Przepis </w:t>
      </w:r>
      <w:r w:rsidRPr="009A3C86">
        <w:rPr>
          <w:rFonts w:ascii="Times New Roman" w:hAnsi="Times New Roman"/>
          <w:b/>
          <w:kern w:val="3"/>
          <w:sz w:val="24"/>
          <w:szCs w:val="24"/>
        </w:rPr>
        <w:t xml:space="preserve">art. </w:t>
      </w:r>
      <w:r w:rsidR="00F53A3F" w:rsidRPr="009A3C86">
        <w:rPr>
          <w:rFonts w:ascii="Times New Roman" w:hAnsi="Times New Roman"/>
          <w:b/>
          <w:kern w:val="3"/>
          <w:sz w:val="24"/>
          <w:szCs w:val="24"/>
        </w:rPr>
        <w:t>354</w:t>
      </w:r>
      <w:r w:rsidRPr="009A3C86">
        <w:rPr>
          <w:rFonts w:ascii="Times New Roman" w:hAnsi="Times New Roman"/>
          <w:kern w:val="3"/>
          <w:sz w:val="24"/>
          <w:szCs w:val="24"/>
        </w:rPr>
        <w:t xml:space="preserve"> jest odpowiednikiem obecnego art. 158 o.p. Prawo strony do ograniczenia osobistego stawienia się tylko w obszarze województwa, w którym zamieszkuje lub przebywa oraz prawo organu do korzystania z pomocy prawnej jest wyłączone, gdy charakter sprawy lub czynności wymaga osobistego stawienia się przed organem podatkowym prowadzącym postępowanie.</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6. Przepis </w:t>
      </w:r>
      <w:r w:rsidRPr="009A3C86">
        <w:rPr>
          <w:rFonts w:ascii="Times New Roman" w:hAnsi="Times New Roman"/>
          <w:b/>
          <w:kern w:val="3"/>
          <w:sz w:val="24"/>
          <w:szCs w:val="24"/>
        </w:rPr>
        <w:t xml:space="preserve">art. </w:t>
      </w:r>
      <w:r w:rsidR="00F53A3F" w:rsidRPr="009A3C86">
        <w:rPr>
          <w:rFonts w:ascii="Times New Roman" w:hAnsi="Times New Roman"/>
          <w:b/>
          <w:kern w:val="3"/>
          <w:sz w:val="24"/>
          <w:szCs w:val="24"/>
        </w:rPr>
        <w:t>355</w:t>
      </w:r>
      <w:r w:rsidRPr="009A3C86">
        <w:rPr>
          <w:rFonts w:ascii="Times New Roman" w:hAnsi="Times New Roman"/>
          <w:kern w:val="3"/>
          <w:sz w:val="24"/>
          <w:szCs w:val="24"/>
        </w:rPr>
        <w:t xml:space="preserve"> jest odpowiednikiem obecnego art. 159 o.p. Zasadniczo pozostają w mocy obecne wymogi co do elementów koniecznych wezwania i jego podpisu. Nadal powinien obowiązywać nakaz, aby w przypadku wzywania strony na przesłuchanie w wezwaniu organ informował o prawie odmowy wyrażenia zgody na przesłuchanie i o związanej z tym możliwości niestawienia się na wezwanie.</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r w:rsidRPr="009A3C86">
        <w:rPr>
          <w:rFonts w:ascii="Times New Roman" w:hAnsi="Times New Roman"/>
          <w:b/>
          <w:kern w:val="3"/>
          <w:sz w:val="24"/>
          <w:szCs w:val="24"/>
        </w:rPr>
        <w:t>§ 1 pkt 2</w:t>
      </w:r>
      <w:r w:rsidRPr="009A3C86">
        <w:rPr>
          <w:rFonts w:ascii="Times New Roman" w:hAnsi="Times New Roman"/>
          <w:kern w:val="3"/>
          <w:sz w:val="24"/>
          <w:szCs w:val="24"/>
        </w:rPr>
        <w:t xml:space="preserve"> dodano możliwość wskazania nazwy podmiotu wzywanego. Będzie to przydatne w sytuacji, gdy z uwagi na specyfikę żądania adresowanego do osoby prawnej lub jednostki niemającej osobowości prawnej organ nie jest w stanie ustalić personaliów osoby zajmującej się w tym podmiocie obszarem objętym przedmiotem wezwania. Nie zawsze jest bowiem konieczne wzywanie osoby kierującej lub zarządzającej podmiotem. W wielu przypadkach wskazywanie z imienia i nazwiska konkretnej osoby nie jest możliwe ani konieczne; wystarczy wskazanie nazwy podmiotu, który w ramach swej organizacji samodzielnie ustali osobę odpowiedzialną za zastosowanie się do wezwania.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lastRenderedPageBreak/>
        <w:t xml:space="preserve">W </w:t>
      </w:r>
      <w:r w:rsidRPr="009A3C86">
        <w:rPr>
          <w:rFonts w:ascii="Times New Roman" w:hAnsi="Times New Roman"/>
          <w:b/>
          <w:kern w:val="3"/>
          <w:sz w:val="24"/>
          <w:szCs w:val="24"/>
        </w:rPr>
        <w:t>§ 1 pkt 4</w:t>
      </w:r>
      <w:r w:rsidRPr="009A3C86">
        <w:rPr>
          <w:rFonts w:ascii="Times New Roman" w:hAnsi="Times New Roman"/>
          <w:kern w:val="3"/>
          <w:sz w:val="24"/>
          <w:szCs w:val="24"/>
        </w:rPr>
        <w:t xml:space="preserve"> usunięto niezręczność brzmienia przepisu sugerującą, że osobiste stawienie się strony może się dokonać przez pełnomocnika. Ponadto uzupełniono realizację wezwania o pisemne „oświadczenie”, które jest nowym środkiem dowodowym.</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 xml:space="preserve">W </w:t>
      </w:r>
      <w:r w:rsidRPr="009A3C86">
        <w:rPr>
          <w:rFonts w:ascii="Times New Roman" w:hAnsi="Times New Roman"/>
          <w:b/>
          <w:kern w:val="3"/>
          <w:sz w:val="24"/>
          <w:szCs w:val="24"/>
        </w:rPr>
        <w:t>§ 1 pkt 5</w:t>
      </w:r>
      <w:r w:rsidRPr="009A3C86">
        <w:rPr>
          <w:rFonts w:ascii="Times New Roman" w:hAnsi="Times New Roman"/>
          <w:kern w:val="3"/>
          <w:sz w:val="24"/>
          <w:szCs w:val="24"/>
        </w:rPr>
        <w:t xml:space="preserve"> uściślono spoczywający na organie obowiązek wskazania, czy dokumenty, jeżeli ich dotyczy wezwanie, mają być przedłożone w postaci papierowej, czy też mogą być przedłożone w postaci elektronicznej. W tym drugim przypadku należy przy tym wskazać w wezwaniu, czy dokumenty mają być wniesione za pomocą środków komunikacji elektronicznej, czy na informatycznych nośnikach danych.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r w:rsidRPr="009A3C86">
        <w:rPr>
          <w:rFonts w:ascii="Times New Roman" w:hAnsi="Times New Roman"/>
          <w:b/>
          <w:kern w:val="3"/>
          <w:sz w:val="24"/>
          <w:szCs w:val="24"/>
        </w:rPr>
        <w:t>§ 1 pkt 6</w:t>
      </w:r>
      <w:r w:rsidRPr="009A3C86">
        <w:rPr>
          <w:rFonts w:ascii="Times New Roman" w:hAnsi="Times New Roman"/>
          <w:kern w:val="3"/>
          <w:sz w:val="24"/>
          <w:szCs w:val="24"/>
        </w:rPr>
        <w:t xml:space="preserve"> dokonano zmiany redakcyjnej. Zamiast „terminu spełnienia żądania” wskazano na „termin, do którego należy zastosować się do wezwania” zgodnie z charakterem tej czynności.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7. Materia normowana w </w:t>
      </w:r>
      <w:r w:rsidRPr="009A3C86">
        <w:rPr>
          <w:rFonts w:ascii="Times New Roman" w:hAnsi="Times New Roman"/>
          <w:b/>
          <w:sz w:val="24"/>
          <w:szCs w:val="24"/>
        </w:rPr>
        <w:t xml:space="preserve">art. </w:t>
      </w:r>
      <w:r w:rsidR="00F53A3F" w:rsidRPr="009A3C86">
        <w:rPr>
          <w:rFonts w:ascii="Times New Roman" w:hAnsi="Times New Roman"/>
          <w:b/>
          <w:sz w:val="24"/>
          <w:szCs w:val="24"/>
        </w:rPr>
        <w:t>356</w:t>
      </w:r>
      <w:r w:rsidRPr="009A3C86">
        <w:rPr>
          <w:rFonts w:ascii="Times New Roman" w:hAnsi="Times New Roman"/>
          <w:sz w:val="24"/>
          <w:szCs w:val="24"/>
        </w:rPr>
        <w:t xml:space="preserve"> odpowiada zakresowi regulacyjnemu obecnego art. 160 o.p. Obecnie zasadą komunikacji ze stroną w postępowaniu podatkowym jest pisemność, a wezwania telefoniczne są wyjątkiem – następują „w sprawach uzasadnionych ważnym interesem adresata lub gdy stan sprawy tego wymaga”. Określoną obecnie w art. 160 o.p. hierarchię sposobów wzywania przez organ podatkowy należy odwrócić. Zasadą w komunikacji ze stroną postępowania powinny być środki komunikacji elektronicznej, a w przypadku braku takiej możliwości telefon (w tym SMS) oraz inne środki łączności, w tym bezpieczne komunikatory internetowe umożliwiające porozumiewanie się w czasie rzeczywistym (czat tekstowy, wideokonferencja). Pisemne wezwania za pokwitowaniem (papierowe) powinny być stosowane wyjątkowo, w szczególności gdy: nie ma innej możliwości kontaktu ze stroną, strona nie dokonuje w ustalonym terminie czynności, do której jest wzywana albo strona preferuje pisemność kontaktu</w:t>
      </w:r>
      <w:r w:rsidRPr="009A3C86">
        <w:rPr>
          <w:rFonts w:ascii="Times New Roman" w:hAnsi="Times New Roman"/>
          <w:sz w:val="24"/>
          <w:szCs w:val="24"/>
          <w:vertAlign w:val="superscript"/>
        </w:rPr>
        <w:footnoteReference w:id="403"/>
      </w:r>
      <w:r w:rsidRPr="009A3C86">
        <w:rPr>
          <w:rFonts w:ascii="Times New Roman" w:hAnsi="Times New Roman"/>
          <w:sz w:val="24"/>
          <w:szCs w:val="24"/>
        </w:rPr>
        <w:t xml:space="preserve">. Organ podatkowy powinien zachować prawo elastycznego doboru formy kontaktu w zależności od specyfiki podatnika, biorąc pod uwagę dotychczasowe doświadczenia z kontaktów z podatnikiem i wagę sprawy </w:t>
      </w:r>
      <w:r w:rsidRPr="009A3C86">
        <w:rPr>
          <w:rFonts w:ascii="Times New Roman" w:hAnsi="Times New Roman"/>
          <w:b/>
          <w:sz w:val="24"/>
          <w:szCs w:val="24"/>
        </w:rPr>
        <w:t>(§ 2</w:t>
      </w:r>
      <w:r w:rsidRPr="009A3C86">
        <w:rPr>
          <w:rFonts w:ascii="Times New Roman" w:hAnsi="Times New Roman"/>
          <w:sz w:val="24"/>
          <w:szCs w:val="24"/>
        </w:rPr>
        <w:t xml:space="preserve">). Środki komunikacji elektronicznej są tańsze niż kontakty telefoniczne oraz zapewniają pewniejszą identyfikację odbiorcy. Kontakt telefoniczny powinien mieć miejsce, gdy nie ma możliwości komunikacji elektronicznej. Portal podatkowy powinien stanowić preferowaną bazę komunikacji elektronicznej z organami podatkowymi. Przedstawione rozwiązania znacznie przyspieszą postępowanie oraz zmniejszą jego koszty w stosunku do wezwań dokonywanych w formie pisemnej za pośrednictwem tradycyjnej poczty. Co ważniejsze, proponowane nowoczesne rozwiązania pozwolą na interakcję pracownika organu podatkowego </w:t>
      </w:r>
      <w:r w:rsidRPr="009A3C86">
        <w:rPr>
          <w:rFonts w:ascii="Times New Roman" w:hAnsi="Times New Roman"/>
          <w:sz w:val="24"/>
          <w:szCs w:val="24"/>
        </w:rPr>
        <w:lastRenderedPageBreak/>
        <w:t xml:space="preserve">z podatnikiem, co pozwoli bezkonfliktowo osiągnąć cel wezwania, bieżąco sprecyzować – jeżeli okaże się to potrzebne - oczekiwania organu oraz ustalić realny i dogodny dla podatnika termin realizacji wezwania. Indywidualizacja podatnika bez wątpienia zmniejszy jego stres związany z kontaktem z organem podatkowym w stosunku do tradycyjnych pisemnych wezwań. Wezwanie w opisanej formule nie traci jednak charakteru czynności procesowej. Konieczne jest więc zagwarantowanie możliwości odtwarzania przebiegu tej czynności. Nagrania z wezwań telefonicznych oraz zapisy wezwań w postaci elektronicznej powinny być rejestrowane i przechowywane przez organy dla celów dowodowych i weryfikacyjnych w zakresie legalności wezwania oraz skuteczności jego realizacji. Wezwanie za pośrednictwem środków komunikacji elektronicznej będzie więc dokonywane tak w jak stosunku do wszystkich pism, po spełnieniu wymogów dotyczących tego sposobu komunikacji.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praktyce występują sytuacje, gdy strona jest obecna w siedzibie organu, w celu dokonywania czynności w prowadzonym postępowaniu. Zgodnie z </w:t>
      </w:r>
      <w:r w:rsidRPr="009A3C86">
        <w:rPr>
          <w:rFonts w:ascii="Times New Roman" w:hAnsi="Times New Roman"/>
          <w:b/>
          <w:sz w:val="24"/>
          <w:szCs w:val="24"/>
        </w:rPr>
        <w:t>§ 3</w:t>
      </w:r>
      <w:r w:rsidRPr="009A3C86">
        <w:rPr>
          <w:rFonts w:ascii="Times New Roman" w:hAnsi="Times New Roman"/>
          <w:sz w:val="24"/>
          <w:szCs w:val="24"/>
        </w:rPr>
        <w:t xml:space="preserve">, jeżeli ujawnia się potrzeba dokonania wezwania strony w innym terminie należy przewidzieć możliwość dokonania wezwania ustnie, skoro strona jest akurat obecna w siedzibie organu, zachowując jednak wymogi wskazane w art. </w:t>
      </w:r>
      <w:r w:rsidR="003243E2" w:rsidRPr="009A3C86">
        <w:rPr>
          <w:rFonts w:ascii="Times New Roman" w:hAnsi="Times New Roman"/>
          <w:sz w:val="24"/>
          <w:szCs w:val="24"/>
        </w:rPr>
        <w:t>355</w:t>
      </w:r>
      <w:r w:rsidRPr="009A3C86">
        <w:rPr>
          <w:rFonts w:ascii="Times New Roman" w:hAnsi="Times New Roman"/>
          <w:sz w:val="24"/>
          <w:szCs w:val="24"/>
        </w:rPr>
        <w:t>. Nie ma sensu wysyłanie pisemnego wezwania lub telefonowania do strony, która jest obecna w siedzibie organu i treści wezwania może wysłuchać bezpośrednio. W przypadku wezwania ustnego zostanie sporządzona adnotacja.</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Wezwanie telefoniczne albo przy użyciu innych środków łączności wywołuje skutki prawne tylko wtedy, gdy nie ma wątpliwości, że dotarło do adresata we właściwej treści i w odpowiednim terminie (</w:t>
      </w:r>
      <w:r w:rsidRPr="009A3C86">
        <w:rPr>
          <w:rFonts w:ascii="Times New Roman" w:hAnsi="Times New Roman"/>
          <w:b/>
          <w:sz w:val="24"/>
          <w:szCs w:val="24"/>
        </w:rPr>
        <w:t>§ 4</w:t>
      </w:r>
      <w:r w:rsidRPr="009A3C86">
        <w:rPr>
          <w:rFonts w:ascii="Times New Roman" w:hAnsi="Times New Roman"/>
          <w:sz w:val="24"/>
          <w:szCs w:val="24"/>
        </w:rPr>
        <w:t>). Nie ma potrzeby czynić takiego zastrzeżenia do wezwania środkami komunikacji elektronicznej, skoro organ dysponuje w takim przypadku urzędowym poświadczeniem odbioru wezwania.</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44" w:name="_Toc494363271"/>
      <w:r w:rsidRPr="009A3C86">
        <w:rPr>
          <w:rFonts w:ascii="Times New Roman" w:hAnsi="Times New Roman"/>
          <w:b/>
          <w:bCs/>
          <w:sz w:val="24"/>
          <w:szCs w:val="24"/>
        </w:rPr>
        <w:t>Rozdział 5. Wszczęcie postępowania</w:t>
      </w:r>
      <w:bookmarkEnd w:id="44"/>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 Przepisy dotyczące wszczęcia postępowania nie budzą znaczących problemów praktycznych. Poza zmianami redakcyjnymi proponuje się jednak nowe rozwiązania zmierzające do poprawy ekonomiki postępowania podatkowego. Organ podatkowy powinien zostać uprawniony do rezygnacji z wszczynania postępowań podatkowych albo rezygnacji z prowadzenia postępowania, gdy koszty jego prowadzenia, w tym nakłady pracy organu podatkowego oraz koszty doręczenia pism, przewyższają wymierzaną kwotę zobowiązania.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lang w:eastAsia="zh-CN"/>
        </w:rPr>
      </w:pPr>
      <w:r w:rsidRPr="009A3C86">
        <w:rPr>
          <w:rFonts w:ascii="Times New Roman" w:hAnsi="Times New Roman"/>
          <w:kern w:val="3"/>
          <w:sz w:val="24"/>
          <w:szCs w:val="24"/>
        </w:rPr>
        <w:t xml:space="preserve">Ten sam cel realizuje propozycja wprowadzenia możliwości łączenia postępowania w sprawie dotyczącej ustalenia wysokości zobowiązania podatkowego z tytułu przychodów nieznajdujących pokrycia w ujawnionych źródłach lub pochodzących ze źródeł nieujawnionych </w:t>
      </w:r>
      <w:r w:rsidRPr="009A3C86">
        <w:rPr>
          <w:rFonts w:ascii="Times New Roman" w:hAnsi="Times New Roman"/>
          <w:kern w:val="3"/>
          <w:sz w:val="24"/>
          <w:szCs w:val="24"/>
        </w:rPr>
        <w:lastRenderedPageBreak/>
        <w:t>oraz postępowania w sprawie określenia wysokości zobowiązania podatkowego w podatku dochodowym od osób fizycznych</w:t>
      </w:r>
      <w:r w:rsidRPr="009A3C86">
        <w:rPr>
          <w:rFonts w:ascii="Times New Roman" w:hAnsi="Times New Roman"/>
          <w:sz w:val="24"/>
          <w:szCs w:val="24"/>
        </w:rPr>
        <w:t>, co może wyeliminować pewne sygnalizowane w piśmiennictwie wątpliwości praktyczne</w:t>
      </w:r>
      <w:r w:rsidRPr="009A3C86">
        <w:rPr>
          <w:rFonts w:ascii="Times New Roman" w:hAnsi="Times New Roman"/>
          <w:kern w:val="3"/>
          <w:sz w:val="24"/>
          <w:szCs w:val="24"/>
        </w:rPr>
        <w:t>. Nowym rozwiązaniem jest też standaryzacja wniosku o wszczęcie postępowania podatkowego.</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2. Przepis </w:t>
      </w:r>
      <w:r w:rsidRPr="009A3C86">
        <w:rPr>
          <w:rFonts w:ascii="Times New Roman" w:hAnsi="Times New Roman"/>
          <w:b/>
          <w:kern w:val="3"/>
          <w:sz w:val="24"/>
          <w:szCs w:val="24"/>
        </w:rPr>
        <w:t xml:space="preserve">art. </w:t>
      </w:r>
      <w:r w:rsidR="003243E2" w:rsidRPr="009A3C86">
        <w:rPr>
          <w:rFonts w:ascii="Times New Roman" w:hAnsi="Times New Roman"/>
          <w:b/>
          <w:kern w:val="3"/>
          <w:sz w:val="24"/>
          <w:szCs w:val="24"/>
        </w:rPr>
        <w:t>357</w:t>
      </w:r>
      <w:r w:rsidRPr="009A3C86">
        <w:rPr>
          <w:rFonts w:ascii="Times New Roman" w:hAnsi="Times New Roman"/>
          <w:kern w:val="3"/>
          <w:sz w:val="24"/>
          <w:szCs w:val="24"/>
        </w:rPr>
        <w:t xml:space="preserve"> jest odpowiednikiem obecnego art. 165 o.p., który określa podstawowe reguły wszczynania postępowania podatkowego z urzędu lub na wniosek strony oraz wskazuje datę wszczęcia postępowania.</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Zmiana w </w:t>
      </w:r>
      <w:r w:rsidRPr="009A3C86">
        <w:rPr>
          <w:rFonts w:ascii="Times New Roman" w:hAnsi="Times New Roman"/>
          <w:b/>
          <w:kern w:val="3"/>
          <w:sz w:val="24"/>
          <w:szCs w:val="24"/>
        </w:rPr>
        <w:t>§ 1</w:t>
      </w:r>
      <w:r w:rsidRPr="009A3C86">
        <w:rPr>
          <w:rFonts w:ascii="Times New Roman" w:hAnsi="Times New Roman"/>
          <w:kern w:val="3"/>
          <w:sz w:val="24"/>
          <w:szCs w:val="24"/>
        </w:rPr>
        <w:t xml:space="preserve"> ma charakter porządkujący („wniosek” o wszczęcie postępowania zamiast „żądania”).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Obecny art. 165 o.p. § 2 jest nadregulacją w kontekście w § 4; skoro datą wszczęcia postępowania z urzędu jest data doręczenia stronie postanowienia, to jasnym jest, że wszczęcie postępowania z urzędu następuje w formie postanowienia. Zbędny przepis pominięto w projektowanym artykule.</w:t>
      </w:r>
    </w:p>
    <w:p w:rsidR="0085545A" w:rsidRPr="009A3C86" w:rsidRDefault="0085545A" w:rsidP="0085545A">
      <w:pPr>
        <w:suppressAutoHyphens/>
        <w:autoSpaceDN w:val="0"/>
        <w:spacing w:after="0" w:line="360" w:lineRule="auto"/>
        <w:jc w:val="both"/>
        <w:textAlignment w:val="baseline"/>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4</w:t>
      </w:r>
      <w:r w:rsidRPr="009A3C86">
        <w:rPr>
          <w:rFonts w:ascii="Times New Roman" w:hAnsi="Times New Roman"/>
          <w:sz w:val="24"/>
          <w:szCs w:val="24"/>
        </w:rPr>
        <w:t xml:space="preserve"> sprecyzowano, że datą wszczęcia postępowania na wniosek strony złożony za pomocą środków komunikacji elektronicznej jest dzień wpływu wniosku do systemu teleinformatycznego, a nie dzień jego wprowadzenia wniosku do systemu.  Wniosek wprowadzony do systemu nie musi być w tym samym czasie wysłany do organu.</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r w:rsidRPr="009A3C86">
        <w:rPr>
          <w:rFonts w:ascii="Times New Roman" w:hAnsi="Times New Roman"/>
          <w:b/>
          <w:sz w:val="24"/>
          <w:szCs w:val="24"/>
        </w:rPr>
        <w:t>§ 6</w:t>
      </w:r>
      <w:r w:rsidRPr="009A3C86">
        <w:rPr>
          <w:rFonts w:ascii="Times New Roman" w:hAnsi="Times New Roman"/>
          <w:sz w:val="24"/>
          <w:szCs w:val="24"/>
        </w:rPr>
        <w:t xml:space="preserve"> nałożono na organ obowiązek wyznaczenia zakresu wszczętego z urzędu postępowania w sprawach, w których można wydać tzw. decyzje cząstkowe. Strona powinna wiedzieć w momencie wszczęcia postępowania, czy jest to postępowanie ukierunkowane na „decyzję cząstkową”, czy na kompleksową weryfikację zobowiązania podatkowego.</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3. W jednym artykule (</w:t>
      </w:r>
      <w:r w:rsidRPr="009A3C86">
        <w:rPr>
          <w:rFonts w:ascii="Times New Roman" w:hAnsi="Times New Roman"/>
          <w:b/>
          <w:kern w:val="3"/>
          <w:sz w:val="24"/>
          <w:szCs w:val="24"/>
        </w:rPr>
        <w:t xml:space="preserve">art. </w:t>
      </w:r>
      <w:r w:rsidR="003243E2" w:rsidRPr="009A3C86">
        <w:rPr>
          <w:rFonts w:ascii="Times New Roman" w:hAnsi="Times New Roman"/>
          <w:b/>
          <w:kern w:val="3"/>
          <w:sz w:val="24"/>
          <w:szCs w:val="24"/>
        </w:rPr>
        <w:t>358</w:t>
      </w:r>
      <w:r w:rsidRPr="009A3C86">
        <w:rPr>
          <w:rFonts w:ascii="Times New Roman" w:hAnsi="Times New Roman"/>
          <w:kern w:val="3"/>
          <w:sz w:val="24"/>
          <w:szCs w:val="24"/>
        </w:rPr>
        <w:t>) scalono wszystkie dotychczasowe przepisy wyłączające wydawanie postanowienia o wszczęciu postępowania podatkowego. Wszystkie obecnie obowiązujące wyjątki zachowano w mocy.</w:t>
      </w:r>
    </w:p>
    <w:p w:rsidR="0085545A" w:rsidRPr="009A3C86" w:rsidRDefault="0085545A" w:rsidP="0085545A">
      <w:pPr>
        <w:widowControl w:val="0"/>
        <w:spacing w:after="0" w:line="360" w:lineRule="auto"/>
        <w:jc w:val="both"/>
        <w:rPr>
          <w:rFonts w:ascii="Times New Roman" w:hAnsi="Times New Roman"/>
          <w:sz w:val="24"/>
          <w:szCs w:val="24"/>
        </w:rPr>
      </w:pPr>
      <w:r w:rsidRPr="009A3C86">
        <w:rPr>
          <w:rFonts w:ascii="Times New Roman" w:hAnsi="Times New Roman"/>
          <w:sz w:val="24"/>
          <w:szCs w:val="24"/>
        </w:rPr>
        <w:t xml:space="preserve">Zawężono wyjątek wynikający z </w:t>
      </w:r>
      <w:r w:rsidRPr="009A3C86">
        <w:rPr>
          <w:rFonts w:ascii="Times New Roman" w:hAnsi="Times New Roman"/>
          <w:b/>
          <w:bCs/>
          <w:sz w:val="24"/>
          <w:szCs w:val="24"/>
          <w:shd w:val="clear" w:color="auto" w:fill="FFFFFF"/>
          <w:lang w:eastAsia="pl-PL"/>
        </w:rPr>
        <w:t>§ 1 pkt 2 lit. a</w:t>
      </w:r>
      <w:r w:rsidRPr="009A3C86">
        <w:rPr>
          <w:rFonts w:ascii="Times New Roman" w:hAnsi="Times New Roman"/>
          <w:bCs/>
          <w:sz w:val="24"/>
          <w:szCs w:val="24"/>
          <w:shd w:val="clear" w:color="auto" w:fill="FFFFFF"/>
          <w:lang w:eastAsia="pl-PL"/>
        </w:rPr>
        <w:t xml:space="preserve"> odnośnie do niewydawania</w:t>
      </w:r>
      <w:r w:rsidRPr="009A3C86">
        <w:rPr>
          <w:rFonts w:ascii="Times New Roman" w:hAnsi="Times New Roman"/>
          <w:b/>
          <w:bCs/>
          <w:sz w:val="24"/>
          <w:szCs w:val="24"/>
          <w:shd w:val="clear" w:color="auto" w:fill="FFFFFF"/>
          <w:lang w:eastAsia="pl-PL"/>
        </w:rPr>
        <w:t xml:space="preserve"> </w:t>
      </w:r>
      <w:r w:rsidRPr="009A3C86">
        <w:rPr>
          <w:rFonts w:ascii="Times New Roman" w:hAnsi="Times New Roman"/>
          <w:sz w:val="24"/>
          <w:szCs w:val="24"/>
        </w:rPr>
        <w:t xml:space="preserve">postanowienia o wszczęciu postępowania ustalenia zobowiązań podatkowych, które zgodnie z odrębnymi przepisami ustalane są corocznie, jeżeli stan faktyczny, na podstawie którego ustalono wysokość zobowiązania podatkowego za poprzedni okres, nie uległ zmianie. Wskazano, że ten wyjątek dotyczy sytuacji, gdy decyzja za poprzedni okres (bazowa dla kolejnego wymiaru) nie została zaskarżona. W judykaturze (np. wyroki NSA z 22 czerwca 2007 r. II FSK 834/06; WSA w Poznaniu z 3 czerwca 2015 r., I SA/Po 115/15) jednolicie zwraca się uwagę, że warunkiem dopuszczalności niewszczynania postępowania jest to, by decyzja wymiarowa dotycząca poprzedniego okresu (roku) podatkowego nie była przez stronę kwestionowana. Jeżeli jednak strona kwestionowała ustalenia organu za lata wcześniejsze, to znaczy, że spór dalej się toczy i </w:t>
      </w:r>
      <w:r w:rsidRPr="009A3C86">
        <w:rPr>
          <w:rFonts w:ascii="Times New Roman" w:hAnsi="Times New Roman"/>
          <w:sz w:val="24"/>
          <w:szCs w:val="24"/>
        </w:rPr>
        <w:lastRenderedPageBreak/>
        <w:t xml:space="preserve">jest aktualny także co do decyzji za kolejne latach. W takiej sytuacji organ, ustalając podatek na kolejny okres (rok) podatkowy, powinien stosować ogólne reguły w zakresie wszczęcia postępowania podatkowego, tj. wydać postanowienie.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Nowymi wyjątkami od zasady wszczynania z urzędu postępowania podatkowego poprzez doręczenie postanowienia są następujące kategorie spraw: stwierdzenia nadpłaty, nałożenia kary porządkowej, kosztów postępowania. Sprawy kary porządkowej i kosztów postępowania są sprawami wpadkowymi wobec postępowania głównego, co uzasadnia uproszczony i szybszy tryb prowadzenia postępowania w tych sprawach. Trudno znaleźć uzasadnienie do formalizowania wszczęcia postępowania w sprawach wpadkowych, gdy przesłanki wszczynania postępowania w sprawie kary porządkowej oraz w sprawie kosztów postępowania pojawiają się w toku postępowania głównego.  Z tego względu te przesłanki są lub powinny być stronie znane. Stwierdzenie nadpłaty następuje zwykle na wniosek, ale nie można też wykluczyć, że takie postępowanie będzie wszczynane z urzędu. Celem takiego postępowania jest weryfikacja samoobliczenia podatku dokonanego przez podatnika w kierunku ujawnienia nadpłaty, a więc na korzyść podatnika. Rozstrzygnięcie tej sprawy powinno nastąpić jak najszybciej. W tym kontekście wydawanie postanowienia o wszczęciu postępowania i jego doręczenie może być traktowane jako nadmiar biurokracji. </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 xml:space="preserve">Postanowienie o wszczęciu postępowania nie będzie też wydawane w przypadku określania zaległości podatkowych w trybie, o którym mowa w art. </w:t>
      </w:r>
      <w:r w:rsidR="003243E2" w:rsidRPr="009A3C86">
        <w:rPr>
          <w:rFonts w:ascii="Times New Roman" w:hAnsi="Times New Roman"/>
          <w:kern w:val="3"/>
          <w:sz w:val="24"/>
          <w:szCs w:val="24"/>
        </w:rPr>
        <w:t>161</w:t>
      </w:r>
      <w:r w:rsidRPr="009A3C86">
        <w:rPr>
          <w:rFonts w:ascii="Times New Roman" w:hAnsi="Times New Roman"/>
          <w:kern w:val="3"/>
          <w:sz w:val="24"/>
          <w:szCs w:val="24"/>
        </w:rPr>
        <w:t xml:space="preserve"> § 3. W tym przypadku wszczęcie postępowania nastąpi z chwilą bezskutecznego upływu terminu do dokonania zwrotu na wezwanie organu podatkowego.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Postanowienia w sprawie wszczęcia postępowania nie będzie się też wydawać w postępowaniu uproszczonym – to zagadnienie jest omówione w części uzasadnienia dotyczącej postępowania uproszczonego. Datą wszczęcia postępowania uproszczonego będzie data wyrażenia przez stronę zgody na takie postępowanie (</w:t>
      </w:r>
      <w:r w:rsidRPr="009A3C86">
        <w:rPr>
          <w:rFonts w:ascii="Times New Roman" w:hAnsi="Times New Roman"/>
          <w:b/>
          <w:kern w:val="3"/>
          <w:sz w:val="24"/>
          <w:szCs w:val="24"/>
        </w:rPr>
        <w:t>§ 2 pkt 1</w:t>
      </w:r>
      <w:r w:rsidRPr="009A3C86">
        <w:rPr>
          <w:rFonts w:ascii="Times New Roman" w:hAnsi="Times New Roman"/>
          <w:kern w:val="3"/>
          <w:sz w:val="24"/>
          <w:szCs w:val="24"/>
        </w:rPr>
        <w:t>).</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Przepis </w:t>
      </w:r>
      <w:r w:rsidRPr="009A3C86">
        <w:rPr>
          <w:rFonts w:ascii="Times New Roman" w:hAnsi="Times New Roman"/>
          <w:b/>
          <w:kern w:val="3"/>
          <w:sz w:val="24"/>
          <w:szCs w:val="24"/>
        </w:rPr>
        <w:t xml:space="preserve">art. </w:t>
      </w:r>
      <w:r w:rsidR="00BE1A43" w:rsidRPr="009A3C86">
        <w:rPr>
          <w:rFonts w:ascii="Times New Roman" w:hAnsi="Times New Roman"/>
          <w:b/>
          <w:kern w:val="3"/>
          <w:sz w:val="24"/>
          <w:szCs w:val="24"/>
        </w:rPr>
        <w:t>358</w:t>
      </w:r>
      <w:r w:rsidRPr="009A3C86">
        <w:rPr>
          <w:rFonts w:ascii="Times New Roman" w:hAnsi="Times New Roman"/>
          <w:kern w:val="3"/>
          <w:sz w:val="24"/>
          <w:szCs w:val="24"/>
        </w:rPr>
        <w:t xml:space="preserve"> </w:t>
      </w:r>
      <w:r w:rsidRPr="009A3C86">
        <w:rPr>
          <w:rFonts w:ascii="Times New Roman" w:hAnsi="Times New Roman"/>
          <w:b/>
          <w:kern w:val="3"/>
          <w:sz w:val="24"/>
          <w:szCs w:val="24"/>
        </w:rPr>
        <w:t>§ 2 pkt 2 i 3</w:t>
      </w:r>
      <w:r w:rsidRPr="009A3C86">
        <w:rPr>
          <w:rFonts w:ascii="Times New Roman" w:hAnsi="Times New Roman"/>
          <w:kern w:val="3"/>
          <w:sz w:val="24"/>
          <w:szCs w:val="24"/>
        </w:rPr>
        <w:t xml:space="preserve"> zachowuje obecne rozwiązania art. 165 § 6-8 o.p. w zakresie daty wszczęcia postępowania z urzędu, gdy nie jest wydawane postanowienie.</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Uzupełniono przepisy dotyczące wszczęcia postępowania w zakresie momentu wszczęcia, gdy nie wydaje się i nie doręcza postanowienia (</w:t>
      </w:r>
      <w:r w:rsidRPr="009A3C86">
        <w:rPr>
          <w:rFonts w:ascii="Times New Roman" w:hAnsi="Times New Roman"/>
          <w:b/>
          <w:kern w:val="3"/>
          <w:sz w:val="24"/>
          <w:szCs w:val="24"/>
        </w:rPr>
        <w:t>§ 2 pkt 4</w:t>
      </w:r>
      <w:r w:rsidRPr="009A3C86">
        <w:rPr>
          <w:rFonts w:ascii="Times New Roman" w:hAnsi="Times New Roman"/>
          <w:kern w:val="3"/>
          <w:sz w:val="24"/>
          <w:szCs w:val="24"/>
        </w:rPr>
        <w:t>). Momentem tym powinna być data dokonania przez organ pierwszej czynności w postępowaniu.</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Przepis </w:t>
      </w:r>
      <w:r w:rsidRPr="009A3C86">
        <w:rPr>
          <w:rFonts w:ascii="Times New Roman" w:hAnsi="Times New Roman"/>
          <w:b/>
          <w:kern w:val="3"/>
          <w:sz w:val="24"/>
          <w:szCs w:val="24"/>
        </w:rPr>
        <w:t xml:space="preserve">art. </w:t>
      </w:r>
      <w:r w:rsidR="00BE1A43" w:rsidRPr="009A3C86">
        <w:rPr>
          <w:rFonts w:ascii="Times New Roman" w:hAnsi="Times New Roman"/>
          <w:b/>
          <w:kern w:val="3"/>
          <w:sz w:val="24"/>
          <w:szCs w:val="24"/>
        </w:rPr>
        <w:t>358</w:t>
      </w:r>
      <w:r w:rsidRPr="009A3C86">
        <w:rPr>
          <w:rFonts w:ascii="Times New Roman" w:hAnsi="Times New Roman"/>
          <w:kern w:val="3"/>
          <w:sz w:val="24"/>
          <w:szCs w:val="24"/>
        </w:rPr>
        <w:t xml:space="preserve"> </w:t>
      </w:r>
      <w:r w:rsidRPr="009A3C86">
        <w:rPr>
          <w:rFonts w:ascii="Times New Roman" w:hAnsi="Times New Roman"/>
          <w:b/>
          <w:kern w:val="3"/>
          <w:sz w:val="24"/>
          <w:szCs w:val="24"/>
        </w:rPr>
        <w:t>§ 3</w:t>
      </w:r>
      <w:r w:rsidRPr="009A3C86">
        <w:rPr>
          <w:rFonts w:ascii="Times New Roman" w:hAnsi="Times New Roman"/>
          <w:kern w:val="3"/>
          <w:sz w:val="24"/>
          <w:szCs w:val="24"/>
        </w:rPr>
        <w:t xml:space="preserve"> obejmuje sytuacje, gdy organ podatkowy</w:t>
      </w:r>
      <w:r w:rsidRPr="009A3C86">
        <w:rPr>
          <w:rFonts w:ascii="Times New Roman" w:hAnsi="Times New Roman"/>
          <w:sz w:val="24"/>
          <w:szCs w:val="24"/>
        </w:rPr>
        <w:t xml:space="preserve"> nie wydaje postanowienia o wszczęciu postępowania w przypadkach wskazanych w odrębnych ustawach np. w sprawie zarządzenia konwoju na podstawie art. 67 ustawy o Krajowej Administracji Skarbowej.</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4. Przepis </w:t>
      </w:r>
      <w:r w:rsidRPr="009A3C86">
        <w:rPr>
          <w:rFonts w:ascii="Times New Roman" w:hAnsi="Times New Roman"/>
          <w:b/>
          <w:sz w:val="24"/>
          <w:szCs w:val="24"/>
        </w:rPr>
        <w:t xml:space="preserve">art. </w:t>
      </w:r>
      <w:r w:rsidR="00BE1A43" w:rsidRPr="009A3C86">
        <w:rPr>
          <w:rFonts w:ascii="Times New Roman" w:hAnsi="Times New Roman"/>
          <w:b/>
          <w:sz w:val="24"/>
          <w:szCs w:val="24"/>
        </w:rPr>
        <w:t>359</w:t>
      </w:r>
      <w:r w:rsidRPr="009A3C86">
        <w:rPr>
          <w:rFonts w:ascii="Times New Roman" w:hAnsi="Times New Roman"/>
          <w:sz w:val="24"/>
          <w:szCs w:val="24"/>
        </w:rPr>
        <w:t xml:space="preserve"> jest odpowiednikiem obecnego art. 165a o.p. Postanowienie, na które służy zażalenie, będzie wydawane, gdy wniosek został złożony przez podmiot niebędącą stroną lub z jakichkolwiek innych przyczyn postępowanie nie może być wszczęte. Zmiany mają charakter porządkowy („wniosek” o wszczęcie postępowania zamiast „żądania”).</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lang w:eastAsia="zh-CN"/>
        </w:rPr>
      </w:pPr>
      <w:r w:rsidRPr="009A3C86">
        <w:rPr>
          <w:rFonts w:ascii="Times New Roman" w:hAnsi="Times New Roman"/>
          <w:kern w:val="3"/>
          <w:sz w:val="24"/>
          <w:szCs w:val="24"/>
        </w:rPr>
        <w:t xml:space="preserve">5. Przepis </w:t>
      </w:r>
      <w:r w:rsidRPr="009A3C86">
        <w:rPr>
          <w:rFonts w:ascii="Times New Roman" w:hAnsi="Times New Roman"/>
          <w:b/>
          <w:kern w:val="3"/>
          <w:sz w:val="24"/>
          <w:szCs w:val="24"/>
        </w:rPr>
        <w:t xml:space="preserve">art. </w:t>
      </w:r>
      <w:r w:rsidR="00BE1A43" w:rsidRPr="009A3C86">
        <w:rPr>
          <w:rFonts w:ascii="Times New Roman" w:hAnsi="Times New Roman"/>
          <w:b/>
          <w:kern w:val="3"/>
          <w:sz w:val="24"/>
          <w:szCs w:val="24"/>
        </w:rPr>
        <w:t>360</w:t>
      </w:r>
      <w:r w:rsidRPr="009A3C86">
        <w:rPr>
          <w:rFonts w:ascii="Times New Roman" w:hAnsi="Times New Roman"/>
          <w:kern w:val="3"/>
          <w:sz w:val="24"/>
          <w:szCs w:val="24"/>
        </w:rPr>
        <w:t xml:space="preserve"> normuje instytucję zakazu procesowego wszczynania postępowania podatkowego po zakończonej kontroli podatkowej po upływie 6 miesięcy od jej zakończenia (art. 165b o.p). Jest to rozwiązanie potrzebne, dyscyplinujące organ podatkowy do rozstrzygnięcia sprawy w oparciu o ustalenia zakończonej kontroli oraz znoszące niepewność skontrolowanego co do dalszych losów ustaleń kontroli, szczególnie w sytuacji, gdy w jej toku ujawniono nieprawidłowości.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Proponowane brzmienie § 1 zachowuje obecną treść art. 165b § 1 o.p. W </w:t>
      </w:r>
      <w:r w:rsidRPr="009A3C86">
        <w:rPr>
          <w:rFonts w:ascii="Times New Roman" w:hAnsi="Times New Roman"/>
          <w:b/>
          <w:kern w:val="3"/>
          <w:sz w:val="24"/>
          <w:szCs w:val="24"/>
        </w:rPr>
        <w:t>§ 2</w:t>
      </w:r>
      <w:r w:rsidRPr="009A3C86">
        <w:rPr>
          <w:rFonts w:ascii="Times New Roman" w:hAnsi="Times New Roman"/>
          <w:kern w:val="3"/>
          <w:sz w:val="24"/>
          <w:szCs w:val="24"/>
        </w:rPr>
        <w:t xml:space="preserve"> kierunkowo zachowuje wyłączenia od tej zasady zawarte w obecnym art. 165b § 3 o.p. W przepisie </w:t>
      </w:r>
      <w:r w:rsidRPr="009A3C86">
        <w:rPr>
          <w:rFonts w:ascii="Times New Roman" w:hAnsi="Times New Roman"/>
          <w:b/>
          <w:kern w:val="3"/>
          <w:sz w:val="24"/>
          <w:szCs w:val="24"/>
        </w:rPr>
        <w:t>§ 2 pkt 1</w:t>
      </w:r>
      <w:r w:rsidRPr="009A3C86">
        <w:rPr>
          <w:rFonts w:ascii="Times New Roman" w:hAnsi="Times New Roman"/>
          <w:kern w:val="3"/>
          <w:sz w:val="24"/>
          <w:szCs w:val="24"/>
        </w:rPr>
        <w:t xml:space="preserve"> rozszerzono zakres stosowania wyjątku także na pokontrolne korekty deklaracji składane przez płatników, zastępując pojęcie „podatnik” szerszym pojęciem „zobowiązany”. W obecnym stanie prawnym korekta „powrotna”, tj. przywracająca nieprawidłowości ujawnione w toku kontroli, jeżeli zostanie złożona przez płatnika, pozwala na wszczęcie postępowania podatkowego po upływie 6 miesięcy. </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rPr>
      </w:pPr>
      <w:r w:rsidRPr="009A3C86">
        <w:rPr>
          <w:rFonts w:ascii="Times New Roman" w:hAnsi="Times New Roman"/>
          <w:kern w:val="3"/>
          <w:sz w:val="24"/>
          <w:szCs w:val="24"/>
        </w:rPr>
        <w:t xml:space="preserve">Formuła obecnie obowiązującego art. 165c o.p. jako zakazu procesowego nie jest systemowo właściwa. Cele tego przepisu, w systemowo bardziej właściwy sposób, realizuje projektowana regulacja chroniąca uzasadnione oczekiwania zobowiązanego w związku z informacjami, jakie uzyskuje od organów podatkowych. Nośnikiem takiej informacji może być także protokół kontroli.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kern w:val="3"/>
          <w:sz w:val="24"/>
          <w:szCs w:val="24"/>
          <w:lang w:eastAsia="pl-PL"/>
        </w:rPr>
      </w:pPr>
      <w:r w:rsidRPr="009A3C86">
        <w:rPr>
          <w:rFonts w:ascii="Times New Roman" w:eastAsia="Times New Roman" w:hAnsi="Times New Roman"/>
          <w:kern w:val="3"/>
          <w:sz w:val="24"/>
          <w:szCs w:val="24"/>
          <w:lang w:eastAsia="pl-PL"/>
        </w:rPr>
        <w:t xml:space="preserve">6. Nieekonomiczne jest wszczynanie postępowań podatkowych, gdy koszty ich prowadzenia, w tym nakłady pracy organu podatkowego oraz koszty doręczenia pism, przewyższają wymierzaną kwotę zobowiązania. W </w:t>
      </w:r>
      <w:r w:rsidRPr="009A3C86">
        <w:rPr>
          <w:rFonts w:ascii="Times New Roman" w:eastAsia="Times New Roman" w:hAnsi="Times New Roman"/>
          <w:b/>
          <w:kern w:val="3"/>
          <w:sz w:val="24"/>
          <w:szCs w:val="24"/>
          <w:lang w:eastAsia="pl-PL"/>
        </w:rPr>
        <w:t xml:space="preserve">art. </w:t>
      </w:r>
      <w:r w:rsidR="00BE1A43" w:rsidRPr="009A3C86">
        <w:rPr>
          <w:rFonts w:ascii="Times New Roman" w:eastAsia="Times New Roman" w:hAnsi="Times New Roman"/>
          <w:b/>
          <w:kern w:val="3"/>
          <w:sz w:val="24"/>
          <w:szCs w:val="24"/>
          <w:lang w:eastAsia="pl-PL"/>
        </w:rPr>
        <w:t>361</w:t>
      </w:r>
      <w:r w:rsidRPr="009A3C86">
        <w:rPr>
          <w:rFonts w:ascii="Times New Roman" w:eastAsia="Times New Roman" w:hAnsi="Times New Roman"/>
          <w:b/>
          <w:kern w:val="3"/>
          <w:sz w:val="24"/>
          <w:szCs w:val="24"/>
          <w:lang w:eastAsia="pl-PL"/>
        </w:rPr>
        <w:t xml:space="preserve"> </w:t>
      </w:r>
      <w:r w:rsidRPr="009A3C86">
        <w:rPr>
          <w:rFonts w:ascii="Times New Roman" w:eastAsia="Times New Roman" w:hAnsi="Times New Roman"/>
          <w:kern w:val="3"/>
          <w:sz w:val="24"/>
          <w:szCs w:val="24"/>
          <w:lang w:eastAsia="pl-PL"/>
        </w:rPr>
        <w:t>proponuje się zakaz procesowy polegający na niewszczynaniu z urzędu oraz umarzaniu wszczętego z urzędu postępowania, jeżeli spodziewana kwota uszczuplenia nie przekracza ustawowo określonego limitu kwotowego</w:t>
      </w:r>
      <w:r w:rsidRPr="009A3C86">
        <w:rPr>
          <w:rFonts w:ascii="Times New Roman" w:eastAsia="Times New Roman" w:hAnsi="Times New Roman"/>
          <w:kern w:val="3"/>
          <w:sz w:val="24"/>
          <w:szCs w:val="24"/>
          <w:vertAlign w:val="superscript"/>
          <w:lang w:eastAsia="pl-PL"/>
        </w:rPr>
        <w:footnoteReference w:id="404"/>
      </w:r>
      <w:r w:rsidRPr="009A3C86">
        <w:rPr>
          <w:rFonts w:ascii="Times New Roman" w:eastAsia="Times New Roman" w:hAnsi="Times New Roman"/>
          <w:kern w:val="3"/>
          <w:sz w:val="24"/>
          <w:szCs w:val="24"/>
          <w:lang w:eastAsia="pl-PL"/>
        </w:rPr>
        <w:t xml:space="preserve">. Proponuje się ustalenie tego limitu w kwocie 50 zł. Koszty administracji skarbowej wynikające z: nakładów pracy związanych z prowadzeniem postępowania, przygotowaniem rozstrzygnięcia oraz koszty materiałowe w zakresie najprostszych postępowań podatkowych odpowiadają co najmniej tej kwocie. Wskazana reguła nie dotyczy postępowań podatkowych </w:t>
      </w:r>
      <w:r w:rsidRPr="009A3C86">
        <w:rPr>
          <w:rFonts w:ascii="Times New Roman" w:eastAsia="Times New Roman" w:hAnsi="Times New Roman"/>
          <w:kern w:val="3"/>
          <w:sz w:val="24"/>
          <w:szCs w:val="24"/>
          <w:lang w:eastAsia="pl-PL"/>
        </w:rPr>
        <w:lastRenderedPageBreak/>
        <w:t xml:space="preserve">wszczynanych na wniosek, co wynika z </w:t>
      </w:r>
      <w:r w:rsidRPr="009A3C86">
        <w:rPr>
          <w:rFonts w:ascii="Times New Roman" w:eastAsia="Times New Roman" w:hAnsi="Times New Roman"/>
          <w:b/>
          <w:kern w:val="3"/>
          <w:sz w:val="24"/>
          <w:szCs w:val="24"/>
          <w:lang w:eastAsia="pl-PL"/>
        </w:rPr>
        <w:t>§ 1</w:t>
      </w:r>
      <w:r w:rsidRPr="009A3C86">
        <w:rPr>
          <w:rFonts w:ascii="Times New Roman" w:eastAsia="Times New Roman" w:hAnsi="Times New Roman"/>
          <w:kern w:val="3"/>
          <w:sz w:val="24"/>
          <w:szCs w:val="24"/>
          <w:lang w:eastAsia="pl-PL"/>
        </w:rPr>
        <w:t xml:space="preserve">. Wyjaśnić jednak należy, że decyzja umarzająca postępowanie podatkowe powinna być wydana i doręczona stronie. Strona nie może bowiem pozostawać w niepewności co do tego, jakie są losy postępowania, które wobec niej zostało wszczęte z urzędu. </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Nie wszczyna się postępowania z urzędu, a postępowanie wszczęte umarza, w zakresie podatków stanowiących dochód budżetu państwa, jeżeli wysokość podatku, wysokość zaniżenia podatku lub zawyżenia: nadpłaty, zwrotu podatku, nadwyżki podatku naliczonego nad należnym do odliczenia w rozumieniu przepisów o podatku od towarów i usług lub straty za okres rozliczeniowy nie przekraczałaby kwoty 50 zł. Zasadę tę stosuje się odpowiednio do zaniżenia dochodu, przychodu lub zysku.</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zakresie podatków stanowiących dochody jednostek samorządu terytorialnego (pobieranych przez samorządowe organy podatkowe jak i przez organy K</w:t>
      </w:r>
      <w:r w:rsidR="000201F4" w:rsidRPr="009A3C86">
        <w:rPr>
          <w:rFonts w:ascii="Times New Roman" w:hAnsi="Times New Roman"/>
          <w:sz w:val="24"/>
          <w:szCs w:val="24"/>
        </w:rPr>
        <w:t xml:space="preserve">rajowej </w:t>
      </w:r>
      <w:r w:rsidRPr="009A3C86">
        <w:rPr>
          <w:rFonts w:ascii="Times New Roman" w:hAnsi="Times New Roman"/>
          <w:sz w:val="24"/>
          <w:szCs w:val="24"/>
        </w:rPr>
        <w:t>A</w:t>
      </w:r>
      <w:r w:rsidR="000201F4" w:rsidRPr="009A3C86">
        <w:rPr>
          <w:rFonts w:ascii="Times New Roman" w:hAnsi="Times New Roman"/>
          <w:sz w:val="24"/>
          <w:szCs w:val="24"/>
        </w:rPr>
        <w:t xml:space="preserve">dministracji </w:t>
      </w:r>
      <w:r w:rsidRPr="009A3C86">
        <w:rPr>
          <w:rFonts w:ascii="Times New Roman" w:hAnsi="Times New Roman"/>
          <w:sz w:val="24"/>
          <w:szCs w:val="24"/>
        </w:rPr>
        <w:t>S</w:t>
      </w:r>
      <w:r w:rsidR="000201F4" w:rsidRPr="009A3C86">
        <w:rPr>
          <w:rFonts w:ascii="Times New Roman" w:hAnsi="Times New Roman"/>
          <w:sz w:val="24"/>
          <w:szCs w:val="24"/>
        </w:rPr>
        <w:t>karbowej</w:t>
      </w:r>
      <w:r w:rsidRPr="009A3C86">
        <w:rPr>
          <w:rFonts w:ascii="Times New Roman" w:hAnsi="Times New Roman"/>
          <w:sz w:val="24"/>
          <w:szCs w:val="24"/>
        </w:rPr>
        <w:t>), gdzie zazwyczaj wymierzane są niższe kwoty zobowiązań oraz różnie, w zależności od specyfiki i obszaru gminy, mogą kształtować się koszty postępowania, należy uprawnić radę gminy do wprowadzenia wskazanej wyżej reguły oraz ewentualnego obniżenia ustawowo określonego limitu bagatelności wszczęcia lub prowadzenia postępowania podatkowego (</w:t>
      </w:r>
      <w:r w:rsidRPr="009A3C86">
        <w:rPr>
          <w:rFonts w:ascii="Times New Roman" w:hAnsi="Times New Roman"/>
          <w:b/>
          <w:sz w:val="24"/>
          <w:szCs w:val="24"/>
        </w:rPr>
        <w:t>§ 3</w:t>
      </w:r>
      <w:r w:rsidRPr="009A3C86">
        <w:rPr>
          <w:rFonts w:ascii="Times New Roman" w:hAnsi="Times New Roman"/>
          <w:sz w:val="24"/>
          <w:szCs w:val="24"/>
        </w:rPr>
        <w:t>). Wskazana reguła będzie też stosowana odpowiednio do łącznego zobowiązania pieniężnego w razie powzięcia przez radę gminy uchwały o stosowaniu § 1.</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Podkreślić należy, że zakaz wszczynania i prowadzenia postępowania podatkowego w zakresie kwot bagatelnych nie oznacza zniesienia obowiązku samoobliczenia i wpłacania podatku w wysokości nieprzekraczającej kwoty 50 zł. Nie wpływa to także na zakres odpowiedzialności za wykroczenia skarbowe związane z niewykonywaniem obowiązków podatkowych w takim zakresie.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7. Przepis </w:t>
      </w:r>
      <w:r w:rsidRPr="009A3C86">
        <w:rPr>
          <w:rFonts w:ascii="Times New Roman" w:hAnsi="Times New Roman"/>
          <w:b/>
          <w:sz w:val="24"/>
          <w:szCs w:val="24"/>
        </w:rPr>
        <w:t xml:space="preserve">art. </w:t>
      </w:r>
      <w:r w:rsidR="000201F4" w:rsidRPr="009A3C86">
        <w:rPr>
          <w:rFonts w:ascii="Times New Roman" w:hAnsi="Times New Roman"/>
          <w:b/>
          <w:sz w:val="24"/>
          <w:szCs w:val="24"/>
        </w:rPr>
        <w:t>362</w:t>
      </w:r>
      <w:r w:rsidRPr="009A3C86">
        <w:rPr>
          <w:rFonts w:ascii="Times New Roman" w:hAnsi="Times New Roman"/>
          <w:sz w:val="24"/>
          <w:szCs w:val="24"/>
        </w:rPr>
        <w:t xml:space="preserve"> jest odpowiednikiem obecnego art. 166 o.p. Połączenie postępowań w kilku sprawach nastąpi postanowieniem, na które służy zażalenie, jeżeli w tych sprawach prawa i obowiązki stron wynikają z tego samego stanu faktycznego oraz z tej samej podstawy prawnej i w których właściwy jest ten sam organ podatkowy. Wprowadzono możliwość połączenia wszczętych odrębnie postępowań (wobec różnych stron), co będzie szczególnie użyteczne w podatku od spadków i darowizn, gdzie postępowania są wszczynane poprzez złożenie zeznania przez każdego podatnika.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Dodatkowo uregulowano kwestię rozłączenia postępowań, gdy w toku wspólnego ich prowadzenia ustały przesłanki do ich łączenia.</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lang w:eastAsia="zh-CN"/>
        </w:rPr>
      </w:pPr>
      <w:r w:rsidRPr="009A3C86">
        <w:rPr>
          <w:rFonts w:ascii="Times New Roman" w:hAnsi="Times New Roman"/>
          <w:kern w:val="3"/>
          <w:sz w:val="24"/>
          <w:szCs w:val="24"/>
        </w:rPr>
        <w:t xml:space="preserve">8. Przepis </w:t>
      </w:r>
      <w:r w:rsidRPr="009A3C86">
        <w:rPr>
          <w:rFonts w:ascii="Times New Roman" w:hAnsi="Times New Roman"/>
          <w:b/>
          <w:kern w:val="3"/>
          <w:sz w:val="24"/>
          <w:szCs w:val="24"/>
        </w:rPr>
        <w:t xml:space="preserve">art. </w:t>
      </w:r>
      <w:r w:rsidR="000201F4" w:rsidRPr="009A3C86">
        <w:rPr>
          <w:rFonts w:ascii="Times New Roman" w:hAnsi="Times New Roman"/>
          <w:b/>
          <w:kern w:val="3"/>
          <w:sz w:val="24"/>
          <w:szCs w:val="24"/>
        </w:rPr>
        <w:t>363</w:t>
      </w:r>
      <w:r w:rsidRPr="009A3C86">
        <w:rPr>
          <w:rFonts w:ascii="Times New Roman" w:hAnsi="Times New Roman"/>
          <w:kern w:val="3"/>
          <w:sz w:val="24"/>
          <w:szCs w:val="24"/>
        </w:rPr>
        <w:t xml:space="preserve"> jest odpowiednikiem obecnego art. 166a o.p. Organ podatkowy może, w drodze postanowienia, połączyć oddzielne postępowania w sprawach dotyczących podatku od </w:t>
      </w:r>
      <w:r w:rsidRPr="009A3C86">
        <w:rPr>
          <w:rFonts w:ascii="Times New Roman" w:hAnsi="Times New Roman"/>
          <w:kern w:val="3"/>
          <w:sz w:val="24"/>
          <w:szCs w:val="24"/>
        </w:rPr>
        <w:lastRenderedPageBreak/>
        <w:t xml:space="preserve">towarów i usług z tytułu importu towarów oraz podatku akcyzowego z tytułu importu towarów w celu ich łącznego rozpatrzenia, jeżeli dotyczą tego samego podmiotu i są ze sobą w związku.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kern w:val="3"/>
          <w:sz w:val="24"/>
          <w:szCs w:val="24"/>
          <w:lang w:eastAsia="zh-CN"/>
        </w:rPr>
        <w:t xml:space="preserve">9. Przepis </w:t>
      </w:r>
      <w:r w:rsidRPr="009A3C86">
        <w:rPr>
          <w:rFonts w:ascii="Times New Roman" w:hAnsi="Times New Roman"/>
          <w:b/>
          <w:kern w:val="3"/>
          <w:sz w:val="24"/>
          <w:szCs w:val="24"/>
          <w:lang w:eastAsia="zh-CN"/>
        </w:rPr>
        <w:t>a</w:t>
      </w:r>
      <w:r w:rsidRPr="009A3C86">
        <w:rPr>
          <w:rFonts w:ascii="Times New Roman" w:hAnsi="Times New Roman"/>
          <w:b/>
          <w:sz w:val="24"/>
          <w:szCs w:val="24"/>
        </w:rPr>
        <w:t xml:space="preserve">rt. </w:t>
      </w:r>
      <w:r w:rsidR="000201F4" w:rsidRPr="009A3C86">
        <w:rPr>
          <w:rFonts w:ascii="Times New Roman" w:hAnsi="Times New Roman"/>
          <w:b/>
          <w:sz w:val="24"/>
          <w:szCs w:val="24"/>
        </w:rPr>
        <w:t>364</w:t>
      </w:r>
      <w:r w:rsidRPr="009A3C86">
        <w:rPr>
          <w:rFonts w:ascii="Times New Roman" w:hAnsi="Times New Roman"/>
          <w:sz w:val="24"/>
          <w:szCs w:val="24"/>
        </w:rPr>
        <w:t xml:space="preserve"> jest nową regulacją uzasadnioną potrzebą ekonomiki postępowania. Projektowany przepis uprawnia organ podatkowy do połączenia, w drodze postanowienia, postępowania w sprawie dotyczącej ustalenia wysokości zobowiązania podatkowego z tytułu przychodów nieznajdujących pokrycia w ujawnionych źródłach lub pochodzących ze źródeł nieujawnionych oraz postępowania w sprawie określenia wysokości zobowiązania podatkowego w podatku dochodowym od osób fizycznych, jeżeli postępowania dotyczą tej samej osoby i pozostają ze sobą w związku. Analogicznie odnosi się to do wszczęcia jednego postępowania w tych dwóch sprawach.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Obowiązujące od 1 stycznia 2016 r. przepisy o dochodach nieujawnionych realizują zasadę dążenia do ustalenia źródeł pochodzenia przychodów (dochodów) oraz ich prawidłowej wysokości, gdyż w przypadku ustalenia w postępowaniu podatkowym albo w postępowaniu kontrolnym organu kontroli skarbowej źródła pochodzenia nieujawnionych uprzednio przychodów (dochodów) i ich wysokości przychody (dochody) te podlegają opodatkowaniu podatkiem na zasadach określonych w przepisach ustawy innych niż przepisy o podatku sankcyjnym lub w przepisach odrębnych ustaw (art. 25g ust. 7 u.p.d.f.). W praktyce, jeżeli w toku postępowania w zakresie dochodów nieujawnionych organ zidentyfikował przychody stanowiące źródło sfinansowania wydatku, to mogą istnieć wątpliwości związane z koniecznością wszczęcia kolejnego postępowania celem określenia wysokości zobowiązania podatkowego, ewentualnie zawieszenia postępowania w zakresie ustalenia podatku od dochodów nieujawnionych</w:t>
      </w:r>
      <w:r w:rsidRPr="009A3C86">
        <w:rPr>
          <w:rFonts w:ascii="Times New Roman" w:hAnsi="Times New Roman"/>
          <w:sz w:val="24"/>
          <w:szCs w:val="24"/>
          <w:vertAlign w:val="superscript"/>
        </w:rPr>
        <w:footnoteReference w:id="405"/>
      </w:r>
      <w:r w:rsidRPr="009A3C86">
        <w:rPr>
          <w:rFonts w:ascii="Times New Roman" w:hAnsi="Times New Roman"/>
          <w:sz w:val="24"/>
          <w:szCs w:val="24"/>
        </w:rPr>
        <w:t>. Wskazany przepis eliminuje te wątpliwości.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toku postępowania w sprawie dotyczącej ustalenia wysokości zobowiązania podatkowego z tytułu przychodów nieznajdujących pokrycia w ujawnionych źródłach lub pochodzących ze źródeł nieujawnionych wspólnym elementem tych postępowań jest ujawnienie źródła pochodzenia przychodów (dochodów). Te, już jawne, przychody (dochody) podlegają opodatkowaniu na zasadach ogólnych i w tym zakresie należy wszcząć i przeprowadzić postępowanie, jeżeli podatnik nie składa zeznania/deklaracji. Ujawnienie w toku postępowania źródła pochodzenia przychodów (dochodów) może dotyczyć części przychodów nieznajdujących pokrycia w ujawnionych źródłach lub pochodzących ze źródeł </w:t>
      </w:r>
      <w:r w:rsidRPr="009A3C86">
        <w:rPr>
          <w:rFonts w:ascii="Times New Roman" w:hAnsi="Times New Roman"/>
          <w:sz w:val="24"/>
          <w:szCs w:val="24"/>
        </w:rPr>
        <w:lastRenderedPageBreak/>
        <w:t xml:space="preserve">nieujawnionych. Z uwagi na ścisłe związki celowym będzie prowadzenie obu postępowań łącznie, lecz wydanie odrębnych decyzji rozstrzygających te dwie sprawy. </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 xml:space="preserve">10. Przepis </w:t>
      </w:r>
      <w:r w:rsidRPr="009A3C86">
        <w:rPr>
          <w:rFonts w:ascii="Times New Roman" w:hAnsi="Times New Roman"/>
          <w:b/>
          <w:kern w:val="3"/>
          <w:sz w:val="24"/>
          <w:szCs w:val="24"/>
        </w:rPr>
        <w:t xml:space="preserve">art. </w:t>
      </w:r>
      <w:r w:rsidR="000201F4" w:rsidRPr="009A3C86">
        <w:rPr>
          <w:rFonts w:ascii="Times New Roman" w:hAnsi="Times New Roman"/>
          <w:b/>
          <w:kern w:val="3"/>
          <w:sz w:val="24"/>
          <w:szCs w:val="24"/>
        </w:rPr>
        <w:t>365</w:t>
      </w:r>
      <w:r w:rsidRPr="009A3C86">
        <w:rPr>
          <w:rFonts w:ascii="Times New Roman" w:hAnsi="Times New Roman"/>
          <w:kern w:val="3"/>
          <w:sz w:val="24"/>
          <w:szCs w:val="24"/>
        </w:rPr>
        <w:t xml:space="preserve"> jest odpowiednikiem obecnego art. 167 o.p. Do czasu wydania decyzji przez organ pierwszej instancji strona może wystąpić o rozszerzenie zakresu żądania lub zgłosić nowe żądanie, niezależnie od tego, czy żądanie to wynika z tej samej podstawy prawnej co dotychczasowe, pod warunkiem że dotyczy tego samego stanu faktycznego. W zdaniu drugim w </w:t>
      </w:r>
      <w:r w:rsidRPr="009A3C86">
        <w:rPr>
          <w:rFonts w:ascii="Times New Roman" w:hAnsi="Times New Roman"/>
          <w:b/>
          <w:kern w:val="3"/>
          <w:sz w:val="24"/>
          <w:szCs w:val="24"/>
        </w:rPr>
        <w:t>§ 1</w:t>
      </w:r>
      <w:r w:rsidRPr="009A3C86">
        <w:rPr>
          <w:rFonts w:ascii="Times New Roman" w:hAnsi="Times New Roman"/>
          <w:kern w:val="3"/>
          <w:sz w:val="24"/>
          <w:szCs w:val="24"/>
        </w:rPr>
        <w:t xml:space="preserve">, w szerszym niż obecnie zakresie, odesłano do przepisów określających termin załatwienia sprawy w zależności od tego, w jakim postępowaniu żądanie rozszerzenia zakresu zostanie złożone.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11. Proponuje się wprowadzenie „wniosku” jako podstawowego pojęcia określającego aktywność strony w inicjowaniu postępowania podatkowego. Obecnie jako podstawowe pojęcie art. 168 § 1 o.p określa „podanie”. Jednak to pojęcie jest stosowane w ustawie niekonsekwentnie, zamiennie z „wnioskiem” lub „żądaniem”. Analizując nowelizacje obowiązującej ustawy, można też zaobserwować stopniową rezygnację z posługiwania się pojęciem „podania” na rzecz „wniosku”. To pozytywny trend, podkreślający kierunek modernizacji administracji skarbowej nastawiony na obsługę klienta. Zasadne jest więc uporządkowanie aparatu pojęciowego ustawy i konsekwentne posługiwanie się „wnioskiem”, jako formą podstawową. Niektóre przepisy muszą posługiwać się pojęciami bardziej szczegółowymi, adekwatnymi dla regulowanej materii (odwołania, zażalenia, ponaglenia, wyjaśnienia), gdy ustawa traktuje o konkretnych instytucjach procesowych, w których właśnie te formy aktywności strony znajdują swój wyraz. Pojęcie żądania pozostaje w przepisach ustawy na oznaczenie i skonkretyzowanie, czego konkretnie strona oczekuje od organu, składając wniosek. Przykładowo, pojęcie „żądania” zawartego we wniosku występuje w przepisie </w:t>
      </w:r>
      <w:r w:rsidRPr="009A3C86">
        <w:rPr>
          <w:rFonts w:ascii="Times New Roman" w:hAnsi="Times New Roman"/>
          <w:b/>
          <w:kern w:val="3"/>
          <w:sz w:val="24"/>
          <w:szCs w:val="24"/>
        </w:rPr>
        <w:t xml:space="preserve">art. </w:t>
      </w:r>
      <w:r w:rsidR="000201F4" w:rsidRPr="009A3C86">
        <w:rPr>
          <w:rFonts w:ascii="Times New Roman" w:hAnsi="Times New Roman"/>
          <w:b/>
          <w:kern w:val="3"/>
          <w:sz w:val="24"/>
          <w:szCs w:val="24"/>
        </w:rPr>
        <w:t>366</w:t>
      </w:r>
      <w:r w:rsidRPr="009A3C86">
        <w:rPr>
          <w:rFonts w:ascii="Times New Roman" w:hAnsi="Times New Roman"/>
          <w:kern w:val="3"/>
          <w:sz w:val="24"/>
          <w:szCs w:val="24"/>
        </w:rPr>
        <w:t>, a pojęcie „żądania” zawartego w odwołaniu występuje w przepisach dotyczących odwołań. Pojęcie „podania” jako kojarzące się z petentem powinno być usunięte z przepisów ustawy.</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Przepis </w:t>
      </w:r>
      <w:r w:rsidRPr="009A3C86">
        <w:rPr>
          <w:rFonts w:ascii="Times New Roman" w:hAnsi="Times New Roman"/>
          <w:b/>
          <w:kern w:val="3"/>
          <w:sz w:val="24"/>
          <w:szCs w:val="24"/>
        </w:rPr>
        <w:t xml:space="preserve">art. </w:t>
      </w:r>
      <w:r w:rsidR="005C59B8" w:rsidRPr="009A3C86">
        <w:rPr>
          <w:rFonts w:ascii="Times New Roman" w:hAnsi="Times New Roman"/>
          <w:b/>
          <w:kern w:val="3"/>
          <w:sz w:val="24"/>
          <w:szCs w:val="24"/>
        </w:rPr>
        <w:t>366</w:t>
      </w:r>
      <w:r w:rsidRPr="009A3C86">
        <w:rPr>
          <w:rFonts w:ascii="Times New Roman" w:hAnsi="Times New Roman"/>
          <w:kern w:val="3"/>
          <w:sz w:val="24"/>
          <w:szCs w:val="24"/>
        </w:rPr>
        <w:t xml:space="preserve"> jest odpowiednikiem obecnego art. 168 § 1, 2 i 3 o.p. </w:t>
      </w:r>
      <w:r w:rsidR="005C59B8" w:rsidRPr="009A3C86">
        <w:rPr>
          <w:rFonts w:ascii="Times New Roman" w:hAnsi="Times New Roman"/>
          <w:kern w:val="3"/>
          <w:sz w:val="24"/>
          <w:szCs w:val="24"/>
        </w:rPr>
        <w:t xml:space="preserve">Żądania, </w:t>
      </w:r>
      <w:r w:rsidRPr="009A3C86">
        <w:rPr>
          <w:rFonts w:ascii="Times New Roman" w:hAnsi="Times New Roman"/>
          <w:kern w:val="3"/>
          <w:sz w:val="24"/>
          <w:szCs w:val="24"/>
        </w:rPr>
        <w:t>odwołania, zażalenia, ponaglenia, wyjaśnienia</w:t>
      </w:r>
      <w:r w:rsidR="005C59B8" w:rsidRPr="009A3C86">
        <w:rPr>
          <w:rFonts w:ascii="Times New Roman" w:hAnsi="Times New Roman"/>
          <w:kern w:val="3"/>
          <w:sz w:val="24"/>
          <w:szCs w:val="24"/>
        </w:rPr>
        <w:t xml:space="preserve"> (wnioski) </w:t>
      </w:r>
      <w:r w:rsidRPr="009A3C86">
        <w:rPr>
          <w:rFonts w:ascii="Times New Roman" w:hAnsi="Times New Roman"/>
          <w:kern w:val="3"/>
          <w:sz w:val="24"/>
          <w:szCs w:val="24"/>
        </w:rPr>
        <w:t>mogą być składane pisemnie, w tym za pomocą środków komunikacji elektronicznej lub ustnie do protokołu. Zachowuje się obecne wymogi formalne co do wniosku oraz wymogi w zakresie podpisania wniosku. W celu usunięcia wątpliwości co do podpisywania wniosku przyjętego ustnie do protokołu rozwinięto regulację w tym zakresie wskazując, że podpisywany jest protokół.</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kern w:val="3"/>
          <w:sz w:val="24"/>
          <w:szCs w:val="24"/>
        </w:rPr>
        <w:t xml:space="preserve">Przepis </w:t>
      </w:r>
      <w:r w:rsidRPr="009A3C86">
        <w:rPr>
          <w:rFonts w:ascii="Times New Roman" w:hAnsi="Times New Roman"/>
          <w:b/>
          <w:kern w:val="3"/>
          <w:sz w:val="24"/>
          <w:szCs w:val="24"/>
        </w:rPr>
        <w:t>§ 4</w:t>
      </w:r>
      <w:r w:rsidRPr="009A3C86">
        <w:rPr>
          <w:rFonts w:ascii="Times New Roman" w:hAnsi="Times New Roman"/>
          <w:kern w:val="3"/>
          <w:sz w:val="24"/>
          <w:szCs w:val="24"/>
        </w:rPr>
        <w:t xml:space="preserve"> jako obligatoryjny element wniosku wskazuje adres elektroniczny. Zgodnie z definicją słowniczkową p</w:t>
      </w:r>
      <w:r w:rsidRPr="009A3C86">
        <w:rPr>
          <w:rFonts w:ascii="Times New Roman" w:hAnsi="Times New Roman"/>
          <w:sz w:val="24"/>
          <w:szCs w:val="24"/>
        </w:rPr>
        <w:t xml:space="preserve">rojektu adres elektroniczny to oznaczenie systemu </w:t>
      </w:r>
      <w:r w:rsidRPr="009A3C86">
        <w:rPr>
          <w:rFonts w:ascii="Times New Roman" w:hAnsi="Times New Roman"/>
          <w:sz w:val="24"/>
          <w:szCs w:val="24"/>
        </w:rPr>
        <w:lastRenderedPageBreak/>
        <w:t xml:space="preserve">teleinformatycznego umożliwiające porozumiewanie się za pomocą środków komunikacji elektronicznej przez elektroniczną skrzynkę podawczą organu podatkowego lub portal podatkowy. Obowiązek wskazania adresu elektronicznego we wniosku spoczywa na użytkowniku portalu podatkowego, użytkowniku </w:t>
      </w:r>
      <w:r w:rsidR="004A16B5" w:rsidRPr="009A3C86">
        <w:rPr>
          <w:rFonts w:ascii="Times New Roman" w:hAnsi="Times New Roman"/>
          <w:sz w:val="24"/>
          <w:szCs w:val="24"/>
        </w:rPr>
        <w:t>profilu</w:t>
      </w:r>
      <w:r w:rsidRPr="009A3C86">
        <w:rPr>
          <w:rFonts w:ascii="Times New Roman" w:hAnsi="Times New Roman"/>
          <w:sz w:val="24"/>
          <w:szCs w:val="24"/>
        </w:rPr>
        <w:t xml:space="preserve"> zaufanego (konto ePUAP), przedsiębiorcy w rozumieniu ustawy – Prawo przedsiębiorców, z wyłączeniem mikroprzedsiębiorców, oraz podatnikach czynnych VAT.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ten koresponduje z </w:t>
      </w:r>
      <w:r w:rsidRPr="009A3C86">
        <w:rPr>
          <w:rFonts w:ascii="Times New Roman" w:hAnsi="Times New Roman"/>
          <w:b/>
          <w:sz w:val="24"/>
          <w:szCs w:val="24"/>
        </w:rPr>
        <w:t xml:space="preserve">art. </w:t>
      </w:r>
      <w:r w:rsidR="005C59B8" w:rsidRPr="009A3C86">
        <w:rPr>
          <w:rFonts w:ascii="Times New Roman" w:hAnsi="Times New Roman"/>
          <w:b/>
          <w:sz w:val="24"/>
          <w:szCs w:val="24"/>
        </w:rPr>
        <w:t>331</w:t>
      </w:r>
      <w:r w:rsidRPr="009A3C86">
        <w:rPr>
          <w:rFonts w:ascii="Times New Roman" w:hAnsi="Times New Roman"/>
          <w:sz w:val="24"/>
          <w:szCs w:val="24"/>
        </w:rPr>
        <w:t>, w którym wskazano podmioty, którym doręczanie pism za pomocą środków komunikacji elektronicznej jest zasadą.</w:t>
      </w:r>
    </w:p>
    <w:p w:rsidR="0085545A" w:rsidRPr="009A3C86" w:rsidRDefault="0085545A" w:rsidP="0085545A">
      <w:pPr>
        <w:spacing w:after="0" w:line="360" w:lineRule="auto"/>
        <w:jc w:val="both"/>
        <w:rPr>
          <w:rFonts w:ascii="Times New Roman" w:hAnsi="Times New Roman"/>
          <w:kern w:val="3"/>
          <w:sz w:val="24"/>
          <w:szCs w:val="24"/>
        </w:rPr>
      </w:pPr>
      <w:r w:rsidRPr="009A3C86">
        <w:rPr>
          <w:rFonts w:ascii="Times New Roman" w:hAnsi="Times New Roman"/>
          <w:sz w:val="24"/>
          <w:szCs w:val="24"/>
        </w:rPr>
        <w:t>Przepis</w:t>
      </w:r>
      <w:r w:rsidRPr="009A3C86">
        <w:rPr>
          <w:rFonts w:ascii="Times New Roman" w:hAnsi="Times New Roman"/>
          <w:kern w:val="3"/>
          <w:sz w:val="24"/>
          <w:szCs w:val="24"/>
        </w:rPr>
        <w:t xml:space="preserve"> </w:t>
      </w:r>
      <w:r w:rsidRPr="009A3C86">
        <w:rPr>
          <w:rFonts w:ascii="Times New Roman" w:hAnsi="Times New Roman"/>
          <w:b/>
          <w:kern w:val="3"/>
          <w:sz w:val="24"/>
          <w:szCs w:val="24"/>
        </w:rPr>
        <w:t>§ 4</w:t>
      </w:r>
      <w:r w:rsidRPr="009A3C86">
        <w:rPr>
          <w:rFonts w:ascii="Times New Roman" w:hAnsi="Times New Roman"/>
          <w:kern w:val="3"/>
          <w:sz w:val="24"/>
          <w:szCs w:val="24"/>
        </w:rPr>
        <w:t xml:space="preserve"> nie nakłada obowiązku wskazywania adresu elektronicznego we wnioskach składanych przez pełnomocników profesjonalnych (adwokat, radca prawny, doradca podatkowy) oraz przez </w:t>
      </w:r>
      <w:r w:rsidRPr="009A3C86">
        <w:rPr>
          <w:rFonts w:ascii="Times New Roman" w:hAnsi="Times New Roman"/>
          <w:sz w:val="24"/>
          <w:szCs w:val="24"/>
        </w:rPr>
        <w:t>podmiot publiczny obowiązany do udostępniania i obsługi elektronicznej skrzynki podawczej na podstawie art. 16 ust. 1a ustawy z dnia 17 lutego 2005 r. o informatyzacji działalności podmiotów realizujących zadania publiczne. Pełnomocnicy profesjonalni zostali bowiem zobowiązani do wskazania adresu elektronicznego w pełnomocnictwie</w:t>
      </w:r>
      <w:r w:rsidRPr="009A3C86">
        <w:rPr>
          <w:rFonts w:ascii="Times New Roman" w:hAnsi="Times New Roman"/>
          <w:kern w:val="3"/>
          <w:sz w:val="24"/>
          <w:szCs w:val="24"/>
        </w:rPr>
        <w:t xml:space="preserve">. Natomiast informacja o adresach podmiotów publicznych dostępna jest na ePUAP. Zgodnie bowiem z </w:t>
      </w:r>
      <w:r w:rsidRPr="009A3C86">
        <w:rPr>
          <w:rFonts w:ascii="Times New Roman" w:hAnsi="Times New Roman"/>
          <w:sz w:val="24"/>
          <w:szCs w:val="24"/>
        </w:rPr>
        <w:t>art. 19a ust. 1a ustawy o informatyzacji działalności podmiotów realizujących zadania publiczne, minister właściwy do spraw informatyzacji zamieszcza na ePUAP informację o adresach elektronicznych skrzynek podawczych udostępnionych przez podmioty publiczne.</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Pozostałe paragrafy obecnie obowiązującego art. 168 o.p znajdują się w rozdziale „Środki komunikacji elektronicznej w prawie podatkowym”, zgodnie z zakresem swojej regulacji.</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12. Przepis </w:t>
      </w:r>
      <w:r w:rsidRPr="009A3C86">
        <w:rPr>
          <w:rFonts w:ascii="Times New Roman" w:hAnsi="Times New Roman"/>
          <w:b/>
          <w:kern w:val="3"/>
          <w:sz w:val="24"/>
          <w:szCs w:val="24"/>
        </w:rPr>
        <w:t xml:space="preserve">art. </w:t>
      </w:r>
      <w:r w:rsidR="00A828A9" w:rsidRPr="009A3C86">
        <w:rPr>
          <w:rFonts w:ascii="Times New Roman" w:hAnsi="Times New Roman"/>
          <w:b/>
          <w:kern w:val="3"/>
          <w:sz w:val="24"/>
          <w:szCs w:val="24"/>
        </w:rPr>
        <w:t>367</w:t>
      </w:r>
      <w:r w:rsidRPr="009A3C86">
        <w:rPr>
          <w:rFonts w:ascii="Times New Roman" w:hAnsi="Times New Roman"/>
          <w:kern w:val="3"/>
          <w:sz w:val="24"/>
          <w:szCs w:val="24"/>
        </w:rPr>
        <w:t xml:space="preserve"> jest odpowiednikiem obecnego art. 169 o.p. Jeżeli wniosek nie spełnia wymogów określonych przepisami prawa, organ podatkowy wzywa wnoszącego do usunięcia braków w terminie 7 dni, z pouczeniem, że nieusunięcie tych braków spowoduje pozostawienie wniosku bez rozpatrzenia. Obecny § 1 zawiera niezręczność redakcyjną wymagającą korekty. Usuwanie braku formalnego wniosku nie powinno być „warunkiem” do spełnienia przez stronę.  Sprecyzowano tryb uzupełniania braków formalnych wniosku przyjętego ustnie do protokołu.</w:t>
      </w:r>
    </w:p>
    <w:p w:rsidR="0085545A" w:rsidRPr="009A3C86" w:rsidRDefault="0085545A" w:rsidP="0085545A">
      <w:pPr>
        <w:suppressAutoHyphens/>
        <w:autoSpaceDN w:val="0"/>
        <w:spacing w:after="0" w:line="360" w:lineRule="auto"/>
        <w:jc w:val="both"/>
        <w:textAlignment w:val="baseline"/>
        <w:rPr>
          <w:rFonts w:ascii="Times New Roman" w:eastAsia="SimSun" w:hAnsi="Times New Roman"/>
          <w:kern w:val="3"/>
          <w:sz w:val="24"/>
          <w:szCs w:val="24"/>
          <w:lang w:eastAsia="zh-CN"/>
        </w:rPr>
      </w:pPr>
      <w:r w:rsidRPr="009A3C86">
        <w:rPr>
          <w:rFonts w:ascii="Times New Roman" w:hAnsi="Times New Roman"/>
          <w:kern w:val="3"/>
          <w:sz w:val="24"/>
          <w:szCs w:val="24"/>
        </w:rPr>
        <w:t>Jako szczególny rodzaj wymogu formalnego związanego z wnioskiem o stwierdzenie nadpłaty dodano wymóg dołączenia deklaracji korygującej, jeżeli przepisy nakładają obowiązek złożenia deklaracji; brak korekty należy traktować jako brak formalny wniosku (</w:t>
      </w:r>
      <w:r w:rsidRPr="009A3C86">
        <w:rPr>
          <w:rFonts w:ascii="Times New Roman" w:hAnsi="Times New Roman"/>
          <w:b/>
          <w:kern w:val="3"/>
          <w:sz w:val="24"/>
          <w:szCs w:val="24"/>
        </w:rPr>
        <w:t>§ 2 pkt 1</w:t>
      </w:r>
      <w:r w:rsidRPr="009A3C86">
        <w:rPr>
          <w:rFonts w:ascii="Times New Roman" w:hAnsi="Times New Roman"/>
          <w:kern w:val="3"/>
          <w:sz w:val="24"/>
          <w:szCs w:val="24"/>
        </w:rPr>
        <w:t>). Analogicznie dotyczy to umowy spółki wymaganej w przypadku wniosku byłych wspólników rozwiązanej spółki cywilnej (</w:t>
      </w:r>
      <w:r w:rsidRPr="009A3C86">
        <w:rPr>
          <w:rFonts w:ascii="Times New Roman" w:hAnsi="Times New Roman"/>
          <w:b/>
          <w:kern w:val="3"/>
          <w:sz w:val="24"/>
          <w:szCs w:val="24"/>
        </w:rPr>
        <w:t>§ 2 pkt 2</w:t>
      </w:r>
      <w:r w:rsidRPr="009A3C86">
        <w:rPr>
          <w:rFonts w:ascii="Times New Roman" w:hAnsi="Times New Roman"/>
          <w:kern w:val="3"/>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Zrezygnowano z dotychczasowej regulacji art. 169 § 3 pkt 2 o.p. nakazującej rozpatrzenie nieopłaconego wniosku, gdy złożenie wniosku stanowi czynność, dla której jest ustanowiony termin zawity. </w:t>
      </w:r>
      <w:bookmarkStart w:id="45" w:name="_Hlk486160734"/>
      <w:r w:rsidRPr="009A3C86">
        <w:rPr>
          <w:rFonts w:ascii="Times New Roman" w:hAnsi="Times New Roman"/>
          <w:sz w:val="24"/>
          <w:szCs w:val="24"/>
        </w:rPr>
        <w:t>Wobec wprowadzenia w niniejszym projekcie możliwości przywrócenia terminu materialnego (w tej kategorii terminów znajdują się terminy zawite) wskazana regulacja stała się bezprzedmiotowa. Zrezygnowano też z regulacji art. 169 § 3 pkt 3 o.p. nakazującej rozpatrzenie nieopłaconego wniosku</w:t>
      </w:r>
      <w:bookmarkEnd w:id="45"/>
      <w:r w:rsidRPr="009A3C86">
        <w:rPr>
          <w:rFonts w:ascii="Times New Roman" w:hAnsi="Times New Roman"/>
          <w:sz w:val="24"/>
          <w:szCs w:val="24"/>
        </w:rPr>
        <w:t>, jeżeli wnosi go osoba zamieszkała za granicą. W obecnych czasach zamieszkanie za granicą nie jest już istotną przeszkodą do opłacenia wniosku, więc taki przywilej dla nierezydenta jest anachronizmem i nie ma uzasadnienia. Organ podatkowy rozpatrzy więc nieopłacony wniosek, jeżeli za niezwłocznym rozpatrzeniem wniosku przemawia interes publiczny lub ważny interes strony. W sprawie pozostawieniu wniosku bez rozpatrzenia organ podatkowy wydaje postanowienie, na które przysługuje zażalenie.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Art. </w:t>
      </w:r>
      <w:r w:rsidR="00A828A9" w:rsidRPr="009A3C86">
        <w:rPr>
          <w:rFonts w:ascii="Times New Roman" w:hAnsi="Times New Roman"/>
          <w:sz w:val="24"/>
          <w:szCs w:val="24"/>
        </w:rPr>
        <w:t>366</w:t>
      </w:r>
      <w:r w:rsidRPr="009A3C86">
        <w:rPr>
          <w:rFonts w:ascii="Times New Roman" w:hAnsi="Times New Roman"/>
          <w:sz w:val="24"/>
          <w:szCs w:val="24"/>
        </w:rPr>
        <w:t xml:space="preserve"> § 4 nakłada obowiązek wskazania adresu elektronicznego we wniosku (na użytkownika portalu podatkowego, zarejestrowanego użytkownika podpisu zaufanego (konto ePUAP) oraz na przedsiębiorcę w rozumieniu przepisów ustawy z dnia 2 lipca 2004 r. o swobodzie działalności gospodarczej, z wyjątkiem przedsiębiorców opodatkowanych wyłącznie w formie ryczałtu od przychodów ewidencjonowanych lub kartą podatkową). Jakkolwiek organ wzywa do wykonania tego obowiązku to jego niewykonanie nie stanowi przeszkody uniemożliwiającej prowadzenie postępowania podatkowego, a jedynie wymaga doręczenia pism w tym postępowaniu w postaci papierowej zamiast środkami komunikacji elektronicznej (problem techniczny). Z tego względu wniosek należy rozpatrzyć, mimo że obowiązek podania adresu elektronicznego nie jest spełniony. Pozostawienie wniosku bez rozpatrzenia, tylko z uwagi na brak adresu elektronicznego strony, stanowiłoby „sankcję” procesową nieproporcjonalnie dolegliwą w stosunku do wagi uchybienia, faktycznie tamując rozpatrzenie sprawy. Opisany obowiązek wskazania adresu elektronicznego będzie miał więc jedynie perswazyjny charakter (</w:t>
      </w:r>
      <w:r w:rsidRPr="009A3C86">
        <w:rPr>
          <w:rFonts w:ascii="Times New Roman" w:hAnsi="Times New Roman"/>
          <w:b/>
          <w:sz w:val="24"/>
          <w:szCs w:val="24"/>
        </w:rPr>
        <w:t>§ 7</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13. Przepis </w:t>
      </w:r>
      <w:r w:rsidRPr="009A3C86">
        <w:rPr>
          <w:rFonts w:ascii="Times New Roman" w:hAnsi="Times New Roman"/>
          <w:b/>
          <w:sz w:val="24"/>
          <w:szCs w:val="24"/>
        </w:rPr>
        <w:t xml:space="preserve">art. </w:t>
      </w:r>
      <w:r w:rsidR="00A828A9" w:rsidRPr="009A3C86">
        <w:rPr>
          <w:rFonts w:ascii="Times New Roman" w:hAnsi="Times New Roman"/>
          <w:b/>
          <w:sz w:val="24"/>
          <w:szCs w:val="24"/>
        </w:rPr>
        <w:t>368</w:t>
      </w:r>
      <w:r w:rsidRPr="009A3C86">
        <w:rPr>
          <w:rFonts w:ascii="Times New Roman" w:hAnsi="Times New Roman"/>
          <w:sz w:val="24"/>
          <w:szCs w:val="24"/>
        </w:rPr>
        <w:t xml:space="preserve"> jest odpowiednikiem obecnego art. 170 o.p. Tak jak obecnie, jeżeli organ podatkowy, do którego złożono wniosek, jest niewłaściwy w sprawie, powinien niezwłocznie przekazać wniosek organowi właściwemu, zawiadamiając o tym wnoszącego. Wniosek złożony do organu niewłaściwego przed upływem terminu określonego przepisami prawa uważa się za złożony z zachowaniem terminu.</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14. Przepis </w:t>
      </w:r>
      <w:r w:rsidRPr="009A3C86">
        <w:rPr>
          <w:rFonts w:ascii="Times New Roman" w:hAnsi="Times New Roman"/>
          <w:b/>
          <w:sz w:val="24"/>
          <w:szCs w:val="24"/>
        </w:rPr>
        <w:t xml:space="preserve">art. </w:t>
      </w:r>
      <w:r w:rsidR="00A828A9" w:rsidRPr="009A3C86">
        <w:rPr>
          <w:rFonts w:ascii="Times New Roman" w:hAnsi="Times New Roman"/>
          <w:b/>
          <w:sz w:val="24"/>
          <w:szCs w:val="24"/>
        </w:rPr>
        <w:t>369</w:t>
      </w:r>
      <w:r w:rsidRPr="009A3C86">
        <w:rPr>
          <w:rFonts w:ascii="Times New Roman" w:hAnsi="Times New Roman"/>
          <w:b/>
          <w:sz w:val="24"/>
          <w:szCs w:val="24"/>
        </w:rPr>
        <w:t xml:space="preserve"> </w:t>
      </w:r>
      <w:r w:rsidRPr="009A3C86">
        <w:rPr>
          <w:rFonts w:ascii="Times New Roman" w:hAnsi="Times New Roman"/>
          <w:sz w:val="24"/>
          <w:szCs w:val="24"/>
        </w:rPr>
        <w:t xml:space="preserve">jest odpowiednikiem obecnego art. 171 o.p. Jeżeli wniosek dotyczy kilku spraw podlegających załatwieniu przez różne organy, organ podatkowy, do którego złożono wniosek, rozpatruje sprawę należącą do jego właściwości. Równocześnie organ podatkowy </w:t>
      </w:r>
      <w:r w:rsidRPr="009A3C86">
        <w:rPr>
          <w:rFonts w:ascii="Times New Roman" w:hAnsi="Times New Roman"/>
          <w:sz w:val="24"/>
          <w:szCs w:val="24"/>
        </w:rPr>
        <w:lastRenderedPageBreak/>
        <w:t xml:space="preserve">zawiadamia wnoszącego, że w sprawach innych powinien wnieść odrębny wniosek do właściwego organu, informując go o zasadach zachowania terminu. Odrębny wniosek złożony zgodnie z takim zawiadomieniem, w terminie czternastu dni od daty jego doręczenia, uważa się za złożony w dniu wniesienia pierwszego wniosku. Obecny przepis stanowi, że odrębny wniosek złożony do organu podatkowego nie powoduje skrócenia dla tego organu terminów załatwienia sprawy. W proponowanym brzmieniu ten sam skutek proponuje się uzyskać regulacją pozytywną, wskazującą początek biegu terminu załatwienia sprawy we właściwym organie.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Zrezygnowano też ze wskazania, że spraw podlegających załatwieniu przez różne organy musi być „kilka”, aby spełniona została dyspozycja przepisu. Po pierwsze, nie jest jasne, czy ten zaimek określa więcej niż dwa czy więcej niż trzy. Po drugie, maksymalną liczbą zamykającą zakres „kilku” uznaje się dziewięć. Takie dookreślenia minimalnej i maksymalnej liczby spraw różnych organów nie są potrzebne w projektowanym przepisie.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Bez zmiany pozostawiono reguły działania, gdy wniosek złożono do organu niewłaściwego, a organu właściwego nie można ustalić na podstawie danych zawartych we wniosku, albo gdy z wniosku wynika, że właściwym w sprawie jest sąd. Organ podatkowy nie może zwrócić wniosku z tej przyczyny, że właściwy jest sąd powszechny, jeżeli w tej sprawie sąd uznał się za niewłaściwy.</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15. Efektywność postępowania podatkowego podniesie wprowadzenie standardowego wzoru wniosku o wszczęcie postępowania oraz odwołania/zażalenia zawierającego podstawowe wymogi wynikające z ordynacji podatkowej (</w:t>
      </w:r>
      <w:r w:rsidRPr="009A3C86">
        <w:rPr>
          <w:rFonts w:ascii="Times New Roman" w:hAnsi="Times New Roman"/>
          <w:b/>
          <w:sz w:val="24"/>
          <w:szCs w:val="24"/>
        </w:rPr>
        <w:t xml:space="preserve">art. </w:t>
      </w:r>
      <w:r w:rsidR="00A828A9" w:rsidRPr="009A3C86">
        <w:rPr>
          <w:rFonts w:ascii="Times New Roman" w:hAnsi="Times New Roman"/>
          <w:b/>
          <w:sz w:val="24"/>
          <w:szCs w:val="24"/>
        </w:rPr>
        <w:t>370</w:t>
      </w:r>
      <w:r w:rsidRPr="009A3C86">
        <w:rPr>
          <w:rFonts w:ascii="Times New Roman" w:hAnsi="Times New Roman"/>
          <w:sz w:val="24"/>
          <w:szCs w:val="24"/>
        </w:rPr>
        <w:t>). Takie wzory funkcjonują już obecnie w zakresie interpretacji przepisów prawa podatkowego</w:t>
      </w:r>
      <w:r w:rsidRPr="009A3C86">
        <w:rPr>
          <w:rFonts w:ascii="Times New Roman" w:hAnsi="Times New Roman"/>
          <w:sz w:val="24"/>
          <w:szCs w:val="24"/>
          <w:vertAlign w:val="superscript"/>
        </w:rPr>
        <w:footnoteReference w:id="406"/>
      </w:r>
      <w:r w:rsidRPr="009A3C86">
        <w:rPr>
          <w:rFonts w:ascii="Times New Roman" w:hAnsi="Times New Roman"/>
          <w:sz w:val="24"/>
          <w:szCs w:val="24"/>
        </w:rPr>
        <w:t xml:space="preserve">. Doświadczenia w zakresie interpretacji indywidualnych dowodzą, że wzory pisma w żadnej mierze nie ograniczają uprawnień stron. Wzory nie powinny być jednak obligatoryjne. Nie można odmówić skuteczności wniosku złożonemu w innym formacie niż określony rozporządzeniem, pod warunkiem zawarcia we wniosku wszystkich obligatoryjnych elementów. Uzasadnienie do wniosku „papierowego” powinno mieć postać uniwersalnego załącznika dołączanego do wniosku. Wniosek w postaci elektronicznej powinien być interaktywny, z opcją rozwijania jego uzasadnienia i poszczególnych pozycji wniosku, tak aby strona miała możliwość wyrażenia wszystkich argumentów, w każdym możliwym zakresie. Proponowane rozwiązanie będzie przeciwdziałać popełnianiu we wnioskach braków i uchybień formalnych, które następnie </w:t>
      </w:r>
      <w:r w:rsidRPr="009A3C86">
        <w:rPr>
          <w:rFonts w:ascii="Times New Roman" w:hAnsi="Times New Roman"/>
          <w:sz w:val="24"/>
          <w:szCs w:val="24"/>
        </w:rPr>
        <w:lastRenderedPageBreak/>
        <w:t>wymagają angażowania organu i strony w procedurę ich usuwania oraz wydłużają czas trwania postępowania. Proponowane rozwiązanie sprzyjać będzie popularyzacji składania wniosków za pomocą środków komunikacji elektronicznej</w:t>
      </w:r>
      <w:r w:rsidRPr="009A3C86">
        <w:rPr>
          <w:rFonts w:ascii="Times New Roman" w:hAnsi="Times New Roman"/>
          <w:sz w:val="24"/>
          <w:szCs w:val="24"/>
          <w:vertAlign w:val="superscript"/>
        </w:rPr>
        <w:footnoteReference w:id="407"/>
      </w:r>
      <w:r w:rsidRPr="009A3C86">
        <w:rPr>
          <w:rFonts w:ascii="Times New Roman" w:hAnsi="Times New Roman"/>
          <w:sz w:val="24"/>
          <w:szCs w:val="24"/>
        </w:rPr>
        <w:t>.</w:t>
      </w:r>
    </w:p>
    <w:p w:rsidR="00D96B9C" w:rsidRPr="009A3C86" w:rsidRDefault="00D96B9C" w:rsidP="00D96B9C">
      <w:pPr>
        <w:tabs>
          <w:tab w:val="num" w:pos="720"/>
        </w:tabs>
        <w:spacing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6. Metryki, protokoły i adnotacje</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1. W zakresie metryk utrzymano w </w:t>
      </w:r>
      <w:r w:rsidRPr="009A3C86">
        <w:rPr>
          <w:rFonts w:ascii="Times New Roman" w:hAnsi="Times New Roman"/>
          <w:b/>
          <w:sz w:val="24"/>
          <w:szCs w:val="24"/>
        </w:rPr>
        <w:t xml:space="preserve">art. </w:t>
      </w:r>
      <w:r w:rsidR="009739D7" w:rsidRPr="009A3C86">
        <w:rPr>
          <w:rFonts w:ascii="Times New Roman" w:hAnsi="Times New Roman"/>
          <w:b/>
          <w:bCs/>
          <w:sz w:val="24"/>
          <w:szCs w:val="24"/>
        </w:rPr>
        <w:t>371</w:t>
      </w:r>
      <w:r w:rsidRPr="009A3C86">
        <w:rPr>
          <w:rFonts w:ascii="Times New Roman" w:hAnsi="Times New Roman"/>
          <w:sz w:val="24"/>
          <w:szCs w:val="24"/>
        </w:rPr>
        <w:t xml:space="preserve"> obowiązującą regulację art. 171a o.p., zgodnie z którą metrykę sprawy prowadzi się w formie pisemnej, pod którą zgodnie projektem rozumie się zarówno postać papierową lub elektroniczną. </w:t>
      </w:r>
      <w:r w:rsidR="009739D7" w:rsidRPr="009A3C86">
        <w:rPr>
          <w:rFonts w:ascii="Times New Roman" w:hAnsi="Times New Roman"/>
          <w:sz w:val="24"/>
          <w:szCs w:val="24"/>
        </w:rPr>
        <w:t xml:space="preserve">Metryki nie zakłada się jeżeli byłoby to nieproporcjonalne do nakładu środków koniecznych do prowadzenia metryki. </w:t>
      </w:r>
      <w:r w:rsidRPr="009A3C86">
        <w:rPr>
          <w:rFonts w:ascii="Times New Roman" w:hAnsi="Times New Roman"/>
          <w:sz w:val="24"/>
          <w:szCs w:val="24"/>
        </w:rPr>
        <w:t>W metryce sprawy wskazuje się wszystkie osoby uczestniczące w podejmowaniu czynności w postępowaniu oraz określa się podejmowane przez te osoby czynności wraz z odesłaniem do dokumentów. Zachowano także obowiązek aktualizowania na bieżąco metryki sprawy oraz to, że stanowi ona wraz z dokumentami, do których odsyła, obowiązkową część akt.</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Ponadto zachowano obowiązek ministra właściwego do spraw finansów publicznych do określenia w drodze rozporządzenia wzoru i sposobu prowadzenia metryki sprawy, jak i określenia rodzaju spraw, w których obowiązek prowadzenia metryki sprawy jest wyłączony ze względu na zasady ekonomiki procesowej.</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2. W </w:t>
      </w:r>
      <w:r w:rsidRPr="009A3C86">
        <w:rPr>
          <w:rFonts w:ascii="Times New Roman" w:hAnsi="Times New Roman"/>
          <w:b/>
          <w:sz w:val="24"/>
          <w:szCs w:val="24"/>
        </w:rPr>
        <w:t xml:space="preserve">art. </w:t>
      </w:r>
      <w:r w:rsidR="009739D7" w:rsidRPr="009A3C86">
        <w:rPr>
          <w:rFonts w:ascii="Times New Roman" w:hAnsi="Times New Roman"/>
          <w:b/>
          <w:bCs/>
          <w:sz w:val="24"/>
          <w:szCs w:val="24"/>
        </w:rPr>
        <w:t>372</w:t>
      </w:r>
      <w:r w:rsidRPr="009A3C86">
        <w:rPr>
          <w:rFonts w:ascii="Times New Roman" w:hAnsi="Times New Roman"/>
          <w:sz w:val="24"/>
          <w:szCs w:val="24"/>
        </w:rPr>
        <w:t xml:space="preserve"> projektu ordynacji podatkowej utrzymano obowiązek sporządzania protokołów każdej czynności postępowania mającej istotne znaczenie dla rozstrzygnięcia sprawy, która nie została w inny sposób utrwalona na piśmie. Rozbudowano przy tym katalog przykładowych czynności wymagających sporządzenia protokołu, wskazując wprost umowę podatkową, mediacje, spotkanie uzgodnieniowe czy konfrontację. Katalog tych czynności ma charakter otwarty i odrębne przepisy mogą wprowadzać obowiązek sporządzania protokołów także z innych czynności niż tu wskazane. Wyłączono obowiązek sporządzania protokołu z ekspertyz dokonywanych przy udziale pracownika organu podatkowego, bowiem projekt nie przewiduje takiego środka dowodowego.</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3. W przepisie </w:t>
      </w:r>
      <w:r w:rsidRPr="009A3C86">
        <w:rPr>
          <w:rFonts w:ascii="Times New Roman" w:hAnsi="Times New Roman"/>
          <w:b/>
          <w:sz w:val="24"/>
          <w:szCs w:val="24"/>
        </w:rPr>
        <w:t xml:space="preserve">art. </w:t>
      </w:r>
      <w:r w:rsidR="009739D7" w:rsidRPr="009A3C86">
        <w:rPr>
          <w:rFonts w:ascii="Times New Roman" w:hAnsi="Times New Roman"/>
          <w:b/>
          <w:bCs/>
          <w:sz w:val="24"/>
          <w:szCs w:val="24"/>
        </w:rPr>
        <w:t>373</w:t>
      </w:r>
      <w:r w:rsidRPr="009A3C86">
        <w:rPr>
          <w:rFonts w:ascii="Times New Roman" w:hAnsi="Times New Roman"/>
          <w:sz w:val="24"/>
          <w:szCs w:val="24"/>
        </w:rPr>
        <w:t xml:space="preserve"> </w:t>
      </w:r>
      <w:r w:rsidRPr="009A3C86">
        <w:rPr>
          <w:rFonts w:ascii="Times New Roman" w:hAnsi="Times New Roman"/>
          <w:b/>
          <w:sz w:val="24"/>
          <w:szCs w:val="24"/>
        </w:rPr>
        <w:t>§ 1 i 3</w:t>
      </w:r>
      <w:r w:rsidRPr="009A3C86">
        <w:rPr>
          <w:rFonts w:ascii="Times New Roman" w:hAnsi="Times New Roman"/>
          <w:sz w:val="24"/>
          <w:szCs w:val="24"/>
        </w:rPr>
        <w:t xml:space="preserve"> rozszerzono postaci sporządzania protokołu poprzez umożliwienie sporządzenia go także w postaci elektronicznej i podpisania go w ten sposób, przy czym osoby nieposiadające podpisów elektronicznych składają podpis na wydruku protokołu. Informację o tym zamieszcza się w protokole w wersji elektronicznej. Umożliwi to sporządzanie protokołów także z czynności, w których uczestniczyły osoby niedysponujące podpisem elektronicznym. </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4. W przepisie </w:t>
      </w:r>
      <w:r w:rsidRPr="009A3C86">
        <w:rPr>
          <w:rFonts w:ascii="Times New Roman" w:hAnsi="Times New Roman"/>
          <w:b/>
          <w:sz w:val="24"/>
          <w:szCs w:val="24"/>
        </w:rPr>
        <w:t>art.  </w:t>
      </w:r>
      <w:r w:rsidR="009739D7" w:rsidRPr="009A3C86">
        <w:rPr>
          <w:rFonts w:ascii="Times New Roman" w:hAnsi="Times New Roman"/>
          <w:b/>
          <w:bCs/>
          <w:sz w:val="24"/>
          <w:szCs w:val="24"/>
        </w:rPr>
        <w:t>373</w:t>
      </w:r>
      <w:r w:rsidRPr="009A3C86">
        <w:rPr>
          <w:rFonts w:ascii="Times New Roman" w:hAnsi="Times New Roman"/>
          <w:b/>
          <w:sz w:val="24"/>
          <w:szCs w:val="24"/>
        </w:rPr>
        <w:t xml:space="preserve"> § 2</w:t>
      </w:r>
      <w:r w:rsidRPr="009A3C86">
        <w:rPr>
          <w:rFonts w:ascii="Times New Roman" w:hAnsi="Times New Roman"/>
          <w:sz w:val="24"/>
          <w:szCs w:val="24"/>
        </w:rPr>
        <w:t xml:space="preserve"> zrezygnowano z obowiązku odczytania protokołu osobom obecnym przy czynności i mającym obowiązek podpisania protokołu. Archaiczny model odczytywania protokołu jest dziś rzadko stosowany. Co więcej, jego stosowanie w przypadku czynności wykonywanych za pomocą środków komunikacji elektronicznej byłoby znacząco utrudnione. Wprowadzono zamiast tego obowiązek udostępnienia protokołu do przeczytania wszystkim osobom obowiązanym do jego podpisania, niezwłocznie po dokonaniu czynności urzędowej. Takie udostępnienie jest wystarczające dla realizacji uprawnień stron lub innych osób biorących udział w czynności i akceptuje aktualną praktykę organów w tym zakresie.</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5. W zakresie przesłuchań w </w:t>
      </w:r>
      <w:r w:rsidRPr="009A3C86">
        <w:rPr>
          <w:rFonts w:ascii="Times New Roman" w:hAnsi="Times New Roman"/>
          <w:b/>
          <w:sz w:val="24"/>
          <w:szCs w:val="24"/>
        </w:rPr>
        <w:t xml:space="preserve">art. </w:t>
      </w:r>
      <w:r w:rsidR="009739D7" w:rsidRPr="009A3C86">
        <w:rPr>
          <w:rFonts w:ascii="Times New Roman" w:hAnsi="Times New Roman"/>
          <w:b/>
          <w:bCs/>
          <w:sz w:val="24"/>
          <w:szCs w:val="24"/>
        </w:rPr>
        <w:t>374</w:t>
      </w:r>
      <w:r w:rsidRPr="009A3C86">
        <w:rPr>
          <w:rFonts w:ascii="Times New Roman" w:hAnsi="Times New Roman"/>
          <w:b/>
          <w:sz w:val="24"/>
          <w:szCs w:val="24"/>
        </w:rPr>
        <w:t xml:space="preserve"> § 1</w:t>
      </w:r>
      <w:r w:rsidRPr="009A3C86">
        <w:rPr>
          <w:rFonts w:ascii="Times New Roman" w:hAnsi="Times New Roman"/>
          <w:sz w:val="24"/>
          <w:szCs w:val="24"/>
        </w:rPr>
        <w:t xml:space="preserve"> uzupełniono aktualną regulację poprzez wprowadzenie obowiązku, by z protokołu przesłuchania wynikała wprost treść pytań zadawanych przesłuchiwanemu zarówno przez organ prowadzący przesłuchanie, jak i stronę, a także treść udzielonych odpowiedzi. Zmiana ta pozwoli ograniczyć liczbę wniosków o ponowne przesłuchania tych samych osób. Nastąpi to poprzez ujednolicenie sposobu protokołowania przesłuchań oraz określenie treści protokołów. Zmiana ułatwi także konfrontowanie zeznań wielu świadków nie tylko poprzez porównanie ich odpowiedzi, ale także porównanie, czy są to odpowiedzi na takie same, czy różne pytania. Umożliwi to także szybciej i w bardziej wiarygodny sposób ustalić stan faktyczny sprawy. Tym samym wpłynie to na przyspieszenie prowadzonych postępowań poprzez likwidację konieczności powtarzania już przeprowadzonych dowodów. Należy wskazać, że wiele organów podatkowych już dziś stosuje taką praktykę sporządzania protokołów, jednak ta dobra praktyka nie jest powszechna, co zdecydowało o uwzględnieniu powyższego obowiązku w treści przepisu.</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Nie zmieniono także zasad protokołowania przesłuchań składanych w języku obcym. Zgodnie z przepisem </w:t>
      </w:r>
      <w:r w:rsidRPr="009A3C86">
        <w:rPr>
          <w:rFonts w:ascii="Times New Roman" w:hAnsi="Times New Roman"/>
          <w:b/>
          <w:sz w:val="24"/>
          <w:szCs w:val="24"/>
        </w:rPr>
        <w:t xml:space="preserve">art. </w:t>
      </w:r>
      <w:r w:rsidR="00DE1ED7" w:rsidRPr="009A3C86">
        <w:rPr>
          <w:rFonts w:ascii="Times New Roman" w:hAnsi="Times New Roman"/>
          <w:b/>
          <w:bCs/>
          <w:sz w:val="24"/>
          <w:szCs w:val="24"/>
        </w:rPr>
        <w:t>374</w:t>
      </w:r>
      <w:r w:rsidRPr="009A3C86">
        <w:rPr>
          <w:rFonts w:ascii="Times New Roman" w:hAnsi="Times New Roman"/>
          <w:b/>
          <w:bCs/>
          <w:sz w:val="24"/>
          <w:szCs w:val="24"/>
        </w:rPr>
        <w:t xml:space="preserve"> § 2</w:t>
      </w:r>
      <w:r w:rsidRPr="009A3C86">
        <w:rPr>
          <w:rFonts w:ascii="Times New Roman" w:hAnsi="Times New Roman"/>
          <w:sz w:val="24"/>
          <w:szCs w:val="24"/>
        </w:rPr>
        <w:t xml:space="preserve"> konieczne w takim wypadku jest podanie treści zeznania w języku polskim, jak i wskazanie osoby tłumacza oraz złożenie przez niego podpisu pod protokołem. Warto nadmienić, że w takim przypadku zgodnie z proponowanymi przepisami dotyczącymi dowodów, zeznanie w języku obcym powinno być jednocześnie utrwalone co najmniej w postaci zapisu dźwięku, tak by można było prowadzić ewentualne przeciwdowody  względem tłumaczenia podanego przez tłumacza przysięgłego, co może mieć istotne znaczenie przy opisach skomplikowanych procedur czy procesów np. technologicznych. </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6. W przepisie </w:t>
      </w:r>
      <w:r w:rsidRPr="009A3C86">
        <w:rPr>
          <w:rFonts w:ascii="Times New Roman" w:hAnsi="Times New Roman"/>
          <w:b/>
          <w:sz w:val="24"/>
          <w:szCs w:val="24"/>
        </w:rPr>
        <w:t xml:space="preserve">art. </w:t>
      </w:r>
      <w:r w:rsidR="00DE1ED7" w:rsidRPr="009A3C86">
        <w:rPr>
          <w:rFonts w:ascii="Times New Roman" w:hAnsi="Times New Roman"/>
          <w:b/>
          <w:bCs/>
          <w:sz w:val="24"/>
          <w:szCs w:val="24"/>
        </w:rPr>
        <w:t>375</w:t>
      </w:r>
      <w:r w:rsidRPr="009A3C86">
        <w:rPr>
          <w:rFonts w:ascii="Times New Roman" w:hAnsi="Times New Roman"/>
          <w:sz w:val="24"/>
          <w:szCs w:val="24"/>
        </w:rPr>
        <w:t xml:space="preserve"> utrzymano obowiązującą dotychczas na mocy art. 175 o.p. możliwość dołączenia do protokołu zeznania na piśmie podpisanego przez zeznającego, a także innych dokumentów mających znaczenie dla sprawy.</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7. Bez zmian zachowano w </w:t>
      </w:r>
      <w:r w:rsidRPr="009A3C86">
        <w:rPr>
          <w:rFonts w:ascii="Times New Roman" w:hAnsi="Times New Roman"/>
          <w:b/>
          <w:sz w:val="24"/>
          <w:szCs w:val="24"/>
        </w:rPr>
        <w:t xml:space="preserve">art. </w:t>
      </w:r>
      <w:r w:rsidR="00DE1ED7" w:rsidRPr="009A3C86">
        <w:rPr>
          <w:rFonts w:ascii="Times New Roman" w:hAnsi="Times New Roman"/>
          <w:b/>
          <w:bCs/>
          <w:sz w:val="24"/>
          <w:szCs w:val="24"/>
        </w:rPr>
        <w:t>376</w:t>
      </w:r>
      <w:r w:rsidRPr="009A3C86">
        <w:rPr>
          <w:rFonts w:ascii="Times New Roman" w:hAnsi="Times New Roman"/>
          <w:b/>
          <w:sz w:val="24"/>
          <w:szCs w:val="24"/>
        </w:rPr>
        <w:t xml:space="preserve"> § 1</w:t>
      </w:r>
      <w:r w:rsidRPr="009A3C86">
        <w:rPr>
          <w:rFonts w:ascii="Times New Roman" w:hAnsi="Times New Roman"/>
          <w:sz w:val="24"/>
          <w:szCs w:val="24"/>
        </w:rPr>
        <w:t xml:space="preserve"> także obowiązującą regulację przepisu art. 176 o.p., dotyczącą dokonywania poprawek i skreśleń w protokole oraz obowiązek ich potwierdzenia w protokole przed jego podpisaniem.</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Z kolei w </w:t>
      </w:r>
      <w:r w:rsidRPr="009A3C86">
        <w:rPr>
          <w:rFonts w:ascii="Times New Roman" w:hAnsi="Times New Roman"/>
          <w:b/>
          <w:sz w:val="24"/>
          <w:szCs w:val="24"/>
        </w:rPr>
        <w:t xml:space="preserve">art. </w:t>
      </w:r>
      <w:r w:rsidR="00DE1ED7" w:rsidRPr="009A3C86">
        <w:rPr>
          <w:rFonts w:ascii="Times New Roman" w:hAnsi="Times New Roman"/>
          <w:b/>
          <w:sz w:val="24"/>
          <w:szCs w:val="24"/>
        </w:rPr>
        <w:t>376</w:t>
      </w:r>
      <w:r w:rsidRPr="009A3C86">
        <w:rPr>
          <w:rFonts w:ascii="Times New Roman" w:hAnsi="Times New Roman"/>
          <w:b/>
          <w:sz w:val="24"/>
          <w:szCs w:val="24"/>
        </w:rPr>
        <w:t xml:space="preserve"> § 2</w:t>
      </w:r>
      <w:r w:rsidRPr="009A3C86">
        <w:rPr>
          <w:rFonts w:ascii="Times New Roman" w:hAnsi="Times New Roman"/>
          <w:sz w:val="24"/>
          <w:szCs w:val="24"/>
        </w:rPr>
        <w:t xml:space="preserve"> wprost wskazano, że zapis dźwięku lub obrazu nie podlegają sprostowaniu. Tożsame rozwiązanie zawarto w procedurze cywilnej w art. 160 § 2 k.p.c. Przepis ten również nie przewiduje możliwości sprostowania protokołu elektronicznego. Instytucja sprostowania takiego protokołu nie spełniłaby bowiem swojej funkcji z uwagi na to, że zapis audio lub audio-wideo stanowi wierne odzwierciedlenie przebiegu dokonanych czynności procesowych</w:t>
      </w:r>
      <w:r w:rsidRPr="009A3C86">
        <w:rPr>
          <w:rFonts w:ascii="Times New Roman" w:hAnsi="Times New Roman"/>
          <w:sz w:val="24"/>
          <w:szCs w:val="24"/>
          <w:vertAlign w:val="superscript"/>
        </w:rPr>
        <w:footnoteReference w:id="408"/>
      </w:r>
      <w:r w:rsidRPr="009A3C86">
        <w:rPr>
          <w:rFonts w:ascii="Times New Roman" w:hAnsi="Times New Roman"/>
          <w:sz w:val="24"/>
          <w:szCs w:val="24"/>
        </w:rPr>
        <w:t>.</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8. Przepis </w:t>
      </w:r>
      <w:r w:rsidRPr="009A3C86">
        <w:rPr>
          <w:rFonts w:ascii="Times New Roman" w:hAnsi="Times New Roman"/>
          <w:b/>
          <w:sz w:val="24"/>
          <w:szCs w:val="24"/>
        </w:rPr>
        <w:t xml:space="preserve">art. </w:t>
      </w:r>
      <w:r w:rsidR="00DE1ED7" w:rsidRPr="009A3C86">
        <w:rPr>
          <w:rFonts w:ascii="Times New Roman" w:hAnsi="Times New Roman"/>
          <w:b/>
          <w:bCs/>
          <w:sz w:val="24"/>
          <w:szCs w:val="24"/>
        </w:rPr>
        <w:t>377</w:t>
      </w:r>
      <w:r w:rsidRPr="009A3C86">
        <w:rPr>
          <w:rFonts w:ascii="Times New Roman" w:hAnsi="Times New Roman"/>
          <w:b/>
          <w:sz w:val="24"/>
          <w:szCs w:val="24"/>
        </w:rPr>
        <w:t xml:space="preserve"> § 1</w:t>
      </w:r>
      <w:r w:rsidRPr="009A3C86">
        <w:rPr>
          <w:rFonts w:ascii="Times New Roman" w:hAnsi="Times New Roman"/>
          <w:sz w:val="24"/>
          <w:szCs w:val="24"/>
        </w:rPr>
        <w:t xml:space="preserve"> zachowuje aktualny obowiązek, wynikający z przepisów art. 177 § 1 i 2 o.p., sporządzania adnotacji z czynności organu podatkowego, z których nie sporządza się protokołu. Adnotacje muszą być sporządzane pisemnie i podpisane przez osobę dokonującą czynności.</w:t>
      </w:r>
    </w:p>
    <w:p w:rsidR="00D96B9C" w:rsidRPr="009A3C86" w:rsidRDefault="00D96B9C"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9. Zgodnie z dodanym przepisem </w:t>
      </w:r>
      <w:r w:rsidRPr="009A3C86">
        <w:rPr>
          <w:rFonts w:ascii="Times New Roman" w:hAnsi="Times New Roman"/>
          <w:b/>
          <w:sz w:val="24"/>
          <w:szCs w:val="24"/>
        </w:rPr>
        <w:t xml:space="preserve">art. </w:t>
      </w:r>
      <w:r w:rsidR="00DE1ED7" w:rsidRPr="009A3C86">
        <w:rPr>
          <w:rFonts w:ascii="Times New Roman" w:hAnsi="Times New Roman"/>
          <w:b/>
          <w:bCs/>
          <w:sz w:val="24"/>
          <w:szCs w:val="24"/>
        </w:rPr>
        <w:t>377</w:t>
      </w:r>
      <w:r w:rsidRPr="009A3C86">
        <w:rPr>
          <w:rFonts w:ascii="Times New Roman" w:hAnsi="Times New Roman"/>
          <w:b/>
          <w:sz w:val="24"/>
          <w:szCs w:val="24"/>
        </w:rPr>
        <w:t xml:space="preserve"> § 2</w:t>
      </w:r>
      <w:r w:rsidRPr="009A3C86">
        <w:rPr>
          <w:rFonts w:ascii="Times New Roman" w:hAnsi="Times New Roman"/>
          <w:sz w:val="24"/>
          <w:szCs w:val="24"/>
        </w:rPr>
        <w:t xml:space="preserve"> adnotacje sporządza się także w przypadku zwrotu nadpłaty bez wydawania decyzji celem udokumentowania przyczyn dokonania zwrotu.</w:t>
      </w:r>
    </w:p>
    <w:p w:rsidR="00D96B9C" w:rsidRPr="009A3C86" w:rsidRDefault="00D96B9C" w:rsidP="00D96B9C">
      <w:pPr>
        <w:tabs>
          <w:tab w:val="num" w:pos="720"/>
        </w:tabs>
        <w:spacing w:after="0" w:line="360" w:lineRule="auto"/>
        <w:jc w:val="both"/>
        <w:outlineLvl w:val="2"/>
        <w:rPr>
          <w:rFonts w:ascii="Times New Roman" w:hAnsi="Times New Roman"/>
          <w:b/>
          <w:bCs/>
          <w:sz w:val="24"/>
          <w:szCs w:val="24"/>
        </w:rPr>
      </w:pPr>
      <w:bookmarkStart w:id="46" w:name="_Toc494363273"/>
      <w:bookmarkStart w:id="47" w:name="_Toc456912611"/>
      <w:bookmarkStart w:id="48" w:name="_Toc483413642"/>
      <w:r w:rsidRPr="009A3C86">
        <w:rPr>
          <w:rFonts w:ascii="Times New Roman" w:hAnsi="Times New Roman"/>
          <w:b/>
          <w:bCs/>
          <w:sz w:val="24"/>
          <w:szCs w:val="24"/>
        </w:rPr>
        <w:t>Rozdział 7. Udostępnianie akt</w:t>
      </w:r>
      <w:bookmarkEnd w:id="46"/>
      <w:bookmarkEnd w:id="47"/>
      <w:bookmarkEnd w:id="48"/>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1. W zakresie udostępniania akt utrzymano aktualną regulację art. 178 o.p., zgodnie z którą stronie przysługuje prawo do wglądu w akta sprawy, sporządzania z nich notatek, odpisów czy kopii przy wykorzystaniu własnych przenośnych urządzeń, w tym także już po zakończeniu postępowania.  </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Podobnie jak obecnie uregulowano prawo strony do wydania jej kopii akt sprawy, uwierzytelnionych odpisów z akt sprawy czy uwierzytelnienia przez organ kopii akt sprawy. </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Na wzór regulacji przewidzianej w ustawie o Krajowej Administracji Skarbowej wprowadzono przepisy ustanawiające prawo strony postępowania do otrzymania, na swój koszt, kopii zapisu dźwięku lub obrazu oraz jej uwierzytelnienia.</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Zachowano aktualne zasady udostępniania akt w siedzibie organu i w obecności pracownika organu.</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Utrzymano także możliwość udostępniania akt sprawy w systemie teleinformatycznym administracji podatkowej po uwierzytelnieniu strony, przy czym taki sposób udostępnienia akt obejmuje tylko dokumenty mające postać elektroniczną.</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Dotychczasową regulację doprecyzowano, wprost wskazując w </w:t>
      </w:r>
      <w:r w:rsidRPr="009A3C86">
        <w:rPr>
          <w:rFonts w:ascii="Times New Roman" w:hAnsi="Times New Roman"/>
          <w:b/>
          <w:sz w:val="24"/>
          <w:szCs w:val="24"/>
        </w:rPr>
        <w:t xml:space="preserve">art. </w:t>
      </w:r>
      <w:r w:rsidR="00DE1ED7" w:rsidRPr="009A3C86">
        <w:rPr>
          <w:rFonts w:ascii="Times New Roman" w:hAnsi="Times New Roman"/>
          <w:b/>
          <w:sz w:val="24"/>
          <w:szCs w:val="24"/>
        </w:rPr>
        <w:t>378</w:t>
      </w:r>
      <w:r w:rsidRPr="009A3C86">
        <w:rPr>
          <w:rFonts w:ascii="Times New Roman" w:hAnsi="Times New Roman"/>
          <w:b/>
          <w:sz w:val="24"/>
          <w:szCs w:val="24"/>
        </w:rPr>
        <w:t xml:space="preserve"> § 4</w:t>
      </w:r>
      <w:r w:rsidRPr="009A3C86">
        <w:rPr>
          <w:rFonts w:ascii="Times New Roman" w:hAnsi="Times New Roman"/>
          <w:sz w:val="24"/>
          <w:szCs w:val="24"/>
        </w:rPr>
        <w:t>, że żądanie udostępnienia akt czy wydania odpisów lub uwierzytelnienia kopii akt przysługuje także po zakończeniu postępowania.</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DE1ED7" w:rsidRPr="009A3C86">
        <w:rPr>
          <w:rFonts w:ascii="Times New Roman" w:hAnsi="Times New Roman"/>
          <w:b/>
          <w:sz w:val="24"/>
          <w:szCs w:val="24"/>
        </w:rPr>
        <w:t>378</w:t>
      </w:r>
      <w:r w:rsidRPr="009A3C86">
        <w:rPr>
          <w:rFonts w:ascii="Times New Roman" w:hAnsi="Times New Roman"/>
          <w:b/>
          <w:sz w:val="24"/>
          <w:szCs w:val="24"/>
        </w:rPr>
        <w:t xml:space="preserve"> § 5</w:t>
      </w:r>
      <w:r w:rsidRPr="009A3C86">
        <w:rPr>
          <w:rFonts w:ascii="Times New Roman" w:hAnsi="Times New Roman"/>
          <w:sz w:val="24"/>
          <w:szCs w:val="24"/>
        </w:rPr>
        <w:t xml:space="preserve"> wskazano, że wydanie kopii akt sprawy lub uwierzytelnionych odpisów akt sprawy albo uwierzytelnienia kopii akt sprawy, wydania kopii zapisu dźwięku lub obrazu albo ich uwierzytelnienie odbywa się na koszt strony.</w:t>
      </w:r>
    </w:p>
    <w:p w:rsidR="00D96B9C" w:rsidRPr="009A3C86" w:rsidRDefault="00D96B9C" w:rsidP="00D96B9C">
      <w:pPr>
        <w:spacing w:after="0" w:line="360" w:lineRule="auto"/>
        <w:jc w:val="both"/>
        <w:rPr>
          <w:rFonts w:ascii="Times New Roman" w:hAnsi="Times New Roman"/>
          <w:sz w:val="24"/>
          <w:szCs w:val="24"/>
        </w:rPr>
      </w:pPr>
      <w:r w:rsidRPr="009A3C86">
        <w:rPr>
          <w:rFonts w:ascii="Times New Roman" w:hAnsi="Times New Roman"/>
          <w:sz w:val="24"/>
          <w:szCs w:val="24"/>
        </w:rPr>
        <w:t>2. W celu realizacji możliwości uzyskania kopii zapisu dźwięku lub obrazu wprowadzono upoważnienie dla ministra właściwego do spraw finansów publicznych, by w porozumieniu z Ministrem Sprawiedliwości określił sposób i tryb udostępniania stronie zapisu obrazu lub dźwięku oraz przekazywania ich kopii. Wydając rozporządzenie, minister powinien kierować się koniecznością właściwego zabezpieczenia utrwalonego obrazu lub dźwięku przed utratą dokumentu, jego zniekształceniem lub nieuprawnionym ujawnieniem. Współuczestnictwo Ministra Sprawiedliwości w wydaniu rozporządzeń jest konieczne ze względu na zachowanie możliwości wykorzystania tak utrwalonych dowodów w postępowaniach karnych i karnych skarbowych, oraz ich zabezpieczenie przed utratą dowodu, jego zniekształceniem lub nieuprawnionym ujawnieniem</w:t>
      </w:r>
      <w:r w:rsidR="00627E32" w:rsidRPr="009A3C86">
        <w:rPr>
          <w:rFonts w:ascii="Times New Roman" w:hAnsi="Times New Roman"/>
          <w:sz w:val="24"/>
          <w:szCs w:val="24"/>
        </w:rPr>
        <w:t xml:space="preserve"> </w:t>
      </w:r>
      <w:r w:rsidR="00627E32" w:rsidRPr="009A3C86">
        <w:rPr>
          <w:rFonts w:ascii="Times New Roman" w:hAnsi="Times New Roman"/>
          <w:b/>
          <w:sz w:val="24"/>
          <w:szCs w:val="24"/>
        </w:rPr>
        <w:t>(§ 6)</w:t>
      </w:r>
      <w:r w:rsidRPr="009A3C86">
        <w:rPr>
          <w:rFonts w:ascii="Times New Roman" w:hAnsi="Times New Roman"/>
          <w:b/>
          <w:sz w:val="24"/>
          <w:szCs w:val="24"/>
        </w:rPr>
        <w:t>.</w:t>
      </w:r>
    </w:p>
    <w:p w:rsidR="00D96B9C" w:rsidRPr="009A3C86" w:rsidRDefault="00D96B9C"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3. Zmieniono dotychczasową regulację art. 179 o.p. wykluczającą dostęp (wgląd, możliwość robienia notatek, odpisów i kopii) do dokumentów znajdujących się w aktach sprawy. Ograniczono w </w:t>
      </w:r>
      <w:r w:rsidRPr="009A3C86">
        <w:rPr>
          <w:rFonts w:ascii="Times New Roman" w:hAnsi="Times New Roman"/>
          <w:b/>
          <w:sz w:val="24"/>
          <w:szCs w:val="24"/>
        </w:rPr>
        <w:t xml:space="preserve">art. </w:t>
      </w:r>
      <w:r w:rsidR="00DE1ED7" w:rsidRPr="009A3C86">
        <w:rPr>
          <w:rFonts w:ascii="Times New Roman" w:hAnsi="Times New Roman"/>
          <w:b/>
          <w:sz w:val="24"/>
          <w:szCs w:val="24"/>
        </w:rPr>
        <w:t>379</w:t>
      </w:r>
      <w:r w:rsidRPr="009A3C86">
        <w:rPr>
          <w:rFonts w:ascii="Times New Roman" w:hAnsi="Times New Roman"/>
          <w:sz w:val="24"/>
          <w:szCs w:val="24"/>
        </w:rPr>
        <w:t xml:space="preserve"> możliwość nieudostępnienia stronie akt sprawy wyłącznie do znajdujących się w aktach sprawy informacji niejawnych, a także do innych informacji, których nieujawniania wymaga interes publiczny. Tym samym organ nie będzie wyłączał jawności całych dokumentów zawierających takie informacje, jak obecnie ma to miejsce, a jedynie same informacje niejawne znajdujące się w tych dokumentach. Zapewni to stronie pełniejszy dostęp do akt sprawy, w szczególności będzie ona miała informację, w jakich dokumentach znajdują się te informacje, a także będzie mogła poznać kontekst, w jakim zostały przekazane, mimo że do samych informacji nie będzie miała dostępu. Podobnie jak dotychczas odmowa dostępu następuje w drodze postanowienia, na które stronie służy zażalenie.</w:t>
      </w:r>
    </w:p>
    <w:p w:rsidR="00AB6ACC" w:rsidRPr="009A3C86" w:rsidRDefault="00AB6ACC" w:rsidP="00AB6ACC">
      <w:pPr>
        <w:spacing w:after="0" w:line="360" w:lineRule="auto"/>
        <w:jc w:val="both"/>
        <w:rPr>
          <w:rFonts w:ascii="Times New Roman" w:hAnsi="Times New Roman"/>
          <w:b/>
          <w:sz w:val="24"/>
          <w:szCs w:val="24"/>
        </w:rPr>
      </w:pPr>
      <w:r w:rsidRPr="009A3C86">
        <w:rPr>
          <w:rFonts w:ascii="Times New Roman" w:hAnsi="Times New Roman"/>
          <w:b/>
          <w:sz w:val="24"/>
          <w:szCs w:val="24"/>
        </w:rPr>
        <w:t>Rozdział 8. Dowody</w:t>
      </w:r>
      <w:bookmarkStart w:id="49" w:name="_Toc418575914"/>
      <w:bookmarkStart w:id="50" w:name="_Toc425177246"/>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1. Postępowanie podatkowe jest szczególnym postępowaniem administracyjnym</w:t>
      </w:r>
      <w:r w:rsidRPr="009A3C86">
        <w:rPr>
          <w:rFonts w:ascii="Times New Roman" w:hAnsi="Times New Roman"/>
          <w:sz w:val="24"/>
          <w:szCs w:val="24"/>
          <w:vertAlign w:val="superscript"/>
        </w:rPr>
        <w:footnoteReference w:customMarkFollows="1" w:id="409"/>
        <w:t>388</w:t>
      </w:r>
      <w:r w:rsidRPr="009A3C86">
        <w:rPr>
          <w:rFonts w:ascii="Times New Roman" w:hAnsi="Times New Roman"/>
          <w:sz w:val="24"/>
          <w:szCs w:val="24"/>
        </w:rPr>
        <w:t xml:space="preserve">. Niezależnie od tego istnieją jednak zasadnicze odrębności między postępowaniem podatkowym i ogólnym postępowaniem administracyjnym, normowanym w przepisach kodeksu postępowania administracyjnego. Specyfika spraw podatkowych wymaga </w:t>
      </w:r>
      <w:r w:rsidRPr="009A3C86">
        <w:rPr>
          <w:rFonts w:ascii="Times New Roman" w:hAnsi="Times New Roman"/>
          <w:sz w:val="24"/>
          <w:szCs w:val="24"/>
        </w:rPr>
        <w:lastRenderedPageBreak/>
        <w:t>zastosowania szeregu uregulowań odrębnych</w:t>
      </w:r>
      <w:r w:rsidRPr="009A3C86">
        <w:rPr>
          <w:rFonts w:ascii="Times New Roman" w:hAnsi="Times New Roman"/>
          <w:sz w:val="24"/>
          <w:szCs w:val="24"/>
          <w:vertAlign w:val="superscript"/>
        </w:rPr>
        <w:footnoteReference w:customMarkFollows="1" w:id="410"/>
        <w:t>389</w:t>
      </w:r>
      <w:r w:rsidRPr="009A3C86">
        <w:rPr>
          <w:rFonts w:ascii="Times New Roman" w:hAnsi="Times New Roman"/>
          <w:sz w:val="24"/>
          <w:szCs w:val="24"/>
        </w:rPr>
        <w:t xml:space="preserve">, co uzasadnia istnienie odrębnej procedury podatkowej oraz dokonanie pewnych modyfikacji w zakresie postępowania dowodowego.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2. Proponowane rozwiązania w zakresie dowodów w prawie podatkowym obierają za podstawę dotychczasowy kierunek znany z aktualnie obowiązującej regulacji prawnej, z pewnymi przeobrażeniami wynikającymi z jednej strony z potrzeby wyważenia ochrony praw jednostki w relacjach z administracją skarbową, z drugiej strony natomiast, stanowiącymi dla organów administracji skarbowej operatywne narzędzie działania na etapie procedury podatkowej oraz zidentyfikowanymi w orzecznictwie mankamentami w zakresie stosowania dotychczasowych przepisów</w:t>
      </w:r>
      <w:r w:rsidRPr="009A3C86">
        <w:rPr>
          <w:rFonts w:ascii="Times New Roman" w:hAnsi="Times New Roman"/>
          <w:sz w:val="24"/>
          <w:szCs w:val="24"/>
          <w:vertAlign w:val="superscript"/>
        </w:rPr>
        <w:footnoteReference w:customMarkFollows="1" w:id="411"/>
        <w:t>390</w:t>
      </w:r>
      <w:r w:rsidR="00627E32" w:rsidRPr="009A3C86">
        <w:rPr>
          <w:rFonts w:ascii="Times New Roman" w:hAnsi="Times New Roman"/>
          <w:sz w:val="24"/>
          <w:szCs w:val="24"/>
          <w:vertAlign w:val="superscript"/>
        </w:rPr>
        <w:t>.</w:t>
      </w:r>
      <w:r w:rsidRPr="009A3C86">
        <w:rPr>
          <w:rFonts w:ascii="Times New Roman" w:hAnsi="Times New Roman"/>
          <w:sz w:val="24"/>
          <w:szCs w:val="24"/>
        </w:rPr>
        <w:t xml:space="preserve"> Przepisy te zostały pogrupowane na 7 oddziałów.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3. </w:t>
      </w:r>
      <w:bookmarkStart w:id="51" w:name="_Hlk479277510"/>
      <w:r w:rsidRPr="009A3C86">
        <w:rPr>
          <w:rFonts w:ascii="Times New Roman" w:hAnsi="Times New Roman"/>
          <w:sz w:val="24"/>
          <w:szCs w:val="24"/>
        </w:rPr>
        <w:t>W pierwszym oddziale zatytułowanym „Przepisy ogólne” znajdują się regulacje związane z zasadami prowadzenia postępowania dowodowego w zakresie gromadzenia dowodów, obowiązków organu w związku przeprowadzaniem konkretnych środków dowodowych oraz ich oceny.</w:t>
      </w:r>
    </w:p>
    <w:bookmarkEnd w:id="51"/>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DE1ED7" w:rsidRPr="009A3C86">
        <w:rPr>
          <w:rFonts w:ascii="Times New Roman" w:hAnsi="Times New Roman"/>
          <w:b/>
          <w:sz w:val="24"/>
          <w:szCs w:val="24"/>
        </w:rPr>
        <w:t>380</w:t>
      </w:r>
      <w:r w:rsidRPr="009A3C86">
        <w:rPr>
          <w:rFonts w:ascii="Times New Roman" w:hAnsi="Times New Roman"/>
          <w:sz w:val="24"/>
          <w:szCs w:val="24"/>
        </w:rPr>
        <w:t xml:space="preserve"> reguluje, co może być dowodem w sprawach podatkowych. Na gruncie dotychczasowych rozwiązań materię tę normował art. 180 o.p. Funkcjonowanie tego przepisu w dotychczasowej praktyce pokazało szereg problemów, m.in. związanych z doborem i wykorzystaniem środków dowodowych, w tym </w:t>
      </w:r>
      <w:bookmarkStart w:id="52" w:name="_Hlk480278058"/>
      <w:r w:rsidRPr="009A3C86">
        <w:rPr>
          <w:rFonts w:ascii="Times New Roman" w:hAnsi="Times New Roman"/>
          <w:sz w:val="24"/>
          <w:szCs w:val="24"/>
        </w:rPr>
        <w:t>wprowadzeniem nieuzasadnionych preferencji dowodowych</w:t>
      </w:r>
      <w:r w:rsidRPr="009A3C86">
        <w:rPr>
          <w:rFonts w:ascii="Times New Roman" w:hAnsi="Times New Roman"/>
          <w:sz w:val="24"/>
          <w:szCs w:val="24"/>
          <w:vertAlign w:val="superscript"/>
        </w:rPr>
        <w:footnoteReference w:customMarkFollows="1" w:id="412"/>
        <w:t>391</w:t>
      </w:r>
      <w:r w:rsidRPr="009A3C86">
        <w:rPr>
          <w:rFonts w:ascii="Times New Roman" w:hAnsi="Times New Roman"/>
          <w:sz w:val="24"/>
          <w:szCs w:val="24"/>
        </w:rPr>
        <w:t>.</w:t>
      </w:r>
    </w:p>
    <w:bookmarkEnd w:id="52"/>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2</w:t>
      </w:r>
      <w:r w:rsidRPr="009A3C86">
        <w:rPr>
          <w:rFonts w:ascii="Times New Roman" w:hAnsi="Times New Roman"/>
          <w:sz w:val="24"/>
          <w:szCs w:val="24"/>
        </w:rPr>
        <w:t xml:space="preserve"> omawianej regulacji proponuje się wprowadzenie wyjątku od ogólnej zasady otwartego katalogu dowodów w sytuacji, gdy przepis szczególny określa, że dana okoliczność może zostać stwierdzona jedynie określonym dowodem. Regulacje ograniczające zakres środków dowodowych do ściśle wskazanych przypadków stanowią na gruncie prawa podatkowego </w:t>
      </w:r>
      <w:r w:rsidRPr="009A3C86">
        <w:rPr>
          <w:rFonts w:ascii="Times New Roman" w:hAnsi="Times New Roman"/>
          <w:i/>
          <w:iCs/>
          <w:sz w:val="24"/>
          <w:szCs w:val="24"/>
        </w:rPr>
        <w:t>leges speciales</w:t>
      </w:r>
      <w:r w:rsidRPr="009A3C86">
        <w:rPr>
          <w:rFonts w:ascii="Times New Roman" w:hAnsi="Times New Roman"/>
          <w:sz w:val="24"/>
          <w:szCs w:val="24"/>
        </w:rPr>
        <w:t xml:space="preserve"> w zestawieniu z ogólnym unormowaniem dotyczącym otwartego katalogu dowodów, zawartym w dotychczasowym art. 180 o.p. Wyjątki od zasady swobodnej oceny dowodów (art. 191 o.p.) wynikać muszą jednoznacznie z przepisów prawa materialnego. Za niedopuszczalne należy uznać „tworzenie” w praktyce stosowania prawa preferencji i wymogów co do rodzaju dopuszczalnego dowodu na udowodnienie określonej okoliczności w sytuacji, gdy nie wynika to z obowiązującego prawa. </w:t>
      </w:r>
      <w:r w:rsidRPr="009A3C86">
        <w:rPr>
          <w:rFonts w:ascii="Times New Roman" w:hAnsi="Times New Roman"/>
          <w:bCs/>
          <w:sz w:val="24"/>
          <w:szCs w:val="24"/>
        </w:rPr>
        <w:t>Sytuacje, w których d</w:t>
      </w:r>
      <w:r w:rsidRPr="009A3C86">
        <w:rPr>
          <w:rFonts w:ascii="Times New Roman" w:hAnsi="Times New Roman"/>
          <w:sz w:val="24"/>
          <w:szCs w:val="24"/>
        </w:rPr>
        <w:t xml:space="preserve">ana okoliczność faktyczna może być </w:t>
      </w:r>
      <w:r w:rsidRPr="009A3C86">
        <w:rPr>
          <w:rFonts w:ascii="Times New Roman" w:hAnsi="Times New Roman"/>
          <w:sz w:val="24"/>
          <w:szCs w:val="24"/>
        </w:rPr>
        <w:lastRenderedPageBreak/>
        <w:t>udowodniona tylko określonym dowodem, powinny wynikać z konkretnych unormowań (w</w:t>
      </w:r>
      <w:r w:rsidRPr="009A3C86">
        <w:rPr>
          <w:rFonts w:ascii="Times New Roman" w:hAnsi="Times New Roman"/>
          <w:bCs/>
          <w:sz w:val="24"/>
          <w:szCs w:val="24"/>
        </w:rPr>
        <w:t>yjątki wobec otwartego katalogu środków dowodowych). Brak takich regulacji prowadzić powinien do domniemania otwartości środków dowodowych.</w:t>
      </w:r>
      <w:r w:rsidRPr="009A3C86">
        <w:rPr>
          <w:rFonts w:ascii="Times New Roman" w:hAnsi="Times New Roman"/>
          <w:sz w:val="24"/>
          <w:szCs w:val="24"/>
        </w:rPr>
        <w:t xml:space="preserve">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Formalnie rzecz biorąc, przepisy nie wprowadzają żadnych preferencji dowodowych. Natomiast praktyka stosowania tych przepisów pokazuje, że w niektórych sytuacjach przyjmowano, że udowodnienie określonych okoliczności może nastąpić jedynie poprzez określone dowody, stąd zasadnym jest wprowadzenie zaproponowanej normy prawnej. Za wprowadzeniem proponowanych zmian przemawia w szczególności aktualna praktyka np. w zakresie kosztów uzyskania przychodów czy wydatków na zakup usług niematerialnych. Innym przykładem są narosłe nieporozumienia, jeśli chodzi o dokumentowanie wewnątrzwspólnotowej dostawy towarów, tj. art. 42 ust. 3 i 4 w zw. z art. 42 ust. 11 ustawy o podatku od towarów i usług. Dowodzenie tej okoliczności również innymi – nie tylko wymienionymi w tym przepisie – dowodami nie może być traktowane jako ustawowy obowiązek stosowania jakichkolwiek preferencji dowodowych.</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3</w:t>
      </w:r>
      <w:r w:rsidRPr="009A3C86">
        <w:rPr>
          <w:rFonts w:ascii="Times New Roman" w:hAnsi="Times New Roman"/>
          <w:sz w:val="24"/>
          <w:szCs w:val="24"/>
        </w:rPr>
        <w:t xml:space="preserve"> wskazanej regulacji </w:t>
      </w:r>
      <w:bookmarkStart w:id="53" w:name="_Toc418575915"/>
      <w:bookmarkStart w:id="54" w:name="_Toc425177247"/>
      <w:r w:rsidRPr="009A3C86">
        <w:rPr>
          <w:rFonts w:ascii="Times New Roman" w:hAnsi="Times New Roman"/>
          <w:sz w:val="24"/>
          <w:szCs w:val="24"/>
        </w:rPr>
        <w:t>proponuje się wzmocnienie mocy dowodowej oświadczenia strony</w:t>
      </w:r>
      <w:bookmarkEnd w:id="53"/>
      <w:bookmarkEnd w:id="54"/>
      <w:r w:rsidRPr="009A3C86">
        <w:rPr>
          <w:rFonts w:ascii="Times New Roman" w:hAnsi="Times New Roman"/>
          <w:sz w:val="24"/>
          <w:szCs w:val="24"/>
        </w:rPr>
        <w:t xml:space="preserve">. Obecnie istnieją wątpliwości co do tego środka dowodowego, jeśli chodzi zarówno o jego dopuszczalność, jak i o sposób oceny wartości przyznania przez stronę istnienia pewnych faktów. </w:t>
      </w:r>
      <w:r w:rsidRPr="009A3C86">
        <w:rPr>
          <w:rFonts w:ascii="Times New Roman" w:hAnsi="Times New Roman"/>
          <w:bCs/>
          <w:sz w:val="24"/>
          <w:szCs w:val="24"/>
        </w:rPr>
        <w:t xml:space="preserve">Należy dopuścić w dowodzeniu własne oświadczenia strony, składane jednak pod rygorem odpowiedzialności karnej za złożenie fałszywego oświadczenia. Ten środek dowodowy może zostać wykorzystany </w:t>
      </w:r>
      <w:r w:rsidRPr="009A3C86">
        <w:rPr>
          <w:rFonts w:ascii="Times New Roman" w:hAnsi="Times New Roman"/>
          <w:sz w:val="24"/>
          <w:szCs w:val="24"/>
        </w:rPr>
        <w:t>w szczególności w celu potwierdzenia istotnych prawnie okoliczności w sytuacjach, gdy nie ma innych dowodów, które podawałyby w wątpliwość twierdzenia strony lub z uwagi na ekonomikę postępowania dalsze prowadzenie postępowania dowodowego nie byłoby uzasadnione lub wiązałoby się z nadmiernymi kosztami. Nie może to być środek dowodowy korzystający z domniemania prawdziwości; okoliczność faktyczna stwierdzona w oświadczeniu może być również przedmiotem przeciwdowodu z zeznań świadków, opinii biegłych, dokumentów, jeżeli prawdziwość oświadczenia wzbudzi wątpliwości. Podważenie wiarygodności oświadczenia potwierdzone ostatecznym (prawomocnym w razie sporu sądowego) rozstrzygnięciem otwiera też drogę do uruchomienia odpowiedzialności karnej za składanie fałszywych zeznań.</w:t>
      </w:r>
    </w:p>
    <w:p w:rsidR="00AB6ACC" w:rsidRPr="009A3C86" w:rsidRDefault="00AB6ACC" w:rsidP="00AB6ACC">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W </w:t>
      </w:r>
      <w:r w:rsidRPr="009A3C86">
        <w:rPr>
          <w:rFonts w:ascii="Times New Roman" w:eastAsia="Times New Roman" w:hAnsi="Times New Roman"/>
          <w:b/>
          <w:bCs/>
          <w:sz w:val="24"/>
          <w:szCs w:val="24"/>
          <w:lang w:eastAsia="pl-PL"/>
        </w:rPr>
        <w:t>§ 4</w:t>
      </w:r>
      <w:r w:rsidRPr="009A3C86">
        <w:rPr>
          <w:rFonts w:ascii="Times New Roman" w:eastAsia="Times New Roman" w:hAnsi="Times New Roman"/>
          <w:bCs/>
          <w:sz w:val="24"/>
          <w:szCs w:val="24"/>
          <w:lang w:eastAsia="pl-PL"/>
        </w:rPr>
        <w:t xml:space="preserve"> przewidziano rozwiązanie stanowiące konkretyzację zasady proporcjonalności przewidzianej w art. 25, zgodnie z którym organ podatkowy nie może żądać zaświadczenia ani oświadczenia na potwierdzenie faktów lub stanu prawnego, jeżeli znane są one organowi z urzędu lub możliwe są do ustalenia przez organ na podstawie: posiadanych przez niego ewidencji, rejestrów lub innych danych; przedstawionych organowi podatkowemu do wglądu </w:t>
      </w:r>
      <w:r w:rsidRPr="009A3C86">
        <w:rPr>
          <w:rFonts w:ascii="Times New Roman" w:eastAsia="Times New Roman" w:hAnsi="Times New Roman"/>
          <w:bCs/>
          <w:sz w:val="24"/>
          <w:szCs w:val="24"/>
          <w:lang w:eastAsia="pl-PL"/>
        </w:rPr>
        <w:lastRenderedPageBreak/>
        <w:t xml:space="preserve">przez zainteresowanego dokumentów urzędowych; rejestrów publicznych posiadanych przez inne podmioty publiczne, do których organ ma dostęp w drodze elektronicznej na zasadach określonych w przepisach ustawy z dnia 17 lutego 2005 r. o informatyzacji działalności podmiotów realizujących zadania publiczne; informacji otrzymanych od innego podmiotu publicznego. Jednocześnie w myśl </w:t>
      </w:r>
      <w:r w:rsidRPr="009A3C86">
        <w:rPr>
          <w:rFonts w:ascii="Times New Roman" w:eastAsia="Times New Roman" w:hAnsi="Times New Roman"/>
          <w:b/>
          <w:bCs/>
          <w:sz w:val="24"/>
          <w:szCs w:val="24"/>
          <w:lang w:eastAsia="pl-PL"/>
        </w:rPr>
        <w:t>§ 5</w:t>
      </w:r>
      <w:r w:rsidRPr="009A3C86">
        <w:rPr>
          <w:rFonts w:ascii="Times New Roman" w:eastAsia="Times New Roman" w:hAnsi="Times New Roman"/>
          <w:bCs/>
          <w:sz w:val="24"/>
          <w:szCs w:val="24"/>
          <w:lang w:eastAsia="pl-PL"/>
        </w:rPr>
        <w:t>   organ podatkowy odbierając od strony oświadczenie w celu potwierdzenia faktów albo stanu prawnego jest obowiązany wskazać przepis prawa w związku z którym oświadczenie jest odbierane. W założeniu przepis ten ma racjonalizować działania administracji podatkowej.</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6</w:t>
      </w:r>
      <w:r w:rsidRPr="009A3C86">
        <w:rPr>
          <w:rFonts w:ascii="Times New Roman" w:hAnsi="Times New Roman"/>
          <w:sz w:val="24"/>
          <w:szCs w:val="24"/>
        </w:rPr>
        <w:t xml:space="preserve"> omawianej regulacji proponuje się zmianę redakcyjną dotychczasowego przepisu art. 180 § 3 o.p., zachowując co do zasady regułę wynikającą z jego obecnego brzmienia. Zmiana polegać ma na umożliwieniu zwrócenia się przez organ do strony postępowania o złożenie oświadczenia o stanie majątkowym na określony dzień w przypadkach, gdy jest to uzasadnione ustalonym w toku postępowania stanem faktycznym. Przepis będzie znajdował odpowiednie zastosowanie w stosunku do osób fizycznych będących wspólnikami spółki nieposiadającej osobowości prawnej, w stosunku do której jest prowadzone postępowanie </w:t>
      </w:r>
      <w:r w:rsidRPr="009A3C86">
        <w:rPr>
          <w:rFonts w:ascii="Times New Roman" w:hAnsi="Times New Roman"/>
          <w:b/>
          <w:sz w:val="24"/>
          <w:szCs w:val="24"/>
        </w:rPr>
        <w:t>(§ 7</w:t>
      </w:r>
      <w:r w:rsidRPr="009A3C86">
        <w:rPr>
          <w:rFonts w:ascii="Times New Roman" w:hAnsi="Times New Roman"/>
          <w:sz w:val="24"/>
          <w:szCs w:val="24"/>
        </w:rPr>
        <w:t xml:space="preserve">). Jednocześnie w </w:t>
      </w:r>
      <w:r w:rsidRPr="009A3C86">
        <w:rPr>
          <w:rFonts w:ascii="Times New Roman" w:hAnsi="Times New Roman"/>
          <w:b/>
          <w:bCs/>
          <w:sz w:val="24"/>
          <w:szCs w:val="24"/>
        </w:rPr>
        <w:t xml:space="preserve">§ 3 i 6, art. </w:t>
      </w:r>
      <w:r w:rsidR="00DE09A5" w:rsidRPr="009A3C86">
        <w:rPr>
          <w:rFonts w:ascii="Times New Roman" w:hAnsi="Times New Roman"/>
          <w:b/>
          <w:bCs/>
          <w:sz w:val="24"/>
          <w:szCs w:val="24"/>
        </w:rPr>
        <w:t>380</w:t>
      </w:r>
      <w:r w:rsidRPr="009A3C86">
        <w:rPr>
          <w:rFonts w:ascii="Times New Roman" w:hAnsi="Times New Roman"/>
          <w:bCs/>
          <w:sz w:val="24"/>
          <w:szCs w:val="24"/>
        </w:rPr>
        <w:t xml:space="preserve"> w zakresie, w jakim regulują one kwestię pouczenia o odpowiedzialności karnej za złożenie fałszywego oświadczenia doprecyzowano iż będzie ono składane „pod rygorem odpowiedzialności karnej za złożenie fałszywego oświadczenia". Precyzyjne określenie w treści pouczenia znamion wyczerpujących zachowanie z art. 233 § 6 k.k. ma istotne znaczenie z punktu widzenia odpowiedzialności karnej osoby. składającej oświadczenie. Z tego względu brzmienie klauzul odpowiedzialności karnej za złożenie fałszywego oświadczenia powinno wykluczać ewentualne wątpliwości.</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DE09A5" w:rsidRPr="009A3C86">
        <w:rPr>
          <w:rFonts w:ascii="Times New Roman" w:hAnsi="Times New Roman"/>
          <w:b/>
          <w:sz w:val="24"/>
          <w:szCs w:val="24"/>
        </w:rPr>
        <w:t>381</w:t>
      </w:r>
      <w:r w:rsidRPr="009A3C86">
        <w:rPr>
          <w:rFonts w:ascii="Times New Roman" w:hAnsi="Times New Roman"/>
          <w:sz w:val="24"/>
          <w:szCs w:val="24"/>
        </w:rPr>
        <w:t xml:space="preserve"> jest odpowiednikiem obecnego art. 181 o.p. Zgodnie z tym przepisem dowodami w postępowaniu podatkowym mogą być również wszelkie materiały zebrane w toku postępowań o charakterze represyjnym (postępowania karnego, postępowania w sprawach o przestępstwa skarbowe lub wykroczenia skarbowe). Dopuszczenie możliwości wykorzystania tych materiałów w postępowaniu podatkowym ma na celu ułatwienie prowadzenia tego postępowania. Dzięki czemu organ podatkowy nie będzie musiał wykonywać czynności związanych z ich zgromadzeniem. Nie zwalnia to jednak organu podatkowego od dokonania oceny wartości dowodowej zebranego materiału.</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DE09A5" w:rsidRPr="009A3C86">
        <w:rPr>
          <w:rFonts w:ascii="Times New Roman" w:hAnsi="Times New Roman"/>
          <w:b/>
          <w:sz w:val="24"/>
          <w:szCs w:val="24"/>
        </w:rPr>
        <w:t>382</w:t>
      </w:r>
      <w:r w:rsidRPr="009A3C86">
        <w:rPr>
          <w:rFonts w:ascii="Times New Roman" w:hAnsi="Times New Roman"/>
          <w:sz w:val="24"/>
          <w:szCs w:val="24"/>
        </w:rPr>
        <w:t xml:space="preserve"> jest odpowiednikiem obecnego art. 187 o.p.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Modyfikację w stosunku do dotychczasowych rozwiązań zawartych w art. 188 o.p. stanowi </w:t>
      </w:r>
      <w:r w:rsidRPr="009A3C86">
        <w:rPr>
          <w:rFonts w:ascii="Times New Roman" w:hAnsi="Times New Roman"/>
          <w:b/>
          <w:sz w:val="24"/>
          <w:szCs w:val="24"/>
        </w:rPr>
        <w:t xml:space="preserve">art. </w:t>
      </w:r>
      <w:r w:rsidR="00DE09A5" w:rsidRPr="009A3C86">
        <w:rPr>
          <w:rFonts w:ascii="Times New Roman" w:hAnsi="Times New Roman"/>
          <w:b/>
          <w:sz w:val="24"/>
          <w:szCs w:val="24"/>
        </w:rPr>
        <w:t>383</w:t>
      </w:r>
      <w:r w:rsidRPr="009A3C86">
        <w:rPr>
          <w:rFonts w:ascii="Times New Roman" w:hAnsi="Times New Roman"/>
          <w:sz w:val="24"/>
          <w:szCs w:val="24"/>
        </w:rPr>
        <w:t xml:space="preserve">. Proponowane rozwiązanie, poza zmianami redakcyjnymi, przeobraża dotychczasowe podejście związane ze sferą inicjowania postępowania dowodowego przez stronę </w:t>
      </w:r>
      <w:r w:rsidRPr="009A3C86">
        <w:rPr>
          <w:rFonts w:ascii="Times New Roman" w:hAnsi="Times New Roman"/>
          <w:sz w:val="24"/>
          <w:szCs w:val="24"/>
        </w:rPr>
        <w:lastRenderedPageBreak/>
        <w:t xml:space="preserve">postępowania. Proponuje się, aby w </w:t>
      </w:r>
      <w:r w:rsidRPr="009A3C86">
        <w:rPr>
          <w:rFonts w:ascii="Times New Roman" w:hAnsi="Times New Roman"/>
          <w:b/>
          <w:sz w:val="24"/>
          <w:szCs w:val="24"/>
        </w:rPr>
        <w:t>§ 1</w:t>
      </w:r>
      <w:r w:rsidRPr="009A3C86">
        <w:rPr>
          <w:rFonts w:ascii="Times New Roman" w:hAnsi="Times New Roman"/>
          <w:sz w:val="24"/>
          <w:szCs w:val="24"/>
        </w:rPr>
        <w:t xml:space="preserve"> wskazanego przepisu wprowadzić generalną zasadę obligującą organy do realizacji wniosku dowodowego strony w przypadku wystąpienia okoliczności prawnie relewantnych z perspektywy prowadzonego postępowania. </w:t>
      </w:r>
    </w:p>
    <w:p w:rsidR="00AB6ACC" w:rsidRPr="009A3C86" w:rsidRDefault="00AB6ACC" w:rsidP="00AB6ACC">
      <w:pPr>
        <w:keepNext/>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Jednocześnie w </w:t>
      </w:r>
      <w:r w:rsidRPr="009A3C86">
        <w:rPr>
          <w:rFonts w:ascii="Times New Roman" w:eastAsia="Times New Roman" w:hAnsi="Times New Roman"/>
          <w:b/>
          <w:bCs/>
          <w:sz w:val="24"/>
          <w:szCs w:val="24"/>
          <w:lang w:eastAsia="pl-PL"/>
        </w:rPr>
        <w:t>§ 2</w:t>
      </w:r>
      <w:r w:rsidRPr="009A3C86">
        <w:rPr>
          <w:rFonts w:ascii="Times New Roman" w:eastAsia="Times New Roman" w:hAnsi="Times New Roman"/>
          <w:bCs/>
          <w:sz w:val="24"/>
          <w:szCs w:val="24"/>
          <w:lang w:eastAsia="pl-PL"/>
        </w:rPr>
        <w:t xml:space="preserve"> omawianej regulacji proponuje się pozostawienie organom administracji skarbowej możliwości odmowy przeprowadzenia wniosków dowodowych w trzech grupach sytuacji. Mianowicie organ może nie uwzględnić wniosku dowodowego, jeżeli: dana okoliczność stwierdzona jest wystarczająco innym dowodem; dowód jest nieprzydatny do stwierdzenia danej okoliczności; wniosek dowodowy w sposób oczywisty zmierza do przedłużenia postępowania.</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3</w:t>
      </w:r>
      <w:r w:rsidRPr="009A3C86">
        <w:rPr>
          <w:rFonts w:ascii="Times New Roman" w:hAnsi="Times New Roman"/>
          <w:sz w:val="24"/>
          <w:szCs w:val="24"/>
        </w:rPr>
        <w:t xml:space="preserve"> natomiast wprowadzono zastrzeżenie, że organ nie może odmówić realizacji wniosku dowodowego strony tylko z tego względu, że sformułowany jest on na okoliczność odmienną od wynikającej ze zgromadzonego materiału dowodowego. Powyższe związane jest z realizacją gwarancji procesowych strony postępowania. W praktyce często zdarza się, iż odmowa realizacji zgłaszanych wniosków dowodowych prowadzi do pozbawienia jednostki instrumentu, za pomocą którego realizuje ona prawo do czynnego udziału w postępowaniu poprzez możliwość skutecznego zgłaszania wniosków dowodowych na okoliczność mającą znaczenie w sprawie. Przepis ten nie będzie zatem dawał podstawy do odmowy uwzględnienia wniosku dowodowego strony w sytuacji, gdy wniosek ten zmierza do zweryfikowania okoliczności stwierdzonej w ocenie organów innym dowodem. Odmowa przeprowadzenia określonej czynności dowodowej musi zatem wiązać się z pewnością, że czynność ta jest całkowicie zbędna i nie zmierza do ustalenia (lub zaprzeczenia) warunków hipotezy określonej normy materialnego prawa podatkowego, która ma mieć zastosowanie w sprawie</w:t>
      </w:r>
      <w:r w:rsidRPr="009A3C86">
        <w:rPr>
          <w:rFonts w:ascii="Times New Roman" w:hAnsi="Times New Roman"/>
          <w:sz w:val="24"/>
          <w:szCs w:val="24"/>
          <w:vertAlign w:val="superscript"/>
        </w:rPr>
        <w:footnoteReference w:customMarkFollows="1" w:id="413"/>
        <w:t>392</w:t>
      </w:r>
      <w:r w:rsidRPr="009A3C86">
        <w:rPr>
          <w:rFonts w:ascii="Times New Roman" w:hAnsi="Times New Roman"/>
          <w:sz w:val="24"/>
          <w:szCs w:val="24"/>
        </w:rPr>
        <w:t>.</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384</w:t>
      </w:r>
      <w:r w:rsidRPr="009A3C86">
        <w:rPr>
          <w:rFonts w:ascii="Times New Roman" w:hAnsi="Times New Roman"/>
          <w:sz w:val="24"/>
          <w:szCs w:val="24"/>
        </w:rPr>
        <w:t xml:space="preserve"> przewiduje zasady dotyczące terminu przedstawienia dowodu znajdującego się w posiadaniu strony, stanowiąc odpowiednik dotychczasowego art. 189 o.p. W porównaniu z poprzednim brzmieniem wydłużono do co najmniej 7 dni roboczych termin wyznaczany stronie do przedstawienia dowodu będącego w jej posiadaniu.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 xml:space="preserve">art. </w:t>
      </w:r>
      <w:r w:rsidR="007E2E0B" w:rsidRPr="009A3C86">
        <w:rPr>
          <w:rFonts w:ascii="Times New Roman" w:hAnsi="Times New Roman"/>
          <w:b/>
          <w:sz w:val="24"/>
          <w:szCs w:val="24"/>
        </w:rPr>
        <w:t>385</w:t>
      </w:r>
      <w:r w:rsidRPr="009A3C86">
        <w:rPr>
          <w:rFonts w:ascii="Times New Roman" w:hAnsi="Times New Roman"/>
          <w:sz w:val="24"/>
          <w:szCs w:val="24"/>
        </w:rPr>
        <w:t xml:space="preserve"> będącego odpowiednikiem art. 190 o.p. proponuje się zmianę polegającą na dodaniu w </w:t>
      </w:r>
      <w:r w:rsidRPr="009A3C86">
        <w:rPr>
          <w:rFonts w:ascii="Times New Roman" w:hAnsi="Times New Roman"/>
          <w:b/>
          <w:sz w:val="24"/>
          <w:szCs w:val="24"/>
        </w:rPr>
        <w:t>§ 2</w:t>
      </w:r>
      <w:r w:rsidRPr="009A3C86">
        <w:rPr>
          <w:rFonts w:ascii="Times New Roman" w:hAnsi="Times New Roman"/>
          <w:sz w:val="24"/>
          <w:szCs w:val="24"/>
        </w:rPr>
        <w:t xml:space="preserve"> obowiązku informowania przez organy o danych personalnych świadka wezwanego do złożenia zeznań oraz wskazanie okoliczności, na jaką dowód ten ma zostać przeprowadzony. Powyższa zmiana podyktowana jest ekonomiką procesową, ponieważ w praktyce organy podatkowe kierują zawiadomienie o miejscu i terminie przeprowadzenia </w:t>
      </w:r>
      <w:r w:rsidRPr="009A3C86">
        <w:rPr>
          <w:rFonts w:ascii="Times New Roman" w:hAnsi="Times New Roman"/>
          <w:sz w:val="24"/>
          <w:szCs w:val="24"/>
        </w:rPr>
        <w:lastRenderedPageBreak/>
        <w:t xml:space="preserve">dowodu z zeznań świadka bez wskazania, kogo i na jaką okoliczność mają przesłuchać, zasłaniając się brakiem obowiązku wskazywania takich danych. Taki sposób procedowania nie znajduje racjonalnego uzasadnienia z uwagi na obowiązującą zasadę jawności dla strony postępowania (obecnie art. 178 o.p.), w tym możliwość wglądu w akta, sporządzania notatek, odpisów oraz kopii przy wykorzystaniu własnych przenośnych urządzeń. </w:t>
      </w:r>
    </w:p>
    <w:p w:rsidR="00AB6ACC" w:rsidRPr="009A3C86" w:rsidRDefault="00AB6ACC" w:rsidP="00AB6ACC">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Dodatkowo jednak aby wprowadzone rozwiązanie nie prowadziło do wpływania na zeznania świadków proponuje się wprowadzenie </w:t>
      </w:r>
      <w:r w:rsidRPr="009A3C86">
        <w:rPr>
          <w:rFonts w:ascii="Times New Roman" w:hAnsi="Times New Roman"/>
          <w:b/>
          <w:bCs/>
          <w:sz w:val="24"/>
          <w:szCs w:val="24"/>
        </w:rPr>
        <w:t>§</w:t>
      </w:r>
      <w:r w:rsidR="00627E32" w:rsidRPr="009A3C86">
        <w:rPr>
          <w:rFonts w:ascii="Times New Roman" w:hAnsi="Times New Roman"/>
          <w:b/>
          <w:bCs/>
          <w:sz w:val="24"/>
          <w:szCs w:val="24"/>
        </w:rPr>
        <w:t xml:space="preserve"> </w:t>
      </w:r>
      <w:r w:rsidRPr="009A3C86">
        <w:rPr>
          <w:rFonts w:ascii="Times New Roman" w:hAnsi="Times New Roman"/>
          <w:b/>
          <w:bCs/>
          <w:sz w:val="24"/>
          <w:szCs w:val="24"/>
        </w:rPr>
        <w:t>3</w:t>
      </w:r>
      <w:r w:rsidRPr="009A3C86">
        <w:rPr>
          <w:rFonts w:ascii="Times New Roman" w:hAnsi="Times New Roman"/>
          <w:bCs/>
          <w:sz w:val="24"/>
          <w:szCs w:val="24"/>
        </w:rPr>
        <w:t xml:space="preserve"> w myśl którego przepisu § 2 nie stosuje się jeżeli naruszałoby to interes świadka lub prowadzonego postępowania. Dane świadka są utajnione we wszystkich dokumentach, które obejmują te dane. W założeniu instytucja ta powinna mieć charakter wyjątkowy, stosowany tylko w przypadku kiedy zachodzi podejrzenie występowania oszustw podatkowych. Korzystanie z tego wyjątku nie powinno stać się zasadą. Wynika to z całej filozofii zmiany regulacji w tym zakresie. W pierwszej bowiem kolejności chcąc uczynić sytuację procesową bardziej transparentną zdecydowano się aby w zawiadomieniu o planowanej czynności organ obligatoryjnie informował imieniu i nazwisku świadka, tak aby strona mogła podjąć decyzję czy w takim przesłuchaniu chce uczestniczyć. Wyjątek pozwalający na utajnienie danych świadka, nie ma stanowić instrumentu za pomocą którego wskazany obowiązek informacyjny będzie miał charakter pozorny, lecz powinien znajdować zastosowanie jedynie w sprawach o dużym ciężarze gatunkowym.</w:t>
      </w:r>
    </w:p>
    <w:p w:rsidR="00AB6ACC" w:rsidRPr="009A3C86" w:rsidRDefault="00AB6ACC" w:rsidP="00AB6ACC">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Jednocześnie zmodyfikowano treść </w:t>
      </w:r>
      <w:r w:rsidRPr="009A3C86">
        <w:rPr>
          <w:rFonts w:ascii="Times New Roman" w:eastAsia="Times New Roman" w:hAnsi="Times New Roman"/>
          <w:b/>
          <w:bCs/>
          <w:sz w:val="24"/>
          <w:szCs w:val="24"/>
          <w:lang w:eastAsia="pl-PL"/>
        </w:rPr>
        <w:t>§ 1</w:t>
      </w:r>
      <w:r w:rsidRPr="009A3C86">
        <w:rPr>
          <w:rFonts w:ascii="Times New Roman" w:eastAsia="Times New Roman" w:hAnsi="Times New Roman"/>
          <w:bCs/>
          <w:sz w:val="24"/>
          <w:szCs w:val="24"/>
          <w:lang w:eastAsia="pl-PL"/>
        </w:rPr>
        <w:t xml:space="preserve"> wskazując, iż strona jest zawiadamiana o miejscu i terminie przeprowadzenia dowodu przynajmniej na 7 dni roboczych. Dodatkowo chcąc uelastycznić przebieg postępowania proponuje się w § </w:t>
      </w:r>
      <w:r w:rsidR="00627E32" w:rsidRPr="009A3C86">
        <w:rPr>
          <w:rFonts w:ascii="Times New Roman" w:eastAsia="Times New Roman" w:hAnsi="Times New Roman"/>
          <w:bCs/>
          <w:sz w:val="24"/>
          <w:szCs w:val="24"/>
          <w:lang w:eastAsia="pl-PL"/>
        </w:rPr>
        <w:t>5</w:t>
      </w:r>
      <w:r w:rsidRPr="009A3C86">
        <w:rPr>
          <w:rFonts w:ascii="Times New Roman" w:eastAsia="Times New Roman" w:hAnsi="Times New Roman"/>
          <w:bCs/>
          <w:sz w:val="24"/>
          <w:szCs w:val="24"/>
          <w:lang w:eastAsia="pl-PL"/>
        </w:rPr>
        <w:t xml:space="preserve"> wprowadzenie możliwości odstąpienia od sztywnego informowania z 7 dniowym wyprzedzeniem o zaplanowanej czynności jeżeli świadek, biegły oraz strona wyrażą zgodę na inny termin przesłuchania.</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386</w:t>
      </w:r>
      <w:r w:rsidRPr="009A3C86">
        <w:rPr>
          <w:rFonts w:ascii="Times New Roman" w:hAnsi="Times New Roman"/>
          <w:sz w:val="24"/>
          <w:szCs w:val="24"/>
        </w:rPr>
        <w:t xml:space="preserve"> jest odpowiednikiem obecnego art. 191 o.p.</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387</w:t>
      </w:r>
      <w:r w:rsidRPr="009A3C86">
        <w:rPr>
          <w:rFonts w:ascii="Times New Roman" w:hAnsi="Times New Roman"/>
          <w:sz w:val="24"/>
          <w:szCs w:val="24"/>
        </w:rPr>
        <w:t xml:space="preserve"> jest odpowiednikiem obecnego art. 192 o.p.</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388</w:t>
      </w:r>
      <w:r w:rsidRPr="009A3C86">
        <w:rPr>
          <w:rFonts w:ascii="Times New Roman" w:hAnsi="Times New Roman"/>
          <w:sz w:val="24"/>
          <w:szCs w:val="24"/>
        </w:rPr>
        <w:t xml:space="preserve"> jest odpowiednikiem obecnego art. 199a o.p.</w:t>
      </w:r>
    </w:p>
    <w:p w:rsidR="00AB6ACC" w:rsidRPr="009A3C86" w:rsidRDefault="00AB6ACC" w:rsidP="00AB6ACC">
      <w:pPr>
        <w:spacing w:after="0" w:line="360" w:lineRule="auto"/>
        <w:jc w:val="both"/>
        <w:rPr>
          <w:rFonts w:ascii="Times New Roman" w:hAnsi="Times New Roman"/>
          <w:sz w:val="24"/>
          <w:szCs w:val="24"/>
          <w:lang w:eastAsia="pl-PL"/>
        </w:rPr>
      </w:pPr>
      <w:r w:rsidRPr="009A3C86">
        <w:rPr>
          <w:rFonts w:ascii="Times New Roman" w:hAnsi="Times New Roman"/>
          <w:b/>
          <w:sz w:val="24"/>
          <w:szCs w:val="24"/>
        </w:rPr>
        <w:t xml:space="preserve">Art. </w:t>
      </w:r>
      <w:r w:rsidR="007E2E0B" w:rsidRPr="009A3C86">
        <w:rPr>
          <w:rFonts w:ascii="Times New Roman" w:hAnsi="Times New Roman"/>
          <w:b/>
          <w:sz w:val="24"/>
          <w:szCs w:val="24"/>
        </w:rPr>
        <w:t>389</w:t>
      </w:r>
      <w:r w:rsidRPr="009A3C86">
        <w:rPr>
          <w:rFonts w:ascii="Times New Roman" w:hAnsi="Times New Roman"/>
          <w:sz w:val="24"/>
          <w:szCs w:val="24"/>
        </w:rPr>
        <w:t xml:space="preserve"> jest odpowiednikiem obecnego art. 200 o.p. z pewną jednak istotną modyfikacją. W tym zakresie należy zauważyć, iż na gruncie art. 200 o.p. (po istotnych jego zmianach związanych z wprowadzeniem klauzuli, a następnie istotnym jej zmodyfikowaniem ustawą z dnia 23.10.2018 r.) możliwość dokonywania korekty deklaracji w toku postępowania podatkowego była instytucją wyjątkową przewidzianą jedynie w przypadku zastosowania klauzuli unikania opodatkowania. Przepis art. </w:t>
      </w:r>
      <w:r w:rsidR="007E2E0B" w:rsidRPr="009A3C86">
        <w:rPr>
          <w:rFonts w:ascii="Times New Roman" w:hAnsi="Times New Roman"/>
          <w:sz w:val="24"/>
          <w:szCs w:val="24"/>
        </w:rPr>
        <w:t>389</w:t>
      </w:r>
      <w:r w:rsidRPr="009A3C86">
        <w:rPr>
          <w:rFonts w:ascii="Times New Roman" w:hAnsi="Times New Roman"/>
          <w:sz w:val="24"/>
          <w:szCs w:val="24"/>
        </w:rPr>
        <w:t xml:space="preserve"> w zakresie możliwości wypowiedzenia się w sprawie materiału dowodowego w istotny sposób zmienia uprawnienia podatnika w zakresie korekty. Tak jak dotychczas organ podatkowy będzie zawiadamiał podatnika o możliwości </w:t>
      </w:r>
      <w:r w:rsidRPr="009A3C86">
        <w:rPr>
          <w:rFonts w:ascii="Times New Roman" w:hAnsi="Times New Roman"/>
          <w:sz w:val="24"/>
          <w:szCs w:val="24"/>
        </w:rPr>
        <w:lastRenderedPageBreak/>
        <w:t xml:space="preserve">wypowiedzenia się w sprawie materiału dowodowego a jednocześnie na tym etapie postępowania zagwarantowano w każdym postępowaniu a nie tylko związanym z zastosowaniem klauzuli możliwość skorygowania deklaracji. Zmiana związana jest z wprowadzeniem jako zasady możliwości dobrowolnego skorygowania złożonej deklaracji podatkowej celem usunięcia ujawnionych w wyniku przeprowadzonego postępowania nieprawidłowości przed wydaniem decyzji przez organ podatkowy aby ten instrument mógł być realnie wykorzystywany przez podatników wymagała nałożenia na organ obowiązku przekazywania informacji i stwierdzonych w toku postępowania nieprawidłowościach.  </w:t>
      </w:r>
      <w:r w:rsidRPr="009A3C86">
        <w:rPr>
          <w:rFonts w:ascii="Times New Roman" w:hAnsi="Times New Roman"/>
          <w:sz w:val="24"/>
          <w:szCs w:val="24"/>
          <w:lang w:eastAsia="pl-PL"/>
        </w:rPr>
        <w:t>Przepisy ordynacji podatkowej w dotychczasowym kształcie (art. 200) nie nakładały na organy podatkowe obowiązku przedstawienia pisemnej oceny prawnej zgromadzonego w sprawie materiału dowodowego</w:t>
      </w:r>
      <w:r w:rsidRPr="009A3C86">
        <w:rPr>
          <w:rFonts w:ascii="Times New Roman" w:hAnsi="Times New Roman"/>
          <w:sz w:val="24"/>
          <w:szCs w:val="24"/>
          <w:vertAlign w:val="superscript"/>
          <w:lang w:eastAsia="pl-PL"/>
        </w:rPr>
        <w:footnoteReference w:id="414"/>
      </w:r>
      <w:r w:rsidRPr="009A3C86">
        <w:rPr>
          <w:rFonts w:ascii="Times New Roman" w:hAnsi="Times New Roman"/>
          <w:sz w:val="24"/>
          <w:szCs w:val="24"/>
          <w:lang w:eastAsia="pl-PL"/>
        </w:rPr>
        <w:t>, ani przesłanek przyszłego rozstrzygnięcia</w:t>
      </w:r>
      <w:r w:rsidRPr="009A3C86">
        <w:rPr>
          <w:rFonts w:ascii="Times New Roman" w:hAnsi="Times New Roman"/>
          <w:sz w:val="24"/>
          <w:szCs w:val="24"/>
          <w:vertAlign w:val="superscript"/>
          <w:lang w:eastAsia="pl-PL"/>
        </w:rPr>
        <w:footnoteReference w:id="415"/>
      </w:r>
      <w:r w:rsidRPr="009A3C86">
        <w:rPr>
          <w:rFonts w:ascii="Times New Roman" w:hAnsi="Times New Roman"/>
          <w:sz w:val="24"/>
          <w:szCs w:val="24"/>
          <w:lang w:eastAsia="pl-PL"/>
        </w:rPr>
        <w:t>, co jak podkreślano w literaturze w praktyce osłabiało samo gwarancyjne znaczenie tego unormowania</w:t>
      </w:r>
      <w:r w:rsidRPr="009A3C86">
        <w:rPr>
          <w:rFonts w:ascii="Times New Roman" w:hAnsi="Times New Roman"/>
          <w:sz w:val="24"/>
          <w:szCs w:val="24"/>
          <w:vertAlign w:val="superscript"/>
          <w:lang w:eastAsia="pl-PL"/>
        </w:rPr>
        <w:footnoteReference w:id="416"/>
      </w:r>
      <w:r w:rsidRPr="009A3C86">
        <w:rPr>
          <w:rFonts w:ascii="Times New Roman" w:hAnsi="Times New Roman"/>
          <w:sz w:val="24"/>
          <w:szCs w:val="24"/>
          <w:lang w:eastAsia="pl-PL"/>
        </w:rPr>
        <w:t>. Wprowadzenie tego obowiązku jako zasady skorelowane z prawem do dokonania korekty w każdej sprawie jest rozwiązaniem które może jawić się jako atrakcyjne dla stron postępowania w kontekście ewentualnego zakończenia sporu podatkowego oraz wyeliminowania konsekwencji karnych z tytułu uszczupleń podatkowych. Wydaje się ono również pożądane z uwagi na wzgląd na ekonomikę prowadzonych postępowań.</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lang w:eastAsia="pl-PL"/>
        </w:rPr>
        <w:t xml:space="preserve">Niezależnie od generalnej zasady art. </w:t>
      </w:r>
      <w:r w:rsidR="007E2E0B" w:rsidRPr="009A3C86">
        <w:rPr>
          <w:rFonts w:ascii="Times New Roman" w:hAnsi="Times New Roman"/>
          <w:sz w:val="24"/>
          <w:szCs w:val="24"/>
          <w:lang w:eastAsia="pl-PL"/>
        </w:rPr>
        <w:t>389</w:t>
      </w:r>
      <w:r w:rsidRPr="009A3C86">
        <w:rPr>
          <w:rFonts w:ascii="Times New Roman" w:hAnsi="Times New Roman"/>
          <w:sz w:val="24"/>
          <w:szCs w:val="24"/>
          <w:lang w:eastAsia="pl-PL"/>
        </w:rPr>
        <w:t xml:space="preserve"> wprowadza rozbudowana procedurę związaną z prawem do wypowiedzenia się w sprawie materiału dowodowego oraz prawem dokonania korekty w przypadku postępowania klauzulowego. Regulacje te stanowią odwzorowanie przepisów art. 200 </w:t>
      </w:r>
      <w:r w:rsidRPr="009A3C86">
        <w:rPr>
          <w:rFonts w:ascii="Times New Roman" w:hAnsi="Times New Roman"/>
          <w:sz w:val="24"/>
          <w:szCs w:val="24"/>
        </w:rPr>
        <w:t xml:space="preserve">§ 3 – 5, w kształcie nadanym ustawą z 23.10.2018 roku. W istotnym zakresie przepisy art. </w:t>
      </w:r>
      <w:r w:rsidR="007E2E0B" w:rsidRPr="009A3C86">
        <w:rPr>
          <w:rFonts w:ascii="Times New Roman" w:hAnsi="Times New Roman"/>
          <w:sz w:val="24"/>
          <w:szCs w:val="24"/>
        </w:rPr>
        <w:t xml:space="preserve">389 </w:t>
      </w:r>
      <w:r w:rsidRPr="009A3C86">
        <w:rPr>
          <w:rFonts w:ascii="Times New Roman" w:hAnsi="Times New Roman"/>
          <w:sz w:val="24"/>
          <w:szCs w:val="24"/>
        </w:rPr>
        <w:t xml:space="preserve">są skorelowane z przepisami normującymi zasady dokonywania korekty deklaracji tj. art. </w:t>
      </w:r>
      <w:r w:rsidR="007E2E0B" w:rsidRPr="009A3C86">
        <w:rPr>
          <w:rFonts w:ascii="Times New Roman" w:hAnsi="Times New Roman"/>
          <w:sz w:val="24"/>
          <w:szCs w:val="24"/>
        </w:rPr>
        <w:t>138</w:t>
      </w:r>
      <w:r w:rsidRPr="009A3C86">
        <w:rPr>
          <w:rFonts w:ascii="Times New Roman" w:hAnsi="Times New Roman"/>
          <w:sz w:val="24"/>
          <w:szCs w:val="24"/>
        </w:rPr>
        <w:t xml:space="preserve"> –</w:t>
      </w:r>
      <w:r w:rsidR="007E2E0B" w:rsidRPr="009A3C86">
        <w:rPr>
          <w:rFonts w:ascii="Times New Roman" w:hAnsi="Times New Roman"/>
          <w:sz w:val="24"/>
          <w:szCs w:val="24"/>
        </w:rPr>
        <w:t>140</w:t>
      </w:r>
      <w:r w:rsidRPr="009A3C86">
        <w:rPr>
          <w:rFonts w:ascii="Times New Roman" w:hAnsi="Times New Roman"/>
          <w:sz w:val="24"/>
          <w:szCs w:val="24"/>
        </w:rPr>
        <w:t>.</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4. Proponowane w nowej ordynacji podatkowej rozwiązania zawarte w oddziale 2 zatytułowanym „Księgi podatkowe” zostały zaczerpnięte z aktualnie obowiązujących regulacji prawnych. Wprowadzone zmiany stanowią jedynie usystematyzowanie istniejących do tej pory przepisów.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390</w:t>
      </w:r>
      <w:r w:rsidRPr="009A3C86">
        <w:rPr>
          <w:rFonts w:ascii="Times New Roman" w:hAnsi="Times New Roman"/>
          <w:sz w:val="24"/>
          <w:szCs w:val="24"/>
        </w:rPr>
        <w:t xml:space="preserve"> jest odpowiednikiem art. 193 o.p.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391</w:t>
      </w:r>
      <w:r w:rsidRPr="009A3C86">
        <w:rPr>
          <w:rFonts w:ascii="Times New Roman" w:hAnsi="Times New Roman"/>
          <w:sz w:val="24"/>
          <w:szCs w:val="24"/>
        </w:rPr>
        <w:t xml:space="preserve"> jest odpowiednikiem art. 193a o.p. z drobnymi modyfikacjami wynikającymi ze sposobu zredagowania </w:t>
      </w:r>
      <w:r w:rsidRPr="009A3C86">
        <w:rPr>
          <w:rFonts w:ascii="Times New Roman" w:hAnsi="Times New Roman"/>
          <w:b/>
          <w:sz w:val="24"/>
          <w:szCs w:val="24"/>
        </w:rPr>
        <w:t>§ 2</w:t>
      </w:r>
      <w:r w:rsidRPr="009A3C86">
        <w:rPr>
          <w:rFonts w:ascii="Times New Roman" w:hAnsi="Times New Roman"/>
          <w:sz w:val="24"/>
          <w:szCs w:val="24"/>
        </w:rPr>
        <w:t xml:space="preserve"> (syntetyzującego dotychczasowy art. 193a § 2 i 3 o.p.).</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5. W oddziale 3 zatytułowanym „Przesłuchania” zawarto unormowania wynikające z dotychczasowych rozwiązań przewidzianych na gruncie ordynacji podatkowej z pewnymi modyfikacjami.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392</w:t>
      </w:r>
      <w:r w:rsidRPr="009A3C86">
        <w:rPr>
          <w:rFonts w:ascii="Times New Roman" w:hAnsi="Times New Roman"/>
          <w:sz w:val="24"/>
          <w:szCs w:val="24"/>
        </w:rPr>
        <w:t xml:space="preserve"> przewiduje zasady wynikające z dotychczasowego brzmienia art. 196 o.p. odnoszącego się do odmowy składania zeznań. W tym zakresie prawo odmowy składania zeznań rozszerzono na powinowatych do drugiego stopnia, jak również osoby pozostającej ze stroną w faktycznym pożyciu. Nowością względem dotychczasowej regulacji jest dodany </w:t>
      </w:r>
      <w:r w:rsidRPr="009A3C86">
        <w:rPr>
          <w:rFonts w:ascii="Times New Roman" w:hAnsi="Times New Roman"/>
          <w:b/>
          <w:sz w:val="24"/>
          <w:szCs w:val="24"/>
        </w:rPr>
        <w:t>§ 4</w:t>
      </w:r>
      <w:r w:rsidRPr="009A3C86">
        <w:rPr>
          <w:rFonts w:ascii="Times New Roman" w:hAnsi="Times New Roman"/>
          <w:sz w:val="24"/>
          <w:szCs w:val="24"/>
        </w:rPr>
        <w:t>, zapobiegający zastępowaniu czynności przeprowadzenia dowodu ze źródeł osobowych wezwaniem do przedłożenia wyjaśnień przez świadka. Przepis wprowadza zasadę uniemożliwiającą zastępowanie dowodów pierwotnych jakimi są zeznania świadka dowodami pochodnymi, takimi jak wyjaśnienia na piśmie. Ponadto istotne jest również, że podczas przesłuchania można zadawać świadkowi pytania, które pomogą ustalić stan faktyczny sprawy. Odstępstwo od tej reguły będzie dopuszczalne tylko wtedy gdy strona wyrazi na to zgodę.</w:t>
      </w:r>
    </w:p>
    <w:p w:rsidR="00AB6ACC" w:rsidRPr="009A3C86" w:rsidRDefault="00AB6ACC" w:rsidP="00AB6ACC">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W </w:t>
      </w:r>
      <w:r w:rsidRPr="009A3C86">
        <w:rPr>
          <w:rFonts w:ascii="Times New Roman" w:eastAsia="Times New Roman" w:hAnsi="Times New Roman"/>
          <w:b/>
          <w:bCs/>
          <w:sz w:val="24"/>
          <w:szCs w:val="24"/>
          <w:lang w:eastAsia="pl-PL"/>
        </w:rPr>
        <w:t>§ 5</w:t>
      </w:r>
      <w:r w:rsidRPr="009A3C86">
        <w:rPr>
          <w:rFonts w:ascii="Times New Roman" w:eastAsia="Times New Roman" w:hAnsi="Times New Roman"/>
          <w:bCs/>
          <w:sz w:val="24"/>
          <w:szCs w:val="24"/>
          <w:lang w:eastAsia="pl-PL"/>
        </w:rPr>
        <w:t xml:space="preserve"> doprecyzowano sytuację gdy organ przesłuchuje osobę nieposługującą się językiem polskim. W przypadku przesłuchania osoby, która składa zeznania w języku obcym przepisy art. </w:t>
      </w:r>
      <w:r w:rsidR="007E2E0B" w:rsidRPr="009A3C86">
        <w:rPr>
          <w:rFonts w:ascii="Times New Roman" w:eastAsia="Times New Roman" w:hAnsi="Times New Roman"/>
          <w:bCs/>
          <w:sz w:val="24"/>
          <w:szCs w:val="24"/>
          <w:lang w:eastAsia="pl-PL"/>
        </w:rPr>
        <w:t>396</w:t>
      </w:r>
      <w:r w:rsidRPr="009A3C86">
        <w:rPr>
          <w:rFonts w:ascii="Times New Roman" w:eastAsia="Times New Roman" w:hAnsi="Times New Roman"/>
          <w:bCs/>
          <w:sz w:val="24"/>
          <w:szCs w:val="24"/>
          <w:lang w:eastAsia="pl-PL"/>
        </w:rPr>
        <w:t xml:space="preserve">  § 3 i 4 stosuje się odpowiednio. Tym samym, w takiej sytuacji przebieg przesłuchania utrwala się za pomocą urządzenia rejestrującego obraz i dźwięk. Z przesłuchania sporządza się protokół, którego treść ograniczona jest do zapisu najbardziej istotnych oświadczeń osób biorących w nim udział. Zapis obrazu i dźwięku stanowią załącznik do protokołu.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393</w:t>
      </w:r>
      <w:r w:rsidRPr="009A3C86">
        <w:rPr>
          <w:rFonts w:ascii="Times New Roman" w:hAnsi="Times New Roman"/>
          <w:sz w:val="24"/>
          <w:szCs w:val="24"/>
        </w:rPr>
        <w:t xml:space="preserve"> zawiera dotychczasowe rozwiązanie odnoszące się do bezwzględnego zakazu przesłuchiwania niektórych osób w charakterze świadków, znane z aktualnie obowiązującego art. 195 o.p. Modyfikacja w tym zakresie dotyczy rozszerzenia katalogu dotychczasowych podmiotów o osobę mediatora w ściśle określonych przypadkach.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7E2E0B" w:rsidRPr="009A3C86">
        <w:rPr>
          <w:rFonts w:ascii="Times New Roman" w:hAnsi="Times New Roman"/>
          <w:b/>
          <w:sz w:val="24"/>
          <w:szCs w:val="24"/>
        </w:rPr>
        <w:t>394</w:t>
      </w:r>
      <w:r w:rsidRPr="009A3C86">
        <w:rPr>
          <w:rFonts w:ascii="Times New Roman" w:hAnsi="Times New Roman"/>
          <w:sz w:val="24"/>
          <w:szCs w:val="24"/>
        </w:rPr>
        <w:t xml:space="preserve"> zawiera rozwiązanie tożsame z obowiązującym art. 199 o.p. w zakresie wyrażenia zgody jako warunku koniecznego na przesłuchanie strony.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Nowość w porównaniu do dotychczasowych regulacji prawnych stanowi proponowana treść </w:t>
      </w:r>
      <w:r w:rsidRPr="009A3C86">
        <w:rPr>
          <w:rFonts w:ascii="Times New Roman" w:hAnsi="Times New Roman"/>
          <w:b/>
          <w:sz w:val="24"/>
          <w:szCs w:val="24"/>
        </w:rPr>
        <w:t xml:space="preserve">art. </w:t>
      </w:r>
      <w:r w:rsidR="007E2E0B" w:rsidRPr="009A3C86">
        <w:rPr>
          <w:rFonts w:ascii="Times New Roman" w:hAnsi="Times New Roman"/>
          <w:b/>
          <w:sz w:val="24"/>
          <w:szCs w:val="24"/>
        </w:rPr>
        <w:t>395</w:t>
      </w:r>
      <w:r w:rsidRPr="009A3C86">
        <w:rPr>
          <w:rFonts w:ascii="Times New Roman" w:hAnsi="Times New Roman"/>
          <w:sz w:val="24"/>
          <w:szCs w:val="24"/>
        </w:rPr>
        <w:t xml:space="preserve"> odnosząca się do możliwości dokonywania konfrontacji w ramach czynności przesłuchania. Obecnie istnieją poważne wątpliwości co do dopuszczalności łącznego przesłuchania świadków albo świadka i strony na te same okoliczności faktyczne sprawy. Wprowadza się zatem możliwość łącznego przesłuchania (</w:t>
      </w:r>
      <w:r w:rsidRPr="009A3C86">
        <w:rPr>
          <w:rFonts w:ascii="Times New Roman" w:hAnsi="Times New Roman"/>
          <w:bCs/>
          <w:iCs/>
          <w:sz w:val="24"/>
          <w:szCs w:val="24"/>
        </w:rPr>
        <w:t>konfrontacji) świadków lub strony, która wcześniej była przesłuchiwana. Proponowane rozwiązanie z</w:t>
      </w:r>
      <w:r w:rsidRPr="009A3C86">
        <w:rPr>
          <w:rFonts w:ascii="Times New Roman" w:hAnsi="Times New Roman"/>
          <w:sz w:val="24"/>
          <w:szCs w:val="24"/>
        </w:rPr>
        <w:t xml:space="preserve">większy wiarygodność dowodów z przesłuchania, zmniejszy koszty postępowania i uciążliwości związane z udziałem strony w toku odrębnie dokonywanych czynności. Powyższe rozwiązanie ma na celu </w:t>
      </w:r>
      <w:r w:rsidRPr="009A3C86">
        <w:rPr>
          <w:rFonts w:ascii="Times New Roman" w:hAnsi="Times New Roman"/>
          <w:sz w:val="24"/>
          <w:szCs w:val="24"/>
        </w:rPr>
        <w:lastRenderedPageBreak/>
        <w:t>zwiększenie efektywności postępowania dowodowego poprzez bieżące ustalenie rozbieżności w wypowiedziach i ich ewentualne usunięcie w toku podejmowanej czynności.</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Protokół konfrontacji zawiera w szczególności wskazanie celu czynności i okoliczności, których dotyczą sprzeczności, w tym przytoczenie odpowiednich fragmentów rozbieżnych zeznań, wyjaśnień bądź opinii i ustosunkowanie się osób konfrontowanych do tych sprzeczności (</w:t>
      </w:r>
      <w:r w:rsidRPr="009A3C86">
        <w:rPr>
          <w:rFonts w:ascii="Times New Roman" w:hAnsi="Times New Roman"/>
          <w:b/>
          <w:sz w:val="24"/>
          <w:szCs w:val="24"/>
        </w:rPr>
        <w:t xml:space="preserve">art. </w:t>
      </w:r>
      <w:r w:rsidR="00034331" w:rsidRPr="009A3C86">
        <w:rPr>
          <w:rFonts w:ascii="Times New Roman" w:hAnsi="Times New Roman"/>
          <w:b/>
          <w:sz w:val="24"/>
          <w:szCs w:val="24"/>
        </w:rPr>
        <w:t>395</w:t>
      </w:r>
      <w:r w:rsidRPr="009A3C86">
        <w:rPr>
          <w:rFonts w:ascii="Times New Roman" w:hAnsi="Times New Roman"/>
          <w:b/>
          <w:sz w:val="24"/>
          <w:szCs w:val="24"/>
        </w:rPr>
        <w:t xml:space="preserve"> § 2</w:t>
      </w:r>
      <w:r w:rsidRPr="009A3C86">
        <w:rPr>
          <w:rFonts w:ascii="Times New Roman" w:hAnsi="Times New Roman"/>
          <w:sz w:val="24"/>
          <w:szCs w:val="24"/>
        </w:rPr>
        <w:t xml:space="preserve">).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Kolejną zmianę w stosunku do dotychczasowych regulacji stanowi proponowana treść </w:t>
      </w:r>
      <w:r w:rsidRPr="009A3C86">
        <w:rPr>
          <w:rFonts w:ascii="Times New Roman" w:hAnsi="Times New Roman"/>
          <w:b/>
          <w:sz w:val="24"/>
          <w:szCs w:val="24"/>
        </w:rPr>
        <w:t xml:space="preserve">art. </w:t>
      </w:r>
      <w:r w:rsidR="00034331" w:rsidRPr="009A3C86">
        <w:rPr>
          <w:rFonts w:ascii="Times New Roman" w:hAnsi="Times New Roman"/>
          <w:b/>
          <w:sz w:val="24"/>
          <w:szCs w:val="24"/>
        </w:rPr>
        <w:t>396</w:t>
      </w:r>
      <w:r w:rsidRPr="009A3C86">
        <w:rPr>
          <w:rFonts w:ascii="Times New Roman" w:hAnsi="Times New Roman"/>
          <w:sz w:val="24"/>
          <w:szCs w:val="24"/>
        </w:rPr>
        <w:t xml:space="preserve"> dotycząca możliwości przeprowadzenia przesłuchania na odległość, za pomocą dostępnych technik audiowizualnych. W tym aspekcie proponuje się dopuszczenie stosowania nowoczesnych technik umożliwiających bezpośredni przekaz obrazu i dźwięku w trakcie przeprowadzania czynności przesłuchania strony, świadka lub biegłego na odległość przez organ podatkowy (</w:t>
      </w:r>
      <w:r w:rsidRPr="009A3C86">
        <w:rPr>
          <w:rFonts w:ascii="Times New Roman" w:hAnsi="Times New Roman"/>
          <w:b/>
          <w:sz w:val="24"/>
          <w:szCs w:val="24"/>
        </w:rPr>
        <w:t>§ 1</w:t>
      </w:r>
      <w:r w:rsidRPr="009A3C86">
        <w:rPr>
          <w:rFonts w:ascii="Times New Roman" w:hAnsi="Times New Roman"/>
          <w:sz w:val="24"/>
          <w:szCs w:val="24"/>
        </w:rPr>
        <w:t>). Powyższe pozwoli na zaoszczędzenie czasu związanego z prowadzonymi czynnościami przesłuchania, w sytuacji gdy miejsce zamieszkania osoby przesłuchiwanej pozostaje znacznie oddalone od miejsca siedziby organu prowadzącego postępowanie. W przeprowadzanej czynności przesłuchania brać będzie udział pracownik organu właściwego dla miejscowości, w której przesłuchiwana osoba przebywa (</w:t>
      </w:r>
      <w:r w:rsidRPr="009A3C86">
        <w:rPr>
          <w:rFonts w:ascii="Times New Roman" w:hAnsi="Times New Roman"/>
          <w:b/>
          <w:sz w:val="24"/>
          <w:szCs w:val="24"/>
        </w:rPr>
        <w:t>§ 2</w:t>
      </w:r>
      <w:r w:rsidRPr="009A3C86">
        <w:rPr>
          <w:rFonts w:ascii="Times New Roman" w:hAnsi="Times New Roman"/>
          <w:sz w:val="24"/>
          <w:szCs w:val="24"/>
        </w:rPr>
        <w:t>). Nadto proponuje się wprowadzenie obligatoryjnego utrwalania czynności przesłuchania za pomocą urządzenia rejestrującego obraz i dźwięk (</w:t>
      </w:r>
      <w:r w:rsidRPr="009A3C86">
        <w:rPr>
          <w:rFonts w:ascii="Times New Roman" w:hAnsi="Times New Roman"/>
          <w:b/>
          <w:sz w:val="24"/>
          <w:szCs w:val="24"/>
        </w:rPr>
        <w:t>§ 3</w:t>
      </w:r>
      <w:r w:rsidRPr="009A3C86">
        <w:rPr>
          <w:rFonts w:ascii="Times New Roman" w:hAnsi="Times New Roman"/>
          <w:sz w:val="24"/>
          <w:szCs w:val="24"/>
        </w:rPr>
        <w:t>). Proponowane rozwiązanie przyczyni się do zwiększenia wiarygodności przeprowadzonego dowodu oraz wierniej oddawać będzie przebieg czynności, co pozwoli na obiektywizację oceny prawidłowości jej dokonania i zwiększy efektywność działania organu podatkowego. Sporządzony z czynności przesłuchania protokół stanowić będzie uzupełnienie utrwalonego za pośrednictwem technik rejestrowania obrazu i dźwięku dowodu, wobec czego jego treść ograniczona zostanie jedynie do zapisu najistotniejszych oświadczeń osób biorących udział w przeprowadzonej czynności. Zapis utrwalający dokonane czynności będzie stanowił załącznik do protokołu (</w:t>
      </w:r>
      <w:r w:rsidRPr="009A3C86">
        <w:rPr>
          <w:rFonts w:ascii="Times New Roman" w:hAnsi="Times New Roman"/>
          <w:b/>
          <w:sz w:val="24"/>
          <w:szCs w:val="24"/>
        </w:rPr>
        <w:t>§ 4</w:t>
      </w:r>
      <w:r w:rsidRPr="009A3C86">
        <w:rPr>
          <w:rFonts w:ascii="Times New Roman" w:hAnsi="Times New Roman"/>
          <w:sz w:val="24"/>
          <w:szCs w:val="24"/>
        </w:rPr>
        <w:t>). Wprowadzono upoważnienie dla ministra właściwego do spraw finansów publicznych, by w porozumieniu z Ministrem Sprawiedliwości określił rodzaj urządzeń i środków technicznych służących do utrwalania obrazu lub dźwięku (</w:t>
      </w:r>
      <w:r w:rsidRPr="009A3C86">
        <w:rPr>
          <w:rFonts w:ascii="Times New Roman" w:hAnsi="Times New Roman"/>
          <w:b/>
          <w:sz w:val="24"/>
          <w:szCs w:val="24"/>
        </w:rPr>
        <w:t>§ 5</w:t>
      </w:r>
      <w:r w:rsidRPr="009A3C86">
        <w:rPr>
          <w:rFonts w:ascii="Times New Roman" w:hAnsi="Times New Roman"/>
          <w:sz w:val="24"/>
          <w:szCs w:val="24"/>
        </w:rPr>
        <w:t>). Wydając rozporządzenie, minister powinien kierować się koniecznością właściwego zabezpieczenia utrwalonego obrazu lub dźwięku przed utratą dok, jego zniekształceniem lub nieuprawnionym ujawnieniem. Współuczestnictwo Ministra Sprawiedliwości w wydaniu rozporządzeń jest konieczne ze względu na zachowanie możliwości wykorzystania tak utrwalonych dowodów w postępowaniach karnych i karnych skarbowych, oraz ich zabezpieczenie przed utratą dowodu, jego zniekształceniem lub nieuprawnionym ujawnieniem.</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7. W oddziale 4 „Biegły” na kanwie dotychczasowych rozwiązań zaproponowane zostały nowe regulacje stanowiące rozwinięcie aktualnych unormowań związanych z koniecznością zasięgnięcia fachowej wiedzy oraz dokonania określonej czynności w ramach prowadzonego postępowania.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proponowanym </w:t>
      </w:r>
      <w:r w:rsidRPr="009A3C86">
        <w:rPr>
          <w:rFonts w:ascii="Times New Roman" w:hAnsi="Times New Roman"/>
          <w:b/>
          <w:sz w:val="24"/>
          <w:szCs w:val="24"/>
        </w:rPr>
        <w:t xml:space="preserve">art. </w:t>
      </w:r>
      <w:r w:rsidR="00034331" w:rsidRPr="009A3C86">
        <w:rPr>
          <w:rFonts w:ascii="Times New Roman" w:hAnsi="Times New Roman"/>
          <w:b/>
          <w:sz w:val="24"/>
          <w:szCs w:val="24"/>
        </w:rPr>
        <w:t>397</w:t>
      </w:r>
      <w:r w:rsidRPr="009A3C86">
        <w:rPr>
          <w:rFonts w:ascii="Times New Roman" w:hAnsi="Times New Roman"/>
          <w:sz w:val="24"/>
          <w:szCs w:val="24"/>
        </w:rPr>
        <w:t xml:space="preserve"> zachowano możliwość przeprowadzenia dowodu z opinii biegłego przez organ podatkowy w przypadku konieczności skorzystania z wiadomości specjalnych w toku postępowania, co stanowi odpowiednik dotychczasowego art. 197 o.p.</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Nowością w tym zakresie jest dodany </w:t>
      </w:r>
      <w:r w:rsidRPr="009A3C86">
        <w:rPr>
          <w:rFonts w:ascii="Times New Roman" w:hAnsi="Times New Roman"/>
          <w:b/>
          <w:sz w:val="24"/>
          <w:szCs w:val="24"/>
        </w:rPr>
        <w:t>§ 3</w:t>
      </w:r>
      <w:r w:rsidRPr="009A3C86">
        <w:rPr>
          <w:rFonts w:ascii="Times New Roman" w:hAnsi="Times New Roman"/>
          <w:sz w:val="24"/>
          <w:szCs w:val="24"/>
        </w:rPr>
        <w:t xml:space="preserve">, na podstawie którego w formie postanowienia organ będzie orzekał o przeprowadzeniu dowodu z opinii biegłego wraz ze wskazaniem: </w:t>
      </w:r>
      <w:r w:rsidRPr="009A3C86">
        <w:rPr>
          <w:rFonts w:ascii="Times New Roman" w:eastAsia="MS ??" w:hAnsi="Times New Roman"/>
          <w:sz w:val="24"/>
          <w:szCs w:val="24"/>
          <w:lang w:eastAsia="pl-PL"/>
        </w:rPr>
        <w:t>specjalność i wykształcenia biegłego,</w:t>
      </w:r>
      <w:r w:rsidRPr="009A3C86">
        <w:rPr>
          <w:rFonts w:ascii="Times New Roman" w:hAnsi="Times New Roman"/>
          <w:sz w:val="24"/>
          <w:szCs w:val="24"/>
        </w:rPr>
        <w:t xml:space="preserve"> </w:t>
      </w:r>
      <w:r w:rsidRPr="009A3C86">
        <w:rPr>
          <w:rFonts w:ascii="Times New Roman" w:eastAsia="MS ??" w:hAnsi="Times New Roman"/>
          <w:sz w:val="24"/>
          <w:szCs w:val="24"/>
          <w:lang w:eastAsia="pl-PL"/>
        </w:rPr>
        <w:t>przedmiotu i zakresu opinii ze sformułowaniem, w miarę potrzeby pytań oraz termin sporządzenia opinii.</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Nadto na podstawie </w:t>
      </w:r>
      <w:r w:rsidRPr="009A3C86">
        <w:rPr>
          <w:rFonts w:ascii="Times New Roman" w:hAnsi="Times New Roman"/>
          <w:b/>
          <w:sz w:val="24"/>
          <w:szCs w:val="24"/>
        </w:rPr>
        <w:t>§ 4</w:t>
      </w:r>
      <w:r w:rsidRPr="009A3C86">
        <w:rPr>
          <w:rFonts w:ascii="Times New Roman" w:hAnsi="Times New Roman"/>
          <w:sz w:val="24"/>
          <w:szCs w:val="24"/>
        </w:rPr>
        <w:t xml:space="preserve"> przewidziano możliwość udostępnienia biegłemu akt sprawy w zakresie niezbędnym dla wydania opinii z jednoczesnym umożliwieniem jego wezwania do udziału w przeprowadzeniu dowodu. Powyższa zmiana ma na celu zapewnienie biegłemu dostępu do akt, w przypadku gdy wymagane są wiadomości specjalne, które mogą przyczynić się do wyjaśnienia okoliczności danej sprawy. Jednocześnie organ podatkowy powinien mieć możliwość wezwania biegłego do udziału w przeprowadzeniu dowodu w związku z koniecznością zasięgnięcia wiadomości specjalnych, w których jest posiadaniu, szczególnie przy dokonywaniu oględzin.</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Kolejną zmianę stanowi dodany </w:t>
      </w:r>
      <w:r w:rsidRPr="009A3C86">
        <w:rPr>
          <w:rFonts w:ascii="Times New Roman" w:hAnsi="Times New Roman"/>
          <w:b/>
          <w:sz w:val="24"/>
          <w:szCs w:val="24"/>
        </w:rPr>
        <w:t>§ 5</w:t>
      </w:r>
      <w:r w:rsidRPr="009A3C86">
        <w:rPr>
          <w:rFonts w:ascii="Times New Roman" w:hAnsi="Times New Roman"/>
          <w:sz w:val="24"/>
          <w:szCs w:val="24"/>
        </w:rPr>
        <w:t xml:space="preserve"> umożliwiający organowi podatkowemu w razie zaistnienia sprzeczności lub niejasności w opinii ponownego skonfrontowania jej treści w ramach złożenia wyjaśnień, przeprowadzenia opinii uzupełniającej lub powołania innych biegłych.</w:t>
      </w:r>
      <w:r w:rsidRPr="009A3C86">
        <w:rPr>
          <w:rFonts w:ascii="Times New Roman" w:hAnsi="Times New Roman"/>
          <w:sz w:val="24"/>
          <w:szCs w:val="24"/>
          <w:lang w:eastAsia="pl-PL"/>
        </w:rPr>
        <w:t xml:space="preserve"> Zgodnie z tym przepisem jeżeli przedłożona opinia jest niepełna lub niejasna albo gdy zachodzi sprzeczność w samej opinii lub między różnymi opiniami w tej samej sprawie, organ może wezwać ponownie autora opinii do ustnego wyjaśnienia treści opinii złożonej na piśmie, zażądać od biegłego dodatkowej opinii lub złożenia wyjaśnień w ramach konfrontacji ewentualnie organ może powołać innych biegłych.</w:t>
      </w:r>
    </w:p>
    <w:p w:rsidR="00AB6ACC" w:rsidRPr="009A3C86" w:rsidRDefault="00AB6ACC" w:rsidP="00AB6ACC">
      <w:pPr>
        <w:tabs>
          <w:tab w:val="left" w:pos="284"/>
        </w:tabs>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8. W oddziale 5 </w:t>
      </w:r>
      <w:r w:rsidRPr="009A3C86">
        <w:rPr>
          <w:rFonts w:ascii="Times New Roman" w:eastAsia="Times New Roman" w:hAnsi="Times New Roman"/>
          <w:b/>
          <w:bCs/>
          <w:sz w:val="24"/>
          <w:szCs w:val="24"/>
          <w:lang w:eastAsia="pl-PL"/>
        </w:rPr>
        <w:t xml:space="preserve">art. </w:t>
      </w:r>
      <w:r w:rsidR="00034331" w:rsidRPr="009A3C86">
        <w:rPr>
          <w:rFonts w:ascii="Times New Roman" w:eastAsia="Times New Roman" w:hAnsi="Times New Roman"/>
          <w:b/>
          <w:bCs/>
          <w:sz w:val="24"/>
          <w:szCs w:val="24"/>
          <w:lang w:eastAsia="pl-PL"/>
        </w:rPr>
        <w:t>398</w:t>
      </w:r>
      <w:r w:rsidRPr="009A3C86">
        <w:rPr>
          <w:rFonts w:ascii="Times New Roman" w:eastAsia="Times New Roman" w:hAnsi="Times New Roman"/>
          <w:bCs/>
          <w:sz w:val="24"/>
          <w:szCs w:val="24"/>
          <w:lang w:eastAsia="pl-PL"/>
        </w:rPr>
        <w:t xml:space="preserve"> stanowi odpowiednik dotychczasowego art. 198 o.p. Zmodyfikowano jedynie treść </w:t>
      </w:r>
      <w:r w:rsidRPr="009A3C86">
        <w:rPr>
          <w:rFonts w:ascii="Times New Roman" w:eastAsia="Times New Roman" w:hAnsi="Times New Roman"/>
          <w:b/>
          <w:bCs/>
          <w:sz w:val="24"/>
          <w:szCs w:val="24"/>
          <w:lang w:eastAsia="pl-PL"/>
        </w:rPr>
        <w:t>§ 2</w:t>
      </w:r>
      <w:r w:rsidRPr="009A3C86">
        <w:rPr>
          <w:rFonts w:ascii="Times New Roman" w:eastAsia="Times New Roman" w:hAnsi="Times New Roman"/>
          <w:bCs/>
          <w:sz w:val="24"/>
          <w:szCs w:val="24"/>
          <w:lang w:eastAsia="pl-PL"/>
        </w:rPr>
        <w:t xml:space="preserve"> wyraźnie wskazując, iż strona oraz inne podmioty, u których znajduje się przedmiot oględzin, są zobowiązane obowiązane, na wezwanie organu podatkowego, do okazania tego przedmiotu. </w:t>
      </w:r>
    </w:p>
    <w:p w:rsidR="00034331" w:rsidRPr="009A3C86" w:rsidRDefault="00E52636" w:rsidP="009A3C86">
      <w:pPr>
        <w:pStyle w:val="USTustnpkodeksu"/>
        <w:ind w:firstLine="0"/>
        <w:rPr>
          <w:bCs w:val="0"/>
        </w:rPr>
      </w:pPr>
      <w:r w:rsidRPr="009A3C86">
        <w:rPr>
          <w:rFonts w:ascii="Times New Roman" w:hAnsi="Times New Roman"/>
          <w:bCs w:val="0"/>
          <w:szCs w:val="24"/>
        </w:rPr>
        <w:t xml:space="preserve">Art. 399 </w:t>
      </w:r>
      <w:r w:rsidRPr="009A3C86">
        <w:rPr>
          <w:rFonts w:ascii="Times New Roman" w:hAnsi="Times New Roman"/>
          <w:szCs w:val="24"/>
        </w:rPr>
        <w:t xml:space="preserve">wprowadza nowe rozwiązanie w postaci możliwości wezwania przez organ podatkowy wystawcy dokumentu sporządzonego w postaci elektronicznej do przekazania tego dokumentu za pomocą środków komunikacji elektronicznej albo na informatycznym nośniku danych. </w:t>
      </w:r>
      <w:r w:rsidRPr="009A3C86">
        <w:rPr>
          <w:rFonts w:ascii="Times New Roman" w:hAnsi="Times New Roman"/>
          <w:szCs w:val="24"/>
        </w:rPr>
        <w:lastRenderedPageBreak/>
        <w:t xml:space="preserve">Powyższe związane jest z umożliwieniem organowi podatkowemu zweryfikowania autentyczności przedłożonego w postaci elektronicznej dokumentu. Można odmówić przekazania dokumentu w przypadku określonym w  art. 392 § 1 i 2 oraz art. 393. </w:t>
      </w:r>
      <w:r w:rsidRPr="009A3C86">
        <w:t>Przepisy te stosuje się odpowiednio.</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sz w:val="24"/>
          <w:szCs w:val="24"/>
        </w:rPr>
        <w:t xml:space="preserve">9. Proponowane rozwiązania zawarte w oddziale 6 „Dokumenty urzędowe” zostały przeniesione z dotychczasowych regulacji prawnych obecnych pod rządami aktualnych przepisów ordynacji podatkowej w ich dotychczasowym brzmieniu. </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C07FA3" w:rsidRPr="009A3C86">
        <w:rPr>
          <w:rFonts w:ascii="Times New Roman" w:hAnsi="Times New Roman"/>
          <w:b/>
          <w:sz w:val="24"/>
          <w:szCs w:val="24"/>
        </w:rPr>
        <w:t>400</w:t>
      </w:r>
      <w:r w:rsidRPr="009A3C86">
        <w:rPr>
          <w:rFonts w:ascii="Times New Roman" w:hAnsi="Times New Roman"/>
          <w:sz w:val="24"/>
          <w:szCs w:val="24"/>
        </w:rPr>
        <w:t xml:space="preserve"> jest odpowiednikiem obecnego art. 194 o.p.</w:t>
      </w:r>
    </w:p>
    <w:p w:rsidR="00AB6ACC" w:rsidRPr="009A3C86" w:rsidRDefault="00AB6ACC" w:rsidP="00AB6ACC">
      <w:pPr>
        <w:spacing w:after="0" w:line="360" w:lineRule="auto"/>
        <w:jc w:val="both"/>
        <w:rPr>
          <w:rFonts w:ascii="Times New Roman" w:hAnsi="Times New Roman"/>
          <w:sz w:val="24"/>
          <w:szCs w:val="24"/>
        </w:rPr>
      </w:pPr>
      <w:r w:rsidRPr="009A3C86">
        <w:rPr>
          <w:rFonts w:ascii="Times New Roman" w:hAnsi="Times New Roman"/>
          <w:b/>
          <w:sz w:val="24"/>
          <w:szCs w:val="24"/>
        </w:rPr>
        <w:t xml:space="preserve">Art. </w:t>
      </w:r>
      <w:r w:rsidR="00C07FA3" w:rsidRPr="009A3C86">
        <w:rPr>
          <w:rFonts w:ascii="Times New Roman" w:hAnsi="Times New Roman"/>
          <w:b/>
          <w:sz w:val="24"/>
          <w:szCs w:val="24"/>
        </w:rPr>
        <w:t>401</w:t>
      </w:r>
      <w:r w:rsidRPr="009A3C86">
        <w:rPr>
          <w:rFonts w:ascii="Times New Roman" w:hAnsi="Times New Roman"/>
          <w:sz w:val="24"/>
          <w:szCs w:val="24"/>
        </w:rPr>
        <w:t xml:space="preserve"> jest odpowiednikiem obecnego art. 194a o.p. z tą jednak różnicą, iż zgodnie z § 2 strona zamiast oryginału dokumentu może przedłożyć odpis dokumentu, jeżeli jego zgodność z oryginałem została poświadczona nie tylko jak dotychczas przez notariusza albo profesjonalnego pełnomocnika, ale również pracownika organu podatkowego prowadzącego postępowanie.</w:t>
      </w:r>
    </w:p>
    <w:p w:rsidR="00AB6ACC" w:rsidRPr="009A3C86" w:rsidRDefault="00AB6ACC" w:rsidP="00D72E74">
      <w:pPr>
        <w:spacing w:after="120" w:line="360" w:lineRule="auto"/>
        <w:jc w:val="both"/>
        <w:rPr>
          <w:rFonts w:ascii="Times New Roman" w:hAnsi="Times New Roman"/>
          <w:bCs/>
          <w:sz w:val="24"/>
          <w:szCs w:val="24"/>
        </w:rPr>
      </w:pPr>
      <w:r w:rsidRPr="009A3C86">
        <w:rPr>
          <w:rFonts w:ascii="Times New Roman" w:hAnsi="Times New Roman"/>
          <w:sz w:val="24"/>
          <w:szCs w:val="24"/>
        </w:rPr>
        <w:t xml:space="preserve">10. Proponowane rozwiązania zawarte w oddziale 7 zatytułowanym „Informacje z instytucji finansowych” zostały przeniesione z  regulacji ujętej w art. 182-185 obowiązującej ordynacji podatkowej, z tym jednak że w pewnym zakresie uprawnienia organów zostały rozszerzone. </w:t>
      </w:r>
      <w:r w:rsidRPr="009A3C86">
        <w:rPr>
          <w:rFonts w:ascii="Times New Roman" w:hAnsi="Times New Roman"/>
          <w:bCs/>
          <w:sz w:val="24"/>
          <w:szCs w:val="24"/>
        </w:rPr>
        <w:t xml:space="preserve">W proponowanym </w:t>
      </w:r>
      <w:r w:rsidRPr="009A3C86">
        <w:rPr>
          <w:rFonts w:ascii="Times New Roman" w:hAnsi="Times New Roman"/>
          <w:b/>
          <w:bCs/>
          <w:sz w:val="24"/>
          <w:szCs w:val="24"/>
        </w:rPr>
        <w:t xml:space="preserve">art. </w:t>
      </w:r>
      <w:r w:rsidR="00C07FA3" w:rsidRPr="009A3C86">
        <w:rPr>
          <w:rFonts w:ascii="Times New Roman" w:hAnsi="Times New Roman"/>
          <w:b/>
          <w:bCs/>
          <w:sz w:val="24"/>
          <w:szCs w:val="24"/>
        </w:rPr>
        <w:t>402</w:t>
      </w:r>
      <w:r w:rsidRPr="009A3C86">
        <w:rPr>
          <w:rFonts w:ascii="Times New Roman" w:hAnsi="Times New Roman"/>
          <w:b/>
          <w:bCs/>
          <w:sz w:val="24"/>
          <w:szCs w:val="24"/>
        </w:rPr>
        <w:t xml:space="preserve"> § 1 pkt 1-5</w:t>
      </w:r>
      <w:r w:rsidRPr="009A3C86">
        <w:rPr>
          <w:rFonts w:ascii="Times New Roman" w:hAnsi="Times New Roman"/>
          <w:bCs/>
          <w:sz w:val="24"/>
          <w:szCs w:val="24"/>
        </w:rPr>
        <w:t xml:space="preserve"> rozszerzono obecnie obowiązujące obowiązki banku w zakresie udzielenia informacji organowi podatkowemu o przekazanie informacji w zakresie danych kontrahenta transakcji. Z obowiązującego art. 182 wynika, że bank nie udziela organowi podatkowemu informacji w zakresie wykazu operacji z podaniem opisu, daty, kwoty i danych kontrahenta transakcji. Natomiast w myśl </w:t>
      </w:r>
      <w:r w:rsidRPr="009A3C86">
        <w:rPr>
          <w:rFonts w:ascii="Times New Roman" w:hAnsi="Times New Roman"/>
          <w:b/>
          <w:bCs/>
          <w:sz w:val="24"/>
          <w:szCs w:val="24"/>
        </w:rPr>
        <w:t xml:space="preserve">art. </w:t>
      </w:r>
      <w:r w:rsidR="00C07FA3" w:rsidRPr="009A3C86">
        <w:rPr>
          <w:rFonts w:ascii="Times New Roman" w:hAnsi="Times New Roman"/>
          <w:b/>
          <w:bCs/>
          <w:sz w:val="24"/>
          <w:szCs w:val="24"/>
        </w:rPr>
        <w:t>402</w:t>
      </w:r>
      <w:r w:rsidRPr="009A3C86">
        <w:rPr>
          <w:rFonts w:ascii="Times New Roman" w:hAnsi="Times New Roman"/>
          <w:b/>
          <w:bCs/>
          <w:sz w:val="24"/>
          <w:szCs w:val="24"/>
        </w:rPr>
        <w:t xml:space="preserve"> § 1</w:t>
      </w:r>
      <w:r w:rsidRPr="009A3C86">
        <w:rPr>
          <w:rFonts w:ascii="Times New Roman" w:hAnsi="Times New Roman"/>
          <w:bCs/>
          <w:sz w:val="24"/>
          <w:szCs w:val="24"/>
        </w:rPr>
        <w:t xml:space="preserve"> ww. informacje będą przekazywane organowi podatkowemu. Wydaje się, iż rozszerzenie zakresu przekazywanych informacji o dane kontrahenta jest potrzebne jeśli ta instytucja ma spełniając funkcje pozyskiwania istotnych informacji w toku kontroli lub postepowania. W chwili obecnej na podstawie przepisów o STIR przekazywany jest systematycznie zakres danych o operacjach. Z drugiej strony na podstawie przepisów o KAS także organy celno – skarbowe mają instrument pozyskiwania informacji. Dlatego wydaje się, iż danie organom podatkowym takiego uprawnienia jest potrzebne. Aktualnie z uwagi na ograniczony zakres informacji od instytucji finansowych istnieje możliwość przekazania sprawy z tego powodu naczelnikowi urzędu celno – skarbowego w art. 18d § 1, zgodnie z którym „Organ podatkowy pierwszej instancji przekazuje, w drodze postanowienia, do dalszego prowadzenia przez naczelnika urzędu celno-skarbowego, po wyrażeniu uprzednio zgody przez ten organ, prowadzone postępowanie podatkowe, jeżeli informacje otrzymane przez organ podatkowy z banku lub innej instytucji finansowej, o których mowa w art. 182, nie pozwalają na wyjaśnienie istotnych okoliczności </w:t>
      </w:r>
      <w:r w:rsidRPr="009A3C86">
        <w:rPr>
          <w:rFonts w:ascii="Times New Roman" w:hAnsi="Times New Roman"/>
          <w:bCs/>
          <w:sz w:val="24"/>
          <w:szCs w:val="24"/>
        </w:rPr>
        <w:lastRenderedPageBreak/>
        <w:t>faktycznych sprawy”. Wydaje się iż nie jest uzasadnione aby w każdej sytuacji, sprawy tego typu (tylko z uwagi na niewystarczające dane z banku) przejmował do rozpoznania naczelnik UCS, który stosuje tzw. twardą procedurę.</w:t>
      </w:r>
    </w:p>
    <w:bookmarkEnd w:id="49"/>
    <w:bookmarkEnd w:id="50"/>
    <w:p w:rsidR="00AB6ACC" w:rsidRPr="009A3C86" w:rsidRDefault="00AB6ACC" w:rsidP="00AB6ACC">
      <w:pPr>
        <w:spacing w:after="0" w:line="360" w:lineRule="auto"/>
        <w:jc w:val="both"/>
        <w:rPr>
          <w:rFonts w:ascii="Times New Roman" w:hAnsi="Times New Roman"/>
          <w:b/>
          <w:sz w:val="24"/>
          <w:szCs w:val="24"/>
        </w:rPr>
      </w:pPr>
      <w:r w:rsidRPr="009A3C86">
        <w:rPr>
          <w:rFonts w:ascii="Times New Roman" w:hAnsi="Times New Roman"/>
          <w:b/>
          <w:sz w:val="24"/>
          <w:szCs w:val="24"/>
        </w:rPr>
        <w:t>Rozdział 9. Rozprawa</w:t>
      </w:r>
    </w:p>
    <w:p w:rsidR="00AB6ACC" w:rsidRPr="009A3C86" w:rsidRDefault="00AB6ACC" w:rsidP="00AB6ACC">
      <w:p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1. Kilka lat obowiązywania dotychczasowych przepisów o rozprawie (art. 200a-200d – rozdział 11a) skłania do pewnych wniosków na temat faktycznej użyteczności tej instytucji dla gromadzenia, konfrontowania i ewentualnie oceny materiału dowodowego. Choć idea wprowadzenia rozprawy do postępowania podatkowego jest słuszna, to jednak stosowanie przepisów w dotychczasowym kształcie budziło pewne wątpliwości, które wynikają z kilku względów. Po pierwsze, regulacja dotycząca instytucji rozprawy, jaka znalazła się w ordynacji podatkowej, była skromniejsza niż zawarta w przepisach kodeksu postępowania administracyjnego i zbyt skromna wobec potrzeb. Po drugie, przepisy te różnią się od regulacji dotyczących instytucji rozprawy w ogólnym postępowaniu administracyjnym. Zasadnicza różnica wiąże się z jej umiejscowieniem jedynie w toku postępowania odwoławczego. To wywołuje podstawowe wątpliwości prawne dotyczące zasadności skorzystania z tego sposobu wyjaśnienia okoliczności sprawy dopiero na tym etapie postępowania</w:t>
      </w:r>
      <w:r w:rsidRPr="009A3C86">
        <w:rPr>
          <w:rFonts w:ascii="Times New Roman" w:eastAsia="Times New Roman" w:hAnsi="Times New Roman"/>
          <w:sz w:val="24"/>
          <w:szCs w:val="24"/>
          <w:vertAlign w:val="superscript"/>
          <w:lang w:eastAsia="pl-PL"/>
        </w:rPr>
        <w:footnoteReference w:customMarkFollows="1" w:id="417"/>
        <w:t>393</w:t>
      </w:r>
      <w:r w:rsidRPr="009A3C86">
        <w:rPr>
          <w:rFonts w:ascii="Times New Roman" w:eastAsia="Times New Roman" w:hAnsi="Times New Roman"/>
          <w:sz w:val="24"/>
          <w:szCs w:val="24"/>
          <w:lang w:eastAsia="pl-PL"/>
        </w:rPr>
        <w:t xml:space="preserve"> oraz zakresu czynności podejmowanych w ramach rozprawy z uwagi na zasadę dwuinstancyjności postępowania. </w:t>
      </w:r>
    </w:p>
    <w:p w:rsidR="00AB6ACC" w:rsidRPr="009A3C86" w:rsidRDefault="00AB6ACC" w:rsidP="00AB6ACC">
      <w:p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praktyce trudno oprzeć się na doświadczeniach praktycznych, bowiem pomimo kilku lat obowiązywania przepisów wykorzystanie instytucji rozprawy jest w praktyce znikome. Z danych MF na 2012 rok wynika, że za lata 2007-2012 łącznie przeprowadzono 100 rozpraw podatkowych, z czego: SKO – 69 rozpraw; DIS – 30 rozpraw; DIC – 1 rozprawa. </w:t>
      </w:r>
    </w:p>
    <w:p w:rsidR="00AB6ACC" w:rsidRPr="009A3C86" w:rsidRDefault="00AB6ACC" w:rsidP="00AB6ACC">
      <w:p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2. Ze względu na mankamenty, jakie wiążą się z instytucją rozprawy w dotychczasowym kształcie, regulacje dotyczące tej instytucji wymagają przebudowy. Instytucja rozprawy podatkowej mogłaby stanowić dobry instrument służący wyjaśnieniu stanu faktycznego w sprawie podatkowej, lecz niewątpliwie lepszym rozwiązaniem byłoby jej umiejscowienie w ramach postępowania w I instancji z uwagi na aspekt pragmatyczny, ale również ze względu na to, że zakres czynności dowodowych, jakie mogą być przeprowadzone przez organ odwoławczy, powinien być węższy niż przed organem I instancji – oraz uszczegółowienie </w:t>
      </w:r>
      <w:r w:rsidRPr="009A3C86">
        <w:rPr>
          <w:rFonts w:ascii="Times New Roman" w:eastAsia="Times New Roman" w:hAnsi="Times New Roman"/>
          <w:sz w:val="24"/>
          <w:szCs w:val="24"/>
          <w:lang w:eastAsia="pl-PL"/>
        </w:rPr>
        <w:lastRenderedPageBreak/>
        <w:t>samej regulacji</w:t>
      </w:r>
      <w:r w:rsidRPr="009A3C86">
        <w:rPr>
          <w:rFonts w:ascii="Times New Roman" w:eastAsia="Times New Roman" w:hAnsi="Times New Roman"/>
          <w:sz w:val="24"/>
          <w:szCs w:val="24"/>
          <w:vertAlign w:val="superscript"/>
          <w:lang w:eastAsia="pl-PL"/>
        </w:rPr>
        <w:footnoteReference w:customMarkFollows="1" w:id="418"/>
        <w:t>394</w:t>
      </w:r>
      <w:r w:rsidRPr="009A3C86">
        <w:rPr>
          <w:rFonts w:ascii="Times New Roman" w:eastAsia="Times New Roman" w:hAnsi="Times New Roman"/>
          <w:sz w:val="24"/>
          <w:szCs w:val="24"/>
          <w:lang w:eastAsia="pl-PL"/>
        </w:rPr>
        <w:t>. Choć taki zamysł przyświecał przy tworzeniu projektu to na etapie prac zdecydowano o pozostawieniu rozprawy jedynie na etapie postępowania odwoławczego.</w:t>
      </w:r>
    </w:p>
    <w:p w:rsidR="00AB6ACC" w:rsidRPr="009A3C86" w:rsidRDefault="00AB6ACC" w:rsidP="00AB6ACC">
      <w:p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3. Rozprawa w toku postępowania podatkowego przed organem odwoławczym będzie mogła zostać przeprowadzona zarówno z urzędu, jak i na wniosek strony, o czym stanowi proponowana treść </w:t>
      </w:r>
      <w:r w:rsidRPr="009A3C86">
        <w:rPr>
          <w:rFonts w:ascii="Times New Roman" w:eastAsia="Times New Roman" w:hAnsi="Times New Roman"/>
          <w:b/>
          <w:sz w:val="24"/>
          <w:szCs w:val="24"/>
          <w:lang w:eastAsia="pl-PL"/>
        </w:rPr>
        <w:t xml:space="preserve">art. </w:t>
      </w:r>
      <w:r w:rsidR="008E5283" w:rsidRPr="009A3C86">
        <w:rPr>
          <w:rFonts w:ascii="Times New Roman" w:eastAsia="Times New Roman" w:hAnsi="Times New Roman"/>
          <w:b/>
          <w:sz w:val="24"/>
          <w:szCs w:val="24"/>
          <w:lang w:eastAsia="pl-PL"/>
        </w:rPr>
        <w:t>406</w:t>
      </w:r>
      <w:r w:rsidRPr="009A3C86">
        <w:rPr>
          <w:rFonts w:ascii="Times New Roman" w:eastAsia="Times New Roman" w:hAnsi="Times New Roman"/>
          <w:sz w:val="24"/>
          <w:szCs w:val="24"/>
          <w:lang w:eastAsia="pl-PL"/>
        </w:rPr>
        <w:t>. W zakresie okoliczności uzasadniających przeprowadzenie rozprawy dokonano pewnej modyfikacji. Mianowicie organ podatkowy przeprowadzi w toku postępowania rozprawę z urzędu w każdym przypadku, gdy może to zapewnić przyśpieszenie lub uproszczenie postępowania lub jeżeli zachodzi potrzeba wyjaśnienia istotnych okoliczności stanu faktycznego sprawy przy udziale świadków lub biegłych albo w drodze oględzin. W dotychczasowym kształcie rozprawa mogła być przeprowadzona w przypadkach, w których zachodziła potrzeba sprecyzowania argumentacji prawnej prezentowanej przez stronę w toku postępowania. Wydaje się jednak, że jeśli chodzi o sprecyzowanie argumentacji prawnej, rozprawa nie jest w tym zakresie rozwiązaniem niezbędnym. Zdecydowanie bardziej zasadne wydaje się rozpatrywanie tych okoliczności w ramach tzw. postępowania gabinetowego. Ponadto rozprawa będzie mogła być przeprowadzona na wniosek strony.</w:t>
      </w:r>
    </w:p>
    <w:p w:rsidR="00AB6ACC" w:rsidRPr="009A3C86" w:rsidRDefault="00AB6ACC" w:rsidP="00AB6ACC">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Na organie podatkowym w zakresie proponowanych zmian będzie spoczywał obowiązek analizy, czy w świetle okoliczności sprawy nie zachodzą przesłanki do przeprowadzenia rozprawy z urzędu. W literaturze akcentuje się przy tym obligatoryjny, przy wystąpieniu wyliczonych przesłanek, wymóg przeprowadzenia rozprawy</w:t>
      </w:r>
      <w:r w:rsidRPr="009A3C86">
        <w:rPr>
          <w:rFonts w:ascii="Times New Roman" w:eastAsia="Times New Roman" w:hAnsi="Times New Roman"/>
          <w:bCs/>
          <w:sz w:val="24"/>
          <w:szCs w:val="24"/>
          <w:vertAlign w:val="superscript"/>
          <w:lang w:eastAsia="pl-PL"/>
        </w:rPr>
        <w:footnoteReference w:customMarkFollows="1" w:id="419"/>
        <w:t>395</w:t>
      </w:r>
      <w:r w:rsidRPr="009A3C86">
        <w:rPr>
          <w:rFonts w:ascii="Times New Roman" w:eastAsia="Times New Roman" w:hAnsi="Times New Roman"/>
          <w:bCs/>
          <w:sz w:val="24"/>
          <w:szCs w:val="24"/>
          <w:lang w:eastAsia="pl-PL"/>
        </w:rPr>
        <w:t xml:space="preserve">. Z kolei, jeśli z wnioskiem o przeprowadzenie rozprawy wystąpi strona, co przewiduje proponowana treść </w:t>
      </w:r>
      <w:r w:rsidRPr="009A3C86">
        <w:rPr>
          <w:rFonts w:ascii="Times New Roman" w:eastAsia="Times New Roman" w:hAnsi="Times New Roman"/>
          <w:b/>
          <w:bCs/>
          <w:sz w:val="24"/>
          <w:szCs w:val="24"/>
          <w:lang w:eastAsia="pl-PL"/>
        </w:rPr>
        <w:t xml:space="preserve">art. </w:t>
      </w:r>
      <w:r w:rsidR="008E5283" w:rsidRPr="009A3C86">
        <w:rPr>
          <w:rFonts w:ascii="Times New Roman" w:eastAsia="Times New Roman" w:hAnsi="Times New Roman"/>
          <w:b/>
          <w:bCs/>
          <w:sz w:val="24"/>
          <w:szCs w:val="24"/>
          <w:lang w:eastAsia="pl-PL"/>
        </w:rPr>
        <w:t>406</w:t>
      </w:r>
      <w:r w:rsidRPr="009A3C86">
        <w:rPr>
          <w:rFonts w:ascii="Times New Roman" w:eastAsia="Times New Roman" w:hAnsi="Times New Roman"/>
          <w:b/>
          <w:bCs/>
          <w:sz w:val="24"/>
          <w:szCs w:val="24"/>
          <w:lang w:eastAsia="pl-PL"/>
        </w:rPr>
        <w:t xml:space="preserve"> § 1 pkt 2</w:t>
      </w:r>
      <w:r w:rsidRPr="009A3C86">
        <w:rPr>
          <w:rFonts w:ascii="Times New Roman" w:eastAsia="Times New Roman" w:hAnsi="Times New Roman"/>
          <w:bCs/>
          <w:sz w:val="24"/>
          <w:szCs w:val="24"/>
          <w:lang w:eastAsia="pl-PL"/>
        </w:rPr>
        <w:t xml:space="preserve"> o.p. (odpowiednik dotychczasowego </w:t>
      </w:r>
      <w:hyperlink r:id="rId30" w:anchor="200a_1__2" w:history="1">
        <w:r w:rsidRPr="009A3C86">
          <w:rPr>
            <w:rFonts w:ascii="Times New Roman" w:eastAsia="Times New Roman" w:hAnsi="Times New Roman"/>
            <w:bCs/>
            <w:sz w:val="24"/>
            <w:szCs w:val="24"/>
            <w:lang w:eastAsia="pl-PL"/>
          </w:rPr>
          <w:t>art. 200a § 1 pkt 2</w:t>
        </w:r>
      </w:hyperlink>
      <w:r w:rsidRPr="009A3C86">
        <w:rPr>
          <w:rFonts w:ascii="Times New Roman" w:eastAsia="Times New Roman" w:hAnsi="Times New Roman"/>
          <w:bCs/>
          <w:sz w:val="24"/>
          <w:szCs w:val="24"/>
          <w:lang w:eastAsia="pl-PL"/>
        </w:rPr>
        <w:t xml:space="preserve"> o.p.), to powinna ona uzasadnić potrzebę jej przeprowadzenia. Jeżeli powołuje się na konieczność wyjaśnienia istotnych okoliczności stanu faktycznego, to we wniosku zgodnie z </w:t>
      </w:r>
      <w:r w:rsidRPr="009A3C86">
        <w:rPr>
          <w:rFonts w:ascii="Times New Roman" w:eastAsia="Times New Roman" w:hAnsi="Times New Roman"/>
          <w:b/>
          <w:bCs/>
          <w:sz w:val="24"/>
          <w:szCs w:val="24"/>
          <w:lang w:eastAsia="pl-PL"/>
        </w:rPr>
        <w:t xml:space="preserve">art. </w:t>
      </w:r>
      <w:r w:rsidR="008E5283" w:rsidRPr="009A3C86">
        <w:rPr>
          <w:rFonts w:ascii="Times New Roman" w:eastAsia="Times New Roman" w:hAnsi="Times New Roman"/>
          <w:b/>
          <w:bCs/>
          <w:sz w:val="24"/>
          <w:szCs w:val="24"/>
          <w:lang w:eastAsia="pl-PL"/>
        </w:rPr>
        <w:t>406</w:t>
      </w:r>
      <w:r w:rsidRPr="009A3C86">
        <w:rPr>
          <w:rFonts w:ascii="Times New Roman" w:eastAsia="Times New Roman" w:hAnsi="Times New Roman"/>
          <w:b/>
          <w:bCs/>
          <w:sz w:val="24"/>
          <w:szCs w:val="24"/>
          <w:lang w:eastAsia="pl-PL"/>
        </w:rPr>
        <w:t xml:space="preserve"> § 2</w:t>
      </w:r>
      <w:r w:rsidRPr="009A3C86">
        <w:rPr>
          <w:rFonts w:ascii="Times New Roman" w:eastAsia="Times New Roman" w:hAnsi="Times New Roman"/>
          <w:bCs/>
          <w:sz w:val="24"/>
          <w:szCs w:val="24"/>
          <w:lang w:eastAsia="pl-PL"/>
        </w:rPr>
        <w:t xml:space="preserve"> powinna wykazać, które okoliczności sprawy powinny być wyjaśnione oraz jakie czynności i z udziałem jakich uczestników powinny być dokonane na rozprawie. Złożonym wnioskiem organ podatkowy nie jest związany, choć działanie organu odwoławczego nie ma w tym względzie charakteru uznaniowego. W </w:t>
      </w:r>
      <w:r w:rsidRPr="009A3C86">
        <w:rPr>
          <w:rFonts w:ascii="Times New Roman" w:eastAsia="Times New Roman" w:hAnsi="Times New Roman"/>
          <w:b/>
          <w:bCs/>
          <w:sz w:val="24"/>
          <w:szCs w:val="24"/>
          <w:lang w:eastAsia="pl-PL"/>
        </w:rPr>
        <w:t xml:space="preserve">§ 3 art. </w:t>
      </w:r>
      <w:r w:rsidR="008E5283" w:rsidRPr="009A3C86">
        <w:rPr>
          <w:rFonts w:ascii="Times New Roman" w:eastAsia="Times New Roman" w:hAnsi="Times New Roman"/>
          <w:b/>
          <w:bCs/>
          <w:sz w:val="24"/>
          <w:szCs w:val="24"/>
          <w:lang w:eastAsia="pl-PL"/>
        </w:rPr>
        <w:t>406</w:t>
      </w:r>
      <w:r w:rsidRPr="009A3C86">
        <w:rPr>
          <w:rFonts w:ascii="Times New Roman" w:eastAsia="Times New Roman" w:hAnsi="Times New Roman"/>
          <w:bCs/>
          <w:sz w:val="24"/>
          <w:szCs w:val="24"/>
          <w:lang w:eastAsia="pl-PL"/>
        </w:rPr>
        <w:t xml:space="preserve"> wprowadzono możliwość zorganizowania przez organ podatkowy spotkania uzgodnieniowego ze stroną w celu wyjaśnienia wątpliwości, co do złożonego przez nią wniosku. Przebieg spotkania uzgodnieniowego może być ponadto </w:t>
      </w:r>
      <w:r w:rsidRPr="009A3C86">
        <w:rPr>
          <w:rFonts w:ascii="Times New Roman" w:eastAsia="Times New Roman" w:hAnsi="Times New Roman"/>
          <w:bCs/>
          <w:sz w:val="24"/>
          <w:szCs w:val="24"/>
          <w:lang w:eastAsia="pl-PL"/>
        </w:rPr>
        <w:lastRenderedPageBreak/>
        <w:t>utrwalony za pomocą aparatury rejestrującej obraz i dźwięk w tym na informatycznych nośnikach danych.</w:t>
      </w:r>
    </w:p>
    <w:p w:rsidR="00AB6ACC" w:rsidRPr="009A3C86" w:rsidRDefault="00AB6ACC" w:rsidP="00AB6ACC">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Organ może odmówić przeprowadzenia rozprawy. Na gruncie dotychczasowych przepisów art. 200a § 3 o.p. wskazywał, iż organ mógł odmówić przeprowadzenia rozprawy, gdy jej przedmiotem mają być okoliczności niemające znaczenia dla sprawy albo gdy okoliczności te są wystarczająco potwierdzone innym dowodem.  W tym zakresie proponuje się odesłanie do odpowiedniego stosowania </w:t>
      </w:r>
      <w:r w:rsidRPr="009A3C86">
        <w:rPr>
          <w:rFonts w:ascii="Times New Roman" w:hAnsi="Times New Roman"/>
          <w:iCs/>
          <w:sz w:val="24"/>
          <w:szCs w:val="24"/>
        </w:rPr>
        <w:t xml:space="preserve">przepisów art. </w:t>
      </w:r>
      <w:r w:rsidR="008E5283" w:rsidRPr="009A3C86">
        <w:rPr>
          <w:rFonts w:ascii="Times New Roman" w:hAnsi="Times New Roman"/>
          <w:iCs/>
          <w:sz w:val="24"/>
          <w:szCs w:val="24"/>
        </w:rPr>
        <w:t>383</w:t>
      </w:r>
      <w:r w:rsidRPr="009A3C86">
        <w:rPr>
          <w:rFonts w:ascii="Times New Roman" w:hAnsi="Times New Roman"/>
          <w:iCs/>
          <w:sz w:val="24"/>
          <w:szCs w:val="24"/>
        </w:rPr>
        <w:t xml:space="preserve"> § 2 i 3 dotyczących odmowy uwzględnienia wniosku dowodowego strony. </w:t>
      </w:r>
      <w:r w:rsidRPr="009A3C86">
        <w:rPr>
          <w:rFonts w:ascii="Times New Roman" w:hAnsi="Times New Roman"/>
          <w:sz w:val="24"/>
          <w:szCs w:val="24"/>
        </w:rPr>
        <w:t xml:space="preserve">Sformułowanie „okoliczności te są wystarczająco potwierdzone innym dowodem” odnosi się do sytuacji, gdy żądanie dotyczy okoliczności już stwierdzonej na korzyść strony, co wynika z odesłania do art. </w:t>
      </w:r>
      <w:r w:rsidR="008E5283" w:rsidRPr="009A3C86">
        <w:rPr>
          <w:rFonts w:ascii="Times New Roman" w:hAnsi="Times New Roman"/>
          <w:sz w:val="24"/>
          <w:szCs w:val="24"/>
        </w:rPr>
        <w:t>383</w:t>
      </w:r>
      <w:r w:rsidRPr="009A3C86">
        <w:rPr>
          <w:rFonts w:ascii="Times New Roman" w:hAnsi="Times New Roman"/>
          <w:sz w:val="24"/>
          <w:szCs w:val="24"/>
        </w:rPr>
        <w:t xml:space="preserve"> § 3. Jeżeli więc dowód dotyczy tezy odmiennej niż udowodniona (stanowi tzw. przeciwdowód), to powinien on zostać przeprowadzony, a jeżeli strona wnioskuje o uczynienie tego w ramach rozprawy, to organ powinien rozważyć, czy taki wniosek należałoby uwzględnić, biorąc pod uwagę również, jakie dowody miałyby zostać przeprowadzone oraz jaki byłby zakres tego postępowania względem materiału dowodowego już w sprawie zgromadzonego, stąd odesłanie do odpowiedniego stosowania art. </w:t>
      </w:r>
      <w:r w:rsidR="008E5283" w:rsidRPr="009A3C86">
        <w:rPr>
          <w:rFonts w:ascii="Times New Roman" w:hAnsi="Times New Roman"/>
          <w:sz w:val="24"/>
          <w:szCs w:val="24"/>
        </w:rPr>
        <w:t>383</w:t>
      </w:r>
      <w:r w:rsidRPr="009A3C86">
        <w:rPr>
          <w:rFonts w:ascii="Times New Roman" w:hAnsi="Times New Roman"/>
          <w:sz w:val="24"/>
          <w:szCs w:val="24"/>
        </w:rPr>
        <w:t xml:space="preserve"> § 3. Nie jest wykluczona i taka sytuacja, w której w wyniku wniosku strony o przeprowadzenie określonego dowodu w ramach rozprawy organ nie znajdzie dostatecznych podstaw do przeprowadzenia w tym celu rozprawy, natomiast przeprowadzi wnioskowany przez stronę dowód, np. przesłucha kolejnego świadka w ramach normalnych czynności dowodowych, zapewniając oczywiście stronie czynny udział w trakcie ich przeprowadzania. </w:t>
      </w:r>
    </w:p>
    <w:p w:rsidR="00AB6ACC" w:rsidRPr="009A3C86" w:rsidRDefault="00AB6ACC" w:rsidP="00AB6ACC">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Nowość względem dotychczasowych rozwiązań stanowić będzie wskazanie </w:t>
      </w:r>
      <w:r w:rsidRPr="009A3C86">
        <w:rPr>
          <w:rFonts w:ascii="Times New Roman" w:hAnsi="Times New Roman"/>
          <w:i/>
          <w:sz w:val="24"/>
          <w:szCs w:val="24"/>
        </w:rPr>
        <w:t>explicite</w:t>
      </w:r>
      <w:r w:rsidRPr="009A3C86">
        <w:rPr>
          <w:rFonts w:ascii="Times New Roman" w:hAnsi="Times New Roman"/>
          <w:sz w:val="24"/>
          <w:szCs w:val="24"/>
        </w:rPr>
        <w:t>, że rozprawę w toku postępowania odwoławczego przeprowadza się jedynie w celu uzupełnienia dowodów, zgromadzonych przez organ I instancji (</w:t>
      </w:r>
      <w:r w:rsidRPr="009A3C86">
        <w:rPr>
          <w:rFonts w:ascii="Times New Roman" w:hAnsi="Times New Roman"/>
          <w:b/>
          <w:sz w:val="24"/>
          <w:szCs w:val="24"/>
        </w:rPr>
        <w:t xml:space="preserve">art. </w:t>
      </w:r>
      <w:r w:rsidR="008E5283" w:rsidRPr="009A3C86">
        <w:rPr>
          <w:rFonts w:ascii="Times New Roman" w:hAnsi="Times New Roman"/>
          <w:b/>
          <w:sz w:val="24"/>
          <w:szCs w:val="24"/>
        </w:rPr>
        <w:t>406</w:t>
      </w:r>
      <w:r w:rsidRPr="009A3C86">
        <w:rPr>
          <w:rFonts w:ascii="Times New Roman" w:hAnsi="Times New Roman"/>
          <w:b/>
          <w:sz w:val="24"/>
          <w:szCs w:val="24"/>
        </w:rPr>
        <w:t xml:space="preserve"> § 7</w:t>
      </w:r>
      <w:r w:rsidRPr="009A3C86">
        <w:rPr>
          <w:rFonts w:ascii="Times New Roman" w:hAnsi="Times New Roman"/>
          <w:sz w:val="24"/>
          <w:szCs w:val="24"/>
        </w:rPr>
        <w:t>). Rozwiązanie to podyktowane jest tym, iż możliwość wyjaśniania okoliczności sprawy, w szczególności w ramach rozprawy w postępowaniu odwoławczym, z wykorzystaniem zgromadzonych dopiero w ramach postępowania odwoławczego dowodów, z zasady powinna być ograniczona. Dotyczy to zwłaszcza wykorzystania takich środków dowodowych, jak dowód z opinii biegłego, czy też powoływanie dopiero na tym etapie postępowania kluczowych świadków. Słuszność takiego poglądu znajduje oparcie w nielicznych wyrokach dotyczących instytucji rozprawy</w:t>
      </w:r>
      <w:r w:rsidRPr="009A3C86">
        <w:rPr>
          <w:rFonts w:ascii="Times New Roman" w:hAnsi="Times New Roman"/>
          <w:sz w:val="24"/>
          <w:szCs w:val="24"/>
          <w:vertAlign w:val="superscript"/>
        </w:rPr>
        <w:footnoteReference w:customMarkFollows="1" w:id="420"/>
        <w:t>396</w:t>
      </w:r>
      <w:r w:rsidRPr="009A3C86">
        <w:rPr>
          <w:rFonts w:ascii="Times New Roman" w:hAnsi="Times New Roman"/>
          <w:b/>
          <w:sz w:val="24"/>
          <w:szCs w:val="24"/>
        </w:rPr>
        <w:t>.</w:t>
      </w:r>
      <w:r w:rsidRPr="009A3C86">
        <w:rPr>
          <w:rFonts w:ascii="Times New Roman" w:hAnsi="Times New Roman"/>
          <w:sz w:val="24"/>
          <w:szCs w:val="24"/>
        </w:rPr>
        <w:t xml:space="preserve"> Wskazuje się bowiem, iż zakres dopuszczalności rozprawy w celu wyjaśnienia istotnych okoliczności stanu faktycznego nie może naruszać zasady dwuinstancyjności, jako jednej z </w:t>
      </w:r>
      <w:r w:rsidRPr="009A3C86">
        <w:rPr>
          <w:rFonts w:ascii="Times New Roman" w:hAnsi="Times New Roman"/>
          <w:sz w:val="24"/>
          <w:szCs w:val="24"/>
        </w:rPr>
        <w:lastRenderedPageBreak/>
        <w:t>podstawowych gwarancji procesowych praw strony</w:t>
      </w:r>
      <w:r w:rsidRPr="009A3C86">
        <w:rPr>
          <w:rFonts w:ascii="Times New Roman" w:hAnsi="Times New Roman"/>
          <w:sz w:val="24"/>
          <w:szCs w:val="24"/>
          <w:vertAlign w:val="superscript"/>
        </w:rPr>
        <w:footnoteReference w:customMarkFollows="1" w:id="421"/>
        <w:t>397</w:t>
      </w:r>
      <w:r w:rsidRPr="009A3C86">
        <w:rPr>
          <w:rFonts w:ascii="Times New Roman" w:hAnsi="Times New Roman"/>
          <w:sz w:val="24"/>
          <w:szCs w:val="24"/>
        </w:rPr>
        <w:t>. Rozprawa nie może w żadnym razie zastępować postępowania dowodowego prowadzonego przez organ I instancji</w:t>
      </w:r>
      <w:r w:rsidRPr="009A3C86">
        <w:rPr>
          <w:rFonts w:ascii="Times New Roman" w:hAnsi="Times New Roman"/>
          <w:sz w:val="24"/>
          <w:szCs w:val="24"/>
          <w:vertAlign w:val="superscript"/>
        </w:rPr>
        <w:footnoteReference w:customMarkFollows="1" w:id="422"/>
        <w:t>398</w:t>
      </w:r>
      <w:r w:rsidRPr="009A3C86">
        <w:rPr>
          <w:rFonts w:ascii="Times New Roman" w:hAnsi="Times New Roman"/>
          <w:sz w:val="24"/>
          <w:szCs w:val="24"/>
        </w:rPr>
        <w:t>. Nie może być również formą wyjaśniania zasadniczych wątpliwości stanu faktycznego sprawy. Z uwagi na powyższe nie sposób zaakceptować praktyki polegającej na wyjaśnieniu istniejących wątpliwości dotyczących okoliczności stanu faktycznego – istotnych niewątpliwie dla jej rozstrzygnięcia – w wyniku przeprowadzenia przez organ odwoławczy rozprawy administracyjnej</w:t>
      </w:r>
      <w:r w:rsidRPr="009A3C86">
        <w:rPr>
          <w:rFonts w:ascii="Times New Roman" w:hAnsi="Times New Roman"/>
          <w:sz w:val="24"/>
          <w:szCs w:val="24"/>
          <w:vertAlign w:val="superscript"/>
        </w:rPr>
        <w:footnoteReference w:customMarkFollows="1" w:id="423"/>
        <w:t>399</w:t>
      </w:r>
      <w:r w:rsidRPr="009A3C86">
        <w:rPr>
          <w:rFonts w:ascii="Times New Roman" w:hAnsi="Times New Roman"/>
          <w:sz w:val="24"/>
          <w:szCs w:val="24"/>
        </w:rPr>
        <w:t>. Należy zaakcentować, że rozprawa podatkowa nie służy powtórzeniu postępowania dowodowego przeprowadzonego przez organ I instancji w związku ze stwierdzeniem, iż ocena poszczególnych dowodów jest nieprawidłowa</w:t>
      </w:r>
      <w:r w:rsidRPr="009A3C86">
        <w:rPr>
          <w:rFonts w:ascii="Times New Roman" w:hAnsi="Times New Roman"/>
          <w:sz w:val="24"/>
          <w:szCs w:val="24"/>
          <w:vertAlign w:val="superscript"/>
        </w:rPr>
        <w:footnoteReference w:customMarkFollows="1" w:id="424"/>
        <w:t>400</w:t>
      </w:r>
      <w:r w:rsidRPr="009A3C86">
        <w:rPr>
          <w:rFonts w:ascii="Times New Roman" w:hAnsi="Times New Roman"/>
          <w:sz w:val="24"/>
          <w:szCs w:val="24"/>
        </w:rPr>
        <w:t xml:space="preserve">. </w:t>
      </w:r>
    </w:p>
    <w:p w:rsidR="0094586B" w:rsidRPr="009A3C86" w:rsidRDefault="00AB6ACC" w:rsidP="009A3C86">
      <w:pPr>
        <w:pStyle w:val="USTustnpkodeksu"/>
      </w:pPr>
      <w:r w:rsidRPr="009A3C86">
        <w:rPr>
          <w:rFonts w:ascii="Times New Roman" w:hAnsi="Times New Roman"/>
          <w:szCs w:val="24"/>
        </w:rPr>
        <w:t xml:space="preserve">Możliwość wyjaśniania okoliczności sprawy, w ramach rozprawy w postępowaniu odwoławczym, z wykorzystaniem zgromadzonych dopiero w ramach postępowania odwoławczego dowodów jest ograniczona z uwagi na </w:t>
      </w:r>
      <w:r w:rsidRPr="009A3C86">
        <w:rPr>
          <w:rFonts w:ascii="Times New Roman" w:hAnsi="Times New Roman"/>
          <w:bCs w:val="0"/>
          <w:szCs w:val="24"/>
        </w:rPr>
        <w:t>art. </w:t>
      </w:r>
      <w:r w:rsidR="0033231B" w:rsidRPr="009A3C86">
        <w:rPr>
          <w:rFonts w:ascii="Times New Roman" w:hAnsi="Times New Roman"/>
          <w:bCs w:val="0"/>
          <w:szCs w:val="24"/>
        </w:rPr>
        <w:t>467</w:t>
      </w:r>
      <w:r w:rsidRPr="009A3C86">
        <w:rPr>
          <w:rFonts w:ascii="Times New Roman" w:hAnsi="Times New Roman"/>
          <w:bCs w:val="0"/>
          <w:szCs w:val="24"/>
        </w:rPr>
        <w:t xml:space="preserve"> </w:t>
      </w:r>
      <w:r w:rsidRPr="009A3C86">
        <w:rPr>
          <w:rFonts w:ascii="Times New Roman" w:hAnsi="Times New Roman"/>
          <w:szCs w:val="24"/>
        </w:rPr>
        <w:t xml:space="preserve">§ </w:t>
      </w:r>
      <w:r w:rsidR="0033231B" w:rsidRPr="009A3C86">
        <w:rPr>
          <w:rFonts w:ascii="Times New Roman" w:hAnsi="Times New Roman"/>
          <w:szCs w:val="24"/>
        </w:rPr>
        <w:t>2</w:t>
      </w:r>
      <w:r w:rsidRPr="009A3C86">
        <w:rPr>
          <w:rFonts w:ascii="Times New Roman" w:hAnsi="Times New Roman"/>
          <w:szCs w:val="24"/>
        </w:rPr>
        <w:t xml:space="preserve"> w myśl którego</w:t>
      </w:r>
      <w:r w:rsidR="0033231B" w:rsidRPr="009A3C86">
        <w:t xml:space="preserve"> organ odwoławczy może przeprowadzić, na wniosek strony lub z urzędu, dodatkowe postępowanie w celu uzupełnienia dowodów i materiałów zebranych w sprawie przez organ, który wydał decyzję, albo zlecić przeprowadzenie tego postępowania temu organowi.</w:t>
      </w:r>
    </w:p>
    <w:p w:rsidR="00AB6ACC" w:rsidRPr="009A3C86" w:rsidRDefault="00AB6ACC" w:rsidP="00AB6ACC">
      <w:pPr>
        <w:autoSpaceDE w:val="0"/>
        <w:autoSpaceDN w:val="0"/>
        <w:adjustRightInd w:val="0"/>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4. Nowość na gruncie instytucji rozprawy podatkowej będzie stanowił </w:t>
      </w:r>
      <w:r w:rsidRPr="009A3C86">
        <w:rPr>
          <w:rFonts w:ascii="Times New Roman" w:eastAsia="Times New Roman" w:hAnsi="Times New Roman"/>
          <w:b/>
          <w:sz w:val="24"/>
          <w:szCs w:val="24"/>
          <w:lang w:eastAsia="pl-PL"/>
        </w:rPr>
        <w:t xml:space="preserve">art. </w:t>
      </w:r>
      <w:r w:rsidR="0033231B" w:rsidRPr="009A3C86">
        <w:rPr>
          <w:rFonts w:ascii="Times New Roman" w:eastAsia="Times New Roman" w:hAnsi="Times New Roman"/>
          <w:b/>
          <w:sz w:val="24"/>
          <w:szCs w:val="24"/>
          <w:lang w:eastAsia="pl-PL"/>
        </w:rPr>
        <w:t>407</w:t>
      </w:r>
      <w:r w:rsidRPr="009A3C86">
        <w:rPr>
          <w:rFonts w:ascii="Times New Roman" w:eastAsia="Times New Roman" w:hAnsi="Times New Roman"/>
          <w:sz w:val="24"/>
          <w:szCs w:val="24"/>
          <w:lang w:eastAsia="pl-PL"/>
        </w:rPr>
        <w:t xml:space="preserve">. Przepis ten określa czynności, do podjęcia których zobligowany jest organ podatkowy przed przeprowadzeniem samej rozprawy. Rozwiązania zawarte w proponowanym </w:t>
      </w:r>
      <w:r w:rsidRPr="009A3C86">
        <w:rPr>
          <w:rFonts w:ascii="Times New Roman" w:eastAsia="Times New Roman" w:hAnsi="Times New Roman"/>
          <w:b/>
          <w:sz w:val="24"/>
          <w:szCs w:val="24"/>
          <w:lang w:eastAsia="pl-PL"/>
        </w:rPr>
        <w:t>§ 1</w:t>
      </w:r>
      <w:r w:rsidRPr="009A3C86">
        <w:rPr>
          <w:rFonts w:ascii="Times New Roman" w:eastAsia="Times New Roman" w:hAnsi="Times New Roman"/>
          <w:sz w:val="24"/>
          <w:szCs w:val="24"/>
          <w:lang w:eastAsia="pl-PL"/>
        </w:rPr>
        <w:t xml:space="preserve"> mają za zadanie usprawnić proces samej rozprawy poprzez przygotowanie strony za pomocą wezwania do przedłożenia stosownych dowodów związanych z przedmiotem rozprawy. Ponadto wezwanie będzie zawierało także określenie czasu, miejsca i przedmiotu rozprawy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W takim samym kształcie zachowany zostanie obowiązek doręczenia zawiadomienia o rozprawie na co najmniej 7 dni przed jej przeprowadzeniem (</w:t>
      </w:r>
      <w:r w:rsidRPr="009A3C86">
        <w:rPr>
          <w:rFonts w:ascii="Times New Roman" w:eastAsia="Times New Roman" w:hAnsi="Times New Roman"/>
          <w:b/>
          <w:sz w:val="24"/>
          <w:szCs w:val="24"/>
          <w:lang w:eastAsia="pl-PL"/>
        </w:rPr>
        <w:t>§ 3</w:t>
      </w:r>
      <w:r w:rsidRPr="009A3C86">
        <w:rPr>
          <w:rFonts w:ascii="Times New Roman" w:eastAsia="Times New Roman" w:hAnsi="Times New Roman"/>
          <w:sz w:val="24"/>
          <w:szCs w:val="24"/>
          <w:lang w:eastAsia="pl-PL"/>
        </w:rPr>
        <w:t xml:space="preserve">), co stanowi odpowiednik dotychczasowego rozwiązania zawartego w art. 200b o.p.  </w:t>
      </w:r>
    </w:p>
    <w:p w:rsidR="003F031F" w:rsidRPr="009A3C86" w:rsidRDefault="00AB6ACC" w:rsidP="00AB6ACC">
      <w:pPr>
        <w:autoSpaceDE w:val="0"/>
        <w:autoSpaceDN w:val="0"/>
        <w:adjustRightInd w:val="0"/>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5. </w:t>
      </w:r>
      <w:r w:rsidR="003F031F" w:rsidRPr="009A3C86">
        <w:rPr>
          <w:rFonts w:ascii="Times New Roman" w:eastAsia="Times New Roman" w:hAnsi="Times New Roman"/>
          <w:sz w:val="24"/>
          <w:szCs w:val="24"/>
          <w:lang w:eastAsia="pl-PL"/>
        </w:rPr>
        <w:t xml:space="preserve">Rozprawą – stosownie do proponowanego </w:t>
      </w:r>
      <w:r w:rsidR="003F031F" w:rsidRPr="009A3C86">
        <w:rPr>
          <w:rFonts w:ascii="Times New Roman" w:eastAsia="Times New Roman" w:hAnsi="Times New Roman"/>
          <w:b/>
          <w:sz w:val="24"/>
          <w:szCs w:val="24"/>
          <w:lang w:eastAsia="pl-PL"/>
        </w:rPr>
        <w:t xml:space="preserve">art. </w:t>
      </w:r>
      <w:r w:rsidR="0033231B" w:rsidRPr="009A3C86">
        <w:rPr>
          <w:rFonts w:ascii="Times New Roman" w:eastAsia="Times New Roman" w:hAnsi="Times New Roman"/>
          <w:b/>
          <w:sz w:val="24"/>
          <w:szCs w:val="24"/>
          <w:lang w:eastAsia="pl-PL"/>
        </w:rPr>
        <w:t>408</w:t>
      </w:r>
      <w:r w:rsidR="003F031F" w:rsidRPr="009A3C86">
        <w:rPr>
          <w:rFonts w:ascii="Times New Roman" w:eastAsia="Times New Roman" w:hAnsi="Times New Roman"/>
          <w:sz w:val="24"/>
          <w:szCs w:val="24"/>
          <w:lang w:eastAsia="pl-PL"/>
        </w:rPr>
        <w:t xml:space="preserve"> – kierować będzie upoważniony do przeprowadzenia rozprawy pracownik organu podatkowego drugiej instancji, przed którym toczy się postępowanie. W przypadku gdy postępowanie toczy się przed</w:t>
      </w:r>
      <w:r w:rsidR="003F031F" w:rsidRPr="009A3C86">
        <w:rPr>
          <w:rFonts w:ascii="Times New Roman" w:eastAsia="Times New Roman" w:hAnsi="Times New Roman"/>
          <w:iCs/>
          <w:sz w:val="24"/>
          <w:szCs w:val="24"/>
          <w:lang w:eastAsia="pl-PL"/>
        </w:rPr>
        <w:t xml:space="preserve"> samorządowym kolegium odwoławczym, rozprawą kieruje przewodniczący składu albo upoważniony członek tego kolegium</w:t>
      </w:r>
      <w:r w:rsidR="003F031F" w:rsidRPr="009A3C86">
        <w:rPr>
          <w:rFonts w:ascii="Times New Roman" w:eastAsia="Times New Roman" w:hAnsi="Times New Roman"/>
          <w:sz w:val="24"/>
          <w:szCs w:val="24"/>
          <w:lang w:eastAsia="pl-PL"/>
        </w:rPr>
        <w:t xml:space="preserve"> (</w:t>
      </w:r>
      <w:r w:rsidR="003F031F" w:rsidRPr="009A3C86">
        <w:rPr>
          <w:rFonts w:ascii="Times New Roman" w:eastAsia="Times New Roman" w:hAnsi="Times New Roman"/>
          <w:b/>
          <w:sz w:val="24"/>
          <w:szCs w:val="24"/>
          <w:lang w:eastAsia="pl-PL"/>
        </w:rPr>
        <w:t xml:space="preserve">art. </w:t>
      </w:r>
      <w:r w:rsidR="0033231B" w:rsidRPr="009A3C86">
        <w:rPr>
          <w:rFonts w:ascii="Times New Roman" w:eastAsia="Times New Roman" w:hAnsi="Times New Roman"/>
          <w:b/>
          <w:sz w:val="24"/>
          <w:szCs w:val="24"/>
          <w:lang w:eastAsia="pl-PL"/>
        </w:rPr>
        <w:t>408</w:t>
      </w:r>
      <w:r w:rsidR="003F031F" w:rsidRPr="009A3C86">
        <w:rPr>
          <w:rFonts w:ascii="Times New Roman" w:eastAsia="Times New Roman" w:hAnsi="Times New Roman"/>
          <w:b/>
          <w:sz w:val="24"/>
          <w:szCs w:val="24"/>
          <w:lang w:eastAsia="pl-PL"/>
        </w:rPr>
        <w:t xml:space="preserve"> § 2</w:t>
      </w:r>
      <w:r w:rsidR="003F031F" w:rsidRPr="009A3C86">
        <w:rPr>
          <w:rFonts w:ascii="Times New Roman" w:eastAsia="Times New Roman" w:hAnsi="Times New Roman"/>
          <w:sz w:val="24"/>
          <w:szCs w:val="24"/>
          <w:lang w:eastAsia="pl-PL"/>
        </w:rPr>
        <w:t xml:space="preserve">). W toku rozprawy prowadzonej przed organem odwoławczym uczestniczyć będzie nie tylko strona, ewentualnie z reprezentującym ją pełnomocnikiem, ale </w:t>
      </w:r>
      <w:r w:rsidR="003F031F" w:rsidRPr="009A3C86">
        <w:rPr>
          <w:rFonts w:ascii="Times New Roman" w:eastAsia="Times New Roman" w:hAnsi="Times New Roman"/>
          <w:sz w:val="24"/>
          <w:szCs w:val="24"/>
          <w:lang w:eastAsia="pl-PL"/>
        </w:rPr>
        <w:lastRenderedPageBreak/>
        <w:t>również upoważniony pracownik organu I instancji, od którego decyzji wniesiono odwołanie (</w:t>
      </w:r>
      <w:r w:rsidR="003F031F" w:rsidRPr="009A3C86">
        <w:rPr>
          <w:rFonts w:ascii="Times New Roman" w:eastAsia="Times New Roman" w:hAnsi="Times New Roman"/>
          <w:b/>
          <w:sz w:val="24"/>
          <w:szCs w:val="24"/>
          <w:lang w:eastAsia="pl-PL"/>
        </w:rPr>
        <w:t xml:space="preserve">art. </w:t>
      </w:r>
      <w:r w:rsidR="0033231B" w:rsidRPr="009A3C86">
        <w:rPr>
          <w:rFonts w:ascii="Times New Roman" w:eastAsia="Times New Roman" w:hAnsi="Times New Roman"/>
          <w:b/>
          <w:sz w:val="24"/>
          <w:szCs w:val="24"/>
          <w:lang w:eastAsia="pl-PL"/>
        </w:rPr>
        <w:t>408</w:t>
      </w:r>
      <w:r w:rsidR="003F031F" w:rsidRPr="009A3C86">
        <w:rPr>
          <w:rFonts w:ascii="Times New Roman" w:eastAsia="Times New Roman" w:hAnsi="Times New Roman"/>
          <w:b/>
          <w:sz w:val="24"/>
          <w:szCs w:val="24"/>
          <w:lang w:eastAsia="pl-PL"/>
        </w:rPr>
        <w:t xml:space="preserve"> § 3</w:t>
      </w:r>
      <w:r w:rsidR="003F031F" w:rsidRPr="009A3C86">
        <w:rPr>
          <w:rFonts w:ascii="Times New Roman" w:eastAsia="Times New Roman" w:hAnsi="Times New Roman"/>
          <w:sz w:val="24"/>
          <w:szCs w:val="24"/>
          <w:lang w:eastAsia="pl-PL"/>
        </w:rPr>
        <w:t>). Poprzez uczestniczenie w rozprawie pracownika organu, który wydał decyzję, postępowanie nie nabiera cech postępowania kontradyktoryjnego, w którym mamy do czynienia z dwoma przeciwstawnymi interesami i dwiema stronami, które będą wykazywały określone okoliczności, z których wywodzą konsekwencje prawne</w:t>
      </w:r>
      <w:r w:rsidR="003F031F" w:rsidRPr="009A3C86">
        <w:rPr>
          <w:rFonts w:ascii="Times New Roman" w:eastAsia="Times New Roman" w:hAnsi="Times New Roman"/>
          <w:sz w:val="24"/>
          <w:szCs w:val="24"/>
          <w:vertAlign w:val="superscript"/>
          <w:lang w:eastAsia="pl-PL"/>
        </w:rPr>
        <w:footnoteReference w:customMarkFollows="1" w:id="425"/>
        <w:t>401</w:t>
      </w:r>
      <w:r w:rsidR="003F031F" w:rsidRPr="009A3C86">
        <w:rPr>
          <w:rFonts w:ascii="Times New Roman" w:eastAsia="Times New Roman" w:hAnsi="Times New Roman"/>
          <w:sz w:val="24"/>
          <w:szCs w:val="24"/>
          <w:lang w:eastAsia="pl-PL"/>
        </w:rPr>
        <w:t>. Pracownik organu I instancji nie staje się stroną postępowania, a pracownik organu odwoławczego nie staje się arbitrem w sprawie. Rozwiązanie to stanowi odpowiednik dotychczasowego art. 200c o.p.</w:t>
      </w:r>
    </w:p>
    <w:p w:rsidR="00AB6ACC" w:rsidRPr="009A3C86" w:rsidRDefault="003F031F" w:rsidP="00AB6ACC">
      <w:pPr>
        <w:autoSpaceDE w:val="0"/>
        <w:autoSpaceDN w:val="0"/>
        <w:adjustRightInd w:val="0"/>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6. </w:t>
      </w:r>
      <w:r w:rsidR="00AB6ACC" w:rsidRPr="009A3C86">
        <w:rPr>
          <w:rFonts w:ascii="Times New Roman" w:eastAsia="Times New Roman" w:hAnsi="Times New Roman"/>
          <w:sz w:val="24"/>
          <w:szCs w:val="24"/>
          <w:lang w:eastAsia="pl-PL"/>
        </w:rPr>
        <w:t>Ponadto proponuje się wprowadzenie generalnej zasady, iż nieobecność prawidłowo zawiadomionej strony nie stanowi przeszkody do przeprowadzenia rozprawy (</w:t>
      </w:r>
      <w:r w:rsidR="00AB6ACC" w:rsidRPr="009A3C86">
        <w:rPr>
          <w:rFonts w:ascii="Times New Roman" w:eastAsia="Times New Roman" w:hAnsi="Times New Roman"/>
          <w:b/>
          <w:sz w:val="24"/>
          <w:szCs w:val="24"/>
          <w:lang w:eastAsia="pl-PL"/>
        </w:rPr>
        <w:t xml:space="preserve">art. </w:t>
      </w:r>
      <w:r w:rsidR="0033231B" w:rsidRPr="009A3C86">
        <w:rPr>
          <w:rFonts w:ascii="Times New Roman" w:eastAsia="Times New Roman" w:hAnsi="Times New Roman"/>
          <w:b/>
          <w:sz w:val="24"/>
          <w:szCs w:val="24"/>
          <w:lang w:eastAsia="pl-PL"/>
        </w:rPr>
        <w:t>409</w:t>
      </w:r>
      <w:r w:rsidR="00AB6ACC" w:rsidRPr="009A3C86">
        <w:rPr>
          <w:rFonts w:ascii="Times New Roman" w:eastAsia="Times New Roman" w:hAnsi="Times New Roman"/>
          <w:b/>
          <w:sz w:val="24"/>
          <w:szCs w:val="24"/>
          <w:lang w:eastAsia="pl-PL"/>
        </w:rPr>
        <w:t xml:space="preserve"> § 1</w:t>
      </w:r>
      <w:r w:rsidR="00AB6ACC" w:rsidRPr="009A3C86">
        <w:rPr>
          <w:rFonts w:ascii="Times New Roman" w:eastAsia="Times New Roman" w:hAnsi="Times New Roman"/>
          <w:sz w:val="24"/>
          <w:szCs w:val="24"/>
          <w:lang w:eastAsia="pl-PL"/>
        </w:rPr>
        <w:t>). Przewodniczący rozprawie powinien mieć jednak możliwość odroczenia rozprawy, jeżeli stwierdzi poważne uchybienia w wezwaniu strony lub trudne do przezwyciężenia przeszkody, a także inne ważne przyczyny uniemożliwiające stronie uczestniczenie w rozprawie (</w:t>
      </w:r>
      <w:r w:rsidR="00AB6ACC" w:rsidRPr="009A3C86">
        <w:rPr>
          <w:rFonts w:ascii="Times New Roman" w:eastAsia="Times New Roman" w:hAnsi="Times New Roman"/>
          <w:b/>
          <w:sz w:val="24"/>
          <w:szCs w:val="24"/>
          <w:lang w:eastAsia="pl-PL"/>
        </w:rPr>
        <w:t xml:space="preserve">art. </w:t>
      </w:r>
      <w:r w:rsidR="0033231B" w:rsidRPr="009A3C86">
        <w:rPr>
          <w:rFonts w:ascii="Times New Roman" w:eastAsia="Times New Roman" w:hAnsi="Times New Roman"/>
          <w:b/>
          <w:sz w:val="24"/>
          <w:szCs w:val="24"/>
          <w:lang w:eastAsia="pl-PL"/>
        </w:rPr>
        <w:t>409</w:t>
      </w:r>
      <w:r w:rsidR="00AB6ACC" w:rsidRPr="009A3C86">
        <w:rPr>
          <w:rFonts w:ascii="Times New Roman" w:eastAsia="Times New Roman" w:hAnsi="Times New Roman"/>
          <w:b/>
          <w:sz w:val="24"/>
          <w:szCs w:val="24"/>
          <w:lang w:eastAsia="pl-PL"/>
        </w:rPr>
        <w:t xml:space="preserve"> § 2</w:t>
      </w:r>
      <w:r w:rsidR="00AB6ACC" w:rsidRPr="009A3C86">
        <w:rPr>
          <w:rFonts w:ascii="Times New Roman" w:eastAsia="Times New Roman" w:hAnsi="Times New Roman"/>
          <w:sz w:val="24"/>
          <w:szCs w:val="24"/>
          <w:lang w:eastAsia="pl-PL"/>
        </w:rPr>
        <w:t xml:space="preserve">). </w:t>
      </w:r>
    </w:p>
    <w:p w:rsidR="00AB6ACC" w:rsidRPr="009A3C86" w:rsidRDefault="00AB6ACC" w:rsidP="00D72E74">
      <w:pPr>
        <w:autoSpaceDE w:val="0"/>
        <w:autoSpaceDN w:val="0"/>
        <w:adjustRightInd w:val="0"/>
        <w:spacing w:after="12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7. Uprawnienia strony i kierującego rozprawą upoważnionego pracownika organu w sferze składania wyjaśnień, zgłaszania wniosków oraz przedstawiania dowodów, w tym możliwości uchylenia zadawanych pytań, zachowane zostaną w </w:t>
      </w:r>
      <w:r w:rsidRPr="009A3C86">
        <w:rPr>
          <w:rFonts w:ascii="Times New Roman" w:eastAsia="Times New Roman" w:hAnsi="Times New Roman"/>
          <w:b/>
          <w:sz w:val="24"/>
          <w:szCs w:val="24"/>
          <w:lang w:eastAsia="pl-PL"/>
        </w:rPr>
        <w:t xml:space="preserve">art. </w:t>
      </w:r>
      <w:r w:rsidR="00A27EE0" w:rsidRPr="009A3C86">
        <w:rPr>
          <w:rFonts w:ascii="Times New Roman" w:eastAsia="Times New Roman" w:hAnsi="Times New Roman"/>
          <w:b/>
          <w:sz w:val="24"/>
          <w:szCs w:val="24"/>
          <w:lang w:eastAsia="pl-PL"/>
        </w:rPr>
        <w:t>410</w:t>
      </w:r>
      <w:r w:rsidRPr="009A3C86">
        <w:rPr>
          <w:rFonts w:ascii="Times New Roman" w:eastAsia="Times New Roman" w:hAnsi="Times New Roman"/>
          <w:sz w:val="24"/>
          <w:szCs w:val="24"/>
          <w:lang w:eastAsia="pl-PL"/>
        </w:rPr>
        <w:t xml:space="preserve"> w dotychczasowym kształcie znanym z art. 200d o.p. Kierujący rozprawą może uchylić zadawane świadkom, biegłym i stronom pytania, jeżeli nie mają one istotnego znaczenia dla sprawy. Jednakże na wniosek strony należy zamieścić w protokole treść uchylonego pytania (</w:t>
      </w:r>
      <w:r w:rsidRPr="009A3C86">
        <w:rPr>
          <w:rFonts w:ascii="Times New Roman" w:eastAsia="Times New Roman" w:hAnsi="Times New Roman"/>
          <w:b/>
          <w:sz w:val="24"/>
          <w:szCs w:val="24"/>
          <w:lang w:eastAsia="pl-PL"/>
        </w:rPr>
        <w:t xml:space="preserve">art. </w:t>
      </w:r>
      <w:r w:rsidR="00A27EE0" w:rsidRPr="009A3C86">
        <w:rPr>
          <w:rFonts w:ascii="Times New Roman" w:eastAsia="Times New Roman" w:hAnsi="Times New Roman"/>
          <w:b/>
          <w:sz w:val="24"/>
          <w:szCs w:val="24"/>
          <w:lang w:eastAsia="pl-PL"/>
        </w:rPr>
        <w:t>410</w:t>
      </w:r>
      <w:r w:rsidRPr="009A3C86">
        <w:rPr>
          <w:rFonts w:ascii="Times New Roman" w:eastAsia="Times New Roman" w:hAnsi="Times New Roman"/>
          <w:b/>
          <w:sz w:val="24"/>
          <w:szCs w:val="24"/>
          <w:lang w:eastAsia="pl-PL"/>
        </w:rPr>
        <w:t xml:space="preserve"> § 2</w:t>
      </w:r>
      <w:r w:rsidRPr="009A3C86">
        <w:rPr>
          <w:rFonts w:ascii="Times New Roman" w:eastAsia="Times New Roman" w:hAnsi="Times New Roman"/>
          <w:sz w:val="24"/>
          <w:szCs w:val="24"/>
          <w:lang w:eastAsia="pl-PL"/>
        </w:rPr>
        <w:t>).</w:t>
      </w:r>
    </w:p>
    <w:p w:rsidR="00C70E14" w:rsidRPr="009A3C86" w:rsidRDefault="00C70E14" w:rsidP="00C70E14">
      <w:pPr>
        <w:spacing w:after="0" w:line="360" w:lineRule="auto"/>
        <w:jc w:val="both"/>
        <w:rPr>
          <w:rFonts w:ascii="Times New Roman" w:hAnsi="Times New Roman"/>
          <w:b/>
          <w:sz w:val="24"/>
          <w:szCs w:val="24"/>
        </w:rPr>
      </w:pPr>
      <w:r w:rsidRPr="009A3C86">
        <w:rPr>
          <w:rFonts w:ascii="Times New Roman" w:hAnsi="Times New Roman"/>
          <w:b/>
          <w:sz w:val="24"/>
          <w:szCs w:val="24"/>
        </w:rPr>
        <w:t>Rozdział 10. Umowa podatkowa</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1. Rozdział </w:t>
      </w:r>
      <w:r w:rsidRPr="009A3C86">
        <w:rPr>
          <w:rFonts w:ascii="Times New Roman" w:hAnsi="Times New Roman"/>
          <w:bCs/>
          <w:sz w:val="24"/>
          <w:szCs w:val="24"/>
        </w:rPr>
        <w:t xml:space="preserve">10 </w:t>
      </w:r>
      <w:r w:rsidRPr="009A3C86">
        <w:rPr>
          <w:rFonts w:ascii="Times New Roman" w:hAnsi="Times New Roman"/>
          <w:sz w:val="24"/>
          <w:szCs w:val="24"/>
        </w:rPr>
        <w:t>zatytułowany „Umowa podatkowa” kreuje nową instytucję procedury podatkowej. Dotyczy on konsensualnego (opartego na porozumieniu) sposobu załatwiania spraw podatkowych poprzez zawarcie umowy podatkowej między podatnikami a organami podatkowymi. Umowa podatkowa nie jest umową w znaczenie cywilistycznym. Z charakteru i umiejscowienia przepisów o umowie podatkowej wyraźnie wynika, że w tym przypadku nie mamy do czynienia z konstrukcją typową dla prawa cywilnego, opartą w decydującej mierze na równoprawności stron i ekwiwalentności świadczeń. Instytucja umowy podatkowej została wprowadzona tylko na użytek ordynacji podatkowej i nie jest możliwe w tym względzie odwoływanie się do przepisów Kodeksu cywilnego.</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Przyjęto, że umowa podatkowa nie zastępuje decyzji podatkowej – tj. samodzielnie nie rozstrzyga sprawy.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Możliwość zawarcia umowy podatkowej stanowi realizację zasady ugodowego załatwiania spraw (</w:t>
      </w:r>
      <w:r w:rsidRPr="009A3C86">
        <w:rPr>
          <w:rFonts w:ascii="Times New Roman" w:hAnsi="Times New Roman"/>
          <w:bCs/>
          <w:sz w:val="24"/>
          <w:szCs w:val="24"/>
        </w:rPr>
        <w:t>art. 28 § 2</w:t>
      </w:r>
      <w:r w:rsidRPr="009A3C86">
        <w:rPr>
          <w:rFonts w:ascii="Times New Roman" w:hAnsi="Times New Roman"/>
          <w:sz w:val="24"/>
          <w:szCs w:val="24"/>
        </w:rPr>
        <w:t>).</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Obecnie ordynacja podatkowa nie stwarza </w:t>
      </w:r>
      <w:r w:rsidRPr="009A3C86">
        <w:rPr>
          <w:rFonts w:ascii="Times New Roman" w:hAnsi="Times New Roman"/>
          <w:i/>
          <w:sz w:val="24"/>
          <w:szCs w:val="24"/>
        </w:rPr>
        <w:t>expressis verbis</w:t>
      </w:r>
      <w:r w:rsidRPr="009A3C86">
        <w:rPr>
          <w:rFonts w:ascii="Times New Roman" w:hAnsi="Times New Roman"/>
          <w:sz w:val="24"/>
          <w:szCs w:val="24"/>
        </w:rPr>
        <w:t xml:space="preserve"> prawnej możliwości rozstrzygania spraw podatkowych (względnie szczegółowych kwestii, których ustalenie stanowi niezbędny etap procesu wiodącego do takiego rozstrzygnięcia) w drodze uzgodnień dokonywanych przez strony stosunku podatkowoprawnego. Faktycznie dochodzenie przez zobowiązanych i organy podatkowe do zgody co do właściwego załatwienia spraw podatkowych ma miejsce już pod rządami obowiązującej o.p. (np. w sprawach dotyczących </w:t>
      </w:r>
      <w:r w:rsidR="00EE037E" w:rsidRPr="009A3C86">
        <w:rPr>
          <w:rFonts w:ascii="Times New Roman" w:hAnsi="Times New Roman"/>
          <w:sz w:val="24"/>
          <w:szCs w:val="24"/>
        </w:rPr>
        <w:t>uprzednich porozumień cenowych</w:t>
      </w:r>
      <w:r w:rsidRPr="009A3C86">
        <w:rPr>
          <w:rFonts w:ascii="Times New Roman" w:hAnsi="Times New Roman"/>
          <w:sz w:val="24"/>
          <w:szCs w:val="24"/>
        </w:rPr>
        <w:t xml:space="preserve">). Brak jasnej podstawy normatywnej dla takich uzgodnień stoi jednak na przeszkodzie upowszechnieniu się takiej praktyki.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Sprawy podatkowe długo i niesłusznie uchodziły ze swej natury za zasadniczo „nienegocjacyjne” – tj. takie, których rozstrzyganie w drodze konsensusu między organem podatkowym a stroną sporu jest niedopuszczalne. Tymczasem przestrzeń negocjacyjna (przestrzeń rozmowy i uzgodnień) między podatnikiem a organem podatkowym otwiera się nie tylko w sprawach rozstrzyganych w warunkach tzw. uznania administracyjnego (np. w sprawach ulg w spłacie podatku)</w:t>
      </w:r>
      <w:r w:rsidRPr="009A3C86">
        <w:rPr>
          <w:rFonts w:ascii="Times New Roman" w:hAnsi="Times New Roman"/>
          <w:sz w:val="24"/>
          <w:szCs w:val="24"/>
          <w:vertAlign w:val="superscript"/>
        </w:rPr>
        <w:footnoteReference w:id="426"/>
      </w:r>
      <w:r w:rsidRPr="009A3C86">
        <w:rPr>
          <w:rFonts w:ascii="Times New Roman" w:hAnsi="Times New Roman"/>
          <w:sz w:val="24"/>
          <w:szCs w:val="24"/>
        </w:rPr>
        <w:t>. Wprawdzie w praktyce nie każda sprawa nadaje się do rozwiązania polubownego, jednak w odniesieniu do spraw bardziej złożonych nie sposób z góry przewidzieć, w której – w ramach działania zgodnego z prawem – uda się zawrzeć umowę, a w której nie, tym samym nie jest zasadne wprowadzanie zamkniętego katalogu takich spraw. Potencjał negocjacyjny sprawy ujawnia się często dopiero w dyskusji między stronami sporu</w:t>
      </w:r>
      <w:r w:rsidRPr="009A3C86">
        <w:rPr>
          <w:rFonts w:ascii="Times New Roman" w:hAnsi="Times New Roman"/>
          <w:sz w:val="24"/>
          <w:szCs w:val="24"/>
          <w:vertAlign w:val="superscript"/>
        </w:rPr>
        <w:footnoteReference w:id="427"/>
      </w:r>
      <w:r w:rsidRPr="009A3C86">
        <w:rPr>
          <w:rFonts w:ascii="Times New Roman" w:hAnsi="Times New Roman"/>
          <w:sz w:val="24"/>
          <w:szCs w:val="24"/>
        </w:rPr>
        <w:t>. Przepisy powinny stwarzać podstawę do takiej dyskusji, a nawet ją promować.</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Konsensualne załatwianie spraw (w tym podatkowych) ma wiele zalet. Przyczynia się do sprawności, szybkości i prostoty rozliczenia oraz samego postępowania, daje oszczędności czasu i środków finansowych obu stron (potencjalnego lub zaistniałego) sporu, zwiększa efektywność działania organów podatkowych, pozwala na odciążenie sądów administracyjnych. Podstawową korzyścią jest to, że w wyniku załatwienia sprawy w ten sposób obie strony są usatysfakcjonowane, co – w szczególności – daje szanse dobrowolnego wykonania zobowiązania podatkowego przez podatnika oraz dobrze rokuje współpracy między </w:t>
      </w:r>
      <w:r w:rsidRPr="009A3C86">
        <w:rPr>
          <w:rFonts w:ascii="Times New Roman" w:hAnsi="Times New Roman"/>
          <w:sz w:val="24"/>
          <w:szCs w:val="24"/>
        </w:rPr>
        <w:lastRenderedPageBreak/>
        <w:t>nim a organami podatkowymi w przyszłości. Nawet jednak niepowodzenie próby konsensualnego załatwienia sprawy ma przewagę nad sytuacją, w której strony sporu próby takiej w ogóle nie podjęły. Zawsze bowiem rozmowa daje im szansę okazania sobie wzajemnie szacunku, wzięcia aktywnego udziału w dotyczącym ich spraw sporze, swobodnego wyrażenia swoich racji i wysłuchania racji adwersarza itd., co wpływa pozytywnie na ich poczucie sprawiedliwości proceduralnej</w:t>
      </w:r>
      <w:r w:rsidRPr="009A3C86">
        <w:rPr>
          <w:rFonts w:ascii="Times New Roman" w:hAnsi="Times New Roman"/>
          <w:sz w:val="24"/>
          <w:szCs w:val="24"/>
          <w:vertAlign w:val="superscript"/>
        </w:rPr>
        <w:footnoteReference w:id="428"/>
      </w:r>
      <w:r w:rsidRPr="009A3C86">
        <w:rPr>
          <w:rFonts w:ascii="Times New Roman" w:hAnsi="Times New Roman"/>
          <w:sz w:val="24"/>
          <w:szCs w:val="24"/>
        </w:rPr>
        <w:t>.</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Należy w tym miejscu podkreślić, że regulacja niewładczych form działania organów podatkowych jest podstawą normatywną konieczną do przeprowadzenia zmiany w sposobie załatwiania spraw podatkowych. Bez jej ustanowienia zmiana taka nie byłaby możliwa. Jednocześnie wyraźnie należy zaznaczyć, że sama regulacja zmiany tej nie gwarantuje, lecz tylko stwarza jej szansę.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2. Przyjęto, że umowa podatkowa nie zastępuje decyzji podatkowej, tj. samodzielnie nie rozstrzyga sprawy. Nazwa „umowa podatkowa” nawiązuje do tej, która – zgodnie z pierwotnym projektem – miała zostać przyjęta w wyniku nowelizacji k.p.a. („umowa administracyjna”)</w:t>
      </w:r>
      <w:r w:rsidRPr="009A3C86">
        <w:rPr>
          <w:rFonts w:ascii="Times New Roman" w:hAnsi="Times New Roman"/>
          <w:sz w:val="24"/>
          <w:szCs w:val="24"/>
          <w:vertAlign w:val="superscript"/>
        </w:rPr>
        <w:footnoteReference w:id="429"/>
      </w:r>
      <w:r w:rsidRPr="009A3C86">
        <w:rPr>
          <w:rFonts w:ascii="Times New Roman" w:hAnsi="Times New Roman"/>
          <w:sz w:val="24"/>
          <w:szCs w:val="24"/>
        </w:rPr>
        <w:t xml:space="preserve">.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Regulacja ta nie kreuje nowej, odrębnej i sformalizowanej procedury, lecz stanowi zespół przepisów regulujących instytucję umowy podatkowej na potrzeby ukształtowanych procedur. Obejmuje w szczególności normę kompetencyjną dla organów podatkowych do zawierania umów z podatnikami oraz określa formę procesową umowy i skutki prawne jej zawarcia.</w:t>
      </w:r>
    </w:p>
    <w:p w:rsidR="0094586B" w:rsidRPr="009A3C86" w:rsidRDefault="00C70E14" w:rsidP="009A3C86">
      <w:pPr>
        <w:shd w:val="clear" w:color="auto" w:fill="FFFFFF" w:themeFill="background1"/>
        <w:spacing w:after="0" w:line="360" w:lineRule="auto"/>
        <w:jc w:val="both"/>
        <w:rPr>
          <w:rFonts w:ascii="Times New Roman" w:hAnsi="Times New Roman"/>
          <w:sz w:val="24"/>
          <w:szCs w:val="24"/>
        </w:rPr>
      </w:pPr>
      <w:r w:rsidRPr="009A3C86">
        <w:rPr>
          <w:rFonts w:ascii="Times New Roman" w:hAnsi="Times New Roman"/>
          <w:sz w:val="24"/>
          <w:szCs w:val="24"/>
        </w:rPr>
        <w:t xml:space="preserve">W pierwszym rzędzie przepisy te mają zastosowanie w postępowaniu podatkowym, zarówno w pierwszej, jak i w drugiej instancji (stąd ich umiejscowienie w dziale </w:t>
      </w:r>
      <w:r w:rsidRPr="009A3C86">
        <w:rPr>
          <w:rFonts w:ascii="Times New Roman" w:hAnsi="Times New Roman"/>
          <w:bCs/>
          <w:sz w:val="24"/>
          <w:szCs w:val="24"/>
        </w:rPr>
        <w:t>III</w:t>
      </w:r>
      <w:r w:rsidRPr="009A3C86">
        <w:rPr>
          <w:rFonts w:ascii="Times New Roman" w:hAnsi="Times New Roman"/>
          <w:sz w:val="24"/>
          <w:szCs w:val="24"/>
        </w:rPr>
        <w:t xml:space="preserve">). Mają one jednak odpowiednie zastosowanie także w innych procedurach podatkowych, w tym w toku kontroli podatkowej lub czynności sprawdzających (zob. </w:t>
      </w:r>
      <w:r w:rsidRPr="009A3C86">
        <w:rPr>
          <w:rFonts w:ascii="Times New Roman" w:hAnsi="Times New Roman"/>
          <w:bCs/>
          <w:sz w:val="24"/>
          <w:szCs w:val="24"/>
        </w:rPr>
        <w:t xml:space="preserve">art. </w:t>
      </w:r>
      <w:r w:rsidR="00CE6458" w:rsidRPr="009A3C86">
        <w:rPr>
          <w:rFonts w:ascii="Times New Roman" w:hAnsi="Times New Roman"/>
          <w:bCs/>
          <w:sz w:val="24"/>
          <w:szCs w:val="24"/>
        </w:rPr>
        <w:t>665</w:t>
      </w:r>
      <w:r w:rsidRPr="009A3C86">
        <w:rPr>
          <w:rFonts w:ascii="Times New Roman" w:hAnsi="Times New Roman"/>
          <w:bCs/>
          <w:sz w:val="24"/>
          <w:szCs w:val="24"/>
        </w:rPr>
        <w:t xml:space="preserve"> i </w:t>
      </w:r>
      <w:r w:rsidR="00A86A02" w:rsidRPr="009A3C86">
        <w:rPr>
          <w:rFonts w:ascii="Times New Roman" w:hAnsi="Times New Roman"/>
          <w:bCs/>
          <w:sz w:val="24"/>
          <w:szCs w:val="24"/>
        </w:rPr>
        <w:t>670</w:t>
      </w:r>
      <w:r w:rsidRPr="009A3C86">
        <w:rPr>
          <w:rFonts w:ascii="Times New Roman" w:hAnsi="Times New Roman"/>
          <w:sz w:val="24"/>
          <w:szCs w:val="24"/>
        </w:rPr>
        <w:t>).</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bCs/>
          <w:sz w:val="24"/>
          <w:szCs w:val="24"/>
        </w:rPr>
        <w:t xml:space="preserve">art. </w:t>
      </w:r>
      <w:r w:rsidR="00A27EE0" w:rsidRPr="009A3C86">
        <w:rPr>
          <w:rFonts w:ascii="Times New Roman" w:hAnsi="Times New Roman"/>
          <w:b/>
          <w:bCs/>
          <w:sz w:val="24"/>
          <w:szCs w:val="24"/>
        </w:rPr>
        <w:t>411</w:t>
      </w:r>
      <w:r w:rsidRPr="009A3C86">
        <w:rPr>
          <w:rFonts w:ascii="Times New Roman" w:hAnsi="Times New Roman"/>
          <w:bCs/>
          <w:sz w:val="24"/>
          <w:szCs w:val="24"/>
        </w:rPr>
        <w:t xml:space="preserve"> </w:t>
      </w:r>
      <w:r w:rsidRPr="009A3C86">
        <w:rPr>
          <w:rFonts w:ascii="Times New Roman" w:hAnsi="Times New Roman"/>
          <w:sz w:val="24"/>
          <w:szCs w:val="24"/>
        </w:rPr>
        <w:t>zawiera ogólną normę kompetencyjną dla organu podatkowego do zawarcia umowy podatkowej i określa jej zakres przedmiotowy. Zakres ten odpowiada „przestrzeni negocjacyjnej” między organem podatkowym a podatnikiem.</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xml:space="preserve">art. </w:t>
      </w:r>
      <w:r w:rsidR="00564317" w:rsidRPr="009A3C86">
        <w:rPr>
          <w:rFonts w:ascii="Times New Roman" w:hAnsi="Times New Roman"/>
          <w:b/>
          <w:bCs/>
          <w:sz w:val="24"/>
          <w:szCs w:val="24"/>
        </w:rPr>
        <w:t>411</w:t>
      </w:r>
      <w:r w:rsidRPr="009A3C86">
        <w:rPr>
          <w:rFonts w:ascii="Times New Roman" w:hAnsi="Times New Roman"/>
          <w:b/>
          <w:sz w:val="24"/>
          <w:szCs w:val="24"/>
        </w:rPr>
        <w:t xml:space="preserve"> </w:t>
      </w:r>
      <w:r w:rsidRPr="009A3C86">
        <w:rPr>
          <w:rFonts w:ascii="Times New Roman" w:hAnsi="Times New Roman"/>
          <w:b/>
          <w:bCs/>
          <w:sz w:val="24"/>
          <w:szCs w:val="24"/>
        </w:rPr>
        <w:t>§ 1</w:t>
      </w:r>
      <w:r w:rsidRPr="009A3C86">
        <w:rPr>
          <w:rFonts w:ascii="Times New Roman" w:hAnsi="Times New Roman"/>
          <w:sz w:val="24"/>
          <w:szCs w:val="24"/>
        </w:rPr>
        <w:t xml:space="preserve"> upoważnia organ podatkowy do zawarcia umowy podatkowej. O braku związania organu wnioskiem strony w tym względzie przesądza użycie wyrazu „mogą” w </w:t>
      </w:r>
      <w:r w:rsidRPr="009A3C86">
        <w:rPr>
          <w:rFonts w:ascii="Times New Roman" w:hAnsi="Times New Roman"/>
          <w:b/>
          <w:bCs/>
          <w:sz w:val="24"/>
          <w:szCs w:val="24"/>
        </w:rPr>
        <w:t>§ 1</w:t>
      </w:r>
      <w:r w:rsidRPr="009A3C86">
        <w:rPr>
          <w:rFonts w:ascii="Times New Roman" w:hAnsi="Times New Roman"/>
          <w:sz w:val="24"/>
          <w:szCs w:val="24"/>
        </w:rPr>
        <w:t xml:space="preserve">. </w:t>
      </w:r>
      <w:r w:rsidRPr="009A3C86">
        <w:rPr>
          <w:rFonts w:ascii="Times New Roman" w:hAnsi="Times New Roman"/>
          <w:sz w:val="24"/>
          <w:szCs w:val="24"/>
        </w:rPr>
        <w:lastRenderedPageBreak/>
        <w:t xml:space="preserve">W obu konfiguracjach umowa podatkowa ma więc charakter konsensualny dla obu związanych nią podmiotów: w każdym przypadku opiera się na zgodzie organu podatkowego oraz strony. Zgodnie z </w:t>
      </w:r>
      <w:r w:rsidRPr="009A3C86">
        <w:rPr>
          <w:rFonts w:ascii="Times New Roman" w:hAnsi="Times New Roman"/>
          <w:b/>
          <w:sz w:val="24"/>
          <w:szCs w:val="24"/>
        </w:rPr>
        <w:t xml:space="preserve">art. </w:t>
      </w:r>
      <w:r w:rsidR="00564317" w:rsidRPr="009A3C86">
        <w:rPr>
          <w:rFonts w:ascii="Times New Roman" w:hAnsi="Times New Roman"/>
          <w:b/>
          <w:sz w:val="24"/>
          <w:szCs w:val="24"/>
        </w:rPr>
        <w:t>411</w:t>
      </w:r>
      <w:r w:rsidRPr="009A3C86">
        <w:rPr>
          <w:rFonts w:ascii="Times New Roman" w:hAnsi="Times New Roman"/>
          <w:b/>
          <w:sz w:val="24"/>
          <w:szCs w:val="24"/>
        </w:rPr>
        <w:t xml:space="preserve"> § </w:t>
      </w:r>
      <w:r w:rsidR="00A27EE0" w:rsidRPr="009A3C86">
        <w:rPr>
          <w:rFonts w:ascii="Times New Roman" w:hAnsi="Times New Roman"/>
          <w:b/>
          <w:sz w:val="24"/>
          <w:szCs w:val="24"/>
        </w:rPr>
        <w:t>4</w:t>
      </w:r>
      <w:r w:rsidRPr="009A3C86">
        <w:rPr>
          <w:rFonts w:ascii="Times New Roman" w:hAnsi="Times New Roman"/>
          <w:sz w:val="24"/>
          <w:szCs w:val="24"/>
        </w:rPr>
        <w:t xml:space="preserve"> w razie odmowy zawarcia umowy podatkowej organ podatkowy wydaje postanowienie (na które nie przysługuje zażalenie).</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xml:space="preserve">§ </w:t>
      </w:r>
      <w:r w:rsidR="00A27EE0" w:rsidRPr="009A3C86">
        <w:rPr>
          <w:rFonts w:ascii="Times New Roman" w:hAnsi="Times New Roman"/>
          <w:b/>
          <w:bCs/>
          <w:sz w:val="24"/>
          <w:szCs w:val="24"/>
        </w:rPr>
        <w:t>2</w:t>
      </w:r>
      <w:r w:rsidRPr="009A3C86">
        <w:rPr>
          <w:rFonts w:ascii="Times New Roman" w:hAnsi="Times New Roman"/>
          <w:sz w:val="24"/>
          <w:szCs w:val="24"/>
        </w:rPr>
        <w:t xml:space="preserve"> zakreśla nieprzekraczalne granice wszelkich umów: stanowi, że umowa podatkowa zostaje zawarta w granicach prawa. To bezwzględny warunek, który znajduje zastosowanie niezależnie od wszelkich dodatkowych uściśleń i wyjaśnień zawartych w tym i kolejnych przepisach oraz ujętych w niniejszym uzasadnieniu. Nie może więc zostać zawarta umowa z prawem sprzeczna; w istocie czynność taka nie miałaby charakteru umowy podatkowej, o której mowa w rozdziale 10 i innych przepisach projektowanego aktu.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 </w:t>
      </w:r>
      <w:r w:rsidR="00A27EE0" w:rsidRPr="009A3C86">
        <w:rPr>
          <w:rFonts w:ascii="Times New Roman" w:hAnsi="Times New Roman"/>
          <w:b/>
          <w:sz w:val="24"/>
          <w:szCs w:val="24"/>
        </w:rPr>
        <w:t>3</w:t>
      </w:r>
      <w:r w:rsidRPr="009A3C86">
        <w:rPr>
          <w:rFonts w:ascii="Times New Roman" w:hAnsi="Times New Roman"/>
          <w:sz w:val="24"/>
          <w:szCs w:val="24"/>
        </w:rPr>
        <w:t xml:space="preserve"> umowa podatkowa nie może:</w:t>
      </w:r>
    </w:p>
    <w:p w:rsidR="00C70E14" w:rsidRPr="009A3C86" w:rsidRDefault="00C70E14" w:rsidP="00C70E14">
      <w:pPr>
        <w:numPr>
          <w:ilvl w:val="0"/>
          <w:numId w:val="5"/>
        </w:numPr>
        <w:spacing w:after="0" w:line="360" w:lineRule="auto"/>
        <w:ind w:left="777" w:hanging="357"/>
        <w:jc w:val="both"/>
        <w:rPr>
          <w:rFonts w:ascii="Times New Roman" w:hAnsi="Times New Roman"/>
          <w:sz w:val="24"/>
          <w:szCs w:val="24"/>
        </w:rPr>
      </w:pPr>
      <w:r w:rsidRPr="009A3C86">
        <w:rPr>
          <w:rFonts w:ascii="Times New Roman" w:hAnsi="Times New Roman"/>
          <w:sz w:val="24"/>
          <w:szCs w:val="24"/>
        </w:rPr>
        <w:t>polegać na ustaleniach, w tym wzajemnych ustępstwach, dotyczących bezpośrednio wysokości wymiaru podatku;</w:t>
      </w:r>
    </w:p>
    <w:p w:rsidR="00C70E14" w:rsidRPr="009A3C86" w:rsidRDefault="00C70E14" w:rsidP="00C70E14">
      <w:pPr>
        <w:numPr>
          <w:ilvl w:val="0"/>
          <w:numId w:val="5"/>
        </w:numPr>
        <w:spacing w:after="0" w:line="360" w:lineRule="auto"/>
        <w:ind w:left="777" w:hanging="357"/>
        <w:jc w:val="both"/>
        <w:rPr>
          <w:rFonts w:ascii="Times New Roman" w:hAnsi="Times New Roman"/>
          <w:sz w:val="24"/>
          <w:szCs w:val="24"/>
        </w:rPr>
      </w:pPr>
      <w:r w:rsidRPr="009A3C86">
        <w:rPr>
          <w:rFonts w:ascii="Times New Roman" w:hAnsi="Times New Roman"/>
          <w:sz w:val="24"/>
          <w:szCs w:val="24"/>
        </w:rPr>
        <w:t>dotyczyć przesłanek stwierdzenia unikania opodatkowania w rozumieniu art. 35 lub umownych klauzul przeciwko unikaniu opodatkowania, albo nadużycia prawa w rozumieniu art. 5 ust. 5 ustawy z dnia 11 marca 2004 r. o podatku od towarów i usług.</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 Przepis ten przesądza, że przedmiotem uzgodnień między organem podatkowym a zobowiązanym nie może stać się bezpośrednio kwota podatku – nie mogą oni prowadzić targów o tę kwotę. Takie negocjacje nie byłyby zgodne z polskim porządkiem konstytucyjnym (ze względu na art. 84 i 217, a także art. 2 Konstytucji). Kwota podatku (wysokość zobowiązania podatkowego) wynika z zastosowania do stanu faktycznego normy prawnej. Jednocześnie, chociaż wysokość wymiaru podatku nie będzie podlegała uzgodnieniom bezpośrednio, uzgodnienia będą mogły wpływać na tę wartość pośrednio, jako pochodną np. od powziętych wspólnie ustaleń faktycznych. Organ podatkowy nie powinien mieć możliwości „ustalenia” lub „wykluczenia” umową podatkową przesłanek unikania opodatkowania np. poprzez stwierdzenie, że sposób działania nie był sztuczny albo że przeważającym celem towarzyszącym czynności były kwestie gospodarcze. Te ustalenia nie dotykają bezpośrednio wymiaru podatku w wyniku zastosowania klauzuli, a zatem konieczne jest wyraźne zawarcie takiego zakazu.</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Po trzecie, przepis </w:t>
      </w:r>
      <w:r w:rsidRPr="009A3C86">
        <w:rPr>
          <w:rFonts w:ascii="Times New Roman" w:hAnsi="Times New Roman"/>
          <w:b/>
          <w:bCs/>
          <w:sz w:val="24"/>
          <w:szCs w:val="24"/>
        </w:rPr>
        <w:t xml:space="preserve">§ </w:t>
      </w:r>
      <w:r w:rsidR="00A27EE0" w:rsidRPr="009A3C86">
        <w:rPr>
          <w:rFonts w:ascii="Times New Roman" w:hAnsi="Times New Roman"/>
          <w:b/>
          <w:bCs/>
          <w:sz w:val="24"/>
          <w:szCs w:val="24"/>
        </w:rPr>
        <w:t>2</w:t>
      </w:r>
      <w:r w:rsidRPr="009A3C86">
        <w:rPr>
          <w:rFonts w:ascii="Times New Roman" w:hAnsi="Times New Roman"/>
          <w:sz w:val="24"/>
          <w:szCs w:val="24"/>
        </w:rPr>
        <w:t xml:space="preserve"> zawiera otwarty katalog obszarów możliwych uzgodnień, określonych w sposób ogólny przedmiotów i przypadków, co do których i w których może być zawarta umowa podatkowa. Katalog ten nie jest wyczerpujący, ma on charakter przykładowy. Jego umieszczenie ma za zadanie konkretyzację ogólnej normy upoważniającej do zawierania umów.</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Umowa podatkowa może być zawarta w przypadku wątpliwości co do stanu faktycznego w sprawie, w tym wtedy gdy ich usunięcie w postępowaniu wiązałoby się z nadmiernymi trudnościami lub kosztami. Przepis ten obejmuje w istocie trzy przypadki, których wspólnym mianownikiem jest występowanie wątpliwości co do stanu faktycznego. Stan faktyczny może być ustalony wyłącznie w takim zakresie, że obiektywnie dopuszcza różne rozstrzygnięcia. Może też być tak, że usunięcie wątpliwości jest obiektywnie utrudnione (z uwagi na upływ czasu, niedostępność materialnych środków dowodowych, śmierć świadków itd.). Wreszcie w niektórych przypadkach próby ustalania stanu faktycznego byłyby niecelowe jako wiążące się z nadmiernymi trudnościami lub kosztami – zbyt wysokimi w stosunku do rezultatu, jaki można przy ich pomocy uzyskać.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Trzeba podkreślić, że przepis ten nie uprawnia do całkowitej rezygnacji z postępowania dowodowego. Po to bowiem, by stwierdzić istnienie wątpliwości, o których w nim mowa, trzeba najpierw w pewnym zakresie postępowanie to przeprowadzić. W wyniku zastosowania tego przepisu nie dojdzie także do naruszenia zasady prawdy obiektywnej. Podstawowym zadaniem organu pozostaje nadal ustalenie stanu faktycznego. Obok tej zasady obowiązują jednak także zasady celowości i efektywności oraz pragmatyzmu, zgodnie z którymi organy podatkowe działają w sposób celowy i efektywny, i mogą odstąpić od dokonania wymaganej przez przepis prawa czynności, jeżeli wiąże się ona z kosztami niewspółmiernymi do rezultatu, jaki można przez tę czynność osiągnąć, pod warunkiem że nie ogranicza to praw zobowiązanego i nie prowadzi do nałożenia na niego obowiązków (</w:t>
      </w:r>
      <w:r w:rsidRPr="009A3C86">
        <w:rPr>
          <w:rFonts w:ascii="Times New Roman" w:hAnsi="Times New Roman"/>
          <w:bCs/>
          <w:sz w:val="24"/>
          <w:szCs w:val="24"/>
        </w:rPr>
        <w:t>art. 22 § 1 i 2</w:t>
      </w:r>
      <w:r w:rsidRPr="009A3C86">
        <w:rPr>
          <w:rFonts w:ascii="Times New Roman" w:hAnsi="Times New Roman"/>
          <w:sz w:val="24"/>
          <w:szCs w:val="24"/>
        </w:rPr>
        <w:t>). Obowiązuje również zasada załatwiania spraw w porozumieniu z zobowiązanym (</w:t>
      </w:r>
      <w:r w:rsidRPr="009A3C86">
        <w:rPr>
          <w:rFonts w:ascii="Times New Roman" w:hAnsi="Times New Roman"/>
          <w:bCs/>
          <w:sz w:val="24"/>
          <w:szCs w:val="24"/>
        </w:rPr>
        <w:t>art. 28 § 2</w:t>
      </w:r>
      <w:r w:rsidRPr="009A3C86">
        <w:rPr>
          <w:rFonts w:ascii="Times New Roman" w:hAnsi="Times New Roman"/>
          <w:sz w:val="24"/>
          <w:szCs w:val="24"/>
        </w:rPr>
        <w:t xml:space="preserve">). Wszystkie te zasady stanowią standardy (nakazy optymalizacyjne), między którymi może dochodzić do kolizji. W takim przypadku zasady (a ściślej – wartości, które zasady te realizują) podlegają wyważeniu. Ostatecznie niektóre z nich (lub częściej – wszystkie) zostają zrealizowane w sposób niepełny – po to, by pozostawić przestrzeń dla realizacji pozostałych. Tak też jest w przypadku właśnie omawianym: zasada prawdy obiektywnej częściowo ustępuje po to, by w pewnym stopniu mogły zostać zrealizowane pozostałe zasady, np. zasada celowości i efektywności.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Współdziałanie strony w realizacji obowiązku organu do wyczerpującego zebrania i rozpatrzenia całego materiału dowodowego oraz realizacji zasady prawdy obiektywnej sprzyja realizacji tych obowiązków, a stronie daje poczucie czynnego uczestnictwa w postępowaniu</w:t>
      </w:r>
      <w:r w:rsidRPr="009A3C86">
        <w:rPr>
          <w:rFonts w:ascii="Times New Roman" w:hAnsi="Times New Roman"/>
          <w:sz w:val="24"/>
          <w:szCs w:val="24"/>
          <w:vertAlign w:val="superscript"/>
        </w:rPr>
        <w:footnoteReference w:id="430"/>
      </w:r>
      <w:r w:rsidRPr="009A3C86">
        <w:rPr>
          <w:rFonts w:ascii="Times New Roman" w:hAnsi="Times New Roman"/>
          <w:sz w:val="24"/>
          <w:szCs w:val="24"/>
        </w:rPr>
        <w:t xml:space="preserve">.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Należy także wskazać, że już na gruncie obowiązującej o.p. organy podatkowe faktycznie nie są (bo nie mogą być) zobowiązane do nieograniczonego i niepoddanego żadnym obostrzeniom gromadzenia materiału dowodowego. Czynności dowodowe podlegają rozlicznym ograniczeniom prawnym i faktycznym.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Należy także zwrócić uwagę, że skutkiem ustaleń ze stroną postępowania powziętych co do postępowania dowodowego może być nie tylko rezygnacja z niektórych czynności dowodowych, lecz decyzja o ich dokonaniu w sposób bardziej skuteczny lub efektywny, np. dzięki uzgodnieniu ze stroną kolejności lub terminu ich przeprowadzenia, ustaleniu dowodów, jakie zostaną przeprowadzone itd.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Wreszcie ustalenia dotyczące stanu faktycznego i postępowania dowodowego także w porządkach prawnych innych państw uznaje się za odpowiednie do prowadzenia negocjacji i zawierania ugód (zob. np. </w:t>
      </w:r>
      <w:r w:rsidRPr="009A3C86">
        <w:rPr>
          <w:rFonts w:ascii="Times New Roman" w:hAnsi="Times New Roman"/>
          <w:sz w:val="24"/>
          <w:szCs w:val="24"/>
          <w:lang w:val="en-US"/>
        </w:rPr>
        <w:t>„</w:t>
      </w:r>
      <w:r w:rsidRPr="009A3C86">
        <w:rPr>
          <w:rFonts w:ascii="Times New Roman" w:hAnsi="Times New Roman"/>
          <w:iCs/>
          <w:sz w:val="24"/>
          <w:szCs w:val="24"/>
          <w:lang w:val="en-US"/>
        </w:rPr>
        <w:t>Litigation and Settlement Strategy</w:t>
      </w:r>
      <w:r w:rsidRPr="009A3C86">
        <w:rPr>
          <w:rFonts w:ascii="Times New Roman" w:hAnsi="Times New Roman"/>
          <w:sz w:val="24"/>
          <w:szCs w:val="24"/>
          <w:lang w:val="en-US"/>
        </w:rPr>
        <w:t xml:space="preserve">” brytyjskiej administracji podatkowej HMRC – </w:t>
      </w:r>
      <w:r w:rsidRPr="009A3C86">
        <w:rPr>
          <w:rFonts w:ascii="Times New Roman" w:hAnsi="Times New Roman"/>
          <w:iCs/>
          <w:sz w:val="24"/>
          <w:szCs w:val="24"/>
          <w:lang w:val="en-US"/>
        </w:rPr>
        <w:t>Her Majesty’s Revenue and Customs</w:t>
      </w:r>
      <w:r w:rsidRPr="009A3C86">
        <w:rPr>
          <w:rFonts w:ascii="Times New Roman" w:hAnsi="Times New Roman"/>
          <w:sz w:val="24"/>
          <w:szCs w:val="24"/>
          <w:lang w:val="en-US"/>
        </w:rPr>
        <w:t>)</w:t>
      </w:r>
      <w:r w:rsidRPr="009A3C86">
        <w:rPr>
          <w:rFonts w:ascii="Times New Roman" w:hAnsi="Times New Roman"/>
          <w:sz w:val="24"/>
          <w:szCs w:val="24"/>
          <w:vertAlign w:val="superscript"/>
          <w:lang w:val="en-US"/>
        </w:rPr>
        <w:footnoteReference w:id="431"/>
      </w:r>
      <w:r w:rsidRPr="009A3C86">
        <w:rPr>
          <w:rFonts w:ascii="Times New Roman" w:hAnsi="Times New Roman"/>
          <w:sz w:val="24"/>
          <w:szCs w:val="24"/>
          <w:lang w:val="en-US"/>
        </w:rPr>
        <w:t xml:space="preserve">. </w:t>
      </w:r>
      <w:r w:rsidRPr="009A3C86">
        <w:rPr>
          <w:rFonts w:ascii="Times New Roman" w:hAnsi="Times New Roman"/>
          <w:sz w:val="24"/>
          <w:szCs w:val="24"/>
        </w:rPr>
        <w:t>Ustalenia faktyczne stanowią typowy obszar negocjacji z uwagi na złożoność stanów faktycznych występujących we współczesnym życiu społecznym i gospodarczym oraz naturalne ograniczenia postępowania dowodowego, wynikające tak z owej złożoności, jak i z ograniczonych środków pozostających w dyspozycji organów podatkowych.</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xml:space="preserve">art. </w:t>
      </w:r>
      <w:r w:rsidR="00564317" w:rsidRPr="009A3C86">
        <w:rPr>
          <w:rFonts w:ascii="Times New Roman" w:hAnsi="Times New Roman"/>
          <w:b/>
          <w:bCs/>
          <w:sz w:val="24"/>
          <w:szCs w:val="24"/>
        </w:rPr>
        <w:t>411</w:t>
      </w:r>
      <w:r w:rsidRPr="009A3C86">
        <w:rPr>
          <w:rFonts w:ascii="Times New Roman" w:hAnsi="Times New Roman"/>
          <w:b/>
          <w:bCs/>
          <w:sz w:val="24"/>
          <w:szCs w:val="24"/>
        </w:rPr>
        <w:t xml:space="preserve"> § </w:t>
      </w:r>
      <w:r w:rsidR="00564317" w:rsidRPr="009A3C86">
        <w:rPr>
          <w:rFonts w:ascii="Times New Roman" w:hAnsi="Times New Roman"/>
          <w:b/>
          <w:bCs/>
          <w:sz w:val="24"/>
          <w:szCs w:val="24"/>
        </w:rPr>
        <w:t>2</w:t>
      </w:r>
      <w:r w:rsidRPr="009A3C86">
        <w:rPr>
          <w:rFonts w:ascii="Times New Roman" w:hAnsi="Times New Roman"/>
          <w:sz w:val="24"/>
          <w:szCs w:val="24"/>
        </w:rPr>
        <w:t xml:space="preserve"> wymienia następnie jako obszar możliwych uzgodnień charakter albo wartość transakcji, czynności lub zdarzenia. Do kategorii tej należą spory o przedmiot transakcji (zespół aktywów lub jego zorganizowaną część) albo jego wartość (zwłaszcza spory dotyczące sposobu zastosowania przepisów o cenach transferowych). Sprawy te są trudne i sporne; co istotne, często nie istnieje ich jedyne poprawne rozwiązanie. Dotyczy to zwłaszcza wartości transakcji, która prawidłowa i dająca się uzasadnić wyrażona jest raczej przedziałem wartości niż konkretną liczbą. To stwarza kolejną naturalną przestrzeń do negocjacji między organem podatkowym a zobowiązanym.</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W dalszej kolejności przepis ten wymienia umowy podatkowe zawarte w przedmiocie zastosowania ulg w spłacie podatków, w szczególności rodzaju ulgi, którą należy zastosować oraz sposobu jej zastosowania. W tych przypadkach organ podatkowy działa w warunkach uznania administracyjnego, ale mimo to może w porozumieniu z zobowiązanym określić, jaki rodzaj ulgi zostanie zastosowany (np. umorzenie zaległości podatkowej, czy rozłożenie jej na raty) i w jaki sposób (np. na ile rat zostanie rozłożona zaległość podatkowa). </w:t>
      </w:r>
    </w:p>
    <w:p w:rsidR="00C70E14" w:rsidRPr="009A3C86" w:rsidRDefault="00C70E14" w:rsidP="00C70E14">
      <w:pPr>
        <w:spacing w:after="0" w:line="360" w:lineRule="auto"/>
        <w:jc w:val="both"/>
        <w:rPr>
          <w:rFonts w:ascii="Times New Roman" w:hAnsi="Times New Roman"/>
          <w:bCs/>
          <w:sz w:val="24"/>
          <w:szCs w:val="24"/>
        </w:rPr>
      </w:pPr>
      <w:r w:rsidRPr="009A3C86">
        <w:rPr>
          <w:rFonts w:ascii="Times New Roman" w:hAnsi="Times New Roman"/>
          <w:sz w:val="24"/>
          <w:szCs w:val="24"/>
        </w:rPr>
        <w:lastRenderedPageBreak/>
        <w:t>Kolejny przepis wymienia uzgodnienia co do poszczególnych zagadnień wynikających w toku postępowania podatkowego. Chodzi o szczegółowe kwestie, których ustalenie stanowi niezbędny etap procesu wiodącego do rozstrzygnięcia. Przedmiotem umowy będzie mogło stać się nie tylko rozstrzygnięcie sprawy, lecz także kwestie szczegółowe, które powstają w trakcie postępowania lub kontroli podatkowej, nieprzesądzające rozstrzygnięcia (np. zakres postępowania dowodowego, które należy przeprowadzić, zawieszenie postępowania podatkowego na określony czas za zgodą strony postępowania oraz organu, wytypowanie sprawy reprezentatywnej, lista zagadnień spornych między organem podatkowym a stroną, ułatwiająca prowadzenie sporu na dalszym jego etapie w sposób ustrukturyzowany i jego rozstrzygnięcie przez sąd administracyjny). Niepowodzenie próby powzięcia uzgodnień co do całości sprawy nie będzie wykluczać ich dokonania w węższym zakresie, np. co do listy punktów spornych i niespornych, cząstkowych ustaleń faktycznych itd.</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Wreszcie umowy podatkowe będą mogły zostać również zawarte, gdy stanowi tak przepis szczególny; chodzi w tym przypadku o przepisy innych ustaw podatkowych. Przykładami takich przepisów są art. 86 ust. 2e i art. 90 ust. 8 ustawy z dnia 11 marca 2004 r. o podatku od towarów i usług</w:t>
      </w:r>
      <w:r w:rsidR="00FF6FED" w:rsidRPr="009A3C86">
        <w:rPr>
          <w:rFonts w:ascii="Times New Roman" w:hAnsi="Times New Roman"/>
          <w:sz w:val="24"/>
          <w:szCs w:val="24"/>
        </w:rPr>
        <w:t xml:space="preserve"> </w:t>
      </w:r>
      <w:r w:rsidRPr="009A3C86">
        <w:rPr>
          <w:rFonts w:ascii="Times New Roman" w:hAnsi="Times New Roman"/>
          <w:sz w:val="24"/>
          <w:szCs w:val="24"/>
        </w:rPr>
        <w:t xml:space="preserve">dotyczące uzgadniania przez podatnika z naczelnikiem urzędu skarbowego (w formie protokołu) prognozy współczynnika VAT. Z uwagi na odpowiednie stosowanie przepisów o umowie podatkowej także w czynnościach sprawdzających uzgodnienia te będą mogły być dokonywane w ich proceduralnych ramach. Jednocześnie stosownie do art. </w:t>
      </w:r>
      <w:r w:rsidR="00564317" w:rsidRPr="009A3C86">
        <w:rPr>
          <w:rFonts w:ascii="Times New Roman" w:hAnsi="Times New Roman"/>
          <w:sz w:val="24"/>
          <w:szCs w:val="24"/>
        </w:rPr>
        <w:t>414</w:t>
      </w:r>
      <w:r w:rsidRPr="009A3C86">
        <w:rPr>
          <w:rFonts w:ascii="Times New Roman" w:hAnsi="Times New Roman"/>
          <w:sz w:val="24"/>
          <w:szCs w:val="24"/>
        </w:rPr>
        <w:t xml:space="preserve"> przepisy o umowie podatkowej będą się stosować odpowiednio do uzgodnień dokonywanych na podstawie przepisów odrębnych.</w:t>
      </w:r>
    </w:p>
    <w:p w:rsidR="00C70E14" w:rsidRPr="009A3C86" w:rsidRDefault="00C70E14" w:rsidP="00C70E14">
      <w:pPr>
        <w:tabs>
          <w:tab w:val="left" w:pos="3950"/>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817B16" w:rsidRPr="009A3C86">
        <w:rPr>
          <w:rFonts w:ascii="Times New Roman" w:hAnsi="Times New Roman"/>
          <w:b/>
          <w:sz w:val="24"/>
          <w:szCs w:val="24"/>
        </w:rPr>
        <w:t>412</w:t>
      </w:r>
      <w:r w:rsidRPr="009A3C86">
        <w:rPr>
          <w:rFonts w:ascii="Times New Roman" w:hAnsi="Times New Roman"/>
          <w:b/>
          <w:sz w:val="24"/>
          <w:szCs w:val="24"/>
        </w:rPr>
        <w:t xml:space="preserve"> § 1</w:t>
      </w:r>
      <w:r w:rsidRPr="009A3C86">
        <w:rPr>
          <w:rFonts w:ascii="Times New Roman" w:hAnsi="Times New Roman"/>
          <w:sz w:val="24"/>
          <w:szCs w:val="24"/>
        </w:rPr>
        <w:t xml:space="preserve"> stanowi, że w celu zawarcia umowy podatkowej organ podatkowy może zorganizować spotkanie uzgodnieniowe, oraz określa sposób dokumentowania takiego spotkania. Instytucja spotkań uzgodnieniowych jest znana już obowiązującej o.p.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Przed zawarciem umowy podatkowej organ podatkowy może zwrócić się do Szefa Krajowej Administracji Skarbowej o opinię w sprawie zasadności zawarcia tej umowy. Niewydanie przez niego opinii w terminie 21 dni od dnia zwrócenia się o nią przez organ podatkowy uważa się za równoznaczne z opinią o zasadności zawarcia umowy podatkowej (</w:t>
      </w:r>
      <w:r w:rsidRPr="009A3C86">
        <w:rPr>
          <w:rFonts w:ascii="Times New Roman" w:hAnsi="Times New Roman"/>
          <w:b/>
          <w:sz w:val="24"/>
          <w:szCs w:val="24"/>
        </w:rPr>
        <w:t xml:space="preserve">art. </w:t>
      </w:r>
      <w:r w:rsidR="00817B16" w:rsidRPr="009A3C86">
        <w:rPr>
          <w:rFonts w:ascii="Times New Roman" w:hAnsi="Times New Roman"/>
          <w:b/>
          <w:sz w:val="24"/>
          <w:szCs w:val="24"/>
        </w:rPr>
        <w:t>412</w:t>
      </w:r>
      <w:r w:rsidRPr="009A3C86">
        <w:rPr>
          <w:rFonts w:ascii="Times New Roman" w:hAnsi="Times New Roman"/>
          <w:b/>
          <w:sz w:val="24"/>
          <w:szCs w:val="24"/>
        </w:rPr>
        <w:t xml:space="preserve"> § 2</w:t>
      </w:r>
      <w:r w:rsidRPr="009A3C86">
        <w:rPr>
          <w:rFonts w:ascii="Times New Roman" w:hAnsi="Times New Roman"/>
          <w:sz w:val="24"/>
          <w:szCs w:val="24"/>
        </w:rPr>
        <w:t xml:space="preserve">). Przepis ten wychodzi naprzeciw obawom o niewykorzystywanie nowo kreowanej instytucji umowy podatkowej ze względu na obawy urzędników o zarzuty naruszenia prawa czy wręcz korupcji. Ma zatem za zadanie ośmielić organy podatkowe (właściwie działających w ich imieniu pracowników) do zawierania umów podatkowych. Jednocześnie przez zakreślenie dość krótkiego terminu na wydanie opinii przez Szefa Krajowej Administracji Skarbowej jest on </w:t>
      </w:r>
      <w:r w:rsidRPr="009A3C86">
        <w:rPr>
          <w:rFonts w:ascii="Times New Roman" w:hAnsi="Times New Roman"/>
          <w:sz w:val="24"/>
          <w:szCs w:val="24"/>
        </w:rPr>
        <w:lastRenderedPageBreak/>
        <w:t>skonstruowany w sposób, który nie zagrozi dynamice uzgodnień między organem podatkowym a zobowiązanym i nie spowoduje nadmiernego wydłużenia postępowania.</w:t>
      </w:r>
    </w:p>
    <w:p w:rsidR="00C70E14" w:rsidRPr="009A3C86" w:rsidRDefault="00C70E14" w:rsidP="00C70E14">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Zawarcie umowy podatkowej jest czynnością, z której sporządza się protokół – stanowi o tym </w:t>
      </w:r>
      <w:r w:rsidRPr="009A3C86">
        <w:rPr>
          <w:rFonts w:ascii="Times New Roman" w:hAnsi="Times New Roman"/>
          <w:b/>
          <w:sz w:val="24"/>
          <w:szCs w:val="24"/>
        </w:rPr>
        <w:t xml:space="preserve">art. </w:t>
      </w:r>
      <w:r w:rsidR="00817B16" w:rsidRPr="009A3C86">
        <w:rPr>
          <w:rFonts w:ascii="Times New Roman" w:hAnsi="Times New Roman"/>
          <w:b/>
          <w:sz w:val="24"/>
          <w:szCs w:val="24"/>
        </w:rPr>
        <w:t>412</w:t>
      </w:r>
      <w:r w:rsidRPr="009A3C86">
        <w:rPr>
          <w:rFonts w:ascii="Times New Roman" w:hAnsi="Times New Roman"/>
          <w:b/>
          <w:sz w:val="24"/>
          <w:szCs w:val="24"/>
        </w:rPr>
        <w:t xml:space="preserve"> </w:t>
      </w:r>
      <w:r w:rsidRPr="009A3C86">
        <w:rPr>
          <w:rFonts w:ascii="Times New Roman" w:hAnsi="Times New Roman"/>
          <w:b/>
          <w:bCs/>
          <w:sz w:val="24"/>
          <w:szCs w:val="24"/>
        </w:rPr>
        <w:t>§ 3</w:t>
      </w:r>
      <w:r w:rsidRPr="009A3C86">
        <w:rPr>
          <w:rFonts w:ascii="Times New Roman" w:hAnsi="Times New Roman"/>
          <w:sz w:val="24"/>
          <w:szCs w:val="24"/>
        </w:rPr>
        <w:t xml:space="preserve">. Przepis ten jest zamierzonym naddatkiem ustawowym; stosowna norma prawna wynika bowiem już z </w:t>
      </w:r>
      <w:r w:rsidRPr="009A3C86">
        <w:rPr>
          <w:rFonts w:ascii="Times New Roman" w:hAnsi="Times New Roman"/>
          <w:bCs/>
          <w:sz w:val="24"/>
          <w:szCs w:val="24"/>
        </w:rPr>
        <w:t xml:space="preserve">art. </w:t>
      </w:r>
      <w:r w:rsidR="00D459DF" w:rsidRPr="009A3C86">
        <w:rPr>
          <w:rFonts w:ascii="Times New Roman" w:hAnsi="Times New Roman"/>
          <w:bCs/>
          <w:sz w:val="24"/>
          <w:szCs w:val="24"/>
        </w:rPr>
        <w:t>372</w:t>
      </w:r>
      <w:r w:rsidRPr="009A3C86">
        <w:rPr>
          <w:rFonts w:ascii="Times New Roman" w:hAnsi="Times New Roman"/>
          <w:sz w:val="24"/>
          <w:szCs w:val="24"/>
        </w:rPr>
        <w:t xml:space="preserve"> </w:t>
      </w:r>
      <w:r w:rsidRPr="009A3C86">
        <w:rPr>
          <w:rFonts w:ascii="Times New Roman" w:hAnsi="Times New Roman"/>
          <w:bCs/>
          <w:sz w:val="24"/>
          <w:szCs w:val="24"/>
        </w:rPr>
        <w:t>§ 2 pkt 6</w:t>
      </w:r>
      <w:r w:rsidRPr="009A3C86">
        <w:rPr>
          <w:rFonts w:ascii="Times New Roman" w:hAnsi="Times New Roman"/>
          <w:sz w:val="24"/>
          <w:szCs w:val="24"/>
        </w:rPr>
        <w:t xml:space="preserve">, w którym wprost wskazano umowę podatkową. Uznano jednak za uzasadnione z punku widzenia jasności aktu prawnego, by przepis tej treści umieścić także w rozdziale 10.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Umowa podatkowa zawarta przed mediatorem jest również dokumentowana protokołem. Protokół ten sporządza jednak mediator, a nie organ podatkowy. Uzasadnia to jego odrębną regulację.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Odpis protokołu doręcza się stronie (</w:t>
      </w:r>
      <w:r w:rsidRPr="009A3C86">
        <w:rPr>
          <w:rFonts w:ascii="Times New Roman" w:hAnsi="Times New Roman"/>
          <w:b/>
          <w:bCs/>
          <w:sz w:val="24"/>
          <w:szCs w:val="24"/>
        </w:rPr>
        <w:t xml:space="preserve">art. </w:t>
      </w:r>
      <w:r w:rsidR="00817B16" w:rsidRPr="009A3C86">
        <w:rPr>
          <w:rFonts w:ascii="Times New Roman" w:hAnsi="Times New Roman"/>
          <w:b/>
          <w:bCs/>
          <w:sz w:val="24"/>
          <w:szCs w:val="24"/>
        </w:rPr>
        <w:t>412</w:t>
      </w:r>
      <w:r w:rsidRPr="009A3C86">
        <w:rPr>
          <w:rFonts w:ascii="Times New Roman" w:hAnsi="Times New Roman"/>
          <w:b/>
          <w:bCs/>
          <w:sz w:val="24"/>
          <w:szCs w:val="24"/>
        </w:rPr>
        <w:t xml:space="preserve"> § 3 zd. drugie</w:t>
      </w:r>
      <w:r w:rsidRPr="009A3C86">
        <w:rPr>
          <w:rFonts w:ascii="Times New Roman" w:hAnsi="Times New Roman"/>
          <w:sz w:val="24"/>
          <w:szCs w:val="24"/>
        </w:rPr>
        <w:t>). Jego oryginał zostaje włączony do akt sprawy.</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4. Moc umowy podatkowej określa </w:t>
      </w:r>
      <w:r w:rsidRPr="009A3C86">
        <w:rPr>
          <w:rFonts w:ascii="Times New Roman" w:hAnsi="Times New Roman"/>
          <w:b/>
          <w:bCs/>
          <w:sz w:val="24"/>
          <w:szCs w:val="24"/>
        </w:rPr>
        <w:t xml:space="preserve">art. </w:t>
      </w:r>
      <w:r w:rsidR="00817B16" w:rsidRPr="009A3C86">
        <w:rPr>
          <w:rFonts w:ascii="Times New Roman" w:hAnsi="Times New Roman"/>
          <w:b/>
          <w:bCs/>
          <w:sz w:val="24"/>
          <w:szCs w:val="24"/>
        </w:rPr>
        <w:t>413</w:t>
      </w:r>
      <w:r w:rsidRPr="009A3C86">
        <w:rPr>
          <w:rFonts w:ascii="Times New Roman" w:hAnsi="Times New Roman"/>
          <w:sz w:val="24"/>
          <w:szCs w:val="24"/>
        </w:rPr>
        <w:t xml:space="preserve">. Jego </w:t>
      </w:r>
      <w:r w:rsidRPr="009A3C86">
        <w:rPr>
          <w:rFonts w:ascii="Times New Roman" w:hAnsi="Times New Roman"/>
          <w:b/>
          <w:sz w:val="24"/>
          <w:szCs w:val="24"/>
        </w:rPr>
        <w:t>§ 1</w:t>
      </w:r>
      <w:r w:rsidRPr="009A3C86">
        <w:rPr>
          <w:rFonts w:ascii="Times New Roman" w:hAnsi="Times New Roman"/>
          <w:sz w:val="24"/>
          <w:szCs w:val="24"/>
        </w:rPr>
        <w:t xml:space="preserve"> stanowi, że ustaleniami wynikającymi z umowy jest związany organ podatkowy. To oznacza, że ustalenia te organ podatkowy jest zobowiązany przyjąć i odzwierciedlić w treści swojego rozstrzygnięcia – decyzji lub postanowieniu (ewentualnie, w procedurach innych niż postępowanie podatkowe, w treści protokołu kontroli podatkowej, wyniku kontroli celno-skarbowej lub innym sposobie zakończenia procedury).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Treść ustaleń między organem a stroną postępowania może także być tego rodzaju, że w ich rezultacie strona z własnej woli zdecyduje się zachować w określony sposób: np. cofnie wcześniej wniesiony środek zaskarżenia, zmodyfikuje swoje żądanie (np. sformułowane we wniosku o stwierdzenie nadpłaty) lub nie wniesie środka zaskarżenia od decyzji opartej na umowie podatkowej. Strona nie będzie jednak umownie zobowiązana, aby to uczynić – nie będzie związana ustaleniami wynikającymi z umowy podatkowej. Jest to zabieg celowy. Na podstawie umowy podatkowej w sposób automatyczny ustalenia z niej wynikające zostaną przeniesione do decyzji podatkowej z uwagi na związanie nią organu podatkowego. W ten sposób staną się one wiążące także dla strony, o ile od decyzji tej nie wniesie ona środka zaskarżenia. Z kolei wskazanie w przepisie, że ustalenia te wiążą także zobowiązanego, wyłączyłoby część jego praw, w tym pełną zaskarżalność decyzji podatkowych (fundamentalne uprawnienie procesowe zobowiązanych). Decyzje nie mogłyby być zaskarżone z powodu swojej niezgodności z prawem, lecz – w bardziej ograniczonym zakresie – z powodu niezgodności z umową podatkową. To byłoby zbyt daleko idącą, a przez to niepożądaną ingerencją zarówno w sferę uprawnień zobowiązanych, jak i w utrwalony schemat procesowy.</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Decyzja podatkowa oparta na ustaleniach umowy podatkowej, o ile zostanie zaskarżona, będzie podlegać kontroli instancyjnej i sądowej. Z uwagi na treść </w:t>
      </w:r>
      <w:r w:rsidRPr="009A3C86">
        <w:rPr>
          <w:rFonts w:ascii="Times New Roman" w:hAnsi="Times New Roman"/>
          <w:bCs/>
          <w:sz w:val="24"/>
          <w:szCs w:val="24"/>
        </w:rPr>
        <w:t xml:space="preserve">art. </w:t>
      </w:r>
      <w:r w:rsidR="00817B16" w:rsidRPr="009A3C86">
        <w:rPr>
          <w:rFonts w:ascii="Times New Roman" w:hAnsi="Times New Roman"/>
          <w:bCs/>
          <w:sz w:val="24"/>
          <w:szCs w:val="24"/>
        </w:rPr>
        <w:t>413</w:t>
      </w:r>
      <w:r w:rsidRPr="009A3C86">
        <w:rPr>
          <w:rFonts w:ascii="Times New Roman" w:hAnsi="Times New Roman"/>
          <w:bCs/>
          <w:sz w:val="24"/>
          <w:szCs w:val="24"/>
        </w:rPr>
        <w:t xml:space="preserve"> § 1</w:t>
      </w:r>
      <w:r w:rsidRPr="009A3C86">
        <w:rPr>
          <w:rFonts w:ascii="Times New Roman" w:hAnsi="Times New Roman"/>
          <w:sz w:val="24"/>
          <w:szCs w:val="24"/>
        </w:rPr>
        <w:t xml:space="preserve"> powodem niezgodności decyzji z prawem może być jej niezgodność z zawartą umową. Decyzja może także zostać wzruszona w trybach nadzwyczajnych.</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Jednocześnie związanie organu podatkowego umową podatkową nie ma charakteru bezwzględnego. Stanowi o tym </w:t>
      </w:r>
      <w:r w:rsidRPr="009A3C86">
        <w:rPr>
          <w:rFonts w:ascii="Times New Roman" w:hAnsi="Times New Roman"/>
          <w:b/>
          <w:bCs/>
          <w:sz w:val="24"/>
          <w:szCs w:val="24"/>
        </w:rPr>
        <w:t xml:space="preserve">art. </w:t>
      </w:r>
      <w:r w:rsidR="00817B16" w:rsidRPr="009A3C86">
        <w:rPr>
          <w:rFonts w:ascii="Times New Roman" w:hAnsi="Times New Roman"/>
          <w:b/>
          <w:bCs/>
          <w:sz w:val="24"/>
          <w:szCs w:val="24"/>
        </w:rPr>
        <w:t>413</w:t>
      </w:r>
      <w:r w:rsidRPr="009A3C86">
        <w:rPr>
          <w:rFonts w:ascii="Times New Roman" w:hAnsi="Times New Roman"/>
          <w:b/>
          <w:bCs/>
          <w:sz w:val="24"/>
          <w:szCs w:val="24"/>
        </w:rPr>
        <w:t xml:space="preserve"> § 2</w:t>
      </w:r>
      <w:r w:rsidRPr="009A3C86">
        <w:rPr>
          <w:rFonts w:ascii="Times New Roman" w:hAnsi="Times New Roman"/>
          <w:sz w:val="24"/>
          <w:szCs w:val="24"/>
        </w:rPr>
        <w:t xml:space="preserve">. Przepis ustanawia wyjątki od mocy wiążącej umów podatkowych. Nie są wiążące ustalenia wynikające z umowy podatkowej zawartej z naruszeniem prawa lub co do której zaistniały przesłanki uzasadniające wznowienie postępowania w sprawie zakończonej decyzją ostateczną lub stwierdzenie nieważności decyzji ostatecznej. Przepis ten otwiera możliwość wzruszenia decyzji podatkowej opartej na umowie podatkowej między innymi w sytuacji, gdy umowa dotknięta jest wadami prawnymi. </w:t>
      </w:r>
    </w:p>
    <w:p w:rsidR="00C70E14" w:rsidRPr="009A3C86" w:rsidRDefault="00C70E14" w:rsidP="00C70E1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Przepisy art. </w:t>
      </w:r>
      <w:r w:rsidR="00817B16" w:rsidRPr="009A3C86">
        <w:rPr>
          <w:rFonts w:ascii="Times New Roman" w:hAnsi="Times New Roman"/>
          <w:sz w:val="24"/>
          <w:szCs w:val="24"/>
        </w:rPr>
        <w:t>488</w:t>
      </w:r>
      <w:r w:rsidRPr="009A3C86">
        <w:rPr>
          <w:rFonts w:ascii="Times New Roman" w:hAnsi="Times New Roman"/>
          <w:sz w:val="24"/>
          <w:szCs w:val="24"/>
        </w:rPr>
        <w:t xml:space="preserve"> § 1 i art. </w:t>
      </w:r>
      <w:r w:rsidR="00817B16" w:rsidRPr="009A3C86">
        <w:rPr>
          <w:rFonts w:ascii="Times New Roman" w:hAnsi="Times New Roman"/>
          <w:sz w:val="24"/>
          <w:szCs w:val="24"/>
        </w:rPr>
        <w:t>494</w:t>
      </w:r>
      <w:r w:rsidRPr="009A3C86">
        <w:rPr>
          <w:rFonts w:ascii="Times New Roman" w:hAnsi="Times New Roman"/>
          <w:sz w:val="24"/>
          <w:szCs w:val="24"/>
        </w:rPr>
        <w:t xml:space="preserve"> stosuje się odpowiednio, przez co należy rozumieć, że wyrażone w nich przesłanki wznowienia postępowania i stwierdzenia nieważności należy w tym przypadku odnosić do umowy podatkowej. W razie wznowienia postępowania zakończonego decyzją ostateczną opartą na umowie podatkowej lub stwierdzenia nieważności takiej decyzji umowa podatkowa nie wiąże organu w sytuacji, gdy wady uzasadniające wzruszenie decyzji dotyczą samej umowy (np. została ona zawarta w wyniku przestępstwa, z rażącym naruszeniem prawa, dotyczy sprawy już rozstrzygniętej decyzją ostateczną, gdy wyjdą na jaw istotne dla sprawy nowe okoliczności faktyczne lub nowe dowody istniejące w dniu zawarcia umowy nieznane organowi, który ją zawarł itd.). Jeżeli decyzji podatkowa zasługuje na wzruszenie z powodów niezwiązanych z umową podatkową (np. nowe okoliczności faktyczne lub nowe dowody dotyczą zagadnienia innego niż to, które było przedmiotem umowy), umowa ta pozostaje wiążąca dla organu w ponownie prowadzonym postępowaniu.</w:t>
      </w:r>
    </w:p>
    <w:p w:rsidR="00C70E14" w:rsidRPr="009A3C86" w:rsidRDefault="00C70E14" w:rsidP="00C70E14">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w:t>
      </w:r>
      <w:r w:rsidR="00817B16" w:rsidRPr="009A3C86">
        <w:rPr>
          <w:rFonts w:ascii="Times New Roman" w:hAnsi="Times New Roman"/>
          <w:b/>
          <w:sz w:val="24"/>
          <w:szCs w:val="24"/>
        </w:rPr>
        <w:t>413</w:t>
      </w:r>
      <w:r w:rsidRPr="009A3C86">
        <w:rPr>
          <w:rFonts w:ascii="Times New Roman" w:hAnsi="Times New Roman"/>
          <w:b/>
          <w:sz w:val="24"/>
          <w:szCs w:val="24"/>
        </w:rPr>
        <w:t xml:space="preserve"> § 3</w:t>
      </w:r>
      <w:r w:rsidRPr="009A3C86">
        <w:rPr>
          <w:rFonts w:ascii="Times New Roman" w:hAnsi="Times New Roman"/>
          <w:sz w:val="24"/>
          <w:szCs w:val="24"/>
        </w:rPr>
        <w:t xml:space="preserve">, </w:t>
      </w:r>
      <w:r w:rsidRPr="009A3C86">
        <w:rPr>
          <w:rFonts w:ascii="Times New Roman" w:hAnsi="Times New Roman"/>
          <w:bCs/>
          <w:sz w:val="24"/>
          <w:szCs w:val="24"/>
        </w:rPr>
        <w:t>jeżeli wznowienie postępowania jest możliwe tylko na wniosek</w:t>
      </w:r>
      <w:r w:rsidR="00817B16" w:rsidRPr="009A3C86">
        <w:rPr>
          <w:rFonts w:ascii="Times New Roman" w:hAnsi="Times New Roman"/>
          <w:bCs/>
          <w:sz w:val="24"/>
          <w:szCs w:val="24"/>
        </w:rPr>
        <w:t xml:space="preserve"> strony</w:t>
      </w:r>
      <w:r w:rsidRPr="009A3C86">
        <w:rPr>
          <w:rFonts w:ascii="Times New Roman" w:hAnsi="Times New Roman"/>
          <w:bCs/>
          <w:sz w:val="24"/>
          <w:szCs w:val="24"/>
        </w:rPr>
        <w:t xml:space="preserve">, ustalenia wynikające z umowy podatkowej nie są wiążące tylko w przypadku, gdy strona o to </w:t>
      </w:r>
      <w:r w:rsidR="00817B16" w:rsidRPr="009A3C86">
        <w:rPr>
          <w:rFonts w:ascii="Times New Roman" w:hAnsi="Times New Roman"/>
          <w:bCs/>
          <w:sz w:val="24"/>
          <w:szCs w:val="24"/>
        </w:rPr>
        <w:t>wystąpi</w:t>
      </w:r>
      <w:r w:rsidRPr="009A3C86">
        <w:rPr>
          <w:rFonts w:ascii="Times New Roman" w:hAnsi="Times New Roman"/>
          <w:bCs/>
          <w:sz w:val="24"/>
          <w:szCs w:val="24"/>
        </w:rPr>
        <w:t>.</w:t>
      </w:r>
    </w:p>
    <w:p w:rsidR="00C70E14" w:rsidRPr="009A3C86" w:rsidRDefault="00C70E14" w:rsidP="00C70E14">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sz w:val="24"/>
          <w:szCs w:val="24"/>
          <w:lang w:eastAsia="pl-PL"/>
        </w:rPr>
        <w:t xml:space="preserve">Z kolei </w:t>
      </w:r>
      <w:r w:rsidRPr="009A3C86">
        <w:rPr>
          <w:rFonts w:ascii="Times New Roman" w:eastAsia="Times New Roman" w:hAnsi="Times New Roman"/>
          <w:b/>
          <w:sz w:val="24"/>
          <w:szCs w:val="24"/>
          <w:lang w:eastAsia="pl-PL"/>
        </w:rPr>
        <w:t xml:space="preserve">art. </w:t>
      </w:r>
      <w:r w:rsidR="00817B16" w:rsidRPr="009A3C86">
        <w:rPr>
          <w:rFonts w:ascii="Times New Roman" w:eastAsia="Times New Roman" w:hAnsi="Times New Roman"/>
          <w:b/>
          <w:sz w:val="24"/>
          <w:szCs w:val="24"/>
          <w:lang w:eastAsia="pl-PL"/>
        </w:rPr>
        <w:t>413</w:t>
      </w:r>
      <w:r w:rsidRPr="009A3C86">
        <w:rPr>
          <w:rFonts w:ascii="Times New Roman" w:eastAsia="Times New Roman" w:hAnsi="Times New Roman"/>
          <w:b/>
          <w:sz w:val="24"/>
          <w:szCs w:val="24"/>
          <w:lang w:eastAsia="pl-PL"/>
        </w:rPr>
        <w:t xml:space="preserve"> § 4</w:t>
      </w:r>
      <w:r w:rsidRPr="009A3C86">
        <w:rPr>
          <w:rFonts w:ascii="Times New Roman" w:eastAsia="Times New Roman" w:hAnsi="Times New Roman"/>
          <w:sz w:val="24"/>
          <w:szCs w:val="24"/>
          <w:lang w:eastAsia="pl-PL"/>
        </w:rPr>
        <w:t xml:space="preserve"> pozwala – w drodze wyjątku – </w:t>
      </w:r>
      <w:r w:rsidRPr="009A3C86">
        <w:rPr>
          <w:rFonts w:ascii="Times New Roman" w:eastAsia="Times New Roman" w:hAnsi="Times New Roman"/>
          <w:bCs/>
          <w:sz w:val="24"/>
          <w:szCs w:val="24"/>
          <w:lang w:eastAsia="pl-PL"/>
        </w:rPr>
        <w:t xml:space="preserve">nie uwzględnić ustaleń wynikających z umowy podatkowej w decyzji wymiarowej wydanej w wyniku procedury wzajemnego porozumiewania lub procedury arbitrażowej, prowadzonej na podstawie ratyfikowanej umowy o unikaniu podwójnego opodatkowania lub innej ratyfikowanej umowy międzynarodowej, której stroną jest Rzeczpospolita Polska. </w:t>
      </w:r>
    </w:p>
    <w:p w:rsidR="00C70E14" w:rsidRPr="009A3C86" w:rsidRDefault="00C70E14" w:rsidP="00D72E74">
      <w:pPr>
        <w:suppressAutoHyphens/>
        <w:autoSpaceDE w:val="0"/>
        <w:autoSpaceDN w:val="0"/>
        <w:adjustRightInd w:val="0"/>
        <w:spacing w:after="12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Zgodnie z </w:t>
      </w:r>
      <w:r w:rsidRPr="009A3C86">
        <w:rPr>
          <w:rFonts w:ascii="Times New Roman" w:eastAsia="Times New Roman" w:hAnsi="Times New Roman"/>
          <w:b/>
          <w:bCs/>
          <w:sz w:val="24"/>
          <w:szCs w:val="24"/>
          <w:lang w:eastAsia="pl-PL"/>
        </w:rPr>
        <w:t xml:space="preserve">art. </w:t>
      </w:r>
      <w:r w:rsidR="00817B16" w:rsidRPr="009A3C86">
        <w:rPr>
          <w:rFonts w:ascii="Times New Roman" w:eastAsia="Times New Roman" w:hAnsi="Times New Roman"/>
          <w:b/>
          <w:bCs/>
          <w:sz w:val="24"/>
          <w:szCs w:val="24"/>
          <w:lang w:eastAsia="pl-PL"/>
        </w:rPr>
        <w:t>413</w:t>
      </w:r>
      <w:r w:rsidRPr="009A3C86">
        <w:rPr>
          <w:rFonts w:ascii="Times New Roman" w:eastAsia="Times New Roman" w:hAnsi="Times New Roman"/>
          <w:b/>
          <w:bCs/>
          <w:sz w:val="24"/>
          <w:szCs w:val="24"/>
          <w:lang w:eastAsia="pl-PL"/>
        </w:rPr>
        <w:t>§ 5</w:t>
      </w:r>
      <w:r w:rsidRPr="009A3C86">
        <w:rPr>
          <w:rFonts w:ascii="Times New Roman" w:eastAsia="Times New Roman" w:hAnsi="Times New Roman"/>
          <w:bCs/>
          <w:sz w:val="24"/>
          <w:szCs w:val="24"/>
          <w:lang w:eastAsia="pl-PL"/>
        </w:rPr>
        <w:t xml:space="preserve"> organ podatkowy może nie uwzględnić ustaleń wynikających z umowy podatkowej </w:t>
      </w:r>
      <w:r w:rsidRPr="009A3C86">
        <w:rPr>
          <w:rFonts w:ascii="Times New Roman" w:eastAsia="MS Mincho" w:hAnsi="Times New Roman"/>
          <w:bCs/>
          <w:sz w:val="24"/>
          <w:szCs w:val="24"/>
          <w:lang w:eastAsia="ja-JP"/>
        </w:rPr>
        <w:t xml:space="preserve">w decyzji wymiarowej </w:t>
      </w:r>
      <w:r w:rsidRPr="009A3C86">
        <w:rPr>
          <w:rFonts w:ascii="Times New Roman" w:eastAsia="Times New Roman" w:hAnsi="Times New Roman"/>
          <w:bCs/>
          <w:sz w:val="24"/>
          <w:szCs w:val="24"/>
          <w:lang w:eastAsia="pl-PL"/>
        </w:rPr>
        <w:t xml:space="preserve">wydanej z zastosowaniem art. </w:t>
      </w:r>
      <w:r w:rsidR="00D120A0" w:rsidRPr="009A3C86">
        <w:rPr>
          <w:rFonts w:ascii="Times New Roman" w:eastAsia="Times New Roman" w:hAnsi="Times New Roman"/>
          <w:bCs/>
          <w:sz w:val="24"/>
          <w:szCs w:val="24"/>
          <w:lang w:eastAsia="pl-PL"/>
        </w:rPr>
        <w:t>33</w:t>
      </w:r>
      <w:r w:rsidR="00955464" w:rsidRPr="009A3C86">
        <w:rPr>
          <w:rFonts w:ascii="Times New Roman" w:eastAsia="Times New Roman" w:hAnsi="Times New Roman"/>
          <w:bCs/>
          <w:sz w:val="24"/>
          <w:szCs w:val="24"/>
          <w:lang w:eastAsia="pl-PL"/>
        </w:rPr>
        <w:t xml:space="preserve"> albo</w:t>
      </w:r>
      <w:r w:rsidRPr="009A3C86">
        <w:rPr>
          <w:rFonts w:ascii="Times New Roman" w:eastAsia="Times New Roman" w:hAnsi="Times New Roman"/>
          <w:bCs/>
          <w:sz w:val="24"/>
          <w:szCs w:val="24"/>
          <w:lang w:eastAsia="pl-PL"/>
        </w:rPr>
        <w:t xml:space="preserve"> </w:t>
      </w:r>
      <w:r w:rsidRPr="009A3C86">
        <w:rPr>
          <w:rFonts w:ascii="Times New Roman" w:eastAsia="MS Mincho" w:hAnsi="Times New Roman"/>
          <w:bCs/>
          <w:sz w:val="24"/>
          <w:szCs w:val="24"/>
          <w:lang w:eastAsia="ja-JP"/>
        </w:rPr>
        <w:t xml:space="preserve">art. 5 ust. 5 ustawy z </w:t>
      </w:r>
      <w:r w:rsidRPr="009A3C86">
        <w:rPr>
          <w:rFonts w:ascii="Times New Roman" w:eastAsia="MS Mincho" w:hAnsi="Times New Roman"/>
          <w:bCs/>
          <w:sz w:val="24"/>
          <w:szCs w:val="24"/>
          <w:lang w:eastAsia="ja-JP"/>
        </w:rPr>
        <w:lastRenderedPageBreak/>
        <w:t>dnia 11 marca 2004 r. o podatku od towarów i usług lub innych przepisów przeciwko unikaniu opodatkowania,</w:t>
      </w:r>
      <w:r w:rsidRPr="009A3C86">
        <w:rPr>
          <w:rFonts w:ascii="Times New Roman" w:eastAsia="Times New Roman" w:hAnsi="Times New Roman"/>
          <w:bCs/>
          <w:sz w:val="24"/>
          <w:szCs w:val="24"/>
          <w:lang w:eastAsia="pl-PL"/>
        </w:rPr>
        <w:t xml:space="preserve"> albo środków ograniczających umowne korzyści.</w:t>
      </w:r>
    </w:p>
    <w:p w:rsidR="002443B4" w:rsidRPr="009A3C86" w:rsidRDefault="002443B4" w:rsidP="002443B4">
      <w:pPr>
        <w:tabs>
          <w:tab w:val="num" w:pos="720"/>
        </w:tabs>
        <w:spacing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11. Mediacja</w:t>
      </w:r>
    </w:p>
    <w:p w:rsidR="002443B4" w:rsidRPr="009A3C86" w:rsidRDefault="002443B4" w:rsidP="002443B4">
      <w:pPr>
        <w:tabs>
          <w:tab w:val="num" w:pos="720"/>
        </w:tabs>
        <w:spacing w:after="0" w:line="360" w:lineRule="auto"/>
        <w:jc w:val="both"/>
        <w:outlineLvl w:val="2"/>
        <w:rPr>
          <w:rFonts w:ascii="Times New Roman" w:hAnsi="Times New Roman"/>
          <w:bCs/>
          <w:sz w:val="24"/>
          <w:szCs w:val="24"/>
        </w:rPr>
      </w:pPr>
      <w:r w:rsidRPr="009A3C86">
        <w:rPr>
          <w:rFonts w:ascii="Times New Roman" w:hAnsi="Times New Roman"/>
          <w:bCs/>
          <w:sz w:val="24"/>
          <w:szCs w:val="24"/>
        </w:rPr>
        <w:t>1. Rozdział 11 reguluje mediację podatkową. Mediacja to procedura rozwiązywania sporów między organami podatkowymi a zobowiązanymi z udziałem bezstronnej i neutralnej osoby trzeciej: mediatora</w:t>
      </w:r>
      <w:r w:rsidRPr="009A3C86">
        <w:rPr>
          <w:rFonts w:ascii="Times New Roman" w:hAnsi="Times New Roman"/>
          <w:bCs/>
          <w:sz w:val="24"/>
          <w:szCs w:val="24"/>
          <w:vertAlign w:val="superscript"/>
        </w:rPr>
        <w:footnoteReference w:id="432"/>
      </w:r>
      <w:r w:rsidRPr="009A3C86">
        <w:rPr>
          <w:rFonts w:ascii="Times New Roman" w:hAnsi="Times New Roman"/>
          <w:bCs/>
          <w:sz w:val="24"/>
          <w:szCs w:val="24"/>
        </w:rPr>
        <w:t xml:space="preserve">.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To ważna nowość w procedurze podatkowej. W warunkach konfliktowości relacji między podatnikami a organami podatkowymi na przeszkodzie rozwiązaniu sporu mocą zawartej między nimi umowy mogą stanąć trudności komunikacyjne. Mediacja zostaje ustanowiona jako mechanizm procesowy ułatwiający komunikację między organem podatkowym (pracownikiem działającym z jego upoważnienia) a zobowiązanym, a nie mechanizm merytorycznego rozstrzygnięcia sporu. Stanowi ona w istocie „wspomagane negocjacje” między organem podatkowym a podatnikiem (stroną postępowania podatkowego).</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Mediacja podatkowa jest skonstruowana z poszanowaniem podstawowych zasad: dobrowolności (dla obu stron i na każdym jej etapie); bezstronności i neutralności oraz poufności</w:t>
      </w:r>
      <w:r w:rsidRPr="009A3C86">
        <w:rPr>
          <w:rFonts w:ascii="Times New Roman" w:hAnsi="Times New Roman"/>
          <w:sz w:val="24"/>
          <w:szCs w:val="24"/>
          <w:vertAlign w:val="superscript"/>
        </w:rPr>
        <w:footnoteReference w:id="433"/>
      </w:r>
      <w:r w:rsidRPr="009A3C86">
        <w:rPr>
          <w:rFonts w:ascii="Times New Roman" w:hAnsi="Times New Roman"/>
          <w:sz w:val="24"/>
          <w:szCs w:val="24"/>
        </w:rPr>
        <w:t>. Jest to procedura akcesoryjna wobec postępowania podatkowego. Jej wszczęcie jest możliwe na każdym etapie postępowania podatkowego (w toku postępowania podatkowego w I lub w II instancji).</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Zadaniem mediatora jest przede wszystkim ułatwienie komunikacji między organem podatkowym a zobowiązanym – stroną postępowania podatkowego. Może to pozytywnie oddziaływać na zaufanie strony do organu podatkowego, na który niekorzystny wpływ może mieć nierówność stron wpisana w istotę stosunku podatkowoprawnego. Mediator buduje dobrą relację między stroną a organem</w:t>
      </w:r>
      <w:r w:rsidRPr="009A3C86">
        <w:rPr>
          <w:rFonts w:ascii="Times New Roman" w:hAnsi="Times New Roman"/>
          <w:sz w:val="24"/>
          <w:szCs w:val="24"/>
          <w:vertAlign w:val="superscript"/>
        </w:rPr>
        <w:footnoteReference w:id="434"/>
      </w:r>
      <w:r w:rsidRPr="009A3C86">
        <w:rPr>
          <w:rFonts w:ascii="Times New Roman" w:hAnsi="Times New Roman"/>
          <w:sz w:val="24"/>
          <w:szCs w:val="24"/>
        </w:rPr>
        <w:t xml:space="preserve">.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Dotychczasowej praktyce jest znana mediacja sądowoadministracyjna (mediacja w postępowaniu przed sądem administracyjnym)</w:t>
      </w:r>
      <w:r w:rsidRPr="009A3C86">
        <w:rPr>
          <w:rFonts w:ascii="Times New Roman" w:hAnsi="Times New Roman"/>
          <w:sz w:val="24"/>
          <w:szCs w:val="24"/>
          <w:vertAlign w:val="superscript"/>
        </w:rPr>
        <w:footnoteReference w:id="435"/>
      </w:r>
      <w:r w:rsidRPr="009A3C86">
        <w:rPr>
          <w:rFonts w:ascii="Times New Roman" w:hAnsi="Times New Roman"/>
          <w:sz w:val="24"/>
          <w:szCs w:val="24"/>
        </w:rPr>
        <w:t xml:space="preserve">, uregulowana w rozdziale 8 działu III (art. </w:t>
      </w:r>
      <w:r w:rsidRPr="009A3C86">
        <w:rPr>
          <w:rFonts w:ascii="Times New Roman" w:hAnsi="Times New Roman"/>
          <w:sz w:val="24"/>
          <w:szCs w:val="24"/>
        </w:rPr>
        <w:lastRenderedPageBreak/>
        <w:t>115-118) ustawy z dnia 30 sierpnia 2002 r. – Prawo o postępowaniu przed sądami administracyjnymi. Jest ona wykorzystywania w znikomym stopniu z uwagi na wady regulacji i brak przygotowania administracji podatkowej do jej stosowania. Legislacyjne i koncepcyjne wady regulacji zostały obecnie usunięte w drodze nowelizacji p.p.s.a.</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Mediacja została wprowadzona również w postępowaniu administracyjnym – zob. rozdział 5a k.p.a. Należy podzielić pogląd wyrażony wobec mediacji administracyjnej wprowadzanej nowelizacją k.p.a.: „mediacja ma (…) w tym przypadku charakter transformujący – jest możliwa nie tyle pod warunkiem uprzedniej modernizacji administracji publicznej, ale właśnie jako jeden ze sposobów zmieniania kultury administrowania na bardziej przyjazny administrowanym”</w:t>
      </w:r>
      <w:r w:rsidRPr="009A3C86">
        <w:rPr>
          <w:rFonts w:ascii="Times New Roman" w:hAnsi="Times New Roman"/>
          <w:sz w:val="24"/>
          <w:szCs w:val="24"/>
          <w:vertAlign w:val="superscript"/>
        </w:rPr>
        <w:footnoteReference w:id="436"/>
      </w:r>
      <w:r w:rsidRPr="009A3C86">
        <w:rPr>
          <w:rFonts w:ascii="Times New Roman" w:hAnsi="Times New Roman"/>
          <w:sz w:val="24"/>
          <w:szCs w:val="24"/>
        </w:rPr>
        <w:t>.</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Mediacja w sprawach podatkowych jest wykorzystywana w wielu państwach, nie tylko anglosaskich (Wielka Brytania, Kanada, Australia, USA), ale także takich jak Holandia, Włochy czy Chorwacja, o zbliżonej do polskiej kulturze prawnej. Na potrzebę wprowadzenia mediacji do podatkowych procedur przedsądowych od dawna wskazuje się w doktrynie</w:t>
      </w:r>
      <w:r w:rsidRPr="009A3C86">
        <w:rPr>
          <w:rFonts w:ascii="Times New Roman" w:hAnsi="Times New Roman"/>
          <w:sz w:val="24"/>
          <w:szCs w:val="24"/>
          <w:vertAlign w:val="superscript"/>
        </w:rPr>
        <w:footnoteReference w:id="437"/>
      </w:r>
      <w:r w:rsidRPr="009A3C86">
        <w:rPr>
          <w:rFonts w:ascii="Times New Roman" w:hAnsi="Times New Roman"/>
          <w:sz w:val="24"/>
          <w:szCs w:val="24"/>
        </w:rPr>
        <w:t>; taki jest też głos praktyki podatkowej</w:t>
      </w:r>
      <w:r w:rsidRPr="009A3C86">
        <w:rPr>
          <w:rFonts w:ascii="Times New Roman" w:hAnsi="Times New Roman"/>
          <w:sz w:val="24"/>
          <w:szCs w:val="24"/>
          <w:vertAlign w:val="superscript"/>
        </w:rPr>
        <w:footnoteReference w:id="438"/>
      </w:r>
      <w:r w:rsidRPr="009A3C86">
        <w:rPr>
          <w:rFonts w:ascii="Times New Roman" w:hAnsi="Times New Roman"/>
          <w:sz w:val="24"/>
          <w:szCs w:val="24"/>
        </w:rPr>
        <w:t xml:space="preserve">.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2. Zakres i podstawowe założenia mediacji określa </w:t>
      </w:r>
      <w:r w:rsidRPr="009A3C86">
        <w:rPr>
          <w:rFonts w:ascii="Times New Roman" w:hAnsi="Times New Roman"/>
          <w:b/>
          <w:bCs/>
          <w:sz w:val="24"/>
          <w:szCs w:val="24"/>
        </w:rPr>
        <w:t xml:space="preserve">art. </w:t>
      </w:r>
      <w:r w:rsidR="00D459DF" w:rsidRPr="009A3C86">
        <w:rPr>
          <w:rFonts w:ascii="Times New Roman" w:hAnsi="Times New Roman"/>
          <w:b/>
          <w:bCs/>
          <w:sz w:val="24"/>
          <w:szCs w:val="24"/>
        </w:rPr>
        <w:t>415</w:t>
      </w:r>
      <w:r w:rsidRPr="009A3C86">
        <w:rPr>
          <w:rFonts w:ascii="Times New Roman" w:hAnsi="Times New Roman"/>
          <w:sz w:val="24"/>
          <w:szCs w:val="24"/>
        </w:rPr>
        <w:t xml:space="preserve">. Przepis </w:t>
      </w:r>
      <w:r w:rsidRPr="009A3C86">
        <w:rPr>
          <w:rFonts w:ascii="Times New Roman" w:hAnsi="Times New Roman"/>
          <w:b/>
          <w:bCs/>
          <w:sz w:val="24"/>
          <w:szCs w:val="24"/>
        </w:rPr>
        <w:t>§ 1</w:t>
      </w:r>
      <w:r w:rsidRPr="009A3C86">
        <w:rPr>
          <w:rFonts w:ascii="Times New Roman" w:hAnsi="Times New Roman"/>
          <w:sz w:val="24"/>
          <w:szCs w:val="24"/>
        </w:rPr>
        <w:t xml:space="preserve"> stanowi, że mediacja może być prowadzona w przypadkach, w których może zostać zawarta umowa podatkowa i w celu doprowadzenia do jej zawarcia. Mediacja jest prowadzona celem doprowadzenia do zawarcia umowy. Mediacja może jednak nie zakończyć się porozumieniem stron i zawarciem umowy podatkowej. Nie znaczy to, że jej przeprowadzenie było zbędne lub przyniosło straty: w jej toku można było osiągnąć inne ważne wartości i korzyści (o charakterze niematerialnym, związane zwłaszcza z poczuciem sprawiedliwości proceduralnej strony). Nie zmienia to faktu, że podstawowym celem mediacji, jej kierunkowym założeniem przyświecającym podejmowanym w niej czynnościom jest osiągnięcie przez strony porozumienia.</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Sprawę do mediacji kieruje organ podatkowy, który może to uczynić na wniosek lub z urzędu za zgodą strony. Mediacja jest dobrowolna dla organu podatkowego i strony (zasada dobrowolności). Przepisy te oznaczają, że aby sprawa została skierowana do mediacji, potrzebna jest zgoda obu stron sporu. To rozwiązanie jest uzasadnione – mediacja prowadzona bez takiej zgody nie daje szans doprowadzenia do rozwiązania sporu. Wniosek strony o skierowanie sprawy do mediacji powinien zawierać wskazanie jej przedmiotu. Wskazanie to może być ogólne.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bCs/>
          <w:sz w:val="24"/>
          <w:szCs w:val="24"/>
        </w:rPr>
        <w:t xml:space="preserve">art. </w:t>
      </w:r>
      <w:r w:rsidR="00D459DF" w:rsidRPr="009A3C86">
        <w:rPr>
          <w:rFonts w:ascii="Times New Roman" w:hAnsi="Times New Roman"/>
          <w:b/>
          <w:bCs/>
          <w:sz w:val="24"/>
          <w:szCs w:val="24"/>
        </w:rPr>
        <w:t>415</w:t>
      </w:r>
      <w:r w:rsidRPr="009A3C86">
        <w:rPr>
          <w:rFonts w:ascii="Times New Roman" w:hAnsi="Times New Roman"/>
          <w:b/>
          <w:bCs/>
          <w:sz w:val="24"/>
          <w:szCs w:val="24"/>
        </w:rPr>
        <w:t xml:space="preserve"> § 4</w:t>
      </w:r>
      <w:r w:rsidRPr="009A3C86">
        <w:rPr>
          <w:rFonts w:ascii="Times New Roman" w:hAnsi="Times New Roman"/>
          <w:sz w:val="24"/>
          <w:szCs w:val="24"/>
        </w:rPr>
        <w:t xml:space="preserve"> </w:t>
      </w:r>
      <w:r w:rsidR="00D459DF" w:rsidRPr="009A3C86">
        <w:rPr>
          <w:rFonts w:ascii="Times New Roman" w:hAnsi="Times New Roman"/>
          <w:sz w:val="24"/>
          <w:szCs w:val="24"/>
        </w:rPr>
        <w:t xml:space="preserve">przebieg </w:t>
      </w:r>
      <w:r w:rsidRPr="009A3C86">
        <w:rPr>
          <w:rFonts w:ascii="Times New Roman" w:hAnsi="Times New Roman"/>
          <w:sz w:val="24"/>
          <w:szCs w:val="24"/>
        </w:rPr>
        <w:t>mediacj</w:t>
      </w:r>
      <w:r w:rsidR="00D459DF" w:rsidRPr="009A3C86">
        <w:rPr>
          <w:rFonts w:ascii="Times New Roman" w:hAnsi="Times New Roman"/>
          <w:sz w:val="24"/>
          <w:szCs w:val="24"/>
        </w:rPr>
        <w:t>i</w:t>
      </w:r>
      <w:r w:rsidRPr="009A3C86">
        <w:rPr>
          <w:rFonts w:ascii="Times New Roman" w:hAnsi="Times New Roman"/>
          <w:sz w:val="24"/>
          <w:szCs w:val="24"/>
        </w:rPr>
        <w:t xml:space="preserve"> jest jawna wyłącznie dla organu podatkowego, strony i mediatora (zasada poufności).</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xml:space="preserve">art. </w:t>
      </w:r>
      <w:r w:rsidR="00D459DF" w:rsidRPr="009A3C86">
        <w:rPr>
          <w:rFonts w:ascii="Times New Roman" w:hAnsi="Times New Roman"/>
          <w:b/>
          <w:bCs/>
          <w:sz w:val="24"/>
          <w:szCs w:val="24"/>
        </w:rPr>
        <w:t>416</w:t>
      </w:r>
      <w:r w:rsidRPr="009A3C86">
        <w:rPr>
          <w:rFonts w:ascii="Times New Roman" w:hAnsi="Times New Roman"/>
          <w:sz w:val="24"/>
          <w:szCs w:val="24"/>
        </w:rPr>
        <w:t xml:space="preserve"> określa czynności wstępne wymagane do przeprowadzenia mediacji. Przepis </w:t>
      </w:r>
      <w:r w:rsidRPr="009A3C86">
        <w:rPr>
          <w:rFonts w:ascii="Times New Roman" w:hAnsi="Times New Roman"/>
          <w:b/>
          <w:bCs/>
          <w:sz w:val="24"/>
          <w:szCs w:val="24"/>
        </w:rPr>
        <w:t>§ 1</w:t>
      </w:r>
      <w:r w:rsidRPr="009A3C86">
        <w:rPr>
          <w:rFonts w:ascii="Times New Roman" w:hAnsi="Times New Roman"/>
          <w:sz w:val="24"/>
          <w:szCs w:val="24"/>
        </w:rPr>
        <w:t xml:space="preserve"> wskazuje postanowienie jako formę procesową, w której organ podatkowy kieruje sprawę do mediacji lub odmawia jej skierowania. Postanowienie to nie podlega zaskarżeniu; w szczególności strona nie może zaskarżyć postanowienia o odmowie skierowania sprawy do mediacji. Jest to wyrazem dobrowolności mediacji dla obu stron sporu, zatem także dla organu podatkowego.</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Przed wydaniem postanowienia o skierowaniu sprawy do mediacji organ podatkowy przeprowadza czynności wstępne: wyjaśnia stronie cele i zasady mediacji</w:t>
      </w:r>
      <w:r w:rsidR="00D459DF" w:rsidRPr="009A3C86">
        <w:rPr>
          <w:rFonts w:ascii="Times New Roman" w:hAnsi="Times New Roman"/>
          <w:sz w:val="24"/>
          <w:szCs w:val="24"/>
        </w:rPr>
        <w:t>;</w:t>
      </w:r>
      <w:r w:rsidRPr="009A3C86">
        <w:rPr>
          <w:rFonts w:ascii="Times New Roman" w:hAnsi="Times New Roman"/>
          <w:sz w:val="24"/>
          <w:szCs w:val="24"/>
        </w:rPr>
        <w:t xml:space="preserve"> informuje ją o wysokości przewidywanych kosztów mediacji</w:t>
      </w:r>
      <w:r w:rsidR="00D459DF" w:rsidRPr="009A3C86">
        <w:rPr>
          <w:rFonts w:ascii="Times New Roman" w:hAnsi="Times New Roman"/>
          <w:sz w:val="24"/>
          <w:szCs w:val="24"/>
        </w:rPr>
        <w:t>;</w:t>
      </w:r>
      <w:r w:rsidRPr="009A3C86">
        <w:rPr>
          <w:rFonts w:ascii="Times New Roman" w:hAnsi="Times New Roman"/>
          <w:sz w:val="24"/>
          <w:szCs w:val="24"/>
        </w:rPr>
        <w:t xml:space="preserve"> przyjmuje od niej zgodę na udział w mediacji</w:t>
      </w:r>
      <w:r w:rsidR="00D459DF" w:rsidRPr="009A3C86">
        <w:rPr>
          <w:rFonts w:ascii="Times New Roman" w:hAnsi="Times New Roman"/>
          <w:sz w:val="24"/>
          <w:szCs w:val="24"/>
        </w:rPr>
        <w:t>, udostępnia stronie listę mediatorów, o której mowa w art. 418 § 1 oraz</w:t>
      </w:r>
      <w:r w:rsidRPr="009A3C86">
        <w:rPr>
          <w:rFonts w:ascii="Times New Roman" w:hAnsi="Times New Roman"/>
          <w:sz w:val="24"/>
          <w:szCs w:val="24"/>
        </w:rPr>
        <w:t xml:space="preserve"> uzgadnia ze stroną osobę mediatora powołanego do prowadzenia mediacji</w:t>
      </w:r>
      <w:r w:rsidR="00D459DF" w:rsidRPr="009A3C86">
        <w:rPr>
          <w:rFonts w:ascii="Times New Roman" w:hAnsi="Times New Roman"/>
          <w:sz w:val="24"/>
          <w:szCs w:val="24"/>
        </w:rPr>
        <w:t>;</w:t>
      </w:r>
      <w:r w:rsidRPr="009A3C86">
        <w:rPr>
          <w:rFonts w:ascii="Times New Roman" w:hAnsi="Times New Roman"/>
          <w:sz w:val="24"/>
          <w:szCs w:val="24"/>
        </w:rPr>
        <w:t xml:space="preserve"> odbiera zgodę tego mediatora na prowadzenie mediacji (</w:t>
      </w:r>
      <w:r w:rsidRPr="009A3C86">
        <w:rPr>
          <w:rFonts w:ascii="Times New Roman" w:hAnsi="Times New Roman"/>
          <w:b/>
          <w:bCs/>
          <w:sz w:val="24"/>
          <w:szCs w:val="24"/>
        </w:rPr>
        <w:t>§ 2</w:t>
      </w:r>
      <w:r w:rsidRPr="009A3C86">
        <w:rPr>
          <w:rFonts w:ascii="Times New Roman" w:hAnsi="Times New Roman"/>
          <w:sz w:val="24"/>
          <w:szCs w:val="24"/>
        </w:rPr>
        <w:t>). Wynika z tego, że strona postępowania i organ podatkowy muszą uzgodnić osobę mediatora – dokonują jego wyboru z listy prowadzonej przez Szefa KAS. Swoboda wyboru mediatora ma ogromną rolę dla jej powodzenia – musi to być osoba, którą uczestnicy sporu (osoby reprezentujące organ podatkowy oraz stronę postępowania) darzą zaufaniem i która jest przez nie oceniana jako najbardziej odpowiednia do poprowadzenia mediacji w danej sprawie</w:t>
      </w:r>
      <w:r w:rsidRPr="009A3C86">
        <w:rPr>
          <w:rFonts w:ascii="Times New Roman" w:hAnsi="Times New Roman"/>
          <w:sz w:val="24"/>
          <w:szCs w:val="24"/>
          <w:vertAlign w:val="superscript"/>
        </w:rPr>
        <w:footnoteReference w:id="439"/>
      </w:r>
      <w:r w:rsidRPr="009A3C86">
        <w:rPr>
          <w:rFonts w:ascii="Times New Roman" w:hAnsi="Times New Roman"/>
          <w:sz w:val="24"/>
          <w:szCs w:val="24"/>
        </w:rPr>
        <w:t>.</w:t>
      </w:r>
    </w:p>
    <w:p w:rsidR="002443B4" w:rsidRPr="009A3C86" w:rsidRDefault="002443B4" w:rsidP="002443B4">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Strona i mediator mogą wyrazić zgodę w dowolnej formie, także ustnie do protokołu (</w:t>
      </w:r>
      <w:r w:rsidRPr="009A3C86">
        <w:rPr>
          <w:rFonts w:ascii="Times New Roman" w:eastAsia="Times New Roman" w:hAnsi="Times New Roman"/>
          <w:b/>
          <w:bCs/>
          <w:sz w:val="24"/>
          <w:szCs w:val="24"/>
          <w:lang w:eastAsia="pl-PL"/>
        </w:rPr>
        <w:t>§ 3</w:t>
      </w:r>
      <w:r w:rsidRPr="009A3C86">
        <w:rPr>
          <w:rFonts w:ascii="Times New Roman" w:eastAsia="Times New Roman" w:hAnsi="Times New Roman"/>
          <w:bCs/>
          <w:sz w:val="24"/>
          <w:szCs w:val="24"/>
          <w:lang w:eastAsia="pl-PL"/>
        </w:rPr>
        <w:t>).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Wybrany mediator może odmówić prowadzenia mediacji tylko z ważnych powodów (</w:t>
      </w:r>
      <w:r w:rsidRPr="009A3C86">
        <w:rPr>
          <w:rFonts w:ascii="Times New Roman" w:hAnsi="Times New Roman"/>
          <w:b/>
          <w:bCs/>
          <w:sz w:val="24"/>
          <w:szCs w:val="24"/>
        </w:rPr>
        <w:t>§ 4</w:t>
      </w:r>
      <w:r w:rsidRPr="009A3C86">
        <w:rPr>
          <w:rFonts w:ascii="Times New Roman" w:hAnsi="Times New Roman"/>
          <w:bCs/>
          <w:sz w:val="24"/>
          <w:szCs w:val="24"/>
        </w:rPr>
        <w:t>).</w:t>
      </w:r>
      <w:r w:rsidRPr="009A3C86">
        <w:rPr>
          <w:rFonts w:ascii="Times New Roman" w:hAnsi="Times New Roman"/>
          <w:sz w:val="24"/>
          <w:szCs w:val="24"/>
        </w:rPr>
        <w:t xml:space="preserve"> Do powodów tych należy na przykład okoliczność pozostawania z osobami zaangażowanymi w spór w relacji niepozwalającej na zachowanie bezstronności, długotrwała choroba, jednoczesne prowadzenie wielu innych mediacji itd.</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Przepis </w:t>
      </w:r>
      <w:r w:rsidRPr="009A3C86">
        <w:rPr>
          <w:rFonts w:ascii="Times New Roman" w:hAnsi="Times New Roman"/>
          <w:b/>
          <w:bCs/>
          <w:sz w:val="24"/>
          <w:szCs w:val="24"/>
        </w:rPr>
        <w:t>§ 5</w:t>
      </w:r>
      <w:r w:rsidRPr="009A3C86">
        <w:rPr>
          <w:rFonts w:ascii="Times New Roman" w:hAnsi="Times New Roman"/>
          <w:sz w:val="24"/>
          <w:szCs w:val="24"/>
        </w:rPr>
        <w:t xml:space="preserve"> wymienia elementy postanowienia o skierowaniu sprawy do mediacji: oznaczenie organu podatkowego; oznaczenie strony, a jeżeli stroną jest osoba prawna lub jednostka organizacyjna niemająca osobowości prawnej,; przedmiot i zakres mediacji; imię i nazwisko mediatora powołanego do prowadzenia mediacji; termin zakończenia mediacji; pouczenie o możliwości wyrażenia sprzeciwu wobec zapoznania się przez mediatora z aktami sprawy. Niezwłocznie po doręczeniu postanowienia o skierowaniu sprawy do mediacji organ podatkowy przekazuje mediatorowi dane kontaktowe strony lub jej pełnomocnika (</w:t>
      </w:r>
      <w:r w:rsidRPr="009A3C86">
        <w:rPr>
          <w:rFonts w:ascii="Times New Roman" w:hAnsi="Times New Roman"/>
          <w:b/>
          <w:sz w:val="24"/>
          <w:szCs w:val="24"/>
        </w:rPr>
        <w:t>§ 7</w:t>
      </w:r>
      <w:r w:rsidRPr="009A3C86">
        <w:rPr>
          <w:rFonts w:ascii="Times New Roman" w:hAnsi="Times New Roman"/>
          <w:sz w:val="24"/>
          <w:szCs w:val="24"/>
        </w:rPr>
        <w:t>).</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Termin zakończenia mediacji, określony w pierwotnie wydanym postanowieniu, nie może przekraczać dwóch miesięcy od dnia wszczęcia mediacji (</w:t>
      </w:r>
      <w:r w:rsidRPr="009A3C86">
        <w:rPr>
          <w:rFonts w:ascii="Times New Roman" w:hAnsi="Times New Roman"/>
          <w:b/>
          <w:bCs/>
          <w:sz w:val="24"/>
          <w:szCs w:val="24"/>
        </w:rPr>
        <w:t>§ 8</w:t>
      </w:r>
      <w:r w:rsidRPr="009A3C86">
        <w:rPr>
          <w:rFonts w:ascii="Times New Roman" w:hAnsi="Times New Roman"/>
          <w:sz w:val="24"/>
          <w:szCs w:val="24"/>
        </w:rPr>
        <w:t>). Organ podatkowy, działając na wniosek mediatora oraz za zgodą strony, może postanowieniem przedłużyć ten termin na czas oznaczony niezbędny do zakończenia mediacji (</w:t>
      </w:r>
      <w:r w:rsidRPr="009A3C86">
        <w:rPr>
          <w:rFonts w:ascii="Times New Roman" w:hAnsi="Times New Roman"/>
          <w:b/>
          <w:bCs/>
          <w:sz w:val="24"/>
          <w:szCs w:val="24"/>
        </w:rPr>
        <w:t>§ 9</w:t>
      </w:r>
      <w:r w:rsidRPr="009A3C86">
        <w:rPr>
          <w:rFonts w:ascii="Times New Roman" w:hAnsi="Times New Roman"/>
          <w:sz w:val="24"/>
          <w:szCs w:val="24"/>
        </w:rPr>
        <w:t>). Termin ten nie jest wliczany do terminu załatwienia sprawy.</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Postanowienie o odmowie skierowania sprawy do mediacji doręcza się stronie (na zasadach ogólnych). Postanowienie o skierowaniu sprawy do mediacji doręcza się stronie oraz mediatorowi (</w:t>
      </w:r>
      <w:r w:rsidRPr="009A3C86">
        <w:rPr>
          <w:rFonts w:ascii="Times New Roman" w:hAnsi="Times New Roman"/>
          <w:b/>
          <w:bCs/>
          <w:sz w:val="24"/>
          <w:szCs w:val="24"/>
        </w:rPr>
        <w:t>§ 6</w:t>
      </w:r>
      <w:r w:rsidRPr="009A3C86">
        <w:rPr>
          <w:rFonts w:ascii="Times New Roman" w:hAnsi="Times New Roman"/>
          <w:sz w:val="24"/>
          <w:szCs w:val="24"/>
        </w:rPr>
        <w:t>).</w:t>
      </w:r>
    </w:p>
    <w:p w:rsidR="006335BD" w:rsidRPr="009A3C86" w:rsidRDefault="002443B4" w:rsidP="006335BD">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Zgodnie z </w:t>
      </w:r>
      <w:r w:rsidRPr="009A3C86">
        <w:rPr>
          <w:rFonts w:ascii="Times New Roman" w:hAnsi="Times New Roman"/>
          <w:b/>
          <w:bCs/>
          <w:sz w:val="24"/>
          <w:szCs w:val="24"/>
        </w:rPr>
        <w:t xml:space="preserve">art. </w:t>
      </w:r>
      <w:r w:rsidR="00D459DF" w:rsidRPr="009A3C86">
        <w:rPr>
          <w:rFonts w:ascii="Times New Roman" w:hAnsi="Times New Roman"/>
          <w:b/>
          <w:bCs/>
          <w:sz w:val="24"/>
          <w:szCs w:val="24"/>
        </w:rPr>
        <w:t>417</w:t>
      </w:r>
      <w:r w:rsidRPr="009A3C86">
        <w:rPr>
          <w:rFonts w:ascii="Times New Roman" w:hAnsi="Times New Roman"/>
          <w:b/>
          <w:sz w:val="24"/>
          <w:szCs w:val="24"/>
        </w:rPr>
        <w:t xml:space="preserve"> § 1</w:t>
      </w:r>
      <w:r w:rsidRPr="009A3C86">
        <w:rPr>
          <w:rFonts w:ascii="Times New Roman" w:hAnsi="Times New Roman"/>
          <w:sz w:val="24"/>
          <w:szCs w:val="24"/>
        </w:rPr>
        <w:t xml:space="preserve"> mediację prowadzi mediator. </w:t>
      </w:r>
      <w:r w:rsidR="00D459DF" w:rsidRPr="009A3C86">
        <w:rPr>
          <w:rFonts w:ascii="Times New Roman" w:hAnsi="Times New Roman"/>
          <w:sz w:val="24"/>
          <w:szCs w:val="24"/>
        </w:rPr>
        <w:t xml:space="preserve">Mediatorem może być osoba wpisana na listę mediatorów </w:t>
      </w:r>
      <w:r w:rsidR="00CE6458" w:rsidRPr="009A3C86">
        <w:rPr>
          <w:rFonts w:ascii="Times New Roman" w:hAnsi="Times New Roman"/>
          <w:b/>
          <w:sz w:val="24"/>
          <w:szCs w:val="24"/>
        </w:rPr>
        <w:t>(</w:t>
      </w:r>
      <w:r w:rsidR="00D459DF" w:rsidRPr="009A3C86">
        <w:rPr>
          <w:rFonts w:ascii="Times New Roman" w:hAnsi="Times New Roman"/>
          <w:b/>
          <w:bCs/>
          <w:sz w:val="24"/>
          <w:szCs w:val="24"/>
        </w:rPr>
        <w:t>§ 2)</w:t>
      </w:r>
      <w:r w:rsidR="00D459DF" w:rsidRPr="009A3C86">
        <w:rPr>
          <w:rFonts w:ascii="Times New Roman" w:hAnsi="Times New Roman"/>
          <w:sz w:val="24"/>
          <w:szCs w:val="24"/>
        </w:rPr>
        <w:t xml:space="preserve">. </w:t>
      </w: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D459DF" w:rsidRPr="009A3C86">
        <w:rPr>
          <w:rFonts w:ascii="Times New Roman" w:hAnsi="Times New Roman"/>
          <w:b/>
          <w:sz w:val="24"/>
          <w:szCs w:val="24"/>
        </w:rPr>
        <w:t>417</w:t>
      </w:r>
      <w:r w:rsidRPr="009A3C86">
        <w:rPr>
          <w:rFonts w:ascii="Times New Roman" w:hAnsi="Times New Roman"/>
          <w:b/>
          <w:sz w:val="24"/>
          <w:szCs w:val="24"/>
        </w:rPr>
        <w:t xml:space="preserve"> § </w:t>
      </w:r>
      <w:r w:rsidR="00D459DF" w:rsidRPr="009A3C86">
        <w:rPr>
          <w:rFonts w:ascii="Times New Roman" w:hAnsi="Times New Roman"/>
          <w:b/>
          <w:sz w:val="24"/>
          <w:szCs w:val="24"/>
        </w:rPr>
        <w:t>3</w:t>
      </w:r>
      <w:r w:rsidRPr="009A3C86">
        <w:rPr>
          <w:rFonts w:ascii="Times New Roman" w:hAnsi="Times New Roman"/>
          <w:sz w:val="24"/>
          <w:szCs w:val="24"/>
        </w:rPr>
        <w:t xml:space="preserve"> wymienia warunki, jakie musi spełniać mediator (a wcześniej osoba ubiegająca się o wpis na listę mediatorów prowadzoną przez Szefa Krajowej Administracji Skarbowej). Szczególne jest znaczenie warunku wymienionego w pkt 6, a mianowicie wymogu posiadania umiejętności i wiedzy w zakresie przeprowadzania mediacji, rozwiązywania konfliktów i nawiązywania kontaktów międzyludzkich. Jednocześnie </w:t>
      </w:r>
      <w:r w:rsidRPr="009A3C86">
        <w:rPr>
          <w:rFonts w:ascii="Times New Roman" w:hAnsi="Times New Roman"/>
          <w:b/>
          <w:sz w:val="24"/>
          <w:szCs w:val="24"/>
        </w:rPr>
        <w:t xml:space="preserve">art. </w:t>
      </w:r>
      <w:r w:rsidR="00D459DF" w:rsidRPr="009A3C86">
        <w:rPr>
          <w:rFonts w:ascii="Times New Roman" w:hAnsi="Times New Roman"/>
          <w:b/>
          <w:sz w:val="24"/>
          <w:szCs w:val="24"/>
        </w:rPr>
        <w:t>417</w:t>
      </w:r>
      <w:r w:rsidRPr="009A3C86">
        <w:rPr>
          <w:rFonts w:ascii="Times New Roman" w:hAnsi="Times New Roman"/>
          <w:b/>
          <w:sz w:val="24"/>
          <w:szCs w:val="24"/>
        </w:rPr>
        <w:t xml:space="preserve"> § </w:t>
      </w:r>
      <w:r w:rsidR="00D459DF" w:rsidRPr="009A3C86">
        <w:rPr>
          <w:rFonts w:ascii="Times New Roman" w:hAnsi="Times New Roman"/>
          <w:b/>
          <w:sz w:val="24"/>
          <w:szCs w:val="24"/>
        </w:rPr>
        <w:t>4</w:t>
      </w:r>
      <w:r w:rsidRPr="009A3C86">
        <w:rPr>
          <w:rFonts w:ascii="Times New Roman" w:hAnsi="Times New Roman"/>
          <w:sz w:val="24"/>
          <w:szCs w:val="24"/>
        </w:rPr>
        <w:t xml:space="preserve"> przewiduje, że mediatorem </w:t>
      </w:r>
      <w:r w:rsidRPr="009A3C86">
        <w:rPr>
          <w:rFonts w:ascii="Times New Roman" w:hAnsi="Times New Roman"/>
          <w:bCs/>
          <w:sz w:val="24"/>
          <w:szCs w:val="24"/>
        </w:rPr>
        <w:t xml:space="preserve">nie może być sędzia sądu administracyjnego (z wyjątkiem sędziów w stanie spoczynku) ani osoba zatrudniona w jednostce organizacyjnej Krajowej Administracji Skarbowej oraz pracownik urzędu obsługującego organ podatkowy. </w:t>
      </w:r>
      <w:r w:rsidR="006335BD" w:rsidRPr="009A3C86">
        <w:rPr>
          <w:rFonts w:ascii="Times New Roman" w:hAnsi="Times New Roman"/>
          <w:sz w:val="24"/>
          <w:szCs w:val="24"/>
        </w:rPr>
        <w:t xml:space="preserve">Do mediatora stosuje się odpowiednio przepisy </w:t>
      </w:r>
      <w:r w:rsidR="006335BD" w:rsidRPr="009A3C86">
        <w:rPr>
          <w:rFonts w:ascii="Times New Roman" w:hAnsi="Times New Roman"/>
          <w:bCs/>
          <w:sz w:val="24"/>
          <w:szCs w:val="24"/>
        </w:rPr>
        <w:t xml:space="preserve">art. </w:t>
      </w:r>
      <w:r w:rsidR="00D459DF" w:rsidRPr="009A3C86">
        <w:rPr>
          <w:rFonts w:ascii="Times New Roman" w:hAnsi="Times New Roman"/>
          <w:bCs/>
          <w:sz w:val="24"/>
          <w:szCs w:val="24"/>
        </w:rPr>
        <w:t>95</w:t>
      </w:r>
      <w:r w:rsidR="006335BD" w:rsidRPr="009A3C86">
        <w:rPr>
          <w:rFonts w:ascii="Times New Roman" w:hAnsi="Times New Roman"/>
          <w:bCs/>
          <w:sz w:val="24"/>
          <w:szCs w:val="24"/>
        </w:rPr>
        <w:t xml:space="preserve"> § 1-</w:t>
      </w:r>
      <w:r w:rsidR="00D459DF" w:rsidRPr="009A3C86">
        <w:rPr>
          <w:rFonts w:ascii="Times New Roman" w:hAnsi="Times New Roman"/>
          <w:bCs/>
          <w:sz w:val="24"/>
          <w:szCs w:val="24"/>
        </w:rPr>
        <w:t>5</w:t>
      </w:r>
      <w:r w:rsidR="006335BD" w:rsidRPr="009A3C86">
        <w:rPr>
          <w:rFonts w:ascii="Times New Roman" w:hAnsi="Times New Roman"/>
          <w:sz w:val="24"/>
          <w:szCs w:val="24"/>
        </w:rPr>
        <w:t xml:space="preserve"> (przepisy o wyłączeniu pracownika).</w:t>
      </w:r>
    </w:p>
    <w:p w:rsidR="006335BD" w:rsidRPr="009A3C86" w:rsidRDefault="006335BD" w:rsidP="006335BD">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Przepisy </w:t>
      </w:r>
      <w:r w:rsidRPr="009A3C86">
        <w:rPr>
          <w:rFonts w:ascii="Times New Roman" w:hAnsi="Times New Roman"/>
          <w:b/>
          <w:sz w:val="24"/>
          <w:szCs w:val="24"/>
        </w:rPr>
        <w:t xml:space="preserve">art. </w:t>
      </w:r>
      <w:r w:rsidR="00D459DF" w:rsidRPr="009A3C86">
        <w:rPr>
          <w:rFonts w:ascii="Times New Roman" w:hAnsi="Times New Roman"/>
          <w:b/>
          <w:sz w:val="24"/>
          <w:szCs w:val="24"/>
        </w:rPr>
        <w:t>418</w:t>
      </w:r>
      <w:r w:rsidRPr="009A3C86">
        <w:rPr>
          <w:rFonts w:ascii="Times New Roman" w:hAnsi="Times New Roman"/>
          <w:b/>
          <w:sz w:val="24"/>
          <w:szCs w:val="24"/>
        </w:rPr>
        <w:t>-</w:t>
      </w:r>
      <w:r w:rsidR="00D459DF" w:rsidRPr="009A3C86">
        <w:rPr>
          <w:rFonts w:ascii="Times New Roman" w:hAnsi="Times New Roman"/>
          <w:b/>
          <w:sz w:val="24"/>
          <w:szCs w:val="24"/>
        </w:rPr>
        <w:t>419</w:t>
      </w:r>
      <w:r w:rsidRPr="009A3C86">
        <w:rPr>
          <w:rFonts w:ascii="Times New Roman" w:hAnsi="Times New Roman"/>
          <w:sz w:val="24"/>
          <w:szCs w:val="24"/>
        </w:rPr>
        <w:t xml:space="preserve"> dotyczą wpisu na listę mediatorów i sposobu jej prowadzenia. Listę mediatorów prowadzi Szef Krajowej Administracji Skarbowej. W przedmiocie wpisu na listę mediatorów i skreślenia z tej listy organ ten wydaje decyzję, przy czym jest on zobowiązany dokonać wpisu na listę każdej osoby spełniającej warunki, o których mowa w art. </w:t>
      </w:r>
      <w:r w:rsidR="00D459DF" w:rsidRPr="009A3C86">
        <w:rPr>
          <w:rFonts w:ascii="Times New Roman" w:hAnsi="Times New Roman"/>
          <w:sz w:val="24"/>
          <w:szCs w:val="24"/>
        </w:rPr>
        <w:t>417</w:t>
      </w:r>
      <w:r w:rsidRPr="009A3C86">
        <w:rPr>
          <w:rFonts w:ascii="Times New Roman" w:hAnsi="Times New Roman"/>
          <w:sz w:val="24"/>
          <w:szCs w:val="24"/>
        </w:rPr>
        <w:t xml:space="preserve"> § 2-3. </w:t>
      </w:r>
    </w:p>
    <w:p w:rsidR="006335BD" w:rsidRPr="009A3C86" w:rsidRDefault="006335BD" w:rsidP="006335BD">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Wpis na listę mediatorów </w:t>
      </w:r>
      <w:r w:rsidRPr="009A3C86">
        <w:rPr>
          <w:rFonts w:ascii="Times New Roman" w:hAnsi="Times New Roman"/>
          <w:sz w:val="24"/>
          <w:szCs w:val="24"/>
        </w:rPr>
        <w:t>następuje na wniosek; do wniosku należy dołączyć dokumenty i oświadczenia potwierdzające spełnienie warunków ustawowych oraz wskazanie adresu do doręczeń w kraju, adresu elektronicznego i numeru telefonu. Wpis na listę mediatorów zawiera imię i nazwisko mediatora, wykształcenie kierunkowe mediatora oraz numer telefonu i adres elektroniczny mediatora.</w:t>
      </w:r>
    </w:p>
    <w:p w:rsidR="002443B4" w:rsidRPr="009A3C86" w:rsidRDefault="006335BD" w:rsidP="002443B4">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Osoba wpisana na listę mediatorów ma obowiązek zawiadomić Szefa Krajowej Administracji Skarbowej o utracie któregokolwiek z warunków, o których mowa w art. </w:t>
      </w:r>
      <w:r w:rsidR="006A4441" w:rsidRPr="009A3C86">
        <w:rPr>
          <w:rFonts w:ascii="Times New Roman" w:hAnsi="Times New Roman"/>
          <w:sz w:val="24"/>
          <w:szCs w:val="24"/>
        </w:rPr>
        <w:t>417</w:t>
      </w:r>
      <w:r w:rsidRPr="009A3C86">
        <w:rPr>
          <w:rFonts w:ascii="Times New Roman" w:hAnsi="Times New Roman"/>
          <w:sz w:val="24"/>
          <w:szCs w:val="24"/>
        </w:rPr>
        <w:t xml:space="preserve"> § 2-3, w terminie 14 dni od dnia, w którym warunek przestał być spełniony. Ma także obowiązek zawiadomić go – niezwłocznie – o każdorazowej zmianie adresu do doręczeń w kraju, adresu elektronicznego lub numeru telefonu (Szef Krajowej </w:t>
      </w:r>
      <w:r w:rsidRPr="009A3C86">
        <w:rPr>
          <w:rFonts w:ascii="Times New Roman" w:hAnsi="Times New Roman"/>
          <w:bCs/>
          <w:sz w:val="24"/>
          <w:szCs w:val="24"/>
        </w:rPr>
        <w:t>Administracji Skarbowej dokonuje wówczas stosownej aktualizacji listy mediatorów).</w:t>
      </w:r>
      <w:r w:rsidR="002443B4" w:rsidRPr="009A3C86">
        <w:rPr>
          <w:rFonts w:ascii="Times New Roman" w:hAnsi="Times New Roman"/>
          <w:sz w:val="24"/>
          <w:szCs w:val="24"/>
        </w:rPr>
        <w:t xml:space="preserve">Przepis </w:t>
      </w:r>
      <w:r w:rsidR="002443B4" w:rsidRPr="009A3C86">
        <w:rPr>
          <w:rFonts w:ascii="Times New Roman" w:hAnsi="Times New Roman"/>
          <w:b/>
          <w:sz w:val="24"/>
          <w:szCs w:val="24"/>
        </w:rPr>
        <w:t xml:space="preserve">art. </w:t>
      </w:r>
      <w:r w:rsidR="006A4441" w:rsidRPr="009A3C86">
        <w:rPr>
          <w:rFonts w:ascii="Times New Roman" w:hAnsi="Times New Roman"/>
          <w:b/>
          <w:sz w:val="24"/>
          <w:szCs w:val="24"/>
        </w:rPr>
        <w:t>420</w:t>
      </w:r>
      <w:r w:rsidR="002443B4" w:rsidRPr="009A3C86">
        <w:rPr>
          <w:rFonts w:ascii="Times New Roman" w:hAnsi="Times New Roman"/>
          <w:sz w:val="24"/>
          <w:szCs w:val="24"/>
        </w:rPr>
        <w:t xml:space="preserve"> określa reguły skreślenia mediatora z listy. Zgodnie z jego </w:t>
      </w:r>
      <w:r w:rsidR="002443B4" w:rsidRPr="009A3C86">
        <w:rPr>
          <w:rFonts w:ascii="Times New Roman" w:hAnsi="Times New Roman"/>
          <w:b/>
          <w:sz w:val="24"/>
          <w:szCs w:val="24"/>
        </w:rPr>
        <w:t>§ 1</w:t>
      </w:r>
      <w:r w:rsidR="002443B4" w:rsidRPr="009A3C86">
        <w:rPr>
          <w:rFonts w:ascii="Times New Roman" w:hAnsi="Times New Roman"/>
          <w:sz w:val="24"/>
          <w:szCs w:val="24"/>
        </w:rPr>
        <w:t xml:space="preserve"> Szef Krajowej Administracji Skarbowej skreśla mediatora z listy</w:t>
      </w:r>
      <w:r w:rsidR="006A4441" w:rsidRPr="009A3C86">
        <w:rPr>
          <w:rFonts w:ascii="Times New Roman" w:hAnsi="Times New Roman"/>
          <w:sz w:val="24"/>
          <w:szCs w:val="24"/>
        </w:rPr>
        <w:t>:</w:t>
      </w:r>
      <w:r w:rsidR="002443B4" w:rsidRPr="009A3C86">
        <w:rPr>
          <w:rFonts w:ascii="Times New Roman" w:hAnsi="Times New Roman"/>
          <w:sz w:val="24"/>
          <w:szCs w:val="24"/>
        </w:rPr>
        <w:t xml:space="preserve"> na jego wniosek, w razie jego śmierci, </w:t>
      </w:r>
      <w:r w:rsidR="006A4441" w:rsidRPr="009A3C86">
        <w:rPr>
          <w:rFonts w:ascii="Times New Roman" w:hAnsi="Times New Roman"/>
          <w:sz w:val="24"/>
          <w:szCs w:val="24"/>
        </w:rPr>
        <w:t>który przestał spełniać</w:t>
      </w:r>
      <w:r w:rsidR="002443B4" w:rsidRPr="009A3C86">
        <w:rPr>
          <w:rFonts w:ascii="Times New Roman" w:hAnsi="Times New Roman"/>
          <w:sz w:val="24"/>
          <w:szCs w:val="24"/>
        </w:rPr>
        <w:t xml:space="preserve"> któr</w:t>
      </w:r>
      <w:r w:rsidR="006A4441" w:rsidRPr="009A3C86">
        <w:rPr>
          <w:rFonts w:ascii="Times New Roman" w:hAnsi="Times New Roman"/>
          <w:sz w:val="24"/>
          <w:szCs w:val="24"/>
        </w:rPr>
        <w:t>y</w:t>
      </w:r>
      <w:r w:rsidR="002443B4" w:rsidRPr="009A3C86">
        <w:rPr>
          <w:rFonts w:ascii="Times New Roman" w:hAnsi="Times New Roman"/>
          <w:sz w:val="24"/>
          <w:szCs w:val="24"/>
        </w:rPr>
        <w:t xml:space="preserve">kolwiek z warunków, o których mowa w art. </w:t>
      </w:r>
      <w:r w:rsidR="006A4441" w:rsidRPr="009A3C86">
        <w:rPr>
          <w:rFonts w:ascii="Times New Roman" w:hAnsi="Times New Roman"/>
          <w:sz w:val="24"/>
          <w:szCs w:val="24"/>
        </w:rPr>
        <w:t>417</w:t>
      </w:r>
      <w:r w:rsidR="002443B4" w:rsidRPr="009A3C86">
        <w:rPr>
          <w:rFonts w:ascii="Times New Roman" w:hAnsi="Times New Roman"/>
          <w:sz w:val="24"/>
          <w:szCs w:val="24"/>
        </w:rPr>
        <w:t xml:space="preserve"> § </w:t>
      </w:r>
      <w:r w:rsidR="006A4441" w:rsidRPr="009A3C86">
        <w:rPr>
          <w:rFonts w:ascii="Times New Roman" w:hAnsi="Times New Roman"/>
          <w:sz w:val="24"/>
          <w:szCs w:val="24"/>
        </w:rPr>
        <w:t>3</w:t>
      </w:r>
      <w:r w:rsidR="002443B4" w:rsidRPr="009A3C86">
        <w:rPr>
          <w:rFonts w:ascii="Times New Roman" w:hAnsi="Times New Roman"/>
          <w:sz w:val="24"/>
          <w:szCs w:val="24"/>
        </w:rPr>
        <w:t xml:space="preserve"> pkt </w:t>
      </w:r>
      <w:r w:rsidR="006A4441" w:rsidRPr="009A3C86">
        <w:rPr>
          <w:rFonts w:ascii="Times New Roman" w:hAnsi="Times New Roman"/>
          <w:sz w:val="24"/>
          <w:szCs w:val="24"/>
        </w:rPr>
        <w:t>1, 2, 4, 5, 7, i 8</w:t>
      </w:r>
      <w:r w:rsidR="002443B4" w:rsidRPr="009A3C86">
        <w:rPr>
          <w:rFonts w:ascii="Times New Roman" w:hAnsi="Times New Roman"/>
          <w:sz w:val="24"/>
          <w:szCs w:val="24"/>
        </w:rPr>
        <w:t xml:space="preserve">, </w:t>
      </w:r>
      <w:r w:rsidR="006A4441" w:rsidRPr="009A3C86">
        <w:rPr>
          <w:rFonts w:ascii="Times New Roman" w:hAnsi="Times New Roman"/>
          <w:sz w:val="24"/>
          <w:szCs w:val="24"/>
        </w:rPr>
        <w:t xml:space="preserve">w przypadku </w:t>
      </w:r>
      <w:r w:rsidR="002443B4" w:rsidRPr="009A3C86">
        <w:rPr>
          <w:rFonts w:ascii="Times New Roman" w:hAnsi="Times New Roman"/>
          <w:sz w:val="24"/>
          <w:szCs w:val="24"/>
        </w:rPr>
        <w:t xml:space="preserve">powołania do pełnienia urzędu na stanowisku sędziego </w:t>
      </w:r>
      <w:r w:rsidR="006A4441" w:rsidRPr="009A3C86">
        <w:rPr>
          <w:rFonts w:ascii="Times New Roman" w:hAnsi="Times New Roman"/>
          <w:sz w:val="24"/>
          <w:szCs w:val="24"/>
        </w:rPr>
        <w:t xml:space="preserve">sądu administracyjnego </w:t>
      </w:r>
      <w:r w:rsidR="002443B4" w:rsidRPr="009A3C86">
        <w:rPr>
          <w:rFonts w:ascii="Times New Roman" w:hAnsi="Times New Roman"/>
          <w:sz w:val="24"/>
          <w:szCs w:val="24"/>
        </w:rPr>
        <w:t>lub zatrudnienia (</w:t>
      </w:r>
      <w:r w:rsidR="006A4441" w:rsidRPr="009A3C86">
        <w:rPr>
          <w:rFonts w:ascii="Times New Roman" w:hAnsi="Times New Roman"/>
          <w:sz w:val="24"/>
          <w:szCs w:val="24"/>
        </w:rPr>
        <w:t xml:space="preserve">lub podjęcia </w:t>
      </w:r>
      <w:r w:rsidR="002443B4" w:rsidRPr="009A3C86">
        <w:rPr>
          <w:rFonts w:ascii="Times New Roman" w:hAnsi="Times New Roman"/>
          <w:sz w:val="24"/>
          <w:szCs w:val="24"/>
        </w:rPr>
        <w:t xml:space="preserve">służby) w jednostce lub urzędzie, o których mowa w art. </w:t>
      </w:r>
      <w:r w:rsidR="006A4441" w:rsidRPr="009A3C86">
        <w:rPr>
          <w:rFonts w:ascii="Times New Roman" w:hAnsi="Times New Roman"/>
          <w:sz w:val="24"/>
          <w:szCs w:val="24"/>
        </w:rPr>
        <w:t>417</w:t>
      </w:r>
      <w:r w:rsidR="002443B4" w:rsidRPr="009A3C86">
        <w:rPr>
          <w:rFonts w:ascii="Times New Roman" w:hAnsi="Times New Roman"/>
          <w:sz w:val="24"/>
          <w:szCs w:val="24"/>
        </w:rPr>
        <w:t xml:space="preserve"> § </w:t>
      </w:r>
      <w:r w:rsidR="006A4441" w:rsidRPr="009A3C86">
        <w:rPr>
          <w:rFonts w:ascii="Times New Roman" w:hAnsi="Times New Roman"/>
          <w:sz w:val="24"/>
          <w:szCs w:val="24"/>
        </w:rPr>
        <w:t>4</w:t>
      </w:r>
      <w:r w:rsidR="002443B4" w:rsidRPr="009A3C86">
        <w:rPr>
          <w:rFonts w:ascii="Times New Roman" w:hAnsi="Times New Roman"/>
          <w:sz w:val="24"/>
          <w:szCs w:val="24"/>
        </w:rPr>
        <w:t xml:space="preserve">. Stosownie do </w:t>
      </w:r>
      <w:r w:rsidR="002443B4" w:rsidRPr="009A3C86">
        <w:rPr>
          <w:rFonts w:ascii="Times New Roman" w:hAnsi="Times New Roman"/>
          <w:b/>
          <w:sz w:val="24"/>
          <w:szCs w:val="24"/>
        </w:rPr>
        <w:t>§ 2</w:t>
      </w:r>
      <w:r w:rsidR="002443B4" w:rsidRPr="009A3C86">
        <w:rPr>
          <w:rFonts w:ascii="Times New Roman" w:hAnsi="Times New Roman"/>
          <w:sz w:val="24"/>
          <w:szCs w:val="24"/>
        </w:rPr>
        <w:t xml:space="preserve"> organ ten może skreślić z listy mediatora w </w:t>
      </w:r>
      <w:r w:rsidR="003E5CF2" w:rsidRPr="009A3C86">
        <w:rPr>
          <w:rFonts w:ascii="Times New Roman" w:hAnsi="Times New Roman"/>
          <w:sz w:val="24"/>
          <w:szCs w:val="24"/>
        </w:rPr>
        <w:t>przypadku</w:t>
      </w:r>
      <w:r w:rsidR="002443B4" w:rsidRPr="009A3C86">
        <w:rPr>
          <w:rFonts w:ascii="Times New Roman" w:hAnsi="Times New Roman"/>
          <w:sz w:val="24"/>
          <w:szCs w:val="24"/>
        </w:rPr>
        <w:t xml:space="preserve"> niewykonywania lub nienależytego wykonywania obowiązków związanych z przeprowadzaniem mediacji.</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Kolejne przepisy określające charakter roli mediatora zawiera </w:t>
      </w:r>
      <w:r w:rsidRPr="009A3C86">
        <w:rPr>
          <w:rFonts w:ascii="Times New Roman" w:hAnsi="Times New Roman"/>
          <w:b/>
          <w:bCs/>
          <w:sz w:val="24"/>
          <w:szCs w:val="24"/>
        </w:rPr>
        <w:t xml:space="preserve">art. </w:t>
      </w:r>
      <w:r w:rsidR="003E5CF2" w:rsidRPr="009A3C86">
        <w:rPr>
          <w:rFonts w:ascii="Times New Roman" w:hAnsi="Times New Roman"/>
          <w:b/>
          <w:bCs/>
          <w:sz w:val="24"/>
          <w:szCs w:val="24"/>
        </w:rPr>
        <w:t>421</w:t>
      </w:r>
      <w:r w:rsidRPr="009A3C86">
        <w:rPr>
          <w:rFonts w:ascii="Times New Roman" w:hAnsi="Times New Roman"/>
          <w:sz w:val="24"/>
          <w:szCs w:val="24"/>
        </w:rPr>
        <w:t>. Mediatorem prowadzącym mediację jest osoba wskazana w postanowieniu organu podatkowego o skierowaniu sprawy do mediacji. Mediator przy prowadzeniu mediacji zachowuje bezstronność i neutralność (zasada bezstronności i neutralności). Może zrezygnować z prowadzenia mediacji w jej trakcie tylko z ważnych powodów, o których jest obowiązany niezwłocznie powiadomić organ podatkowy i stronę. Zapoznaje się z aktami sprawy i ma prawo sporządzania z nich notatek, odpisów i kopii oraz nieodpłatnego otrzymania ich kopii, chyba że strona w terminie 7 dni od dnia doręczenia postanowienia o skierowaniu sprawy do mediacji wyrazi sprzeciw wobec zapoznania się przez mediatora z aktami sprawy. Nie jest zatem wykluczone prowadzenie mediacji bez zapoznawania się mediatora z aktami sprawy (nie jest to osobliwość w porównaniu z mediacją prowadzoną w ramach lub na potrzeby rozwiązywania sporów w sprawach innych niż podatkowe).</w:t>
      </w:r>
    </w:p>
    <w:p w:rsidR="002443B4" w:rsidRPr="009A3C86" w:rsidRDefault="002443B4" w:rsidP="002443B4">
      <w:pPr>
        <w:spacing w:after="0" w:line="360" w:lineRule="auto"/>
        <w:jc w:val="both"/>
        <w:rPr>
          <w:rFonts w:ascii="Times New Roman" w:hAnsi="Times New Roman"/>
          <w:sz w:val="24"/>
          <w:szCs w:val="24"/>
        </w:rPr>
      </w:pP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xml:space="preserve">art. </w:t>
      </w:r>
      <w:r w:rsidR="003E5CF2" w:rsidRPr="009A3C86">
        <w:rPr>
          <w:rFonts w:ascii="Times New Roman" w:hAnsi="Times New Roman"/>
          <w:b/>
          <w:bCs/>
          <w:sz w:val="24"/>
          <w:szCs w:val="24"/>
        </w:rPr>
        <w:t>422</w:t>
      </w:r>
      <w:r w:rsidRPr="009A3C86">
        <w:rPr>
          <w:rFonts w:ascii="Times New Roman" w:hAnsi="Times New Roman"/>
          <w:sz w:val="24"/>
          <w:szCs w:val="24"/>
        </w:rPr>
        <w:t xml:space="preserve"> projektu wymienia przypadki uzasadniające odwołanie mediatora przez organ podatkowy oraz tryb jego odwołania i powołania na jego miejsce mediatora kolejnego (o ile to nastąpi). Organ podatkowy odwołuje mediatora </w:t>
      </w:r>
      <w:r w:rsidR="003E5CF2" w:rsidRPr="009A3C86">
        <w:rPr>
          <w:rFonts w:ascii="Times New Roman" w:hAnsi="Times New Roman"/>
          <w:sz w:val="24"/>
          <w:szCs w:val="24"/>
        </w:rPr>
        <w:t>prowadzącego mediację w przypadku: s</w:t>
      </w:r>
      <w:r w:rsidRPr="009A3C86">
        <w:rPr>
          <w:rFonts w:ascii="Times New Roman" w:hAnsi="Times New Roman"/>
          <w:sz w:val="24"/>
          <w:szCs w:val="24"/>
        </w:rPr>
        <w:t xml:space="preserve">kreślenia go z listy mediatorów, utraty zaufania do niego przez organ podatkowy lub stronę, jego rezygnacji lub innych uzasadnionych okoliczności (np. wystąpienia w stosunku do niego przesłanek wyłączenia). Rozstrzygnięcie to zapada w drodze postanowienia wydanego z urzędu lub na wniosek strony; postanowienie to nie podlega zaskarżeniu. Wniosek strony jest dla </w:t>
      </w:r>
      <w:r w:rsidRPr="009A3C86">
        <w:rPr>
          <w:rFonts w:ascii="Times New Roman" w:hAnsi="Times New Roman"/>
          <w:sz w:val="24"/>
          <w:szCs w:val="24"/>
        </w:rPr>
        <w:lastRenderedPageBreak/>
        <w:t xml:space="preserve">organu wiążący, ponieważ świadczy o spełnieniu się jednej z przesłanek odwołania: o utracie zaufania do mediatora przez stronę.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Jeżeli po odwołaniu mediatora organ podatkowy i strona zgodnie wyrażają wolę dalszego udziału w mediacji, organ podatkowy powołuje do jej prowadzenia innego mediatora. </w:t>
      </w:r>
      <w:r w:rsidR="003E5CF2" w:rsidRPr="009A3C86">
        <w:rPr>
          <w:rFonts w:ascii="Times New Roman" w:hAnsi="Times New Roman"/>
          <w:sz w:val="24"/>
          <w:szCs w:val="24"/>
        </w:rPr>
        <w:t>Okres</w:t>
      </w:r>
      <w:r w:rsidRPr="009A3C86">
        <w:rPr>
          <w:rFonts w:ascii="Times New Roman" w:hAnsi="Times New Roman"/>
          <w:sz w:val="24"/>
          <w:szCs w:val="24"/>
        </w:rPr>
        <w:t>, który upłynął od dnia doręczenia pierwotnie powołanemu mediatorowi postanowienia o skierowaniu sprawy do mediacji</w:t>
      </w:r>
      <w:r w:rsidR="003E5CF2" w:rsidRPr="009A3C86">
        <w:rPr>
          <w:rFonts w:ascii="Times New Roman" w:hAnsi="Times New Roman"/>
          <w:sz w:val="24"/>
          <w:szCs w:val="24"/>
        </w:rPr>
        <w:t xml:space="preserve"> do dnia wydania postanowienia o odwołaniu mediatora</w:t>
      </w:r>
      <w:r w:rsidRPr="009A3C86">
        <w:rPr>
          <w:rFonts w:ascii="Times New Roman" w:hAnsi="Times New Roman"/>
          <w:sz w:val="24"/>
          <w:szCs w:val="24"/>
        </w:rPr>
        <w:t xml:space="preserve"> </w:t>
      </w:r>
      <w:r w:rsidR="003E5CF2" w:rsidRPr="009A3C86">
        <w:rPr>
          <w:rFonts w:ascii="Times New Roman" w:hAnsi="Times New Roman"/>
          <w:sz w:val="24"/>
          <w:szCs w:val="24"/>
        </w:rPr>
        <w:t>w</w:t>
      </w:r>
      <w:r w:rsidRPr="009A3C86">
        <w:rPr>
          <w:rFonts w:ascii="Times New Roman" w:hAnsi="Times New Roman"/>
          <w:sz w:val="24"/>
          <w:szCs w:val="24"/>
        </w:rPr>
        <w:t xml:space="preserve">licza się </w:t>
      </w:r>
      <w:r w:rsidR="003E5CF2" w:rsidRPr="009A3C86">
        <w:rPr>
          <w:rFonts w:ascii="Times New Roman" w:hAnsi="Times New Roman"/>
          <w:sz w:val="24"/>
          <w:szCs w:val="24"/>
        </w:rPr>
        <w:t>do</w:t>
      </w:r>
      <w:r w:rsidRPr="009A3C86">
        <w:rPr>
          <w:rFonts w:ascii="Times New Roman" w:hAnsi="Times New Roman"/>
          <w:sz w:val="24"/>
          <w:szCs w:val="24"/>
        </w:rPr>
        <w:t xml:space="preserve"> terminu zakończenia mediacji. Także powołanie nowego mediatora następuje w drodze postanowienia.</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bCs/>
          <w:sz w:val="24"/>
          <w:szCs w:val="24"/>
        </w:rPr>
        <w:t xml:space="preserve">art. </w:t>
      </w:r>
      <w:r w:rsidR="00E422FA" w:rsidRPr="009A3C86">
        <w:rPr>
          <w:rFonts w:ascii="Times New Roman" w:hAnsi="Times New Roman"/>
          <w:b/>
          <w:bCs/>
          <w:sz w:val="24"/>
          <w:szCs w:val="24"/>
        </w:rPr>
        <w:t>423</w:t>
      </w:r>
      <w:r w:rsidRPr="009A3C86">
        <w:rPr>
          <w:rFonts w:ascii="Times New Roman" w:hAnsi="Times New Roman"/>
          <w:sz w:val="24"/>
          <w:szCs w:val="24"/>
        </w:rPr>
        <w:t xml:space="preserve"> określa przebieg mediacji. Jej wszczęcie następuje z chwilą doręczenia mediatorowi postanowienia organu podatkowego o skierowaniu sprawy do mediacji (</w:t>
      </w:r>
      <w:r w:rsidRPr="009A3C86">
        <w:rPr>
          <w:rFonts w:ascii="Times New Roman" w:hAnsi="Times New Roman"/>
          <w:b/>
          <w:bCs/>
          <w:sz w:val="24"/>
          <w:szCs w:val="24"/>
        </w:rPr>
        <w:t>§ 1</w:t>
      </w:r>
      <w:r w:rsidRPr="009A3C86">
        <w:rPr>
          <w:rFonts w:ascii="Times New Roman" w:hAnsi="Times New Roman"/>
          <w:sz w:val="24"/>
          <w:szCs w:val="24"/>
        </w:rPr>
        <w:t xml:space="preserve">). Następnie – zgodnie z </w:t>
      </w:r>
      <w:r w:rsidRPr="009A3C86">
        <w:rPr>
          <w:rFonts w:ascii="Times New Roman" w:hAnsi="Times New Roman"/>
          <w:b/>
          <w:bCs/>
          <w:sz w:val="24"/>
          <w:szCs w:val="24"/>
        </w:rPr>
        <w:t>§ 2</w:t>
      </w:r>
      <w:r w:rsidRPr="009A3C86">
        <w:rPr>
          <w:rFonts w:ascii="Times New Roman" w:hAnsi="Times New Roman"/>
          <w:sz w:val="24"/>
          <w:szCs w:val="24"/>
        </w:rPr>
        <w:t xml:space="preserve"> – dalsze czynności dokonywane są już w toku mediacji, którą prowadzi mediator (a nie organ podatkowy). Mediator przeprowadza z organem podatkowym i stroną, w dogodnym dla nich i siebie miejscu i czasie, indywidualne lub wspólne spotkanie wstępne, podczas którego wyjaśnia im cele i zasady mediacji, a także poucza ich o możliwości cofnięcia zgody na uczestniczenie w mediacji aż do jej zakończenia. Jest to kolejne pouczenie (po dokonanym jeszcze przez organ podatkowy przed wydaniem postanowienia o skierowaniu sprawy do mediacji w ramach wyjaśnienia stronie celów i zasad mediacji). Powtórzenie to zabieg celowy, stała zgoda strony na mediację jest związana z jedną z jej istotnych zasad: zasadą dobrowolności. Ponadto trwała utrzymująca się zgoda strony postępowania (której to zgody strona jest świadoma; świadomy jest jej również organ podatkowy) sprzyja osiągnięciu porozumienia – zawarciu umowy podatkowej. Strona w sposób świadomy i dobrowolny inwestuje bowiem swój czas i uwagę, a jej obecność na posiedzeniach mediacyjnych jest sama w sobie sygnałem dobrej woli i gotowości do rozmów. Buduje to dobrą atmosferę rozmów i sprzyja ich powodzeniu. </w:t>
      </w:r>
    </w:p>
    <w:p w:rsidR="0094586B" w:rsidRPr="009A3C86" w:rsidRDefault="002443B4" w:rsidP="009A3C86">
      <w:pPr>
        <w:pStyle w:val="USTustnpkodeksu"/>
      </w:pPr>
      <w:r w:rsidRPr="009A3C86">
        <w:rPr>
          <w:rFonts w:ascii="Times New Roman" w:hAnsi="Times New Roman"/>
          <w:szCs w:val="24"/>
        </w:rPr>
        <w:t>W ramach mediacji mediator przeprowadza jedno lub więcej posiedzeń mediacyjnych z udziałem organu podatkowego i strony w miejscu i czasie dogodnym dla uczestników. Miejscem tym nie musi być siedziba organu podatkowego; z reguły jednak zapewne nim będzie. Miejsce to powinno być wydzielone i odpowiednio urządzone (zaadaptowane do potrzeb mediacji). W szczególnych przypadkach, w tym jeżeli niemożliwe lub utrudnione jest bezpośrednie spotkanie organu podatkowego i strony, mediator może za zgodą organu podatkowego i strony prowadzić mediację, przekazując każdemu z nich informacje, propozycje i stanowisko dotyczące zawarcia umowy podatkowej i jej treści zajmowane przez innego uczestnika (</w:t>
      </w:r>
      <w:r w:rsidRPr="009A3C86">
        <w:rPr>
          <w:rFonts w:ascii="Times New Roman" w:hAnsi="Times New Roman"/>
          <w:b/>
          <w:bCs w:val="0"/>
          <w:szCs w:val="24"/>
        </w:rPr>
        <w:t>§ 3</w:t>
      </w:r>
      <w:r w:rsidRPr="009A3C86">
        <w:rPr>
          <w:rFonts w:ascii="Times New Roman" w:hAnsi="Times New Roman"/>
          <w:szCs w:val="24"/>
        </w:rPr>
        <w:t xml:space="preserve">). Taki sposób prowadzenia mediacji powinien być traktowany jako wyjątkowy, wyjątek taki może jednak okazać się uzasadniony (np. gdy osoby reprezentujące stronę oraz </w:t>
      </w:r>
      <w:r w:rsidRPr="009A3C86">
        <w:rPr>
          <w:rFonts w:ascii="Times New Roman" w:hAnsi="Times New Roman"/>
          <w:szCs w:val="24"/>
        </w:rPr>
        <w:lastRenderedPageBreak/>
        <w:t xml:space="preserve">organ podatkowy nie mogą się spotkać z powodów praktycznych, albo gdy stan ich relacji jest na tyle zły, że w toku mediacji można osiągnąć więcej, nie doprowadzając do ich bezpośredniego spotkania). </w:t>
      </w:r>
      <w:r w:rsidR="00E422FA" w:rsidRPr="009A3C86">
        <w:t xml:space="preserve">Mediacja może być także prowadzona za pomocą środków porozumiewania się na odległość </w:t>
      </w:r>
      <w:r w:rsidR="00CE6458" w:rsidRPr="009A3C86">
        <w:rPr>
          <w:b/>
        </w:rPr>
        <w:t>(</w:t>
      </w:r>
      <w:r w:rsidR="00E422FA" w:rsidRPr="009A3C86">
        <w:rPr>
          <w:rFonts w:ascii="Times New Roman" w:hAnsi="Times New Roman"/>
          <w:b/>
          <w:bCs w:val="0"/>
          <w:szCs w:val="24"/>
        </w:rPr>
        <w:t>§ 4)</w:t>
      </w:r>
      <w:r w:rsidR="00E422FA" w:rsidRPr="009A3C86">
        <w:t>.</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Mediator może także pomagać w sformułowaniu treści umowy podatkowej między organem podatkowym a stroną – o ile umowę taką uda się zawrzeć. Pomoc ta może być pożądana przez strony sporu – uczestników mediacji lub nie, może też wystąpić z różnym natężeniem – merytoryczny udział mediatora w rozmowach jest zróżnicowany. Jest on uzależniony zarówno od osobistej kompetencji merytorycznej mediatora, jak i od jego stylu prowadzenia mediacji. W tym kontekście jest istotne, że mediator może być prawnikiem (w szczególności specjalizującym się w prawie podatkowym), ale być nim nie musi. Strona i organ podatkowy, decydując o osobie mediatora, będą brać pod uwagę jego przygotowanie zawodowe w oparciu o ocenę, czy pożądany w sprawie jest jego udział merytoryczny. W szczególności mediacja podatkowa może przyjąć postać mediacji facylitatywnej (klasycznej, wspomagającej, w której rolą mediatora jest wyłącznie ułatwienie porozumienia między stronami – mediator nie proponuje ani nie sugeruje rozwiązania sporu, stąd nie musi posiadać wiedzy merytorycznej odpowiadającej przedmiotowi tego sporu), ale może także być zbliżona do mediacji ewaluatywnej (ocennej, w której mediator, wyposażony w fachową wiedzę, może sugerować stronom rozwiązanie sporu; tak może stać się np. gdy mediatorem będzie autorytet prawa podatkowego). W każdym przypadku jednak decyzja o zawarciu umowy pozostaje decyzją strony i organu podatkowego. Także mediator będący specjalistą w dziedzinie prawa podatkowego powinien zważać na to, że jego podstawową rolą jest ułatwienie porozumienia między stroną a organem, które ma pozostać ich porozumieniem – ułatwienie im znalezienia wspólnego stanowiska, a nie rozsądzenie sprawy (mediator nie jest arbitrem).</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xml:space="preserve">art. </w:t>
      </w:r>
      <w:r w:rsidR="00E422FA" w:rsidRPr="009A3C86">
        <w:rPr>
          <w:rFonts w:ascii="Times New Roman" w:hAnsi="Times New Roman"/>
          <w:b/>
          <w:bCs/>
          <w:sz w:val="24"/>
          <w:szCs w:val="24"/>
        </w:rPr>
        <w:t>424</w:t>
      </w:r>
      <w:r w:rsidRPr="009A3C86">
        <w:rPr>
          <w:rFonts w:ascii="Times New Roman" w:hAnsi="Times New Roman"/>
          <w:sz w:val="24"/>
          <w:szCs w:val="24"/>
        </w:rPr>
        <w:t xml:space="preserve"> dotyczy protokołu z przebiegu mediacji, który sporządza mediator. Protokół taki powinien być sporządzony niezwłocznie po przeprowadzeniu mediacji (</w:t>
      </w:r>
      <w:r w:rsidRPr="009A3C86">
        <w:rPr>
          <w:rFonts w:ascii="Times New Roman" w:hAnsi="Times New Roman"/>
          <w:b/>
          <w:bCs/>
          <w:sz w:val="24"/>
          <w:szCs w:val="24"/>
        </w:rPr>
        <w:t>§ 1</w:t>
      </w:r>
      <w:r w:rsidRPr="009A3C86">
        <w:rPr>
          <w:rFonts w:ascii="Times New Roman" w:hAnsi="Times New Roman"/>
          <w:sz w:val="24"/>
          <w:szCs w:val="24"/>
        </w:rPr>
        <w:t xml:space="preserve">). Elementy, które zawiera, wymienia </w:t>
      </w:r>
      <w:r w:rsidRPr="009A3C86">
        <w:rPr>
          <w:rFonts w:ascii="Times New Roman" w:hAnsi="Times New Roman"/>
          <w:b/>
          <w:bCs/>
          <w:sz w:val="24"/>
          <w:szCs w:val="24"/>
        </w:rPr>
        <w:t>§ 2</w:t>
      </w:r>
      <w:r w:rsidRPr="009A3C86">
        <w:rPr>
          <w:rFonts w:ascii="Times New Roman" w:hAnsi="Times New Roman"/>
          <w:sz w:val="24"/>
          <w:szCs w:val="24"/>
        </w:rPr>
        <w:t xml:space="preserve"> – są to: oznaczenie sprawy, czas i miejsce prowadzenia mediacji, </w:t>
      </w:r>
      <w:r w:rsidR="00E422FA" w:rsidRPr="009A3C86">
        <w:rPr>
          <w:rFonts w:ascii="Times New Roman" w:hAnsi="Times New Roman"/>
          <w:sz w:val="24"/>
          <w:szCs w:val="24"/>
        </w:rPr>
        <w:t>oznaczenie</w:t>
      </w:r>
      <w:r w:rsidRPr="009A3C86">
        <w:rPr>
          <w:rFonts w:ascii="Times New Roman" w:hAnsi="Times New Roman"/>
          <w:sz w:val="24"/>
          <w:szCs w:val="24"/>
        </w:rPr>
        <w:t xml:space="preserve"> strony, </w:t>
      </w:r>
      <w:r w:rsidR="00E422FA" w:rsidRPr="009A3C86">
        <w:rPr>
          <w:rFonts w:ascii="Times New Roman" w:hAnsi="Times New Roman"/>
          <w:sz w:val="24"/>
          <w:szCs w:val="24"/>
        </w:rPr>
        <w:t>oznaczenie</w:t>
      </w:r>
      <w:r w:rsidRPr="009A3C86">
        <w:rPr>
          <w:rFonts w:ascii="Times New Roman" w:hAnsi="Times New Roman"/>
          <w:sz w:val="24"/>
          <w:szCs w:val="24"/>
        </w:rPr>
        <w:t xml:space="preserve"> organu podatkowego, imię i nazwisko mediatora, wynik mediacji, treść umowy podatkowej, o ile taką zawarto, podpis mediatora, a jeżeli zawarto umowę podatkową, także organu podatkowego i strony. </w:t>
      </w:r>
      <w:r w:rsidR="00DF1F0C" w:rsidRPr="009A3C86">
        <w:rPr>
          <w:rFonts w:ascii="Times New Roman" w:hAnsi="Times New Roman"/>
          <w:sz w:val="24"/>
          <w:szCs w:val="24"/>
        </w:rPr>
        <w:t>Z chwilą podpisania protokołu mediacja zostaje zakończona (</w:t>
      </w:r>
      <w:r w:rsidR="00DF1F0C" w:rsidRPr="009A3C86">
        <w:rPr>
          <w:rFonts w:ascii="Times New Roman" w:hAnsi="Times New Roman"/>
          <w:b/>
          <w:bCs/>
          <w:sz w:val="24"/>
          <w:szCs w:val="24"/>
        </w:rPr>
        <w:t>§ 3</w:t>
      </w:r>
      <w:r w:rsidR="00DF1F0C" w:rsidRPr="009A3C86">
        <w:rPr>
          <w:rFonts w:ascii="Times New Roman" w:hAnsi="Times New Roman"/>
          <w:sz w:val="24"/>
          <w:szCs w:val="24"/>
        </w:rPr>
        <w:t xml:space="preserve">); alternatywnie, jeżeli z jakichkolwiek przyczyn nie doszło do podpisania protokołu, zostaje ona zakończona z chwilą bezskutecznego upływu terminów do jej przeprowadzenia, określonych zgodnie z art. 416 § 5 pkt 5 lub § 8. </w:t>
      </w:r>
      <w:r w:rsidRPr="009A3C86">
        <w:rPr>
          <w:rFonts w:ascii="Times New Roman" w:hAnsi="Times New Roman"/>
          <w:sz w:val="24"/>
          <w:szCs w:val="24"/>
        </w:rPr>
        <w:t xml:space="preserve">Mediator przekazuje </w:t>
      </w:r>
      <w:r w:rsidRPr="009A3C86">
        <w:rPr>
          <w:rFonts w:ascii="Times New Roman" w:hAnsi="Times New Roman"/>
          <w:sz w:val="24"/>
          <w:szCs w:val="24"/>
        </w:rPr>
        <w:lastRenderedPageBreak/>
        <w:t>protokół z przebiegu mediacji organowi podatkowemu, który włącza go do akt sprawy i doręcza jego odpis stronie (</w:t>
      </w:r>
      <w:r w:rsidRPr="009A3C86">
        <w:rPr>
          <w:rFonts w:ascii="Times New Roman" w:hAnsi="Times New Roman"/>
          <w:b/>
          <w:bCs/>
          <w:sz w:val="24"/>
          <w:szCs w:val="24"/>
        </w:rPr>
        <w:t xml:space="preserve">§ </w:t>
      </w:r>
      <w:r w:rsidR="00DF1F0C" w:rsidRPr="009A3C86">
        <w:rPr>
          <w:rFonts w:ascii="Times New Roman" w:hAnsi="Times New Roman"/>
          <w:b/>
          <w:bCs/>
          <w:sz w:val="24"/>
          <w:szCs w:val="24"/>
        </w:rPr>
        <w:t>4</w:t>
      </w:r>
      <w:r w:rsidRPr="009A3C86">
        <w:rPr>
          <w:rFonts w:ascii="Times New Roman" w:hAnsi="Times New Roman"/>
          <w:sz w:val="24"/>
          <w:szCs w:val="24"/>
        </w:rPr>
        <w:t xml:space="preserve">). </w:t>
      </w:r>
    </w:p>
    <w:p w:rsidR="002443B4" w:rsidRPr="009A3C86" w:rsidRDefault="002443B4" w:rsidP="002443B4">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Do umowy podatkowej zawartej wskutek mediacji</w:t>
      </w:r>
      <w:r w:rsidR="00C94FEA" w:rsidRPr="009A3C86">
        <w:rPr>
          <w:rFonts w:ascii="Times New Roman" w:eastAsia="Times New Roman" w:hAnsi="Times New Roman"/>
          <w:bCs/>
          <w:sz w:val="24"/>
          <w:szCs w:val="24"/>
          <w:lang w:eastAsia="pl-PL"/>
        </w:rPr>
        <w:t xml:space="preserve"> nie</w:t>
      </w:r>
      <w:r w:rsidRPr="009A3C86">
        <w:rPr>
          <w:rFonts w:ascii="Times New Roman" w:eastAsia="Times New Roman" w:hAnsi="Times New Roman"/>
          <w:bCs/>
          <w:sz w:val="24"/>
          <w:szCs w:val="24"/>
          <w:lang w:eastAsia="pl-PL"/>
        </w:rPr>
        <w:t xml:space="preserve"> stosuje się art. </w:t>
      </w:r>
      <w:r w:rsidR="00E27507" w:rsidRPr="009A3C86">
        <w:rPr>
          <w:rFonts w:ascii="Times New Roman" w:eastAsia="Times New Roman" w:hAnsi="Times New Roman"/>
          <w:bCs/>
          <w:sz w:val="24"/>
          <w:szCs w:val="24"/>
          <w:lang w:eastAsia="pl-PL"/>
        </w:rPr>
        <w:t>412</w:t>
      </w:r>
      <w:r w:rsidRPr="009A3C86">
        <w:rPr>
          <w:rFonts w:ascii="Times New Roman" w:eastAsia="Times New Roman" w:hAnsi="Times New Roman"/>
          <w:bCs/>
          <w:sz w:val="24"/>
          <w:szCs w:val="24"/>
          <w:lang w:eastAsia="pl-PL"/>
        </w:rPr>
        <w:t xml:space="preserve"> § 1 i 3 (</w:t>
      </w:r>
      <w:r w:rsidRPr="009A3C86">
        <w:rPr>
          <w:rFonts w:ascii="Times New Roman" w:eastAsia="Times New Roman" w:hAnsi="Times New Roman"/>
          <w:b/>
          <w:bCs/>
          <w:sz w:val="24"/>
          <w:szCs w:val="24"/>
          <w:lang w:eastAsia="pl-PL"/>
        </w:rPr>
        <w:t xml:space="preserve">art. </w:t>
      </w:r>
      <w:r w:rsidR="00E27507" w:rsidRPr="009A3C86">
        <w:rPr>
          <w:rFonts w:ascii="Times New Roman" w:eastAsia="Times New Roman" w:hAnsi="Times New Roman"/>
          <w:b/>
          <w:bCs/>
          <w:sz w:val="24"/>
          <w:szCs w:val="24"/>
          <w:lang w:eastAsia="pl-PL"/>
        </w:rPr>
        <w:t>425</w:t>
      </w:r>
      <w:r w:rsidRPr="009A3C86">
        <w:rPr>
          <w:rFonts w:ascii="Times New Roman" w:eastAsia="Times New Roman" w:hAnsi="Times New Roman"/>
          <w:bCs/>
          <w:sz w:val="24"/>
          <w:szCs w:val="24"/>
          <w:lang w:eastAsia="pl-PL"/>
        </w:rPr>
        <w:t xml:space="preserve">). Stosuje się więc w szczególności art. </w:t>
      </w:r>
      <w:r w:rsidR="00E27507" w:rsidRPr="009A3C86">
        <w:rPr>
          <w:rFonts w:ascii="Times New Roman" w:eastAsia="Times New Roman" w:hAnsi="Times New Roman"/>
          <w:bCs/>
          <w:sz w:val="24"/>
          <w:szCs w:val="24"/>
          <w:lang w:eastAsia="pl-PL"/>
        </w:rPr>
        <w:t>413</w:t>
      </w:r>
      <w:r w:rsidRPr="009A3C86">
        <w:rPr>
          <w:rFonts w:ascii="Times New Roman" w:eastAsia="Times New Roman" w:hAnsi="Times New Roman"/>
          <w:bCs/>
          <w:sz w:val="24"/>
          <w:szCs w:val="24"/>
          <w:lang w:eastAsia="pl-PL"/>
        </w:rPr>
        <w:t xml:space="preserve">, stanowiący o związaniu organu podatkowego umową przy wydawaniu decyzji. Wyłączenie zastosowania art. </w:t>
      </w:r>
      <w:r w:rsidR="00E27507" w:rsidRPr="009A3C86">
        <w:rPr>
          <w:rFonts w:ascii="Times New Roman" w:eastAsia="Times New Roman" w:hAnsi="Times New Roman"/>
          <w:bCs/>
          <w:sz w:val="24"/>
          <w:szCs w:val="24"/>
          <w:lang w:eastAsia="pl-PL"/>
        </w:rPr>
        <w:t>412</w:t>
      </w:r>
      <w:r w:rsidRPr="009A3C86">
        <w:rPr>
          <w:rFonts w:ascii="Times New Roman" w:eastAsia="Times New Roman" w:hAnsi="Times New Roman"/>
          <w:bCs/>
          <w:sz w:val="24"/>
          <w:szCs w:val="24"/>
          <w:lang w:eastAsia="pl-PL"/>
        </w:rPr>
        <w:t xml:space="preserve"> § 1 i 3 jest uzasadnione tym, że jeżeli umowa podatkowa zostaje zawarta wskutek mediacji, czynność ta jest udokumentowana protokołem sporządzonym przez mediatora, a nie protokołem w zwykłym tego słowa znaczeniu, tj. sporządzonym przez organ podatkowy. Nie ma także potrzeby stosowania zawartej w rozdziale 10 regulacji o spotkaniach uzgodnieniowych, skoro rozdział 11 zawiera własne przepisy dotyczące spotkań mediacyjnych.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Umowa podatkowa może zostać zawarta w toku mediacji we wszystkich tych sprawach i w takim samym zakresie jak umowa zawierana bez udziału mediatora. Podobnie jak w przypadku umowy zawartej bez udziału mediatora, organ podatkowy jest zobowiązany do odzwierciedlenia uzgodnień dokonanych z zobowiązanym w treści decyzji podatkowej.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Duże znaczenie dla powodzenia mediacji, a także dla jej prowadzenia z poszanowaniem wartości i interesów stron pozostających w sporze, ma zasada poufności. Mediatora w związku z prowadzoną mediacją dotyczy obowiązek zachowania tajemnicy skarbowej (por. </w:t>
      </w:r>
      <w:r w:rsidRPr="009A3C86">
        <w:rPr>
          <w:rFonts w:ascii="Times New Roman" w:hAnsi="Times New Roman"/>
          <w:bCs/>
          <w:sz w:val="24"/>
          <w:szCs w:val="24"/>
        </w:rPr>
        <w:t xml:space="preserve">art. </w:t>
      </w:r>
      <w:r w:rsidR="00555914" w:rsidRPr="009A3C86">
        <w:rPr>
          <w:rFonts w:ascii="Times New Roman" w:hAnsi="Times New Roman"/>
          <w:bCs/>
          <w:sz w:val="24"/>
          <w:szCs w:val="24"/>
        </w:rPr>
        <w:t>100</w:t>
      </w:r>
      <w:r w:rsidRPr="009A3C86">
        <w:rPr>
          <w:rFonts w:ascii="Times New Roman" w:hAnsi="Times New Roman"/>
          <w:bCs/>
          <w:sz w:val="24"/>
          <w:szCs w:val="24"/>
        </w:rPr>
        <w:t xml:space="preserve"> § 1 pkt 8</w:t>
      </w:r>
      <w:r w:rsidRPr="009A3C86">
        <w:rPr>
          <w:rFonts w:ascii="Times New Roman" w:hAnsi="Times New Roman"/>
          <w:sz w:val="24"/>
          <w:szCs w:val="24"/>
        </w:rPr>
        <w:t xml:space="preserve">).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bCs/>
          <w:sz w:val="24"/>
          <w:szCs w:val="24"/>
        </w:rPr>
        <w:t xml:space="preserve">art. </w:t>
      </w:r>
      <w:r w:rsidR="004774B3" w:rsidRPr="009A3C86">
        <w:rPr>
          <w:rFonts w:ascii="Times New Roman" w:hAnsi="Times New Roman"/>
          <w:b/>
          <w:bCs/>
          <w:sz w:val="24"/>
          <w:szCs w:val="24"/>
        </w:rPr>
        <w:t>426</w:t>
      </w:r>
      <w:r w:rsidRPr="009A3C86">
        <w:rPr>
          <w:rFonts w:ascii="Times New Roman" w:hAnsi="Times New Roman"/>
          <w:bCs/>
          <w:sz w:val="24"/>
          <w:szCs w:val="24"/>
        </w:rPr>
        <w:t xml:space="preserve"> </w:t>
      </w:r>
      <w:r w:rsidRPr="009A3C86">
        <w:rPr>
          <w:rFonts w:ascii="Times New Roman" w:hAnsi="Times New Roman"/>
          <w:sz w:val="24"/>
          <w:szCs w:val="24"/>
        </w:rPr>
        <w:t xml:space="preserve">wskazuje, że nie podlegają włączeniu do akt sprawy inne nienależące uprzednio do akt sprawy dokumenty i informacje przekazane mediatorowi przez organ podatkowy i stronę w toku mediacji. Sensem tego przepisu jest zapobieżenie automatycznemu przenoszeniu do akt sprawy wszystkiego tego, co strona lub organ podatkowy przekażą mediatorowi w trakcie rozmów. Ma to stworzyć bardziej swobodną i sprzyjającą porozumieniu atmosferę rozmów. Zarazem przepis ten nie stoi na przeszkodzie temu, by dowody te zostały przez organ przeprowadzone w zwykłym postępowaniu podatkowym (także po mediacji). Nie ustanawia on więc zakazu dowodowego, lecz jedynie zapobiega automatyzmowi w przenoszeniu materiałów i informacji z mediacji do postępowania podatkowego.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Zakaz nie dotyczy dokumentów i informacji stanowiących podstawę do załatwienia sprawy zgodnie z umową podatkową.</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 xml:space="preserve">W związku z tym przepisem pozostaje także </w:t>
      </w:r>
      <w:r w:rsidRPr="009A3C86">
        <w:rPr>
          <w:rFonts w:ascii="Times New Roman" w:hAnsi="Times New Roman"/>
          <w:b/>
          <w:bCs/>
          <w:sz w:val="24"/>
          <w:szCs w:val="24"/>
        </w:rPr>
        <w:t xml:space="preserve">art. </w:t>
      </w:r>
      <w:r w:rsidR="004774B3" w:rsidRPr="009A3C86">
        <w:rPr>
          <w:rFonts w:ascii="Times New Roman" w:hAnsi="Times New Roman"/>
          <w:b/>
          <w:bCs/>
          <w:sz w:val="24"/>
          <w:szCs w:val="24"/>
        </w:rPr>
        <w:t>427</w:t>
      </w:r>
      <w:r w:rsidRPr="009A3C86">
        <w:rPr>
          <w:rFonts w:ascii="Times New Roman" w:hAnsi="Times New Roman"/>
          <w:sz w:val="24"/>
          <w:szCs w:val="24"/>
        </w:rPr>
        <w:t xml:space="preserve">, zgodnie z którym organ podatkowy i strona nie mogą powoływać się w toku postępowania podatkowego i sądowego na propozycje ugodowe, propozycje wzajemnych ustępstw lub inne oświadczenia składane w toku mediacji. Nie dotyczy to ustaleń zawartych w umowie podatkowej. Przepis ten również ma na celu zachowanie dobrej atmosfery rozmów i zapobieżenie zarówno nadużyciu otwartości jego </w:t>
      </w:r>
      <w:r w:rsidRPr="009A3C86">
        <w:rPr>
          <w:rFonts w:ascii="Times New Roman" w:hAnsi="Times New Roman"/>
          <w:sz w:val="24"/>
          <w:szCs w:val="24"/>
        </w:rPr>
        <w:lastRenderedPageBreak/>
        <w:t>uczestników, jak i obawom, że do nadużycia takiego dojdzie. Jest on odpowiednikiem art. 183</w:t>
      </w:r>
      <w:r w:rsidRPr="009A3C86">
        <w:rPr>
          <w:rFonts w:ascii="Times New Roman" w:hAnsi="Times New Roman"/>
          <w:sz w:val="24"/>
          <w:szCs w:val="24"/>
          <w:vertAlign w:val="superscript"/>
        </w:rPr>
        <w:t>4</w:t>
      </w:r>
      <w:r w:rsidRPr="009A3C86">
        <w:rPr>
          <w:rFonts w:ascii="Times New Roman" w:hAnsi="Times New Roman"/>
          <w:sz w:val="24"/>
          <w:szCs w:val="24"/>
        </w:rPr>
        <w:t xml:space="preserve"> § 3 k.p.c. oraz nowo wprowadzonego art. 96j § 3 k.p.a. Jak słusznie wskazano w uzasadnieniu projektu nowelizacji k.p.a. (komentując regulację podobnej treści), „sukces mediacji zależy w dużej mierze od przekonania jej uczestników, że mogą wyjawić swoje rzeczywiste interesy i intencje bez obawy, że zostaną one wykorzystane przez drugą stronę w dalszym toku postępowania przed organem administracji publicznej lub sądem administracyjnym”</w:t>
      </w:r>
      <w:r w:rsidRPr="009A3C86">
        <w:rPr>
          <w:rFonts w:ascii="Times New Roman" w:hAnsi="Times New Roman"/>
          <w:sz w:val="24"/>
          <w:szCs w:val="24"/>
          <w:vertAlign w:val="superscript"/>
        </w:rPr>
        <w:footnoteReference w:id="440"/>
      </w:r>
      <w:r w:rsidRPr="009A3C86">
        <w:rPr>
          <w:rFonts w:ascii="Times New Roman" w:hAnsi="Times New Roman"/>
          <w:sz w:val="24"/>
          <w:szCs w:val="24"/>
        </w:rPr>
        <w:t xml:space="preserve">. </w:t>
      </w:r>
    </w:p>
    <w:p w:rsidR="002443B4" w:rsidRPr="009A3C86" w:rsidRDefault="002443B4" w:rsidP="002443B4">
      <w:pPr>
        <w:spacing w:after="0" w:line="360" w:lineRule="auto"/>
        <w:jc w:val="both"/>
        <w:rPr>
          <w:rFonts w:ascii="Times New Roman" w:hAnsi="Times New Roman"/>
          <w:sz w:val="24"/>
          <w:szCs w:val="24"/>
        </w:rPr>
      </w:pPr>
      <w:r w:rsidRPr="009A3C86">
        <w:rPr>
          <w:rFonts w:ascii="Times New Roman" w:hAnsi="Times New Roman"/>
          <w:sz w:val="24"/>
          <w:szCs w:val="24"/>
        </w:rPr>
        <w:t>Warto wskazać, że mediatorzy nie mogą być świadkami co do faktów, o których dowiedzieli się w związku z prowadzeniem mediacji, chyba że strona i organ podatkowy uczestniczący w mediacji zwolnią ich z obowiązku zachowania tajemnicy mediacji (</w:t>
      </w:r>
      <w:r w:rsidRPr="009A3C86">
        <w:rPr>
          <w:rFonts w:ascii="Times New Roman" w:hAnsi="Times New Roman"/>
          <w:bCs/>
          <w:sz w:val="24"/>
          <w:szCs w:val="24"/>
        </w:rPr>
        <w:t xml:space="preserve">art. </w:t>
      </w:r>
      <w:r w:rsidR="004774B3" w:rsidRPr="009A3C86">
        <w:rPr>
          <w:rFonts w:ascii="Times New Roman" w:hAnsi="Times New Roman"/>
          <w:bCs/>
          <w:sz w:val="24"/>
          <w:szCs w:val="24"/>
        </w:rPr>
        <w:t>393</w:t>
      </w:r>
      <w:r w:rsidRPr="009A3C86">
        <w:rPr>
          <w:rFonts w:ascii="Times New Roman" w:hAnsi="Times New Roman"/>
          <w:bCs/>
          <w:sz w:val="24"/>
          <w:szCs w:val="24"/>
        </w:rPr>
        <w:t xml:space="preserve"> pkt 4</w:t>
      </w:r>
      <w:r w:rsidRPr="009A3C86">
        <w:rPr>
          <w:rFonts w:ascii="Times New Roman" w:hAnsi="Times New Roman"/>
          <w:sz w:val="24"/>
          <w:szCs w:val="24"/>
        </w:rPr>
        <w:t>).</w:t>
      </w:r>
    </w:p>
    <w:p w:rsidR="006335BD" w:rsidRPr="009A3C86" w:rsidRDefault="006335BD"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 </w:t>
      </w:r>
    </w:p>
    <w:p w:rsidR="006335BD" w:rsidRPr="009A3C86" w:rsidRDefault="006335BD"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bCs/>
          <w:sz w:val="24"/>
          <w:szCs w:val="24"/>
        </w:rPr>
        <w:t xml:space="preserve">art. </w:t>
      </w:r>
      <w:r w:rsidR="004774B3" w:rsidRPr="009A3C86">
        <w:rPr>
          <w:rFonts w:ascii="Times New Roman" w:hAnsi="Times New Roman"/>
          <w:b/>
          <w:bCs/>
          <w:sz w:val="24"/>
          <w:szCs w:val="24"/>
        </w:rPr>
        <w:t>428</w:t>
      </w:r>
      <w:r w:rsidRPr="009A3C86">
        <w:rPr>
          <w:rFonts w:ascii="Times New Roman" w:hAnsi="Times New Roman"/>
          <w:sz w:val="24"/>
          <w:szCs w:val="24"/>
        </w:rPr>
        <w:t xml:space="preserve"> określa wysokość oraz sposób i termin zapłaty należnego mediatorom wynagrodzenia i zwrotu na ich rzecz wydatków. Wynagrodzenie mediatora za przeprowadzenie mediacji wynosi 100 zł za każdą godzinę pracy, jednak nie więcej niż 2000 złotych za całość mediacji (</w:t>
      </w:r>
      <w:r w:rsidRPr="009A3C86">
        <w:rPr>
          <w:rFonts w:ascii="Times New Roman" w:hAnsi="Times New Roman"/>
          <w:b/>
          <w:sz w:val="24"/>
          <w:szCs w:val="24"/>
        </w:rPr>
        <w:t xml:space="preserve">§ </w:t>
      </w:r>
      <w:r w:rsidR="00AD05F5" w:rsidRPr="009A3C86">
        <w:rPr>
          <w:rFonts w:ascii="Times New Roman" w:hAnsi="Times New Roman"/>
          <w:b/>
          <w:sz w:val="24"/>
          <w:szCs w:val="24"/>
        </w:rPr>
        <w:t>2</w:t>
      </w:r>
      <w:r w:rsidRPr="009A3C86">
        <w:rPr>
          <w:rFonts w:ascii="Times New Roman" w:hAnsi="Times New Roman"/>
          <w:sz w:val="24"/>
          <w:szCs w:val="24"/>
        </w:rPr>
        <w:t xml:space="preserve">). Zwrotowi podlegają udokumentowane i niezbędne wydatki mediatora poniesione w związku z przeprowadzeniem mediacji na pokrycie kosztów przejazdów (w wysokości i na warunkach określonych w przepisach dotyczących wysokości oraz warunków ustalania należności przysługujących pracownikowi zatrudnionemu w państwowej lub samorządowej jednostce sfery budżetowej z tytułu podróży służbowej), wynajmu pomieszczenia niezbędnego do przeprowadzenia posiedzenia mediacyjnego (w wysokości nieprzekraczającej 70 złotych za jedno posiedzenie) oraz korespondencji (w wysokości nieprzekraczającej 30 złotych) – </w:t>
      </w:r>
      <w:r w:rsidRPr="009A3C86">
        <w:rPr>
          <w:rFonts w:ascii="Times New Roman" w:hAnsi="Times New Roman"/>
          <w:b/>
          <w:sz w:val="24"/>
          <w:szCs w:val="24"/>
        </w:rPr>
        <w:t xml:space="preserve">§ </w:t>
      </w:r>
      <w:r w:rsidR="00AD05F5" w:rsidRPr="009A3C86">
        <w:rPr>
          <w:rFonts w:ascii="Times New Roman" w:hAnsi="Times New Roman"/>
          <w:b/>
          <w:sz w:val="24"/>
          <w:szCs w:val="24"/>
        </w:rPr>
        <w:t>3</w:t>
      </w:r>
      <w:r w:rsidRPr="009A3C86">
        <w:rPr>
          <w:rFonts w:ascii="Times New Roman" w:hAnsi="Times New Roman"/>
          <w:sz w:val="24"/>
          <w:szCs w:val="24"/>
        </w:rPr>
        <w:t>. Wypłata wynagrodzenia i zwrot wydatków na rzecz mediatora następuje niezwłocznie po zakończeniu mediacji na wskazany przez niego rachunek bankowy (</w:t>
      </w:r>
      <w:r w:rsidRPr="009A3C86">
        <w:rPr>
          <w:rFonts w:ascii="Times New Roman" w:hAnsi="Times New Roman"/>
          <w:b/>
          <w:sz w:val="24"/>
          <w:szCs w:val="24"/>
        </w:rPr>
        <w:t xml:space="preserve">§ </w:t>
      </w:r>
      <w:r w:rsidR="00AD05F5" w:rsidRPr="009A3C86">
        <w:rPr>
          <w:rFonts w:ascii="Times New Roman" w:hAnsi="Times New Roman"/>
          <w:b/>
          <w:sz w:val="24"/>
          <w:szCs w:val="24"/>
        </w:rPr>
        <w:t>4</w:t>
      </w:r>
      <w:r w:rsidRPr="009A3C86">
        <w:rPr>
          <w:rFonts w:ascii="Times New Roman" w:hAnsi="Times New Roman"/>
          <w:sz w:val="24"/>
          <w:szCs w:val="24"/>
        </w:rPr>
        <w:t>).</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55" w:name="_Toc494363278"/>
      <w:r w:rsidRPr="009A3C86">
        <w:rPr>
          <w:rFonts w:ascii="Times New Roman" w:hAnsi="Times New Roman"/>
          <w:b/>
          <w:bCs/>
          <w:sz w:val="24"/>
          <w:szCs w:val="24"/>
        </w:rPr>
        <w:t>Rozdział 12. Postępowanie uproszczone</w:t>
      </w:r>
      <w:bookmarkEnd w:id="55"/>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kern w:val="3"/>
          <w:sz w:val="24"/>
          <w:szCs w:val="24"/>
          <w:lang w:eastAsia="zh-CN"/>
        </w:rPr>
        <w:t xml:space="preserve">1. </w:t>
      </w:r>
      <w:r w:rsidRPr="009A3C86">
        <w:rPr>
          <w:rFonts w:ascii="Times New Roman" w:hAnsi="Times New Roman"/>
          <w:sz w:val="24"/>
          <w:szCs w:val="24"/>
        </w:rPr>
        <w:t xml:space="preserve">Obecny model postępowania podatkowego nie różnicuje w sposób wystarczający procedur spornych oraz procedur niespornych. Ten sztywny schemat modelu procesowego wymaga zasadniczych zmian. Niektóre kategorie spraw podatkowych mają zasadniczo nieskomplikowany stan faktyczny i na tle tych stanów nie ma potrzeby dokonywania pogłębionej wykładni prawa lub przeprowadzania złożonego postępowania dowodowego. Są już w obowiązującej ordynacji podatkowej pewne elementy uproszczenia procesu podatkowego, polegającego przykładowo na wyłączeniu w wybranych typach spraw </w:t>
      </w:r>
      <w:r w:rsidRPr="009A3C86">
        <w:rPr>
          <w:rFonts w:ascii="Times New Roman" w:hAnsi="Times New Roman"/>
          <w:sz w:val="24"/>
          <w:szCs w:val="24"/>
        </w:rPr>
        <w:lastRenderedPageBreak/>
        <w:t>wydawania postanowienia o wszczęciu, wyłączeniu zawiadomienia o zapoznaniu z zebranym materiałem dowodowym, stwierdzaniu nadpłaty bez wydawania decyzji w sprawach niebudzących wątpliwości lub braku obowiązku uzasadniania decyzji zgodnej z wnioskiem strony.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wielu dziedzinach życia i gospodarki rozwijają się obecnie procedury oparte na szybkim, odformalizowanym kontakcie</w:t>
      </w:r>
      <w:r w:rsidRPr="009A3C86">
        <w:rPr>
          <w:rFonts w:ascii="Times New Roman" w:hAnsi="Times New Roman"/>
          <w:sz w:val="24"/>
          <w:szCs w:val="24"/>
          <w:vertAlign w:val="superscript"/>
        </w:rPr>
        <w:footnoteReference w:id="441"/>
      </w:r>
      <w:r w:rsidRPr="009A3C86">
        <w:rPr>
          <w:rFonts w:ascii="Times New Roman" w:hAnsi="Times New Roman"/>
          <w:sz w:val="24"/>
          <w:szCs w:val="24"/>
        </w:rPr>
        <w:t>. Podatnicy oczekują podobnych rozwiązań w zakresie procedur podatkowych. Proponuje się więc realizować te potrzeby, wprowadzając model uproszczonego postępowania podatkowego, w którym niektóre elementy formalne procesu zostaną wyłączone za wiedzą i zgodą strony</w:t>
      </w:r>
      <w:r w:rsidRPr="009A3C86">
        <w:rPr>
          <w:rFonts w:ascii="Times New Roman" w:hAnsi="Times New Roman"/>
          <w:sz w:val="24"/>
          <w:szCs w:val="24"/>
          <w:vertAlign w:val="superscript"/>
        </w:rPr>
        <w:footnoteReference w:id="442"/>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Dla strony korzyścią z wprowadzenia rozwiązań upraszczających postępowanie będzie szybsze rozstrzygnięcie sprawy w zamian za rezygnację z pewnych gwarancji procesowych. Uproszczenie postępowań podatkowych w sprawach prostszych pozwoli na większą koncentrację zasobów organów podatkowych na sprawach trudnych i wytworzy potencjał do poprawy jakości i terminowości działania.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kern w:val="3"/>
          <w:sz w:val="24"/>
          <w:szCs w:val="24"/>
          <w:lang w:eastAsia="zh-CN"/>
        </w:rPr>
        <w:t xml:space="preserve">2. </w:t>
      </w:r>
      <w:r w:rsidRPr="009A3C86">
        <w:rPr>
          <w:rFonts w:ascii="Times New Roman" w:hAnsi="Times New Roman"/>
          <w:sz w:val="24"/>
          <w:szCs w:val="24"/>
        </w:rPr>
        <w:t>Kluczowe jest ustalenie kryteriów prowadzenia postępowania uproszczonego (</w:t>
      </w:r>
      <w:r w:rsidRPr="009A3C86">
        <w:rPr>
          <w:rFonts w:ascii="Times New Roman" w:hAnsi="Times New Roman"/>
          <w:b/>
          <w:sz w:val="24"/>
          <w:szCs w:val="24"/>
        </w:rPr>
        <w:t xml:space="preserve">art. </w:t>
      </w:r>
      <w:r w:rsidR="00AD05F5" w:rsidRPr="009A3C86">
        <w:rPr>
          <w:rFonts w:ascii="Times New Roman" w:hAnsi="Times New Roman"/>
          <w:b/>
          <w:sz w:val="24"/>
          <w:szCs w:val="24"/>
        </w:rPr>
        <w:t>429</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Pierwsze kryterium powinno odnosić się do kwestii dowodowych, gdy rozstrzygnięcie może być wydane na podstawie: dowodów przedstawionych przez stronę łącznie z wnioskiem o wszczęcie postępowania, faktów powszechnie znanych, faktów znanych z urzędu organowi, przed którym toczy się postępowanie lub możliwych do ustalenia w zakresie, o którym mowa w art. </w:t>
      </w:r>
      <w:r w:rsidR="00AD05F5" w:rsidRPr="009A3C86">
        <w:rPr>
          <w:rFonts w:ascii="Times New Roman" w:hAnsi="Times New Roman"/>
          <w:sz w:val="24"/>
          <w:szCs w:val="24"/>
        </w:rPr>
        <w:t>380</w:t>
      </w:r>
      <w:r w:rsidRPr="009A3C86">
        <w:rPr>
          <w:rFonts w:ascii="Times New Roman" w:hAnsi="Times New Roman"/>
          <w:sz w:val="24"/>
          <w:szCs w:val="24"/>
        </w:rPr>
        <w:t xml:space="preserve"> § 4. Nie ma w tym przypadku potrzeby prowadzenia szerszego postępowania dowodowego angażującego stronę. Drugim kryterium dopuszczalności postępowania uproszczonego powinien być określony bezpośrednio w ustawie limit kwotowy. Proponuje się ustalenie limitu w wysokości 5000 zł. Taki limit obowiązuje już w zakresie propozycji korekty deklaracji podatkowej sporządzanej przez organ podatkowy w toku czynności sprawdzających. Proponowany przepis nie wymaga łącznego spełnienia tych kryteriów. Pozwoli to na zachowanie elastyczności i swobody strony w wyborze między postępowaniem uproszczonym </w:t>
      </w:r>
      <w:r w:rsidRPr="009A3C86">
        <w:rPr>
          <w:rFonts w:ascii="Times New Roman" w:hAnsi="Times New Roman"/>
          <w:sz w:val="24"/>
          <w:szCs w:val="24"/>
        </w:rPr>
        <w:lastRenderedPageBreak/>
        <w:t xml:space="preserve">a postępowaniem prowadzonym na zasadach ogólnych. Zbyt wysoki limit mógłby wywołać efekt „mrożący” zarówno wobec podatników jak i pracowników organu podatkowego, a przez to zniechęcać do stosowania tej procedury. Z danych powołanych szerzej w OSR projektu wynika, że ok. 67% wymiarowych postępowań podatkowych lokuje się w przedziale do 5 tys. zł, a w tym ok. 5% w sprawach dotyczących bagatelnych kwot podatku (do 50 zł). Ostrożnie zakładając, że tylko połowa stron postępowania wyrazi zgodę na model uproszczony to nadal oznaczałoby, że ok. 1/3 postępowań może być prowadzona w modelu uproszczonym. Niespełnienie lub przekroczenie wskazanych kryteriów wymagać będzie prowadzenia dalszego postępowania na zasadach ogólnych.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Stworzyć należy możliwość prowadzenia postępowania uproszczonego także w innych przypadkach, poza wskazanymi kryteriami, jeżeli ustawa tak stanowi (</w:t>
      </w:r>
      <w:r w:rsidRPr="009A3C86">
        <w:rPr>
          <w:rFonts w:ascii="Times New Roman" w:hAnsi="Times New Roman"/>
          <w:b/>
          <w:sz w:val="24"/>
          <w:szCs w:val="24"/>
        </w:rPr>
        <w:t>§ 2</w:t>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3. Postępowania uproszczonego nie należy prowadzić w sprawach, w których występuje wiele stron</w:t>
      </w:r>
      <w:bookmarkStart w:id="56" w:name="_Hlk486164875"/>
      <w:r w:rsidRPr="009A3C86">
        <w:rPr>
          <w:rFonts w:ascii="Times New Roman" w:hAnsi="Times New Roman"/>
          <w:sz w:val="24"/>
          <w:szCs w:val="24"/>
        </w:rPr>
        <w:t xml:space="preserve"> (</w:t>
      </w:r>
      <w:r w:rsidRPr="009A3C86">
        <w:rPr>
          <w:rFonts w:ascii="Times New Roman" w:hAnsi="Times New Roman"/>
          <w:b/>
          <w:sz w:val="24"/>
          <w:szCs w:val="24"/>
        </w:rPr>
        <w:t>§ 3 pkt 1</w:t>
      </w:r>
      <w:r w:rsidRPr="009A3C86">
        <w:rPr>
          <w:rFonts w:ascii="Times New Roman" w:hAnsi="Times New Roman"/>
          <w:sz w:val="24"/>
          <w:szCs w:val="24"/>
        </w:rPr>
        <w:t>)</w:t>
      </w:r>
      <w:bookmarkEnd w:id="56"/>
      <w:r w:rsidRPr="009A3C86">
        <w:rPr>
          <w:rFonts w:ascii="Times New Roman" w:hAnsi="Times New Roman"/>
          <w:sz w:val="24"/>
          <w:szCs w:val="24"/>
        </w:rPr>
        <w:t xml:space="preserve">. Mogą to być sytuacje, gdy strony mają sporne interesy, np. w sprawie odpowiedzialności płatnika lub podatnika, gdzie należy przesądzić o winie za niepobranie podatku w prawidłowej wysokości. Sporne interesy stron mogą też ujawniać się w postępowaniu w sprawie odpowiedzialności podatkowej osób trzecich lub orzekaniu odpowiedzialności podatkowej spadkobierców. Spór między stronami nie musi się jednak ujawnić w zakresie istoty sprawy, może też dotyczyć tylko trybu prowadzenia postępowania tj. stosowania postępowania uproszczonego lub nie. Sytuacja, w której jedna strona wnosi o prowadzenie postępowania w trybie uproszczonym, a druga strona milczy lub zgłasza wniosek przeciwny wymagałaby od organu podatkowego prowadzenia wstępnych konsultacji między stronami co do prowadzenia postępowania uproszczonego. Nie można wykluczyć, że czas trwania tych konsultacji byłby dłuższy niż czas trwania merytorycznego postępowania, co by zaprzeczało istocie postępowania uproszczonego.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Postępowanie uproszczone nie jest adekwatne w sprawach wznowienia postępowania, stwierdzenia nieważności oraz zmiany lub uchylenia decyzji ostatecznej </w:t>
      </w:r>
      <w:r w:rsidRPr="009A3C86">
        <w:rPr>
          <w:rFonts w:ascii="Times New Roman" w:hAnsi="Times New Roman"/>
          <w:b/>
          <w:sz w:val="24"/>
          <w:szCs w:val="24"/>
        </w:rPr>
        <w:t>(§ 3 pkt 3</w:t>
      </w:r>
      <w:r w:rsidRPr="009A3C86">
        <w:rPr>
          <w:rFonts w:ascii="Times New Roman" w:hAnsi="Times New Roman"/>
          <w:sz w:val="24"/>
          <w:szCs w:val="24"/>
        </w:rPr>
        <w:t>). W tych sprawach badane muszą być kwestie dopuszczalności postępowania (przesłanki i termin) oraz, w niektórych ze wskazanych trybów, także kwestie merytoryczne sprawy. Dotrzymanie terminu 14 dni w tych kategoriach postępowań jest nierealne.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Ulgi w spłacie, z uwagi na wyjątkowy, uznaniowy charakter tej instytucji i konieczność weryfikacji przesłanek przyznania bądź odmowy przyznania ulgi nie pozwalają na stosowanie w tym zakresie procedury uproszczonej (</w:t>
      </w:r>
      <w:r w:rsidRPr="009A3C86">
        <w:rPr>
          <w:rFonts w:ascii="Times New Roman" w:hAnsi="Times New Roman"/>
          <w:b/>
          <w:sz w:val="24"/>
          <w:szCs w:val="24"/>
        </w:rPr>
        <w:t>§ 3 pkt 4</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postępowaniu uproszczonym nie przeprowadza się dowodów z przesłuchania świadków, zasięgnięcia opinii biegłego, ani nie pozyskuje się danych z banków lub instytucji finansowych </w:t>
      </w:r>
      <w:r w:rsidRPr="009A3C86">
        <w:rPr>
          <w:rFonts w:ascii="Times New Roman" w:hAnsi="Times New Roman"/>
          <w:b/>
          <w:sz w:val="24"/>
          <w:szCs w:val="24"/>
        </w:rPr>
        <w:lastRenderedPageBreak/>
        <w:t>(§ 4</w:t>
      </w:r>
      <w:r w:rsidRPr="009A3C86">
        <w:rPr>
          <w:rFonts w:ascii="Times New Roman" w:hAnsi="Times New Roman"/>
          <w:sz w:val="24"/>
          <w:szCs w:val="24"/>
        </w:rPr>
        <w:t>). Nie można wtedy już mówić o prostocie postępowania. Gdy wystąpi konieczność przeprowadzenia wskazanych dowodów postępowanie jest kontynuowane na zasadach ogólnych (</w:t>
      </w:r>
      <w:r w:rsidRPr="009A3C86">
        <w:rPr>
          <w:rFonts w:ascii="Times New Roman" w:hAnsi="Times New Roman"/>
          <w:b/>
          <w:sz w:val="24"/>
          <w:szCs w:val="24"/>
        </w:rPr>
        <w:t xml:space="preserve">art. </w:t>
      </w:r>
      <w:r w:rsidR="004D11D5" w:rsidRPr="009A3C86">
        <w:rPr>
          <w:rFonts w:ascii="Times New Roman" w:hAnsi="Times New Roman"/>
          <w:b/>
          <w:sz w:val="24"/>
          <w:szCs w:val="24"/>
        </w:rPr>
        <w:t>433</w:t>
      </w:r>
      <w:r w:rsidRPr="009A3C86">
        <w:rPr>
          <w:rFonts w:ascii="Times New Roman" w:hAnsi="Times New Roman"/>
          <w:sz w:val="24"/>
          <w:szCs w:val="24"/>
        </w:rPr>
        <w:t>).</w:t>
      </w:r>
    </w:p>
    <w:p w:rsidR="0085545A" w:rsidRPr="009A3C86" w:rsidRDefault="0085545A" w:rsidP="0085545A">
      <w:pPr>
        <w:tabs>
          <w:tab w:val="left" w:pos="284"/>
        </w:tabs>
        <w:spacing w:after="0" w:line="360" w:lineRule="auto"/>
        <w:jc w:val="both"/>
        <w:rPr>
          <w:rFonts w:ascii="Times New Roman" w:hAnsi="Times New Roman"/>
          <w:sz w:val="24"/>
          <w:szCs w:val="24"/>
        </w:rPr>
      </w:pPr>
      <w:r w:rsidRPr="009A3C86">
        <w:rPr>
          <w:rFonts w:ascii="Times New Roman" w:hAnsi="Times New Roman"/>
          <w:sz w:val="24"/>
          <w:szCs w:val="24"/>
        </w:rPr>
        <w:t xml:space="preserve">4. Obecna ustawa wyróżnia rodzaje spraw, w których występują elementy postępowania uproszczonego, takie jak brak postanowienia o wszczęciu postępowania lub brak zawiadomienia o wyznaczeniu terminu do wypowiedzenia się w sprawie zebranego materiału dowodowego. Dotyczy to przykładowo także niektórych kategorii postępowania w sprawie ustalenia wysokości zobowiązania podatkowego w: podatku od spadków i darowizn, w podatku od nieruchomości, podatku rolnym i podatku leśnym; zaliczek na podatek dochodowy od dochodów z działów specjalnych produkcji rolnej. W tym zakresie elementy postępowania uproszczonego wynikają wprost z ustawy i nie są zależne od woli strony. To przemawia za wyłączeniem postępowania uproszczonego w zakresie takich kategorii spraw, aby nie krzyżować postępowania uproszczonego zależnego od woli strony z postępowaniem podatkowym prowadzonym na szczególnych zasadach określonych w ustawie. W sprawach wymienionych w </w:t>
      </w:r>
      <w:r w:rsidRPr="009A3C86">
        <w:rPr>
          <w:rFonts w:ascii="Times New Roman" w:hAnsi="Times New Roman"/>
          <w:b/>
          <w:sz w:val="24"/>
          <w:szCs w:val="24"/>
        </w:rPr>
        <w:t xml:space="preserve">art. </w:t>
      </w:r>
      <w:r w:rsidR="005C61B5" w:rsidRPr="009A3C86">
        <w:rPr>
          <w:rFonts w:ascii="Times New Roman" w:hAnsi="Times New Roman"/>
          <w:b/>
          <w:sz w:val="24"/>
          <w:szCs w:val="24"/>
        </w:rPr>
        <w:t>358</w:t>
      </w:r>
      <w:r w:rsidRPr="009A3C86">
        <w:rPr>
          <w:rFonts w:ascii="Times New Roman" w:hAnsi="Times New Roman"/>
          <w:sz w:val="24"/>
          <w:szCs w:val="24"/>
        </w:rPr>
        <w:t xml:space="preserve"> </w:t>
      </w:r>
      <w:r w:rsidRPr="009A3C86">
        <w:rPr>
          <w:rFonts w:ascii="Times New Roman" w:hAnsi="Times New Roman"/>
          <w:b/>
          <w:sz w:val="24"/>
          <w:szCs w:val="24"/>
        </w:rPr>
        <w:t>§ 1 pkt 2</w:t>
      </w:r>
      <w:r w:rsidRPr="009A3C86">
        <w:rPr>
          <w:rFonts w:ascii="Times New Roman" w:hAnsi="Times New Roman"/>
          <w:sz w:val="24"/>
          <w:szCs w:val="24"/>
        </w:rPr>
        <w:t xml:space="preserve"> prowadzenie postępowania uproszczonego staje się zbędne (</w:t>
      </w:r>
      <w:r w:rsidRPr="009A3C86">
        <w:rPr>
          <w:rFonts w:ascii="Times New Roman" w:hAnsi="Times New Roman"/>
          <w:b/>
          <w:sz w:val="24"/>
          <w:szCs w:val="24"/>
        </w:rPr>
        <w:t>§ 3 pkt 2</w:t>
      </w:r>
      <w:r w:rsidRPr="009A3C86">
        <w:rPr>
          <w:rFonts w:ascii="Times New Roman" w:hAnsi="Times New Roman"/>
          <w:sz w:val="24"/>
          <w:szCs w:val="24"/>
        </w:rPr>
        <w:t xml:space="preserve">), skoro postępowanie w tych sprawach jest już w pewnym zakresie „uproszczone” z mocy prawa.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5. Fundamentem postępowania uproszczonego powinien być brak postanowienia o jego wszczęciu (</w:t>
      </w:r>
      <w:r w:rsidRPr="009A3C86">
        <w:rPr>
          <w:rFonts w:ascii="Times New Roman" w:hAnsi="Times New Roman"/>
          <w:b/>
          <w:sz w:val="24"/>
          <w:szCs w:val="24"/>
        </w:rPr>
        <w:t xml:space="preserve">art. </w:t>
      </w:r>
      <w:r w:rsidR="009F4C8E" w:rsidRPr="009A3C86">
        <w:rPr>
          <w:rFonts w:ascii="Times New Roman" w:hAnsi="Times New Roman"/>
          <w:b/>
          <w:sz w:val="24"/>
          <w:szCs w:val="24"/>
        </w:rPr>
        <w:t>3</w:t>
      </w:r>
      <w:r w:rsidR="00182393" w:rsidRPr="009A3C86">
        <w:rPr>
          <w:rFonts w:ascii="Times New Roman" w:hAnsi="Times New Roman"/>
          <w:b/>
          <w:sz w:val="24"/>
          <w:szCs w:val="24"/>
        </w:rPr>
        <w:t>58</w:t>
      </w:r>
      <w:r w:rsidRPr="009A3C86">
        <w:rPr>
          <w:rFonts w:ascii="Times New Roman" w:hAnsi="Times New Roman"/>
          <w:sz w:val="24"/>
          <w:szCs w:val="24"/>
        </w:rPr>
        <w:t xml:space="preserve"> </w:t>
      </w:r>
      <w:r w:rsidRPr="009A3C86">
        <w:rPr>
          <w:rFonts w:ascii="Times New Roman" w:hAnsi="Times New Roman"/>
          <w:b/>
          <w:sz w:val="24"/>
          <w:szCs w:val="24"/>
        </w:rPr>
        <w:t>§ 1 pkt 1</w:t>
      </w:r>
      <w:r w:rsidRPr="009A3C86">
        <w:rPr>
          <w:rFonts w:ascii="Times New Roman" w:hAnsi="Times New Roman"/>
          <w:sz w:val="24"/>
          <w:szCs w:val="24"/>
        </w:rPr>
        <w:t>), brak zawiadomienia o wyznaczeniu terminu do wypowiedzenia się w sprawie zebranego materiału dowodowego oraz uzasadnianie wydanej decyzji tylko na żądanie strony wniesione po doręczeniu rozstrzygnięcia</w:t>
      </w:r>
      <w:r w:rsidRPr="009A3C86">
        <w:rPr>
          <w:rFonts w:ascii="Times New Roman" w:hAnsi="Times New Roman"/>
          <w:sz w:val="24"/>
          <w:szCs w:val="24"/>
          <w:vertAlign w:val="superscript"/>
        </w:rPr>
        <w:footnoteReference w:id="443"/>
      </w:r>
      <w:r w:rsidRPr="009A3C86">
        <w:rPr>
          <w:rFonts w:ascii="Times New Roman" w:hAnsi="Times New Roman"/>
          <w:sz w:val="24"/>
          <w:szCs w:val="24"/>
        </w:rPr>
        <w:t xml:space="preserve">. Szybkie rozstrzygnięcie sprawy jest główną korzyścią, jaką strona powinna uzyskać wnioskując albo wyrażając zgodę na postępowanie uproszczone. W projektowanym art. </w:t>
      </w:r>
      <w:r w:rsidR="00182393" w:rsidRPr="009A3C86">
        <w:rPr>
          <w:rFonts w:ascii="Times New Roman" w:hAnsi="Times New Roman"/>
          <w:sz w:val="24"/>
          <w:szCs w:val="24"/>
        </w:rPr>
        <w:t>325</w:t>
      </w:r>
      <w:r w:rsidRPr="009A3C86">
        <w:rPr>
          <w:rFonts w:ascii="Times New Roman" w:hAnsi="Times New Roman"/>
          <w:sz w:val="24"/>
          <w:szCs w:val="24"/>
        </w:rPr>
        <w:t xml:space="preserve"> § 1 pkt 1 lit. b) proponuje się termin 14 dni do załatwienia sprawy w postępowaniu uproszczonym. Szybkość postępowania jest celem postępowania uproszczonego. Z tego przepisu należy też wywodzić normę zobowiązującą organ do dotrzymania tego terminu, jeżeli organ wyszedł z propozycją postępowania uproszczonego, zaakceptowaną przez stronę albo zgodził się na wniosek strony o takie postępowanie.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6. Dysponentem prowadzenia postępowania uproszczonego będzie strona, a nie organ, jeżeli spełnione są przesłanki do zastosowania przepisów tego rozdziału. Innymi słowy, gdy są spełnione przesłanki stosowania tego rozdziału to strona może, w sposób wiążący dla organu, wnioskować o jego zastosowanie. Zastosowanie trybu uproszczonego wymaga bezwzględnie zgody lub wniosku strony. Strona do momentu wydania decyzji winna zachować prawo żądania kontynuowania postępowania na zasadach ogólnych.</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proponowanym </w:t>
      </w:r>
      <w:r w:rsidRPr="009A3C86">
        <w:rPr>
          <w:rFonts w:ascii="Times New Roman" w:hAnsi="Times New Roman"/>
          <w:b/>
          <w:sz w:val="24"/>
          <w:szCs w:val="24"/>
        </w:rPr>
        <w:t xml:space="preserve">art. </w:t>
      </w:r>
      <w:r w:rsidR="00182393" w:rsidRPr="009A3C86">
        <w:rPr>
          <w:rFonts w:ascii="Times New Roman" w:hAnsi="Times New Roman"/>
          <w:b/>
          <w:sz w:val="24"/>
          <w:szCs w:val="24"/>
        </w:rPr>
        <w:t>430</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wszczęcie postępowania uproszczonego z urzędu następuje na podstawie wystąpienia organu podatkowego za pomocą środków komunikacji elektronicznej lub telefonicznie, do strony o wyrażenie zgody na ten tryb. Środki komunikacji elektronicznej są tańsze niż kontakty telefoniczne oraz zapewniają pewniejszą identyfikację odbiorcy. Kontakt telefoniczny powinien mieć miejsce, gdy nie ma możliwości komunikacji elektronicznej. Kontakty telefoniczne w zakresie zgody/żądania stron działania organu w trybie uproszczonym będą miały istotne znaczenie procesowe. Dla celów dowodowych organ podatkowy powinien utrwalić, w formie adnotacji, wystąpienie do strony o wyrażenie zgody na postępowanie uproszczone oraz stanowisko strony. W przypadku wystąpienia i wyrażenia zgody telefonicznie należy sporządzić adnotację. Z uwagi na charakter i cel postępowania uproszczonego strona ma 3 dni na wyrażenie zgody na prowadzenie postępowania w tym trybie.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przypadku kontaktu bezpośredniego wystarczające powinno być wyrażenie pisemnej zgody na formularzu przygotowanym do tego celu. Strona ma prawo wyrazić zgodę na postępowanie uproszczone pisemnie lub ustnie do protokołu </w:t>
      </w:r>
      <w:r w:rsidRPr="009A3C86">
        <w:rPr>
          <w:rFonts w:ascii="Times New Roman" w:hAnsi="Times New Roman"/>
          <w:b/>
          <w:sz w:val="24"/>
          <w:szCs w:val="24"/>
        </w:rPr>
        <w:t>(§ 2</w:t>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Postępowanie uproszczone nie może jednak zawierać w sobie odrębnej procedury wstępnej (uzyskiwania zgody poprzez pisemne wystąpienie organu doręczane w postaci papierowej), która może okazać się dłuższa niż zasadnicze postępowanie. Tak byłoby w razie konieczności pisemnego występowania o zgodę i oczekiwania na doręczenie pisma oraz stanowisko strony. Z perspektywy strony takie działanie mogłoby wręcz nosić znamiona przewlekłości.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Występując o wyrażenie zgody strony na postępowanie uproszczone, organ podatkowy jest zobowiązany poinformować stronę o różnicach między postępowaniem uproszczonym a postępowaniem prowadzonym z pominięciem niniejszego rozdziału (</w:t>
      </w:r>
      <w:r w:rsidRPr="009A3C86">
        <w:rPr>
          <w:rFonts w:ascii="Times New Roman" w:hAnsi="Times New Roman"/>
          <w:b/>
          <w:sz w:val="24"/>
          <w:szCs w:val="24"/>
        </w:rPr>
        <w:t>§ 3</w:t>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Zgody strony na postępowanie uproszczone nie można domniemywać (</w:t>
      </w:r>
      <w:r w:rsidRPr="009A3C86">
        <w:rPr>
          <w:rFonts w:ascii="Times New Roman" w:hAnsi="Times New Roman"/>
          <w:b/>
          <w:sz w:val="24"/>
          <w:szCs w:val="24"/>
        </w:rPr>
        <w:t>§ 4</w:t>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Strona może w każdym czasie cofnąć zgodę na prowadzenie postępowania uproszczonego lub cofnąć wniosek o wszczęcie postępowania uproszczonego, chyba że wydano decyzję (</w:t>
      </w:r>
      <w:r w:rsidRPr="009A3C86">
        <w:rPr>
          <w:rFonts w:ascii="Times New Roman" w:hAnsi="Times New Roman"/>
          <w:b/>
          <w:sz w:val="24"/>
          <w:szCs w:val="24"/>
        </w:rPr>
        <w:t xml:space="preserve">art. </w:t>
      </w:r>
      <w:r w:rsidR="00182393" w:rsidRPr="009A3C86">
        <w:rPr>
          <w:rFonts w:ascii="Times New Roman" w:hAnsi="Times New Roman"/>
          <w:b/>
          <w:sz w:val="24"/>
          <w:szCs w:val="24"/>
        </w:rPr>
        <w:t>432</w:t>
      </w:r>
      <w:r w:rsidRPr="009A3C86">
        <w:rPr>
          <w:rFonts w:ascii="Times New Roman" w:hAnsi="Times New Roman"/>
          <w:sz w:val="24"/>
          <w:szCs w:val="24"/>
        </w:rPr>
        <w:t>). Wycofanie wniosku nie prowadzi do umorzenia postępowania, ale oznacza, że postępowanie będzie nadal prowadzone na wniosek, z tym że nie znajdą już zastosowania przepisy niniejszego rozdziału. W przypadku wycofania zgody telefonicznie sporządza się adnotację.</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7. Postępowanie uproszczone można wszczynać nie tylko z urzędu, za zgodą strony, ale także na wniosek strony. Pomocne w tym zakresie będzie określenie wzoru takiego wniosku w standaryzowanym formularzu. Wniosek strony o postępowanie uproszczone powinien być jednoznaczny i niebudzący żadnych wątpliwości (</w:t>
      </w:r>
      <w:r w:rsidRPr="009A3C86">
        <w:rPr>
          <w:rFonts w:ascii="Times New Roman" w:hAnsi="Times New Roman"/>
          <w:b/>
          <w:sz w:val="24"/>
          <w:szCs w:val="24"/>
        </w:rPr>
        <w:t xml:space="preserve">art. </w:t>
      </w:r>
      <w:r w:rsidR="00182393" w:rsidRPr="009A3C86">
        <w:rPr>
          <w:rFonts w:ascii="Times New Roman" w:hAnsi="Times New Roman"/>
          <w:b/>
          <w:sz w:val="24"/>
          <w:szCs w:val="24"/>
        </w:rPr>
        <w:t>43</w:t>
      </w:r>
      <w:r w:rsidR="009F4C8E" w:rsidRPr="009A3C86">
        <w:rPr>
          <w:rFonts w:ascii="Times New Roman" w:hAnsi="Times New Roman"/>
          <w:b/>
          <w:sz w:val="24"/>
          <w:szCs w:val="24"/>
        </w:rPr>
        <w:t>1</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Nie można też wykluczyć sytuacji, w której strona nie wnioskowała o postępowanie uproszczone, będąc na początkowym etapie postępowania w przekonaniu, że kryteria postępowania uproszczonego nie są spełnione. Dopiero w toku postępowania wszczętego „na zasadach ogólnych” mogą ujawnić się przesłanki do prowadzenia postępowania w modelu uproszczonym. Organ powinien wtedy poinformować stronę o możliwości wyrażenia przez nią zgody na dalsze prowadzenie takiego postępowania jako postępowania uproszczonego (</w:t>
      </w:r>
      <w:r w:rsidRPr="009A3C86">
        <w:rPr>
          <w:rFonts w:ascii="Times New Roman" w:hAnsi="Times New Roman"/>
          <w:b/>
          <w:sz w:val="24"/>
          <w:szCs w:val="24"/>
        </w:rPr>
        <w:t xml:space="preserve">art. </w:t>
      </w:r>
      <w:r w:rsidR="00182393" w:rsidRPr="009A3C86">
        <w:rPr>
          <w:rFonts w:ascii="Times New Roman" w:hAnsi="Times New Roman"/>
          <w:b/>
          <w:sz w:val="24"/>
          <w:szCs w:val="24"/>
        </w:rPr>
        <w:t>43</w:t>
      </w:r>
      <w:r w:rsidR="009F4C8E" w:rsidRPr="009A3C86">
        <w:rPr>
          <w:rFonts w:ascii="Times New Roman" w:hAnsi="Times New Roman"/>
          <w:b/>
          <w:sz w:val="24"/>
          <w:szCs w:val="24"/>
        </w:rPr>
        <w:t>1</w:t>
      </w:r>
      <w:r w:rsidRPr="009A3C86">
        <w:rPr>
          <w:rFonts w:ascii="Times New Roman" w:hAnsi="Times New Roman"/>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Możliwe powinno być „przejście” z postępowania prowadzonego na zasadach ogólnych na postępowanie uproszczone. I odwrotnie, należy dopuścić „przejście” z postępowania uproszczonego na postępowanie na zasadach ogólnych. W toku postępowania uproszczonego ustaną przesłanki jego prowadzenia w tym modelu, gdy przestaną być spełniane kryteria postępowania uproszczonego lub strona cofnie wniosek lub zgodę w tym zakresie. Okaże się, że wymagane jest przeprowadzenie postępowania dowodowego w szerszym zakresie albo kwota wymiaru przekroczy 5000 zł. W takim przypadku postępowanie podatkowe należy kontynuować na zasadach ogólnych (</w:t>
      </w:r>
      <w:r w:rsidRPr="009A3C86">
        <w:rPr>
          <w:rFonts w:ascii="Times New Roman" w:hAnsi="Times New Roman"/>
          <w:b/>
          <w:sz w:val="24"/>
          <w:szCs w:val="24"/>
        </w:rPr>
        <w:t xml:space="preserve">art. </w:t>
      </w:r>
      <w:r w:rsidR="00182393" w:rsidRPr="009A3C86">
        <w:rPr>
          <w:rFonts w:ascii="Times New Roman" w:hAnsi="Times New Roman"/>
          <w:b/>
          <w:sz w:val="24"/>
          <w:szCs w:val="24"/>
        </w:rPr>
        <w:t>433</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a czynności podjęte w postępowaniu uproszczonym pozostają w mocy. Techniczne wykonanie tej reguły wymaga, aby organ podatkowy, niezwłocznie po ujawnieniu okoliczności wskazujących na ustanie przesłanki prowadzenia postępowania uproszczonego, zawiadamiał o tym stronę za pomocą środków komunikacji elektronicznej lub telefonicznie. Można takiego zawiadomienia dokonać też papierowo. W przypadku zawiadomienia telefonicznego należy sporządzić adnotację.</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8. Kolejnym elementem cechującym postępowanie uproszczone jest brak uzasadnienia decyzji. Postępowanie uproszczone spełni swoją rolę i ma szansę na szersze praktyczne zastosowanie, gdy organ podatkowy będzie mógł realnie dotrzymać terminu rozstrzygnięcia sprawy. To zaś wymaga wyłączenia obowiązku uzasadnienia decyzji. Pozwoli to na szybsze opracowanie rozstrzygnięcia sprawy w decyzji. Postępowanie uproszczone w żadnym wypadku nie może jednak być postępowaniem zaocznym. Decyzja wydana w trybie uproszczonym nie zawiera więc uzasadnienia faktycznego i prawnego. Strona jest jednak uprawniona do żądania doręczenia uzasadnienia wydanej decyzji w terminie 7 dni od dnia jej doręczenia. Ten termin jest w zupełności wystarczający dla strony w kwestii podjęcia refleksji, czy strona chce zapoznać się z uzasadnieniem decyzji. Zbyt długi termin może utrudnić organowi odtworzenie wszystkich argumentów przemawiających za wydanym rozstrzygnięciem. </w:t>
      </w:r>
    </w:p>
    <w:p w:rsidR="0085545A" w:rsidRPr="009A3C86" w:rsidRDefault="0085545A" w:rsidP="00D72E74">
      <w:pPr>
        <w:spacing w:after="120" w:line="360" w:lineRule="auto"/>
        <w:jc w:val="both"/>
        <w:rPr>
          <w:rFonts w:ascii="Times New Roman" w:hAnsi="Times New Roman"/>
          <w:sz w:val="24"/>
          <w:szCs w:val="24"/>
          <w:lang w:eastAsia="zh-CN"/>
        </w:rPr>
      </w:pPr>
      <w:r w:rsidRPr="009A3C86">
        <w:rPr>
          <w:rFonts w:ascii="Times New Roman" w:hAnsi="Times New Roman"/>
          <w:sz w:val="24"/>
          <w:szCs w:val="24"/>
        </w:rPr>
        <w:lastRenderedPageBreak/>
        <w:t>Uzasadnienie decyzji sporządza się w terminie 14 dni od dnia wpływu wniosku do właściwego organu (analogicznie do art. 141 § 2 P.p.s.a.). Prawo wniesienia odwołania przysługuje od decyzji także wtedy, gdy strona wniosku o uzasadnienie decyzji nie złoży. Przedmiotem odwołania będzie wtedy decyzja bez uzasadnienia. Natomiast w przypadku złożenia wniosku o uzasadnienie decyzji wydanej w postępowaniu uproszczonym termin do wniesienia odwołania biegnie od dnia doręczenia uzasadnienia decyzji. Celowe jest wówczas oczekiwanie na uzasadnienie decyzji i stosowne przedłużenie terminu wniesienia odwołania. Wnosząc o uzasadnienie decyzji, strona może chcieć w pierwszej kolejności poznać bliżej motywy rozstrzygnięcia sprawy i od tego uzależnić ewentualne zaskarżenie decyzji (</w:t>
      </w:r>
      <w:r w:rsidRPr="009A3C86">
        <w:rPr>
          <w:rFonts w:ascii="Times New Roman" w:hAnsi="Times New Roman"/>
          <w:b/>
          <w:sz w:val="24"/>
          <w:szCs w:val="24"/>
        </w:rPr>
        <w:t xml:space="preserve">art. </w:t>
      </w:r>
      <w:r w:rsidR="00182393" w:rsidRPr="009A3C86">
        <w:rPr>
          <w:rFonts w:ascii="Times New Roman" w:hAnsi="Times New Roman"/>
          <w:b/>
          <w:sz w:val="24"/>
          <w:szCs w:val="24"/>
        </w:rPr>
        <w:t>434</w:t>
      </w:r>
      <w:r w:rsidRPr="009A3C86">
        <w:rPr>
          <w:rFonts w:ascii="Times New Roman" w:hAnsi="Times New Roman"/>
          <w:sz w:val="24"/>
          <w:szCs w:val="24"/>
        </w:rPr>
        <w:t>).</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57" w:name="_Toc494363279"/>
      <w:r w:rsidRPr="009A3C86">
        <w:rPr>
          <w:rFonts w:ascii="Times New Roman" w:hAnsi="Times New Roman"/>
          <w:b/>
          <w:bCs/>
          <w:sz w:val="24"/>
          <w:szCs w:val="24"/>
        </w:rPr>
        <w:t>Rozdział 13. Zawieszenie postępowania</w:t>
      </w:r>
      <w:bookmarkEnd w:id="57"/>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1. Zawieszenie postępowania w obecnej postaci jest instytucją mało elastyczną, ograniczającą  się w istocie tylko do obiektywnych, czasowych przeszkód w prowadzeniu postępowania. Strona oraz organ podatkowy nie mogą korzystać z tej instytucji w celu racjonalizacji i ekonomiki postępowania podatkowego. Pozostawiając z niewielkimi zmianami obecne regulacje w zakresie zawieszenia postępowania, należy jednocześnie wprowadzić nowe przesłanki zawieszenia postępowania dotyczące: związku między różnymi postępowaniami, w których zachodzi podobieństwo stanów faktycznych lub zagadnień prawnych oraz w przypadku, gdy przepis stanowiący podstawę prawną decyzji jest przedmiotem postępowania przed Trybunałem Konstytucyjnym lub Trybunałem Sprawiedliwości Unii Europejskiej. Istotne jest, aby w zakresie tych nowych przesłanek zawieszenia między organem podatkowym a stroną istniał konsensus co do potrzeby i celowości zawieszenia postępowania.</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lang w:eastAsia="zh-CN"/>
        </w:rPr>
      </w:pPr>
      <w:r w:rsidRPr="009A3C86">
        <w:rPr>
          <w:rFonts w:ascii="Times New Roman" w:hAnsi="Times New Roman"/>
          <w:kern w:val="3"/>
          <w:sz w:val="24"/>
          <w:szCs w:val="24"/>
        </w:rPr>
        <w:t xml:space="preserve">2. Przepis </w:t>
      </w:r>
      <w:r w:rsidRPr="009A3C86">
        <w:rPr>
          <w:rFonts w:ascii="Times New Roman" w:hAnsi="Times New Roman"/>
          <w:b/>
          <w:kern w:val="3"/>
          <w:sz w:val="24"/>
          <w:szCs w:val="24"/>
        </w:rPr>
        <w:t xml:space="preserve">art. </w:t>
      </w:r>
      <w:r w:rsidR="00182393" w:rsidRPr="009A3C86">
        <w:rPr>
          <w:rFonts w:ascii="Times New Roman" w:hAnsi="Times New Roman"/>
          <w:b/>
          <w:kern w:val="3"/>
          <w:sz w:val="24"/>
          <w:szCs w:val="24"/>
        </w:rPr>
        <w:t>435</w:t>
      </w:r>
      <w:r w:rsidRPr="009A3C86">
        <w:rPr>
          <w:rFonts w:ascii="Times New Roman" w:hAnsi="Times New Roman"/>
          <w:kern w:val="3"/>
          <w:sz w:val="24"/>
          <w:szCs w:val="24"/>
        </w:rPr>
        <w:t xml:space="preserve"> jest odpowiednikiem obecnego art. 201 o.p. Generalnie pozostawia się obecne rozwiązania w zakresie przesłanek zawieszenia postępowania, zachowując też ich podział na przesłanki obligatoryjne zawieszenia i przesłanki fakultatywne. Zachowuje się też obecne regulacje wskazujące na adresatów doręczenia postanowienia w sprawie zawieszenia. Tak jak obecnie, fakultatywne zawieszenie postępowania może następować wielokrotnie, z tym że okres łącznego zawieszenia postępowania nie może przekraczać 3 lat.</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r w:rsidRPr="009A3C86">
        <w:rPr>
          <w:rFonts w:ascii="Times New Roman" w:hAnsi="Times New Roman"/>
          <w:b/>
          <w:kern w:val="3"/>
          <w:sz w:val="24"/>
          <w:szCs w:val="24"/>
        </w:rPr>
        <w:t>§ 1 pkt 6</w:t>
      </w:r>
      <w:r w:rsidRPr="009A3C86">
        <w:rPr>
          <w:rFonts w:ascii="Times New Roman" w:hAnsi="Times New Roman"/>
          <w:kern w:val="3"/>
          <w:sz w:val="24"/>
          <w:szCs w:val="24"/>
        </w:rPr>
        <w:t xml:space="preserve"> skreśla się wyrazy „przez ten organ”, co umożliwi stosowanie tego przepisu także w przypadku wskazania przez organ odwoławczy innego organu jako właściwego w sprawie.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r w:rsidRPr="009A3C86">
        <w:rPr>
          <w:rFonts w:ascii="Times New Roman" w:hAnsi="Times New Roman"/>
          <w:b/>
          <w:kern w:val="3"/>
          <w:sz w:val="24"/>
          <w:szCs w:val="24"/>
        </w:rPr>
        <w:t>§ 1 pkt 7</w:t>
      </w:r>
      <w:r w:rsidRPr="009A3C86">
        <w:rPr>
          <w:rFonts w:ascii="Times New Roman" w:hAnsi="Times New Roman"/>
          <w:kern w:val="3"/>
          <w:sz w:val="24"/>
          <w:szCs w:val="24"/>
        </w:rPr>
        <w:t xml:space="preserve"> proponuje się nową przesłankę wznowienia postępowania. Uchwała NSA z dnia 5 czerwca 2017 r., II GPS 1/17, stwierdza, że „</w:t>
      </w:r>
      <w:r w:rsidRPr="009A3C86">
        <w:rPr>
          <w:rFonts w:ascii="Times New Roman" w:hAnsi="Times New Roman"/>
          <w:kern w:val="3"/>
          <w:sz w:val="24"/>
          <w:szCs w:val="24"/>
          <w:shd w:val="clear" w:color="auto" w:fill="FFFFFF"/>
        </w:rPr>
        <w:t xml:space="preserve">W trakcie postępowania sądowoadministracyjnego można wszcząć postępowanie administracyjne w celu zmiany, uchylenia, stwierdzenia nieważności aktu lub wznowienia postępowania w sprawie kontrolowanego przez sąd </w:t>
      </w:r>
      <w:r w:rsidRPr="009A3C86">
        <w:rPr>
          <w:rFonts w:ascii="Times New Roman" w:hAnsi="Times New Roman"/>
          <w:kern w:val="3"/>
          <w:sz w:val="24"/>
          <w:szCs w:val="24"/>
          <w:shd w:val="clear" w:color="auto" w:fill="FFFFFF"/>
        </w:rPr>
        <w:lastRenderedPageBreak/>
        <w:t>rozstrzygnięcia, jednakże organ administracji publicznej obowiązany jest zawiesić to postępowanie na podstawie art. 97 § 1 pkt 4 ustawy z dnia 14 czerwca 1960 r. - Kodeks postępowania administracyjnego  do czasu prawomocnego zakończenia postępowania sądowoadministracyjnego.” Jak wskazano w uzasadnieniu tej uchwały: „Rozpatrzenie sprawy przez sąd powinno być traktowane, tak jak rozstrzygnięcie zagadnienia wstępnego w rozumieniu powołanych przepisów.” Jakkolwiek uchwała dotyczy przepisu k.p.a., to jednak argumentacja w niej przedstawiona w równym stopniu znajduje aktualność na gruncie przepisów o.p.</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przepisie </w:t>
      </w:r>
      <w:r w:rsidRPr="009A3C86">
        <w:rPr>
          <w:rFonts w:ascii="Times New Roman" w:hAnsi="Times New Roman"/>
          <w:b/>
          <w:kern w:val="3"/>
          <w:sz w:val="24"/>
          <w:szCs w:val="24"/>
        </w:rPr>
        <w:t>§ 2</w:t>
      </w:r>
      <w:r w:rsidRPr="009A3C86">
        <w:rPr>
          <w:rFonts w:ascii="Times New Roman" w:hAnsi="Times New Roman"/>
          <w:kern w:val="3"/>
          <w:sz w:val="24"/>
          <w:szCs w:val="24"/>
        </w:rPr>
        <w:t xml:space="preserve"> proponuje się nową, bardziej przejrzystą redakcję, zachowując regułę wynikającą z obecnego przepisu art. 201 § 2 o.p. Formę zawieszenia postępowania – postanowienie, na które służy zażalenie - reguluje się kompleksowo w przepisie art. </w:t>
      </w:r>
      <w:r w:rsidR="00152A18" w:rsidRPr="009A3C86">
        <w:rPr>
          <w:rFonts w:ascii="Times New Roman" w:hAnsi="Times New Roman"/>
          <w:kern w:val="3"/>
          <w:sz w:val="24"/>
          <w:szCs w:val="24"/>
        </w:rPr>
        <w:t>443</w:t>
      </w:r>
      <w:r w:rsidRPr="009A3C86">
        <w:rPr>
          <w:rFonts w:ascii="Times New Roman" w:hAnsi="Times New Roman"/>
          <w:kern w:val="3"/>
          <w:sz w:val="24"/>
          <w:szCs w:val="24"/>
        </w:rPr>
        <w:t xml:space="preserve">. </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przepisie </w:t>
      </w:r>
      <w:r w:rsidRPr="009A3C86">
        <w:rPr>
          <w:rFonts w:ascii="Times New Roman" w:hAnsi="Times New Roman"/>
          <w:b/>
          <w:kern w:val="3"/>
          <w:sz w:val="24"/>
          <w:szCs w:val="24"/>
        </w:rPr>
        <w:t>§ 3 pkt 2</w:t>
      </w:r>
      <w:r w:rsidRPr="009A3C86">
        <w:rPr>
          <w:rFonts w:ascii="Times New Roman" w:hAnsi="Times New Roman"/>
          <w:kern w:val="3"/>
          <w:sz w:val="24"/>
          <w:szCs w:val="24"/>
        </w:rPr>
        <w:t xml:space="preserve"> proponuje się dodanie przesłanki zawieszenia w sytuacji, gdy wszczęta została procedura arbitrażowa na podstawie ratyfikowanych umów o unikaniu podwójnego opodatkowania lub innych ratyfikowanych umów międzynarodowych, których stroną jest Rzeczpospolita Polska</w:t>
      </w:r>
      <w:r w:rsidRPr="009A3C86">
        <w:rPr>
          <w:rFonts w:ascii="Times New Roman" w:hAnsi="Times New Roman"/>
          <w:i/>
          <w:iCs/>
          <w:kern w:val="3"/>
          <w:sz w:val="24"/>
          <w:szCs w:val="24"/>
        </w:rPr>
        <w:t xml:space="preserve"> </w:t>
      </w:r>
      <w:r w:rsidRPr="009A3C86">
        <w:rPr>
          <w:rFonts w:ascii="Times New Roman" w:hAnsi="Times New Roman"/>
          <w:kern w:val="3"/>
          <w:sz w:val="24"/>
          <w:szCs w:val="24"/>
        </w:rPr>
        <w:t>lub przepisów prawa Unii Europejskiej. Zachowana zostanie spójność regulacji, bo zawieszenie postępowania może nastąpić w razie wszczęcia procedury wzajemnego porozumiewania wynikającej ze wskazanych umów.</w:t>
      </w:r>
    </w:p>
    <w:p w:rsidR="0085545A" w:rsidRPr="009A3C86" w:rsidRDefault="0085545A" w:rsidP="0085545A">
      <w:pPr>
        <w:suppressAutoHyphens/>
        <w:autoSpaceDN w:val="0"/>
        <w:spacing w:after="0" w:line="360" w:lineRule="auto"/>
        <w:jc w:val="both"/>
        <w:textAlignment w:val="baseline"/>
        <w:rPr>
          <w:rFonts w:ascii="Times New Roman" w:hAnsi="Times New Roman"/>
          <w:kern w:val="3"/>
          <w:sz w:val="24"/>
          <w:szCs w:val="24"/>
        </w:rPr>
      </w:pPr>
      <w:r w:rsidRPr="009A3C86">
        <w:rPr>
          <w:rFonts w:ascii="Times New Roman" w:hAnsi="Times New Roman"/>
          <w:kern w:val="3"/>
          <w:sz w:val="24"/>
          <w:szCs w:val="24"/>
        </w:rPr>
        <w:t xml:space="preserve">W </w:t>
      </w:r>
      <w:r w:rsidRPr="009A3C86">
        <w:rPr>
          <w:rFonts w:ascii="Times New Roman" w:hAnsi="Times New Roman"/>
          <w:b/>
          <w:kern w:val="3"/>
          <w:sz w:val="24"/>
          <w:szCs w:val="24"/>
        </w:rPr>
        <w:t>§ 6</w:t>
      </w:r>
      <w:r w:rsidRPr="009A3C86">
        <w:rPr>
          <w:rFonts w:ascii="Times New Roman" w:hAnsi="Times New Roman"/>
          <w:kern w:val="3"/>
          <w:sz w:val="24"/>
          <w:szCs w:val="24"/>
        </w:rPr>
        <w:t xml:space="preserve"> zachowując obecną regulację stanowiącą o maksymalnie 3 letnim okresie zawieszenia (w przypadku wskazanym w § 3), zmianie ulega redakcja przepisu, aby wykluczyć taką możliwość wykładni, która prowadzi do wniosku, że tylko z przyczyn wskazanych w § 3 możliwe jest wielokrotne zawieszenie postępowania. Zawieszenie postępowania może następować wielokrotnie, jeżeli podyktowane to będzie wielokrotnością powstania przesłanek zawieszenia. Tylko w zakresie przesłanek wskazanych w § 3 maksymalny okres zawieszenia jest limitowany.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152A18" w:rsidRPr="009A3C86">
        <w:rPr>
          <w:rFonts w:ascii="Times New Roman" w:hAnsi="Times New Roman"/>
          <w:b/>
          <w:sz w:val="24"/>
          <w:szCs w:val="24"/>
        </w:rPr>
        <w:t>436</w:t>
      </w:r>
      <w:r w:rsidRPr="009A3C86">
        <w:rPr>
          <w:rFonts w:ascii="Times New Roman" w:hAnsi="Times New Roman"/>
          <w:sz w:val="24"/>
          <w:szCs w:val="24"/>
        </w:rPr>
        <w:t xml:space="preserve"> jest odpowiednikiem obecnego art. 202 o.p. Zasadą nadal będzie, że organ podatkowy, który zawiesił postępowanie, nie podejmuje żadnych czynności, z wyjątkiem tych, które mają na celu podjęcie postępowania albo zabezpieczenie dowodu.</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152A18" w:rsidRPr="009A3C86">
        <w:rPr>
          <w:rFonts w:ascii="Times New Roman" w:hAnsi="Times New Roman"/>
          <w:b/>
          <w:sz w:val="24"/>
          <w:szCs w:val="24"/>
        </w:rPr>
        <w:t>43</w:t>
      </w:r>
      <w:r w:rsidR="007C093D" w:rsidRPr="009A3C86">
        <w:rPr>
          <w:rFonts w:ascii="Times New Roman" w:hAnsi="Times New Roman"/>
          <w:b/>
          <w:sz w:val="24"/>
          <w:szCs w:val="24"/>
        </w:rPr>
        <w:t>7</w:t>
      </w:r>
      <w:r w:rsidRPr="009A3C86">
        <w:rPr>
          <w:rFonts w:ascii="Times New Roman" w:hAnsi="Times New Roman"/>
          <w:sz w:val="24"/>
          <w:szCs w:val="24"/>
        </w:rPr>
        <w:t xml:space="preserve"> jest odpowiednikiem obecnego art. 203 o.p. Gdy rozpatrzenie sprawy i wydanie decyzji jest uzależnione od rozstrzygnięcia zagadnienia wstępnego przez inny organ lub sąd, organ podatkowy, który zawiesił postępowanie, wzywa równocześnie stronę do wystąpienia w oznaczonym terminie do właściwego organu lub sądu o rozstrzygnięcie zagadnienia wstępnego, chyba że strona wykaże, że już zwróciła się w tej sprawie do właściwego organu lub sądu. Jeżeli strona nie wystąpiła do właściwego organu lub sądu w wyznaczonym terminie, organ podatkowy z urzędu zwróci się do właściwego organu lub sądu </w:t>
      </w:r>
      <w:r w:rsidRPr="009A3C86">
        <w:rPr>
          <w:rFonts w:ascii="Times New Roman" w:hAnsi="Times New Roman"/>
          <w:sz w:val="24"/>
          <w:szCs w:val="24"/>
        </w:rPr>
        <w:lastRenderedPageBreak/>
        <w:t xml:space="preserve">o rozstrzygnięcie zagadnienia wstępnego. Wyjątek wskazany w przepisie </w:t>
      </w:r>
      <w:r w:rsidRPr="009A3C86">
        <w:rPr>
          <w:rFonts w:ascii="Times New Roman" w:hAnsi="Times New Roman"/>
          <w:b/>
          <w:sz w:val="24"/>
          <w:szCs w:val="24"/>
        </w:rPr>
        <w:t>§ 1</w:t>
      </w:r>
      <w:r w:rsidRPr="009A3C86">
        <w:rPr>
          <w:rFonts w:ascii="Times New Roman" w:hAnsi="Times New Roman"/>
          <w:sz w:val="24"/>
          <w:szCs w:val="24"/>
        </w:rPr>
        <w:t xml:space="preserve"> uzupełniono o sytuację, gdy organ jest uprawniony do samodzielnego wystąpienia o rozstrzygnięcie zagadnienia wstępnego. Nie ma przeszkód, aby organ skorzystał ze swego uprawnienia bez konieczności zobowiązywania strony do takiego wystąpienia.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5. Około 48% decyzji ostatecznych wydawanych przez dyrektorów izb skarbowych oraz dyrektorów izb celnych w sprawach podatkowych jest zaskarżana do sądu administracyjnego; w zakresie decyzji VAT wydawanych przez dyrektorów izb skarbowych ten współczynnik wynosi ok. 53%. Mimo wysokiego współczynnika zaskarżalności odsetek wyroków „korzystnych” dla organów podatkowych (oddalających skargi lub uwzględniających skargi kasacyjne organu) jest wysoki i wynosi 73% w zakresie wyroków WSA oraz 71% w zakresie wyroków NSA</w:t>
      </w:r>
      <w:r w:rsidRPr="009A3C86">
        <w:rPr>
          <w:rFonts w:ascii="Times New Roman" w:hAnsi="Times New Roman"/>
          <w:sz w:val="24"/>
          <w:szCs w:val="24"/>
          <w:vertAlign w:val="superscript"/>
        </w:rPr>
        <w:footnoteReference w:id="444"/>
      </w:r>
      <w:r w:rsidRPr="009A3C86">
        <w:rPr>
          <w:rFonts w:ascii="Times New Roman" w:hAnsi="Times New Roman"/>
          <w:sz w:val="24"/>
          <w:szCs w:val="24"/>
        </w:rPr>
        <w:t>. Efektem techniki samoobliczenia podatku jest powtarzalność działań podatnika w kolejnych okresach rozliczeniowych, bazujących na wcześniej przyjętym przez podatnika rozumieniu przepisów. Szczegółowe rozwiązania prawa materialnego wiążą czasem wynik bieżącego rozliczenia podatku z wynikami rozliczenia za wcześniejsze okresy. W szczególności jest to systemową cechą podatku od towarów i usług oraz skutkiem pozostających do wykorzystania z poprzednich okresów rozliczeniowych ulg podatkowych. Procesowym odbiciem takich rozwiązań prawa materialnego są serie postępowań „kaskadowych”, gdy wymiar podatku uzależniony jest od rozstrzygnięcia za poprzednie okresy rozliczeniowe. Podobne sprzężenia postępowań podatkowych występują np. w relacji między postępowaniem w zakresie podatku od czynności cywilnoprawnych oraz postępowaniem w zakresie podatku od towarów i usług. W takich relacjach nie występuje jednak przesłanka zawieszenia postępowania, ponieważ mimo związku między postępowaniami i wzajemnego wpływu rozstrzygnięcia w jednej sprawie na rozstrzygnięcie w drugiej sprawie nie istnieje relacja zagadnienia wstępnego pozwalająca, a wręcz nakazująca zawieszenie postępowania</w:t>
      </w:r>
      <w:r w:rsidRPr="009A3C86">
        <w:rPr>
          <w:rFonts w:ascii="Times New Roman" w:hAnsi="Times New Roman"/>
          <w:sz w:val="24"/>
          <w:szCs w:val="24"/>
          <w:vertAlign w:val="superscript"/>
        </w:rPr>
        <w:footnoteReference w:id="445"/>
      </w:r>
      <w:r w:rsidRPr="009A3C86">
        <w:rPr>
          <w:rFonts w:ascii="Times New Roman" w:hAnsi="Times New Roman"/>
          <w:sz w:val="24"/>
          <w:szCs w:val="24"/>
        </w:rPr>
        <w:t xml:space="preserve">. Nie można w tym zakresie ustalić, które postępowanie jest pierwotne, a które wtórne. Zasadniczo oba takie postępowania mogą toczyć się równolegle i równocześnie mogą być wydawane rozstrzygnięcia w tych sprawach. Projektowany przepis </w:t>
      </w:r>
      <w:r w:rsidRPr="009A3C86">
        <w:rPr>
          <w:rFonts w:ascii="Times New Roman" w:hAnsi="Times New Roman"/>
          <w:b/>
          <w:sz w:val="24"/>
          <w:szCs w:val="24"/>
        </w:rPr>
        <w:t xml:space="preserve">art. </w:t>
      </w:r>
      <w:r w:rsidR="00261A02" w:rsidRPr="009A3C86">
        <w:rPr>
          <w:rFonts w:ascii="Times New Roman" w:hAnsi="Times New Roman"/>
          <w:b/>
          <w:sz w:val="24"/>
          <w:szCs w:val="24"/>
        </w:rPr>
        <w:t>438</w:t>
      </w:r>
      <w:r w:rsidRPr="009A3C86">
        <w:rPr>
          <w:rFonts w:ascii="Times New Roman" w:hAnsi="Times New Roman"/>
          <w:sz w:val="24"/>
          <w:szCs w:val="24"/>
        </w:rPr>
        <w:t xml:space="preserve"> uprawnia więc </w:t>
      </w:r>
      <w:r w:rsidRPr="009A3C86">
        <w:rPr>
          <w:rFonts w:ascii="Times New Roman" w:hAnsi="Times New Roman"/>
          <w:sz w:val="24"/>
          <w:szCs w:val="24"/>
        </w:rPr>
        <w:lastRenderedPageBreak/>
        <w:t>organ podatkowy na wniosek strony lub z urzędu, za zgodą strony (oraz wobec braku sprzeciwu innych stron postępowania), do zawieszenia postępowania, gdy wobec strony toczy się inne postępowanie, którego rozstrzygnięcie może mieć wpływ na treść wydawanej decyzji. Ta reguła powinna być stosowana analogicznie, gdy toczy się postępowanie przed sądem administracyjnym, a orzeczenie sądu może mieć wpływ na treść wydawanej decyzji za kolejne okresy rozliczeniowe. Podobnie w przypadku postępowań przed sądem powszechnym. Podkreślić należy, że celem przepisu jest przyznanie w tym zakresie uznaniowej kompetencji organowi podatkowemu, który może nie skorzystać z możliwości zawieszenia, jeżeli uzna że okoliczności sprawy przemawiają za jej prowadzeniem.</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praktyce pojawia się też multiplikacja postępowań przedmiotowo identycznych z uwagi na zastosowane przepisy prawa oraz taką samą istotę sporu za różne okresy rozliczeniowe. Często identyczne są też zagadnienia prawne lub stany faktyczne spraw prowadzonych za różne okresy rozliczeniowe. Serie analogicznych spraw są wówczas przedmiotem postępowania odwoławczego, a następnie po wniesieniu skarg, są przedmiotem postępowania sądowoadministracyjnego. Na podstawie obserwacji praktyki, a także często zauważanej „seryjności” sygnatur orzeczeń sądów administracyjnych, gdy sprawy mogły być objęte jedną skargą lub pozostają ze sobą w związku, założyć można, że znacząca część wyżej wskazanych sporów ogniskuje się na tym samym problemie powielanym w kolejnych decyzjach za kolejne okresy rozliczeniowe. Nie jest bezwzględnie konieczne prowadzenie równoległego sporu we wszystkich sprawach za kolejne okresy rozliczeniowe. Obecny przepis art. 201 § 1 pkt 2 o.p. przesłankę zawieszenia postępowania zawęża jedynie do rozstrzygnięcia kwestii prejudycjalnej przez inny organ lub sąd rozumianej w ten sposób, że „wydanie orzeczenia merytorycznego w sprawie będącej przedmiotem postępowania przed właściwym organem uwarunkowane jest uprzednim rozstrzygnięciem wstępnego zagadnienia prawnego (…)”</w:t>
      </w:r>
      <w:r w:rsidRPr="009A3C86">
        <w:rPr>
          <w:rFonts w:ascii="Times New Roman" w:hAnsi="Times New Roman"/>
          <w:sz w:val="24"/>
          <w:szCs w:val="24"/>
          <w:vertAlign w:val="superscript"/>
        </w:rPr>
        <w:footnoteReference w:id="446"/>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6. Ekonomika postępowania podatkowego i sądowoadministracyjnego uzasadnia stworzenie możliwości zawieszenia postępowania w tego typu sprawach i w pierwszej kolejności rozstrzygnięcia sporu co do sprawy „reprezentatywnej” - </w:t>
      </w:r>
      <w:r w:rsidRPr="009A3C86">
        <w:rPr>
          <w:rFonts w:ascii="Times New Roman" w:hAnsi="Times New Roman"/>
          <w:b/>
          <w:sz w:val="24"/>
          <w:szCs w:val="24"/>
        </w:rPr>
        <w:t xml:space="preserve">art. </w:t>
      </w:r>
      <w:r w:rsidR="00301E2C" w:rsidRPr="009A3C86">
        <w:rPr>
          <w:rFonts w:ascii="Times New Roman" w:hAnsi="Times New Roman"/>
          <w:b/>
          <w:sz w:val="24"/>
          <w:szCs w:val="24"/>
        </w:rPr>
        <w:t>439</w:t>
      </w:r>
      <w:r w:rsidRPr="009A3C86">
        <w:rPr>
          <w:rFonts w:ascii="Times New Roman" w:hAnsi="Times New Roman"/>
          <w:sz w:val="24"/>
          <w:szCs w:val="24"/>
        </w:rPr>
        <w:t xml:space="preserve">. Warunkiem zawieszenia będzie tożsamość podmiotowa i przedmiotowa spraw. Zakres zawieszenia postępowania oraz wybór sprawy „reprezentatywnej” będzie wynikiem porozumienia między stroną i organem zarówno co do zakresu postępowań zawieszonych, jak i okresu zawieszenia (do wydania decyzji ostatecznej lub prawomocnego orzeczenia sądu administracyjnego). W razie osiągnięcia porozumienia przedmiotem prowadzonego postępowania powinna być tylko </w:t>
      </w:r>
      <w:r w:rsidRPr="009A3C86">
        <w:rPr>
          <w:rFonts w:ascii="Times New Roman" w:hAnsi="Times New Roman"/>
          <w:sz w:val="24"/>
          <w:szCs w:val="24"/>
        </w:rPr>
        <w:lastRenderedPageBreak/>
        <w:t xml:space="preserve">sprawa merytorycznie „reprezentatywna”, tj. taka, w której (w zgodnej opinii organu i strony) ujawniają się wszystkie sporne aspekty spraw albo jest to (w zgodnej opinii organu i strony) sprawa pierwotna dla rozstrzygnięć za kolejne okresy rozliczeniowe. W konsekwencji wymaga to zawieszenia biegu terminu przedawnienia wymiaru zobowiązań pozostających w fazie zawieszenia postępowania; także z tego względu zgoda strony na zawieszenie jest istotna. Bez takiego porozumienia zawieszenie postępowania nie nastąpi, a wszystkie postępowania należy prowadzić równocześnie, zgodnie z ogólnym reżimem procesowym.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Energia i nakłady pracy strony postępowania, organu podatkowego oraz sądu administracyjnego powinny być skoncentrowane na sprawie wspólnie wskazanej jako sprawa „reprezentatywna”. Pozwoli to podatnikowi zracjonalizować wydatki procesowe oraz zniesie ryzyko seryjnego wykonywania decyzji, które mogą okazać się wadliwe. Po rozstrzygnięciu sprawy uznanej przez organ podatkowy i stronę za „reprezentatywną” - w zależności od jej rozstrzygnięcia - z perspektywy organu zarysuje się mocniej kwestia kierunku rozstrzygania w postępowaniach zawieszonych, a z perspektywy strony refleksji wymaga kwestia celowości wnoszenia kolejnych środków zaskarżenia na podjęte rozstrzygnięcia.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Zawieszenie postępowania w związku z identyfikowaniem „sprawy reprezentatywnej”, a co za tym idzie sporu wiodącego, powinno znaleźć odpowiednie zastosowanie, gdy toczy się postępowanie przed sądem administracyjnym, a ocena prawna wyrażona w orzeczeniu sądu może mieć wpływ na treść wydawanej decyzji (</w:t>
      </w:r>
      <w:r w:rsidRPr="009A3C86">
        <w:rPr>
          <w:rFonts w:ascii="Times New Roman" w:hAnsi="Times New Roman"/>
          <w:b/>
          <w:sz w:val="24"/>
          <w:szCs w:val="24"/>
        </w:rPr>
        <w:t>§ 2</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7. W przepisie </w:t>
      </w:r>
      <w:r w:rsidRPr="009A3C86">
        <w:rPr>
          <w:rFonts w:ascii="Times New Roman" w:hAnsi="Times New Roman"/>
          <w:b/>
          <w:sz w:val="24"/>
          <w:szCs w:val="24"/>
        </w:rPr>
        <w:t xml:space="preserve">art. </w:t>
      </w:r>
      <w:r w:rsidR="005B095D" w:rsidRPr="009A3C86">
        <w:rPr>
          <w:rFonts w:ascii="Times New Roman" w:hAnsi="Times New Roman"/>
          <w:b/>
          <w:sz w:val="24"/>
          <w:szCs w:val="24"/>
        </w:rPr>
        <w:t>440</w:t>
      </w:r>
      <w:r w:rsidRPr="009A3C86">
        <w:rPr>
          <w:rFonts w:ascii="Times New Roman" w:hAnsi="Times New Roman"/>
          <w:sz w:val="24"/>
          <w:szCs w:val="24"/>
        </w:rPr>
        <w:t xml:space="preserve"> </w:t>
      </w:r>
      <w:r w:rsidRPr="009A3C86">
        <w:rPr>
          <w:rFonts w:ascii="Times New Roman" w:hAnsi="Times New Roman"/>
          <w:b/>
          <w:sz w:val="24"/>
          <w:szCs w:val="24"/>
        </w:rPr>
        <w:t>pkt 1</w:t>
      </w:r>
      <w:r w:rsidRPr="009A3C86">
        <w:rPr>
          <w:rFonts w:ascii="Times New Roman" w:hAnsi="Times New Roman"/>
          <w:sz w:val="24"/>
          <w:szCs w:val="24"/>
        </w:rPr>
        <w:t xml:space="preserve"> proponuje się, aby organ podatkowy mógł z urzędu, za zgodą strony (oraz wobec braku sprzeciwu innych stron postępowania), zawiesić postępowanie, jeżeli przepis mający wpływ na treść decyzji jest przedmiotem postępowania przed Trybunałem Konstytucyjnym lub Trybunałem Sprawiedliwości Unii Europejskiej. W przypadku zakończenia postępowania decyzją ostateczną, a następnie stwierdzenia niekonstytucyjności przepisu stanowiącego podstawę decyzji lub wydania przez Trybunał Sprawiedliwości Unii Europejskiej orzeczenia mającego wpływ na treść wydanej decyzji zachodzi przesłanka wznowienia postępowania. Możliwość zawieszenia postępowania podatkowego w wielu przypadkach pozwoli na oczekiwanie na orzeczenie Trybunału Konstytucyjnego lub Trybunału Sprawiedliwości Unii Europejskiej bez podejmowania ryzyka wydawania decyzji ostatecznej, która następnie podlegałaby uchyleniu lub zmianie po wznowieniu postępowania w wyniku orzeczenia Trybunału. Także w tym przypadku podkreślić należy konsensualność zawieszenia postępowania między organem podatkowym oraz stroną.  Analogicznie dotyczyć to będzie sytuacji, gdy przepis mający wpływ na treść wydawanej decyzji jest przedmiotem </w:t>
      </w:r>
      <w:r w:rsidRPr="009A3C86">
        <w:rPr>
          <w:rFonts w:ascii="Times New Roman" w:hAnsi="Times New Roman"/>
          <w:sz w:val="24"/>
          <w:szCs w:val="24"/>
        </w:rPr>
        <w:lastRenderedPageBreak/>
        <w:t>postępowania przed sądem administracyjnym w sprawie stwierdzenia nieważności aktu prawa miejscowego organu jednostki samorządu terytorialnego (</w:t>
      </w:r>
      <w:r w:rsidRPr="009A3C86">
        <w:rPr>
          <w:rFonts w:ascii="Times New Roman" w:hAnsi="Times New Roman"/>
          <w:b/>
          <w:sz w:val="24"/>
          <w:szCs w:val="24"/>
        </w:rPr>
        <w:t xml:space="preserve">art. </w:t>
      </w:r>
      <w:r w:rsidR="005B095D" w:rsidRPr="009A3C86">
        <w:rPr>
          <w:rFonts w:ascii="Times New Roman" w:hAnsi="Times New Roman"/>
          <w:b/>
          <w:sz w:val="24"/>
          <w:szCs w:val="24"/>
        </w:rPr>
        <w:t>440</w:t>
      </w:r>
      <w:r w:rsidRPr="009A3C86">
        <w:rPr>
          <w:rFonts w:ascii="Times New Roman" w:hAnsi="Times New Roman"/>
          <w:sz w:val="24"/>
          <w:szCs w:val="24"/>
        </w:rPr>
        <w:t xml:space="preserve"> </w:t>
      </w:r>
      <w:r w:rsidRPr="009A3C86">
        <w:rPr>
          <w:rFonts w:ascii="Times New Roman" w:hAnsi="Times New Roman"/>
          <w:b/>
          <w:sz w:val="24"/>
          <w:szCs w:val="24"/>
        </w:rPr>
        <w:t>pkt 2</w:t>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tym zakresie nie przewiduje się możliwości wnioskowania strony o zawieszenie postępowania. Nie można wykluczyć, że przedmiotem postępowania przed TK lub TSUE, będą całe akty prawne lub przykładowo jeden przepis procesowy, który jest podstawą wydawania lub doręczania wszystkich decyzji. Wniosek o zawieszenie w takim przypadku mógłby masowo zablokować prowadzenie postępowań. Art. 125 § 1 pkt 1 p.p.s.a. w analogicznej sytuacji przewiduje działanie sądu jedynie z urzędu. Podkreślić należy, że zawieszenie w tym przypadku powinno być przedmiotem konsensu, a nie konfliktu. Uprawnienie organu nie oznacza nakazu zawieszenia postępowania. Przepis stanowi więc dyrektywę wyboru przez organ, warunkowaną zgodą strony.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8. Przepis </w:t>
      </w:r>
      <w:r w:rsidRPr="009A3C86">
        <w:rPr>
          <w:rFonts w:ascii="Times New Roman" w:hAnsi="Times New Roman"/>
          <w:b/>
          <w:sz w:val="24"/>
          <w:szCs w:val="24"/>
        </w:rPr>
        <w:t xml:space="preserve">art. </w:t>
      </w:r>
      <w:r w:rsidR="005B095D" w:rsidRPr="009A3C86">
        <w:rPr>
          <w:rFonts w:ascii="Times New Roman" w:hAnsi="Times New Roman"/>
          <w:b/>
          <w:sz w:val="24"/>
          <w:szCs w:val="24"/>
        </w:rPr>
        <w:t>441</w:t>
      </w:r>
      <w:r w:rsidRPr="009A3C86">
        <w:rPr>
          <w:rFonts w:ascii="Times New Roman" w:hAnsi="Times New Roman"/>
          <w:sz w:val="24"/>
          <w:szCs w:val="24"/>
        </w:rPr>
        <w:t xml:space="preserve"> jest odpowiednikiem obecnego art. 204 o.p. Organ podatkowy może zawiesić postępowanie, jeżeli wystąpi o to strona, na wniosek której postępowanie zostało wszczęte, a nie sprzeciwiają się temu inne strony. Jeżeli w okresie 3 lat od daty zawieszenia postępowania żadna ze stron nie zwróci się o jego podjęcie, organ podatkowy umarza postępowanie. Poza zmianami redakcyjnymi rozszerzono możliwość zawieszenia każdego postępowania wszczętego na wniosek strony, a nie tylko, jak obecnie, postępowania w sprawie ulg w spłacie zobowiązań podatkowych. Skoro strona może wnioskować o umorzenie każdego postępowania wszczętego na jej wniosek, to tym bardziej winno przysługiwać jej uprawnienie do wnioskowania o zawieszenie takiego postępowania.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9. Przepis </w:t>
      </w:r>
      <w:r w:rsidRPr="009A3C86">
        <w:rPr>
          <w:rFonts w:ascii="Times New Roman" w:hAnsi="Times New Roman"/>
          <w:b/>
          <w:sz w:val="24"/>
          <w:szCs w:val="24"/>
        </w:rPr>
        <w:t xml:space="preserve">art. </w:t>
      </w:r>
      <w:r w:rsidR="005B095D" w:rsidRPr="009A3C86">
        <w:rPr>
          <w:rFonts w:ascii="Times New Roman" w:hAnsi="Times New Roman"/>
          <w:b/>
          <w:sz w:val="24"/>
          <w:szCs w:val="24"/>
        </w:rPr>
        <w:t>442</w:t>
      </w:r>
      <w:r w:rsidRPr="009A3C86">
        <w:rPr>
          <w:rFonts w:ascii="Times New Roman" w:hAnsi="Times New Roman"/>
          <w:sz w:val="24"/>
          <w:szCs w:val="24"/>
        </w:rPr>
        <w:t xml:space="preserve"> jest połączeniem obecnego art. 205 i 205a o.p. Oba wskazane przepisy zawierają regulacje procesowe dotyczące podjęcia zawieszonego postępowania, które są w części identyczne, a w części różnią się semantycznie („ustąpiły przyczyny uzasadniające zawieszenie” oraz „ustanie przyczyna zawieszenia”). Nie ma uzasadnienia dla dalszego utrzymywania odrębności tych przepisów.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Zastrzeżenie zawarte we wstępie do wyliczenia dotyczy sytuacji, gdy mimo istnienia przyczyn zawieszenia konieczne jest podjęcie postępowania z uwagi na upływ terminu wskazanego w przepisie szczególnym.</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Okoliczności uzasadniające podjęcie zawieszonego postępowania zasadniczo są identyczne jak w obecnym art. 205a o.p.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pkt 1</w:t>
      </w:r>
      <w:r w:rsidRPr="009A3C86">
        <w:rPr>
          <w:rFonts w:ascii="Times New Roman" w:hAnsi="Times New Roman"/>
          <w:sz w:val="24"/>
          <w:szCs w:val="24"/>
        </w:rPr>
        <w:t xml:space="preserve"> określającym przesłankę podjęcia zawieszonego postępowania, po śmierci strony, zrezygnowano z ustanowienia kuratora spadku. Przepisy art. 666 i następne Kodeksu postępowania cywilnego określają zakres powinności i kompetencji kuratora spadku. Należy do nich w szczególności poszukiwanie spadkobierców i zarząd spadkiem nieobjętym. Przepisy </w:t>
      </w:r>
      <w:r w:rsidRPr="009A3C86">
        <w:rPr>
          <w:rFonts w:ascii="Times New Roman" w:hAnsi="Times New Roman"/>
          <w:sz w:val="24"/>
          <w:szCs w:val="24"/>
        </w:rPr>
        <w:lastRenderedPageBreak/>
        <w:t xml:space="preserve">prawa cywilnego nie przyznają jednak kuratorowi spadku nieobjętego uprawnień procesowych w zakresie reprezentacji nieobecnych, nieujawnionych spadkobierców. Nie ma więc przesłanek, aby kuratorowi spadku nieobjętego przyznawać status pełnomocnika w toku postępowania podatkowego. W konsekwencji ustanowienie takiego kuratora nie usuwa przeszkody do prowadzenia postępowania podatkowego, więc postępowanie nadal powinno pozostać w stadium zawieszenia.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Dodawane w </w:t>
      </w:r>
      <w:r w:rsidRPr="009A3C86">
        <w:rPr>
          <w:rFonts w:ascii="Times New Roman" w:hAnsi="Times New Roman"/>
          <w:b/>
          <w:sz w:val="24"/>
          <w:szCs w:val="24"/>
        </w:rPr>
        <w:t xml:space="preserve">art. </w:t>
      </w:r>
      <w:r w:rsidR="005B095D" w:rsidRPr="009A3C86">
        <w:rPr>
          <w:rFonts w:ascii="Times New Roman" w:hAnsi="Times New Roman"/>
          <w:b/>
          <w:sz w:val="24"/>
          <w:szCs w:val="24"/>
        </w:rPr>
        <w:t>442</w:t>
      </w:r>
      <w:r w:rsidRPr="009A3C86">
        <w:rPr>
          <w:rFonts w:ascii="Times New Roman" w:hAnsi="Times New Roman"/>
          <w:sz w:val="24"/>
          <w:szCs w:val="24"/>
        </w:rPr>
        <w:t xml:space="preserve"> (obecnie art. 205a o.p.) w </w:t>
      </w:r>
      <w:r w:rsidRPr="009A3C86">
        <w:rPr>
          <w:rFonts w:ascii="Times New Roman" w:hAnsi="Times New Roman"/>
          <w:b/>
          <w:sz w:val="24"/>
          <w:szCs w:val="24"/>
        </w:rPr>
        <w:t>pkt 7 i 8</w:t>
      </w:r>
      <w:r w:rsidRPr="009A3C86">
        <w:rPr>
          <w:rFonts w:ascii="Times New Roman" w:hAnsi="Times New Roman"/>
          <w:sz w:val="24"/>
          <w:szCs w:val="24"/>
        </w:rPr>
        <w:t xml:space="preserve"> przesłanki podjęcia zawieszonego postępowania nawiązują bezpośrednio do przesłanek zawieszenia postępowania. Przesłanka wskazana w </w:t>
      </w:r>
      <w:r w:rsidRPr="009A3C86">
        <w:rPr>
          <w:rFonts w:ascii="Times New Roman" w:hAnsi="Times New Roman"/>
          <w:b/>
          <w:sz w:val="24"/>
          <w:szCs w:val="24"/>
        </w:rPr>
        <w:t>pkt 7</w:t>
      </w:r>
      <w:r w:rsidRPr="009A3C86">
        <w:rPr>
          <w:rFonts w:ascii="Times New Roman" w:hAnsi="Times New Roman"/>
          <w:sz w:val="24"/>
          <w:szCs w:val="24"/>
        </w:rPr>
        <w:t xml:space="preserve"> nawiązuje do wniesienia skargi do sądu administracyjnego w przypadkach, o których mowa w art. </w:t>
      </w:r>
      <w:r w:rsidR="005B095D" w:rsidRPr="009A3C86">
        <w:rPr>
          <w:rFonts w:ascii="Times New Roman" w:hAnsi="Times New Roman"/>
          <w:sz w:val="24"/>
          <w:szCs w:val="24"/>
        </w:rPr>
        <w:t>435</w:t>
      </w:r>
      <w:r w:rsidRPr="009A3C86">
        <w:rPr>
          <w:rFonts w:ascii="Times New Roman" w:hAnsi="Times New Roman"/>
          <w:sz w:val="24"/>
          <w:szCs w:val="24"/>
        </w:rPr>
        <w:t xml:space="preserve"> § 1 pkt 6 i 7. Podjęcie zawieszonego postępowania nastąpi w dniu doręczenia organowi orzeczenia sądu wraz z aktami sprawy i ze stwierdzeniem jego prawomocności. Przesłanka wskazana w </w:t>
      </w:r>
      <w:r w:rsidRPr="009A3C86">
        <w:rPr>
          <w:rFonts w:ascii="Times New Roman" w:hAnsi="Times New Roman"/>
          <w:b/>
          <w:sz w:val="24"/>
          <w:szCs w:val="24"/>
        </w:rPr>
        <w:t>pkt 8</w:t>
      </w:r>
      <w:r w:rsidRPr="009A3C86">
        <w:rPr>
          <w:rFonts w:ascii="Times New Roman" w:hAnsi="Times New Roman"/>
          <w:sz w:val="24"/>
          <w:szCs w:val="24"/>
        </w:rPr>
        <w:t xml:space="preserve"> odnosi się do zawieszenia postępowania na podstawie art. </w:t>
      </w:r>
      <w:r w:rsidR="005B095D" w:rsidRPr="009A3C86">
        <w:rPr>
          <w:rFonts w:ascii="Times New Roman" w:hAnsi="Times New Roman"/>
          <w:sz w:val="24"/>
          <w:szCs w:val="24"/>
        </w:rPr>
        <w:t>440</w:t>
      </w:r>
      <w:r w:rsidRPr="009A3C86">
        <w:rPr>
          <w:rFonts w:ascii="Times New Roman" w:hAnsi="Times New Roman"/>
          <w:sz w:val="24"/>
          <w:szCs w:val="24"/>
        </w:rPr>
        <w:t xml:space="preserve"> pkt 1; podjęcie postępowania nastąpi w razie wejścia w życie orzeczenia Trybunału Konstytucyjnego lub opublikowania sentencji orzeczenia Trybunału Sprawiedliwości Unii Europejskiej.  Przesłanka wskazana w </w:t>
      </w:r>
      <w:r w:rsidRPr="009A3C86">
        <w:rPr>
          <w:rFonts w:ascii="Times New Roman" w:hAnsi="Times New Roman"/>
          <w:b/>
          <w:sz w:val="24"/>
          <w:szCs w:val="24"/>
        </w:rPr>
        <w:t>pkt 9</w:t>
      </w:r>
      <w:r w:rsidRPr="009A3C86">
        <w:rPr>
          <w:rFonts w:ascii="Times New Roman" w:hAnsi="Times New Roman"/>
          <w:sz w:val="24"/>
          <w:szCs w:val="24"/>
        </w:rPr>
        <w:t xml:space="preserve"> odnosi się do zawieszenia postępowania na podstawie art. </w:t>
      </w:r>
      <w:r w:rsidR="005B095D" w:rsidRPr="009A3C86">
        <w:rPr>
          <w:rFonts w:ascii="Times New Roman" w:hAnsi="Times New Roman"/>
          <w:sz w:val="24"/>
          <w:szCs w:val="24"/>
        </w:rPr>
        <w:t>440</w:t>
      </w:r>
      <w:r w:rsidRPr="009A3C86">
        <w:rPr>
          <w:rFonts w:ascii="Times New Roman" w:hAnsi="Times New Roman"/>
          <w:sz w:val="24"/>
          <w:szCs w:val="24"/>
        </w:rPr>
        <w:t xml:space="preserve"> pkt 2; podjęcie postępowania nastąpi w dniu doręczenia organowi </w:t>
      </w:r>
      <w:r w:rsidRPr="009A3C86">
        <w:rPr>
          <w:rFonts w:ascii="Times New Roman" w:eastAsia="MS ??" w:hAnsi="Times New Roman"/>
          <w:sz w:val="24"/>
          <w:szCs w:val="24"/>
          <w:lang w:eastAsia="pl-PL"/>
        </w:rPr>
        <w:t xml:space="preserve">jednostki samorządu terytorialnego </w:t>
      </w:r>
      <w:r w:rsidRPr="009A3C86">
        <w:rPr>
          <w:rFonts w:ascii="Times New Roman" w:hAnsi="Times New Roman"/>
          <w:sz w:val="24"/>
          <w:szCs w:val="24"/>
        </w:rPr>
        <w:t xml:space="preserve">orzeczenia sądu administracyjnego w sprawie stwierdzenia nieważności aktu prawa miejscowego organu jednostki samorządu terytorialnego.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zakresie </w:t>
      </w:r>
      <w:r w:rsidRPr="009A3C86">
        <w:rPr>
          <w:rFonts w:ascii="Times New Roman" w:hAnsi="Times New Roman"/>
          <w:b/>
          <w:sz w:val="24"/>
          <w:szCs w:val="24"/>
        </w:rPr>
        <w:t>pkt 6 i 7</w:t>
      </w:r>
      <w:r w:rsidRPr="009A3C86">
        <w:rPr>
          <w:rFonts w:ascii="Times New Roman" w:hAnsi="Times New Roman"/>
          <w:sz w:val="24"/>
          <w:szCs w:val="24"/>
        </w:rPr>
        <w:t xml:space="preserve"> sprecyzowano przesłankę podjęcia zawieszonego postępowania, odnosząc się do „doręczenia organowi orzeczenia wraz z aktami sprawy oraz ze stwierdzeniem jego prawomocności” zamiast nieprecyzyjnego „powzięcia przez organ wiadomości o uprawomocnieniu się orzeczenia”,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10. Formę zawieszenia postępowania, czyli postanowienie, na które służy zażalenie, kompleksowo uregulowano w przepisie </w:t>
      </w:r>
      <w:r w:rsidRPr="009A3C86">
        <w:rPr>
          <w:rFonts w:ascii="Times New Roman" w:hAnsi="Times New Roman"/>
          <w:b/>
          <w:sz w:val="24"/>
          <w:szCs w:val="24"/>
        </w:rPr>
        <w:t xml:space="preserve">art. </w:t>
      </w:r>
      <w:r w:rsidR="005B095D" w:rsidRPr="009A3C86">
        <w:rPr>
          <w:rFonts w:ascii="Times New Roman" w:hAnsi="Times New Roman"/>
          <w:b/>
          <w:sz w:val="24"/>
          <w:szCs w:val="24"/>
        </w:rPr>
        <w:t>443</w:t>
      </w:r>
      <w:r w:rsidRPr="009A3C86">
        <w:rPr>
          <w:rFonts w:ascii="Times New Roman" w:hAnsi="Times New Roman"/>
          <w:sz w:val="24"/>
          <w:szCs w:val="24"/>
        </w:rPr>
        <w:t>.</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11. Przepis </w:t>
      </w:r>
      <w:r w:rsidRPr="009A3C86">
        <w:rPr>
          <w:rFonts w:ascii="Times New Roman" w:hAnsi="Times New Roman"/>
          <w:b/>
          <w:sz w:val="24"/>
          <w:szCs w:val="24"/>
        </w:rPr>
        <w:t xml:space="preserve">art. </w:t>
      </w:r>
      <w:r w:rsidR="005B095D" w:rsidRPr="009A3C86">
        <w:rPr>
          <w:rFonts w:ascii="Times New Roman" w:hAnsi="Times New Roman"/>
          <w:b/>
          <w:sz w:val="24"/>
          <w:szCs w:val="24"/>
        </w:rPr>
        <w:t>444</w:t>
      </w:r>
      <w:r w:rsidRPr="009A3C86">
        <w:rPr>
          <w:rFonts w:ascii="Times New Roman" w:hAnsi="Times New Roman"/>
          <w:sz w:val="24"/>
          <w:szCs w:val="24"/>
        </w:rPr>
        <w:t xml:space="preserve"> jest odpowiednikiem obecnego art. 206 o.p. Tak jak obecnie, zawieszenie postępowania wstrzymuje bieg terminów przewidzianych w niniejszym dziale.</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58" w:name="_Toc494363280"/>
      <w:r w:rsidRPr="009A3C86">
        <w:rPr>
          <w:rFonts w:ascii="Times New Roman" w:hAnsi="Times New Roman"/>
          <w:b/>
          <w:bCs/>
          <w:sz w:val="24"/>
          <w:szCs w:val="24"/>
        </w:rPr>
        <w:t>Rozdział 14. Decyzje</w:t>
      </w:r>
      <w:bookmarkEnd w:id="58"/>
      <w:r w:rsidRPr="009A3C86">
        <w:rPr>
          <w:rFonts w:ascii="Times New Roman" w:hAnsi="Times New Roman"/>
          <w:b/>
          <w:bCs/>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1. Przepisy dotyczące decyzji nie budzą istotnych wątpliwości w praktyce. Poza zmianami redakcyjnymi i uzupełnieniem w zakresie zajmowania stanowiska przez organ współdziałający obowiązujące przepisy należy zachować. Istotne zmiany proponuje się w zakresie uzupełniania lub prostowania decyzji.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2.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445</w:t>
      </w:r>
      <w:r w:rsidRPr="009A3C86">
        <w:rPr>
          <w:rFonts w:ascii="Times New Roman" w:hAnsi="Times New Roman"/>
          <w:sz w:val="24"/>
          <w:szCs w:val="24"/>
        </w:rPr>
        <w:t xml:space="preserve"> jest odpowiednikiem obecnego art. 207 o.p. Organ podatkowy orzeka w sprawie w drodze decyzji, chyba że przepisy ustawy stanowią inaczej. Decyzja rozstrzyga sprawę co do jej istoty albo w inny sposób kończy postępowanie w danej instancji.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446</w:t>
      </w:r>
      <w:r w:rsidRPr="009A3C86">
        <w:rPr>
          <w:rFonts w:ascii="Times New Roman" w:hAnsi="Times New Roman"/>
          <w:sz w:val="24"/>
          <w:szCs w:val="24"/>
        </w:rPr>
        <w:t xml:space="preserve"> jest odpowiednikiem obecnego art. 208 o.p. Zrezygnowano z wyliczenia szczegółowych przypadków bezprzedmiotowości postępowania, które i tak nie może być wyczerpujące.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447</w:t>
      </w:r>
      <w:r w:rsidRPr="009A3C86">
        <w:rPr>
          <w:rFonts w:ascii="Times New Roman" w:hAnsi="Times New Roman"/>
          <w:sz w:val="24"/>
          <w:szCs w:val="24"/>
        </w:rPr>
        <w:t xml:space="preserve"> jest odpowiednikiem obecnego art. 209 o.p. Reguły postępowania, jeżeli przepis prawa uzależnia wydanie decyzji od zajęcia stanowiska przez inny organ (organ współdziałający), w tym wyrażenia opinii lub zgody, decyzję wydaje się po zajęciu stanowiska przez ten organ, co do zasady pozostawia się bez zmian.  W celu usunięcia wątpliwości co do momentu „zajęcia stanowiska” w </w:t>
      </w:r>
      <w:r w:rsidRPr="009A3C86">
        <w:rPr>
          <w:rFonts w:ascii="Times New Roman" w:hAnsi="Times New Roman"/>
          <w:b/>
          <w:sz w:val="24"/>
          <w:szCs w:val="24"/>
        </w:rPr>
        <w:t>§ 3</w:t>
      </w:r>
      <w:r w:rsidRPr="009A3C86">
        <w:rPr>
          <w:rFonts w:ascii="Times New Roman" w:hAnsi="Times New Roman"/>
          <w:sz w:val="24"/>
          <w:szCs w:val="24"/>
        </w:rPr>
        <w:t xml:space="preserve"> precyzuje się to jako „wydanie”; termin na doręczenie stanowiska nie powinien być bowiem zaliczany do czasu na jego merytoryczne przygotowanie. W projektowanych przepisach organ właściwy do zajęcia stanowiska definiuje się jako „organ współdziałający” w celu zapewnienia przejrzystości kolejnych paragrafów tego artykułu. W </w:t>
      </w:r>
      <w:r w:rsidRPr="009A3C86">
        <w:rPr>
          <w:rFonts w:ascii="Times New Roman" w:hAnsi="Times New Roman"/>
          <w:b/>
          <w:sz w:val="24"/>
          <w:szCs w:val="24"/>
        </w:rPr>
        <w:t>§ 6</w:t>
      </w:r>
      <w:r w:rsidRPr="009A3C86">
        <w:rPr>
          <w:rFonts w:ascii="Times New Roman" w:hAnsi="Times New Roman"/>
          <w:sz w:val="24"/>
          <w:szCs w:val="24"/>
        </w:rPr>
        <w:t xml:space="preserve"> precyzuje się kwestię terminów działania organu współdziałającego oraz zagadnienie ponaglenia, nakazując niezwłoczne informowanie organu prowadzącego postępowanie o wniesieniu ponaglenia przez stronę. W </w:t>
      </w:r>
      <w:r w:rsidRPr="009A3C86">
        <w:rPr>
          <w:rFonts w:ascii="Times New Roman" w:hAnsi="Times New Roman"/>
          <w:b/>
          <w:sz w:val="24"/>
          <w:szCs w:val="24"/>
        </w:rPr>
        <w:t>§ 7</w:t>
      </w:r>
      <w:r w:rsidRPr="009A3C86">
        <w:rPr>
          <w:rFonts w:ascii="Times New Roman" w:hAnsi="Times New Roman"/>
          <w:sz w:val="24"/>
          <w:szCs w:val="24"/>
        </w:rPr>
        <w:t xml:space="preserve"> proponuje się nowe rozwiązanie procesowe polegające na prowadzeniu posiedzenia w trybie współdziałania, jeżeli przyczyni się to do przyspieszenia zajęcia stanowiska</w:t>
      </w:r>
      <w:r w:rsidRPr="009A3C86">
        <w:rPr>
          <w:rFonts w:ascii="Times New Roman" w:hAnsi="Times New Roman"/>
          <w:sz w:val="24"/>
          <w:szCs w:val="24"/>
          <w:vertAlign w:val="superscript"/>
        </w:rPr>
        <w:footnoteReference w:id="447"/>
      </w:r>
      <w:r w:rsidRPr="009A3C86">
        <w:rPr>
          <w:rFonts w:ascii="Times New Roman" w:hAnsi="Times New Roman"/>
          <w:sz w:val="24"/>
          <w:szCs w:val="24"/>
        </w:rPr>
        <w:t>. Posiedzenie może zwołać z urzędu organ prowadzący postępowanie albo na wniosek strony. Posiedzenie można też zwołać na wniosek organu współdziałającego. Organ prowadzący postępowanie może wezwać stronę na to posiedzenie. Takie rozwiązanie, wspierane procesowo regulacjami dotyczącymi rozprawy, pozwoli na szybsze zakończenie postępowania. Zarządzenie posiedzenia nie zwalnia organu współdziałającego z obowiązku rozpatrzenia ponaglenia (</w:t>
      </w:r>
      <w:r w:rsidRPr="009A3C86">
        <w:rPr>
          <w:rFonts w:ascii="Times New Roman" w:hAnsi="Times New Roman"/>
          <w:b/>
          <w:sz w:val="24"/>
          <w:szCs w:val="24"/>
        </w:rPr>
        <w:t>§ 8</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448</w:t>
      </w:r>
      <w:r w:rsidRPr="009A3C86">
        <w:rPr>
          <w:rFonts w:ascii="Times New Roman" w:hAnsi="Times New Roman"/>
          <w:sz w:val="24"/>
          <w:szCs w:val="24"/>
        </w:rPr>
        <w:t xml:space="preserve"> jest odpowiednikiem obecnego art. 210 o.p., określającego wymogi formalne co do treści decyzji. Zmiany mają charakter dostosowawczy i redakcyjny.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celu pełniejszej realizacji zasady informowania i dobrowolności wykonania decyzji dodano pouczenie o terminie wykonania obowiązku wynikającego z decyzji </w:t>
      </w:r>
      <w:r w:rsidRPr="009A3C86">
        <w:rPr>
          <w:rFonts w:ascii="Times New Roman" w:hAnsi="Times New Roman"/>
          <w:b/>
          <w:sz w:val="24"/>
          <w:szCs w:val="24"/>
        </w:rPr>
        <w:t>(§ 1 pkt 9</w:t>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1 pkt 10</w:t>
      </w:r>
      <w:r w:rsidRPr="009A3C86">
        <w:rPr>
          <w:rFonts w:ascii="Times New Roman" w:hAnsi="Times New Roman"/>
          <w:sz w:val="24"/>
          <w:szCs w:val="24"/>
        </w:rPr>
        <w:t xml:space="preserve"> unormowano konieczność uwidocznienia w decyzji, że została podpisana elektronicznie.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W </w:t>
      </w:r>
      <w:r w:rsidRPr="009A3C86">
        <w:rPr>
          <w:rFonts w:ascii="Times New Roman" w:hAnsi="Times New Roman"/>
          <w:b/>
          <w:sz w:val="24"/>
          <w:szCs w:val="24"/>
        </w:rPr>
        <w:t>§ 1 pkt 6</w:t>
      </w:r>
      <w:r w:rsidRPr="009A3C86">
        <w:rPr>
          <w:rFonts w:ascii="Times New Roman" w:hAnsi="Times New Roman"/>
          <w:sz w:val="24"/>
          <w:szCs w:val="24"/>
        </w:rPr>
        <w:t xml:space="preserve"> dodano zmiany dostosowawcze dotyczące wyjątków od sporządzania uzasadnienia decyzji.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1 pkt 7</w:t>
      </w:r>
      <w:r w:rsidRPr="009A3C86">
        <w:rPr>
          <w:rFonts w:ascii="Times New Roman" w:hAnsi="Times New Roman"/>
          <w:sz w:val="24"/>
          <w:szCs w:val="24"/>
        </w:rPr>
        <w:t xml:space="preserve"> poprawiono redakcję przepisu w zakresie dotyczącym pouczenia o wniesieniu skargi do sądu administracyjnego, wzorując się na obowiązujących regulacjach w tym zakresie dotyczących postanowień. Ponadto wprowadza się</w:t>
      </w:r>
      <w:r w:rsidRPr="009A3C86">
        <w:rPr>
          <w:rFonts w:ascii="Times New Roman" w:hAnsi="Times New Roman"/>
          <w:sz w:val="24"/>
          <w:szCs w:val="24"/>
          <w:vertAlign w:val="superscript"/>
        </w:rPr>
        <w:footnoteReference w:id="448"/>
      </w:r>
      <w:r w:rsidRPr="009A3C86">
        <w:rPr>
          <w:rFonts w:ascii="Times New Roman" w:hAnsi="Times New Roman"/>
          <w:sz w:val="24"/>
          <w:szCs w:val="24"/>
        </w:rPr>
        <w:t xml:space="preserve"> obowiązek pouczenia o wysokości wpisu od skargi do sądu, jeżeli ma charakter stały albo o podstawie do wyliczenia wpisu o charakterze stosunkowym, a także możliwości ubiegania się przez stronę o prawo pomocy</w:t>
      </w:r>
      <w:r w:rsidR="006822BE" w:rsidRPr="009A3C86">
        <w:rPr>
          <w:rFonts w:ascii="Times New Roman" w:eastAsia="MS Mincho" w:hAnsi="Times New Roman"/>
          <w:sz w:val="24"/>
          <w:szCs w:val="24"/>
          <w:lang w:eastAsia="pl-PL"/>
        </w:rPr>
        <w:t xml:space="preserve"> </w:t>
      </w:r>
      <w:r w:rsidR="006822BE" w:rsidRPr="009A3C86">
        <w:rPr>
          <w:rFonts w:ascii="Times New Roman" w:hAnsi="Times New Roman"/>
          <w:sz w:val="24"/>
          <w:szCs w:val="24"/>
        </w:rPr>
        <w:t>oraz przesłankach jej udzielania</w:t>
      </w:r>
      <w:r w:rsidRPr="009A3C86">
        <w:rPr>
          <w:rFonts w:ascii="Times New Roman" w:hAnsi="Times New Roman"/>
          <w:sz w:val="24"/>
          <w:szCs w:val="24"/>
        </w:rPr>
        <w:t>. Pozwoli to stronie na odpowiednie przygotowanie się pod kątem finansowym (zgromadzenie środków pieniężnych już w terminie 30 dni wniesienia skargi, a nie w terminie 7 dni po wezwaniu sądu) do wniesienia skargi do sądu oraz zmniejszy liczbę czynności sądu podejmowanych w związku z nieuiszczeniem należnego wpisu. Wcześniejsze zaznajomienie strony z regułami kosztowymi postępowania sądowoadministracyjnego oraz zasadami przyznawania pomocy zapobiegnie wydłużaniu postępowania sądowoadministracyjnego w związku z wzywaniem o opłacenie skargi lub umotywowani</w:t>
      </w:r>
      <w:r w:rsidR="006822BE" w:rsidRPr="009A3C86">
        <w:rPr>
          <w:rFonts w:ascii="Times New Roman" w:hAnsi="Times New Roman"/>
          <w:sz w:val="24"/>
          <w:szCs w:val="24"/>
        </w:rPr>
        <w:t>e</w:t>
      </w:r>
      <w:r w:rsidRPr="009A3C86">
        <w:rPr>
          <w:rFonts w:ascii="Times New Roman" w:hAnsi="Times New Roman"/>
          <w:sz w:val="24"/>
          <w:szCs w:val="24"/>
        </w:rPr>
        <w:t xml:space="preserve"> wniosku o prawo pomocy.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1 pkt 8</w:t>
      </w:r>
      <w:r w:rsidRPr="009A3C86">
        <w:rPr>
          <w:rFonts w:ascii="Times New Roman" w:hAnsi="Times New Roman"/>
          <w:sz w:val="24"/>
          <w:szCs w:val="24"/>
        </w:rPr>
        <w:t xml:space="preserve"> dodano obowiązek pouczenia o prawie bezpośredniej skargi do sądu oraz o skutkach odrzucenia takiej skargi przez sąd.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3</w:t>
      </w:r>
      <w:r w:rsidRPr="009A3C86">
        <w:rPr>
          <w:rFonts w:ascii="Times New Roman" w:hAnsi="Times New Roman"/>
          <w:sz w:val="24"/>
          <w:szCs w:val="24"/>
        </w:rPr>
        <w:t xml:space="preserve"> zamiast przytoczenia brzmienia art. 300 § 2 Kodeksu karnego proponuje się odesłanie do tego przepisu. W </w:t>
      </w:r>
      <w:r w:rsidRPr="009A3C86">
        <w:rPr>
          <w:rFonts w:ascii="Times New Roman" w:hAnsi="Times New Roman"/>
          <w:b/>
          <w:sz w:val="24"/>
          <w:szCs w:val="24"/>
        </w:rPr>
        <w:t>§ 8</w:t>
      </w:r>
      <w:r w:rsidRPr="009A3C86">
        <w:rPr>
          <w:rFonts w:ascii="Times New Roman" w:hAnsi="Times New Roman"/>
          <w:sz w:val="24"/>
          <w:szCs w:val="24"/>
        </w:rPr>
        <w:t xml:space="preserve"> rozszerzono wyjątki w zakresie innych elementów decyzji (zamiast „składników”) także na odrębne przepisy, znajdujące się poza o.p.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Nowe </w:t>
      </w:r>
      <w:r w:rsidRPr="009A3C86">
        <w:rPr>
          <w:rFonts w:ascii="Times New Roman" w:hAnsi="Times New Roman"/>
          <w:b/>
          <w:sz w:val="24"/>
          <w:szCs w:val="24"/>
        </w:rPr>
        <w:t>§ 6 i 7</w:t>
      </w:r>
      <w:r w:rsidRPr="009A3C86">
        <w:rPr>
          <w:rFonts w:ascii="Times New Roman" w:hAnsi="Times New Roman"/>
          <w:sz w:val="24"/>
          <w:szCs w:val="24"/>
        </w:rPr>
        <w:t xml:space="preserve"> wskazują elementy decyzji organu odwoławczego. W decyzji organu odwoławczego uchylającej zaskarżoną decyzję w całości i przekazującej sprawę do ponownego rozpatrzenia organ odwoławczy wskazuje, jakie okoliczności należy wziąć pod uwagę przy ponownym rozpatrzeniu sprawy (</w:t>
      </w:r>
      <w:r w:rsidRPr="009A3C86">
        <w:rPr>
          <w:rFonts w:ascii="Times New Roman" w:hAnsi="Times New Roman"/>
          <w:b/>
          <w:sz w:val="24"/>
          <w:szCs w:val="24"/>
        </w:rPr>
        <w:t>§ 6</w:t>
      </w:r>
      <w:r w:rsidRPr="009A3C86">
        <w:rPr>
          <w:rFonts w:ascii="Times New Roman" w:hAnsi="Times New Roman"/>
          <w:sz w:val="24"/>
          <w:szCs w:val="24"/>
        </w:rPr>
        <w:t xml:space="preserve">). Jest to nawiązanie do kompetencji organu odwoławczego w zakresie wydania decyzji kasacyjnej. Obecnie regulacja jest zawarta w art. 233 § 2 o.p., lecz z uwagi na zakres regulacji właściwym miejscem jest przepis wskazujący elementy decyzji, a nie przepis kompetencyjny. Projektowany </w:t>
      </w:r>
      <w:r w:rsidRPr="009A3C86">
        <w:rPr>
          <w:rFonts w:ascii="Times New Roman" w:hAnsi="Times New Roman"/>
          <w:b/>
          <w:sz w:val="24"/>
          <w:szCs w:val="24"/>
        </w:rPr>
        <w:t>§ 7</w:t>
      </w:r>
      <w:r w:rsidRPr="009A3C86">
        <w:rPr>
          <w:rFonts w:ascii="Times New Roman" w:hAnsi="Times New Roman"/>
          <w:sz w:val="24"/>
          <w:szCs w:val="24"/>
        </w:rPr>
        <w:t xml:space="preserve"> nie ma obecnie swojego normatywnego odpowiednika. Jeżeli decyzja uchylana przez organ odwoławczy zawiera wadę dającą podstawę do wznowienia postępowania lub stwierdzenia jej nieważności, organ odwoławczy stwierdza to w decyzji. Organ odwoławczy w rozstrzygnięciu stwierdza </w:t>
      </w:r>
      <w:r w:rsidRPr="009A3C86">
        <w:rPr>
          <w:rFonts w:ascii="Times New Roman" w:hAnsi="Times New Roman"/>
          <w:sz w:val="24"/>
          <w:szCs w:val="24"/>
        </w:rPr>
        <w:lastRenderedPageBreak/>
        <w:t>jednocześnie, czy strona przyczyniła się do powstania wady dającej podstawę do wznowienia postępowania.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10 pkt 2</w:t>
      </w:r>
      <w:r w:rsidRPr="009A3C86">
        <w:rPr>
          <w:rFonts w:ascii="Times New Roman" w:hAnsi="Times New Roman"/>
          <w:sz w:val="24"/>
          <w:szCs w:val="24"/>
        </w:rPr>
        <w:t xml:space="preserve"> proponuje się nowy wyjątek od obowiązku uzasadniania decyzji. Obowiązek taki nie powstaje, jeżeli decyzja ma zostać wydana wyłącznie na podstawie danych zawartych w: złożonym zeznaniu w podatku od spadków i darowizn, informacji w podatku od nieruchomości, informacji dotyczącej podatku rolnego i podatku leśnego, deklaracji do wymiaru zaliczek na podatek dochodowy od dochodów z działów specjalnych produkcji rolnej. W tym przypadku odrębne przepisy wyłączają obowiązek wydawania postanowienia o wszczęciu postępowania oraz zapoznawania z zebranym materiałem dowodowym przed wydaniem decyzji.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6. Materia normowana w przepisie </w:t>
      </w:r>
      <w:r w:rsidRPr="009A3C86">
        <w:rPr>
          <w:rFonts w:ascii="Times New Roman" w:hAnsi="Times New Roman"/>
          <w:b/>
          <w:sz w:val="24"/>
          <w:szCs w:val="24"/>
        </w:rPr>
        <w:t xml:space="preserve">art. </w:t>
      </w:r>
      <w:r w:rsidR="00C444F3" w:rsidRPr="009A3C86">
        <w:rPr>
          <w:rFonts w:ascii="Times New Roman" w:hAnsi="Times New Roman"/>
          <w:b/>
          <w:sz w:val="24"/>
          <w:szCs w:val="24"/>
        </w:rPr>
        <w:t>449</w:t>
      </w:r>
      <w:r w:rsidRPr="009A3C86">
        <w:rPr>
          <w:rFonts w:ascii="Times New Roman" w:hAnsi="Times New Roman"/>
          <w:sz w:val="24"/>
          <w:szCs w:val="24"/>
        </w:rPr>
        <w:t xml:space="preserve"> odpowiada zakresowi regulacyjnemu obecnego art. 211 o.p. Zmiana polega na wskazaniu, że w formie pisemnej mieszczą się też środki komunikacji elektronicznej. W </w:t>
      </w:r>
      <w:r w:rsidRPr="009A3C86">
        <w:rPr>
          <w:rFonts w:ascii="Times New Roman" w:hAnsi="Times New Roman"/>
          <w:b/>
          <w:sz w:val="24"/>
          <w:szCs w:val="24"/>
        </w:rPr>
        <w:t>§ 2</w:t>
      </w:r>
      <w:r w:rsidRPr="009A3C86">
        <w:rPr>
          <w:rFonts w:ascii="Times New Roman" w:hAnsi="Times New Roman"/>
          <w:sz w:val="24"/>
          <w:szCs w:val="24"/>
        </w:rPr>
        <w:t xml:space="preserve"> zastrzega się też, że odrębne przepisy mogą wskazywać przypadki, gdy decyzja jest wydawana, lecz nie podlega doręczeniu. W </w:t>
      </w:r>
      <w:r w:rsidRPr="009A3C86">
        <w:rPr>
          <w:rFonts w:ascii="Times New Roman" w:hAnsi="Times New Roman"/>
          <w:b/>
          <w:sz w:val="24"/>
          <w:szCs w:val="24"/>
        </w:rPr>
        <w:t>§ 3</w:t>
      </w:r>
      <w:r w:rsidRPr="009A3C86">
        <w:rPr>
          <w:rFonts w:ascii="Times New Roman" w:hAnsi="Times New Roman"/>
          <w:sz w:val="24"/>
          <w:szCs w:val="24"/>
        </w:rPr>
        <w:t xml:space="preserve"> przewidziano zmianę dostosowawczą związaną z przyznaniem samorządowemu organowi podatkowemu kompetencji do wniesienia skargi na decyzję SKO (art. 50 § 3 p.p.s.a.), umożliwiającą ustalenie upływu terminu do wniesienia skargi przez ten organ.</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7.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450</w:t>
      </w:r>
      <w:r w:rsidRPr="009A3C86">
        <w:rPr>
          <w:rFonts w:ascii="Times New Roman" w:hAnsi="Times New Roman"/>
          <w:b/>
          <w:sz w:val="24"/>
          <w:szCs w:val="24"/>
        </w:rPr>
        <w:t xml:space="preserve"> </w:t>
      </w:r>
      <w:r w:rsidRPr="009A3C86">
        <w:rPr>
          <w:rFonts w:ascii="Times New Roman" w:hAnsi="Times New Roman"/>
          <w:sz w:val="24"/>
          <w:szCs w:val="24"/>
        </w:rPr>
        <w:t>jest odpowiednikiem obecnego art. 212 o.p. W mocy pozostaje zasada, że organ podatkowy, który wydał decyzję, jest nią związany od chwili jej doręczenia. Zamiast wykazywania wyjątków od zasady doręczenia decyzji wskazano ogólnie na istnienie odrębnych przepisów w tym zakresie.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8.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451</w:t>
      </w:r>
      <w:r w:rsidRPr="009A3C86">
        <w:rPr>
          <w:rFonts w:ascii="Times New Roman" w:hAnsi="Times New Roman"/>
          <w:sz w:val="24"/>
          <w:szCs w:val="24"/>
        </w:rPr>
        <w:t xml:space="preserve"> jest odpowiednikiem obecnego art. 213 o.p. Pakiet proponowanych zmian wymaga gruntownej przebudowy systematyki przepisu w porównaniu do obecnego art. 213 o.p.</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związku z nowymi wymogami decyzji, jakie wprowadza art. </w:t>
      </w:r>
      <w:r w:rsidR="00C444F3" w:rsidRPr="009A3C86">
        <w:rPr>
          <w:rFonts w:ascii="Times New Roman" w:hAnsi="Times New Roman"/>
          <w:sz w:val="24"/>
          <w:szCs w:val="24"/>
        </w:rPr>
        <w:t>448</w:t>
      </w:r>
      <w:r w:rsidRPr="009A3C86">
        <w:rPr>
          <w:rFonts w:ascii="Times New Roman" w:hAnsi="Times New Roman"/>
          <w:sz w:val="24"/>
          <w:szCs w:val="24"/>
        </w:rPr>
        <w:t xml:space="preserve"> § 6, przyznaje się stronie uprawnienie do wnioskowania o uzupełnienie lub sprostowanie decyzji w tym zakresie.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Nowym rozwiązaniem jest uprawnienie organu podatkowego pierwszej instancji do wniesienia do organu odwoławczego, w terminie 14 dni od otrzymania decyzji, o uzupełnienie lub sprostowanie decyzji kasacyjnej organu odwoławczego w zakresie elementów takiej decyzji, wymaganych przepisem art. </w:t>
      </w:r>
      <w:r w:rsidR="00C444F3" w:rsidRPr="009A3C86">
        <w:rPr>
          <w:rFonts w:ascii="Times New Roman" w:hAnsi="Times New Roman"/>
          <w:sz w:val="24"/>
          <w:szCs w:val="24"/>
        </w:rPr>
        <w:t>448</w:t>
      </w:r>
      <w:r w:rsidRPr="009A3C86">
        <w:rPr>
          <w:rFonts w:ascii="Times New Roman" w:hAnsi="Times New Roman"/>
          <w:sz w:val="24"/>
          <w:szCs w:val="24"/>
        </w:rPr>
        <w:t xml:space="preserve"> § 6. Celem tej zmiany jest przyspieszenie ponownego postępowania podatkowego w pierwszej instancji i wydanie nowej oraz prawidłowej decyzji. Wyeliminuje to przypadki, gdy w wyniku np. niekompletności zaleceń decyzji kasacyjnej lub niezrozumienia przez organ pierwszej instancji, jakimi wadami była dotknięta decyzja dotychczasowa oraz jakie okoliczności należy wziąć pod uwagę przy ponownym rozpatrzeniu sprawy, dochodzi do wydania kolejnej decyzji, która może być kolejny raz uchylona przez </w:t>
      </w:r>
      <w:r w:rsidRPr="009A3C86">
        <w:rPr>
          <w:rFonts w:ascii="Times New Roman" w:hAnsi="Times New Roman"/>
          <w:sz w:val="24"/>
          <w:szCs w:val="24"/>
        </w:rPr>
        <w:lastRenderedPageBreak/>
        <w:t xml:space="preserve">organ odwoławczy. Organ podatkowy pierwszej instancji powinien otrzymać klarowne wskazówki w treści decyzji organu odwoławczego i nie może ich domniemywać. Samo istnienie proponowanego uprawnienia organu pierwszej instancji będzie dodatkowym bodźcem dla organu odwoławczego, aby respektować wymogi wskazane przepisem art. </w:t>
      </w:r>
      <w:r w:rsidR="00C444F3" w:rsidRPr="009A3C86">
        <w:rPr>
          <w:rFonts w:ascii="Times New Roman" w:hAnsi="Times New Roman"/>
          <w:sz w:val="24"/>
          <w:szCs w:val="24"/>
        </w:rPr>
        <w:t>448</w:t>
      </w:r>
      <w:r w:rsidRPr="009A3C86">
        <w:rPr>
          <w:rFonts w:ascii="Times New Roman" w:hAnsi="Times New Roman"/>
          <w:sz w:val="24"/>
          <w:szCs w:val="24"/>
        </w:rPr>
        <w:t xml:space="preserve"> § 6, bo wszelkie niedostatki decyzji kasacyjnej organu odwoławczego lub powierzchowność zaleceń tej decyzji zostaną uzewnętrznione i będą wymagały dodatkowego usunięcia. Uprawnienia procesowe są takie same, jak gdyby wniosek o uzupełnienie lub sprostowanie złożyła strona. Mimo uprawnienia do złożenia wniosku organ pierwszej instancji nie staje się stroną postępowania w zakresie sprostowania lub uzupełnienia. Brak przymiotu strony dla organu pierwszej instancji prowadzi do tego, że organowi nie przysługują też uprawnienia do składania środków zaskarżenia na rozstrzygnięcie organu odwoławczego, mimo że takie uprawnienia ma strona, która wniosku nie składała.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Realizując zasady ogólne jawności postępowania oraz zaufania wobec strony, nałożono na organ występujący z wnioskiem o uzupełnienie lub sprostowanie obowiązek doręczenia tego wniosku także stronie postępowania.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9.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452</w:t>
      </w:r>
      <w:r w:rsidRPr="009A3C86">
        <w:rPr>
          <w:rFonts w:ascii="Times New Roman" w:hAnsi="Times New Roman"/>
          <w:sz w:val="24"/>
          <w:szCs w:val="24"/>
        </w:rPr>
        <w:t xml:space="preserve"> jest odpowiednikiem obecnego art. 214 o.p. Należy zachować w mocy regułę, że nie może szkodzić stronie błędne pouczenie w decyzji co do prawa odwołania lub skargi do sądu administracyjnego albo brak takiego pouczenia.</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10. Przepis </w:t>
      </w:r>
      <w:r w:rsidRPr="009A3C86">
        <w:rPr>
          <w:rFonts w:ascii="Times New Roman" w:hAnsi="Times New Roman"/>
          <w:b/>
          <w:sz w:val="24"/>
          <w:szCs w:val="24"/>
        </w:rPr>
        <w:t xml:space="preserve">art. </w:t>
      </w:r>
      <w:r w:rsidR="00C444F3" w:rsidRPr="009A3C86">
        <w:rPr>
          <w:rFonts w:ascii="Times New Roman" w:hAnsi="Times New Roman"/>
          <w:b/>
          <w:sz w:val="24"/>
          <w:szCs w:val="24"/>
        </w:rPr>
        <w:t>453</w:t>
      </w:r>
      <w:r w:rsidRPr="009A3C86">
        <w:rPr>
          <w:rFonts w:ascii="Times New Roman" w:hAnsi="Times New Roman"/>
          <w:sz w:val="24"/>
          <w:szCs w:val="24"/>
        </w:rPr>
        <w:t xml:space="preserve"> zachowuje obecnie obowiązujące unormowania (art. 215 o.p) w zakresie prostowania błędów rachunkowych oraz innych oczywistych omyłek znajdujących się w treści decyzji, a także wyjaśniania wątpliwości co do treści decyzji.</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59" w:name="_Toc494363281"/>
      <w:r w:rsidRPr="009A3C86">
        <w:rPr>
          <w:rFonts w:ascii="Times New Roman" w:hAnsi="Times New Roman"/>
          <w:b/>
          <w:bCs/>
          <w:sz w:val="24"/>
          <w:szCs w:val="24"/>
        </w:rPr>
        <w:t>Rozdział 15. Postanowienia</w:t>
      </w:r>
      <w:bookmarkEnd w:id="59"/>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1. Przepisy dotyczące postanowień nie budzą istotnych wątpliwości w praktyce. Poza niewielkimi zmianami redakcyjnymi obowiązujące przepisy należy zachować w mocy.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C749C9" w:rsidRPr="009A3C86">
        <w:rPr>
          <w:rFonts w:ascii="Times New Roman" w:hAnsi="Times New Roman"/>
          <w:b/>
          <w:sz w:val="24"/>
          <w:szCs w:val="24"/>
        </w:rPr>
        <w:t>454</w:t>
      </w:r>
      <w:r w:rsidRPr="009A3C86">
        <w:rPr>
          <w:rFonts w:ascii="Times New Roman" w:hAnsi="Times New Roman"/>
          <w:sz w:val="24"/>
          <w:szCs w:val="24"/>
        </w:rPr>
        <w:t xml:space="preserve"> jest odpowiednikiem obecnego art. 216 o.p. Postanowienia dotyczą poszczególnych kwestii wynikających w toku postępowania podatkowego, lecz nie rozstrzygają o istocie sprawy, chyba że odrębne przepisy stanowią inaczej. W § 2 rozszerzono możliwość istnienia postanowień rozstrzygających sprawę także na mocy odrębnych przepisów, znajdujących się poza o.p.</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C749C9" w:rsidRPr="009A3C86">
        <w:rPr>
          <w:rFonts w:ascii="Times New Roman" w:hAnsi="Times New Roman"/>
          <w:b/>
          <w:sz w:val="24"/>
          <w:szCs w:val="24"/>
        </w:rPr>
        <w:t>455</w:t>
      </w:r>
      <w:r w:rsidRPr="009A3C86">
        <w:rPr>
          <w:rFonts w:ascii="Times New Roman" w:hAnsi="Times New Roman"/>
          <w:sz w:val="24"/>
          <w:szCs w:val="24"/>
        </w:rPr>
        <w:t xml:space="preserve"> zachowuje w mocy obecne regulacje (art. 217 o.p.) w zakresie wymogów formalnych postanowień. Analogicznie jak w przypadku decyzji rozszerzono obowiązek pouczenia na informację o wysokości wpisu od skargi do sądu administracyjnego, jeżeli ma charakter stały albo o podstawie do wyliczenia wpisu o charakterze stosunkowym, a także o </w:t>
      </w:r>
      <w:r w:rsidRPr="009A3C86">
        <w:rPr>
          <w:rFonts w:ascii="Times New Roman" w:hAnsi="Times New Roman"/>
          <w:sz w:val="24"/>
          <w:szCs w:val="24"/>
        </w:rPr>
        <w:lastRenderedPageBreak/>
        <w:t xml:space="preserve">możliwości ubiegania się przez stronę o przyznanie prawa pomocy </w:t>
      </w:r>
      <w:r w:rsidR="00876047" w:rsidRPr="009A3C86">
        <w:rPr>
          <w:rFonts w:ascii="Times New Roman" w:hAnsi="Times New Roman"/>
          <w:sz w:val="24"/>
          <w:szCs w:val="24"/>
        </w:rPr>
        <w:t xml:space="preserve">oraz przesłankach jej udzielania </w:t>
      </w:r>
      <w:r w:rsidRPr="009A3C86">
        <w:rPr>
          <w:rFonts w:ascii="Times New Roman" w:hAnsi="Times New Roman"/>
          <w:sz w:val="24"/>
          <w:szCs w:val="24"/>
        </w:rPr>
        <w:t xml:space="preserve">w postępowaniu przed sądem administracyjnym.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Dodano pouczenie o terminie wykonania obowiązku wynikającego z postanowienia </w:t>
      </w:r>
      <w:r w:rsidRPr="009A3C86">
        <w:rPr>
          <w:rFonts w:ascii="Times New Roman" w:hAnsi="Times New Roman"/>
          <w:b/>
          <w:sz w:val="24"/>
          <w:szCs w:val="24"/>
        </w:rPr>
        <w:t>(§ 1 pkt 7</w:t>
      </w:r>
      <w:r w:rsidRPr="009A3C86">
        <w:rPr>
          <w:rFonts w:ascii="Times New Roman" w:hAnsi="Times New Roman"/>
          <w:sz w:val="24"/>
          <w:szCs w:val="24"/>
        </w:rPr>
        <w:t>) np. w zakresie kar porządkowych i kosztów postępowania.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1 pkt 8</w:t>
      </w:r>
      <w:r w:rsidRPr="009A3C86">
        <w:rPr>
          <w:rFonts w:ascii="Times New Roman" w:hAnsi="Times New Roman"/>
          <w:sz w:val="24"/>
          <w:szCs w:val="24"/>
        </w:rPr>
        <w:t xml:space="preserve"> unormowano konieczność uwidocznienia w postanowieniu, że zostało podpisane elektronicznie.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C749C9" w:rsidRPr="009A3C86">
        <w:rPr>
          <w:rFonts w:ascii="Times New Roman" w:hAnsi="Times New Roman"/>
          <w:b/>
          <w:sz w:val="24"/>
          <w:szCs w:val="24"/>
        </w:rPr>
        <w:t>456</w:t>
      </w:r>
      <w:r w:rsidRPr="009A3C86">
        <w:rPr>
          <w:rFonts w:ascii="Times New Roman" w:hAnsi="Times New Roman"/>
          <w:b/>
          <w:sz w:val="24"/>
          <w:szCs w:val="24"/>
        </w:rPr>
        <w:t xml:space="preserve"> </w:t>
      </w:r>
      <w:r w:rsidRPr="009A3C86">
        <w:rPr>
          <w:rFonts w:ascii="Times New Roman" w:hAnsi="Times New Roman"/>
          <w:sz w:val="24"/>
          <w:szCs w:val="24"/>
        </w:rPr>
        <w:t xml:space="preserve">jest odpowiednikiem obecnego art. 218 o.p. W proponowanej zmianie ograniczono się do (zachowania) niezbędnej regulacji dotyczącej specyfiki postanowień. Przepis stanowi, że postanowienie, na które służy zażalenie lub skarga do sądu administracyjnego, doręcza się stronie.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zakresie sposobu doręczania postanowień znajduje odpowiednie zastosowanie przepis dotyczący doręczania decyzji, do którego odsyła </w:t>
      </w:r>
      <w:r w:rsidRPr="009A3C86">
        <w:rPr>
          <w:rFonts w:ascii="Times New Roman" w:hAnsi="Times New Roman"/>
          <w:b/>
          <w:sz w:val="24"/>
          <w:szCs w:val="24"/>
        </w:rPr>
        <w:t xml:space="preserve">art. </w:t>
      </w:r>
      <w:r w:rsidR="00C749C9" w:rsidRPr="009A3C86">
        <w:rPr>
          <w:rFonts w:ascii="Times New Roman" w:hAnsi="Times New Roman"/>
          <w:b/>
          <w:sz w:val="24"/>
          <w:szCs w:val="24"/>
        </w:rPr>
        <w:t>457</w:t>
      </w:r>
      <w:r w:rsidRPr="009A3C86">
        <w:rPr>
          <w:rFonts w:ascii="Times New Roman" w:hAnsi="Times New Roman"/>
          <w:sz w:val="24"/>
          <w:szCs w:val="24"/>
        </w:rPr>
        <w:t xml:space="preserve">. </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 xml:space="preserve">art. </w:t>
      </w:r>
      <w:r w:rsidR="00C749C9" w:rsidRPr="009A3C86">
        <w:rPr>
          <w:rFonts w:ascii="Times New Roman" w:hAnsi="Times New Roman"/>
          <w:b/>
          <w:sz w:val="24"/>
          <w:szCs w:val="24"/>
        </w:rPr>
        <w:t>457</w:t>
      </w:r>
      <w:r w:rsidRPr="009A3C86">
        <w:rPr>
          <w:rFonts w:ascii="Times New Roman" w:hAnsi="Times New Roman"/>
          <w:sz w:val="24"/>
          <w:szCs w:val="24"/>
        </w:rPr>
        <w:t xml:space="preserve"> jest odpowiednikiem obecnego art. 219 o.p. Zakres posiłkowego stosowania do postanowień, przepisów dotyczących decyzji pozostaje bez zmian, z wyjątkiem dodanego odesłania do rozdziału 22 działu III (Wygaśnięcie decyzji) oraz zdefiniowania przez odesłanie do art. </w:t>
      </w:r>
      <w:r w:rsidR="00C749C9" w:rsidRPr="009A3C86">
        <w:rPr>
          <w:rFonts w:ascii="Times New Roman" w:hAnsi="Times New Roman"/>
          <w:sz w:val="24"/>
          <w:szCs w:val="24"/>
        </w:rPr>
        <w:t>44</w:t>
      </w:r>
      <w:r w:rsidR="00347139" w:rsidRPr="009A3C86">
        <w:rPr>
          <w:rFonts w:ascii="Times New Roman" w:hAnsi="Times New Roman"/>
          <w:sz w:val="24"/>
          <w:szCs w:val="24"/>
        </w:rPr>
        <w:t>8</w:t>
      </w:r>
      <w:r w:rsidRPr="009A3C86">
        <w:rPr>
          <w:rFonts w:ascii="Times New Roman" w:hAnsi="Times New Roman"/>
          <w:sz w:val="24"/>
          <w:szCs w:val="24"/>
        </w:rPr>
        <w:t xml:space="preserve"> § 9 treści uzasadnienia faktycznego i prawnego. </w:t>
      </w:r>
    </w:p>
    <w:p w:rsidR="00133267" w:rsidRPr="009A3C86" w:rsidRDefault="00133267" w:rsidP="00133267">
      <w:pPr>
        <w:tabs>
          <w:tab w:val="num" w:pos="720"/>
        </w:tabs>
        <w:spacing w:after="0" w:line="360" w:lineRule="auto"/>
        <w:jc w:val="both"/>
        <w:outlineLvl w:val="2"/>
        <w:rPr>
          <w:rFonts w:ascii="Times New Roman" w:hAnsi="Times New Roman"/>
          <w:b/>
          <w:bCs/>
          <w:sz w:val="24"/>
          <w:szCs w:val="24"/>
        </w:rPr>
      </w:pPr>
      <w:bookmarkStart w:id="60" w:name="_Toc494363282"/>
      <w:r w:rsidRPr="009A3C86">
        <w:rPr>
          <w:rFonts w:ascii="Times New Roman" w:hAnsi="Times New Roman"/>
          <w:b/>
          <w:bCs/>
          <w:sz w:val="24"/>
          <w:szCs w:val="24"/>
        </w:rPr>
        <w:t>Rozdział 16. Odwołania</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1. Przepisy projektu ordynacji podatkowej w zakresie odwołań w znacznej mierze utrzymały aktualne rozwiązania jako sprawdzone i niebudzące wątpliwości, ale także zmodyfikowano przepisy, których stosowanie implikowało pewne trudności lub wymagane było dostosowanie ich do innych zmienionych lub wprowadzonych instytucji projektu ordynacji podatkowej, jak np. nowo wprowadzonego przedawnienia wymiaru. Wprowadzono także możliwość złożenia bezpośrednio skargi do sądu administracyjnego na decyzję wydaną przez organ I instancji, przy czym zakres zaskarżenia ograniczono do zarzutów materialnoprawnych.</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C749C9" w:rsidRPr="009A3C86">
        <w:rPr>
          <w:rFonts w:ascii="Times New Roman" w:hAnsi="Times New Roman"/>
          <w:b/>
          <w:bCs/>
          <w:sz w:val="24"/>
          <w:szCs w:val="24"/>
        </w:rPr>
        <w:t>458</w:t>
      </w:r>
      <w:r w:rsidRPr="009A3C86">
        <w:rPr>
          <w:rFonts w:ascii="Times New Roman" w:hAnsi="Times New Roman"/>
          <w:sz w:val="24"/>
          <w:szCs w:val="24"/>
        </w:rPr>
        <w:t xml:space="preserve"> utrzymuje zasadę dwuinstancyjności postępowania i dewolutywności odwołania oraz wskazuje na możliwość złożenia skargi do sądu administracyjnego bezpośrednio na decyzję organu pierwszej instancji. Z kolei w przepisie </w:t>
      </w:r>
      <w:r w:rsidRPr="009A3C86">
        <w:rPr>
          <w:rFonts w:ascii="Times New Roman" w:hAnsi="Times New Roman"/>
          <w:b/>
          <w:sz w:val="24"/>
          <w:szCs w:val="24"/>
        </w:rPr>
        <w:t xml:space="preserve">art. </w:t>
      </w:r>
      <w:r w:rsidR="00C749C9" w:rsidRPr="009A3C86">
        <w:rPr>
          <w:rFonts w:ascii="Times New Roman" w:hAnsi="Times New Roman"/>
          <w:b/>
          <w:bCs/>
          <w:sz w:val="24"/>
          <w:szCs w:val="24"/>
        </w:rPr>
        <w:t>459</w:t>
      </w:r>
      <w:r w:rsidRPr="009A3C86">
        <w:rPr>
          <w:rFonts w:ascii="Times New Roman" w:hAnsi="Times New Roman"/>
          <w:sz w:val="24"/>
          <w:szCs w:val="24"/>
        </w:rPr>
        <w:t xml:space="preserve"> pozostawiono brak dewolutywności odwołania w przypadku, gdy decyzja została wydana w pierwszej instancji przez ministra właściwego do spraw finansów publicznych, Szefa Krajowej Administracji Skarbowej, dyrektora izby administracji skarbowej lub przez samorządowe kolegium odwoławcze oraz dyrektora Krajowej Informacji Skarbowej. Na podstawie </w:t>
      </w:r>
      <w:r w:rsidRPr="009A3C86">
        <w:rPr>
          <w:rFonts w:ascii="Times New Roman" w:hAnsi="Times New Roman"/>
          <w:b/>
          <w:sz w:val="24"/>
          <w:szCs w:val="24"/>
        </w:rPr>
        <w:t xml:space="preserve">art. </w:t>
      </w:r>
      <w:r w:rsidR="00C749C9" w:rsidRPr="009A3C86">
        <w:rPr>
          <w:rFonts w:ascii="Times New Roman" w:hAnsi="Times New Roman"/>
          <w:b/>
          <w:bCs/>
          <w:sz w:val="24"/>
          <w:szCs w:val="24"/>
        </w:rPr>
        <w:t>460</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zasada dewolutywności nie obowiązuje także w przypadku wydania decyzji w pierwszej instancji przez naczelnika urzędu celno-skarbowego, o której mowa w art. 83 ust. 4 i 5 ustawy </w:t>
      </w:r>
      <w:r w:rsidRPr="009A3C86">
        <w:rPr>
          <w:rFonts w:ascii="Times New Roman" w:hAnsi="Times New Roman"/>
          <w:sz w:val="24"/>
          <w:szCs w:val="24"/>
        </w:rPr>
        <w:lastRenderedPageBreak/>
        <w:t>o KAS.  Zgodnie z ustawą o KAS decyzje te są wydawane w sytuacji, gdy naczelnik urzędu celno-skarbowego sporządził wynik kontroli celno-skarbowej oraz w przypadku, gdy kontrolowana spółka cywilna, jawna, partnerska, komandytowa albo komandytowo-akcyjna została rozwiązana w trakcie kontroli celno-skarbowej, a także w przypadku postępowania podatkowego kończącego się decyzją, wydawaną wspólnikom spółki cywilnej, jawnej, partnerskiej oraz komplementariuszom spółki komandytowej albo komandytowo-akcyjnej, a dotyczącą odpowiedzialności za zobowiązania spółki.</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3. Z kolei zgodnie z przepisem </w:t>
      </w:r>
      <w:r w:rsidRPr="009A3C86">
        <w:rPr>
          <w:rFonts w:ascii="Times New Roman" w:hAnsi="Times New Roman"/>
          <w:b/>
          <w:sz w:val="24"/>
          <w:szCs w:val="24"/>
        </w:rPr>
        <w:t xml:space="preserve">art. </w:t>
      </w:r>
      <w:r w:rsidR="00C749C9" w:rsidRPr="009A3C86">
        <w:rPr>
          <w:rFonts w:ascii="Times New Roman" w:hAnsi="Times New Roman"/>
          <w:b/>
          <w:bCs/>
          <w:sz w:val="24"/>
          <w:szCs w:val="24"/>
        </w:rPr>
        <w:t>460</w:t>
      </w:r>
      <w:r w:rsidRPr="009A3C86">
        <w:rPr>
          <w:rFonts w:ascii="Times New Roman" w:hAnsi="Times New Roman"/>
          <w:b/>
          <w:sz w:val="24"/>
          <w:szCs w:val="24"/>
        </w:rPr>
        <w:t xml:space="preserve"> § 2</w:t>
      </w:r>
      <w:r w:rsidRPr="009A3C86">
        <w:rPr>
          <w:rFonts w:ascii="Times New Roman" w:hAnsi="Times New Roman"/>
          <w:sz w:val="24"/>
          <w:szCs w:val="24"/>
        </w:rPr>
        <w:t xml:space="preserve"> w przypadku wydania w pierwszej instancji przez naczelnika urzędu celno-skarbowego decyzji innej niż wskazana w art. 83 ust. 4 i 5 ustawy o KAS zasada dewolutywności została utrzymana. Odwołanie od takiej decyzji służy do dyrektora izby administracji skarbowej właściwego dla zobowiązanego w dniu zakończenia postępowania podatkowego. W przypadku, gdy nie jest możliwe ustalenie właściwego dyrektora izby administracji skarbowej, odwołanie służy do dyrektora izby administracji skarbowej właściwego ze względu na siedzibę naczelnika urzędu celno-skarbowego, który wydał decyzję.</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Przepisy </w:t>
      </w:r>
      <w:r w:rsidRPr="009A3C86">
        <w:rPr>
          <w:rFonts w:ascii="Times New Roman" w:hAnsi="Times New Roman"/>
          <w:b/>
          <w:sz w:val="24"/>
          <w:szCs w:val="24"/>
        </w:rPr>
        <w:t xml:space="preserve">art. </w:t>
      </w:r>
      <w:r w:rsidR="00C749C9" w:rsidRPr="009A3C86">
        <w:rPr>
          <w:rFonts w:ascii="Times New Roman" w:hAnsi="Times New Roman"/>
          <w:b/>
          <w:bCs/>
          <w:sz w:val="24"/>
          <w:szCs w:val="24"/>
        </w:rPr>
        <w:t>461</w:t>
      </w:r>
      <w:r w:rsidRPr="009A3C86">
        <w:rPr>
          <w:rFonts w:ascii="Times New Roman" w:hAnsi="Times New Roman"/>
          <w:b/>
          <w:sz w:val="24"/>
          <w:szCs w:val="24"/>
        </w:rPr>
        <w:t xml:space="preserve"> i </w:t>
      </w:r>
      <w:r w:rsidR="00C749C9" w:rsidRPr="009A3C86">
        <w:rPr>
          <w:rFonts w:ascii="Times New Roman" w:hAnsi="Times New Roman"/>
          <w:b/>
          <w:bCs/>
          <w:sz w:val="24"/>
          <w:szCs w:val="24"/>
        </w:rPr>
        <w:t>462</w:t>
      </w:r>
      <w:r w:rsidRPr="009A3C86">
        <w:rPr>
          <w:rFonts w:ascii="Times New Roman" w:hAnsi="Times New Roman"/>
          <w:sz w:val="24"/>
          <w:szCs w:val="24"/>
        </w:rPr>
        <w:t xml:space="preserve"> projektu ordynacji podatkowej są odpowiednikiem obowiązujących przepisów art. 222 i 223 o.p. i wskazują na elementy, jakie powinno zawierać odwołanie oraz utrzymują obowiązek składania odwołania za pośrednictwem organu, który wydał decyzję.</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Istotną nowość wprowadza przepis </w:t>
      </w:r>
      <w:r w:rsidRPr="009A3C86">
        <w:rPr>
          <w:rFonts w:ascii="Times New Roman" w:hAnsi="Times New Roman"/>
          <w:b/>
          <w:sz w:val="24"/>
          <w:szCs w:val="24"/>
        </w:rPr>
        <w:t xml:space="preserve">art. </w:t>
      </w:r>
      <w:r w:rsidR="00C749C9" w:rsidRPr="009A3C86">
        <w:rPr>
          <w:rFonts w:ascii="Times New Roman" w:hAnsi="Times New Roman"/>
          <w:b/>
          <w:bCs/>
          <w:sz w:val="24"/>
          <w:szCs w:val="24"/>
        </w:rPr>
        <w:t>462</w:t>
      </w:r>
      <w:r w:rsidRPr="009A3C86">
        <w:rPr>
          <w:rFonts w:ascii="Times New Roman" w:hAnsi="Times New Roman"/>
          <w:b/>
          <w:sz w:val="24"/>
          <w:szCs w:val="24"/>
        </w:rPr>
        <w:t xml:space="preserve"> § 2</w:t>
      </w:r>
      <w:r w:rsidRPr="009A3C86">
        <w:rPr>
          <w:rFonts w:ascii="Times New Roman" w:hAnsi="Times New Roman"/>
          <w:sz w:val="24"/>
          <w:szCs w:val="24"/>
        </w:rPr>
        <w:t xml:space="preserve">, który przewiduje wydłużenie terminu na złożenie odwołania do 30 dni (dotychczas było to 14 dni). Uzasadnieniem dla takiego wydłużenia jest coraz bardziej skomplikowany charakter postępowań dotyczących podatków. Proponowane ponaddwukrotne wydłużenie terminu zaskarżenia umożliwi lepsze przygotowanie strony do sformułowania zarzutów odwołania, dokładniejszą analizę zebranego w postępowaniu materiału dowodowego. Odwołanie nie powinno bowiem być jedynie sporządzoną pospiesznie syntezą zarzutów i wniosków dowodowych, następnie uzupełnianą i rozwijaną przez skarżącego w tzw. pismach procesowych. Nie przewiduje się, by dłuższy termin sam w sobie generował wyższą skalę instancyjnej zaskarżalności, a może wywołać wręcz przeciwny efekt. Mocne przekonanie strony o potrzebie zaskarżenia rozstrzygnięcia pojawia się zazwyczaj bezpośrednio po doręczeniu decyzji i to przekonanie zwykle zostaje zwiększone przez napięcie związane z krótkim terminem zaskarżenia tego aktu. Dłuższy termin tworzy warunki do bardziej pogłębionej refleksji strony nad prawidłowością decyzji i celowością wnoszenia odwołania. Proponowana zmiana nie ogranicza prawa strony do wniesienia środka zaskarżenia w terminie krótszym, niż wskazuje ustawa.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5. Nową instytucją procesową jest wprowadzona w przepisie </w:t>
      </w:r>
      <w:r w:rsidRPr="009A3C86">
        <w:rPr>
          <w:rFonts w:ascii="Times New Roman" w:hAnsi="Times New Roman"/>
          <w:b/>
          <w:sz w:val="24"/>
          <w:szCs w:val="24"/>
        </w:rPr>
        <w:t xml:space="preserve">art. </w:t>
      </w:r>
      <w:r w:rsidR="002F6F01" w:rsidRPr="009A3C86">
        <w:rPr>
          <w:rFonts w:ascii="Times New Roman" w:hAnsi="Times New Roman"/>
          <w:b/>
          <w:bCs/>
          <w:sz w:val="24"/>
          <w:szCs w:val="24"/>
        </w:rPr>
        <w:t>463</w:t>
      </w:r>
      <w:r w:rsidRPr="009A3C86">
        <w:rPr>
          <w:rFonts w:ascii="Times New Roman" w:hAnsi="Times New Roman"/>
          <w:b/>
          <w:sz w:val="24"/>
          <w:szCs w:val="24"/>
        </w:rPr>
        <w:t xml:space="preserve"> § 1</w:t>
      </w:r>
      <w:r w:rsidRPr="009A3C86">
        <w:rPr>
          <w:rFonts w:ascii="Times New Roman" w:hAnsi="Times New Roman"/>
          <w:sz w:val="24"/>
          <w:szCs w:val="24"/>
        </w:rPr>
        <w:t xml:space="preserve"> możliwość złożenia skargi do sądu administracyjnego na decyzję organu pierwszej instancji bez konieczności składania odwołania. Skorzystanie z niej jest warunkowane akceptacją sposobu przeprowadzenia postępowania przez organ podatkowy i faktów, które organ uznał za udowodnione oraz dowodów, którym organ dał wiarę. Warunek ten jest realizowany zmianą przepisów ustawy z dnia 30 sierpnia 2002 r. - Prawo o postępowaniu przed sądami administracyjnymi, poprzez wskazanie jako dopuszczalnych zarzutów dla tego rodzaju skargi wyłącznie zarzutów dopuszczenia się błędu wykładni lub niewłaściwej oceny co do zastosowania przepisu prawa materialnego. Sąd administracyjny nie będzie związany zarzutami skargi oraz powołaną podstawą prawną, bowiem mogłoby to powodować konieczność utrzymywania decyzji naruszających prawo i tym samym naruszać przepisy Konstytucji, jednak zarzuty inne niż proceduralne sąd będzie mógł uwzględniać tylko z urzędu. Skarżący będzie mógł bowiem podnosić wyłącznie nowe zarzuty naruszenia prawa materialnego. Długości postępowania podatkowego nie można rozpatrywać tylko przez pryzmat regulacji ordynacji podatkowej. Analiza wyroków Europejskiego Trybunału Praw Człowieka dotyczących przewlekłości postępowania sądowoadministracyjnego wskazuje, że istotny jest nie tyle czas trwania poszczególnych faz postępowania administracyjnego czy sądowoadministracyjnego, ile „całkowita długość postępowania”, tj. od momentu jego wszczęcia przez organ pierwszej instancji do prawomocnego zakończenia wyrokiem sądu</w:t>
      </w:r>
      <w:r w:rsidRPr="009A3C86">
        <w:rPr>
          <w:rFonts w:ascii="Times New Roman" w:hAnsi="Times New Roman"/>
          <w:sz w:val="24"/>
          <w:szCs w:val="24"/>
          <w:vertAlign w:val="superscript"/>
        </w:rPr>
        <w:footnoteReference w:id="449"/>
      </w:r>
      <w:r w:rsidRPr="009A3C86">
        <w:rPr>
          <w:rFonts w:ascii="Times New Roman" w:hAnsi="Times New Roman"/>
          <w:sz w:val="24"/>
          <w:szCs w:val="24"/>
        </w:rPr>
        <w:t>. Zmiana procedury w tym zakresie bierze pod uwagę potrzebę zwiększenia szybkości załatwiania spraw.</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W tym miejscu należy wskazać, że dwuinstancyjność postępowania podatkowego nie jest chroniona przepisami Konstytucji RP. W obowiązujących przepisach zasada dwuinstancyjności wynika z samej ordynacji podatkowej. Warto przypomnieć, że dwuinstancyjne postępowanie nie jest także powszechnie przyjęte w państwach europejskich, które w różny sposób kształtują możliwość kontroli decyzji administracyjnych: od postępowania jednoinstancyjnego z prawem do kontroli sądowej (Rosja), do postępowania trzyinstancyjnego (Irlandia do 2016 r.)</w:t>
      </w:r>
      <w:r w:rsidRPr="009A3C86">
        <w:rPr>
          <w:rFonts w:ascii="Times New Roman" w:hAnsi="Times New Roman"/>
          <w:sz w:val="24"/>
          <w:szCs w:val="24"/>
          <w:vertAlign w:val="superscript"/>
        </w:rPr>
        <w:footnoteReference w:id="450"/>
      </w:r>
      <w:r w:rsidRPr="009A3C86">
        <w:rPr>
          <w:rFonts w:ascii="Times New Roman" w:hAnsi="Times New Roman"/>
          <w:sz w:val="24"/>
          <w:szCs w:val="24"/>
        </w:rPr>
        <w:t>.</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Złożenie odwołania i rozpatrzenie sprawy w drugiej instancji jest prawem podatnika, z którego może on, ale nie musi korzystać. Jednakże, zgodnie z obowiązującymi przepisami, rezygnacja </w:t>
      </w:r>
      <w:r w:rsidRPr="009A3C86">
        <w:rPr>
          <w:rFonts w:ascii="Times New Roman" w:hAnsi="Times New Roman"/>
          <w:sz w:val="24"/>
          <w:szCs w:val="24"/>
        </w:rPr>
        <w:lastRenderedPageBreak/>
        <w:t>z prawa do złożenia odwołania nie ma żadnej formy prawnej w prawie podatkowym i jest po prostu wynikiem bezskutecznego upływu terminu do złożenia odwołania</w:t>
      </w:r>
      <w:r w:rsidRPr="009A3C86">
        <w:rPr>
          <w:rFonts w:ascii="Times New Roman" w:hAnsi="Times New Roman"/>
          <w:sz w:val="24"/>
          <w:szCs w:val="24"/>
          <w:vertAlign w:val="superscript"/>
        </w:rPr>
        <w:footnoteReference w:id="451"/>
      </w:r>
      <w:r w:rsidRPr="009A3C86">
        <w:rPr>
          <w:rFonts w:ascii="Times New Roman" w:hAnsi="Times New Roman"/>
          <w:sz w:val="24"/>
          <w:szCs w:val="24"/>
        </w:rPr>
        <w:t>. W takim przypadku jednak brak jest możliwości zaskarżenia decyzji do sądu administracyjnego, bowiem warunkiem złożenia skargi jest wyczerpanie środków zaskarżenia, a tym samym uprzednie złożenie odwołania i rozpatrzenie go przez organ odwoławczy. W niektórych przypadkach, ograniczonych do sporu merytorycznego, zasadnym wydaje się wprowadzenie możliwości złożenia skargi do sądu administracyjnego bez konieczności uprzedniego składania odwołania.</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Możliwość złożenia skargi na decyzję organu pierwszej instancji została ograniczona (w ramach zmienianych jednocześnie przepisów ustawy z dnia 30 sierpnia 2002 r. - Prawo o postępowaniu przed sądami administracyjnymi) do przypadków, w których pomiędzy organem i stroną nie ma sporu odnośnie do ustalonego stanu faktycznego czy dowodów wpływających na ustalony stan faktyczny. Spór w takim wypadku ogranicza się do interpretacji przepisów prawa materialnego. W takiej sytuacji istnieje niewielka szansa na uchylenie decyzji przez organ drugiej instancji, w szczególności jeżeli do rozpatrzenia sprawy w drugiej instancji właściwy jest ten sam organ podatkowy. Dodatkowo strona często postrzega szanse uchylenia decyzji przez organ odwoławczy jako praktycznie zerowe w przypadku, gdy decyzja jest zgodna z interpretacjami przepisów podatkowych publikowanymi przez Krajową Informację Skarbową. Jednak podatnik ma prawo nie zgadzać się z takimi interpretacjami i poddać swoją sprawę kontroli sądów administracyjnych. W tym przypadku konieczność składania odwołania wydłużałaby stanowczo rozpoznanie i zakończenie sprawy, mimo przekonania strony o braku szans na zmianę stanowiska przez organ drugiej instancji. Generowałoby to także dodatkowe koszty zarówno po stronie organów, jak i podatników.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W celu przyspieszenia rozpoznania spraw wprowadzona została możliwość złożenia skargi już na decyzję organu pierwszej instancji w zakresie sporu merytorycznego, co w powiązaniu z wprowadzaną instytucją sprawy reprezentatywnej pozwoli znacząco skrócić czas trwania sporów o charakterze merytorycznym i obniżyć ponoszone koszty tak po stronie organów, podatnika, jak i sądów.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Wniesienie skargi do sądu nie będzie wymagało wcześniejszego wezwania do usunięcia naruszenia prawa mimo braku wyczerpania środków zaskarżenia. Organ będzie miał możliwość uwzględnienia takiej skargi w całości, zgodnie z przepisem art. 54 § 3 ustawy z dnia 30 sierpnia 2002 r. - Prawo o postępowaniu przed sądami administracyjnymi. W celu rezygnacji </w:t>
      </w:r>
      <w:r w:rsidRPr="009A3C86">
        <w:rPr>
          <w:rFonts w:ascii="Times New Roman" w:hAnsi="Times New Roman"/>
          <w:sz w:val="24"/>
          <w:szCs w:val="24"/>
        </w:rPr>
        <w:lastRenderedPageBreak/>
        <w:t xml:space="preserve">z odwołania konieczne jest złożenie, w terminie do wniesienia odwołania (termin 30 dni), skargi obejmującej wyłącznie zarzuty naruszenia prawa materialnego, zgodnie ze zmianami proponowanymi w ustawie z dnia 30 sierpnia 2002 r. - Prawo o postępowaniu przed sądami administracyjnymi. Z chwilą złożenia skargi decyzja staje się ostateczna i może być przymusowo egzekwowana. Podatnik, korzystając z tej możliwości, musi liczyć się z konsekwencjami waloru ostateczności decyzji pierwszej instancji. Jednak samodzielnie podejmuje decyzję o pominięciu rozpoznania sprawy w drugiej instancji i ponosi konsekwencje własnych decyzji. Podatnik zawsze może skorzystać z toku instancyjnego rozpoznania sprawy, nawet gdy nie podnosi zarzutów naruszenia przepisów proceduralnych i nie kwestionuje ustalonego stanu faktycznego.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Ze względu na ograniczenie zakresu skargi (w ramach zmienianych przepisów ustawy z dnia 30 sierpnia 2002 r. - Prawo o postępowaniu przed sądami administracyjnymi) w przypadku jej odrzucenia, w związku z podniesieniem zarzutów innych niż naruszenia prawa materialnego, będzie ona traktowana jako odwołanie. Dla bezpieczeństwa obrotu prawnego i samych podatników oceny zarzutów powinny dokonywać sądy administracyjne jako najbardziej właściwe. Możliwość rezygnacji z odwołania na rzecz skargi do sądu administracyjnego jest dostępna dla wszystkich podatników. Nie można jednak pominąć tego, że niektórzy mogą mieć trudności z rozpoznaniem charakteru zarzutu. Skarga będzie podlegała odrzuceniu, jeśli będzie zawierała inne zarzuty niż naruszenia prawa materialnego. Brak jest także pewności, że organy zawsze będą prawidłowo dokonywały oceny charakteru zrzutów stawianych w skardze, co mogłoby skutkować rozpoznawaniem skarg jako odwołań nawet na wszelki wypadek, a tym samym pozbawiało podatników możliwości skorzystania z tej nowej instytucji i powodowało dalsze spory proceduralne. W przypadku, gdy sąd odrzuci skargę ze względu na to, że zawiera ona zarzuty niedopuszczalne, będzie ona rozpoznawana jako odwołanie w toku kontroli</w:t>
      </w:r>
      <w:r w:rsidRPr="009A3C86" w:rsidDel="001D6ABB">
        <w:rPr>
          <w:rFonts w:ascii="Times New Roman" w:hAnsi="Times New Roman"/>
          <w:sz w:val="24"/>
          <w:szCs w:val="24"/>
        </w:rPr>
        <w:t xml:space="preserve"> </w:t>
      </w:r>
      <w:r w:rsidRPr="009A3C86">
        <w:rPr>
          <w:rFonts w:ascii="Times New Roman" w:hAnsi="Times New Roman"/>
          <w:sz w:val="24"/>
          <w:szCs w:val="24"/>
        </w:rPr>
        <w:t>instancyjnej. W tym zakresie przyjmuje się, że odwołanie zostało złożone w terminie, jeśli skarga została wniesiona w terminie, jednak terminy procesowe są liczone od dnia przekazania akt sprawy do organu pierwszej instancji.  Decyzja w takim przypadku straci walor ostateczności, ale nie wpłynie to na ważność i skuteczność czynności egzekucyjnych podjętych do dnia otrzymania przez organ podatkowy pierwszej instancji informacji o prawomocnym odrzuceniu skargi, bowiem z tym dniem postępowanie egzekucyjne zostanie zawieszone, a nie umorzone.</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Należy zauważyć, że nowelizacja przepisów k.p.a.</w:t>
      </w:r>
      <w:r w:rsidRPr="009A3C86">
        <w:rPr>
          <w:rFonts w:ascii="Times New Roman" w:hAnsi="Times New Roman"/>
          <w:sz w:val="24"/>
          <w:szCs w:val="24"/>
          <w:vertAlign w:val="superscript"/>
        </w:rPr>
        <w:footnoteReference w:id="452"/>
      </w:r>
      <w:r w:rsidRPr="009A3C86">
        <w:rPr>
          <w:rFonts w:ascii="Times New Roman" w:hAnsi="Times New Roman"/>
          <w:sz w:val="24"/>
          <w:szCs w:val="24"/>
        </w:rPr>
        <w:t xml:space="preserve"> wprowadza możliwość zrzeczenia się odwołania od decyzji. Również wskutek takiego zrzeczenia się decyzja staje się ostateczna, a strona ma prawo do złożenia na nią skargi do sądu administracyjnego. Skarga taka jest jednak rozpoznawana w pełnym zakresie, bez ograniczonych zarzutów, a w przypadku jej odrzucenia decyzja pozostaje ostateczna. Nie można jednak pomijać różnic pomiędzy decyzjami w sprawach administracyjnych i niektórymi decyzjami w sprawach podatkowych, jak np. decyzji określających zobowiązanie podatkowe w wyższej wysokości niż zadeklarowana przez podatnika. Co do zasady, o wydanie korzystnej decyzji administracyjnej można wnioskować wiele razy; wskutek wydania decyzji negatywnej podatnik na ogół nie traci możliwości uzyskania jakiegoś uprawnienia w przyszłości. Takiej szansy nie dają sprawy z zakresu prawa podatkowego, tu ostateczne rozstrzygnięcia np. co do wysokości zobowiązania podatkowego są co do zasady definitywne.</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przypadku decyzji przyznającej uprawnienia, koncesje, pozwolenia (np. budowlane) są one niewykonalne do czasu, aż nie staną się ostateczne. Strona, zrzekając się odwołania, może po prostu wymusić szybszą ostateczność i wykonalność korzystnej dla siebie decyzji (np. rozpoczęcia budowy).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W przypadku prawa podatkowego celem omawianej instytucji, jak wyżej wskazano, jest szybsze uzyskanie sądowego rozstrzygnięcia sporu dotyczącego przepisów prawa materialnego, przy ustalonym i zaakceptowanym przez strony stanie faktycznym. Przyjęcie rozwiązania zbliżonego do zaproponowanego w ramach nowelizacji k.p.a. powodowałoby wręcz przeciwny efekt – w przypadku sporów podatkowych wydłużałoby to znacząco postępowanie. Prowadziłoby bowiem do licznych uchyleń decyzji ze względu na wady proceduralne, które zazwyczaj są usuwane w postępowaniu instancyjnym przez organy odwoławcze znacznie taniej i szybciej.</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Wyłączono skorzystanie z możliwości złożenia bezpośredniej skargi do sądu administracyjnego w przypadku gdy w sprawie występuje więcej niż jedna strona postępowania. W takiej sytuacji wola jednej ze stron do złożenia skargi nie mogłaby się realizować, jeśli druga strona złożyła by odwołanie, tym samym przepisy te mogłyby powodować zbędne sytuacje konfliktowe. Mając także na uwadze możliwość złożenia skargi bezpośrednio do sądu z pominięciem organu, skorzystanie z takiej możliwości przez jedną ze stron i złożenia jednocześnie odwołania przez inną stronę znacząco wydłużyłoby moment </w:t>
      </w:r>
      <w:r w:rsidRPr="009A3C86">
        <w:rPr>
          <w:rFonts w:ascii="Times New Roman" w:hAnsi="Times New Roman"/>
          <w:sz w:val="24"/>
          <w:szCs w:val="24"/>
        </w:rPr>
        <w:lastRenderedPageBreak/>
        <w:t xml:space="preserve">rozpoznania odwołania i załatwienia prawy tym samym instytucja ta nie przyniosłaby oczekiwanych rezultatów w zakresie przyspieszenia rozstrzygnięcia sporu.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6. Przepis </w:t>
      </w:r>
      <w:r w:rsidRPr="009A3C86">
        <w:rPr>
          <w:rFonts w:ascii="Times New Roman" w:hAnsi="Times New Roman"/>
          <w:b/>
          <w:sz w:val="24"/>
          <w:szCs w:val="24"/>
        </w:rPr>
        <w:t xml:space="preserve">art. </w:t>
      </w:r>
      <w:r w:rsidR="002F6F01" w:rsidRPr="009A3C86">
        <w:rPr>
          <w:rFonts w:ascii="Times New Roman" w:hAnsi="Times New Roman"/>
          <w:b/>
          <w:bCs/>
          <w:sz w:val="24"/>
          <w:szCs w:val="24"/>
        </w:rPr>
        <w:t>464</w:t>
      </w:r>
      <w:r w:rsidRPr="009A3C86">
        <w:rPr>
          <w:rFonts w:ascii="Times New Roman" w:hAnsi="Times New Roman"/>
          <w:sz w:val="24"/>
          <w:szCs w:val="24"/>
        </w:rPr>
        <w:t xml:space="preserve"> utrzymuje możliwość uwzględnienia przez organ w całości odwołania wniesionego przez podatnika (por. art. 226 o.p.).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W przypadku uznania odwołania podatnika w całości będzie wydawana nowa decyzja, którą organ podatkowy uchyli lub zmieni decyzję, od której wniesiono odwołanie. Podatnik,  podtrzymując zarzuty nieuwzględnione przez organ wydający taką decyzję, będzie miał możliwość wniesienia odwołania od decyzji zmieniającej lub uchylającej pierwotną decyzję.</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7. W </w:t>
      </w:r>
      <w:r w:rsidRPr="009A3C86">
        <w:rPr>
          <w:rFonts w:ascii="Times New Roman" w:hAnsi="Times New Roman"/>
          <w:b/>
          <w:sz w:val="24"/>
          <w:szCs w:val="24"/>
        </w:rPr>
        <w:t xml:space="preserve">art. </w:t>
      </w:r>
      <w:r w:rsidR="002F6F01" w:rsidRPr="009A3C86">
        <w:rPr>
          <w:rFonts w:ascii="Times New Roman" w:hAnsi="Times New Roman"/>
          <w:b/>
          <w:bCs/>
          <w:sz w:val="24"/>
          <w:szCs w:val="24"/>
        </w:rPr>
        <w:t>465</w:t>
      </w:r>
      <w:r w:rsidRPr="009A3C86">
        <w:rPr>
          <w:rFonts w:ascii="Times New Roman" w:hAnsi="Times New Roman"/>
          <w:sz w:val="24"/>
          <w:szCs w:val="24"/>
        </w:rPr>
        <w:t xml:space="preserve"> bez zmian zachowano regulację tożsamą z obowiązującym przepisem art. 227 ordynacji podatkowej i wynikający z tego przepisu obowiązek przekazania odwołania bez zbędnej zwłoki, nie później niż z terminie 14 dni oraz ustosunkowania się do przedstawionych zarzutów i poinformowania strony o sposobie ustosunkowania się do nich.</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8. Podobnie przepis </w:t>
      </w:r>
      <w:r w:rsidRPr="009A3C86">
        <w:rPr>
          <w:rFonts w:ascii="Times New Roman" w:hAnsi="Times New Roman"/>
          <w:b/>
          <w:sz w:val="24"/>
          <w:szCs w:val="24"/>
        </w:rPr>
        <w:t xml:space="preserve">art. </w:t>
      </w:r>
      <w:r w:rsidR="002F6F01" w:rsidRPr="009A3C86">
        <w:rPr>
          <w:rFonts w:ascii="Times New Roman" w:hAnsi="Times New Roman"/>
          <w:b/>
          <w:bCs/>
          <w:sz w:val="24"/>
          <w:szCs w:val="24"/>
        </w:rPr>
        <w:t>466</w:t>
      </w:r>
      <w:r w:rsidRPr="009A3C86">
        <w:rPr>
          <w:rFonts w:ascii="Times New Roman" w:hAnsi="Times New Roman"/>
          <w:sz w:val="24"/>
          <w:szCs w:val="24"/>
        </w:rPr>
        <w:t xml:space="preserve"> utrzymuje regułę, zgodnie z którą organ odwoławczy w formie postanowienia stwierdza niedopuszczalność odwołania, uchybienie terminowi do wniesienia odwołania, czy pozostawienie odwołania bez rozpatrzenia.</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Nowością jest przewidziana w przepisie </w:t>
      </w:r>
      <w:r w:rsidRPr="009A3C86">
        <w:rPr>
          <w:rFonts w:ascii="Times New Roman" w:hAnsi="Times New Roman"/>
          <w:b/>
          <w:sz w:val="24"/>
          <w:szCs w:val="24"/>
        </w:rPr>
        <w:t xml:space="preserve">art. </w:t>
      </w:r>
      <w:r w:rsidR="002F6F01" w:rsidRPr="009A3C86">
        <w:rPr>
          <w:rFonts w:ascii="Times New Roman" w:hAnsi="Times New Roman"/>
          <w:b/>
          <w:bCs/>
          <w:sz w:val="24"/>
          <w:szCs w:val="24"/>
        </w:rPr>
        <w:t>466</w:t>
      </w:r>
      <w:r w:rsidRPr="009A3C86">
        <w:rPr>
          <w:rFonts w:ascii="Times New Roman" w:hAnsi="Times New Roman"/>
          <w:b/>
          <w:sz w:val="24"/>
          <w:szCs w:val="24"/>
        </w:rPr>
        <w:t xml:space="preserve"> § 2</w:t>
      </w:r>
      <w:r w:rsidRPr="009A3C86">
        <w:rPr>
          <w:rFonts w:ascii="Times New Roman" w:hAnsi="Times New Roman"/>
          <w:sz w:val="24"/>
          <w:szCs w:val="24"/>
        </w:rPr>
        <w:t xml:space="preserve"> możliwość złożenia zażalenia na postanowienie stwierdzające uchybienie terminowi do wniesienia odwołania. Wprowadzenie tego rozwiązania uzasadniają liczne spory w tym zakresie, wynikające m.in. z ręcznego wypełniania przez listonoszy druków doręczeń i trudności z ustaleniem faktycznej daty doręczenia czy awizowania decyzji. W ramach zażalenia strona będzie mogła dowodzić faktu dochowania terminu.   </w:t>
      </w:r>
      <w:r w:rsidRPr="009A3C86">
        <w:rPr>
          <w:rFonts w:ascii="Times New Roman" w:hAnsi="Times New Roman"/>
          <w:sz w:val="24"/>
          <w:szCs w:val="24"/>
        </w:rPr>
        <w:tab/>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9. Przepisy </w:t>
      </w:r>
      <w:r w:rsidRPr="009A3C86">
        <w:rPr>
          <w:rFonts w:ascii="Times New Roman" w:hAnsi="Times New Roman"/>
          <w:b/>
          <w:sz w:val="24"/>
          <w:szCs w:val="24"/>
        </w:rPr>
        <w:t xml:space="preserve">art. </w:t>
      </w:r>
      <w:r w:rsidR="002F6F01" w:rsidRPr="009A3C86">
        <w:rPr>
          <w:rFonts w:ascii="Times New Roman" w:hAnsi="Times New Roman"/>
          <w:b/>
          <w:bCs/>
          <w:sz w:val="24"/>
          <w:szCs w:val="24"/>
        </w:rPr>
        <w:t>467</w:t>
      </w:r>
      <w:r w:rsidRPr="009A3C86">
        <w:rPr>
          <w:rFonts w:ascii="Times New Roman" w:hAnsi="Times New Roman"/>
          <w:sz w:val="24"/>
          <w:szCs w:val="24"/>
        </w:rPr>
        <w:t xml:space="preserve"> zawierają regulację istotnie rozbudowaną w porównaniu do obowiązującego przepisu art. 229 o.p. dotyczącego postępowania dowodowego prowadzonego przez organ odwoławczy lub konieczności uchylenia decyzji przez ten organ. Zmiany te zmierzają do pełnej realizacji zasady dwuinstancyjności postępowania podatkowego, gdzie w drugiej instancji ta sama sprawa powinna podlegać ponownemu rozpatrzeniu. Zasada ta nie jest w pełni realizowana, gdy organ odwoławczy prowadzi postępowanie dowodowe w istotnym zakresie, skutkujące ustaleniami faktycznymi różniącymi się istotnie od tych, które stanowiły podstawę faktyczną rozstrzygnięcia wydanego w I instancji. W takim przypadku trudno mówić o rozpatrywaniu tej samej sprawy ponownie</w:t>
      </w:r>
      <w:r w:rsidRPr="009A3C86">
        <w:rPr>
          <w:rFonts w:ascii="Times New Roman" w:hAnsi="Times New Roman"/>
          <w:sz w:val="24"/>
          <w:szCs w:val="24"/>
          <w:vertAlign w:val="superscript"/>
        </w:rPr>
        <w:footnoteReference w:id="453"/>
      </w:r>
      <w:r w:rsidRPr="009A3C86">
        <w:rPr>
          <w:rFonts w:ascii="Times New Roman" w:hAnsi="Times New Roman"/>
          <w:sz w:val="24"/>
          <w:szCs w:val="24"/>
        </w:rPr>
        <w:t xml:space="preserve">.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W celu realizacji zasady dwuinstancyjności w przepisie </w:t>
      </w:r>
      <w:r w:rsidRPr="009A3C86">
        <w:rPr>
          <w:rFonts w:ascii="Times New Roman" w:hAnsi="Times New Roman"/>
          <w:b/>
          <w:sz w:val="24"/>
          <w:szCs w:val="24"/>
        </w:rPr>
        <w:t xml:space="preserve">art. </w:t>
      </w:r>
      <w:r w:rsidR="002F6F01" w:rsidRPr="009A3C86">
        <w:rPr>
          <w:rFonts w:ascii="Times New Roman" w:hAnsi="Times New Roman"/>
          <w:b/>
          <w:bCs/>
          <w:sz w:val="24"/>
          <w:szCs w:val="24"/>
        </w:rPr>
        <w:t>467</w:t>
      </w:r>
      <w:r w:rsidRPr="009A3C86">
        <w:rPr>
          <w:rFonts w:ascii="Times New Roman" w:hAnsi="Times New Roman"/>
          <w:b/>
          <w:sz w:val="24"/>
          <w:szCs w:val="24"/>
        </w:rPr>
        <w:t xml:space="preserve"> § 1</w:t>
      </w:r>
      <w:r w:rsidRPr="009A3C86">
        <w:rPr>
          <w:rFonts w:ascii="Times New Roman" w:hAnsi="Times New Roman"/>
          <w:sz w:val="24"/>
          <w:szCs w:val="24"/>
        </w:rPr>
        <w:t xml:space="preserve"> wskazano wprost, że podstawą ustaleń faktycznych w postępowaniu odwoławczym w zakresie mającym istotny wpływ na rozstrzygnięcie sprawy powinien być materiał dowodowy zgromadzony przez organ pierwszej instancji. Zasada ta nie ma jednakże bezwzględnego charakteru i jest modyfikowana w </w:t>
      </w:r>
      <w:r w:rsidRPr="009A3C86">
        <w:rPr>
          <w:rFonts w:ascii="Times New Roman" w:hAnsi="Times New Roman"/>
          <w:b/>
          <w:sz w:val="24"/>
          <w:szCs w:val="24"/>
        </w:rPr>
        <w:t>§ 2</w:t>
      </w:r>
      <w:r w:rsidRPr="009A3C86">
        <w:rPr>
          <w:rFonts w:ascii="Times New Roman" w:hAnsi="Times New Roman"/>
          <w:sz w:val="24"/>
          <w:szCs w:val="24"/>
        </w:rPr>
        <w:t>. Zgodnie z tym przepisem organ odwoławczy może przeprowadzić, na żądanie strony lub z urzędu, dodatkowe postępowanie w celu uzupełnienia dowodów i materiałów – ale tylko tych, które zostały zebrane w sprawie przez organ wydający decyzję. Organ odwoławczy może też zlecić przeprowadzenie tego postępowania temu organowi, np. jeśli jest to uzasadnione ekonomiką postępowania.</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10. Przepis </w:t>
      </w:r>
      <w:r w:rsidRPr="009A3C86">
        <w:rPr>
          <w:rFonts w:ascii="Times New Roman" w:hAnsi="Times New Roman"/>
          <w:b/>
          <w:sz w:val="24"/>
          <w:szCs w:val="24"/>
        </w:rPr>
        <w:t xml:space="preserve">art. </w:t>
      </w:r>
      <w:r w:rsidR="002F6F01" w:rsidRPr="009A3C86">
        <w:rPr>
          <w:rFonts w:ascii="Times New Roman" w:hAnsi="Times New Roman"/>
          <w:b/>
          <w:bCs/>
          <w:sz w:val="24"/>
          <w:szCs w:val="24"/>
        </w:rPr>
        <w:t>468</w:t>
      </w:r>
      <w:r w:rsidRPr="009A3C86">
        <w:rPr>
          <w:rFonts w:ascii="Times New Roman" w:hAnsi="Times New Roman"/>
          <w:sz w:val="24"/>
          <w:szCs w:val="24"/>
        </w:rPr>
        <w:t xml:space="preserve"> jest odpowiednikiem obowiązującego przepisu art. 232 o.p. i zachowuje przewidziane w nim prawo strony do cofnięcia odwołania, do czasu wydania decyzji przez organ odwoławczy. Zachowano także ograniczenie tego prawa w sytuacji, gdyby istniało ryzyko pozostawienia w mocy decyzji wydanej z naruszeniem przepisów, które uzasadniałyby stwierdzenie jej nieważności albo wznowienia postępowania w innych przypadkach niż uzasadniających wznowienie postępowania wyłącznie na wniosek strony. W tym zakresie bowiem należy szanować prawo strony do cofnięcia odwołania, jeśli wzruszenie decyzji mogłoby nastąpić tylko z jej woli.</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11. Bez fundamentalnych zmian pozostawiono przepisy dotyczące wydawania decyzji przez organ odwoławczy. Zmiany w tym zakresie dotyczą m.in. sytuacji wskazanej w przepisie art. </w:t>
      </w:r>
      <w:r w:rsidR="002F6F01" w:rsidRPr="009A3C86">
        <w:rPr>
          <w:rFonts w:ascii="Times New Roman" w:hAnsi="Times New Roman"/>
          <w:b/>
          <w:bCs/>
          <w:sz w:val="24"/>
          <w:szCs w:val="24"/>
        </w:rPr>
        <w:t>469</w:t>
      </w:r>
      <w:r w:rsidRPr="009A3C86">
        <w:rPr>
          <w:rFonts w:ascii="Times New Roman" w:hAnsi="Times New Roman"/>
          <w:b/>
          <w:sz w:val="24"/>
          <w:szCs w:val="24"/>
        </w:rPr>
        <w:t xml:space="preserve"> § 2</w:t>
      </w:r>
      <w:r w:rsidRPr="009A3C86">
        <w:rPr>
          <w:rFonts w:ascii="Times New Roman" w:hAnsi="Times New Roman"/>
          <w:sz w:val="24"/>
          <w:szCs w:val="24"/>
        </w:rPr>
        <w:t xml:space="preserve">, tj. uchylenia decyzji w całości i przekazania sprawy do rozpatrzenia właściwemu organowi pierwszej instancji, jeżeli decyzja ta została wydana z naruszeniem przepisów postępowania, a konieczny do wyjaśnienia zakres sprawy ma istotny wpływ na jej rozstrzygnięcie.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Nowością jest, wprowadzony w przepisie </w:t>
      </w:r>
      <w:r w:rsidRPr="009A3C86">
        <w:rPr>
          <w:rFonts w:ascii="Times New Roman" w:hAnsi="Times New Roman"/>
          <w:b/>
          <w:sz w:val="24"/>
          <w:szCs w:val="24"/>
        </w:rPr>
        <w:t xml:space="preserve">art. </w:t>
      </w:r>
      <w:r w:rsidR="002F6F01" w:rsidRPr="009A3C86">
        <w:rPr>
          <w:rFonts w:ascii="Times New Roman" w:hAnsi="Times New Roman"/>
          <w:b/>
          <w:bCs/>
          <w:sz w:val="24"/>
          <w:szCs w:val="24"/>
        </w:rPr>
        <w:t>469</w:t>
      </w:r>
      <w:r w:rsidRPr="009A3C86">
        <w:rPr>
          <w:rFonts w:ascii="Times New Roman" w:hAnsi="Times New Roman"/>
          <w:b/>
          <w:sz w:val="24"/>
          <w:szCs w:val="24"/>
        </w:rPr>
        <w:t xml:space="preserve"> § 3</w:t>
      </w:r>
      <w:r w:rsidRPr="009A3C86">
        <w:rPr>
          <w:rFonts w:ascii="Times New Roman" w:hAnsi="Times New Roman"/>
          <w:sz w:val="24"/>
          <w:szCs w:val="24"/>
        </w:rPr>
        <w:t xml:space="preserve">, obowiązek nałożony na organ odwoławczy przeprowadzenia postępowania wyjaśniającego w zakresie niezbędnym do rozstrzygnięcia sprawy, jeśli zachodzi przypadek określony w § 2 i upłynął termin przedawnienia wymiaru. W przypadku, gdy przyczyni się to do przyspieszenia postępowania, organ odwoławczy może zlecić przeprowadzenie określonych czynności postępowania wyjaśniającego organowi, który wydał decyzję, pomimo upływu terminu przedawnienia </w:t>
      </w:r>
      <w:r w:rsidRPr="009A3C86">
        <w:rPr>
          <w:rFonts w:ascii="Times New Roman" w:hAnsi="Times New Roman"/>
          <w:sz w:val="24"/>
          <w:szCs w:val="24"/>
        </w:rPr>
        <w:lastRenderedPageBreak/>
        <w:t>wymiaru. Zmiana ta ma na celu umożliwienie rozstrzygnięcia sprawy przez organ odwoławczy, gdy uchylenie decyzji I instancji uniemożliwiałoby wydanie nowej decyzji przez organ pierwszej instancji ze względu na upływ terminu przedawnienia wymiaru.</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12. Przepis </w:t>
      </w:r>
      <w:r w:rsidRPr="009A3C86">
        <w:rPr>
          <w:rFonts w:ascii="Times New Roman" w:hAnsi="Times New Roman"/>
          <w:b/>
          <w:sz w:val="24"/>
          <w:szCs w:val="24"/>
        </w:rPr>
        <w:t xml:space="preserve">art. </w:t>
      </w:r>
      <w:r w:rsidR="002F6F01" w:rsidRPr="009A3C86">
        <w:rPr>
          <w:rFonts w:ascii="Times New Roman" w:hAnsi="Times New Roman"/>
          <w:b/>
          <w:sz w:val="24"/>
          <w:szCs w:val="24"/>
        </w:rPr>
        <w:t>469</w:t>
      </w:r>
      <w:r w:rsidRPr="009A3C86">
        <w:rPr>
          <w:rFonts w:ascii="Times New Roman" w:hAnsi="Times New Roman"/>
          <w:b/>
          <w:sz w:val="24"/>
          <w:szCs w:val="24"/>
        </w:rPr>
        <w:t xml:space="preserve"> § 4</w:t>
      </w:r>
      <w:r w:rsidRPr="009A3C86">
        <w:rPr>
          <w:rFonts w:ascii="Times New Roman" w:hAnsi="Times New Roman"/>
          <w:sz w:val="24"/>
          <w:szCs w:val="24"/>
        </w:rPr>
        <w:t xml:space="preserve"> dotyczący decyzji wydawanych przez samorządowe kolegium odwoławcze uległ jedynie drobnej modyfikacji w stosunku do obowiązującego przepisu art. 233 § 3 ordynacji podatkowej. Pozostawiono bowiem obowiązek uchylenia decyzji pierwszej instancji i rozstrzygnięcia sprawy co do istoty, wyłącznie gdy przepisy nie pozostawiają sposobu jej rozstrzygnięcia uznaniu organu podatkowego pierwszej instancji.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13. W przepisie </w:t>
      </w:r>
      <w:r w:rsidRPr="009A3C86">
        <w:rPr>
          <w:rFonts w:ascii="Times New Roman" w:hAnsi="Times New Roman"/>
          <w:b/>
          <w:sz w:val="24"/>
          <w:szCs w:val="24"/>
        </w:rPr>
        <w:t xml:space="preserve">art. </w:t>
      </w:r>
      <w:r w:rsidR="002F6F01" w:rsidRPr="009A3C86">
        <w:rPr>
          <w:rFonts w:ascii="Times New Roman" w:hAnsi="Times New Roman"/>
          <w:b/>
          <w:bCs/>
          <w:sz w:val="24"/>
          <w:szCs w:val="24"/>
        </w:rPr>
        <w:t>470</w:t>
      </w:r>
      <w:r w:rsidRPr="009A3C86">
        <w:rPr>
          <w:rFonts w:ascii="Times New Roman" w:hAnsi="Times New Roman"/>
          <w:b/>
          <w:sz w:val="24"/>
          <w:szCs w:val="24"/>
        </w:rPr>
        <w:t xml:space="preserve"> § 1</w:t>
      </w:r>
      <w:r w:rsidRPr="009A3C86">
        <w:rPr>
          <w:rFonts w:ascii="Times New Roman" w:hAnsi="Times New Roman"/>
          <w:sz w:val="24"/>
          <w:szCs w:val="24"/>
        </w:rPr>
        <w:t xml:space="preserve"> wprowadzono zakaz </w:t>
      </w:r>
      <w:r w:rsidRPr="009A3C86">
        <w:rPr>
          <w:rFonts w:ascii="Times New Roman" w:hAnsi="Times New Roman"/>
          <w:i/>
          <w:sz w:val="24"/>
          <w:szCs w:val="24"/>
        </w:rPr>
        <w:t>reformationis in peius</w:t>
      </w:r>
      <w:r w:rsidRPr="009A3C86">
        <w:rPr>
          <w:rFonts w:ascii="Times New Roman" w:hAnsi="Times New Roman"/>
          <w:sz w:val="24"/>
          <w:szCs w:val="24"/>
        </w:rPr>
        <w:t xml:space="preserve"> (zakaz pogarszania sytuacji strony odwołującej się) w szerszym zakresie niż dotychczas. Konieczność takiej zmiany wynika z licznych wątpliwości dotyczących skuteczności aktualnej regulacji w tym zakresie, które występują nadal mimo uchylenia w 2013 r. przepisów o wymiarze uzupełniającym (art. 230 o.p.). Przykładowo w literaturze wskazywano, że „Realność zakazu pogarszania sytuacji strony bywa w piśmiennictwie podważana”</w:t>
      </w:r>
      <w:r w:rsidRPr="009A3C86">
        <w:rPr>
          <w:rFonts w:ascii="Times New Roman" w:hAnsi="Times New Roman"/>
          <w:sz w:val="24"/>
          <w:szCs w:val="24"/>
          <w:vertAlign w:val="superscript"/>
        </w:rPr>
        <w:footnoteReference w:id="454"/>
      </w:r>
      <w:r w:rsidRPr="009A3C86">
        <w:rPr>
          <w:rFonts w:ascii="Times New Roman" w:hAnsi="Times New Roman"/>
          <w:sz w:val="24"/>
          <w:szCs w:val="24"/>
        </w:rPr>
        <w:t xml:space="preserve"> oraz że „podkreślić zatem należy przede wszystkim charakter i pozycję tej instytucji w postępowaniu podatkowym”. Szeroko skomentował ją Sąd Najwyższy</w:t>
      </w:r>
      <w:r w:rsidRPr="009A3C86">
        <w:rPr>
          <w:rFonts w:ascii="Times New Roman" w:hAnsi="Times New Roman"/>
          <w:sz w:val="24"/>
          <w:szCs w:val="24"/>
          <w:vertAlign w:val="superscript"/>
        </w:rPr>
        <w:footnoteReference w:id="455"/>
      </w:r>
      <w:r w:rsidRPr="009A3C86">
        <w:rPr>
          <w:rFonts w:ascii="Times New Roman" w:hAnsi="Times New Roman"/>
          <w:sz w:val="24"/>
          <w:szCs w:val="24"/>
        </w:rPr>
        <w:t xml:space="preserve">: „Respektowanie zakazu </w:t>
      </w:r>
      <w:r w:rsidRPr="009A3C86">
        <w:rPr>
          <w:rFonts w:ascii="Times New Roman" w:hAnsi="Times New Roman"/>
          <w:i/>
          <w:sz w:val="24"/>
          <w:szCs w:val="24"/>
        </w:rPr>
        <w:t>reformationis in peius</w:t>
      </w:r>
      <w:r w:rsidRPr="009A3C86">
        <w:rPr>
          <w:rFonts w:ascii="Times New Roman" w:hAnsi="Times New Roman"/>
          <w:sz w:val="24"/>
          <w:szCs w:val="24"/>
        </w:rPr>
        <w:t xml:space="preserve"> w postępowaniu odwoławczym należy uznać za jedną z fundamentalnych zasad prawa procesowego w demokratycznym państwie prawa”. Zakaz pogarszania sytuacji strony składającej odwołanie powinien mieć ten sam zakres zarówno dla organu drugiej instancji, jak i organu, którego decyzja została uchylona, przy ponownym rozpatrzeniu sprawy (tzw. pośredni zakaz reformationis in peius)</w:t>
      </w:r>
      <w:r w:rsidRPr="009A3C86">
        <w:rPr>
          <w:rFonts w:ascii="Times New Roman" w:hAnsi="Times New Roman"/>
          <w:sz w:val="24"/>
          <w:szCs w:val="24"/>
          <w:vertAlign w:val="superscript"/>
        </w:rPr>
        <w:footnoteReference w:id="456"/>
      </w:r>
      <w:r w:rsidRPr="009A3C86">
        <w:rPr>
          <w:rFonts w:ascii="Times New Roman" w:hAnsi="Times New Roman"/>
          <w:sz w:val="24"/>
          <w:szCs w:val="24"/>
        </w:rPr>
        <w:t xml:space="preserve">. Organy te,  rozstrzygając sprawę, nie mogą wydać decyzji na niekorzyść strony, chyba że decyzja wcześniejsza zawierała wady skutkujące stwierdzeniem jej nieważności lub wznowieniem postępowania z urzędu. Brak jest bowiem racji, by uniemożliwić organowi odwoławczemu orzeczenie na niekorzyść strony w przypadkach, w których ostateczna decyzja może być wzruszona, a nowa decyzja może być wydana na niekorzyść strony ze względu na wady kwalifikowane. Skutkowałoby to wyłącznie przedłużeniem postępowania i zwiększeniem jego kosztów zarówno dla strony, jak i dla organów podatkowych. Oczywiście wystąpienie wad kwalifikowanych decyzji wyznacza także granicę wydania decyzji na niekorzyść strony, bowiem np. zwiększenie kwoty zobowiązania </w:t>
      </w:r>
      <w:r w:rsidRPr="009A3C86">
        <w:rPr>
          <w:rFonts w:ascii="Times New Roman" w:hAnsi="Times New Roman"/>
          <w:sz w:val="24"/>
          <w:szCs w:val="24"/>
        </w:rPr>
        <w:lastRenderedPageBreak/>
        <w:t>podatkowego przez organ odwoławczy musi wiązać się z przesłankami stwierdzenia nieważności lub wznowienia postępowania i nie stanowi podstawy do pogarszania sytuacji strony w pozostałym zakresie. Przykładem takich wad będzie m.in. złożenie przez zobowiązanego niepełnego lub fałszywego oświadczenia, na którym oparł się organ wydając decyzję, bowiem w tym przypadku spełnione są przesłanki wznowienia postępowania. Np. fakt istnienia dodatkowych budynków niezgłoszonych przez podatnika powinien być traktowany jako nowe istotne dla sprawy okoliczności faktyczne, istniejące w dacie wydania decyzji, które nie były znane organowi, a które wyszły na jaw po wydaniu decyzji.</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Wyraźne należy wskazać, że nałożenie na organ pierwszej instancji zakazu pogarszania sytuacji podatnika przy ponownym rozpoznaniu sprawy po jej uchyleniu przez organ drugiej  instancji lub sąd administracyjny nie jest nakazem działania na korzyść zobowiązanego. Organ który przykładowo udzielił umorzenia ulgi po ponownym rozpoznaniu sprawy także może jej odmówić, nie ma obowiązku jej udzielenia, nie jest to bowiem działanie na niekorzyść strony, nie pogarsza bowiem jej sytuacji.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Zmieniony zakaz </w:t>
      </w:r>
      <w:r w:rsidRPr="009A3C86">
        <w:rPr>
          <w:rFonts w:ascii="Times New Roman" w:hAnsi="Times New Roman"/>
          <w:i/>
          <w:sz w:val="24"/>
          <w:szCs w:val="24"/>
        </w:rPr>
        <w:t>reformationis in peius</w:t>
      </w:r>
      <w:r w:rsidRPr="009A3C86">
        <w:rPr>
          <w:rFonts w:ascii="Times New Roman" w:hAnsi="Times New Roman"/>
          <w:sz w:val="24"/>
          <w:szCs w:val="24"/>
        </w:rPr>
        <w:t xml:space="preserve"> uwzględnia wprowadzoną instytucję przedawnienia wymiaru, po którym to okresie doręczona decyzja organu pierwszej instancji nie wywoła skutków prawnych. Z kolei w przypadku wydania decyzji przez organ pierwszej instancji przez upływem przedawnienia wymiaru organ odwoławczy nie może wydać decyzji na niekorzyść strony z wyjątkiem przypadków, w których wystąpią wskazane powyżej wady uzasadniające stosowanie trybów nadzwyczajnych.</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14. W przypadku, gdy upłynie termin przedawnienia wymiaru podatku (a tym samym organ pierwszej instancji nie mógłby już skutecznie doręczyć decyzji), to również organ drugiej instancji nie powinien mieć możliwości orzekania na niekorzyść strony w postępowaniu instancyjnym. Nie wynika to jednak z samego zakazu </w:t>
      </w:r>
      <w:r w:rsidRPr="009A3C86">
        <w:rPr>
          <w:rFonts w:ascii="Times New Roman" w:hAnsi="Times New Roman"/>
          <w:i/>
          <w:sz w:val="24"/>
          <w:szCs w:val="24"/>
        </w:rPr>
        <w:t>reformationis in peius</w:t>
      </w:r>
      <w:r w:rsidRPr="009A3C86">
        <w:rPr>
          <w:rFonts w:ascii="Times New Roman" w:hAnsi="Times New Roman"/>
          <w:sz w:val="24"/>
          <w:szCs w:val="24"/>
        </w:rPr>
        <w:t xml:space="preserve">. W tym zakresie, zgodnie z przepisem </w:t>
      </w:r>
      <w:r w:rsidRPr="009A3C86">
        <w:rPr>
          <w:rFonts w:ascii="Times New Roman" w:hAnsi="Times New Roman"/>
          <w:b/>
          <w:sz w:val="24"/>
          <w:szCs w:val="24"/>
        </w:rPr>
        <w:t xml:space="preserve">art. </w:t>
      </w:r>
      <w:r w:rsidR="002F6F01" w:rsidRPr="009A3C86">
        <w:rPr>
          <w:rFonts w:ascii="Times New Roman" w:hAnsi="Times New Roman"/>
          <w:b/>
          <w:bCs/>
          <w:sz w:val="24"/>
          <w:szCs w:val="24"/>
        </w:rPr>
        <w:t>470</w:t>
      </w:r>
      <w:r w:rsidRPr="009A3C86">
        <w:rPr>
          <w:rFonts w:ascii="Times New Roman" w:hAnsi="Times New Roman"/>
          <w:b/>
          <w:bCs/>
          <w:sz w:val="24"/>
          <w:szCs w:val="24"/>
        </w:rPr>
        <w:t xml:space="preserve"> § 3</w:t>
      </w:r>
      <w:r w:rsidRPr="009A3C86">
        <w:rPr>
          <w:rFonts w:ascii="Times New Roman" w:hAnsi="Times New Roman"/>
          <w:bCs/>
          <w:sz w:val="24"/>
          <w:szCs w:val="24"/>
        </w:rPr>
        <w:t>,</w:t>
      </w:r>
      <w:r w:rsidRPr="009A3C86">
        <w:rPr>
          <w:rFonts w:ascii="Times New Roman" w:hAnsi="Times New Roman"/>
          <w:sz w:val="24"/>
          <w:szCs w:val="24"/>
        </w:rPr>
        <w:t xml:space="preserve"> organy podatkowe w przypadkach, w których zgodnie z przepisem art. </w:t>
      </w:r>
      <w:r w:rsidR="00823848" w:rsidRPr="009A3C86">
        <w:rPr>
          <w:rFonts w:ascii="Times New Roman" w:hAnsi="Times New Roman"/>
          <w:b/>
          <w:bCs/>
          <w:sz w:val="24"/>
          <w:szCs w:val="24"/>
        </w:rPr>
        <w:t>470</w:t>
      </w:r>
      <w:r w:rsidRPr="009A3C86">
        <w:rPr>
          <w:rFonts w:ascii="Times New Roman" w:hAnsi="Times New Roman"/>
          <w:b/>
          <w:bCs/>
          <w:sz w:val="24"/>
          <w:szCs w:val="24"/>
        </w:rPr>
        <w:t xml:space="preserve"> § 2</w:t>
      </w:r>
      <w:r w:rsidRPr="009A3C86">
        <w:rPr>
          <w:rFonts w:ascii="Times New Roman" w:hAnsi="Times New Roman"/>
          <w:sz w:val="24"/>
          <w:szCs w:val="24"/>
        </w:rPr>
        <w:t xml:space="preserve"> mogą wydać decyzję na niekorzyść strony i zwiększyć jej zobowiązanie podatkowe, ale robią to po przedawnieniu wymiaru, powinny zastosować zwolnienie z obowiązku zapłaty podatku w zakresie zwiększenia tego zobowiązania względem zaskarżonej decyzji (nadwyżki ponad podatek wynikający z decyzji wydanej w I instancji).</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dotyczy sytuacji, gdy stwierdzono istnienie przesłanek stwierdzenia nieważności lub wznowienia postępowania, lecz przesłanki te powstały lub ujawniły się bez winy i działania strony. Z kolei w przypadku przesłanki wskazanej w art. </w:t>
      </w:r>
      <w:r w:rsidR="00823848" w:rsidRPr="009A3C86">
        <w:rPr>
          <w:rFonts w:ascii="Times New Roman" w:hAnsi="Times New Roman"/>
          <w:sz w:val="24"/>
          <w:szCs w:val="24"/>
        </w:rPr>
        <w:t>488</w:t>
      </w:r>
      <w:r w:rsidRPr="009A3C86">
        <w:rPr>
          <w:rFonts w:ascii="Times New Roman" w:hAnsi="Times New Roman"/>
          <w:sz w:val="24"/>
          <w:szCs w:val="24"/>
        </w:rPr>
        <w:t xml:space="preserve"> § 1 pkt 5 organ nie będzie stosował zwolnienia, gdy niepowołanie przed dniem wydania decyzji nowych okoliczności lub nowych dowodów nastąpiło z winy strony.</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Strona nie może ponosić szkody, jeśli nie można przypisać jej winy w zakresie wystąpienia przesłanek uzasadniających orzekanie na jej niekorzyść po złożeniu odwołania. Nie jest jednak uzasadnione, by nie ponosiła konsekwencji, jeśli niezgodnie z przepisami wpływała na przebieg postępowania. Weryfikacja decyzji obarczonej wadami kwalifikowanymi, powstałymi bez winy lub bez udziału strony postępowania, nie może powodować negatywnych konsekwencji dla strony. Termin przedawnienia wymiaru wyznacza okres, w ramach którego strona może oczekiwać, że zostanie jej wymierzony podatek, zaś po upływie przedawnienia wymiaru może liczyć na to, że podatek nie zostanie jej zwiększony. W przypadku, gdy taka weryfikacja dokonywana jest przed terminem przedawnienia wymiaru, może ona odbywać się także na niekorzyść strony w zakresie wynikającym z przepisu </w:t>
      </w:r>
      <w:r w:rsidRPr="009A3C86">
        <w:rPr>
          <w:rFonts w:ascii="Times New Roman" w:hAnsi="Times New Roman"/>
          <w:b/>
          <w:sz w:val="24"/>
          <w:szCs w:val="24"/>
        </w:rPr>
        <w:t xml:space="preserve">art. </w:t>
      </w:r>
      <w:r w:rsidR="00823848" w:rsidRPr="009A3C86">
        <w:rPr>
          <w:rFonts w:ascii="Times New Roman" w:hAnsi="Times New Roman"/>
          <w:b/>
          <w:bCs/>
          <w:sz w:val="24"/>
          <w:szCs w:val="24"/>
        </w:rPr>
        <w:t>470</w:t>
      </w:r>
      <w:r w:rsidRPr="009A3C86">
        <w:rPr>
          <w:rFonts w:ascii="Times New Roman" w:hAnsi="Times New Roman"/>
          <w:b/>
          <w:bCs/>
          <w:sz w:val="24"/>
          <w:szCs w:val="24"/>
        </w:rPr>
        <w:t xml:space="preserve"> § 2</w:t>
      </w:r>
      <w:r w:rsidRPr="009A3C86">
        <w:rPr>
          <w:rFonts w:ascii="Times New Roman" w:hAnsi="Times New Roman"/>
          <w:sz w:val="24"/>
          <w:szCs w:val="24"/>
        </w:rPr>
        <w:t xml:space="preserve">. Po upływie terminu przedawnienia wymiaru strona ma prawo pozostawać w zaufaniu do tego, że później jej zobowiązanie już nie wzrośnie, jeżeli sama nie przyczyniła się do wadliwości postępowania. To zaufanie należy opierać na funkcji przedawnienia wymiaru, którą jest stabilizacja stosunków prawnopodatkowych.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Orzeczenie co do istoty sprawy musi być pełne, a więc uwzględniać kwotę wymierzaną dodatkowo, jeżeli wynikać to będzie z prawidłowo ustalonego stanu faktycznego i zastosowanych w sprawie przepisów, nawet jeśli nastąpi to po upływie terminu przedawnienia wymiaru. Jednak w tym zakresie nie ma podstaw do żądania wykonania zobowiązania, skoro ma to miejsce po upływie terminu przedawnienia wymiaru. Zatem wykazany w decyzji „domiar” nie będzie podlegać wykonaniu w związku z wprowadzanym w przepisach zwolnieniem. Decyzja orzekająca co do istoty sprawy w tym zakresie będzie więc decyzją niejako techniczną.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przepisem </w:t>
      </w:r>
      <w:r w:rsidRPr="009A3C86">
        <w:rPr>
          <w:rFonts w:ascii="Times New Roman" w:hAnsi="Times New Roman"/>
          <w:b/>
          <w:sz w:val="24"/>
          <w:szCs w:val="24"/>
        </w:rPr>
        <w:t xml:space="preserve">art. </w:t>
      </w:r>
      <w:r w:rsidR="00823848" w:rsidRPr="009A3C86">
        <w:rPr>
          <w:rFonts w:ascii="Times New Roman" w:hAnsi="Times New Roman"/>
          <w:b/>
          <w:bCs/>
          <w:sz w:val="24"/>
          <w:szCs w:val="24"/>
        </w:rPr>
        <w:t>470</w:t>
      </w:r>
      <w:r w:rsidRPr="009A3C86">
        <w:rPr>
          <w:rFonts w:ascii="Times New Roman" w:hAnsi="Times New Roman"/>
          <w:b/>
          <w:bCs/>
          <w:sz w:val="24"/>
          <w:szCs w:val="24"/>
        </w:rPr>
        <w:t xml:space="preserve"> § 4</w:t>
      </w:r>
      <w:r w:rsidRPr="009A3C86">
        <w:rPr>
          <w:rFonts w:ascii="Times New Roman" w:hAnsi="Times New Roman"/>
          <w:sz w:val="24"/>
          <w:szCs w:val="24"/>
        </w:rPr>
        <w:t xml:space="preserve"> reguły wynikające z art. </w:t>
      </w:r>
      <w:r w:rsidR="002A2F96" w:rsidRPr="009A3C86">
        <w:rPr>
          <w:rFonts w:ascii="Times New Roman" w:hAnsi="Times New Roman"/>
          <w:b/>
          <w:sz w:val="24"/>
          <w:szCs w:val="24"/>
        </w:rPr>
        <w:t>470</w:t>
      </w:r>
      <w:r w:rsidRPr="009A3C86">
        <w:rPr>
          <w:rFonts w:ascii="Times New Roman" w:hAnsi="Times New Roman"/>
          <w:b/>
          <w:sz w:val="24"/>
          <w:szCs w:val="24"/>
        </w:rPr>
        <w:t xml:space="preserve"> § 3</w:t>
      </w:r>
      <w:r w:rsidRPr="009A3C86">
        <w:rPr>
          <w:rFonts w:ascii="Times New Roman" w:hAnsi="Times New Roman"/>
          <w:sz w:val="24"/>
          <w:szCs w:val="24"/>
        </w:rPr>
        <w:t xml:space="preserve"> stosuje się odpowiednio do innych decyzji wymiarowych (np. w zakresie zwrotu podatku i jego zmniejszenia).</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przepisem </w:t>
      </w:r>
      <w:r w:rsidRPr="009A3C86">
        <w:rPr>
          <w:rFonts w:ascii="Times New Roman" w:hAnsi="Times New Roman"/>
          <w:b/>
          <w:sz w:val="24"/>
          <w:szCs w:val="24"/>
        </w:rPr>
        <w:t xml:space="preserve">art. </w:t>
      </w:r>
      <w:r w:rsidR="002A2F96" w:rsidRPr="009A3C86">
        <w:rPr>
          <w:rFonts w:ascii="Times New Roman" w:hAnsi="Times New Roman"/>
          <w:b/>
          <w:bCs/>
          <w:sz w:val="24"/>
          <w:szCs w:val="24"/>
        </w:rPr>
        <w:t>470</w:t>
      </w:r>
      <w:r w:rsidRPr="009A3C86">
        <w:rPr>
          <w:rFonts w:ascii="Times New Roman" w:hAnsi="Times New Roman"/>
          <w:b/>
          <w:bCs/>
          <w:sz w:val="24"/>
          <w:szCs w:val="24"/>
        </w:rPr>
        <w:t xml:space="preserve"> § 5</w:t>
      </w:r>
      <w:r w:rsidRPr="009A3C86">
        <w:rPr>
          <w:rFonts w:ascii="Times New Roman" w:hAnsi="Times New Roman"/>
          <w:sz w:val="24"/>
          <w:szCs w:val="24"/>
        </w:rPr>
        <w:t xml:space="preserve"> organ wskaże w decyzji, w jakim zakresie orzeczono co do istoty sprawy lub umorzono postępowanie w sprawie po upływie terminu przedawnienia wymiaru i na niekorzyść strony, podając też, w jakim zakresie zobowiązanie wynikające z nowej decyzji jest wyższe niż zobowiązanie wynikające z dotychczasowej decyzji i określi wysokość zwolnienia lub zwróci nadpłatę, jeżeli podatnik uiścił już podatek w tym zakresie.</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Przedstawiona koncepcja jest zbliżona do instytucji „nieszkodzenia” w razie zmiany interpretacji indywidualnej przepisów prawa podatkowego. Wymagane było zatem wprowadzenie dodatkowo ochrony, w zakresie objętym zwolnieniem, polegającej na zakazie wszczynania postępowania karnego skarbowego lub umorzenia toczącego się postępowania, </w:t>
      </w:r>
      <w:r w:rsidRPr="009A3C86">
        <w:rPr>
          <w:rFonts w:ascii="Times New Roman" w:hAnsi="Times New Roman"/>
          <w:sz w:val="24"/>
          <w:szCs w:val="24"/>
        </w:rPr>
        <w:lastRenderedPageBreak/>
        <w:t>brakiem ustalania odsetek oraz dodatkowego zobowiązania podatkowego (</w:t>
      </w:r>
      <w:r w:rsidRPr="009A3C86">
        <w:rPr>
          <w:rFonts w:ascii="Times New Roman" w:hAnsi="Times New Roman"/>
          <w:b/>
          <w:sz w:val="24"/>
          <w:szCs w:val="24"/>
        </w:rPr>
        <w:t xml:space="preserve">art. </w:t>
      </w:r>
      <w:r w:rsidR="002A2F96" w:rsidRPr="009A3C86">
        <w:rPr>
          <w:rFonts w:ascii="Times New Roman" w:hAnsi="Times New Roman"/>
          <w:b/>
          <w:bCs/>
          <w:sz w:val="24"/>
          <w:szCs w:val="24"/>
        </w:rPr>
        <w:t>470</w:t>
      </w:r>
      <w:r w:rsidRPr="009A3C86">
        <w:rPr>
          <w:rFonts w:ascii="Times New Roman" w:hAnsi="Times New Roman"/>
          <w:b/>
          <w:bCs/>
          <w:sz w:val="24"/>
          <w:szCs w:val="24"/>
        </w:rPr>
        <w:t xml:space="preserve"> § 6</w:t>
      </w:r>
      <w:r w:rsidRPr="009A3C86">
        <w:rPr>
          <w:rFonts w:ascii="Times New Roman" w:hAnsi="Times New Roman"/>
          <w:b/>
          <w:sz w:val="24"/>
          <w:szCs w:val="24"/>
        </w:rPr>
        <w:t xml:space="preserve"> projekt</w:t>
      </w:r>
      <w:r w:rsidRPr="009A3C86">
        <w:rPr>
          <w:rFonts w:ascii="Times New Roman" w:hAnsi="Times New Roman"/>
          <w:sz w:val="24"/>
          <w:szCs w:val="24"/>
        </w:rPr>
        <w:t>u).</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15. Bez zmian pozostawiono w </w:t>
      </w:r>
      <w:r w:rsidRPr="009A3C86">
        <w:rPr>
          <w:rFonts w:ascii="Times New Roman" w:hAnsi="Times New Roman"/>
          <w:b/>
          <w:sz w:val="24"/>
          <w:szCs w:val="24"/>
        </w:rPr>
        <w:t xml:space="preserve">art. </w:t>
      </w:r>
      <w:r w:rsidR="002A2F96" w:rsidRPr="009A3C86">
        <w:rPr>
          <w:rFonts w:ascii="Times New Roman" w:hAnsi="Times New Roman"/>
          <w:b/>
          <w:bCs/>
          <w:sz w:val="24"/>
          <w:szCs w:val="24"/>
        </w:rPr>
        <w:t>471</w:t>
      </w:r>
      <w:r w:rsidRPr="009A3C86">
        <w:rPr>
          <w:rFonts w:ascii="Times New Roman" w:hAnsi="Times New Roman"/>
          <w:sz w:val="24"/>
          <w:szCs w:val="24"/>
        </w:rPr>
        <w:t xml:space="preserve"> aktualną regulację art. 234a o.p. dotyczącą zwracania sprawy przez organ odwoławczy do organu pierwszej instancji niezwłocznie po upływie terminu do wniesienia skargi do sądu administracyjnego, a tym samym nie wcześniej niż przed upływem tego terminu. </w:t>
      </w:r>
    </w:p>
    <w:p w:rsidR="00133267" w:rsidRPr="009A3C86" w:rsidRDefault="00133267"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Podobnie bez zmian pozostawiono przepis </w:t>
      </w:r>
      <w:r w:rsidRPr="009A3C86">
        <w:rPr>
          <w:rFonts w:ascii="Times New Roman" w:hAnsi="Times New Roman"/>
          <w:b/>
          <w:sz w:val="24"/>
          <w:szCs w:val="24"/>
        </w:rPr>
        <w:t xml:space="preserve">art. </w:t>
      </w:r>
      <w:r w:rsidR="002A2F96" w:rsidRPr="009A3C86">
        <w:rPr>
          <w:rFonts w:ascii="Times New Roman" w:hAnsi="Times New Roman"/>
          <w:b/>
          <w:bCs/>
          <w:sz w:val="24"/>
          <w:szCs w:val="24"/>
        </w:rPr>
        <w:t>472</w:t>
      </w:r>
      <w:r w:rsidRPr="009A3C86">
        <w:rPr>
          <w:rFonts w:ascii="Times New Roman" w:hAnsi="Times New Roman"/>
          <w:sz w:val="24"/>
          <w:szCs w:val="24"/>
        </w:rPr>
        <w:t xml:space="preserve"> będący odpowiednikiem obowiązującego przepisu art. 235 ordynacji podatkowej, nakazującego w sprawach nieuregulowanych w tym rozdziale odpowiednie stosowanie przepisów o postępowaniu przed organami pierwszej instancji.</w:t>
      </w:r>
    </w:p>
    <w:p w:rsidR="00133267" w:rsidRPr="009A3C86" w:rsidRDefault="00133267" w:rsidP="00133267">
      <w:pPr>
        <w:spacing w:after="0" w:line="360" w:lineRule="auto"/>
        <w:jc w:val="both"/>
        <w:rPr>
          <w:rFonts w:ascii="Times New Roman" w:hAnsi="Times New Roman"/>
          <w:b/>
          <w:sz w:val="24"/>
          <w:szCs w:val="24"/>
        </w:rPr>
      </w:pPr>
      <w:bookmarkStart w:id="61" w:name="_Toc494363283"/>
      <w:bookmarkStart w:id="62" w:name="_Toc483413652"/>
      <w:bookmarkStart w:id="63" w:name="_Toc456912621"/>
      <w:bookmarkEnd w:id="60"/>
      <w:r w:rsidRPr="009A3C86">
        <w:rPr>
          <w:rFonts w:ascii="Times New Roman" w:hAnsi="Times New Roman"/>
          <w:b/>
          <w:sz w:val="24"/>
          <w:szCs w:val="24"/>
        </w:rPr>
        <w:t>Rozdział 17. Zażalenia</w:t>
      </w:r>
      <w:bookmarkEnd w:id="61"/>
      <w:bookmarkEnd w:id="62"/>
      <w:bookmarkEnd w:id="63"/>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1. W zakresie zażaleń utrzymano obowiązującą regulację przepisów art. 236-239 o.p., zgodnie z którą stronie przysługuje prawo do zażalenia na postanowienia, jeśli ustawa tak stanowi.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2. W </w:t>
      </w:r>
      <w:r w:rsidRPr="009A3C86">
        <w:rPr>
          <w:rFonts w:ascii="Times New Roman" w:hAnsi="Times New Roman"/>
          <w:b/>
          <w:sz w:val="24"/>
          <w:szCs w:val="24"/>
        </w:rPr>
        <w:t>art.</w:t>
      </w:r>
      <w:r w:rsidRPr="009A3C86">
        <w:rPr>
          <w:rFonts w:ascii="Times New Roman" w:hAnsi="Times New Roman"/>
          <w:sz w:val="24"/>
          <w:szCs w:val="24"/>
        </w:rPr>
        <w:t xml:space="preserve"> </w:t>
      </w:r>
      <w:r w:rsidR="00FB7DA9" w:rsidRPr="009A3C86">
        <w:rPr>
          <w:rFonts w:ascii="Times New Roman" w:hAnsi="Times New Roman"/>
          <w:b/>
          <w:sz w:val="24"/>
          <w:szCs w:val="24"/>
        </w:rPr>
        <w:t>473</w:t>
      </w:r>
      <w:r w:rsidRPr="009A3C86">
        <w:rPr>
          <w:rFonts w:ascii="Times New Roman" w:hAnsi="Times New Roman"/>
          <w:b/>
          <w:sz w:val="24"/>
          <w:szCs w:val="24"/>
        </w:rPr>
        <w:t xml:space="preserve"> § 2</w:t>
      </w:r>
      <w:r w:rsidRPr="009A3C86">
        <w:rPr>
          <w:rFonts w:ascii="Times New Roman" w:hAnsi="Times New Roman"/>
          <w:sz w:val="24"/>
          <w:szCs w:val="24"/>
        </w:rPr>
        <w:t xml:space="preserve"> wydłużono dwukrotnie, na wzór rozwiązania przyjętego w zakresie terminu składania odwołań, termin na złożenie zażalenia. Przyjęty w projekcie ordynacji podatkowej termin to 14 dni, w porównaniu do 7 dni zgodnie z obowiązują regulacją. Za wydłużeniem terminu przemawia, podobnie jak przy odwołaniach, coraz bardziej skomplikowany charakter postępowań dotyczących podatków. Proponowane dwukrotne wydłużenie terminu zaskarżenia umożliwi lepsze przygotowanie strony do sformułowania zarzutów zażalenia oraz bardziej precyzyjne przygotowanie ewentualnych wniosków dowodowych. Strona, sporządzając zażalenie, nie powinna działać w pośpiechu, bowiem jego wynikiem są często pochopnie postawione zarzuty i nieprzemyślane wnioski dowodowe. Nie przewiduje się, by wydłużenie terminu na złożenie zażalenia zwiększyło zaskarżalność postanowień. Wręcz przeciwnie, może ono zmniejszyć ich liczbę i uprościć postępowanie. Pochopnie bowiem sporządzane zażalenie jest często uzupełniane kolejnymi dokumentami, nawet do tego stopnia, że zmieniają się główne przyczyny zaskarżenia. Dłuższy termin pozwoli stronie przygotować bardziej przemyślane zażalenie odnoszące się do istoty sprawy lub nawet, po analizie szans powodzenia środka zaskarżenia, zrezygnować z jego złożenia.</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Proponowana zmiana nie ogranicza prawa strony wniesienia środka zaskarżenia wcześniej niż wskazuje ustawa, w tym w dotychczasowym terminie 7 dni.</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 xml:space="preserve">3. Zachowano obowiązującą zasadę, że postanowienia, wobec których przepisy ustawy nie przewidują możliwości zażalenia, mogą być zaskarżone wyłącznie w odwołaniu od decyzji </w:t>
      </w:r>
      <w:r w:rsidRPr="009A3C86">
        <w:rPr>
          <w:rFonts w:ascii="Times New Roman" w:hAnsi="Times New Roman"/>
          <w:sz w:val="24"/>
          <w:szCs w:val="24"/>
        </w:rPr>
        <w:lastRenderedPageBreak/>
        <w:t>(</w:t>
      </w:r>
      <w:r w:rsidRPr="009A3C86">
        <w:rPr>
          <w:rFonts w:ascii="Times New Roman" w:hAnsi="Times New Roman"/>
          <w:b/>
          <w:sz w:val="24"/>
          <w:szCs w:val="24"/>
        </w:rPr>
        <w:t xml:space="preserve">art. </w:t>
      </w:r>
      <w:r w:rsidR="00FB7DA9" w:rsidRPr="009A3C86">
        <w:rPr>
          <w:rFonts w:ascii="Times New Roman" w:hAnsi="Times New Roman"/>
          <w:b/>
          <w:sz w:val="24"/>
          <w:szCs w:val="24"/>
        </w:rPr>
        <w:t>474</w:t>
      </w:r>
      <w:r w:rsidRPr="009A3C86">
        <w:rPr>
          <w:rFonts w:ascii="Times New Roman" w:hAnsi="Times New Roman"/>
          <w:sz w:val="24"/>
          <w:szCs w:val="24"/>
        </w:rPr>
        <w:t>). Utrzymano także zasadę, że w sprawach nieuregulowanych w tym rozdziale odpowiednie zastosowanie mają przepisy dotyczące odwołań (</w:t>
      </w:r>
      <w:r w:rsidRPr="009A3C86">
        <w:rPr>
          <w:rFonts w:ascii="Times New Roman" w:hAnsi="Times New Roman"/>
          <w:b/>
          <w:sz w:val="24"/>
          <w:szCs w:val="24"/>
        </w:rPr>
        <w:t xml:space="preserve">art. </w:t>
      </w:r>
      <w:r w:rsidR="00FB7DA9" w:rsidRPr="009A3C86">
        <w:rPr>
          <w:rFonts w:ascii="Times New Roman" w:hAnsi="Times New Roman"/>
          <w:b/>
          <w:sz w:val="24"/>
          <w:szCs w:val="24"/>
        </w:rPr>
        <w:t>475</w:t>
      </w:r>
      <w:r w:rsidRPr="009A3C86">
        <w:rPr>
          <w:rFonts w:ascii="Times New Roman" w:hAnsi="Times New Roman"/>
          <w:sz w:val="24"/>
          <w:szCs w:val="24"/>
        </w:rPr>
        <w:t xml:space="preserve">).  </w:t>
      </w:r>
    </w:p>
    <w:p w:rsidR="00133267" w:rsidRPr="009A3C86" w:rsidRDefault="00133267" w:rsidP="00133267">
      <w:pPr>
        <w:spacing w:after="0" w:line="360" w:lineRule="auto"/>
        <w:jc w:val="both"/>
        <w:rPr>
          <w:rFonts w:ascii="Times New Roman" w:hAnsi="Times New Roman"/>
          <w:sz w:val="24"/>
          <w:szCs w:val="24"/>
        </w:rPr>
      </w:pPr>
      <w:r w:rsidRPr="009A3C86">
        <w:rPr>
          <w:rFonts w:ascii="Times New Roman" w:hAnsi="Times New Roman"/>
          <w:sz w:val="24"/>
          <w:szCs w:val="24"/>
        </w:rPr>
        <w:t>Nie uznano za konieczne wskazania wprost braku stosowania do zażaleń nowej instytucji, polegającej na możliwości rezygnacji z odwołania na rzecz skargi do sądu administracyjnego. Ta nowa instytucja, pomijająca rozpatrzenie odwołania w drugiej instancji, dotyczy wyłącznie sporów o charakterze merytorycznym i obejmuje wyłącznie rozstrzyganie o istocie sprawy, a tym samym nawet odpowiednio nie ma zastosowania do postanowień.</w:t>
      </w:r>
    </w:p>
    <w:p w:rsidR="00133267" w:rsidRPr="009A3C86" w:rsidRDefault="00133267"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Podobnie do postanowień nie ma zastosowania przepis art. </w:t>
      </w:r>
      <w:r w:rsidR="00FB7DA9" w:rsidRPr="009A3C86">
        <w:rPr>
          <w:rFonts w:ascii="Times New Roman" w:hAnsi="Times New Roman"/>
          <w:sz w:val="24"/>
          <w:szCs w:val="24"/>
        </w:rPr>
        <w:t>460</w:t>
      </w:r>
      <w:r w:rsidRPr="009A3C86">
        <w:rPr>
          <w:rFonts w:ascii="Times New Roman" w:hAnsi="Times New Roman"/>
          <w:sz w:val="24"/>
          <w:szCs w:val="24"/>
        </w:rPr>
        <w:t xml:space="preserve"> § 1, likwidujący dewolutywność odwołania w przypadku decyzji </w:t>
      </w:r>
      <w:r w:rsidR="00221F51" w:rsidRPr="009A3C86">
        <w:rPr>
          <w:rFonts w:ascii="Times New Roman" w:hAnsi="Times New Roman"/>
          <w:sz w:val="24"/>
          <w:szCs w:val="24"/>
        </w:rPr>
        <w:t>wydawanych</w:t>
      </w:r>
      <w:r w:rsidRPr="009A3C86">
        <w:rPr>
          <w:rFonts w:ascii="Times New Roman" w:hAnsi="Times New Roman"/>
          <w:sz w:val="24"/>
          <w:szCs w:val="24"/>
        </w:rPr>
        <w:t xml:space="preserve"> na podstawie art. 83 ust. 4 i 5 ustawy o KAS, bowiem sama ustawa o KAS ogranicza wyłączenie dewolutywności tylko w stosunku do niektórych decyzji naczelników UCS. W przypadku postanowień powinien rozpatrywać je organ wyższego stopnia, czyli dyrektor izby administracji skarbowej, a nie organ, który je wydał.</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lang w:eastAsia="pl-PL"/>
        </w:rPr>
      </w:pPr>
      <w:bookmarkStart w:id="64" w:name="_Toc494363284"/>
      <w:r w:rsidRPr="009A3C86">
        <w:rPr>
          <w:rFonts w:ascii="Times New Roman" w:hAnsi="Times New Roman"/>
          <w:b/>
          <w:bCs/>
          <w:sz w:val="24"/>
          <w:szCs w:val="24"/>
          <w:lang w:eastAsia="pl-PL"/>
        </w:rPr>
        <w:t>Rozdział 18. Wykonanie decyzji</w:t>
      </w:r>
      <w:bookmarkEnd w:id="64"/>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pacing w:val="-2"/>
          <w:sz w:val="24"/>
          <w:szCs w:val="24"/>
          <w:lang w:eastAsia="pl-PL"/>
        </w:rPr>
        <w:t>1. Gruntowna reforma zasad wykonywania decyzji podatkowych została wprowadzona od 1 stycznia 2009 r. Kilka lat stosowania obecnie obowiązujących reguł wykonywania decyzji ostatecznych dostarcza danych pozwalających na diagnozę stosowania instytucji rygoru natychmiastowej wykonalności</w:t>
      </w:r>
      <w:r w:rsidRPr="009A3C86">
        <w:rPr>
          <w:rFonts w:ascii="Times New Roman" w:hAnsi="Times New Roman"/>
          <w:spacing w:val="-2"/>
          <w:sz w:val="24"/>
          <w:szCs w:val="24"/>
          <w:vertAlign w:val="superscript"/>
          <w:lang w:eastAsia="pl-PL"/>
        </w:rPr>
        <w:footnoteReference w:id="457"/>
      </w:r>
      <w:r w:rsidRPr="009A3C86">
        <w:rPr>
          <w:rFonts w:ascii="Times New Roman" w:hAnsi="Times New Roman"/>
          <w:spacing w:val="-2"/>
          <w:sz w:val="24"/>
          <w:szCs w:val="24"/>
          <w:lang w:eastAsia="pl-PL"/>
        </w:rPr>
        <w:t xml:space="preserve">. Średnioroczna liczba postanowień w sprawie nadania rygoru natychmiastowej wykonalności wydanych przez naczelników urzędów skarbowych w latach 2011-2013 wynosi 4173. Udział kwoty zaległości podatkowych wynikających z decyzji nieostatecznych wydanych w latach 2011-2013, którym nadano rygor natychmiastowej wykonalności do kwoty zaległości podatkowych wyniósł ok. 13%. Oznacza to, że w badanym okresie decyzjom wymiarowym obejmującym ponad 85% zaległości podatkowych (2,8 mld zł w 2011 r., 4,7 mld zł w 2012 r. 5,4 mld zł w 2013 r.) nie nadano rygoru natychmiastowej wykonalności. W takich przypadkach podatnicy mogli prowadzić spór z organem podatkowym, nie obawiając się jednocześnie przymusowego dochodzenia spornej należności przez organy podatkowe w toku postępowania odwoławczego. </w:t>
      </w:r>
    </w:p>
    <w:p w:rsidR="0085545A" w:rsidRPr="009A3C86" w:rsidRDefault="0085545A" w:rsidP="0085545A">
      <w:pPr>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Efektywność nadawania rygoru natychmiastowej wykonalności odzwierciedla udział kwoty podatków uiszczonych (wyegzekwowanych) z decyzji, którym nadano rygor natychmiastowej wykonalności, w kwocie podatków wynikających z tych decyzji. Wskaźnik ten wynosi za lata 2011-2013 ok. 8%. Natomiast ogólny wskaźnik efektywności egzekucji, liczony jako udział </w:t>
      </w:r>
      <w:r w:rsidRPr="009A3C86">
        <w:rPr>
          <w:rFonts w:ascii="Times New Roman" w:hAnsi="Times New Roman"/>
          <w:spacing w:val="-2"/>
          <w:sz w:val="24"/>
          <w:szCs w:val="24"/>
          <w:lang w:eastAsia="pl-PL"/>
        </w:rPr>
        <w:lastRenderedPageBreak/>
        <w:t>kwoty wyegzekwowanych zaległości podatkowych w kwocie zaległości podatkowych objętych tytułami wykonawczymi, wyniósł ok. 25%. Różnica między tymi wskaźnikami jest znaczna, ale należy mieć na względzie, że sprawy, w których zastosowano rygor natychmiastowej wykonalności, dotyczyły podmiotów, w stosunku do których istniało duże prawdopodobieństwo, że podatek nie zostanie uiszczony. Wysoki wskaźnik wykonania decyzji, którym nadano rygor natychmiastowej wykonalności, świadczyłby o tym, że nadanie rygoru odbywa się z naruszeniem przepisu art. 239b § 2 o.p., jest przedwczesne albo nietrafne. Tak jednak nie jest. Prawdopodobieństwo niewykonania decyzji, przyjmowane przez organ przy nadawaniu rygoru natychmiastowej wykonalności, faktycznie potwierdza się potem aż w ponad 90% przypadków</w:t>
      </w:r>
      <w:r w:rsidRPr="009A3C86">
        <w:rPr>
          <w:rFonts w:ascii="Times New Roman" w:hAnsi="Times New Roman"/>
          <w:spacing w:val="-2"/>
          <w:sz w:val="24"/>
          <w:szCs w:val="24"/>
          <w:vertAlign w:val="superscript"/>
          <w:lang w:eastAsia="pl-PL"/>
        </w:rPr>
        <w:footnoteReference w:id="458"/>
      </w:r>
      <w:r w:rsidRPr="009A3C86">
        <w:rPr>
          <w:rFonts w:ascii="Times New Roman" w:hAnsi="Times New Roman"/>
          <w:spacing w:val="-2"/>
          <w:sz w:val="24"/>
          <w:szCs w:val="24"/>
          <w:lang w:eastAsia="pl-PL"/>
        </w:rPr>
        <w:t xml:space="preserve">. </w:t>
      </w:r>
    </w:p>
    <w:p w:rsidR="0085545A" w:rsidRPr="009A3C86" w:rsidRDefault="0085545A" w:rsidP="0085545A">
      <w:pPr>
        <w:tabs>
          <w:tab w:val="left" w:pos="567"/>
          <w:tab w:val="left" w:pos="3936"/>
        </w:tabs>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W postanowieniach w sprawie nadania rygoru natychmiastowej wykonalności wskazywano następujące przesłanki: </w:t>
      </w:r>
    </w:p>
    <w:p w:rsidR="0085545A" w:rsidRPr="009A3C86" w:rsidRDefault="0085545A" w:rsidP="0085545A">
      <w:pPr>
        <w:tabs>
          <w:tab w:val="left" w:pos="567"/>
        </w:tabs>
        <w:spacing w:after="0" w:line="360" w:lineRule="auto"/>
        <w:ind w:hanging="284"/>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a)</w:t>
      </w:r>
      <w:r w:rsidRPr="009A3C86">
        <w:rPr>
          <w:rFonts w:ascii="Times New Roman" w:hAnsi="Times New Roman"/>
          <w:spacing w:val="-2"/>
          <w:sz w:val="24"/>
          <w:szCs w:val="24"/>
          <w:lang w:eastAsia="pl-PL"/>
        </w:rPr>
        <w:tab/>
        <w:t>organ podatkowy posiada informacje, z których wynika, że wobec strony toczy się postępowanie egzekucyjne w zakresie innych należności pieniężnych – 49% rygorów,</w:t>
      </w:r>
    </w:p>
    <w:p w:rsidR="0085545A" w:rsidRPr="009A3C86" w:rsidRDefault="0085545A" w:rsidP="0085545A">
      <w:pPr>
        <w:spacing w:after="0" w:line="360" w:lineRule="auto"/>
        <w:ind w:hanging="284"/>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b)</w:t>
      </w:r>
      <w:r w:rsidRPr="009A3C86">
        <w:rPr>
          <w:rFonts w:ascii="Times New Roman" w:hAnsi="Times New Roman"/>
          <w:spacing w:val="-2"/>
          <w:sz w:val="24"/>
          <w:szCs w:val="24"/>
          <w:lang w:eastAsia="pl-PL"/>
        </w:rPr>
        <w:tab/>
        <w:t>okres do upływu terminu przedawnienia zobowiązania podatkowego jest krótszy niż 3 miesiące - 26% rygorów,</w:t>
      </w:r>
    </w:p>
    <w:p w:rsidR="0085545A" w:rsidRPr="009A3C86" w:rsidRDefault="0085545A" w:rsidP="0085545A">
      <w:pPr>
        <w:spacing w:after="0" w:line="360" w:lineRule="auto"/>
        <w:ind w:hanging="284"/>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c)</w:t>
      </w:r>
      <w:r w:rsidRPr="009A3C86">
        <w:rPr>
          <w:rFonts w:ascii="Times New Roman" w:hAnsi="Times New Roman"/>
          <w:spacing w:val="-2"/>
          <w:sz w:val="24"/>
          <w:szCs w:val="24"/>
          <w:lang w:eastAsia="pl-PL"/>
        </w:rPr>
        <w:tab/>
        <w:t>strona nie posiada majątku o wartości odpowiadającej wysokości zaległości podatkowej wraz z odsetkami za zwłokę, na którym można ustanowić hipotekę przymusową lub zastaw skarbowy, które korzystałyby z pierwszeństwa zaspokojenia – 20% rygorów,</w:t>
      </w:r>
    </w:p>
    <w:p w:rsidR="0085545A" w:rsidRPr="009A3C86" w:rsidRDefault="0085545A" w:rsidP="0085545A">
      <w:pPr>
        <w:spacing w:after="0" w:line="360" w:lineRule="auto"/>
        <w:ind w:hanging="284"/>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d)</w:t>
      </w:r>
      <w:r w:rsidRPr="009A3C86">
        <w:rPr>
          <w:rFonts w:ascii="Times New Roman" w:hAnsi="Times New Roman"/>
          <w:spacing w:val="-2"/>
          <w:sz w:val="24"/>
          <w:szCs w:val="24"/>
          <w:lang w:eastAsia="pl-PL"/>
        </w:rPr>
        <w:tab/>
        <w:t>strona dokonuje czynności polegających na zbywaniu majątku znacznej wartości – 5% rygorów.</w:t>
      </w:r>
    </w:p>
    <w:p w:rsidR="0085545A" w:rsidRPr="009A3C86" w:rsidRDefault="0085545A" w:rsidP="0085545A">
      <w:pPr>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Z przedstawionych danych wynika, że prowadzenie wobec podatnika postępowania egzekucyjnego w zakresie innych należności pieniężnych było zdecydowanie najczęstszą przesłanką nadania rygoru natychmiastowej wykonalności. Przesłanka, że strona dokonuje czynności polegających na zbywaniu majątku znacznej wartości, jest stosunkowo trudna do wykazania przez organ podatkowy, dlatego też jest rzadko wskazywana w postanowieniach o nadaniu rygoru natychmiastowej wykonalności. A zatem rygor natychmiastowej wykonalności jest stosowany głównie w stosunku do podmiotów, które w sposób trwały nie regulują dobrowolnie swoich zobowiązań podatkowych.   </w:t>
      </w:r>
    </w:p>
    <w:p w:rsidR="0085545A" w:rsidRPr="009A3C86" w:rsidRDefault="0085545A" w:rsidP="0085545A">
      <w:pPr>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Analizując strukturę podatków, w których był stosowany rygor natychmiastowej wykonalności, największy udział mają decyzje wymiarowe w podatku dochodowym od osób fizycznych </w:t>
      </w:r>
      <w:r w:rsidRPr="009A3C86">
        <w:rPr>
          <w:rFonts w:ascii="Times New Roman" w:hAnsi="Times New Roman"/>
          <w:spacing w:val="-2"/>
          <w:sz w:val="24"/>
          <w:szCs w:val="24"/>
          <w:lang w:eastAsia="pl-PL"/>
        </w:rPr>
        <w:lastRenderedPageBreak/>
        <w:t xml:space="preserve">(wszystkie formy opodatkowania) – 47% wszystkich decyzji, którym nadano rygor, oraz decyzje w podatku od towarów i usług również 47%. </w:t>
      </w:r>
    </w:p>
    <w:p w:rsidR="0085545A" w:rsidRPr="009A3C86" w:rsidRDefault="0085545A" w:rsidP="0085545A">
      <w:pPr>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W latach 2011-2013 wskaźnik zaskarżalności postanowień o nadaniu rygoru natychmiastowej wykonalności w trybie odwoławczym wynosił 15%. Dla porównania wskaźnik ten dla wszystkich decyzji wymiarowych wydanych przez naczelnika urzędu skarbowego, dyrektora urzędu kontroli skarbowej oraz dyrektora izby skarbowej wyniósł 4%, natomiast wskaźnik ten liczony tylko dla decyzji pokontrolnych wyniósł 22%. Wskaźnik uchylanych postanowień nadających rygor przez organy odwoławcze wyniósł 26% (dla porównania wskaźnik ten dla decyzji wymiarowych wyniósł aż 49%). Wskaźnik zaskarżalności do wojewódzkich sądów administracyjnych postanowień o nadaniu rygoru natychmiastowej wykonalności wyniósł 13%. Dla porównania wskaźnik ten dla decyzji wymiarowych oscyluje między 45- 50%. Wskaźnik uchylanych przez sądy postanowień nadających rygor to zaledwie 10% zaskarżonych postanowień; dla porównania wskaźnik ten dla decyzji wymiarowych w różnych latach oscyluje ok. 23-27% decyzji zaskarżonych do sądu. </w:t>
      </w:r>
    </w:p>
    <w:p w:rsidR="0085545A" w:rsidRPr="009A3C86" w:rsidRDefault="0085545A" w:rsidP="0085545A">
      <w:pPr>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Porównanie wskaźników odnoszących się do postanowień o nadaniu rygoru natychmiastowej wykonalności oraz decyzji wymiarowych uprawnia do stwierdzenia, że instytucja nadania rygoru natychmiastowej wykonalności jest stosowana prawidłowo przez organy podatkowe (przynajmniej w zakresie organów KAS), o czym świadczą niższe niż dla decyzji wymiarowych odpowiednie wskaźniki uchylanych postanowień przez organy odwoławcze oraz wojewódzkie sądy administracyjne. </w:t>
      </w:r>
    </w:p>
    <w:p w:rsidR="0085545A" w:rsidRPr="009A3C86" w:rsidRDefault="0085545A" w:rsidP="0085545A">
      <w:pPr>
        <w:spacing w:after="0" w:line="360" w:lineRule="auto"/>
        <w:jc w:val="both"/>
        <w:rPr>
          <w:rFonts w:ascii="Times New Roman" w:hAnsi="Times New Roman"/>
          <w:spacing w:val="-2"/>
          <w:sz w:val="24"/>
          <w:szCs w:val="24"/>
          <w:lang w:eastAsia="pl-PL"/>
        </w:rPr>
      </w:pPr>
      <w:r w:rsidRPr="009A3C86">
        <w:rPr>
          <w:rFonts w:ascii="Times New Roman" w:hAnsi="Times New Roman"/>
          <w:spacing w:val="-2"/>
          <w:sz w:val="24"/>
          <w:szCs w:val="24"/>
          <w:lang w:eastAsia="pl-PL"/>
        </w:rPr>
        <w:t xml:space="preserve">Szacuje się, że w badanym okresie w około 19% przypadków nieostateczne decyzje wymiarowe zostały wykonane dobrowolnie, ale tylko około 4% kwoty podatków wynikających z decyzji wymiarowych nieostatecznych jest uiszczane dobrowolnie. Standardem jest zatem wstrzymanie się z wykonywaniem decyzji nieostatecznej, od której złożono odwołanie do czasu rozpatrzenia odwołania. Strony postępowania podatkowego szeroko korzystają z możliwości wstrzymania się z wykonaniem spornej decyzji, mimo że stosownie do reguły wynikającej z art. 239h o.p. odsetki za zwłokę są naliczane w okresie wstrzymania wykonania decyzji.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pacing w:val="-2"/>
          <w:sz w:val="24"/>
          <w:szCs w:val="24"/>
          <w:lang w:eastAsia="pl-PL"/>
        </w:rPr>
        <w:t xml:space="preserve">Powyższe dane wskazują, że przepisy w zakresie nadania rygoru natychmiastowej wykonalności decyzji nieostatecznej oraz wstrzymywania wykonania decyzji ostatecznych zasadniczo sprawdziły się w praktyce, funkcjonują prawidłowo i nie wymagają radykalnej zmiany. </w:t>
      </w:r>
      <w:r w:rsidRPr="009A3C86">
        <w:rPr>
          <w:rFonts w:ascii="Times New Roman" w:hAnsi="Times New Roman"/>
          <w:sz w:val="24"/>
          <w:szCs w:val="24"/>
          <w:lang w:eastAsia="pl-PL"/>
        </w:rPr>
        <w:t xml:space="preserve">Instytucja rygoru natychmiastowej wykonalności, po doświadczeniach kilku lat jej obowiązywania, wymaga jednak pewnych modyfikacji.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2. Przepis </w:t>
      </w:r>
      <w:r w:rsidRPr="009A3C86">
        <w:rPr>
          <w:rFonts w:ascii="Times New Roman" w:hAnsi="Times New Roman"/>
          <w:b/>
          <w:sz w:val="24"/>
          <w:szCs w:val="24"/>
          <w:lang w:eastAsia="pl-PL"/>
        </w:rPr>
        <w:t xml:space="preserve">art. </w:t>
      </w:r>
      <w:r w:rsidR="00FB7DA9" w:rsidRPr="009A3C86">
        <w:rPr>
          <w:rFonts w:ascii="Times New Roman" w:hAnsi="Times New Roman"/>
          <w:b/>
          <w:sz w:val="24"/>
          <w:szCs w:val="24"/>
          <w:lang w:eastAsia="pl-PL"/>
        </w:rPr>
        <w:t>476</w:t>
      </w:r>
      <w:r w:rsidRPr="009A3C86">
        <w:rPr>
          <w:rFonts w:ascii="Times New Roman" w:hAnsi="Times New Roman"/>
          <w:sz w:val="24"/>
          <w:szCs w:val="24"/>
          <w:lang w:eastAsia="pl-PL"/>
        </w:rPr>
        <w:t xml:space="preserve"> jest odpowiednikiem obecnego art. 239a o.p. Decyzja nieostateczna, nakładająca na stronę obowiązek podlegający wykonaniu w trybie przepisów o postępowaniu </w:t>
      </w:r>
      <w:r w:rsidRPr="009A3C86">
        <w:rPr>
          <w:rFonts w:ascii="Times New Roman" w:hAnsi="Times New Roman"/>
          <w:sz w:val="24"/>
          <w:szCs w:val="24"/>
          <w:lang w:eastAsia="pl-PL"/>
        </w:rPr>
        <w:lastRenderedPageBreak/>
        <w:t>egzekucyjnym w administracji, nie podlega wykonaniu, chyba że decyzji nadano rygor natychmiastowej wykonalności.</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3. Przepis </w:t>
      </w:r>
      <w:r w:rsidRPr="009A3C86">
        <w:rPr>
          <w:rFonts w:ascii="Times New Roman" w:hAnsi="Times New Roman"/>
          <w:b/>
          <w:sz w:val="24"/>
          <w:szCs w:val="24"/>
          <w:lang w:eastAsia="pl-PL"/>
        </w:rPr>
        <w:t xml:space="preserve">art. </w:t>
      </w:r>
      <w:r w:rsidR="00FB7DA9" w:rsidRPr="009A3C86">
        <w:rPr>
          <w:rFonts w:ascii="Times New Roman" w:hAnsi="Times New Roman"/>
          <w:b/>
          <w:sz w:val="24"/>
          <w:szCs w:val="24"/>
          <w:lang w:eastAsia="pl-PL"/>
        </w:rPr>
        <w:t>477</w:t>
      </w:r>
      <w:r w:rsidRPr="009A3C86">
        <w:rPr>
          <w:rFonts w:ascii="Times New Roman" w:hAnsi="Times New Roman"/>
          <w:sz w:val="24"/>
          <w:szCs w:val="24"/>
          <w:lang w:eastAsia="pl-PL"/>
        </w:rPr>
        <w:t xml:space="preserve"> jest odpowiednikiem obecnego art. 239b o.p. Zasadniczo pozostają w mocy omówione szczegółowo powyżej obecne regulacje określające przesłanki nadania decyzji rygoru natychmiastowej wykonalności i skutki nadania takiego rygoru.</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W związku z modyfikacją zasad przedawnienia i proponowaną w niniejszym projekcie koncepcją rozdzielenia przedawnienia prawa do wymiaru od przedawnienia poboru bezprzedmiotowym będzie nadawanie rygoru natychmiastowej wykonalności w oparciu o przesłankę wskazaną aktualnie w art. 239b § 1 pkt 4 o.p. (do upływu terminu przedawnienia zobowiązania podatkowego pozostały mniej niż 3 miesiące). W zakresie przedłużenia terminu przedawnienia wymiaru podatku powinny być rozpoznawane tylko takie okoliczności, które są związane z wymiarem. Wszczęcie i tok postępowań podatkowych winien być tak rozplanowany, aby postępowanie podatkowe zakończyło się przed upływem terminu przedawnienia wymiaru podatku. Ponieważ termin przedawnienia poboru podatku będzie liczony odrębnie, przesłanka zawarta obecnie w art. 239b § 1 pkt 4 o.p. stanie się bezprzedmiotowa.</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Regulacje zawarte obecnie w art. 239b § 3 i 4 dotyczą wspólnej materii, więc proponuje się umiejscowienie ich w jednym § 3.</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Obecnie wątpliwości praktyczne budzi kwestia momentu, w którym może być wydane postanowienie w sprawie rygoru natychmiastowej wykonalności w relacji do momentu wydania i doręczenia decyzji nieostatecznej, której to rygor ma zostać nadany. Proponowany § 4 usuwa te wątpliwości, wskazując, że postanowienie może być wydane już w momencie wydania decyzji nieostatecznej i doręczone wraz z tą decyzją.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4. Przepis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478</w:t>
      </w:r>
      <w:r w:rsidRPr="009A3C86">
        <w:rPr>
          <w:rFonts w:ascii="Times New Roman" w:hAnsi="Times New Roman"/>
          <w:sz w:val="24"/>
          <w:szCs w:val="24"/>
          <w:lang w:eastAsia="pl-PL"/>
        </w:rPr>
        <w:t xml:space="preserve"> jest odpowiednikiem obecnego art. 239c o.p. Decyzja o zabezpieczeniu ma rygor natychmiastowej wykonalności z mocy prawa, chyba że przyjęto zabezpieczenie dobrowolne.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5. Przepis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479</w:t>
      </w:r>
      <w:r w:rsidRPr="009A3C86">
        <w:rPr>
          <w:rFonts w:ascii="Times New Roman" w:hAnsi="Times New Roman"/>
          <w:sz w:val="24"/>
          <w:szCs w:val="24"/>
          <w:lang w:eastAsia="pl-PL"/>
        </w:rPr>
        <w:t xml:space="preserve"> jest odpowiednikiem obecnego art. 239d o.p. Zgodnie z tym przepisem zakazane jest nadawanie rygoru natychmiastowej wykonalności decyzji wydanej w związku z wnioskiem o zastosowanie zasad ochrony przy interpretacjach indywidualnych, decyzji stosującej klauzulę przeciwko unikaniu opodatkowania lub środki ograniczające umowne korzyści.</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Poza uproszczeniem przepisu dodano nowym przypadek (pkt 3) odnoszący się do nowych przesłanek zawieszenia postępowania dotyczących: związku między różnymi postępowaniami, podobieństwa stanów faktycznych lub zagadnień prawnych w różnych postępowaniach oraz </w:t>
      </w:r>
      <w:r w:rsidRPr="009A3C86">
        <w:rPr>
          <w:rFonts w:ascii="Times New Roman" w:hAnsi="Times New Roman"/>
          <w:sz w:val="24"/>
          <w:szCs w:val="24"/>
          <w:lang w:eastAsia="pl-PL"/>
        </w:rPr>
        <w:lastRenderedPageBreak/>
        <w:t xml:space="preserve">sytuacji, gdy przepis stanowiący podstawę prawną decyzji jest przedmiotem postępowania przed Trybunałem Konstytucyjnym lub Trybunałem Sprawiedliwości Unii Europejskiej. Skoro zawieszenie postępowania podatkowego w tych okolicznościach wymaga porozumienia między organem podatkowym oraz stroną, to niedopuszczalne byłoby nadawanie decyzji nieostatecznej rygoru natychmiastowej wykonalności na okres zawieszenia postępowania odwoławczego.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6. Przepis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480</w:t>
      </w:r>
      <w:r w:rsidRPr="009A3C86">
        <w:rPr>
          <w:rFonts w:ascii="Times New Roman" w:hAnsi="Times New Roman"/>
          <w:sz w:val="24"/>
          <w:szCs w:val="24"/>
          <w:lang w:eastAsia="pl-PL"/>
        </w:rPr>
        <w:t>, tak jak obecny art. 239e o.p., stanowi, że decyzja ostateczna podlega wykonaniu, chyba że wstrzymano jej wykonanie.</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7. Przepis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481</w:t>
      </w:r>
      <w:r w:rsidRPr="009A3C86">
        <w:rPr>
          <w:rFonts w:ascii="Times New Roman" w:hAnsi="Times New Roman"/>
          <w:sz w:val="24"/>
          <w:szCs w:val="24"/>
          <w:lang w:eastAsia="pl-PL"/>
        </w:rPr>
        <w:t xml:space="preserve"> jest odpowiednikiem obecnego art. 239f o.p. i generalnie zachowuje obecne regulacje w zakresie wykonywania decyzji ostatecznej zaskarżonej do sądu administracyjnego.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Wstęp do wyliczenia w przepisie </w:t>
      </w:r>
      <w:r w:rsidRPr="009A3C86">
        <w:rPr>
          <w:rFonts w:ascii="Times New Roman" w:hAnsi="Times New Roman"/>
          <w:b/>
          <w:sz w:val="24"/>
          <w:szCs w:val="24"/>
          <w:lang w:eastAsia="pl-PL"/>
        </w:rPr>
        <w:t>§ 1</w:t>
      </w:r>
      <w:r w:rsidRPr="009A3C86">
        <w:rPr>
          <w:rFonts w:ascii="Times New Roman" w:hAnsi="Times New Roman"/>
          <w:sz w:val="24"/>
          <w:szCs w:val="24"/>
          <w:lang w:eastAsia="pl-PL"/>
        </w:rPr>
        <w:t xml:space="preserve"> proponuje się przeredagować. Należy wyraźnie wskazać, co też wynika z dalszych regulacji, że wstrzymanie wykonania może dotyczyć całości lub części decyzji.</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Obecne przesłanki wstrzymania wykonania decyzji ostatecznej, na którą wniesiono skargę do sądu administracyjnego, wiążą się z istnieniem zabezpieczenia majątkowego (zabezpieczenie dobrowolne, hipoteka przymusowa i zastaw skarbowy). Wstrzymanie wykonania decyzji jest limitowane wysokością tego zabezpieczenia. Obecnie art. 61 § 2 pkt 1 p.p.s.a. uprawnia organ do wstrzymania wykonania decyzji po wniesieniu skargi do sądu administracyjnego (za pośrednictwem tego organu) w każdej sytuacji, chyba że istnieją przesłanki, od których uzależnione jest nadanie decyzji rygoru natychmiastowej wykonalności albo gdy ustawa szczególna wyłącza wstrzymanie jej wykonania. Wstrzymanie wykonania następuje z urzędu lub na wniosek skarżącego. Organ podatkowy nie jest uprawniony do wstrzymania wykonania decyzji ostatecznej w przypadkach innych niż przewidziane w ordynacji podatkowej. Tak należy rozumieć przepis art. 61 § 2 pkt 1 p.p.s.a. stanowiący o tym, że „ustawa szczególna wyłącza wstrzymanie</w:t>
      </w:r>
      <w:r w:rsidR="006D3EE3" w:rsidRPr="009A3C86">
        <w:rPr>
          <w:rFonts w:ascii="Times New Roman" w:hAnsi="Times New Roman"/>
          <w:sz w:val="24"/>
          <w:szCs w:val="24"/>
          <w:lang w:eastAsia="pl-PL"/>
        </w:rPr>
        <w:t xml:space="preserve"> ich</w:t>
      </w:r>
      <w:r w:rsidRPr="009A3C86">
        <w:rPr>
          <w:rFonts w:ascii="Times New Roman" w:hAnsi="Times New Roman"/>
          <w:sz w:val="24"/>
          <w:szCs w:val="24"/>
          <w:lang w:eastAsia="pl-PL"/>
        </w:rPr>
        <w:t xml:space="preserve"> wykonania”. Organ podatkowy nie może obecnie wstrzymać wykonania decyzji ostatecznej zaskarżonej do sądu, gdy zachodzi prawdopodobieństwo uchylenia lub stwierdzenia nieważności decyzji lub spowodowania trudnych do odwrócenia skutków. P</w:t>
      </w:r>
      <w:r w:rsidRPr="009A3C86">
        <w:rPr>
          <w:rFonts w:ascii="Times New Roman" w:hAnsi="Times New Roman"/>
          <w:bCs/>
          <w:iCs/>
          <w:sz w:val="24"/>
          <w:szCs w:val="24"/>
          <w:shd w:val="clear" w:color="auto" w:fill="FFFFFF"/>
          <w:lang w:eastAsia="pl-PL"/>
        </w:rPr>
        <w:t xml:space="preserve">rawdopodobieństwo uchylenia lub stwierdzenia nieważności decyzji </w:t>
      </w:r>
      <w:r w:rsidRPr="009A3C86">
        <w:rPr>
          <w:rFonts w:ascii="Times New Roman" w:hAnsi="Times New Roman"/>
          <w:iCs/>
          <w:sz w:val="24"/>
          <w:szCs w:val="24"/>
          <w:shd w:val="clear" w:color="auto" w:fill="FFFFFF"/>
          <w:lang w:eastAsia="pl-PL"/>
        </w:rPr>
        <w:t xml:space="preserve">lub spowodowania trudnych do odwrócenia skutków może być wynikiem powzięcia przez organ przekonania, że decyzja zostanie przez sąd prawomocnie uchylona mimo, że organ nie jest w stanie uwzględnić całości skargi, a nawet wtedy gdy skarga została oddalona przez sąd pierwszej instancji (wyrok nieprawomocny). Może to dotyczyć w szczególności takich przypadków, gdy już po wydaniu decyzji i wniesieniu skargi zostaje wydany wyrok TK lub TSUE dyskwalifikujący wykładnię przepisów przyjętą przez organ podatkowy. Może to </w:t>
      </w:r>
      <w:r w:rsidRPr="009A3C86">
        <w:rPr>
          <w:rFonts w:ascii="Times New Roman" w:hAnsi="Times New Roman"/>
          <w:iCs/>
          <w:sz w:val="24"/>
          <w:szCs w:val="24"/>
          <w:shd w:val="clear" w:color="auto" w:fill="FFFFFF"/>
          <w:lang w:eastAsia="pl-PL"/>
        </w:rPr>
        <w:lastRenderedPageBreak/>
        <w:t>dotyczyć sytuacji, gdy nawet już po nieprawomocnym oddaleniu skargi, Naczelny Sąd Administracyjny wydaje uchwałę dyskwalifikującą wykładnię przepisów przyjętą przez organ podatkowy (i sąd pierwszej instancji). Nie ma sensu wykonywanie decyzji w sytuacji, gdy organ sam przypuszcza, że decyzja, którą miałby wykonywać finalnie nie ostanie się w obrocie prawnym. Obecne zawężenie możliwości wstrzymania wykonania decyzji przez organ tylko do sytuacji związanych z posiadanym zabezpieczeniem wykonania decyzji nie uwzględnia opisanych sytuacji i wymusza na organie egzekwowanie decyzji, co do której prawidłowości organ sam ma uzasadnione wątpliwości, ale spór jest na takim etapie, że organ nie może już sam decyzji wzruszyć.</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Obecnie obowiązujące przepisy art. 246 i 252 o.p. przyznają organowi podatkowemu kompetencję do wstrzymania wykonania decyzji ostatecznej, gdy okoliczności sprawy wskazują na prawdopodobieństwo uchylenia decyzji w wyniku wznowienia postępowania lub prawdopodobieństwo stwierdzenia nieważności decyzji. Co istotne, wskazane przepisy nie wymagają zabezpieczenia majątkowego jako warunku wstrzymania wykonania decyzji ostatecznej. Decyzja ostateczna zaskarżona do sądu administracyjnego podlega wykonaniu bez względu na to, czy i w jakim stopniu organ ocenia prawdopodobieństwo uchylenia decyzji przez sąd. Natomiast organ może wstrzymać wykonanie tej samej decyzji ostatecznej w toku postępowania w trybie nadzwyczajnym, gdy dostrzeże prawdopodobieństwo jej eliminacji z obrotu prawnego. Organ podatkowy dysponuje zatem większym marginesem uznania w zakresie wstrzymania wykonania decyzji, gdy postępowanie poprzedzające jej wydanie lub sama treść decyzji jest prawdopodobnie dotknięta kwalifikowanymi wadami. Decyzja ostateczna może być objęta wstrzymaniem wykonania wedle różnych reguł. Obecnie obowiązujące rozwiązania są niespójne i niekonsekwentne. Aby zachować symetrię regulacji, proponuje się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481</w:t>
      </w:r>
      <w:r w:rsidRPr="009A3C86">
        <w:rPr>
          <w:rFonts w:ascii="Times New Roman" w:hAnsi="Times New Roman"/>
          <w:b/>
          <w:sz w:val="24"/>
          <w:szCs w:val="24"/>
          <w:lang w:eastAsia="pl-PL"/>
        </w:rPr>
        <w:t xml:space="preserve"> § 2</w:t>
      </w:r>
      <w:r w:rsidRPr="009A3C86">
        <w:rPr>
          <w:rFonts w:ascii="Times New Roman" w:hAnsi="Times New Roman"/>
          <w:sz w:val="24"/>
          <w:szCs w:val="24"/>
          <w:lang w:eastAsia="pl-PL"/>
        </w:rPr>
        <w:t>) wstrzymanie wykonania ostatecznej decyzji z urzędu lub na wniosek, jeżeli decyzja jest zaskarżona do sądu oraz, w związku ze skargą, zachodzi prawdopodobieństwo uchylenia lub stwierdzenia nieważności decyzji lub spowodowania trudnych do odwrócenia skutków</w:t>
      </w:r>
      <w:r w:rsidRPr="009A3C86">
        <w:rPr>
          <w:rFonts w:ascii="Times New Roman" w:hAnsi="Times New Roman"/>
          <w:sz w:val="24"/>
          <w:szCs w:val="24"/>
          <w:vertAlign w:val="superscript"/>
          <w:lang w:eastAsia="pl-PL"/>
        </w:rPr>
        <w:footnoteReference w:id="459"/>
      </w:r>
      <w:r w:rsidRPr="009A3C86">
        <w:rPr>
          <w:rFonts w:ascii="Times New Roman" w:hAnsi="Times New Roman"/>
          <w:sz w:val="24"/>
          <w:szCs w:val="24"/>
          <w:lang w:eastAsia="pl-PL"/>
        </w:rPr>
        <w:t xml:space="preserve">. Pojęcie „spowodowania trudnych do odwrócenia skutków” nawiązuje do przesłanki wstrzymania wykonania ostatecznej decyzji przez sąd administracyjny (art. 61 § 3 p.p.s.a.). Przewiduje się, że organ będzie korzystać z tej kompetencji, jeżeli (i) nie znajduje przesłanek do uwzględnienia skargi w całości (art. 54 § 3 </w:t>
      </w:r>
      <w:r w:rsidR="00E518AA" w:rsidRPr="009A3C86">
        <w:rPr>
          <w:rFonts w:ascii="Times New Roman" w:hAnsi="Times New Roman"/>
          <w:sz w:val="24"/>
          <w:szCs w:val="24"/>
          <w:lang w:eastAsia="pl-PL"/>
        </w:rPr>
        <w:t>p</w:t>
      </w:r>
      <w:r w:rsidRPr="009A3C86">
        <w:rPr>
          <w:rFonts w:ascii="Times New Roman" w:hAnsi="Times New Roman"/>
          <w:sz w:val="24"/>
          <w:szCs w:val="24"/>
          <w:lang w:eastAsia="pl-PL"/>
        </w:rPr>
        <w:t xml:space="preserve">.p.s.a.), ale (ii) zarzuty skargi w części organ uznaje za trafne, a więc kontrola </w:t>
      </w:r>
      <w:r w:rsidRPr="009A3C86">
        <w:rPr>
          <w:rFonts w:ascii="Times New Roman" w:hAnsi="Times New Roman"/>
          <w:sz w:val="24"/>
          <w:szCs w:val="24"/>
          <w:lang w:eastAsia="pl-PL"/>
        </w:rPr>
        <w:lastRenderedPageBreak/>
        <w:t>sądowoadministracyjna prawdopodobnie doprowadzi do uchylenia (stwierdzenia nieważności) decyzji przez sąd. Właściwym do oceny tej przesłanki wstrzymania wykonania decyzji jest organ, którego decyzja została zaskarżona do sądu.</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W § 3 sprecyzowano, że termin na załatwienie wniosku jest liczony od dnia wpływu wniosku do właściwego organu.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8. Obecnie obowiązujące przepisy art. 246 i 252 o.p. regulują wstrzymanie wykonania decyzji ostatecznej, mimo że są umiejscowione w rozdziałach „Wznowienie postępowania” oraz „Stwierdzenie nieważności decyzji”. Właściwym miejscem dla kompletnej regulacji wstrzymania wykonania decyzji, także w związku z postępowaniem w sprawie wznowienia postępowania lub postępowaniem w sprawie stwierdzenia nieważności decyzji, jest rozdział „Wykonanie decyzji” -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482</w:t>
      </w:r>
      <w:r w:rsidRPr="009A3C86">
        <w:rPr>
          <w:rFonts w:ascii="Times New Roman" w:hAnsi="Times New Roman"/>
          <w:sz w:val="24"/>
          <w:szCs w:val="24"/>
          <w:lang w:eastAsia="pl-PL"/>
        </w:rPr>
        <w:t xml:space="preserve">. </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9. W konsekwencji przedstawionych wyżej propozycji określenie formy wstrzymania wykonania decyzji ostatecznej musi odnosić się zarówno do wstrzymania wykonania decyzji skarżonej do sądu, jak i decyzji weryfikowanej w trybach nadzwyczajnych. Z tego względu dotychczasowy art. 239f § 4 o.p. proponuje się umiejscowić jako samodzielny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483</w:t>
      </w:r>
      <w:r w:rsidRPr="009A3C86">
        <w:rPr>
          <w:rFonts w:ascii="Times New Roman" w:hAnsi="Times New Roman"/>
          <w:sz w:val="24"/>
          <w:szCs w:val="24"/>
          <w:lang w:eastAsia="pl-PL"/>
        </w:rPr>
        <w:t>.</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10. Przepis </w:t>
      </w:r>
      <w:r w:rsidRPr="009A3C86">
        <w:rPr>
          <w:rFonts w:ascii="Times New Roman" w:hAnsi="Times New Roman"/>
          <w:b/>
          <w:sz w:val="24"/>
          <w:szCs w:val="24"/>
          <w:lang w:eastAsia="pl-PL"/>
        </w:rPr>
        <w:t xml:space="preserve">art. </w:t>
      </w:r>
      <w:r w:rsidR="007F3FF9" w:rsidRPr="009A3C86">
        <w:rPr>
          <w:rFonts w:ascii="Times New Roman" w:hAnsi="Times New Roman"/>
          <w:b/>
          <w:sz w:val="24"/>
          <w:szCs w:val="24"/>
          <w:lang w:eastAsia="pl-PL"/>
        </w:rPr>
        <w:t>484</w:t>
      </w:r>
      <w:r w:rsidRPr="009A3C86">
        <w:rPr>
          <w:rFonts w:ascii="Times New Roman" w:hAnsi="Times New Roman"/>
          <w:sz w:val="24"/>
          <w:szCs w:val="24"/>
          <w:lang w:eastAsia="pl-PL"/>
        </w:rPr>
        <w:t xml:space="preserve"> ma bazę w obecnym przepisie art. 239g o.p. Aby usunąć potencjalne wątpliwości co do prawa strony wykonania decyzji nieostatecznej, której nie nadano rygoru natychmiastowej wykonalności, proponowany przepis formułuje generalne uprawnienie strony wykonania każdej decyzji bez względu na etap, na jakim znajduje się postępowanie podatkowe oraz na to, czy decyzji nadano rygor natychmiastowej wykonalności, czy też wstrzymano jej wykonanie.</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11. Projektowane przepisy </w:t>
      </w:r>
      <w:r w:rsidRPr="009A3C86">
        <w:rPr>
          <w:rFonts w:ascii="Times New Roman" w:hAnsi="Times New Roman"/>
          <w:b/>
          <w:sz w:val="24"/>
          <w:szCs w:val="24"/>
          <w:lang w:eastAsia="pl-PL"/>
        </w:rPr>
        <w:t xml:space="preserve">art. </w:t>
      </w:r>
      <w:r w:rsidR="00347540" w:rsidRPr="009A3C86">
        <w:rPr>
          <w:rFonts w:ascii="Times New Roman" w:hAnsi="Times New Roman"/>
          <w:b/>
          <w:sz w:val="24"/>
          <w:szCs w:val="24"/>
          <w:lang w:eastAsia="pl-PL"/>
        </w:rPr>
        <w:t>485</w:t>
      </w:r>
      <w:r w:rsidRPr="009A3C86">
        <w:rPr>
          <w:rFonts w:ascii="Times New Roman" w:hAnsi="Times New Roman"/>
          <w:b/>
          <w:sz w:val="24"/>
          <w:szCs w:val="24"/>
          <w:lang w:eastAsia="pl-PL"/>
        </w:rPr>
        <w:t>-</w:t>
      </w:r>
      <w:r w:rsidR="00347540" w:rsidRPr="009A3C86">
        <w:rPr>
          <w:rFonts w:ascii="Times New Roman" w:hAnsi="Times New Roman"/>
          <w:b/>
          <w:sz w:val="24"/>
          <w:szCs w:val="24"/>
          <w:lang w:eastAsia="pl-PL"/>
        </w:rPr>
        <w:t>487</w:t>
      </w:r>
      <w:r w:rsidRPr="009A3C86">
        <w:rPr>
          <w:rFonts w:ascii="Times New Roman" w:hAnsi="Times New Roman"/>
          <w:sz w:val="24"/>
          <w:szCs w:val="24"/>
          <w:lang w:eastAsia="pl-PL"/>
        </w:rPr>
        <w:t xml:space="preserve"> są odpowiednikami obecnych art. 239h-239j o.p. Nadal obowiązywać powinny reguły wyrażone w tych przepisach:</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wstrzymanie wykonania decyzji nie ma wpływu na naliczanie odsetek za zwłokę,</w:t>
      </w:r>
    </w:p>
    <w:p w:rsidR="0085545A" w:rsidRPr="009A3C86" w:rsidRDefault="0085545A" w:rsidP="0085545A">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ustanowienie hipoteki przymusowej lub zastawu skarbowego nie stanowi wykonania decyzji,</w:t>
      </w:r>
    </w:p>
    <w:p w:rsidR="0085545A" w:rsidRPr="009A3C86" w:rsidRDefault="0085545A" w:rsidP="00D72E74">
      <w:pPr>
        <w:spacing w:after="120" w:line="360" w:lineRule="auto"/>
        <w:jc w:val="both"/>
        <w:rPr>
          <w:rFonts w:ascii="Times New Roman" w:hAnsi="Times New Roman"/>
          <w:sz w:val="24"/>
          <w:szCs w:val="24"/>
          <w:lang w:eastAsia="pl-PL"/>
        </w:rPr>
      </w:pPr>
      <w:r w:rsidRPr="009A3C86">
        <w:rPr>
          <w:rFonts w:ascii="Times New Roman" w:hAnsi="Times New Roman"/>
          <w:sz w:val="24"/>
          <w:szCs w:val="24"/>
          <w:lang w:eastAsia="pl-PL"/>
        </w:rPr>
        <w:t>- przepisy rozdziału „Wykonanie decyzji” stosuje się odpowiednio do wykonania postanowień.</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65" w:name="_Toc494363285"/>
      <w:r w:rsidRPr="009A3C86">
        <w:rPr>
          <w:rFonts w:ascii="Times New Roman" w:hAnsi="Times New Roman"/>
          <w:b/>
          <w:bCs/>
          <w:sz w:val="24"/>
          <w:szCs w:val="24"/>
        </w:rPr>
        <w:t>Rozdział 19. Wznowienie postępowania</w:t>
      </w:r>
      <w:bookmarkEnd w:id="65"/>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 Tryb nadzwyczajny wzruszenia decyzji ostatecznej w wyniku wznowienia postępowania ma na celu weryfikację przeprowadzonego postępowania pod kątem enumeratywnie wskazanych przesłanek. Obecne przesłanki wznowienia postępowania są prawidłowo sformułowane i nie budzą w praktyce większych wątpliwości, a w każdym razie nie takich, które wymagałyby interwencji legislacyjnej. Doktryna i orzecznictwo sądowe dogłębnie wyjaśniają wszelkie </w:t>
      </w:r>
      <w:r w:rsidRPr="009A3C86">
        <w:rPr>
          <w:rFonts w:ascii="Times New Roman" w:hAnsi="Times New Roman"/>
          <w:sz w:val="24"/>
          <w:szCs w:val="24"/>
        </w:rPr>
        <w:lastRenderedPageBreak/>
        <w:t xml:space="preserve">możliwe problemy praktyczne. Stabilność przepisów pozwoli na zachowanie aktualności dorobku wykładni prawa dokonywanej w wieloletnim procesie ich stosowania.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Postępowanie w sprawie wznowienia postępowania jest prowadzone dwuetapowo. W pierwszej kolejności ocenia się dopuszczalność wznowienia postępowania w tzw. postępowaniu wznowieniowym (wstępnym). W drugiej kolejności prowadzi się postępowanie co do istnienia przesłanek wznowienia postępowania (kwalifikowanych wad procesowych), a w razie ich stwierdzenia ponownie prowadzi się postępowanie w sprawie zakończonej decyzją ostateczną, niejako „otwierając” to postępowanie jako postępowanie wznowione. Uproszczenia wymaga prowadzenie postępowania w tym trybie. Dwufazowość tego trybu postępowania nie ma silnego uzasadnienia, gdy przesłanki wznowienia nie są wynikiem działania organu, który wydał decyzję w ostatniej instancji. Należy wprowadzić jednofazowe postępowanie, gdy przesłanki wznowienia powstają niezależnie </w:t>
      </w:r>
      <w:r w:rsidR="009F70F7" w:rsidRPr="009A3C86">
        <w:rPr>
          <w:rFonts w:ascii="Times New Roman" w:hAnsi="Times New Roman"/>
          <w:sz w:val="24"/>
          <w:szCs w:val="24"/>
        </w:rPr>
        <w:t>od</w:t>
      </w:r>
      <w:r w:rsidRPr="009A3C86">
        <w:rPr>
          <w:rFonts w:ascii="Times New Roman" w:hAnsi="Times New Roman"/>
          <w:sz w:val="24"/>
          <w:szCs w:val="24"/>
        </w:rPr>
        <w:t xml:space="preserve"> organu. Takie postępowanie będzie szybsze i prostsze. Prawa przysługujące stronie postępowania podatkowego w żadnej mierze nie doznają uszczerbku poprzez zniesienie wstępnej fazy, tj. postępowania wznowieniowego.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Koncepcja przedawnienia założona w niniejszym projekcie oddzielająca przedawnienie wymiaru od przedawnienia poboru wymaga też zasadniczej przebudowy zakresu stosowania trybu wznowienia postępowania.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DC055C" w:rsidRPr="009A3C86">
        <w:rPr>
          <w:rFonts w:ascii="Times New Roman" w:hAnsi="Times New Roman"/>
          <w:b/>
          <w:sz w:val="24"/>
          <w:szCs w:val="24"/>
        </w:rPr>
        <w:t>488</w:t>
      </w:r>
      <w:r w:rsidRPr="009A3C86">
        <w:rPr>
          <w:rFonts w:ascii="Times New Roman" w:hAnsi="Times New Roman"/>
          <w:sz w:val="24"/>
          <w:szCs w:val="24"/>
        </w:rPr>
        <w:t xml:space="preserve"> zachowuje wszystkie obecne (art. 240 § 1 o.p.) przesłanki wznowienia postępowania.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porównaniu do obecnego stanu prawnego dodana została nowa przesłanka w § 1 pkt 9, gdy decyzja została wydana na podstawie przepisu znajdującego się w akcie prawa miejscowego organu jednostki samorządu terytorialnego, którego nieważność stwierdził w części lub całości sąd administracyjny prawomocnym wyrokiem. Jest to sytuacja analogiczna do tej, gdy decyzja została wydana na podstawie przepisu, o którego niezgodności z Konstytucją Rzeczypospolitej Polskiej, ustawą lub ratyfikowaną umową międzynarodową orzekł Trybunał Konstytucyjny.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Nową jest też przesłanka</w:t>
      </w:r>
      <w:r w:rsidR="00EC084D" w:rsidRPr="009A3C86">
        <w:rPr>
          <w:rFonts w:ascii="Times New Roman" w:hAnsi="Times New Roman"/>
          <w:sz w:val="24"/>
          <w:szCs w:val="24"/>
        </w:rPr>
        <w:t xml:space="preserve"> w</w:t>
      </w:r>
      <w:r w:rsidRPr="009A3C86">
        <w:rPr>
          <w:rFonts w:ascii="Times New Roman" w:hAnsi="Times New Roman"/>
          <w:sz w:val="24"/>
          <w:szCs w:val="24"/>
        </w:rPr>
        <w:t xml:space="preserve"> § 1 pkt 13, dotycząca sytuacji niezgodności przepisów prawa krajowego z przepisami prawa Unii Europejskiej, która została usunięta zmianą legislacyjną w przepisach prawa krajowego (np. po opinii Komisji przed TSUE). Argumentacja za poszerzeniem uprawnienia zobowiązanego w wyniku stwierdzenia przez TSUE niezgodności przepisów prawa krajowego z przepisami prawa Unii Europejskiej została przedstawiona w części uzasadnienia dotyczącej nadpłat.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stosunku do obecnego stanu prawnego dodany został przepis </w:t>
      </w:r>
      <w:r w:rsidRPr="009A3C86">
        <w:rPr>
          <w:rFonts w:ascii="Times New Roman" w:hAnsi="Times New Roman"/>
          <w:b/>
          <w:sz w:val="24"/>
          <w:szCs w:val="24"/>
        </w:rPr>
        <w:t>§ 4</w:t>
      </w:r>
      <w:r w:rsidRPr="009A3C86">
        <w:rPr>
          <w:rFonts w:ascii="Times New Roman" w:hAnsi="Times New Roman"/>
          <w:sz w:val="24"/>
          <w:szCs w:val="24"/>
        </w:rPr>
        <w:t xml:space="preserve">. Zarejestrowany akt poświadczenia dziedziczenia może być uchylony lub zmieniony na podstawie art. 679 k.p.c. Ten akt nie jest decyzją ani orzeczeniem sądu, więc obecnie mogą istnieć wątpliwości co do </w:t>
      </w:r>
      <w:r w:rsidRPr="009A3C86">
        <w:rPr>
          <w:rFonts w:ascii="Times New Roman" w:hAnsi="Times New Roman"/>
          <w:sz w:val="24"/>
          <w:szCs w:val="24"/>
        </w:rPr>
        <w:lastRenderedPageBreak/>
        <w:t xml:space="preserve">wznowienia postępowania podatkowego, gdy decyzja organu podatkowego była oparta na zarejestrowanym akcie poświadczenia dziedziczenia, który został następnie zmieniony lub uchylony (§ 4 pkt 1). Decyzja orzekająca o odpowiedzialności podatkowej osoby trzeciej może zostać wydana na podstawie ostatecznej decyzji wymiarowej zobowiązanego. W przypadku, o którym mowa w art. </w:t>
      </w:r>
      <w:r w:rsidR="008124DD" w:rsidRPr="009A3C86">
        <w:rPr>
          <w:rFonts w:ascii="Times New Roman" w:hAnsi="Times New Roman"/>
          <w:sz w:val="24"/>
          <w:szCs w:val="24"/>
        </w:rPr>
        <w:t>463</w:t>
      </w:r>
      <w:r w:rsidRPr="009A3C86">
        <w:rPr>
          <w:rFonts w:ascii="Times New Roman" w:hAnsi="Times New Roman"/>
          <w:sz w:val="24"/>
          <w:szCs w:val="24"/>
        </w:rPr>
        <w:t xml:space="preserve"> § 4 decyzja wymiarowa może jednak stracić przymiot ostateczności. W takiej sytuacji należy wznowić postępowanie w sprawie orzeczenia odpowiedzialności podatkowej osoby trzeciej analogicznie do innych przypadków powiązania decyzji w dwóch sprawach, wskazanych w art. </w:t>
      </w:r>
      <w:r w:rsidR="008124DD" w:rsidRPr="009A3C86">
        <w:rPr>
          <w:rFonts w:ascii="Times New Roman" w:hAnsi="Times New Roman"/>
          <w:sz w:val="24"/>
          <w:szCs w:val="24"/>
        </w:rPr>
        <w:t>488</w:t>
      </w:r>
      <w:r w:rsidRPr="009A3C86">
        <w:rPr>
          <w:rFonts w:ascii="Times New Roman" w:hAnsi="Times New Roman"/>
          <w:sz w:val="24"/>
          <w:szCs w:val="24"/>
        </w:rPr>
        <w:t xml:space="preserve"> § 1 pkt 8 (§ 4 pkt 2).</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306673" w:rsidRPr="009A3C86">
        <w:rPr>
          <w:rFonts w:ascii="Times New Roman" w:hAnsi="Times New Roman"/>
          <w:b/>
          <w:sz w:val="24"/>
          <w:szCs w:val="24"/>
        </w:rPr>
        <w:t>489</w:t>
      </w:r>
      <w:r w:rsidRPr="009A3C86">
        <w:rPr>
          <w:rFonts w:ascii="Times New Roman" w:hAnsi="Times New Roman"/>
          <w:sz w:val="24"/>
          <w:szCs w:val="24"/>
        </w:rPr>
        <w:t xml:space="preserve"> zawiera regulacje obecnego art. 241 o.p., ale ulega też istotnym zmianom. Dopuszczalność wznowienia postępowania powinna być powiązana z terminem przedawnienia poboru podatku. Alternatywne rozwiązanie, polegające na powiązaniu dopuszczalności wznowienia postępowania z terminem przedawnienia wymiaru, prowadziłoby do tego, że w obrocie prawnym pozostawałyby decyzje, co do których istnieją poważne zastrzeżenia w zakresie legalności postępowania poprzedzającego ich wydanie lub legalności podstaw prawnych ich wydania. Mimo tych wątpliwości co do legalności postępowania, po terminie przedawnienia wymiaru, decyzja podlegałaby wykonaniu, także wykonaniu przymusowemu. Takie rozwiązanie nie służyłoby ochronie słusznych interesów strony postępowania oraz godziłoby w zasadę praworządności i zasadę zaufania. Należy pozostawić możliwość weryfikacji decyzji wymiarowej nawet po upływie terminu przedawnienia wymiaru, jeżeli postępowanie jest dotknięte kwalifikowanymi wadami. Inne rozwiązanie byłoby akceptacją i zamrożeniem stanu nielegalności. To termin przedawnienia poboru powinien wyznaczać dopuszczalność wznowienia postępowania. Ta okoliczność powinna być rozpoznawana zarówno w przypadku wniosku strony </w:t>
      </w:r>
      <w:r w:rsidRPr="009A3C86">
        <w:rPr>
          <w:rFonts w:ascii="Times New Roman" w:hAnsi="Times New Roman"/>
          <w:b/>
          <w:sz w:val="24"/>
          <w:szCs w:val="24"/>
        </w:rPr>
        <w:t>(§ 1</w:t>
      </w:r>
      <w:r w:rsidRPr="009A3C86">
        <w:rPr>
          <w:rFonts w:ascii="Times New Roman" w:hAnsi="Times New Roman"/>
          <w:sz w:val="24"/>
          <w:szCs w:val="24"/>
        </w:rPr>
        <w:t xml:space="preserve">), jak i w przypadku wszczynania postępowania z urzędu </w:t>
      </w:r>
      <w:r w:rsidRPr="009A3C86">
        <w:rPr>
          <w:rFonts w:ascii="Times New Roman" w:hAnsi="Times New Roman"/>
          <w:b/>
          <w:sz w:val="24"/>
          <w:szCs w:val="24"/>
        </w:rPr>
        <w:t>(§ 2</w:t>
      </w:r>
      <w:r w:rsidRPr="009A3C86">
        <w:rPr>
          <w:rFonts w:ascii="Times New Roman" w:hAnsi="Times New Roman"/>
          <w:sz w:val="24"/>
          <w:szCs w:val="24"/>
        </w:rPr>
        <w:t>). Złożenie wniosku strony przed upływem terminu przedawnienia poboru oznacza skuteczne wszczęcie tego postępowania i konieczność jego przeprowadzenia także wówczas, jeżeli termin przedawnienia poboru upłynie w toku postępowania. Analogicznie będzie w przypadku wszczęcia postępowania z urzędu. Gdyby możliwość wzruszenia decyzji ostatecznej w trybie wznowienia postępowania limitowana była terminem przedawnienia wymiaru, w którym ma doręczyć decyzję organ podatkowy I instancji, to zaistniałyby sytuacje, w których wydanie decyzji wymiarowej pod koniec wskazanego terminu faktycznie uniemożliwiałoby jej wzruszenie w trybie wznowienia.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4. W </w:t>
      </w:r>
      <w:r w:rsidRPr="009A3C86">
        <w:rPr>
          <w:rFonts w:ascii="Times New Roman" w:hAnsi="Times New Roman"/>
          <w:b/>
          <w:sz w:val="24"/>
          <w:szCs w:val="24"/>
        </w:rPr>
        <w:t xml:space="preserve">art. </w:t>
      </w:r>
      <w:r w:rsidR="00306673" w:rsidRPr="009A3C86">
        <w:rPr>
          <w:rFonts w:ascii="Times New Roman" w:hAnsi="Times New Roman"/>
          <w:b/>
          <w:sz w:val="24"/>
          <w:szCs w:val="24"/>
        </w:rPr>
        <w:t>489</w:t>
      </w:r>
      <w:r w:rsidRPr="009A3C86">
        <w:rPr>
          <w:rFonts w:ascii="Times New Roman" w:hAnsi="Times New Roman"/>
          <w:b/>
          <w:sz w:val="24"/>
          <w:szCs w:val="24"/>
        </w:rPr>
        <w:t xml:space="preserve"> § 2 pkt 1</w:t>
      </w:r>
      <w:r w:rsidRPr="009A3C86">
        <w:rPr>
          <w:rFonts w:ascii="Times New Roman" w:hAnsi="Times New Roman"/>
          <w:sz w:val="24"/>
          <w:szCs w:val="24"/>
        </w:rPr>
        <w:t xml:space="preserve"> dokonuje się zmiany redakcyjnej, zastępując wyrazy „powzięcia (przez stronę) wiadomości o wydaniu decyzji” wyrazami „strona dowiedziała się o decyzji”. Przepis stanie się bardziej czytelny, a ponadto szerzej ujmuje przesłankę, abstrahując od momentu </w:t>
      </w:r>
      <w:r w:rsidRPr="009A3C86">
        <w:rPr>
          <w:rFonts w:ascii="Times New Roman" w:hAnsi="Times New Roman"/>
          <w:sz w:val="24"/>
          <w:szCs w:val="24"/>
        </w:rPr>
        <w:lastRenderedPageBreak/>
        <w:t xml:space="preserve">„wydania” decyzji. Wystarczające, że strona ogólnie wie, że taka decyzja jest, bez znaczenia, czy wie o wydaniu decyzji, czy np. o jej doręczeniu lub wykonywaniu.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5. W przeciwieństwie do obecnego art. 241 § 2 pkt 2 o.p. projektowany art. </w:t>
      </w:r>
      <w:r w:rsidR="00B747FA" w:rsidRPr="009A3C86">
        <w:rPr>
          <w:rFonts w:ascii="Times New Roman" w:hAnsi="Times New Roman"/>
          <w:sz w:val="24"/>
          <w:szCs w:val="24"/>
        </w:rPr>
        <w:t>489</w:t>
      </w:r>
      <w:r w:rsidRPr="009A3C86">
        <w:rPr>
          <w:rFonts w:ascii="Times New Roman" w:hAnsi="Times New Roman"/>
          <w:sz w:val="24"/>
          <w:szCs w:val="24"/>
        </w:rPr>
        <w:t xml:space="preserve"> § 2 pkt 1 znosi, co do zasady, termin na złożenie wniosku o wznowienie postępowania, jeżeli decyzja została wydana na podstawie przepisu, o którego niezgodności z Konstytucją Rzeczypospolitej Polskiej, ustawą lub ratyfikowaną umową międzynarodową orzekł Trybunał Konstytucyjny albo orzeczenie Trybunału Sprawiedliwości Unii Europejskiej ma wpływ na treść wydanej decyzji. Obecnie obowiązujący termin jednego miesiąca na wznowienie postępowania ze wskazanych przyczyn wydaje się nawet nie tyle zbyt krótki</w:t>
      </w:r>
      <w:r w:rsidRPr="009A3C86">
        <w:rPr>
          <w:rFonts w:ascii="Times New Roman" w:hAnsi="Times New Roman"/>
          <w:sz w:val="24"/>
          <w:szCs w:val="24"/>
          <w:vertAlign w:val="superscript"/>
        </w:rPr>
        <w:footnoteReference w:id="460"/>
      </w:r>
      <w:r w:rsidRPr="009A3C86">
        <w:rPr>
          <w:rFonts w:ascii="Times New Roman" w:hAnsi="Times New Roman"/>
          <w:sz w:val="24"/>
          <w:szCs w:val="24"/>
        </w:rPr>
        <w:t>, co zbędny. Podkreślić należy, że przyczyną wznowienia postępowania jest wadliwość w stanowieniu prawa lub w implementacji prawa UE do prawa krajowego. Są to okoliczności przez stronę niezawinione, tak jak i wiele innych przesłanek wznowienia postępowania, dla których wniosek strony nie jest limitowany terminem. Strona nie powinna być w tym zakresie ograniczona co do terminu, w jakim należy złożyć wniosek o wznowienie postępowania. Nie można akceptować sytuacji, w której upływ czasu (terminu przedawnienia poboru) zalegalizuje decyzje ostateczne, mimo że okazuje się, że przykładowo podstawy prawne takiej decyzji były niezgodne z Konstytucją. Ponadto zaproponowana zmiana niweluje nierówność pomiędzy podatnikami tylko ze względu na zastosowanie odmiennych technik powstawania zobowiązań podatkowych bądź też wynikanie zobowiązania podatkowego z decyzji określającej jego wysokość, a nie z deklaracji podatkowej</w:t>
      </w:r>
      <w:r w:rsidRPr="009A3C86">
        <w:rPr>
          <w:rFonts w:ascii="Times New Roman" w:hAnsi="Times New Roman"/>
          <w:sz w:val="24"/>
          <w:szCs w:val="24"/>
          <w:vertAlign w:val="superscript"/>
        </w:rPr>
        <w:footnoteReference w:id="461"/>
      </w:r>
      <w:r w:rsidRPr="009A3C86">
        <w:rPr>
          <w:rFonts w:ascii="Times New Roman" w:hAnsi="Times New Roman"/>
          <w:sz w:val="24"/>
          <w:szCs w:val="24"/>
        </w:rPr>
        <w:t xml:space="preserve">. Powyższe odnosi się także do sytuacji, gdy weszły w życie przepisy prawa krajowego usuwające niezgodność przepisów prawa krajowego z przepisami prawa Unii Europejskiej </w:t>
      </w:r>
      <w:r w:rsidRPr="009A3C86">
        <w:rPr>
          <w:rFonts w:ascii="Times New Roman" w:hAnsi="Times New Roman"/>
          <w:b/>
          <w:sz w:val="24"/>
          <w:szCs w:val="24"/>
        </w:rPr>
        <w:t>(§ 4 pkt 1</w:t>
      </w:r>
      <w:r w:rsidRPr="009A3C86">
        <w:rPr>
          <w:rFonts w:ascii="Times New Roman" w:hAnsi="Times New Roman"/>
          <w:sz w:val="24"/>
          <w:szCs w:val="24"/>
        </w:rPr>
        <w:t xml:space="preserve">) lub stwierdzono nieważność aktu prawa miejscowego organu jednostki samorządu terytorialnego przez sąd administracyjny prawomocnym wyrokiem </w:t>
      </w:r>
      <w:r w:rsidRPr="009A3C86">
        <w:rPr>
          <w:rFonts w:ascii="Times New Roman" w:hAnsi="Times New Roman"/>
          <w:b/>
          <w:sz w:val="24"/>
          <w:szCs w:val="24"/>
        </w:rPr>
        <w:t>(§ 4 pkt 2</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6. Co do zasady, strona zainteresowana wznowieniem postępowania powinna być obligowana do złożenia wniosku przed upływem terminu przedawnienia poboru. Pewność prawa wymaga, aby nie dopuszczać do sytuacji, w której zobowiązanie podatkowe może być reaktywowane i można po upływie terminu przedawnienia poboru nadal prowadzić postępowanie w sprawie przedawnionego zobowiązania bez jakichkolwiek ograniczeń czasowych.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Powyższa zasada ulega jednak modyfikacji w tak szczególnej sytuacji jak wydanie decyzji ostatecznej na podstawie przepisu, o którego niezgodności z Konstytucją Rzeczypospolitej Polskiej, ustawą lub ratyfikowaną umową międzynarodową orzekł Trybunał Konstytucyjny albo orzeczenie Trybunału Sprawiedliwości Unii Europejskiej ma wpływ na treść wydanej decyzji. Projektowany art.</w:t>
      </w:r>
      <w:r w:rsidR="00543969" w:rsidRPr="009A3C86">
        <w:rPr>
          <w:rFonts w:ascii="Times New Roman" w:hAnsi="Times New Roman"/>
          <w:b/>
          <w:sz w:val="24"/>
          <w:szCs w:val="24"/>
        </w:rPr>
        <w:t xml:space="preserve"> </w:t>
      </w:r>
      <w:r w:rsidR="00BF570C" w:rsidRPr="009A3C86">
        <w:rPr>
          <w:rFonts w:ascii="Times New Roman" w:hAnsi="Times New Roman"/>
          <w:b/>
          <w:sz w:val="24"/>
          <w:szCs w:val="24"/>
        </w:rPr>
        <w:t>489</w:t>
      </w:r>
      <w:r w:rsidRPr="009A3C86">
        <w:rPr>
          <w:rFonts w:ascii="Times New Roman" w:hAnsi="Times New Roman"/>
          <w:b/>
          <w:sz w:val="24"/>
          <w:szCs w:val="24"/>
        </w:rPr>
        <w:t xml:space="preserve"> § 3</w:t>
      </w:r>
      <w:r w:rsidRPr="009A3C86">
        <w:rPr>
          <w:rFonts w:ascii="Times New Roman" w:hAnsi="Times New Roman"/>
          <w:sz w:val="24"/>
          <w:szCs w:val="24"/>
        </w:rPr>
        <w:t xml:space="preserve"> stanowi, że wznowienie postępowania następuje na wniosek strony złożony w terminie 3 miesięcy od dnia wejścia w życie orzeczenia Trybunału Konstytucyjnego lub publikacji sentencji orzeczenia Trybunału Sprawiedliwości Unii Europejskiej w Dzienniku Urzędowym Unii Europejskiej, jeżeli:</w:t>
      </w:r>
    </w:p>
    <w:p w:rsidR="0085545A" w:rsidRPr="009A3C86" w:rsidRDefault="0085545A" w:rsidP="00D72E74">
      <w:pPr>
        <w:numPr>
          <w:ilvl w:val="0"/>
          <w:numId w:val="11"/>
        </w:numPr>
        <w:tabs>
          <w:tab w:val="left" w:pos="284"/>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t>okres od dnia wejścia w życie orzeczenia Trybunału Konstytucyjnego lub publikacji sentencji orzeczenia Trybunału Sprawiedliwości Unii Europejskiej w Dzienniku Urzędowym Unii Europejskiej do dnia upływu terminu przedawnienia poboru jest krótszy niż 3 miesiące lub</w:t>
      </w:r>
    </w:p>
    <w:p w:rsidR="0085545A" w:rsidRPr="009A3C86" w:rsidRDefault="0085545A" w:rsidP="00D72E74">
      <w:pPr>
        <w:numPr>
          <w:ilvl w:val="0"/>
          <w:numId w:val="11"/>
        </w:numPr>
        <w:tabs>
          <w:tab w:val="left" w:pos="284"/>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t xml:space="preserve">wejście w życie orzeczenia Trybunału Konstytucyjnego lub publikacja sentencji orzeczenia Trybunału Sprawiedliwości Unii Europejskiej w Dzienniku Urzędowym Unii Europejskiej nastąpiło po upływie terminu przedawnienia poboru.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Proponowane rozwiązanie wymaga więc od strony zachowania 3-miesięcznego terminu na złożenie wniosku o wznowienie postępowania, jeżeli zbliża się termin przedawnienia poboru lub termin ten już upłynął. Projektowany przepis umożliwia weryfikację zobowiązania wymierzonego decyzją ostateczną w każdym przypadku, gdy Trybunał Konstytucyjny stwierdza niekonstytucyjność podstawy prawnej takiej decyzji albo orzeczenie Trybunału Sprawiedliwości Unii Europejskiej ma wpływ na treść wydanej decyzji ostatecznej. Założyć należy, że w przypadku wykonania decyzji ostatecznej dotkniętej takimi wadami jej uchylenie lub zmiana w wyniku wznowienia postępowania doprowadzi do ujawnienia nadpłaty.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7. Należy też podnieść sprawność postępowania w trybach nadzwyczajnych. Skoro wobec odwołania, a więc środka procesowego w trybie zwyczajnym, są obecnie określone minimalne wymogi formalne (art. 222 o.p.), to tym bardziej analogiczne wymogi formalne powinien spełniać wniosek składany w trybach nadzwyczajnych. Wniosek o wznowienie postępowania powinien wskazywać przesłankę wznowienia, określać istotę i zakres żądania oraz wskazywać okoliczności lub dowody uzasadniające to żądanie, jeżeli strona na istnienie tych okoliczności lub dowodów się powołuje (</w:t>
      </w:r>
      <w:r w:rsidRPr="009A3C86">
        <w:rPr>
          <w:rFonts w:ascii="Times New Roman" w:hAnsi="Times New Roman"/>
          <w:b/>
          <w:sz w:val="24"/>
          <w:szCs w:val="24"/>
        </w:rPr>
        <w:t xml:space="preserve">art. </w:t>
      </w:r>
      <w:r w:rsidR="00BF570C" w:rsidRPr="009A3C86">
        <w:rPr>
          <w:rFonts w:ascii="Times New Roman" w:hAnsi="Times New Roman"/>
          <w:b/>
          <w:sz w:val="24"/>
          <w:szCs w:val="24"/>
        </w:rPr>
        <w:t>489</w:t>
      </w:r>
      <w:r w:rsidRPr="009A3C86">
        <w:rPr>
          <w:rFonts w:ascii="Times New Roman" w:hAnsi="Times New Roman"/>
          <w:b/>
          <w:sz w:val="24"/>
          <w:szCs w:val="24"/>
        </w:rPr>
        <w:t xml:space="preserve"> § 5</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8. Ekonomika postępowania wymaga, aby nie prowadzić postępowania w sprawie, jeżeli dane zagadnienie zostało już zweryfikowane przez sąd administracyjny. Zgodnie z art. 134 § 1 p.p.s.a. sąd rozstrzyga w granicach danej sprawy, nie będąc jednak związany zarzutami i wnioskami skargi oraz powołaną podstawą prawną. Obecnie obowiązujący art. 249 § 1 pkt 2 </w:t>
      </w:r>
      <w:r w:rsidRPr="009A3C86">
        <w:rPr>
          <w:rFonts w:ascii="Times New Roman" w:hAnsi="Times New Roman"/>
          <w:sz w:val="24"/>
          <w:szCs w:val="24"/>
        </w:rPr>
        <w:lastRenderedPageBreak/>
        <w:t xml:space="preserve">o.p. w zakresie trybu stwierdzenia nieważności nakazuje odmowę wszczęcia postępowania w sprawie stwierdzenia nieważności, jeżeli skarga na decyzję ostateczną została oddalona przez sąd administracyjny. Tworzy to domniemanie, że taka decyzja nie może być dotknięta ciężkimi wadami, skoro sąd administracyjny, który w pierwszej instancji nie jest przecież związany granicami skargi, takich wad nie dostrzegł. Nie ma obecnie analogicznej regulacji dotyczącej wznowienia postępowania. Zaznaczyć należy, że z uwagi na swoją specyfikę przesłanki wznowienia postępowania, inaczej niż większość przesłanek stwierdzenia nieważności, mogą powstać lub zostać ujawnione już po prawomocnym rozstrzygnięciu sprawy przez sąd. Analogiczna sytuacja może też powstać w przypadku stwierdzenia nieważności decyzji; po prawomocnym rozstrzygnięciu sprawy przez sąd może zostać ujawnione naruszenie powagi rzeczy osądzonej (art. 249 § 1 pkt 2 o.p.). Nie można </w:t>
      </w:r>
      <w:r w:rsidRPr="009A3C86">
        <w:rPr>
          <w:rFonts w:ascii="Times New Roman" w:hAnsi="Times New Roman"/>
          <w:i/>
          <w:iCs/>
          <w:sz w:val="24"/>
          <w:szCs w:val="24"/>
        </w:rPr>
        <w:t>a priori</w:t>
      </w:r>
      <w:r w:rsidRPr="009A3C86">
        <w:rPr>
          <w:rFonts w:ascii="Times New Roman" w:hAnsi="Times New Roman"/>
          <w:sz w:val="24"/>
          <w:szCs w:val="24"/>
        </w:rPr>
        <w:t xml:space="preserve"> założyć, że w każdym przypadku po prawomocnym oddaleniu skargi przez sąd postępowanie prowadzące do wydania tej ostatecznej i prawomocnej decyzji było wolne do wad stanowiących przesłankę wznowienia postępowania. Domniemanie prawidłowości decyzji po kontroli sądowej jest uzasadnione w zakresie wznowienia postępowania tylko wtedy, gdy przesłanka wznowienia, która jest podnoszona we wniosku strony, stanowiła przedmiot prawomocnego rozstrzygnięcia sądu. Wtedy zagadnienie istnienia przesłanki jest ujawnione w postępowaniu sądowoadministracyjnym i sąd je bada. Strona może w odwołaniu i następnie w skardze do sądu administracyjnego podnosić zarzuty co do prawidłowości postępowania, identyczne z przesłankami wznowienia postępowania. Podnoszona we wniosku przesłanka wznowienia postępowania może pokrywać się z rozstrzygnięciem sądu. Wyrok prawomocny ma powagę rzeczy osądzonej co do tego, co w związku ze skargą stanowiło przedmiot rozstrzygnięcia (art. 171 p.p.s.a.). W takim przypadku organ podatkowy, będąc związanym orzeczeniem sądu, byłby zobligowany wydać decyzję odmawiającą uchylenia decyzji dotychczasowej. Projektowany </w:t>
      </w:r>
      <w:r w:rsidRPr="009A3C86">
        <w:rPr>
          <w:rFonts w:ascii="Times New Roman" w:hAnsi="Times New Roman"/>
          <w:b/>
          <w:sz w:val="24"/>
          <w:szCs w:val="24"/>
        </w:rPr>
        <w:t xml:space="preserve">art. </w:t>
      </w:r>
      <w:r w:rsidR="00EB4255" w:rsidRPr="009A3C86">
        <w:rPr>
          <w:rFonts w:ascii="Times New Roman" w:hAnsi="Times New Roman"/>
          <w:b/>
          <w:sz w:val="24"/>
          <w:szCs w:val="24"/>
        </w:rPr>
        <w:t>490</w:t>
      </w:r>
      <w:r w:rsidRPr="009A3C86">
        <w:rPr>
          <w:rFonts w:ascii="Times New Roman" w:hAnsi="Times New Roman"/>
          <w:sz w:val="24"/>
          <w:szCs w:val="24"/>
        </w:rPr>
        <w:t xml:space="preserve"> </w:t>
      </w:r>
      <w:r w:rsidRPr="009A3C86">
        <w:rPr>
          <w:rFonts w:ascii="Times New Roman" w:hAnsi="Times New Roman"/>
          <w:b/>
          <w:sz w:val="24"/>
          <w:szCs w:val="24"/>
        </w:rPr>
        <w:t>§ 1 pkt 2</w:t>
      </w:r>
      <w:r w:rsidRPr="009A3C86">
        <w:rPr>
          <w:rFonts w:ascii="Times New Roman" w:hAnsi="Times New Roman"/>
          <w:sz w:val="24"/>
          <w:szCs w:val="24"/>
        </w:rPr>
        <w:t xml:space="preserve"> zawiera więc nową przesłankę odmowy wznowienia postępowania, gdy sąd administracyjny oddalił skargę, a wskazana we wniosku przesłanka wznowienia stanowiła przedmiot prawomocnego rozstrzygnięcia sądu.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Katalog przesłanek odmowy wznowienia postępowania nie może mieć charakteru zamkniętego, bo mogą istnieć inne przeszkody do rozpatrzenia wniosku, np. wynikające z niedopełnienia braków formalnych wniosku, brakiem zdolności procesowej, brakiem statusu ostateczności decyzji. Dlatego też przepis posługuje się sformułowaniem „w szczególności”, analogicznie do obecnego art. 249 o.p. Przeszkody wznowienia postępowania na wniosek, czyli przekroczenie terminu przedawnienia poboru lub oddalenie skargi przez sąd administracyjny, należy uwzględniać też w zakresie wznowienia z urzędu (</w:t>
      </w:r>
      <w:r w:rsidRPr="009A3C86">
        <w:rPr>
          <w:rFonts w:ascii="Times New Roman" w:hAnsi="Times New Roman"/>
          <w:b/>
          <w:sz w:val="24"/>
          <w:szCs w:val="24"/>
        </w:rPr>
        <w:t xml:space="preserve">art. </w:t>
      </w:r>
      <w:r w:rsidR="0020728F" w:rsidRPr="009A3C86">
        <w:rPr>
          <w:rFonts w:ascii="Times New Roman" w:hAnsi="Times New Roman"/>
          <w:b/>
          <w:sz w:val="24"/>
          <w:szCs w:val="24"/>
        </w:rPr>
        <w:t>490</w:t>
      </w:r>
      <w:r w:rsidRPr="009A3C86">
        <w:rPr>
          <w:rFonts w:ascii="Times New Roman" w:hAnsi="Times New Roman"/>
          <w:b/>
          <w:sz w:val="24"/>
          <w:szCs w:val="24"/>
        </w:rPr>
        <w:t xml:space="preserve"> § 2</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9. Obecnie obowiązujący art. 243 o.p. nakazuje badać w ramach postępowania wstępnego (wznowieniowego) dopuszczalność wznowienia postępowania. Sprowadza się to zasadniczo do weryfikacji spełnienia wymogów formalnych wniosku oraz sprawdzenia, czy nie został uchybiony termin do wnioskowania o wznowienie postępowania. Weryfikację pozytywną kończy niezaskarżalne postanowienie, po czym rozpoczyna się druga, właściwa faza postępowania (wznowione), w której bada się istnienie przesłanek wznowienia oraz, w razie ich potwierdzenia, prowadzi się postępowanie zmierzające do rozstrzygnięcia sprawy podatkowej co do jej istoty. W przypadku stwierdzenia braków formalnych wniosku nieusuniętych w wyznaczonym terminie lub uchybienia terminu złożenia wniosku jest wydawana decyzja odmawiająca wznowienia postępowania, a więc nie dochodzi wówczas to drugiej fazy postępowania. Obecnie pierwsza faza postępowania jest wyraźnie oddzielona od drugiej fazy przez wydanie aktu administracyjnego dopuszczającego prowadzenie właściwego postępowania (postanowienie) lub tego odmawiającego (decyzja). W każdym  przypadku stwierdzenia dopuszczalności wznowienia postępowania należy wydać i doręczyć stronie postanowienie. Taka dwufazowość postępowania nie jest konieczna, gdy właściwym w obu tych fazach postępowania jest ten sam organ. W praktyce sprowadza się to do tego, że organ sam siebie musi dopuścić do wznowienia postępowania, a trzeba podkreślić, że strona wnosi o wznowienie postępowania, a nie o orzeczenie o dopuszczalności wznowienia postępowania. Strona z góry zakłada, że wniosek jest dopuszczalny, skoro go składa.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odniesieniu do obecnego art. 243 o.p. proponuje się uproszczenie procedury poprzez eliminację odrębności wstępnej fazy tego postępowania, jeżeli przesłanki wznowienia nie są wynikiem działania organu, który wydał decyzję w ostatniej instancji. Jeżeli nie ma przeszkód formalnych co do dopuszczalności wznowienia postępowania, organ podatkowy od razu przejdzie do zasadniczej części postępowania. Zagadnienie dotrzymania terminu wniosku nadal będzie badane przez organ, a jeżeli termin zostanie uchybiony, organ odmówi wznowienia postępowania.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Dwufazowość postępowania należy zachować w sytuacji, gdy organ lub jego pracownicy przyczynili się do powstania przesłanek wznowienia postępowania (</w:t>
      </w:r>
      <w:r w:rsidRPr="009A3C86">
        <w:rPr>
          <w:rFonts w:ascii="Times New Roman" w:hAnsi="Times New Roman"/>
          <w:b/>
          <w:sz w:val="24"/>
          <w:szCs w:val="24"/>
        </w:rPr>
        <w:t xml:space="preserve">art. </w:t>
      </w:r>
      <w:r w:rsidR="0020728F" w:rsidRPr="009A3C86">
        <w:rPr>
          <w:rFonts w:ascii="Times New Roman" w:hAnsi="Times New Roman"/>
          <w:b/>
          <w:sz w:val="24"/>
          <w:szCs w:val="24"/>
        </w:rPr>
        <w:t>491</w:t>
      </w:r>
      <w:r w:rsidRPr="009A3C86">
        <w:rPr>
          <w:rFonts w:ascii="Times New Roman" w:hAnsi="Times New Roman"/>
          <w:sz w:val="24"/>
          <w:szCs w:val="24"/>
        </w:rPr>
        <w:t xml:space="preserve">). W praktyce dotyczyć to będzie przesłanki wznowienia polegającej na: ujawnieniu przestępstwa urzędniczego w wydaniu decyzji oraz na wydaniu decyzji przez organ polegający wyłączeniu. W takim przypadku można założyć, że organ, którego działanie wytworzyło okoliczności uzasadniające wznowienie, może nie być dość obiektywny w stwierdzeniu dopuszczalności wznowienia postępowania. O wznowieniu, a więc stwierdzeniu istnienia przesłanki wznowienia, powinien wtedy orzekać organ wyższego stopnia nad organem, który wydał </w:t>
      </w:r>
      <w:r w:rsidRPr="009A3C86">
        <w:rPr>
          <w:rFonts w:ascii="Times New Roman" w:hAnsi="Times New Roman"/>
          <w:sz w:val="24"/>
          <w:szCs w:val="24"/>
        </w:rPr>
        <w:lastRenderedPageBreak/>
        <w:t xml:space="preserve">decyzję w ostatniej instancji. Ten organ wyznaczy też organ właściwy w sprawie przeprowadzenia wznowionego postępowania, tj. drugiej fazy i wydania decyzji w sprawie. Wyjątek dotyczy </w:t>
      </w:r>
      <w:r w:rsidRPr="009A3C86">
        <w:rPr>
          <w:rFonts w:ascii="Times New Roman" w:hAnsi="Times New Roman"/>
          <w:sz w:val="24"/>
          <w:szCs w:val="24"/>
          <w:lang w:eastAsia="pl-PL"/>
        </w:rPr>
        <w:t xml:space="preserve">Szefa </w:t>
      </w:r>
      <w:r w:rsidRPr="009A3C86">
        <w:rPr>
          <w:rFonts w:ascii="Times New Roman" w:eastAsia="MS ??" w:hAnsi="Times New Roman"/>
          <w:sz w:val="24"/>
          <w:szCs w:val="24"/>
          <w:lang w:eastAsia="pl-PL"/>
        </w:rPr>
        <w:t>Krajowej Administracji Skarbowej, który sam wznawia postępowanie, jeżeli wydał decyzję w ostatniej instancji, tj. bez wyznaczania go przez ministra właściwego do spraw finansów publicznych.</w:t>
      </w:r>
    </w:p>
    <w:p w:rsidR="0085545A" w:rsidRPr="009A3C86" w:rsidRDefault="0085545A" w:rsidP="0085545A">
      <w:pPr>
        <w:suppressAutoHyphens/>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sz w:val="24"/>
          <w:szCs w:val="24"/>
        </w:rPr>
        <w:t xml:space="preserve">Właściwą formą rozstrzygnięcia w sprawie odmowy wznowienia postępowania jest postanowienie, na które służy zażalenie, co wynika z regulacji ogólnych. Odmowa wznowienia postępowania nie rozstrzyga o istocie sprawy, więc decyzja będzie tu formą nadmiarową. Prawa strony, w tym prawo do sądu, będzie zachowane w uprawnieniu do żalenia się na postanowienie.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10. W projektowanym </w:t>
      </w:r>
      <w:r w:rsidRPr="009A3C86">
        <w:rPr>
          <w:rFonts w:ascii="Times New Roman" w:hAnsi="Times New Roman"/>
          <w:b/>
          <w:sz w:val="24"/>
          <w:szCs w:val="24"/>
        </w:rPr>
        <w:t xml:space="preserve">art. </w:t>
      </w:r>
      <w:r w:rsidR="006A7568" w:rsidRPr="009A3C86">
        <w:rPr>
          <w:rFonts w:ascii="Times New Roman" w:hAnsi="Times New Roman"/>
          <w:b/>
          <w:sz w:val="24"/>
          <w:szCs w:val="24"/>
        </w:rPr>
        <w:t>492</w:t>
      </w:r>
      <w:r w:rsidRPr="009A3C86">
        <w:rPr>
          <w:rFonts w:ascii="Times New Roman" w:hAnsi="Times New Roman"/>
          <w:sz w:val="24"/>
          <w:szCs w:val="24"/>
        </w:rPr>
        <w:t xml:space="preserve"> zachowuje się obecnie obowiązującą (art. 244 § 1 o.p.) kompetencję organu, który wydał w sprawie decyzję w ostatniej instancji w sprawie wznowienia postępowania, a także regulacje szczególne dotyczące </w:t>
      </w:r>
      <w:r w:rsidRPr="009A3C86">
        <w:rPr>
          <w:rFonts w:ascii="Times New Roman" w:eastAsia="MS ??" w:hAnsi="Times New Roman"/>
          <w:sz w:val="24"/>
          <w:szCs w:val="24"/>
          <w:lang w:eastAsia="pl-PL"/>
        </w:rPr>
        <w:t>ministra właściwego do spraw finansów publicznych,</w:t>
      </w:r>
      <w:r w:rsidRPr="009A3C86">
        <w:rPr>
          <w:rFonts w:ascii="Times New Roman" w:hAnsi="Times New Roman"/>
          <w:sz w:val="24"/>
          <w:szCs w:val="24"/>
        </w:rPr>
        <w:t xml:space="preserve"> Szefa Krajowej Administracji Skarbowej, dyrektora izby administracji skarbowej, naczelnika urzędu celno-skarbowego lub samorządowego kolegium odwoławczego.</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przypadku gdy przyczyną wznowienia postępowania jest działanie organu wydającego decyzję w ostatniej instancji, zachowuje się, wynikającą obecnie z art. 243 o.p., dewolucję właściwości do wznowienia postępowania na organ wyższego stopnia (pkt 2). Wznowienie postępowania upodabnia się w takiej sytuacji do trybu stwierdzania nieważności, gdy także mamy do czynienia z wadliwym działaniem organu, uzewnętrznionym w wydaniu decyzji. Właściwym w sprawie będzie wtedy organ wyższego stopnia.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shd w:val="clear" w:color="auto" w:fill="FFFFFF"/>
        </w:rPr>
        <w:t xml:space="preserve">Konieczne także jest przyznanie Szefowi Krajowej Administracji Skarbowej wyraźnej możliwości przejęcia wznowionego postępowania podatkowego, jeżeli przesłanki wznowienia zostaną wypełnione. Szef Krajowej Administracji Skarbowej wyda decyzję tylko, gdy zasadne będzie zastosowanie art. </w:t>
      </w:r>
      <w:r w:rsidR="00752FD7" w:rsidRPr="009A3C86">
        <w:rPr>
          <w:rFonts w:ascii="Times New Roman" w:hAnsi="Times New Roman"/>
          <w:sz w:val="24"/>
          <w:szCs w:val="24"/>
          <w:shd w:val="clear" w:color="auto" w:fill="FFFFFF"/>
        </w:rPr>
        <w:t>33</w:t>
      </w:r>
      <w:r w:rsidRPr="009A3C86">
        <w:rPr>
          <w:rFonts w:ascii="Times New Roman" w:hAnsi="Times New Roman"/>
          <w:sz w:val="24"/>
          <w:szCs w:val="24"/>
          <w:shd w:val="clear" w:color="auto" w:fill="FFFFFF"/>
        </w:rPr>
        <w:t xml:space="preserve"> lub środków ograniczających umowne korzyści. W innym wypadku Szef KAS zwróci postępowanie organowi podatkowemu określonemu wedle § 1, co wynika z odesłania do przepisów dotyczących postępowania w sprawie klauzuli przeciwko unikaniu opodatkowania.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11. Projektowany przepis </w:t>
      </w:r>
      <w:r w:rsidRPr="009A3C86">
        <w:rPr>
          <w:rFonts w:ascii="Times New Roman" w:hAnsi="Times New Roman"/>
          <w:b/>
          <w:sz w:val="24"/>
          <w:szCs w:val="24"/>
        </w:rPr>
        <w:t xml:space="preserve">art. </w:t>
      </w:r>
      <w:r w:rsidR="006A7568" w:rsidRPr="009A3C86">
        <w:rPr>
          <w:rFonts w:ascii="Times New Roman" w:hAnsi="Times New Roman"/>
          <w:b/>
          <w:sz w:val="24"/>
          <w:szCs w:val="24"/>
        </w:rPr>
        <w:t>493</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jest odpowiednikiem obecnego art. 245 o.p. Zmiany wynikają z likwidacji wstępnej fazy postępowania (§ 1 - wstęp do wyliczenia) oraz sprecyzowania przepisu dotyczącego tożsamości rozstrzygnięcia decyzji (§ 1 pkt 3). Proponowane sformułowanie wskazujące, że rozstrzygnięcie byłoby „takie samo jak”, zamiast </w:t>
      </w:r>
      <w:r w:rsidRPr="009A3C86">
        <w:rPr>
          <w:rFonts w:ascii="Times New Roman" w:hAnsi="Times New Roman"/>
          <w:sz w:val="24"/>
          <w:szCs w:val="24"/>
        </w:rPr>
        <w:lastRenderedPageBreak/>
        <w:t xml:space="preserve">„takie jak”, w decyzji dotychczasowej wskazuje na potencjalność identyczności sentencji także w zakresie zawartych w niej kwot, a nie tylko tożsamości rodzaju rozstrzygnięcia.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Modyfikuje się obecny przepis art. 245 § 1 pkt 3 lit. b) o.p. Zgodnie z proponowanym art. </w:t>
      </w:r>
      <w:r w:rsidR="006A7568" w:rsidRPr="009A3C86">
        <w:rPr>
          <w:rFonts w:ascii="Times New Roman" w:hAnsi="Times New Roman"/>
          <w:sz w:val="24"/>
          <w:szCs w:val="24"/>
        </w:rPr>
        <w:t>493</w:t>
      </w:r>
      <w:r w:rsidRPr="009A3C86">
        <w:rPr>
          <w:rFonts w:ascii="Times New Roman" w:hAnsi="Times New Roman"/>
          <w:sz w:val="24"/>
          <w:szCs w:val="24"/>
        </w:rPr>
        <w:t xml:space="preserve"> § 1 pkt 4 organ podatkowy będzie zobligowany umorzyć wznowione z urzędu postępowanie, jeżeli wydanie nowej decyzji orzekającej, co do istoty sprawy, musiałoby nastąpić po upływie terminu przedawnienia poboru. Celem przepisu jest zapobieżenie sytuacji, w której organ podatkowy z urzędu wznawiałby postępowanie tuż przed upływem terminu przedawnienia poboru i następnie wydawałby po tym terminie decyzję. Takiego ograniczenia nie proponuje się jednak w zakresie postępowania wznowionego na wniosek strony. W przypadku wniosku strony wznowione postępowanie powinno być rozstrzygnięte także po upływie terminu przedawnienia poboru.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12. Przepis </w:t>
      </w:r>
      <w:r w:rsidRPr="009A3C86">
        <w:rPr>
          <w:rFonts w:ascii="Times New Roman" w:hAnsi="Times New Roman"/>
          <w:b/>
          <w:sz w:val="24"/>
          <w:szCs w:val="24"/>
        </w:rPr>
        <w:t xml:space="preserve">art. </w:t>
      </w:r>
      <w:r w:rsidR="006A7568" w:rsidRPr="009A3C86">
        <w:rPr>
          <w:rFonts w:ascii="Times New Roman" w:hAnsi="Times New Roman"/>
          <w:b/>
          <w:sz w:val="24"/>
          <w:szCs w:val="24"/>
        </w:rPr>
        <w:t>493</w:t>
      </w:r>
      <w:r w:rsidRPr="009A3C86">
        <w:rPr>
          <w:rFonts w:ascii="Times New Roman" w:hAnsi="Times New Roman"/>
          <w:b/>
          <w:sz w:val="24"/>
          <w:szCs w:val="24"/>
        </w:rPr>
        <w:t xml:space="preserve"> § 3</w:t>
      </w:r>
      <w:r w:rsidRPr="009A3C86">
        <w:rPr>
          <w:rFonts w:ascii="Times New Roman" w:hAnsi="Times New Roman"/>
          <w:sz w:val="24"/>
          <w:szCs w:val="24"/>
        </w:rPr>
        <w:t xml:space="preserve"> dotyczy sytuacji, gdy stwierdzono istnienie przesłanek wznowienia, lecz przesłanki te powstały lub ujawniły się bez winy i działania strony oraz, w następstwie tego, organ podatkowy orzeka w nowej decyzji, co do istoty sprawy, po upływie terminu przedawnienia wymiaru. Z tego tytułu strona nie może ponosić szkody. Opóźniona weryfikacja decyzji ostatecznej dotkniętej wadami procesowymi powstałymi bez winy lub bez udziału strony postępowania nie może powodować negatywnych konsekwencji dla strony. Termin przedawnienia wymiaru jest terminem, w którym strona może oczekiwać, że zostanie jej wymierzony podatek. Jeżeli taka weryfikacja dokonuje się przed terminem przedawnienia wymiaru, to może odbywać się to także na niekorzyść strony. Po upływie terminu przedawnienia wymiaru, a w szczególności wobec pozostawania w obrocie prawnym decyzji ostatecznej wymierzającej podatek lub w inny sposób orzekającej co do istoty sprawy, strona ma prawo pozostawać w zaufaniu do tego, że później jej zobowiązanie już nie wzrośnie, jeżeli sama nie przyczyniła się do wadliwości postępowania. To zaufanie należy opierać na funkcji przedawnienia wymiaru, którą jest pewność prawa oraz na ostatecznym statusie decyzji.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Orzeczenie co do istoty sprawy po uchyleniu dotychczasowej decyzji musi być pełne, a więc uwzględniać kwotę wymierzaną dodatkowo, jeżeli będzie taka merytoryczna potrzeba, po upływie terminu przedawnienia wymiaru. Jednak w tym zakresie nastąpi zwolnienie z zobowiązania, skoro jego wymiar ma miejsce po upływie terminu przedawnienia wymiaru. Ten „domiar” nie będzie więc podlegać wykonaniu. Decyzja orzekająca co do istoty sprawy będzie decyzją techniczną. Decyzja wskaże, w jakim zakresie, po upływie terminu przedawnienia wymiaru orzeczono co do istoty sprawy lub umorzono postępowanie w sprawie na niekorzyść strony. Przedstawiona koncepcja jest zbliżona do instytucji „nieszkodzenia” w razie zmiany interpretacji indywidualnej przepisów prawa podatkowego, z tym że tu dochodzi do spóźnionej </w:t>
      </w:r>
      <w:r w:rsidRPr="009A3C86">
        <w:rPr>
          <w:rFonts w:ascii="Times New Roman" w:hAnsi="Times New Roman"/>
          <w:sz w:val="24"/>
          <w:szCs w:val="24"/>
        </w:rPr>
        <w:lastRenderedPageBreak/>
        <w:t xml:space="preserve">zmiany decyzji na niekorzyść strony. Istota tej nowej formuły nieszkodzenia jest uregulowana w przepisach dotyczących postępowania odwoławczego; </w:t>
      </w:r>
      <w:r w:rsidR="00CE6458" w:rsidRPr="009A3C86">
        <w:rPr>
          <w:rFonts w:ascii="Times New Roman" w:hAnsi="Times New Roman"/>
          <w:sz w:val="24"/>
          <w:szCs w:val="24"/>
        </w:rPr>
        <w:t>przepisy art. 470 § </w:t>
      </w:r>
      <w:r w:rsidR="00B35B3D" w:rsidRPr="009A3C86">
        <w:rPr>
          <w:rFonts w:ascii="Times New Roman" w:hAnsi="Times New Roman"/>
          <w:sz w:val="24"/>
          <w:szCs w:val="24"/>
        </w:rPr>
        <w:t>5</w:t>
      </w:r>
      <w:r w:rsidR="00CE6458" w:rsidRPr="009A3C86">
        <w:rPr>
          <w:rFonts w:ascii="Times New Roman" w:hAnsi="Times New Roman"/>
          <w:sz w:val="24"/>
          <w:szCs w:val="24"/>
        </w:rPr>
        <w:t>-6 stosuje</w:t>
      </w:r>
      <w:r w:rsidRPr="009A3C86">
        <w:rPr>
          <w:rFonts w:ascii="Times New Roman" w:hAnsi="Times New Roman"/>
          <w:sz w:val="24"/>
          <w:szCs w:val="24"/>
        </w:rPr>
        <w:t xml:space="preserve"> się odpowiednio.</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13. Obecnie obowiązujący przepis art. 246 o.p. dotyczący wstrzymania wykonania decyzji, która w wyniku wznowienia postępowania zostanie prawdopodobnie uchylona, będzie stanowić część kompleksowej regulacji wstrzymania wykonania decyzji ostatecznej w rozdziale „Wykonanie decyzji”.  </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66" w:name="_Toc494363286"/>
      <w:r w:rsidRPr="009A3C86">
        <w:rPr>
          <w:rFonts w:ascii="Times New Roman" w:hAnsi="Times New Roman"/>
          <w:b/>
          <w:bCs/>
          <w:sz w:val="24"/>
          <w:szCs w:val="24"/>
        </w:rPr>
        <w:t>Rozdział 20. Stwierdzenie nieważności decyzji</w:t>
      </w:r>
      <w:bookmarkEnd w:id="66"/>
      <w:r w:rsidRPr="009A3C86">
        <w:rPr>
          <w:rFonts w:ascii="Times New Roman" w:hAnsi="Times New Roman"/>
          <w:b/>
          <w:bCs/>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1. W zakresie stwierdzania nieważności decyzji ostatecznej zmiany polegają na modyfikacji i aktualizacji przesłanek stosowania tego trybu. Rozwiązania w zakresie procedury w ramach tego trybu wzruszania decyzji ostatecznej zasadniczo pozostają bez większych zmian. Znaczące zmiany są natomiast związane z nowym modelem przedawnienia. Zmiany dotyczą dopuszczalności wniosku o stwierdzenie nieważności decyzji, jak też skutków nowej decyzji wymiarowej wydanej po stwierdzeniu nieważności decyzji dotychczasowej. W tym zakresie zmiany są analogiczne do tych proponowanych w zakresie wznowienia postępowania.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zakresie systematyki tego rozdziału w jego obecnym brzmieniu zwraca uwagę jego niespójność w porównaniu do rozdziału „Wznowienie postępowania” oraz szczątkowość lub brak niektórych istotnych regulacji, np. określających rodzaje rozstrzygnięć wydawanych w postępowaniu. Systematyka rozdziału została więc uporządkowana wedle następującego schematu: przesłanki, tryb i termin wszczęcia, treść wniosku, przesłanki negatywne, właściwość organu, katalog rozstrzygnięć, „zasada nieszkodzenia” nową decyzją.</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2. Projektowany przepis </w:t>
      </w:r>
      <w:r w:rsidRPr="009A3C86">
        <w:rPr>
          <w:rFonts w:ascii="Times New Roman" w:hAnsi="Times New Roman"/>
          <w:b/>
          <w:sz w:val="24"/>
          <w:szCs w:val="24"/>
        </w:rPr>
        <w:t xml:space="preserve">art. </w:t>
      </w:r>
      <w:r w:rsidR="00473851" w:rsidRPr="009A3C86">
        <w:rPr>
          <w:rFonts w:ascii="Times New Roman" w:hAnsi="Times New Roman"/>
          <w:b/>
          <w:sz w:val="24"/>
          <w:szCs w:val="24"/>
        </w:rPr>
        <w:t>494</w:t>
      </w:r>
      <w:r w:rsidRPr="009A3C86">
        <w:rPr>
          <w:rFonts w:ascii="Times New Roman" w:hAnsi="Times New Roman"/>
          <w:sz w:val="24"/>
          <w:szCs w:val="24"/>
        </w:rPr>
        <w:t xml:space="preserve"> jest odpowiednikiem obecnego art. 247 § 1 o.p. Cztery obecne przesłanki stwierdzenia nieważności decyzji znajdują się w projektowanym przepisie bez żadnych zmian. Dotyczy to przypadku, gdy decyzja: została wydana bez podstawy prawnej, została wydana z rażącym naruszeniem prawa, dotyczy sprawy już poprzednio rozstrzygniętej inną decyzją ostateczną lub została skierowana do osoby niebędącej stroną w sprawie (pkt 2-5).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Proponuje się rezygnację z trzech obecnych przesłanek stwierdzenia nieważności decyzji (art. 247 § 1 pkt 6-8 o.p), którymi są: trwała niewykonalność decyzji w dniu jej wydania, wada decyzji powodująca jej nieważność na mocy wyraźnie wskazanego przepisu prawa oraz gdy wykonanie decyzji prowadziłoby do czynu zagrożonego karą. Blisko 20 lat obowiązywania tych przesłanek w obecnej o.p. nie dostarczyło praktycznych doświadczeń ich stosowania. </w:t>
      </w:r>
      <w:r w:rsidRPr="009A3C86">
        <w:rPr>
          <w:rFonts w:ascii="Times New Roman" w:hAnsi="Times New Roman"/>
          <w:sz w:val="24"/>
          <w:szCs w:val="24"/>
        </w:rPr>
        <w:lastRenderedPageBreak/>
        <w:t xml:space="preserve">Przesłanki te zaczerpnięte z przepisu art. 156 k.p.a. na gruncie spraw podatkowych nie występują, więc nie ma potrzeby dalszego utrzymywania w mocy wskazanych przepisów.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Wprowadza się możliwość stwierdzenia nieważności także w części, co umożliwi elastyczne rozstrzyganie w tym trybie w zależności od konstrukcji sentencji decyzji ostatecznej.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Obecnie każde naruszenie przepisów o właściwości stanowi podstawę do stwierdzenia nieważności decyzji. Takie naruszenie prawa jest traktowane jako najpoważniejsza wada decyzji administracyjnej.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Zasadniczej modyfikacji dokonuje się w zakresie przesłanki związanej z naruszeniem przepisów o właściwości, dodając warunek „oczywistości” tego naruszenia - art. </w:t>
      </w:r>
      <w:r w:rsidR="00E0471F" w:rsidRPr="009A3C86">
        <w:rPr>
          <w:rFonts w:ascii="Times New Roman" w:hAnsi="Times New Roman"/>
          <w:sz w:val="24"/>
          <w:szCs w:val="24"/>
        </w:rPr>
        <w:t>494</w:t>
      </w:r>
      <w:r w:rsidRPr="009A3C86">
        <w:rPr>
          <w:rFonts w:ascii="Times New Roman" w:hAnsi="Times New Roman"/>
          <w:sz w:val="24"/>
          <w:szCs w:val="24"/>
        </w:rPr>
        <w:t xml:space="preserve"> pkt 1</w:t>
      </w:r>
      <w:r w:rsidRPr="009A3C86">
        <w:rPr>
          <w:rFonts w:ascii="Times New Roman" w:hAnsi="Times New Roman"/>
          <w:sz w:val="24"/>
          <w:szCs w:val="24"/>
          <w:vertAlign w:val="superscript"/>
        </w:rPr>
        <w:footnoteReference w:id="462"/>
      </w:r>
      <w:r w:rsidRPr="009A3C86">
        <w:rPr>
          <w:rFonts w:ascii="Times New Roman" w:hAnsi="Times New Roman"/>
          <w:sz w:val="24"/>
          <w:szCs w:val="24"/>
        </w:rPr>
        <w:t>. Wzruszenie decyzji jako nieważnej powinno następować jedynie w przypadku „oczywistości” braku kompetencji organu</w:t>
      </w:r>
      <w:r w:rsidRPr="009A3C86">
        <w:rPr>
          <w:rFonts w:ascii="Times New Roman" w:hAnsi="Times New Roman"/>
          <w:sz w:val="24"/>
          <w:szCs w:val="24"/>
          <w:vertAlign w:val="superscript"/>
        </w:rPr>
        <w:footnoteReference w:id="463"/>
      </w:r>
      <w:r w:rsidRPr="009A3C86">
        <w:rPr>
          <w:rFonts w:ascii="Times New Roman" w:hAnsi="Times New Roman"/>
          <w:sz w:val="24"/>
          <w:szCs w:val="24"/>
        </w:rPr>
        <w:t xml:space="preserv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W zakresie spraw podatkowych z uwagi na wyspecjalizowany charakter administracji skarbowej stosunkowo rzadko zdarzają się przypadki naruszenia właściwości rzeczowej i instancyjnej. Poważnym problemem są natomiast wątpliwości w zakresie ustalenia właściwości miejscowej. Organy podatkowe zobligowane są z urzędu do przestrzegania swojej właściwości rzeczowej i miejscowej. Specyfika prowadzenia działalności gospodarczej wymaga od podatnika mobilności w zakresie wyboru miejsca jej prowadzenia, siedziby itp. Jest to proces naturalny i pożądany. Niestety, sprzyja to też patologicznemu generowaniu przez nieuczciwych podatników takich stanów faktycznych w aspekcie właściwości miejscowej, które mają na celu uniknięcie kontaktu z organem podatkowym. W szczególności chodzi o sytuacje częstych zmian adresów siedzib i miejsc prowadzenia działalności gospodarczej, podawanie nieistniejących adresów lub adresów istniejących, lecz w rzeczywistości niestanowiących adresu siedziby lub prowadzenia działalności gospodarczej. Zjawiska te są coraz częstsze i w znacznym stopniu utrudniają nawiązanie kontaktu z podatnikami i sprawdzenie wywiązywania się z wykonywania obowiązków podatkowych. Powoduje to wątpliwości procesowe przy ustalaniu właściwości miejscowej, co często prowadzi do powstawania negatywnych sporów o właściwość. Organy mają świadomość, że błąd w kwestii właściwości miejscowej będzie mieć bardzo poważne skutki. Organy podatkowe, inicjując negatywne spory o właściwość, nie tyle unikają rozstrzygania spraw, co chcą mieć pewność, że są organami właściwymi w danej </w:t>
      </w:r>
      <w:r w:rsidRPr="009A3C86">
        <w:rPr>
          <w:rFonts w:ascii="Times New Roman" w:hAnsi="Times New Roman"/>
          <w:sz w:val="24"/>
          <w:szCs w:val="24"/>
        </w:rPr>
        <w:lastRenderedPageBreak/>
        <w:t xml:space="preserve">sprawie. W bardziej skomplikowanych stanach faktycznych takiej pewności zagwarantować nie można. Każde naruszenie przepisów o właściwości miejscowej jest bowiem kwalifikowaną wadą skutkującą stwierdzeniem nieważności decyzji ostatecznej. Z kolei wyeliminowanie z obrotu decyzji rodzi dalsze skutki, np. anulowanie skutków zastosowania środków egzekucyjnych, powstanie nadpłaty, konieczność wypłaty oprocentowania nadpłaty, odszkodowania i ewentualnego wdrożenia procedury odpowiedzialności urzędniczej. Wyeliminowanie z obrotu prawnego decyzji z powodu wydania jej przez organ niewłaściwy powoduje zazwyczaj konieczność ponownego przeprowadzenia postępowania podatkowego i wydania decyzji przez właściwy organ. Wiąże się to zawsze z dodatkowymi kosztami, a często jest już niemożliwe z uwagi na przedawnienie. Automatyzm w zakresie wzruszenia każdej decyzji wydanej z naruszeniem właściwości wydaje się obecnie nieproporcjonalny w stosunku do rodzaju wady oraz skutków, jakie taka wada pociąga, czyli bezwzględna i całkowita eliminacja z obrotu prawnego wydanej decyzji, ze skutkiem wstecznym. Procesowe konsekwencje naruszenia właściwości, a szczególnie naruszenia właściwości miejscowej są zdecydowanie niewspółmierne do skali tego naruszenia. Priorytetem powinna być jakość przeprowadzonego postępowania i prawidłowość rozstrzygnięcia. Własne działania nakierowane na świadome wytworzenie niejasnego stanu faktycznego i złożoność systemu prawnego podatnicy wykorzystują jako instrumenty służące unikaniu kontaktu z organami podatkowymi i kwestionowaniu decyzji podatkowych tylko z powodu wady tej decyzji w zakresie ustalenia właściwości miejscowej.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Powyższe znajduje potwierdzenie w orzecznictwie sądów administracyjnych</w:t>
      </w:r>
      <w:r w:rsidRPr="009A3C86">
        <w:rPr>
          <w:rFonts w:ascii="Times New Roman" w:hAnsi="Times New Roman"/>
          <w:sz w:val="24"/>
          <w:szCs w:val="24"/>
          <w:vertAlign w:val="superscript"/>
        </w:rPr>
        <w:footnoteReference w:id="464"/>
      </w:r>
      <w:r w:rsidRPr="009A3C86">
        <w:rPr>
          <w:rFonts w:ascii="Times New Roman" w:hAnsi="Times New Roman"/>
          <w:sz w:val="24"/>
          <w:szCs w:val="24"/>
        </w:rPr>
        <w:t xml:space="preserve">. Z drugiej strony, nie ma ani możliwości, ani potrzeby budowania tak kazuistycznych przepisów o właściwości, aby dały niesporne rozwiązanie każdej potencjalnej sytuacji. Obecne skutki naruszenia właściwości, a szczególnie naruszenia właściwości miejscowej nie przystają do rzeczywistości społeczno-gospodarczej. Najważniejsze z punktu widzenia podatnika powinno być dochowanie przez organ podatkowy wszelkich prawnych standardów przy wymiarze i poborze podatków. Standardy te w zakresie organów Krajowej Administracji Skarbowej są takie same na obszarze całego kraju. Organy podatkowe właściwe rzeczowo i instancyjnie, niezależnie od ich właściwości miejscowej, prowadzą postępowania i wydają decyzje na podstawie tych samych przepisów prawa. Tym samym rozstrzygnięcia organów podatkowych właściwych rzeczowo i instancyjnie, bez względu na właściwość miejscową, powinny być </w:t>
      </w:r>
      <w:r w:rsidRPr="009A3C86">
        <w:rPr>
          <w:rFonts w:ascii="Times New Roman" w:hAnsi="Times New Roman"/>
          <w:sz w:val="24"/>
          <w:szCs w:val="24"/>
        </w:rPr>
        <w:lastRenderedPageBreak/>
        <w:t xml:space="preserve">jednakowe w takim samym stanie faktycznym i prawnym. Proponowane zmiany doprowadzą także do ograniczenia negatywnych sporów o właściwość. Istnienie tych sporów prowadzi do opóźnień we wszczynaniu postępowań podatkowych, co w niektórych przypadkach może prowadzić nawet do przedawnienia zobowiązania podatkowego. Jednocześnie organy podatkowe tak jak dotychczas zobowiązane będą do przestrzegania z urzędu przepisów o właściwości.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Tylko oczywisty, ewidentny charakter naruszenia właściwości na tle określonego stanu faktycznego powinien prowadzić do stwierdzenia nieważności decyzji. Jeżeli jest dopuszczalna taka wykładnia przepisów, która uzasadni kompetencje organu, który decyzję wydał, a ta decyzja zyskała przymiot ostateczności oraz decyzja nie jest dotknięta innymi ciężkimi wadami, to nie ma uzasadnionych powodów, aby taka decyzja podlegała eliminacji z obrotu prawnego.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4. Zmiany polegające na powiązaniu wszczynania postępowania w sprawie stwierdzenia nieważności decyzji z przedawnieniem poboru podatku są analogiczne do zmian w zakresie wznowienia postępowania. Uzasadnienie przedstawione do zmian w zakresie wznowienia postępowania zachowuje więc swoją aktualność także do projektowanych przepisów dotyczących procedury stwierdzenia nieważności decyzji. W zakresie </w:t>
      </w:r>
      <w:r w:rsidRPr="009A3C86">
        <w:rPr>
          <w:rFonts w:ascii="Times New Roman" w:hAnsi="Times New Roman"/>
          <w:b/>
          <w:sz w:val="24"/>
          <w:szCs w:val="24"/>
        </w:rPr>
        <w:t xml:space="preserve">art. </w:t>
      </w:r>
      <w:r w:rsidR="00E0471F" w:rsidRPr="009A3C86">
        <w:rPr>
          <w:rFonts w:ascii="Times New Roman" w:hAnsi="Times New Roman"/>
          <w:b/>
          <w:sz w:val="24"/>
          <w:szCs w:val="24"/>
        </w:rPr>
        <w:t>495</w:t>
      </w:r>
      <w:r w:rsidRPr="009A3C86">
        <w:rPr>
          <w:rFonts w:ascii="Times New Roman" w:hAnsi="Times New Roman"/>
          <w:sz w:val="24"/>
          <w:szCs w:val="24"/>
        </w:rPr>
        <w:t xml:space="preserve"> trzeba zwrócić uwagę na istotną różnicę. Inaczej niż w przypadku przesłanek wznowienia postępowania, strona nie może przyczynić się ani zawinić powstaniu przesłanek stwierdzenia nieważności decyzji. W każdym przypadku wydania, po upływie terminu przedawnienia wymiaru, nowej decyzji w miejsce decyzji, której nieważność stwierdzono, wymiar wynikający z tej nowej decyzji albo inne rozstrzygnięcie na niekorzyść strony nie będzie wywoływać skutków.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Z obecnego art. 249 § 1 pkt 1 o.p. wynika 5-letni termin na dopuszczalność prowadzenia postępowania w sprawie stwierdzenia nieważności decyzji, liczony od dnia doręczenia decyzji. Oznacza to, że mogą występować sytuacje, gdy w obrocie prawnym będzie pozostawać decyzja ostateczna, a zobowiązanie z niej wynikające będzie wykonalne i może być pobierane po upływie okresu 5 lat od doręczenia decyzji, ale nie będzie można tej decyzji wzruszyć, nawet gdy decyzja będzie dotknięta ciężkimi wadami. Stabilność decyzji ostatecznej nie może być sytuowana ponad legalnością decyzji. Analogicznie jak w przypadku wznowienia postępowania, w każdym czasie do upływu terminu przedawnienia poboru (na wniosek złożony przed upływem terminu przedawnienia poboru) powinna istnieć możliwość eliminacji decyzji z obrotu prawnego, tym bardziej gdy decyzja jest dotknięta ciężkimi wadami powstałymi wyłącznie w wyniku działania organu podatkowego.</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5. Przepis </w:t>
      </w:r>
      <w:r w:rsidRPr="009A3C86">
        <w:rPr>
          <w:rFonts w:ascii="Times New Roman" w:hAnsi="Times New Roman"/>
          <w:b/>
          <w:sz w:val="24"/>
          <w:szCs w:val="24"/>
        </w:rPr>
        <w:t xml:space="preserve">art. </w:t>
      </w:r>
      <w:r w:rsidR="00E0471F" w:rsidRPr="009A3C86">
        <w:rPr>
          <w:rFonts w:ascii="Times New Roman" w:hAnsi="Times New Roman"/>
          <w:b/>
          <w:sz w:val="24"/>
          <w:szCs w:val="24"/>
        </w:rPr>
        <w:t>496</w:t>
      </w:r>
      <w:r w:rsidRPr="009A3C86">
        <w:rPr>
          <w:rFonts w:ascii="Times New Roman" w:hAnsi="Times New Roman"/>
          <w:sz w:val="24"/>
          <w:szCs w:val="24"/>
        </w:rPr>
        <w:t xml:space="preserve"> § 1 pkt 2 zachowuje obecną przesłankę odmowy wszczęcia postępowania w sprawie stwierdzenia nieważności w związku z oddaleniem skargi na decyzję ostateczną przez sąd administracyjny (art. 249 § 1 pkt 2 o.p.). Formą odmowy wszczęcia postępowania powinno być postanowienie, na które służy zażalenie. Odmowa wszczęcia postępowania nie rozstrzyga o istocie sprawy, więc decyzja jest tu formą nadmiarową. Prawa strony, w tym prawo do sądu, będą zachowane w uprawnieniu do żalenia się na postanowienie.</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6. Należy podnieść sprawność postępowania w trybach nadzwyczajnych. Skoro wobec odwołania, a więc środka procesowego w trybie zwyczajnym są obecnie określone minimalne wymogi formalne (art. 222 o.p.), to tym bardziej analogiczne wymogi formalne powinien spełniać wniosek składany w trybach nadzwyczajnych. Wniosek o stwierdzenie nieważności decyzji powinien wskazywać konkretną przesłankę, określać istotę i zakres żądania oraz wskazywać okoliczności lub dowody uzasadniające to żądanie (art. </w:t>
      </w:r>
      <w:r w:rsidR="00C45ABB" w:rsidRPr="009A3C86">
        <w:rPr>
          <w:rFonts w:ascii="Times New Roman" w:hAnsi="Times New Roman"/>
          <w:sz w:val="24"/>
          <w:szCs w:val="24"/>
        </w:rPr>
        <w:t>495</w:t>
      </w:r>
      <w:r w:rsidRPr="009A3C86">
        <w:rPr>
          <w:rFonts w:ascii="Times New Roman" w:hAnsi="Times New Roman"/>
          <w:sz w:val="24"/>
          <w:szCs w:val="24"/>
        </w:rPr>
        <w:t xml:space="preserve"> § 2).</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7. Projektowany przepis </w:t>
      </w:r>
      <w:r w:rsidRPr="009A3C86">
        <w:rPr>
          <w:rFonts w:ascii="Times New Roman" w:hAnsi="Times New Roman"/>
          <w:b/>
          <w:sz w:val="24"/>
          <w:szCs w:val="24"/>
        </w:rPr>
        <w:t xml:space="preserve">art. </w:t>
      </w:r>
      <w:r w:rsidR="00896E72" w:rsidRPr="009A3C86">
        <w:rPr>
          <w:rFonts w:ascii="Times New Roman" w:hAnsi="Times New Roman"/>
          <w:b/>
          <w:sz w:val="24"/>
          <w:szCs w:val="24"/>
        </w:rPr>
        <w:t>497</w:t>
      </w:r>
      <w:r w:rsidRPr="009A3C86">
        <w:rPr>
          <w:rFonts w:ascii="Times New Roman" w:hAnsi="Times New Roman"/>
          <w:sz w:val="24"/>
          <w:szCs w:val="24"/>
        </w:rPr>
        <w:t xml:space="preserve"> jest odpowiednikiem obecnego art. 248 § 2 o.p. określającego właściwość poszczególnych organów w sprawie stwierdzenia nieważności decyzji. Zrezygnowano z zachowania obecnego art. 248 § 3 o.p., ponieważ z art. </w:t>
      </w:r>
      <w:r w:rsidR="00896E72" w:rsidRPr="009A3C86">
        <w:rPr>
          <w:rFonts w:ascii="Times New Roman" w:hAnsi="Times New Roman"/>
          <w:sz w:val="24"/>
          <w:szCs w:val="24"/>
        </w:rPr>
        <w:t>445</w:t>
      </w:r>
      <w:r w:rsidRPr="009A3C86">
        <w:rPr>
          <w:rFonts w:ascii="Times New Roman" w:hAnsi="Times New Roman"/>
          <w:sz w:val="24"/>
          <w:szCs w:val="24"/>
        </w:rPr>
        <w:t xml:space="preserve"> wynika już forma decyzji jako forma domyślna do rozstrzygania spraw. Nie ma więc potrzeby, aby to dodatkowo potwierdzać.</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Zrezygnowano z obecnego art. 248 § 2 pkt 1a o.p. W strukturze organizacyjnej Krajowej Administracji Skarbowej dyrektor izby administracji skarbowej jest organem wyższego rzędu w stosunku do naczelnika urzędu celno-skarbowego. Dlatego obecny przepis jest zbędny.</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8. Projektowany przepis </w:t>
      </w:r>
      <w:r w:rsidRPr="009A3C86">
        <w:rPr>
          <w:rFonts w:ascii="Times New Roman" w:hAnsi="Times New Roman"/>
          <w:b/>
          <w:sz w:val="24"/>
          <w:szCs w:val="24"/>
        </w:rPr>
        <w:t xml:space="preserve">art. </w:t>
      </w:r>
      <w:r w:rsidR="00464EDE" w:rsidRPr="009A3C86">
        <w:rPr>
          <w:rFonts w:ascii="Times New Roman" w:hAnsi="Times New Roman"/>
          <w:b/>
          <w:sz w:val="24"/>
          <w:szCs w:val="24"/>
        </w:rPr>
        <w:t>498</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nie ma swojego odpowiednika w obecnych przepisach dotyczących stwierdzenia nieważności. Przepis jest wzorowany na obecnym art. 245 o.p. Wskazanie katalogu potencjalnych sposobów zakończenia postępowania w sprawie stwierdzenia nieważności decyzji jest potrzebnym dopełnieniem tej procedury. Dodać należy, że z uwagi na specyfikę tego trybu, inaczej niż w przypadku wznowienia postępowania, organ właściwy w sprawie stwierdzenia nieważności decyzji nie może prognozować, czy nowa decyzja orzekająca co do istoty byłaby taka sama jak decyzja dotychczasowa, ponieważ właściwym do wydania nowej decyzji jest inny organ.</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tym zakresie zmiany są analogiczne do zmian proponowanych w zakresie wznowienia postępowania. Projektowany przepis art. </w:t>
      </w:r>
      <w:r w:rsidR="00464EDE" w:rsidRPr="009A3C86">
        <w:rPr>
          <w:rFonts w:ascii="Times New Roman" w:hAnsi="Times New Roman"/>
          <w:b/>
          <w:sz w:val="24"/>
          <w:szCs w:val="24"/>
        </w:rPr>
        <w:t>498</w:t>
      </w:r>
      <w:r w:rsidRPr="009A3C86">
        <w:rPr>
          <w:rFonts w:ascii="Times New Roman" w:hAnsi="Times New Roman"/>
          <w:b/>
          <w:sz w:val="24"/>
          <w:szCs w:val="24"/>
        </w:rPr>
        <w:t xml:space="preserve"> § 3</w:t>
      </w:r>
      <w:r w:rsidRPr="009A3C86">
        <w:rPr>
          <w:rFonts w:ascii="Times New Roman" w:hAnsi="Times New Roman"/>
          <w:sz w:val="24"/>
          <w:szCs w:val="24"/>
        </w:rPr>
        <w:t xml:space="preserve"> opiera się na tych samych argumentach, które przedstawiono w uzasadnieniu do analogicznego przepisu dotyczącego wznowienia postępowania.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lastRenderedPageBreak/>
        <w:t>9. Obecnie obowiązujący przepis art. 252 o.p. dotyczący wstrzymania wykonania decyzji, która zostanie prawdopodobnie unieważniona, stanowi część kompleksowej regulacji wstrzymania wykonania decyzji ostatecznej w rozdziale „Wykonanie decyzji”.</w:t>
      </w:r>
    </w:p>
    <w:p w:rsidR="0085545A" w:rsidRPr="009A3C86" w:rsidRDefault="0085545A" w:rsidP="00D72E7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line="360" w:lineRule="auto"/>
        <w:jc w:val="both"/>
        <w:rPr>
          <w:rFonts w:ascii="Times New Roman" w:hAnsi="Times New Roman"/>
          <w:sz w:val="24"/>
          <w:szCs w:val="24"/>
        </w:rPr>
      </w:pPr>
      <w:r w:rsidRPr="009A3C86">
        <w:rPr>
          <w:rFonts w:ascii="Times New Roman" w:hAnsi="Times New Roman"/>
          <w:sz w:val="24"/>
          <w:szCs w:val="24"/>
        </w:rPr>
        <w:t>10. Obecnie obowiązujący przepis art. 252 o.p. dotyczący wstrzymania wykonania decyzji, która zostanie prawdopodobnie unieważniona, stanowi część kompleksowej regulacji wstrzymania wykonania decyzji ostatecznej w rozdziale „Wykonanie decyzji”.</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67" w:name="_Toc494363287"/>
      <w:r w:rsidRPr="009A3C86">
        <w:rPr>
          <w:rFonts w:ascii="Times New Roman" w:hAnsi="Times New Roman"/>
          <w:b/>
          <w:bCs/>
          <w:sz w:val="24"/>
          <w:szCs w:val="24"/>
        </w:rPr>
        <w:t>Rozdział 21. Uchylenie lub zmiana decyzji ostatecznej</w:t>
      </w:r>
      <w:bookmarkEnd w:id="67"/>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1. W zakresie nadzwyczajnego trybu uchylenia lub zmiany decyzji ostatecznej proponuje się zmiany dostosowawcze do nowego modelu przedawnienia zobowiązań podatkowych. Proponuje się uelastycznienie zmiany decyzji wymiarowej w związku ze zmianą okoliczności wpływających na treść decyzji. Obecne przepisy tego rozdziału wielokrotnie wskazują, że formą rozstrzygania spraw jest decyzja. Zrezygnowano z takich regulacji, ponieważ z art. </w:t>
      </w:r>
      <w:r w:rsidR="00BC34E3" w:rsidRPr="009A3C86">
        <w:rPr>
          <w:rFonts w:ascii="Times New Roman" w:hAnsi="Times New Roman"/>
          <w:sz w:val="24"/>
          <w:szCs w:val="24"/>
        </w:rPr>
        <w:t>445</w:t>
      </w:r>
      <w:r w:rsidRPr="009A3C86">
        <w:rPr>
          <w:rFonts w:ascii="Times New Roman" w:hAnsi="Times New Roman"/>
          <w:sz w:val="24"/>
          <w:szCs w:val="24"/>
        </w:rPr>
        <w:t xml:space="preserve"> wynika już forma decyzji jako forma domyślna do rozstrzygania spraw i nie ma potrzeby, aby to dodatkowo potwierdzać.</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2. Projektowany przepis </w:t>
      </w:r>
      <w:r w:rsidRPr="009A3C86">
        <w:rPr>
          <w:rFonts w:ascii="Times New Roman" w:hAnsi="Times New Roman"/>
          <w:b/>
          <w:sz w:val="24"/>
          <w:szCs w:val="24"/>
        </w:rPr>
        <w:t xml:space="preserve">art. </w:t>
      </w:r>
      <w:r w:rsidR="00BC34E3" w:rsidRPr="009A3C86">
        <w:rPr>
          <w:rFonts w:ascii="Times New Roman" w:hAnsi="Times New Roman"/>
          <w:b/>
          <w:sz w:val="24"/>
          <w:szCs w:val="24"/>
        </w:rPr>
        <w:t>499</w:t>
      </w:r>
      <w:r w:rsidRPr="009A3C86">
        <w:rPr>
          <w:rFonts w:ascii="Times New Roman" w:hAnsi="Times New Roman"/>
          <w:sz w:val="24"/>
          <w:szCs w:val="24"/>
        </w:rPr>
        <w:t xml:space="preserve"> jest odpowiednikiem obecnego art. 253 o.p. Decyzja ostateczna, na mocy której strona nie nabyła prawa, może być uchylona lub zmieniona przez organ podatkowy, który ją wydał, jeżeli przemawia za tym interes publiczny lub ważny interes strony.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3. Projektowany przepis </w:t>
      </w:r>
      <w:r w:rsidRPr="009A3C86">
        <w:rPr>
          <w:rFonts w:ascii="Times New Roman" w:hAnsi="Times New Roman"/>
          <w:b/>
          <w:sz w:val="24"/>
          <w:szCs w:val="24"/>
        </w:rPr>
        <w:t xml:space="preserve">art. </w:t>
      </w:r>
      <w:r w:rsidR="00BC34E3" w:rsidRPr="009A3C86">
        <w:rPr>
          <w:rFonts w:ascii="Times New Roman" w:hAnsi="Times New Roman"/>
          <w:b/>
          <w:sz w:val="24"/>
          <w:szCs w:val="24"/>
        </w:rPr>
        <w:t>500</w:t>
      </w:r>
      <w:r w:rsidRPr="009A3C86">
        <w:rPr>
          <w:rFonts w:ascii="Times New Roman" w:hAnsi="Times New Roman"/>
          <w:sz w:val="24"/>
          <w:szCs w:val="24"/>
        </w:rPr>
        <w:t xml:space="preserve"> stanowi, że decyzja ostateczna, na mocy której strona nabyła prawo, może być za jej zgodą uchylona lub zmieniona przez organ podatkowy, który ją wydał, jeżeli przepisy szczególne nie sprzeciwiają się uchyleniu lub zmianie takiej decyzji i przemawia za tym interes publiczny lub ważny interes strony. Organ nie może wydać decyzji na niekorzyść strony. Ten przepis jest odpowiednikiem obecnego art. 253a o.p.</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4. W miejsce obecnych przepisów art. 253 § 3 o.p. oraz art. 253a § 2 o.p., wyłączających kompetencje samorządowego kolegium odwoławczego do uchylania lub zmiany decyzji ostatecznej w ramach uznania administracyjnego proponuje się uregulować tę kwestię w jednym miejscu w </w:t>
      </w:r>
      <w:r w:rsidRPr="009A3C86">
        <w:rPr>
          <w:rFonts w:ascii="Times New Roman" w:hAnsi="Times New Roman"/>
          <w:b/>
          <w:sz w:val="24"/>
          <w:szCs w:val="24"/>
        </w:rPr>
        <w:t xml:space="preserve">art. </w:t>
      </w:r>
      <w:r w:rsidR="00BC34E3" w:rsidRPr="009A3C86">
        <w:rPr>
          <w:rFonts w:ascii="Times New Roman" w:hAnsi="Times New Roman"/>
          <w:b/>
          <w:sz w:val="24"/>
          <w:szCs w:val="24"/>
        </w:rPr>
        <w:t>501</w:t>
      </w:r>
      <w:r w:rsidRPr="009A3C86">
        <w:rPr>
          <w:rFonts w:ascii="Times New Roman" w:hAnsi="Times New Roman"/>
          <w:sz w:val="24"/>
          <w:szCs w:val="24"/>
        </w:rPr>
        <w:t xml:space="preserve">. W związku z definicją „decyzji wymiarowej” poszerza się wyłączenie stosowania trybu zmiany lub uchylenia decyzji w relacji do obecnego przepisu art. </w:t>
      </w:r>
      <w:r w:rsidR="00C60B1F" w:rsidRPr="009A3C86">
        <w:rPr>
          <w:rFonts w:ascii="Times New Roman" w:hAnsi="Times New Roman"/>
          <w:sz w:val="24"/>
          <w:szCs w:val="24"/>
        </w:rPr>
        <w:t>253</w:t>
      </w:r>
      <w:r w:rsidRPr="009A3C86">
        <w:rPr>
          <w:rFonts w:ascii="Times New Roman" w:hAnsi="Times New Roman"/>
          <w:sz w:val="24"/>
          <w:szCs w:val="24"/>
        </w:rPr>
        <w:t>b o.p. Nie ma merytorycznego uzasadnienia do pozostawienia możliwości wzruszalności w tym trybie niektórych rodzajów decyzji wymiarowych, a wyłączenia wzruszalności innych rodzajów.</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BC34E3" w:rsidRPr="009A3C86">
        <w:rPr>
          <w:rFonts w:ascii="Times New Roman" w:hAnsi="Times New Roman"/>
          <w:b/>
          <w:sz w:val="24"/>
          <w:szCs w:val="24"/>
        </w:rPr>
        <w:t>501</w:t>
      </w:r>
      <w:r w:rsidRPr="009A3C86">
        <w:rPr>
          <w:rFonts w:ascii="Times New Roman" w:hAnsi="Times New Roman"/>
          <w:sz w:val="24"/>
          <w:szCs w:val="24"/>
        </w:rPr>
        <w:t xml:space="preserve"> zachowuje obecne wyłączenie stosowania trybów uznaniowych wobec decyzji wymiarowych (obecnie art. 253b o.p.), ujmując je bardziej syntetycznie zamiast kazuistyki </w:t>
      </w:r>
      <w:r w:rsidRPr="009A3C86">
        <w:rPr>
          <w:rFonts w:ascii="Times New Roman" w:hAnsi="Times New Roman"/>
          <w:sz w:val="24"/>
          <w:szCs w:val="24"/>
        </w:rPr>
        <w:lastRenderedPageBreak/>
        <w:t>obecnego przepisu. Zaznaczyć należy, że zakres wyłączenia stosowania tego przepisu ulega poszerzeniu w związku z rozbudowaniem katalogu decyzji wymiarowych w słowniczku ustawy.</w:t>
      </w:r>
    </w:p>
    <w:p w:rsidR="0085545A" w:rsidRPr="009A3C86" w:rsidRDefault="0085545A" w:rsidP="0085545A">
      <w:pPr>
        <w:tabs>
          <w:tab w:val="left" w:pos="284"/>
        </w:tabs>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5. Jednym z przewidzianych przepisami obowiązującej ordynacji podatkowej nadzwyczajnych trybów wzruszenia decyzji ostatecznej jest jej zmiana w okolicznościach wskazanych w art. 254 o.p. Przepis ten stanowi, iż ostateczna decyzja ustalająca lub określająca wysokość zobowiązania podatkowego na dany okres może być zmieniona przez organ podatkowy, który ją wydał, przy łącznym spełnieniu następujących warunków:</w:t>
      </w:r>
    </w:p>
    <w:p w:rsidR="0085545A" w:rsidRPr="009A3C86" w:rsidRDefault="0085545A" w:rsidP="00D72E74">
      <w:pPr>
        <w:numPr>
          <w:ilvl w:val="0"/>
          <w:numId w:val="12"/>
        </w:numPr>
        <w:tabs>
          <w:tab w:val="left" w:pos="284"/>
        </w:tabs>
        <w:autoSpaceDE w:val="0"/>
        <w:autoSpaceDN w:val="0"/>
        <w:adjustRightInd w:val="0"/>
        <w:spacing w:after="0" w:line="360" w:lineRule="auto"/>
        <w:ind w:left="0" w:firstLine="0"/>
        <w:jc w:val="both"/>
        <w:rPr>
          <w:rFonts w:ascii="Times New Roman" w:hAnsi="Times New Roman"/>
          <w:sz w:val="24"/>
          <w:szCs w:val="24"/>
        </w:rPr>
      </w:pPr>
      <w:r w:rsidRPr="009A3C86">
        <w:rPr>
          <w:rFonts w:ascii="Times New Roman" w:hAnsi="Times New Roman"/>
          <w:sz w:val="24"/>
          <w:szCs w:val="24"/>
        </w:rPr>
        <w:t>po jej doręczeniu nastąpiła zmiana okoliczności faktycznych mających wpływ na ustalenie lub określenie wysokości zobowiązania,</w:t>
      </w:r>
    </w:p>
    <w:p w:rsidR="0085545A" w:rsidRPr="009A3C86" w:rsidRDefault="0085545A" w:rsidP="00D72E74">
      <w:pPr>
        <w:numPr>
          <w:ilvl w:val="0"/>
          <w:numId w:val="12"/>
        </w:numPr>
        <w:tabs>
          <w:tab w:val="left" w:pos="284"/>
        </w:tabs>
        <w:autoSpaceDE w:val="0"/>
        <w:autoSpaceDN w:val="0"/>
        <w:adjustRightInd w:val="0"/>
        <w:spacing w:after="0" w:line="360" w:lineRule="auto"/>
        <w:ind w:left="0" w:firstLine="0"/>
        <w:jc w:val="both"/>
        <w:rPr>
          <w:rFonts w:ascii="Times New Roman" w:hAnsi="Times New Roman"/>
          <w:sz w:val="24"/>
          <w:szCs w:val="24"/>
        </w:rPr>
      </w:pPr>
      <w:r w:rsidRPr="009A3C86">
        <w:rPr>
          <w:rFonts w:ascii="Times New Roman" w:hAnsi="Times New Roman"/>
          <w:sz w:val="24"/>
          <w:szCs w:val="24"/>
        </w:rPr>
        <w:t>skutki wystąpienia tych okoliczności zostały uregulowane w przepisach prawa podatkowego obowiązujących w dniu wydania decyzji.</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Ponadto, zgodnie z art. 254 § 2 o.p., zmiana decyzji ostatecznej może dotyczyć tylko okresu, za który ustalono lub określono wysokość zobowiązania podatkowego.</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Podkreślić należy, iż praktyczne znaczenie analizowanego przepisu jest szczególnie duże w zakresie takich podatków, jak: rolny, leśny oraz od nieruchomości, w których podatnikom będącym osobami fizycznymi ustala się wysokość zobowiązania na dany rok podatkowy w drodze stosownej decyzji ustalającej. W ustawach regulujących zasady opodatkowania nieruchomości znalazło się unormowanie, wedle którego, jeżeli w ciągu roku podatkowego nastąpiło wygaśnięcie obowiązku podatkowego lub zaistniało zdarzenie mające wpływ na wysokość opodatkowania w tym roku, organ podatkowy dokonuje zmiany decyzji, którą ustalono ten podatek</w:t>
      </w:r>
      <w:r w:rsidRPr="009A3C86">
        <w:rPr>
          <w:rFonts w:ascii="Times New Roman" w:hAnsi="Times New Roman"/>
          <w:sz w:val="24"/>
          <w:szCs w:val="24"/>
          <w:vertAlign w:val="superscript"/>
        </w:rPr>
        <w:footnoteReference w:id="465"/>
      </w:r>
      <w:r w:rsidRPr="009A3C86">
        <w:rPr>
          <w:rFonts w:ascii="Times New Roman" w:hAnsi="Times New Roman"/>
          <w:sz w:val="24"/>
          <w:szCs w:val="24"/>
        </w:rPr>
        <w:t xml:space="preserve">. Sytuacje, o których stanowi wskazana regulacja, mają powszechny charakter i stąd konieczność zmian w analizowanej regulacji. </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Podkreślić też należy, iż w aktualnym, jak i proponowanym brzmieniu analizowany przepis nie dotyczy decyzji, które są wydawane po zakończeniu okresu rozliczeniowego (np. w podatku od towarów i usług, czy w podatku dochodowym). Z istoty tych decyzji wynika, że nie mogą być one wydane w trakcie takiego okresu (w trakcie miesiąca, kwartału czy roku, za który naliczany jest podatek). Zatem zmiany okoliczności faktycznych czy prawnych rzutujących na poprawność takich decyzji mają miejsce przed dniem ich wydania, co oznacza, że ich zmiana w analizowanym trybie nie jest możliwa. Jeżeli natomiast po ich wydaniu ujawnione zostaną takie okoliczności, które zaistniały przed wydaniem decyzji, to decyzja ostateczna już w dacie </w:t>
      </w:r>
      <w:r w:rsidRPr="009A3C86">
        <w:rPr>
          <w:rFonts w:ascii="Times New Roman" w:hAnsi="Times New Roman"/>
          <w:sz w:val="24"/>
          <w:szCs w:val="24"/>
        </w:rPr>
        <w:lastRenderedPageBreak/>
        <w:t>wydania była wadliwa, a więc należy ją wzruszyć w trybie wznowienia postępowania lub stwierdzenia nieważności decyzji.</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Zmiana decyzji w aktualnym i projektowanym stanie prawnym będzie możliwa jedynie w zakresie decyzji ustalających lub określających wysokość zobowiązania podatkowego „z góry” na dany okres rozliczeniowy. Tylko bowiem w tym przypadku na poprawność takiej decyzji może mieć wpływ zmiana okoliczności, która zaistniała po wydaniu decyzji, a więc okoliczności te nie istniały w dacie jej wydania. Jako przykłady podatków, w których takie decyzje ustalające lub określające wysokość zobowiązania „z góry” przed zakończeniem okresu rozliczeniowego są wydawane, można wskazać oprócz powołanych wyżej podatków lokalnych także zryczałtowany podatek dochodowy od osób fizycznych opłacany w formie karty podatkowej.</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Aktualnie art. 254 o.p. znajduje zastosowanie wyłącznie w tych przypadkach, w których skutki zaistnienia zmian okoliczności faktycznych mających wpływ na ustalenie lub określenie wysokości zobowiązania podatkowego zostały uregulowane w przepisach szczególnych. W tym kontekście zauważyć należy, iż ustawa o podatkach i opłatach lokalnych w zakresie podatku od nieruchomości oraz ustawy o podatku rolnym i leśnym w odniesieniu do podatku rolnego i leśnego reguluje konsekwencje zmian stanu faktycznego jedynie w odniesieniu do decyzji ustalających wysokość zobowiązania podatkowego. Regulacje te nie odnoszą się do decyzji określających wysokość zobowiązania podatkowego. W konsekwencji nie jest, w świetle art. 254 o.p., możliwa zmiana decyzji określających wysokość zobowiązania podatkowego m.in. w tych podatkach. Jest to sytuacja niezrozumiała, gdyż brak jest racjonalnych podstaw do tego, aby nie była możliwa zmiana wydanej na dany rok decyzji określającej wysokość zobowiązania podatkowego w identycznych sytuacjach jak te, które umożliwiają taką zmianę przy decyzjach ustalających (np. zbyciu nieruchomości po doręczeniu decyzji określającej wysokość zobowiązania podatkowego na dany rok). W tym kontekście zasadna jest zmiana obowiązującej regulacji w ten sposób, iż zastosowanie analizowanego trybu nie będzie wymagało bezpośredniej podstawy w przepisach innych niż </w:t>
      </w:r>
      <w:r w:rsidRPr="009A3C86">
        <w:rPr>
          <w:rFonts w:ascii="Times New Roman" w:hAnsi="Times New Roman"/>
          <w:b/>
          <w:sz w:val="24"/>
          <w:szCs w:val="24"/>
        </w:rPr>
        <w:t xml:space="preserve">art. </w:t>
      </w:r>
      <w:r w:rsidR="00BC34E3" w:rsidRPr="009A3C86">
        <w:rPr>
          <w:rFonts w:ascii="Times New Roman" w:hAnsi="Times New Roman"/>
          <w:b/>
          <w:sz w:val="24"/>
          <w:szCs w:val="24"/>
        </w:rPr>
        <w:t>502</w:t>
      </w:r>
      <w:r w:rsidRPr="009A3C86">
        <w:rPr>
          <w:rFonts w:ascii="Times New Roman" w:hAnsi="Times New Roman"/>
          <w:sz w:val="24"/>
          <w:szCs w:val="24"/>
        </w:rPr>
        <w:t xml:space="preserve">. Zatem przesłanki zmiany ostatecznej decyzji będzie wskazywał wyłącznie ten przepis. </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Obecnie przesłanką zmiany decyzji określoną w art. 254 § 1 o.p. jest wyłącznie zmiana okoliczności faktycznych, gdy tymczasem przepisy ustaw regulujących konstrukcję poszczególnych podatków wskazują, iż zmiana decyzji może wiązać się z wygaśnięciem obowiązku podatkowego lub zaistnieniem zdarzenia mającego wpływ na wysokość opodatkowania w danym roku. Zatem w literaturze przedmiotu wskazuje się, że ustawy te nie ograniczają możliwości zmiany decyzji wyłącznie do sytuacji związanych z okolicznościami </w:t>
      </w:r>
      <w:r w:rsidRPr="009A3C86">
        <w:rPr>
          <w:rFonts w:ascii="Times New Roman" w:hAnsi="Times New Roman"/>
          <w:sz w:val="24"/>
          <w:szCs w:val="24"/>
        </w:rPr>
        <w:lastRenderedPageBreak/>
        <w:t>faktycznymi</w:t>
      </w:r>
      <w:r w:rsidRPr="009A3C86">
        <w:rPr>
          <w:rFonts w:ascii="Times New Roman" w:hAnsi="Times New Roman"/>
          <w:sz w:val="24"/>
          <w:szCs w:val="24"/>
          <w:vertAlign w:val="superscript"/>
        </w:rPr>
        <w:footnoteReference w:id="466"/>
      </w:r>
      <w:r w:rsidRPr="009A3C86">
        <w:rPr>
          <w:rFonts w:ascii="Times New Roman" w:hAnsi="Times New Roman"/>
          <w:sz w:val="24"/>
          <w:szCs w:val="24"/>
        </w:rPr>
        <w:t>. W szczególności na wysokość opodatkowania mogą mieć wpływ także okoliczności prawne, takie jak np. zmiana w trakcie roku wysokości stawki podatkowej, czy też wprowadzenie zwolnienia podatkowego. Sytuacje takie mogą wynikać zarówno z działań ustawodawcy</w:t>
      </w:r>
      <w:r w:rsidRPr="009A3C86">
        <w:rPr>
          <w:rFonts w:ascii="Times New Roman" w:hAnsi="Times New Roman"/>
          <w:sz w:val="24"/>
          <w:szCs w:val="24"/>
          <w:vertAlign w:val="superscript"/>
        </w:rPr>
        <w:footnoteReference w:id="467"/>
      </w:r>
      <w:r w:rsidRPr="009A3C86">
        <w:rPr>
          <w:rFonts w:ascii="Times New Roman" w:hAnsi="Times New Roman"/>
          <w:sz w:val="24"/>
          <w:szCs w:val="24"/>
        </w:rPr>
        <w:t>, jak i rad gmin, które podejmują uchwały podatkowe. Podkreślić przy tym należy, iż w doktrynie nie kwestionuje się uprawnienia rady gminy do wprowadzania w trakcie roku rozwiązań korzystnych dla podatnika, takich jak niższe stawki lub zwolnienia podatkowe</w:t>
      </w:r>
      <w:r w:rsidRPr="009A3C86">
        <w:rPr>
          <w:rFonts w:ascii="Times New Roman" w:hAnsi="Times New Roman"/>
          <w:sz w:val="24"/>
          <w:szCs w:val="24"/>
          <w:vertAlign w:val="superscript"/>
        </w:rPr>
        <w:footnoteReference w:id="468"/>
      </w:r>
      <w:r w:rsidRPr="009A3C86">
        <w:rPr>
          <w:rFonts w:ascii="Times New Roman" w:hAnsi="Times New Roman"/>
          <w:sz w:val="24"/>
          <w:szCs w:val="24"/>
        </w:rPr>
        <w:t>. W konsekwencji zmiany stanu prawnego w trakcie roku podatkowego dochodzi do sytuacji, w której właściwe organy podatkowe nie mogą samodzielnie zmienić decyzji ustalających lub określających, albowiem zmiana stanu prawnego nie jest zmianą okoliczności faktycznych</w:t>
      </w:r>
      <w:r w:rsidRPr="009A3C86">
        <w:rPr>
          <w:rFonts w:ascii="Times New Roman" w:hAnsi="Times New Roman"/>
          <w:sz w:val="24"/>
          <w:szCs w:val="24"/>
          <w:vertAlign w:val="superscript"/>
        </w:rPr>
        <w:footnoteReference w:id="469"/>
      </w:r>
      <w:r w:rsidRPr="009A3C86">
        <w:rPr>
          <w:rFonts w:ascii="Times New Roman" w:hAnsi="Times New Roman"/>
          <w:sz w:val="24"/>
          <w:szCs w:val="24"/>
        </w:rPr>
        <w:t xml:space="preserve">. Z powyższego wynika potrzeba zmiany obecnie obowiązującej regulacji w ten sposób, iż zastosowanie przedmiotowego trybu nadzwyczajnego wzruszenia decyzji powinno być możliwe w każdym przypadku zmiany okoliczności, które mają wpływ na treść takiej decyzji. Umożliwi to zmianę decyzji zarówno wtedy, gdy zmieniają się okoliczności faktyczne, jak i prawne. </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Obowiązujący art. 254 o.p. uzależnia możliwość zmiany decyzji od zmiany okoliczności faktycznych, która miała miejsce już </w:t>
      </w:r>
      <w:r w:rsidR="00DD15AE" w:rsidRPr="009A3C86">
        <w:rPr>
          <w:rFonts w:ascii="Times New Roman" w:hAnsi="Times New Roman"/>
          <w:sz w:val="24"/>
          <w:szCs w:val="24"/>
        </w:rPr>
        <w:t>po</w:t>
      </w:r>
      <w:r w:rsidRPr="009A3C86">
        <w:rPr>
          <w:rFonts w:ascii="Times New Roman" w:hAnsi="Times New Roman"/>
          <w:sz w:val="24"/>
          <w:szCs w:val="24"/>
        </w:rPr>
        <w:t xml:space="preserve"> doręczeniu decyzji. W konsekwencji nie jest możliwe zastosowanie tego trybu w przypadku, gdy zmiana taka zaistnieje w okresie pomiędzy wydaniem a doręczeniem decyzji. W takim przypadku decyzja nie może być zmieniona, a jednocześnie, ponieważ w dacie wydania decyzja była prawidłowa, nie jest też możliwe stwierdzenie jej nieważności lub wznowienie postępowania. W obu tych trybach przesłanki ich zastosowania ocenia się bowiem na dzień wydania decyzji. Zasadna jest więc zmiana analizowanej regulacji w ten sposób, iż podstawą do zmiany decyzji będzie zmiana okoliczności, które mają wpływ na treść decyzji, a która zaistniała już po jej wydaniu, a nie doręczeniu. Z oczywistych przyczyn, co wynika z faktu stosowania art. </w:t>
      </w:r>
      <w:r w:rsidR="00097CF5" w:rsidRPr="009A3C86">
        <w:rPr>
          <w:rFonts w:ascii="Times New Roman" w:hAnsi="Times New Roman"/>
          <w:sz w:val="24"/>
          <w:szCs w:val="24"/>
        </w:rPr>
        <w:t>500</w:t>
      </w:r>
      <w:r w:rsidRPr="009A3C86">
        <w:rPr>
          <w:rFonts w:ascii="Times New Roman" w:hAnsi="Times New Roman"/>
          <w:sz w:val="24"/>
          <w:szCs w:val="24"/>
        </w:rPr>
        <w:t xml:space="preserve"> wyłącznie do decyzji ostatecznych, proponowane rozwiązanie umożliwi zmianę takiej decyzji tylko w przypadkach, w których po jej wydaniu i skutecznym doręczeniu ujawniona zostanie zmiana okoliczności rzutujących na jej poprawność. </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lastRenderedPageBreak/>
        <w:t>W obecnym stanie prawnym przepis art. 254 § 1 o.p. nie może być stosowany do sytuacji, w której spadkobierca - któremu ostateczną decyzją ustalono zobowiązanie podatkowe w podatku od spadków i darowizn - z tytułu nabycia spadku, po wydaniu decyzji ostatecznej, wykonał świadczenie z tytułu zachowku. Taka sytuacja dyskryminuje tego spadkobiercę w świetle art. 32 ust. 1 i 2 Konstytucji RP w stosunku do spadkobiercy, który świadczenie to wykonał przed wydaniem tej decyzji, albowiem nie dopuszcza obniżenia podstawy opodatkowania o poniesione długi spadkowe (art. 7 ust. 1 i 2 w związku z art. 6 ust. 1 pkt 2a u.p.s.d.) po wydaniu decyzji ostatecznej</w:t>
      </w:r>
      <w:r w:rsidRPr="009A3C86">
        <w:rPr>
          <w:rFonts w:ascii="Times New Roman" w:hAnsi="Times New Roman"/>
          <w:sz w:val="24"/>
          <w:szCs w:val="24"/>
          <w:vertAlign w:val="superscript"/>
        </w:rPr>
        <w:footnoteReference w:id="470"/>
      </w:r>
      <w:r w:rsidRPr="009A3C86">
        <w:rPr>
          <w:rFonts w:ascii="Times New Roman" w:hAnsi="Times New Roman"/>
          <w:sz w:val="24"/>
          <w:szCs w:val="24"/>
        </w:rPr>
        <w:t xml:space="preserve">. Obecny art. 254 o.p. dotyczący decyzji „na dany okres” może mieć zastosowanie w przedmiotowej sytuacji jedynie w wyniku </w:t>
      </w:r>
      <w:r w:rsidRPr="009A3C86">
        <w:rPr>
          <w:rFonts w:ascii="Times New Roman" w:hAnsi="Times New Roman"/>
          <w:i/>
          <w:iCs/>
          <w:sz w:val="24"/>
          <w:szCs w:val="24"/>
        </w:rPr>
        <w:t>analogia legis</w:t>
      </w:r>
      <w:r w:rsidRPr="009A3C86">
        <w:rPr>
          <w:rFonts w:ascii="Times New Roman" w:hAnsi="Times New Roman"/>
          <w:sz w:val="24"/>
          <w:szCs w:val="24"/>
        </w:rPr>
        <w:t xml:space="preserve">, bo decyzja ustalająca zobowiązanie podatkowe w podatku od spadków i darowizn nie jest decyzją „na dany okres”. Dlatego pominięcie w art. </w:t>
      </w:r>
      <w:r w:rsidR="00416BCC" w:rsidRPr="009A3C86">
        <w:rPr>
          <w:rFonts w:ascii="Times New Roman" w:hAnsi="Times New Roman"/>
          <w:sz w:val="24"/>
          <w:szCs w:val="24"/>
        </w:rPr>
        <w:t>502</w:t>
      </w:r>
      <w:r w:rsidRPr="009A3C86">
        <w:rPr>
          <w:rFonts w:ascii="Times New Roman" w:hAnsi="Times New Roman"/>
          <w:sz w:val="24"/>
          <w:szCs w:val="24"/>
        </w:rPr>
        <w:t xml:space="preserve"> projektu wyrażenia „na dany okres” wyeliminuje tę wadliwość obecnego przepisu art. 254 § 1 o.p.</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W proponowanym brzmieniu art. </w:t>
      </w:r>
      <w:r w:rsidR="00416BCC" w:rsidRPr="009A3C86">
        <w:rPr>
          <w:rFonts w:ascii="Times New Roman" w:hAnsi="Times New Roman"/>
          <w:sz w:val="24"/>
          <w:szCs w:val="24"/>
        </w:rPr>
        <w:t>502</w:t>
      </w:r>
      <w:r w:rsidRPr="009A3C86">
        <w:rPr>
          <w:rFonts w:ascii="Times New Roman" w:hAnsi="Times New Roman"/>
          <w:sz w:val="24"/>
          <w:szCs w:val="24"/>
        </w:rPr>
        <w:t xml:space="preserve"> nie zawiera odpowiednika art. 254 § 2 o.p. Przepis ten stanowi, iż zmiana decyzji ostatecznej może dotyczyć tylko okresu, za który ustalono lub określono wysokość zobowiązania podatkowego. Regulacja ta wydaje się zbędna, gdyż zakres postępowania związanego ze zmianą decyzji ostatecznej limituje zakres tej decyzji. Nie jest więc dopuszczalna zmiana decyzji w ten sposób, aby nowa decyzja objęła okresy rozliczeniowe, których nie dotyczyła decyzja zmieniana. </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 xml:space="preserve">Przepis stosuje się odpowiednio do decyzji umarzającej postępowanie w przypadku, o którym mowa w art. </w:t>
      </w:r>
      <w:r w:rsidR="00416BCC" w:rsidRPr="009A3C86">
        <w:rPr>
          <w:rFonts w:ascii="Times New Roman" w:hAnsi="Times New Roman"/>
          <w:sz w:val="24"/>
          <w:szCs w:val="24"/>
        </w:rPr>
        <w:t>361</w:t>
      </w:r>
      <w:r w:rsidRPr="009A3C86">
        <w:rPr>
          <w:rFonts w:ascii="Times New Roman" w:hAnsi="Times New Roman"/>
          <w:sz w:val="24"/>
          <w:szCs w:val="24"/>
        </w:rPr>
        <w:t>. Może powstać bowiem sytuacja</w:t>
      </w:r>
      <w:r w:rsidRPr="009A3C86">
        <w:rPr>
          <w:rFonts w:ascii="Times New Roman" w:hAnsi="Times New Roman"/>
          <w:sz w:val="24"/>
          <w:szCs w:val="24"/>
          <w:vertAlign w:val="superscript"/>
        </w:rPr>
        <w:footnoteReference w:id="471"/>
      </w:r>
      <w:r w:rsidRPr="009A3C86">
        <w:rPr>
          <w:rFonts w:ascii="Times New Roman" w:hAnsi="Times New Roman"/>
          <w:sz w:val="24"/>
          <w:szCs w:val="24"/>
        </w:rPr>
        <w:t xml:space="preserve">, że pomimo początkowego umorzenia postępowania z uwagi na bagatelność kwoty wymiaru, na skutek zmiany okoliczności faktycznych pojawi się potrzeba dokonania wymiaru na kwotę wyższą niż określona w art. </w:t>
      </w:r>
      <w:r w:rsidR="00416BCC" w:rsidRPr="009A3C86">
        <w:rPr>
          <w:rFonts w:ascii="Times New Roman" w:hAnsi="Times New Roman"/>
          <w:sz w:val="24"/>
          <w:szCs w:val="24"/>
        </w:rPr>
        <w:t>361</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6. Projektowany przepis </w:t>
      </w:r>
      <w:r w:rsidRPr="009A3C86">
        <w:rPr>
          <w:rFonts w:ascii="Times New Roman" w:hAnsi="Times New Roman"/>
          <w:b/>
          <w:sz w:val="24"/>
          <w:szCs w:val="24"/>
        </w:rPr>
        <w:t xml:space="preserve">art. </w:t>
      </w:r>
      <w:r w:rsidR="00D23DF1" w:rsidRPr="009A3C86">
        <w:rPr>
          <w:rFonts w:ascii="Times New Roman" w:hAnsi="Times New Roman"/>
          <w:b/>
          <w:sz w:val="24"/>
          <w:szCs w:val="24"/>
        </w:rPr>
        <w:t>503</w:t>
      </w:r>
      <w:r w:rsidRPr="009A3C86">
        <w:rPr>
          <w:rFonts w:ascii="Times New Roman" w:hAnsi="Times New Roman"/>
          <w:sz w:val="24"/>
          <w:szCs w:val="24"/>
        </w:rPr>
        <w:t xml:space="preserve"> jest odpowiednikiem obecnego art. 255 o.p. Decyzja ostateczna może być uchylona, jeżeli została wydana z zastrzeżeniem dopełnienia przez stronę określonych czynności, a strona nie dopełniła ich w wyznaczonym terminie. Modyfikuje się obecną treść przepisu w zakresie kompetencji organu do uchylenia decyzji. Organem właściwym jest organ, który „decyzję wydał” (art. </w:t>
      </w:r>
      <w:r w:rsidR="00D23DF1" w:rsidRPr="009A3C86">
        <w:rPr>
          <w:rFonts w:ascii="Times New Roman" w:hAnsi="Times New Roman"/>
          <w:sz w:val="24"/>
          <w:szCs w:val="24"/>
        </w:rPr>
        <w:t>506</w:t>
      </w:r>
      <w:r w:rsidRPr="009A3C86">
        <w:rPr>
          <w:rFonts w:ascii="Times New Roman" w:hAnsi="Times New Roman"/>
          <w:sz w:val="24"/>
          <w:szCs w:val="24"/>
        </w:rPr>
        <w:t xml:space="preserve">) zamiast obecnej regulacji wskazującej na organ pierwszej instancji. Pozwoli to zapobiec wątpliwościom związanym z wygaszaniem decyzji organu pierwszej instancji, gdy pozostaje w mocy decyzja ostateczna organu odwoławczego utrzymująca w mocy tę decyzję. Obecne rozwiązane jest też sprzeczne z </w:t>
      </w:r>
      <w:r w:rsidRPr="009A3C86">
        <w:rPr>
          <w:rFonts w:ascii="Times New Roman" w:hAnsi="Times New Roman"/>
          <w:sz w:val="24"/>
          <w:szCs w:val="24"/>
        </w:rPr>
        <w:lastRenderedPageBreak/>
        <w:t>zakresem regulacyjnym rozdziału, stanowiącego o uchyleniu lub zmiany decyzji ostatecznej, bowiem dopuszcza sytuację, w której to nie decyzja ostateczna będzie uchylana.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7. W celu wyposażenia Rzecznika Praw Podatnika w realne uprawnienia w zakresie indywidualnych spraw podatkowych proponuje się przyznanie ministrowi właściwemu do spraw finansów publicznych kompetencji do zmiany lub uchylenia </w:t>
      </w:r>
      <w:r w:rsidR="00E36F40" w:rsidRPr="009A3C86">
        <w:rPr>
          <w:rFonts w:ascii="Times New Roman" w:hAnsi="Times New Roman"/>
          <w:sz w:val="24"/>
          <w:szCs w:val="24"/>
        </w:rPr>
        <w:t xml:space="preserve">- na wniosek Rzecznika Praw Podatnika złożony za zgodą podatnika - </w:t>
      </w:r>
      <w:r w:rsidRPr="009A3C86">
        <w:rPr>
          <w:rFonts w:ascii="Times New Roman" w:hAnsi="Times New Roman"/>
          <w:sz w:val="24"/>
          <w:szCs w:val="24"/>
        </w:rPr>
        <w:t>każdej decyzji, jeżeli w inny sposób nie można usunąć stanu zagrażającego szczególnie ważnemu interesowi zobowiązanego (</w:t>
      </w:r>
      <w:r w:rsidRPr="009A3C86">
        <w:rPr>
          <w:rFonts w:ascii="Times New Roman" w:hAnsi="Times New Roman"/>
          <w:b/>
          <w:sz w:val="24"/>
          <w:szCs w:val="24"/>
        </w:rPr>
        <w:t xml:space="preserve">art. </w:t>
      </w:r>
      <w:r w:rsidR="00D23DF1" w:rsidRPr="009A3C86">
        <w:rPr>
          <w:rFonts w:ascii="Times New Roman" w:hAnsi="Times New Roman"/>
          <w:b/>
          <w:sz w:val="24"/>
          <w:szCs w:val="24"/>
        </w:rPr>
        <w:t>504</w:t>
      </w:r>
      <w:r w:rsidRPr="009A3C86">
        <w:rPr>
          <w:rFonts w:ascii="Times New Roman" w:hAnsi="Times New Roman"/>
          <w:sz w:val="24"/>
          <w:szCs w:val="24"/>
        </w:rPr>
        <w:t>). O wzruszeniu decyzji na tej podstawie decyduje minister działając w ramach uznania administracyjnego. Przesłanki uruchomienia tego trybu determinuje zakres i cel działania Rzecznika Praw Podatnika. Tylko w tym zakresie Rzecznik jest uprawniony do złożenia wniosku, a więc Rzecznik nie może skutecznie domagać się zmiany lub uchylenia decyzji na niekorzyść podatnika. Pierwszeństwo w weryfikacji decyzji ostatecznej mają inne tryby wzruszenia takiej decyzji regulowane w o.p. Proponowany przepis dotyczy sytuacji, gdy postępowanie w sprawie stwierdzenie nieważności decyzji, wznowienie postępowania albo uchylenie lub zmiana decyzji z innych powodów nie może nastąpić z uwagi na upływ stosownych terminów lub niespełnienie przesłanek zastosowania tych trybów. Minister będzie mógł w ramach tego postępowania wstrzymać wykonanie decyzji ostatecznej objętej wnioskiem Rzecznika.</w:t>
      </w:r>
    </w:p>
    <w:p w:rsidR="0085545A" w:rsidRPr="009A3C86" w:rsidRDefault="0085545A" w:rsidP="0085545A">
      <w:pPr>
        <w:autoSpaceDE w:val="0"/>
        <w:autoSpaceDN w:val="0"/>
        <w:adjustRightInd w:val="0"/>
        <w:spacing w:after="0" w:line="360" w:lineRule="auto"/>
        <w:jc w:val="both"/>
        <w:rPr>
          <w:rFonts w:ascii="Times New Roman" w:hAnsi="Times New Roman"/>
          <w:sz w:val="24"/>
          <w:szCs w:val="24"/>
        </w:rPr>
      </w:pPr>
      <w:r w:rsidRPr="009A3C86">
        <w:rPr>
          <w:rFonts w:ascii="Times New Roman" w:hAnsi="Times New Roman"/>
          <w:sz w:val="24"/>
          <w:szCs w:val="24"/>
        </w:rPr>
        <w:t>8. Obecne przepisy rozdziału nie są kompletne w zakresie trybu uchylania lub zmiany decyzji. Przykładowo art. 254 § 1 o.p. nie określa trybu, w jakim może być zainicjowane postępowanie w sprawie zmiany decyzji. Wprawdzie z przepisów ogólnych wynika, że postępowanie podatkowe może być wszczęte zarówno z urzędu, jak i na wniosek, ale należy podkreślić, że w orzecznictwie sądów administracyjnych wyprowadzono pogląd, wedle którego postępowanie w sprawie zmiany decyzji może zostać wszczęte jedynie z urzędu</w:t>
      </w:r>
      <w:r w:rsidRPr="009A3C86">
        <w:rPr>
          <w:rFonts w:ascii="Times New Roman" w:hAnsi="Times New Roman"/>
          <w:sz w:val="24"/>
          <w:szCs w:val="24"/>
          <w:vertAlign w:val="superscript"/>
        </w:rPr>
        <w:footnoteReference w:id="472"/>
      </w:r>
      <w:r w:rsidRPr="009A3C86">
        <w:rPr>
          <w:rFonts w:ascii="Times New Roman" w:hAnsi="Times New Roman"/>
          <w:sz w:val="24"/>
          <w:szCs w:val="24"/>
        </w:rPr>
        <w:t>. Jednocześnie należy zauważyć, że w przypadku innych trybów wzruszenia decyzji ostatecznej (stwierdzenie nieważności, wznowienie postępowania) ustawodawca dopuszcza ich inicjowanie zarówno z wniosku strony, jak i z urzędu przez organ podatkowy. Z tego względu zasadne jest wyraźne wskazanie, że z żądaniem zmiany decyzji może wystąpić również strona (</w:t>
      </w:r>
      <w:r w:rsidRPr="009A3C86">
        <w:rPr>
          <w:rFonts w:ascii="Times New Roman" w:hAnsi="Times New Roman"/>
          <w:b/>
          <w:sz w:val="24"/>
          <w:szCs w:val="24"/>
        </w:rPr>
        <w:t xml:space="preserve">art. </w:t>
      </w:r>
      <w:r w:rsidR="00D23DF1" w:rsidRPr="009A3C86">
        <w:rPr>
          <w:rFonts w:ascii="Times New Roman" w:hAnsi="Times New Roman"/>
          <w:b/>
          <w:sz w:val="24"/>
          <w:szCs w:val="24"/>
        </w:rPr>
        <w:t>505</w:t>
      </w:r>
      <w:r w:rsidRPr="009A3C86">
        <w:rPr>
          <w:rFonts w:ascii="Times New Roman" w:hAnsi="Times New Roman"/>
          <w:sz w:val="24"/>
          <w:szCs w:val="24"/>
        </w:rPr>
        <w:t>), która najczęściej szybciej od organu podatkowego nabywa wiedzę dotyczącą zaistnienia okoliczności, które uzasadniają zmianę.</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lastRenderedPageBreak/>
        <w:t>Podobnie jak w przypadku wznowienia postępowania oraz stwierdzenia nieważności decyzji, także w przypadku uchylenia lub zmiany decyzji konieczne jest dostosowanie terminu dopuszczalności stosowania tego trybu do nowego modelu przedawnienia. Termin 5 lat liczony od dnia doręczenia decyzji, określony w obecnym art. 256 o.p., oznaczałby pozostawienie w obrocie prawnym decyzji, co do której istnieją przesłanki zmiany lub uchylenia, a nawet istnieje taka konieczność. Termin dopuszczający postępowanie w tym trybie należy więc powiązać z terminem przedawnienia poboru. Założyć trzeba, że w większości przypadków okoliczności stanowiące przesłankę uchylenia lub zmiany decyzji ostatecznej ujawnią się już po terminie przedawnienia wymiaru.</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Przepisy art. </w:t>
      </w:r>
      <w:r w:rsidR="00D23DF1" w:rsidRPr="009A3C86">
        <w:rPr>
          <w:rFonts w:ascii="Times New Roman" w:hAnsi="Times New Roman"/>
          <w:sz w:val="24"/>
          <w:szCs w:val="24"/>
        </w:rPr>
        <w:t>499</w:t>
      </w:r>
      <w:r w:rsidRPr="009A3C86">
        <w:rPr>
          <w:rFonts w:ascii="Times New Roman" w:hAnsi="Times New Roman"/>
          <w:sz w:val="24"/>
          <w:szCs w:val="24"/>
        </w:rPr>
        <w:t xml:space="preserve"> i art. </w:t>
      </w:r>
      <w:r w:rsidR="00D23DF1" w:rsidRPr="009A3C86">
        <w:rPr>
          <w:rFonts w:ascii="Times New Roman" w:hAnsi="Times New Roman"/>
          <w:sz w:val="24"/>
          <w:szCs w:val="24"/>
        </w:rPr>
        <w:t>500</w:t>
      </w:r>
      <w:r w:rsidRPr="009A3C86">
        <w:rPr>
          <w:rFonts w:ascii="Times New Roman" w:hAnsi="Times New Roman"/>
          <w:sz w:val="24"/>
          <w:szCs w:val="24"/>
        </w:rPr>
        <w:t xml:space="preserve"> mają zupełnie inny charakter i cel niż przepisy art. </w:t>
      </w:r>
      <w:r w:rsidR="00D23DF1" w:rsidRPr="009A3C86">
        <w:rPr>
          <w:rFonts w:ascii="Times New Roman" w:hAnsi="Times New Roman"/>
          <w:sz w:val="24"/>
          <w:szCs w:val="24"/>
        </w:rPr>
        <w:t>502</w:t>
      </w:r>
      <w:r w:rsidRPr="009A3C86">
        <w:rPr>
          <w:rFonts w:ascii="Times New Roman" w:hAnsi="Times New Roman"/>
          <w:sz w:val="24"/>
          <w:szCs w:val="24"/>
        </w:rPr>
        <w:t xml:space="preserve"> i art. </w:t>
      </w:r>
      <w:r w:rsidR="00D23DF1" w:rsidRPr="009A3C86">
        <w:rPr>
          <w:rFonts w:ascii="Times New Roman" w:hAnsi="Times New Roman"/>
          <w:sz w:val="24"/>
          <w:szCs w:val="24"/>
        </w:rPr>
        <w:t>503</w:t>
      </w:r>
      <w:r w:rsidRPr="009A3C86">
        <w:rPr>
          <w:rFonts w:ascii="Times New Roman" w:hAnsi="Times New Roman"/>
          <w:sz w:val="24"/>
          <w:szCs w:val="24"/>
        </w:rPr>
        <w:t xml:space="preserve">. Te dwa ostatnie przepisy mają na celu zmianę decyzji wymiarowej lub jej uchylenie. Te przepisy same w sobie stanowią więc szczególną odmianę decyzji wymiarowych, a więc termin dopuszczalności ich zastosowania należy powiązać z przedawnieniem wymiaru. Jednocześnie analogicznie do wydania nowej decyzji wymiarowej w wyniku wznowienia postępowania i stwierdzenia nieważności decyzji po upływie terminu przedawnienia, należy wprowadzić normę chroniącą zobowiązanego przed zwiększeniem jego ciężaru po upływie terminu przedawnienia wymiaru. Zgodnie z art. </w:t>
      </w:r>
      <w:r w:rsidR="00D23DF1" w:rsidRPr="009A3C86">
        <w:rPr>
          <w:rFonts w:ascii="Times New Roman" w:hAnsi="Times New Roman"/>
          <w:sz w:val="24"/>
          <w:szCs w:val="24"/>
        </w:rPr>
        <w:t>505</w:t>
      </w:r>
      <w:r w:rsidRPr="009A3C86">
        <w:rPr>
          <w:rFonts w:ascii="Times New Roman" w:hAnsi="Times New Roman"/>
          <w:sz w:val="24"/>
          <w:szCs w:val="24"/>
        </w:rPr>
        <w:t xml:space="preserve"> § </w:t>
      </w:r>
      <w:r w:rsidR="00562AF8" w:rsidRPr="009A3C86">
        <w:rPr>
          <w:rFonts w:ascii="Times New Roman" w:hAnsi="Times New Roman"/>
          <w:sz w:val="24"/>
          <w:szCs w:val="24"/>
        </w:rPr>
        <w:t>4</w:t>
      </w:r>
      <w:r w:rsidRPr="009A3C86">
        <w:rPr>
          <w:rFonts w:ascii="Times New Roman" w:hAnsi="Times New Roman"/>
          <w:sz w:val="24"/>
          <w:szCs w:val="24"/>
        </w:rPr>
        <w:t xml:space="preserve">, gdy zmieniono decyzję po przedawnieniu wymiaru, zwalnia się zobowiązanego z obowiązku zapłaty podatku w zakresie, w jakim zobowiązanie podatkowe wynikające ze zmienionej decyzji jest wyższe niż zobowiązanie wynikające z decyzji dotychczasowej. Przepis art. </w:t>
      </w:r>
      <w:r w:rsidR="00D23DF1" w:rsidRPr="009A3C86">
        <w:rPr>
          <w:rFonts w:ascii="Times New Roman" w:hAnsi="Times New Roman"/>
          <w:sz w:val="24"/>
          <w:szCs w:val="24"/>
        </w:rPr>
        <w:t>470</w:t>
      </w:r>
      <w:r w:rsidRPr="009A3C86">
        <w:rPr>
          <w:rFonts w:ascii="Times New Roman" w:hAnsi="Times New Roman"/>
          <w:sz w:val="24"/>
          <w:szCs w:val="24"/>
        </w:rPr>
        <w:t xml:space="preserve"> </w:t>
      </w:r>
      <w:r w:rsidR="00CE6458" w:rsidRPr="009A3C86">
        <w:rPr>
          <w:rFonts w:ascii="Times New Roman" w:hAnsi="Times New Roman"/>
          <w:sz w:val="24"/>
          <w:szCs w:val="24"/>
        </w:rPr>
        <w:t>§ </w:t>
      </w:r>
      <w:r w:rsidR="002B7C8F" w:rsidRPr="009A3C86">
        <w:rPr>
          <w:rFonts w:ascii="Times New Roman" w:hAnsi="Times New Roman"/>
          <w:sz w:val="24"/>
          <w:szCs w:val="24"/>
        </w:rPr>
        <w:t>5 i</w:t>
      </w:r>
      <w:r w:rsidR="002A2F96" w:rsidRPr="009A3C86">
        <w:rPr>
          <w:rFonts w:ascii="Times New Roman" w:hAnsi="Times New Roman"/>
          <w:sz w:val="24"/>
          <w:szCs w:val="24"/>
        </w:rPr>
        <w:t xml:space="preserve"> </w:t>
      </w:r>
      <w:r w:rsidR="00CE6458" w:rsidRPr="009A3C86">
        <w:rPr>
          <w:rFonts w:ascii="Times New Roman" w:hAnsi="Times New Roman"/>
          <w:sz w:val="24"/>
          <w:szCs w:val="24"/>
        </w:rPr>
        <w:t>6</w:t>
      </w:r>
      <w:r w:rsidRPr="009A3C86">
        <w:rPr>
          <w:rFonts w:ascii="Times New Roman" w:hAnsi="Times New Roman"/>
          <w:sz w:val="24"/>
          <w:szCs w:val="24"/>
        </w:rPr>
        <w:t xml:space="preserve"> stosuje się odpowiednio.</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9. Zamiast regulować właściwość organu do zmiany lub uchylenia decyzji ostatecznej w każdym artykule, powtarzając, że jest to „organ wydający decyzję”, proponuje się unormować to w odrębnym artykule (</w:t>
      </w:r>
      <w:r w:rsidRPr="009A3C86">
        <w:rPr>
          <w:rFonts w:ascii="Times New Roman" w:hAnsi="Times New Roman"/>
          <w:b/>
          <w:sz w:val="24"/>
          <w:szCs w:val="24"/>
        </w:rPr>
        <w:t xml:space="preserve">art. </w:t>
      </w:r>
      <w:r w:rsidR="00D23DF1" w:rsidRPr="009A3C86">
        <w:rPr>
          <w:rFonts w:ascii="Times New Roman" w:hAnsi="Times New Roman"/>
          <w:b/>
          <w:sz w:val="24"/>
          <w:szCs w:val="24"/>
        </w:rPr>
        <w:t>506</w:t>
      </w:r>
      <w:r w:rsidRPr="009A3C86">
        <w:rPr>
          <w:rFonts w:ascii="Times New Roman" w:hAnsi="Times New Roman"/>
          <w:sz w:val="24"/>
          <w:szCs w:val="24"/>
        </w:rPr>
        <w:t>) wzorem systematyki innych rozdziałów dotyczących wzruszania decyzji ostatecznych.</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68" w:name="_Toc494363288"/>
      <w:r w:rsidRPr="009A3C86">
        <w:rPr>
          <w:rFonts w:ascii="Times New Roman" w:hAnsi="Times New Roman"/>
          <w:b/>
          <w:bCs/>
          <w:sz w:val="24"/>
          <w:szCs w:val="24"/>
        </w:rPr>
        <w:t>Rozdział 22. Wygaśnięcie decyzji</w:t>
      </w:r>
      <w:bookmarkEnd w:id="68"/>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1. Instytucja wygaśnięcia decyzji nie budzi istotnych wątpliwości w praktyce stosowania. Obecne przepisy art. 259 o.p. (wygaśnięcie decyzji odraczającej termin płatności podatku lub rozkładającej płatność na raty) zostaną umiejscowione w rozdziale „Ulgi w spłacie”, a przepis art. 259a (wygaśnięcie decyzji stwierdzającej nadpłatę) jest umiejscowiony w rozdziale „Nadpłaty”. Poprawi to przejrzystość ustawy i pozwoli jej adresatowi na rozpoznanie wszelkich zagadnień związanych z tymi obszarami w jednym miejscu.</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2. Projektowany </w:t>
      </w:r>
      <w:r w:rsidRPr="009A3C86">
        <w:rPr>
          <w:rFonts w:ascii="Times New Roman" w:hAnsi="Times New Roman"/>
          <w:b/>
          <w:sz w:val="24"/>
          <w:szCs w:val="24"/>
        </w:rPr>
        <w:t xml:space="preserve">art. </w:t>
      </w:r>
      <w:r w:rsidR="00887737" w:rsidRPr="009A3C86">
        <w:rPr>
          <w:rFonts w:ascii="Times New Roman" w:hAnsi="Times New Roman"/>
          <w:b/>
          <w:sz w:val="24"/>
          <w:szCs w:val="24"/>
        </w:rPr>
        <w:t>507</w:t>
      </w:r>
      <w:r w:rsidRPr="009A3C86">
        <w:rPr>
          <w:rFonts w:ascii="Times New Roman" w:hAnsi="Times New Roman"/>
          <w:sz w:val="24"/>
          <w:szCs w:val="24"/>
        </w:rPr>
        <w:t xml:space="preserve"> jest zasadniczo odwzorowaniem obecnego art. 258 o.p. Jednocześnie dopuszcza się możliwość wygaśnięcia decyzji w części, jeżeli tylko części decyzji dotyczyć będą przesłanki wygaśnięcia. Pozwoli to na stabilizację decyzji w pozostałym zakresie.</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bCs/>
          <w:sz w:val="24"/>
          <w:szCs w:val="24"/>
        </w:rPr>
        <w:t xml:space="preserve">Zrezygnowano z przesłanki stwierdzenia wygaśnięcia (obecny art. 258 § 1 pkt 4 o.p.) dotyczącego dopełnienia warunków uprawniających do skorzystania z ryczałtowych form opodatkowania, określonych w przepisach prawa podatkowego. Przesłanki wygaśnięcia decyzji w sprawie zastosowania karty podatkowej określa art. 40 ust. 1 ustawy z dnia </w:t>
      </w:r>
      <w:r w:rsidR="00C851EA" w:rsidRPr="009A3C86">
        <w:rPr>
          <w:rFonts w:ascii="Times New Roman" w:hAnsi="Times New Roman"/>
          <w:bCs/>
          <w:sz w:val="24"/>
          <w:szCs w:val="24"/>
        </w:rPr>
        <w:t xml:space="preserve">20 </w:t>
      </w:r>
      <w:r w:rsidRPr="009A3C86">
        <w:rPr>
          <w:rFonts w:ascii="Times New Roman" w:hAnsi="Times New Roman"/>
          <w:bCs/>
          <w:sz w:val="24"/>
          <w:szCs w:val="24"/>
        </w:rPr>
        <w:t>listopada 1998 r. o zryczałtowanym podatku dochodowym od niektórych przychodów osiąganych przez osoby fizyczne. Skutki wygaśnięcia decyzji ustalającej opodatkowanie w formie karty podatkowej normuje art. 40 ust. 2 tej ustawy w sposób odmienny od regulacji o.p. Nadto skutki zmian warunków opodatkowania osób duchownych określa art. 48 i art. 49 tej ustawy, nakazując w tym zakresie zmianę decyzji, a nie jej wygaszanie. Z uwagi na autonomiczne regulacje prawa materialnego nie ma więc potrzeby utrzymywania przesłanki z obecnego art. 258 § 1 pkt 4 o.p.</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3. Bazując na analogicznych regulacjach projektowanych w trybach nadzwyczajnych dotyczących decyzji ostatecznych, także w zakresie stwierdzenia wygaśnięcia decyzji, proponuje się powiązanie tej instytucji z przedawnieniem poboru oraz uzupełnienie o podstawowe regulacje procesowe (</w:t>
      </w:r>
      <w:r w:rsidRPr="009A3C86">
        <w:rPr>
          <w:rFonts w:ascii="Times New Roman" w:hAnsi="Times New Roman"/>
          <w:b/>
          <w:sz w:val="24"/>
          <w:szCs w:val="24"/>
        </w:rPr>
        <w:t xml:space="preserve">art. </w:t>
      </w:r>
      <w:r w:rsidR="00887737" w:rsidRPr="009A3C86">
        <w:rPr>
          <w:rFonts w:ascii="Times New Roman" w:hAnsi="Times New Roman"/>
          <w:b/>
          <w:sz w:val="24"/>
          <w:szCs w:val="24"/>
        </w:rPr>
        <w:t>508</w:t>
      </w:r>
      <w:r w:rsidRPr="009A3C86">
        <w:rPr>
          <w:rFonts w:ascii="Times New Roman" w:hAnsi="Times New Roman"/>
          <w:sz w:val="24"/>
          <w:szCs w:val="24"/>
        </w:rPr>
        <w:t>).</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Dotychczasowy rozdział 21 działu IV o.p. „Odpowiedzialność odszkodowawcza” nie znalazł się w niniejszym projekcie. Obecna regulacja art. 260 o.p. odsyłająca do prawa cywilnego nie ma żadnej wartości normatywnej, a jest jedynie informacją. Odpowiedzialność odszkodowawcza jest materią prawa cywilnego.</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69" w:name="_Toc494363289"/>
      <w:r w:rsidRPr="009A3C86">
        <w:rPr>
          <w:rFonts w:ascii="Times New Roman" w:hAnsi="Times New Roman"/>
          <w:b/>
          <w:bCs/>
          <w:sz w:val="24"/>
          <w:szCs w:val="24"/>
        </w:rPr>
        <w:t>Rozdział 23. Kary porządkowe</w:t>
      </w:r>
      <w:bookmarkEnd w:id="69"/>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1. Kodeks postępowania administracyjnego od dnia 1 czerwca 2017 r. zawiera dział IVA „Administracyjne kary pieniężne”. Należy więc poddać analizie relacje tych przepisów k.p.a. z przepisami dotyczącymi kar porządkowych, aby odpowiedzieć na pytanie, czy zachowanie w ordynacji podatkowej autonomicznych względem k.p.a. regulacji w zakresie kar porządkowych jest systemowo uzasadnione. Przepis art. 189b k.p.a. przez administracyjną karę pieniężną rozumie określoną w ustawie sankcję o charakterze pieniężnym, nakładaną przez organ administracji publicznej, w drodze decyzji, w następstwie naruszenia prawa polegającego na niedopełnieniu obowiązku albo naruszeniu zakazu ciążącego na osobie fizycznej, osobie prawnej albo jednostce organizacyjnej nieposiadającej osobowości prawnej. Podkreślić należy, że w definicji administracyjnej kary pieniężnej mieszczą się tylko kary nakładane w drodze </w:t>
      </w:r>
      <w:r w:rsidRPr="009A3C86">
        <w:rPr>
          <w:rFonts w:ascii="Times New Roman" w:hAnsi="Times New Roman"/>
          <w:sz w:val="24"/>
          <w:szCs w:val="24"/>
        </w:rPr>
        <w:lastRenderedPageBreak/>
        <w:t>decyzji, podczas gdy kary porządkowe są nakładane w drodze postanowienia. Jednak to nie forma działania organu jest najbardziej istotna. Treść przepisu wskazuje, że administracyjne kary pieniężne są wynikiem jurysdykcyjnych działań organów administracji wynikających z naruszania zakazów lub niestosowania się do nakazów wynikających z przepisów prawa. To przepisy prawa reglamentują uprawnienia adresata normy prawnej lub zakazują mu określonego zachowania. Przepis art. 189c k.p.a. wskazuje nawet, że te nakazy lub zakazy powinny brać źródło w przepisach ustawy. Administracyjne kary pieniężne mogą realizować różne cele, jednak ich rdzeniem jest przymuszenie do respektowania norm prawa administracyjnego. Natomiast kary porządkowe mają na celu zdyscyplinowanie uczestników postępowania podatkowego i usprawnienie przebiegu postępowania. Proces wymierzania administracyjnych kar pieniężnych należy zatem postrzegać w kontekście stosowania instrumentów władztwa administracyjnego.</w:t>
      </w:r>
      <w:r w:rsidRPr="009A3C86">
        <w:rPr>
          <w:rFonts w:ascii="Times New Roman" w:hAnsi="Times New Roman"/>
          <w:i/>
          <w:iCs/>
          <w:sz w:val="24"/>
          <w:szCs w:val="24"/>
        </w:rPr>
        <w:t xml:space="preserve"> </w:t>
      </w:r>
      <w:r w:rsidRPr="009A3C86">
        <w:rPr>
          <w:rFonts w:ascii="Times New Roman" w:hAnsi="Times New Roman"/>
          <w:sz w:val="24"/>
          <w:szCs w:val="24"/>
        </w:rPr>
        <w:t xml:space="preserve">Nałożenie administracyjnej kary pieniężnej jest samodzielną sprawą administracyjną, co potwierdza treść art. 1 pkt 5 k.p.a. Postępowanie w sprawie nałożenia kary porządkowej jest natomiast postępowaniem wpadkowym wobec postępowania podatkowego i jest ściśle powiązane z tokiem tego postępowania. Elementem istotnie odróżniającym kary porządkowe od administracyjnych kar pieniężnych jest to, że naruszane przez uczestnika postępowania nakazy lub zakazy określonego zachowania w toku postępowania wynikają z wezwania organu podatkowego, a nie bezpośrednio z ustawy. Niezależnie od powyższych uwag natury systemowej zauważyć należy potencjalne komplikacje procesowe, które związane byłyby z wszczynaniem w związku z postępowaniem podatkowym odrębnego postępowania, w reżimie k.p.a., w sprawie nałożenia kary porządkowej w drodze decyzji. Organ podatkowy prowadziłby wówczas odrębne postępowanie z wyłączeniem ordynacji podatkowej, co rodziłoby trudne do praktycznego rozwiązania implikacje, np. w zakresie przepisów o wyłączeniu pracownika lub organu, tajemnicy skarbowej, pełnomocnictwach. Wszelkie związki procesowe postępowania podatkowego oraz wpadkowego postępowania w sprawie nałożenia kary porządkowej zostałyby przecięte. Powyższe argumenty przemawiają za zachowaniem odrębności ordynacji podatkowej w zakresie regulacji kar porządkowych.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Przepisy dotyczące kar porządkowych były przedmiotem istotnej modyfikacji dokonanej z mocą od dnia 1 stycznia 2016 r. W obecnej postaci przepisy te generalnie odpowiadają potrzebom praktyki. Największym mankamentem jest jednak brak jakichkolwiek dyrektyw miarkowania kar porządkowych. Nakładając karę porządkową, należy uwzględniać w szczególności: rodzaj i rozmiar negatywnych następstw zachowania strony, rodzaj i stopień naruszeń, motywację i sposób zachowania się osoby karanej, a także jej warunki osobiste, w </w:t>
      </w:r>
      <w:r w:rsidRPr="009A3C86">
        <w:rPr>
          <w:rFonts w:ascii="Times New Roman" w:hAnsi="Times New Roman"/>
          <w:sz w:val="24"/>
          <w:szCs w:val="24"/>
        </w:rPr>
        <w:lastRenderedPageBreak/>
        <w:t>tym zdolności płatnicze. Należy wziąć pod uwagę także uporczywość działania strony. Zdecydowanemu skróceniu powinny ulec terminy do wymiaru i poboru kar porządkowych. Należy sprecyzować, w zakresie jakich czynności odmowa udziału może skutkować nałożeniem kary.</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9F602D" w:rsidRPr="009A3C86">
        <w:rPr>
          <w:rFonts w:ascii="Times New Roman" w:hAnsi="Times New Roman"/>
          <w:b/>
          <w:sz w:val="24"/>
          <w:szCs w:val="24"/>
        </w:rPr>
        <w:t>509</w:t>
      </w:r>
      <w:r w:rsidRPr="009A3C86">
        <w:rPr>
          <w:rFonts w:ascii="Times New Roman" w:hAnsi="Times New Roman"/>
          <w:b/>
          <w:sz w:val="24"/>
          <w:szCs w:val="24"/>
        </w:rPr>
        <w:t xml:space="preserve"> </w:t>
      </w:r>
      <w:r w:rsidRPr="009A3C86">
        <w:rPr>
          <w:rFonts w:ascii="Times New Roman" w:hAnsi="Times New Roman"/>
          <w:sz w:val="24"/>
          <w:szCs w:val="24"/>
        </w:rPr>
        <w:t xml:space="preserve">odpowiada obecnemu przepisowi art. 262 o.p., wskazując podmioty mogące zostać ukarane oraz rodzaje zachowania podlegające karze porządkowej.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Ujednolicono podstawową przesłankę nakładania kary porządkowej jako „bezzasadność” określonego działania lub zaniechania strony, umieszczając ją we wstępie do wyliczenia w § 1 zamiast obecnego rozproszenia tej przesłanki w przepisach dotyczących poszczególnych okoliczności uprawniających do nałożenia kary porządkowej. Dla odmiany, w art. 262 § 1 pkt 1 o.p. występuje pojęcie „bez uzasadnionej przyczyny”. Generalna klauzula „bezzasadności” działania lub niedziałania obejmie wszystkie podmioty i przedmioty wskazane w tym przepisie.</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przepisie </w:t>
      </w:r>
      <w:r w:rsidRPr="009A3C86">
        <w:rPr>
          <w:rFonts w:ascii="Times New Roman" w:hAnsi="Times New Roman"/>
          <w:b/>
          <w:sz w:val="24"/>
          <w:szCs w:val="24"/>
        </w:rPr>
        <w:t xml:space="preserve">art. </w:t>
      </w:r>
      <w:r w:rsidR="009F602D" w:rsidRPr="009A3C86">
        <w:rPr>
          <w:rFonts w:ascii="Times New Roman" w:hAnsi="Times New Roman"/>
          <w:b/>
          <w:sz w:val="24"/>
          <w:szCs w:val="24"/>
        </w:rPr>
        <w:t>509</w:t>
      </w:r>
      <w:r w:rsidRPr="009A3C86">
        <w:rPr>
          <w:rFonts w:ascii="Times New Roman" w:hAnsi="Times New Roman"/>
          <w:sz w:val="24"/>
          <w:szCs w:val="24"/>
        </w:rPr>
        <w:t xml:space="preserve"> proponuje się serię zmian precyzujących przesłanki nakładania kary porządkowej.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 1 pkt 2 w zakresie odmowy udziału w innej czynności dookreślono, że dotyczy to czynności, „do której dokonania wezwał organ podatkowy”. Treść przepisu rozszerzono też na inne dowody będące w posiadaniu osoby </w:t>
      </w:r>
      <w:r w:rsidR="00BE40B2" w:rsidRPr="009A3C86">
        <w:rPr>
          <w:rFonts w:ascii="Times New Roman" w:hAnsi="Times New Roman"/>
          <w:sz w:val="24"/>
          <w:szCs w:val="24"/>
        </w:rPr>
        <w:t>wezwanej</w:t>
      </w:r>
      <w:r w:rsidRPr="009A3C86">
        <w:rPr>
          <w:rFonts w:ascii="Times New Roman" w:hAnsi="Times New Roman"/>
          <w:sz w:val="24"/>
          <w:szCs w:val="24"/>
        </w:rPr>
        <w:t>; obecnie stosowanie kar porządkowych za bezzasadne nieprzedłożenie dowodu w takim przypadku jest wątpliwe (wyrok NSA z dnia 19 stycznia 2016 r., sygn. akt II GSK 1021/14 - CBOSA).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2</w:t>
      </w:r>
      <w:r w:rsidRPr="009A3C86">
        <w:rPr>
          <w:rFonts w:ascii="Times New Roman" w:hAnsi="Times New Roman"/>
          <w:sz w:val="24"/>
          <w:szCs w:val="24"/>
        </w:rPr>
        <w:t xml:space="preserve"> uściślono, że nałożenie kary porządkowej na osobę, która według przepisów dotyczących ustroju danej osoby prawnej lub jednostki organizacyjnej niemającej osobowości prawnej jest jej ustawowym reprezentantem, członkiem organu uprawnionego do jej reprezentowania lub jest upoważniona do prowadzenia jej spraw, może dotyczyć tylko tych sytuacji, gdy wezwanie nie jest kierowane personalnie do żadnej osoby w tej jednostce. Członek zarządu nie powinien odpowiadać za działania i zaniechania innych osób, do których imiennie kierowane jest wezwanie organu. Członek zarządu powinien natomiast odpowiadać, gdy wezwanie jest kierowane do jednostki, bez wskazywania konkretnej osoby w jej strukturach. Ponadto wyraźnie wskazano, że ukaranie członka zarządu lub innej osoby zarządzającej lub reprezentującej osobę prawną lub jednostkę organizacyjną niemającą osobowości prawnej może nastąpić „zamiast” karania strony, czyli tej osoby prawnej lub jednostki. Osoba prawna i osoba fizyczna nią zrządzająca nie powinna być karana jednocześnie za ten sam czyn (</w:t>
      </w:r>
      <w:r w:rsidRPr="009A3C86">
        <w:rPr>
          <w:rFonts w:ascii="Times New Roman" w:hAnsi="Times New Roman"/>
          <w:i/>
          <w:iCs/>
          <w:sz w:val="24"/>
          <w:szCs w:val="24"/>
        </w:rPr>
        <w:t>ne bis in idem</w:t>
      </w:r>
      <w:r w:rsidRPr="009A3C86">
        <w:rPr>
          <w:rFonts w:ascii="Times New Roman" w:hAnsi="Times New Roman"/>
          <w:sz w:val="24"/>
          <w:szCs w:val="24"/>
        </w:rPr>
        <w:t xml:space="preserve">).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3 pkt 1</w:t>
      </w:r>
      <w:r w:rsidRPr="009A3C86">
        <w:rPr>
          <w:rFonts w:ascii="Times New Roman" w:hAnsi="Times New Roman"/>
          <w:sz w:val="24"/>
          <w:szCs w:val="24"/>
        </w:rPr>
        <w:t xml:space="preserve"> uściślono pojęcie „osoby trzeciej”, aby unikać mylnego powiązania z osobami trzecimi odpowiadającymi za zaległości podatkowego.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W </w:t>
      </w:r>
      <w:r w:rsidRPr="009A3C86">
        <w:rPr>
          <w:rFonts w:ascii="Times New Roman" w:hAnsi="Times New Roman"/>
          <w:b/>
          <w:sz w:val="24"/>
          <w:szCs w:val="24"/>
        </w:rPr>
        <w:t>§ 3 pkt 2</w:t>
      </w:r>
      <w:r w:rsidRPr="009A3C86">
        <w:rPr>
          <w:rFonts w:ascii="Times New Roman" w:hAnsi="Times New Roman"/>
          <w:sz w:val="24"/>
          <w:szCs w:val="24"/>
        </w:rPr>
        <w:t xml:space="preserve"> sprecyzowano, że uczestników rozprawy, którzy poprzez swoje niewłaściwe zachowanie utrudniają jej przeprowadzenie, można ukarać dopiero po „wcześniejszym wezwaniu przez kierującego rozprawą do zaprzestania takiego zachowania”; wydaje się, że ostrzeżenie w tym zakresie będzie wystarczające do zapewnienia sprawnego przebiegu rozprawy.</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Obecny przepis art. 262 § 2 o.p. stanie się zbędny w kontekście przepisu art. </w:t>
      </w:r>
      <w:r w:rsidR="002C781E" w:rsidRPr="009A3C86">
        <w:rPr>
          <w:rFonts w:ascii="Times New Roman" w:hAnsi="Times New Roman"/>
          <w:b/>
          <w:sz w:val="24"/>
          <w:szCs w:val="24"/>
        </w:rPr>
        <w:t>509</w:t>
      </w:r>
      <w:r w:rsidRPr="009A3C86">
        <w:rPr>
          <w:rFonts w:ascii="Times New Roman" w:hAnsi="Times New Roman"/>
          <w:b/>
          <w:sz w:val="24"/>
          <w:szCs w:val="24"/>
        </w:rPr>
        <w:t xml:space="preserve"> § 5.</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3. Obecnie obowiązujące przepisy określają maksymalną wysokość kary porządkowej w wysokości 2800 zł. Kwota ta może być podwyższana w każdym roku o wskaźnik inflacji, zgodnie z mechanizmem waloryzacyjnym określonym w art. 262a o.p. Wysokość kwoty określa corocznie obwieszczenie ministra właściwego do spraw finansów publicznych. Takie rozwiązanie jest niepraktyczne przy obecnym, niskim poziomie inflacji. Od początku obowiązywania ordynacji podatkowej w 1998 r. kwota wzrosła jedynie o 300 zł, co jednak wymagało wydawania obwieszczenia corocznie. Lepszym, stabilniejszym rozwiązaniem będzie stałe określenie kwoty w ustawie w wysokości 3000 zł (</w:t>
      </w:r>
      <w:r w:rsidRPr="009A3C86">
        <w:rPr>
          <w:rFonts w:ascii="Times New Roman" w:hAnsi="Times New Roman"/>
          <w:b/>
          <w:sz w:val="24"/>
          <w:szCs w:val="24"/>
        </w:rPr>
        <w:t xml:space="preserve">art. </w:t>
      </w:r>
      <w:r w:rsidR="000F702B" w:rsidRPr="009A3C86">
        <w:rPr>
          <w:rFonts w:ascii="Times New Roman" w:hAnsi="Times New Roman"/>
          <w:b/>
          <w:sz w:val="24"/>
          <w:szCs w:val="24"/>
        </w:rPr>
        <w:t>509</w:t>
      </w:r>
      <w:r w:rsidRPr="009A3C86">
        <w:rPr>
          <w:rFonts w:ascii="Times New Roman" w:hAnsi="Times New Roman"/>
          <w:b/>
          <w:sz w:val="24"/>
          <w:szCs w:val="24"/>
        </w:rPr>
        <w:t xml:space="preserve"> § 1 in fine</w:t>
      </w:r>
      <w:r w:rsidRPr="009A3C86">
        <w:rPr>
          <w:rFonts w:ascii="Times New Roman" w:hAnsi="Times New Roman"/>
          <w:sz w:val="24"/>
          <w:szCs w:val="24"/>
        </w:rPr>
        <w:t xml:space="preserve">) </w:t>
      </w:r>
      <w:r w:rsidRPr="009A3C86">
        <w:rPr>
          <w:rFonts w:ascii="Times New Roman" w:hAnsi="Times New Roman"/>
          <w:i/>
          <w:iCs/>
          <w:sz w:val="24"/>
          <w:szCs w:val="24"/>
        </w:rPr>
        <w:t>a konto</w:t>
      </w:r>
      <w:r w:rsidRPr="009A3C86">
        <w:rPr>
          <w:rFonts w:ascii="Times New Roman" w:hAnsi="Times New Roman"/>
          <w:sz w:val="24"/>
          <w:szCs w:val="24"/>
        </w:rPr>
        <w:t xml:space="preserve"> potencjalnych korekt inflacyjnych oraz jednoczesna rezygnacja z mechanizmu waloryzacyjnego w obecnym art. 262a o.p.</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4. Projektowane </w:t>
      </w:r>
      <w:r w:rsidRPr="009A3C86">
        <w:rPr>
          <w:rFonts w:ascii="Times New Roman" w:hAnsi="Times New Roman"/>
          <w:b/>
          <w:sz w:val="24"/>
          <w:szCs w:val="24"/>
        </w:rPr>
        <w:t xml:space="preserve">art. </w:t>
      </w:r>
      <w:r w:rsidR="000F702B" w:rsidRPr="009A3C86">
        <w:rPr>
          <w:rFonts w:ascii="Times New Roman" w:hAnsi="Times New Roman"/>
          <w:b/>
          <w:sz w:val="24"/>
          <w:szCs w:val="24"/>
        </w:rPr>
        <w:t>509</w:t>
      </w:r>
      <w:r w:rsidRPr="009A3C86">
        <w:rPr>
          <w:rFonts w:ascii="Times New Roman" w:hAnsi="Times New Roman"/>
          <w:b/>
          <w:sz w:val="24"/>
          <w:szCs w:val="24"/>
        </w:rPr>
        <w:t xml:space="preserve"> § 3 pkt 4 oraz § 4 </w:t>
      </w:r>
      <w:r w:rsidRPr="009A3C86">
        <w:rPr>
          <w:rFonts w:ascii="Times New Roman" w:hAnsi="Times New Roman"/>
          <w:sz w:val="24"/>
          <w:szCs w:val="24"/>
        </w:rPr>
        <w:t>są konsekwencją wprowadzenia w niniejszym projekcie nowej procedury „odtwarzanie akt” i mają zapewnić sprawną realizację tej procedury. Dodawane przepisy są wzorowane na art. 293 p.p.s.a.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5. W projektowanym </w:t>
      </w:r>
      <w:r w:rsidRPr="009A3C86">
        <w:rPr>
          <w:rFonts w:ascii="Times New Roman" w:hAnsi="Times New Roman"/>
          <w:b/>
          <w:sz w:val="24"/>
          <w:szCs w:val="24"/>
        </w:rPr>
        <w:t xml:space="preserve">art. </w:t>
      </w:r>
      <w:r w:rsidR="000F702B" w:rsidRPr="009A3C86">
        <w:rPr>
          <w:rFonts w:ascii="Times New Roman" w:hAnsi="Times New Roman"/>
          <w:b/>
          <w:sz w:val="24"/>
          <w:szCs w:val="24"/>
        </w:rPr>
        <w:t>510</w:t>
      </w:r>
      <w:r w:rsidRPr="009A3C86">
        <w:rPr>
          <w:rFonts w:ascii="Times New Roman" w:hAnsi="Times New Roman"/>
          <w:sz w:val="24"/>
          <w:szCs w:val="24"/>
        </w:rPr>
        <w:t xml:space="preserve"> reguluje się kwestie procesowe nakładania kar porządkowych. W § 1 odpowiadającym obecnemu art. 263 § 1 o.p. jednoznacznie określa się ogólną właściwość organu podatkowego w sprawie kary porządkowej zamiast specyfikowania kwestii nałożenia lub uchylenia kary.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Postępowanie może się toczyć przed organem pierwszej instancji oraz, w fazie odwoławczej, przed organem drugiej instancji i w takim przypadku obecnie obowiązujący przepis nie daje jasnej odpowiedzi, czy kompetencja do nakładania kary porządkowej przenosi się wraz z odwołaniem do organu, przed którym toczy się postępowanie w drugiej instancji. Zmieniony przepis precyzuje więc, że właściwość organu nie wygasa wraz z zakończeniem postępowania przed tym organem. Kompetencja organu w sprawie kary porządkowej powinna być powiązana z zaistnieniem w toku postępowania przed tym organem zdarzeń stanowiących przesłankę nałożenia kary porządkowej.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6F0FE0" w:rsidRPr="009A3C86">
        <w:rPr>
          <w:rFonts w:ascii="Times New Roman" w:hAnsi="Times New Roman"/>
          <w:b/>
          <w:sz w:val="24"/>
          <w:szCs w:val="24"/>
        </w:rPr>
        <w:t>510</w:t>
      </w:r>
      <w:r w:rsidRPr="009A3C86">
        <w:rPr>
          <w:rFonts w:ascii="Times New Roman" w:hAnsi="Times New Roman"/>
          <w:b/>
          <w:sz w:val="24"/>
          <w:szCs w:val="24"/>
        </w:rPr>
        <w:t xml:space="preserve"> § 2</w:t>
      </w:r>
      <w:r w:rsidRPr="009A3C86">
        <w:rPr>
          <w:rFonts w:ascii="Times New Roman" w:hAnsi="Times New Roman"/>
          <w:sz w:val="24"/>
          <w:szCs w:val="24"/>
        </w:rPr>
        <w:t xml:space="preserve"> odpowiada obecnemu art. 262 § 5 o.p. Ponieważ na postanowienie w sprawie nałożenia kary porządkowej służy zażalenie, to wszelkie kwestie związane z winą strony lub innego uczestnika postępowania albo usprawiedliwieniem niewykonania czynności, </w:t>
      </w:r>
      <w:r w:rsidRPr="009A3C86">
        <w:rPr>
          <w:rFonts w:ascii="Times New Roman" w:hAnsi="Times New Roman"/>
          <w:sz w:val="24"/>
          <w:szCs w:val="24"/>
        </w:rPr>
        <w:lastRenderedPageBreak/>
        <w:t xml:space="preserve">do których organ podatkowy wzywał, powinny być rozstrzygane w ramach postępowania zażaleniowego. To uzasadnia rezygnację z odrębnego trybu uchylania kary porządkowej w wyniku usprawiedliwienia niestawiennictwa lub niewykonania innych obowiązków, jaki wynika z obecnie obowiązującego art. 262 § 6 o.p. Te kwestie mogą i powinny być rozpatrzone w zwyczajnym postępowaniu zażaleniowym, jeżeli strona je podnosi w zażaleniu. Organ, który wydał postanowienie nakładające karę porządkową, może to postanowienie uchylić, uwzględniając zażalenie w całości, co pokrywa się ze skutkiem regulowanym w uchylanym przepisie art. 262 § 6 o.p. Przepis </w:t>
      </w:r>
      <w:r w:rsidRPr="009A3C86">
        <w:rPr>
          <w:rFonts w:ascii="Times New Roman" w:hAnsi="Times New Roman"/>
          <w:b/>
          <w:sz w:val="24"/>
          <w:szCs w:val="24"/>
        </w:rPr>
        <w:t xml:space="preserve">art. </w:t>
      </w:r>
      <w:r w:rsidR="006F0FE0" w:rsidRPr="009A3C86">
        <w:rPr>
          <w:rFonts w:ascii="Times New Roman" w:hAnsi="Times New Roman"/>
          <w:b/>
          <w:sz w:val="24"/>
          <w:szCs w:val="24"/>
        </w:rPr>
        <w:t>510</w:t>
      </w:r>
      <w:r w:rsidRPr="009A3C86">
        <w:rPr>
          <w:rFonts w:ascii="Times New Roman" w:hAnsi="Times New Roman"/>
          <w:b/>
          <w:sz w:val="24"/>
          <w:szCs w:val="24"/>
        </w:rPr>
        <w:t xml:space="preserve"> § 3</w:t>
      </w:r>
      <w:r w:rsidRPr="009A3C86">
        <w:rPr>
          <w:rFonts w:ascii="Times New Roman" w:hAnsi="Times New Roman"/>
          <w:sz w:val="24"/>
          <w:szCs w:val="24"/>
        </w:rPr>
        <w:t xml:space="preserve"> odpowiada obecnemu art. 262 § 5a o.p.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6F0FE0" w:rsidRPr="009A3C86">
        <w:rPr>
          <w:rFonts w:ascii="Times New Roman" w:hAnsi="Times New Roman"/>
          <w:b/>
          <w:sz w:val="24"/>
          <w:szCs w:val="24"/>
        </w:rPr>
        <w:t>510</w:t>
      </w:r>
      <w:r w:rsidRPr="009A3C86">
        <w:rPr>
          <w:rFonts w:ascii="Times New Roman" w:hAnsi="Times New Roman"/>
          <w:b/>
          <w:sz w:val="24"/>
          <w:szCs w:val="24"/>
        </w:rPr>
        <w:t xml:space="preserve"> § 4</w:t>
      </w:r>
      <w:r w:rsidRPr="009A3C86">
        <w:rPr>
          <w:rFonts w:ascii="Times New Roman" w:hAnsi="Times New Roman"/>
          <w:sz w:val="24"/>
          <w:szCs w:val="24"/>
        </w:rPr>
        <w:t xml:space="preserve"> odpowiada obecnemu art. 263 § 3 o.p. Obecnie nałożenie kary porządkowej nie wyklucza możliwości zastosowania wobec opornego świadka lub biegłego środków przymusu przewidzianych w przepisach szczególnych. Przepis nie zawiera jednak analogicznej regulacji wobec innych osób wymienionych w art. </w:t>
      </w:r>
      <w:r w:rsidR="00240631" w:rsidRPr="009A3C86">
        <w:rPr>
          <w:rFonts w:ascii="Times New Roman" w:hAnsi="Times New Roman"/>
          <w:sz w:val="24"/>
          <w:szCs w:val="24"/>
        </w:rPr>
        <w:t>509</w:t>
      </w:r>
      <w:r w:rsidRPr="009A3C86">
        <w:rPr>
          <w:rFonts w:ascii="Times New Roman" w:hAnsi="Times New Roman"/>
          <w:sz w:val="24"/>
          <w:szCs w:val="24"/>
        </w:rPr>
        <w:t xml:space="preserve"> § 3, tj. posiadacza przedmiotu oględzin, osoby przechowującej księgi rachunkowe lub dokumenty, uczestnika rozprawy, wobec którego są nieskuteczne inne środki dyscyplinujące albo osób lub organów posiadających fragmenty odtwarzanych akt sprawy. Propozycja zmiany uzupełnia tę lukę.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Zastosowanie w zakresie postanowień w sprawie kary porządkowej znajdują też tryby nadzwyczajne, co wynika z regulacji w rozdziale „Postanowienia”.</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6. Kara porządkowa ma charakter sankcji zmierzającej do przymuszenia strony lub innego uczestnika postępowania do określonego zachowania. Mimo że nie jest to instytucja prawa karnego, to jednak zawiera w sobie cechy represyjności. Co za tym idzie, konieczne jest uzupełnienie regulacji o niezbędne minimum, wymagane wobec tego typu norm w zakresie adekwatności i proporcjonalności kary w stosunku do przewinienia</w:t>
      </w:r>
      <w:r w:rsidRPr="009A3C86">
        <w:rPr>
          <w:rFonts w:ascii="Times New Roman" w:hAnsi="Times New Roman"/>
          <w:sz w:val="24"/>
          <w:szCs w:val="24"/>
          <w:vertAlign w:val="superscript"/>
        </w:rPr>
        <w:footnoteReference w:id="473"/>
      </w:r>
      <w:r w:rsidRPr="009A3C86">
        <w:rPr>
          <w:rFonts w:ascii="Times New Roman" w:hAnsi="Times New Roman"/>
          <w:sz w:val="24"/>
          <w:szCs w:val="24"/>
        </w:rPr>
        <w:t xml:space="preserve">. Proponuje się wprowadzenie w </w:t>
      </w:r>
      <w:r w:rsidRPr="009A3C86">
        <w:rPr>
          <w:rFonts w:ascii="Times New Roman" w:hAnsi="Times New Roman"/>
          <w:b/>
          <w:sz w:val="24"/>
          <w:szCs w:val="24"/>
        </w:rPr>
        <w:t xml:space="preserve">art. </w:t>
      </w:r>
      <w:r w:rsidR="00240631" w:rsidRPr="009A3C86">
        <w:rPr>
          <w:rFonts w:ascii="Times New Roman" w:hAnsi="Times New Roman"/>
          <w:b/>
          <w:sz w:val="24"/>
          <w:szCs w:val="24"/>
        </w:rPr>
        <w:t>511</w:t>
      </w:r>
      <w:r w:rsidRPr="009A3C86">
        <w:rPr>
          <w:rFonts w:ascii="Times New Roman" w:hAnsi="Times New Roman"/>
          <w:sz w:val="24"/>
          <w:szCs w:val="24"/>
        </w:rPr>
        <w:t xml:space="preserve"> § 1 obowiązku uwzględniania przez organ podatkowy przy nakładaniu kary porządkowej, a także przy określaniu jej wysokości, w szczególności takich okoliczności, jak:</w:t>
      </w:r>
    </w:p>
    <w:p w:rsidR="0085545A" w:rsidRPr="009A3C86" w:rsidRDefault="0085545A" w:rsidP="00D72E74">
      <w:pPr>
        <w:numPr>
          <w:ilvl w:val="0"/>
          <w:numId w:val="13"/>
        </w:numPr>
        <w:tabs>
          <w:tab w:val="num" w:pos="360"/>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t>waga, czas trwania i skutki niezgodnego z prawem zachowania,</w:t>
      </w:r>
    </w:p>
    <w:p w:rsidR="0085545A" w:rsidRPr="009A3C86" w:rsidRDefault="0085545A" w:rsidP="00D72E74">
      <w:pPr>
        <w:numPr>
          <w:ilvl w:val="0"/>
          <w:numId w:val="13"/>
        </w:numPr>
        <w:tabs>
          <w:tab w:val="num" w:pos="360"/>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t>okoliczności, w których doszło do niezgodnego z prawem zachowania,</w:t>
      </w:r>
    </w:p>
    <w:p w:rsidR="0085545A" w:rsidRPr="009A3C86" w:rsidRDefault="0085545A" w:rsidP="00D72E74">
      <w:pPr>
        <w:numPr>
          <w:ilvl w:val="0"/>
          <w:numId w:val="13"/>
        </w:numPr>
        <w:tabs>
          <w:tab w:val="num" w:pos="360"/>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t>stopień zawinienia strony,</w:t>
      </w:r>
    </w:p>
    <w:p w:rsidR="0085545A" w:rsidRPr="009A3C86" w:rsidRDefault="0085545A" w:rsidP="00D72E74">
      <w:pPr>
        <w:numPr>
          <w:ilvl w:val="0"/>
          <w:numId w:val="13"/>
        </w:numPr>
        <w:tabs>
          <w:tab w:val="num" w:pos="360"/>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t>działania podjęte przez stronę w celu usunięcia skutków niezgodnego z prawem zachowania,</w:t>
      </w:r>
    </w:p>
    <w:p w:rsidR="0085545A" w:rsidRPr="009A3C86" w:rsidRDefault="0085545A" w:rsidP="00D72E74">
      <w:pPr>
        <w:numPr>
          <w:ilvl w:val="0"/>
          <w:numId w:val="13"/>
        </w:numPr>
        <w:tabs>
          <w:tab w:val="num" w:pos="360"/>
        </w:tabs>
        <w:spacing w:after="0" w:line="360" w:lineRule="auto"/>
        <w:ind w:left="0" w:firstLine="0"/>
        <w:jc w:val="both"/>
        <w:rPr>
          <w:rFonts w:ascii="Times New Roman" w:hAnsi="Times New Roman"/>
          <w:sz w:val="24"/>
          <w:szCs w:val="24"/>
        </w:rPr>
      </w:pPr>
      <w:r w:rsidRPr="009A3C86">
        <w:rPr>
          <w:rFonts w:ascii="Times New Roman" w:hAnsi="Times New Roman"/>
          <w:sz w:val="24"/>
          <w:szCs w:val="24"/>
        </w:rPr>
        <w:lastRenderedPageBreak/>
        <w:t>sytuację majątkową karanej osoby fizycznej.</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Pkt 5 ma na celu wyraźne zaakcentowanie potrzeby uwzględniania sytuacji majątkowej karanej osoby fizycznej. Taki pogląd jest jednolicie wyrażany w orzecznictwie sądów administracyjnych. Art. 189d pkt 7 K.p.a. nakazuje uwzględnianie „</w:t>
      </w:r>
      <w:r w:rsidRPr="009A3C86">
        <w:rPr>
          <w:rFonts w:ascii="Times New Roman" w:hAnsi="Times New Roman"/>
          <w:sz w:val="24"/>
          <w:szCs w:val="24"/>
          <w:shd w:val="clear" w:color="auto" w:fill="FFFFFF"/>
        </w:rPr>
        <w:t>warunków osobistych strony” przy wymierzaniu administracyjnych kar pieniężnych. Z uwagi na maksymalny wymiar kary porządkowej nie jest w tym zakresie wymagana aż tak szeroka analiza jaka mieści się w pojęciu „warunki osobiste” czyli pojęciu zasięgniętym z prawa karnego. Przyjmuje się, że warunki osobiste to „sytuacja rodzinna, socjalna, środowiskowa i zawodowa. W szczególności istotny jest stan cywilny sprawcy, liczba dzieci i osób na utrzymaniu, pozycja w rodzinie i wypełnianie obowiązków rodzinnych, więzi i relacje wewnątrzrodzinne, źródło utrzymania i warunki materialne, warunki mieszkaniowe, relacje społeczne, utrzymywanie kontaktów z pozytywnymi lub negatywnie ocenianymi środowiskami, poziom wykształcenia i kwalifikacji zawodowych, pozycja na rynku pracy, możliwości zarobkowe itp.”</w:t>
      </w:r>
      <w:r w:rsidRPr="009A3C86">
        <w:rPr>
          <w:rFonts w:ascii="Times New Roman" w:hAnsi="Times New Roman"/>
          <w:sz w:val="24"/>
          <w:szCs w:val="24"/>
          <w:shd w:val="clear" w:color="auto" w:fill="FFFFFF"/>
          <w:vertAlign w:val="superscript"/>
        </w:rPr>
        <w:footnoteReference w:id="474"/>
      </w:r>
      <w:r w:rsidRPr="009A3C86">
        <w:rPr>
          <w:rFonts w:ascii="Times New Roman" w:hAnsi="Times New Roman"/>
          <w:sz w:val="24"/>
          <w:szCs w:val="24"/>
          <w:shd w:val="clear" w:color="auto" w:fill="FFFFFF"/>
        </w:rPr>
        <w:t>. Przy nakładaniu kary porządkowej wystarczające jest więc uwzględnianie jedynie sytuacji majątkowej karanej osoby. Głębsze wnikanie w sytuację karanej osoby fizycznej byłoby nadmiarowe, z uwagi na specyfikę, maksymalną wysokość i cel kary porządkowej.</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Projektowany art. </w:t>
      </w:r>
      <w:r w:rsidR="00240631" w:rsidRPr="009A3C86">
        <w:rPr>
          <w:rFonts w:ascii="Times New Roman" w:hAnsi="Times New Roman"/>
          <w:sz w:val="24"/>
          <w:szCs w:val="24"/>
        </w:rPr>
        <w:t>511</w:t>
      </w:r>
      <w:r w:rsidRPr="009A3C86">
        <w:rPr>
          <w:rFonts w:ascii="Times New Roman" w:hAnsi="Times New Roman"/>
          <w:sz w:val="24"/>
          <w:szCs w:val="24"/>
        </w:rPr>
        <w:t xml:space="preserve"> § 2 zakazuje nakładania kary porządkowej, jeżeli do niezgodnego z prawem zachowania doszło na skutek klęski żywiołowej, działania siły wyższej, wypadku losowego lub innych szczególnych zdarzeń, których strona nie mogła przewidzieć, ani którym nie mogła zapobiec. W takiej sytuacji trudno stronie przypisywać winę. Wskazane regulacje będą miały też odpowiednie zastosowanie do innych niż strona uczestników postępowania (§ 3).</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7. Obecnie obowiązujący art. 263 § 4 o.p. przewiduje 3-letni termin na nałożenie kary porządkowej oraz termin przedawnienia poboru nałożonej kary wynoszący 5 lat wraz z wszelkimi opcjami przedłużenia tego terminu, na które pozwala obecnie obowiązujący art. 70 o.p. Takie rozwiązania są chybione. Kara porządkowa będzie efektywna i skuteczna dla usprawnienia postępowania, jeżeli będzie nałożona niezwłocznie. W innym wypadku, np. nałożenia kary po 3 latach od zdarzenia, musi być odbierana jako zwykła represja finansowa. Ponadto okoliczności związane ze zdarzeniem będące przedmiotem kary są wówczas trudne do odtworzenia. Zgodnie z projektowanym </w:t>
      </w:r>
      <w:r w:rsidRPr="009A3C86">
        <w:rPr>
          <w:rFonts w:ascii="Times New Roman" w:hAnsi="Times New Roman"/>
          <w:b/>
          <w:sz w:val="24"/>
          <w:szCs w:val="24"/>
        </w:rPr>
        <w:t xml:space="preserve">art. </w:t>
      </w:r>
      <w:r w:rsidR="00004A16" w:rsidRPr="009A3C86">
        <w:rPr>
          <w:rFonts w:ascii="Times New Roman" w:hAnsi="Times New Roman"/>
          <w:b/>
          <w:sz w:val="24"/>
          <w:szCs w:val="24"/>
        </w:rPr>
        <w:t>512</w:t>
      </w:r>
      <w:r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 xml:space="preserve">, po upływie 3 miesięcy od końca miesiąca, w którym upłynął termin na dokonanie czynności lub miało miejsce zdarzenie uzasadniające </w:t>
      </w:r>
      <w:r w:rsidRPr="009A3C86">
        <w:rPr>
          <w:rFonts w:ascii="Times New Roman" w:hAnsi="Times New Roman"/>
          <w:sz w:val="24"/>
          <w:szCs w:val="24"/>
        </w:rPr>
        <w:lastRenderedPageBreak/>
        <w:t>nałożenie kary porządkowej, doręczenie postanowienia organu pierwszej instancji o jej nałożeniu nie wywołuje skutków prawnych. Wyjątek dotyczy sytuacji, gdy postanowienie nakładające karę zostało ono wydane w wyniku uchylenia wcześniejszego postanowienia przez organ odwoławczy lub sąd administracyjny.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Analogicznie zasadniczego skrócenia wymagają przepisy dotyczące poboru nałożonej kary. Proponuje się, aby przedawnienie poboru kary porządkowej wynosiło 1 rok od dnia, w którym postanowienie w sprawie kary stało się ostateczne (</w:t>
      </w:r>
      <w:r w:rsidRPr="009A3C86">
        <w:rPr>
          <w:rFonts w:ascii="Times New Roman" w:hAnsi="Times New Roman"/>
          <w:b/>
          <w:sz w:val="24"/>
          <w:szCs w:val="24"/>
        </w:rPr>
        <w:t xml:space="preserve">art. </w:t>
      </w:r>
      <w:r w:rsidR="00004A16" w:rsidRPr="009A3C86">
        <w:rPr>
          <w:rFonts w:ascii="Times New Roman" w:hAnsi="Times New Roman"/>
          <w:b/>
          <w:sz w:val="24"/>
          <w:szCs w:val="24"/>
        </w:rPr>
        <w:t>512</w:t>
      </w:r>
      <w:r w:rsidRPr="009A3C86">
        <w:rPr>
          <w:rFonts w:ascii="Times New Roman" w:hAnsi="Times New Roman"/>
          <w:b/>
          <w:sz w:val="24"/>
          <w:szCs w:val="24"/>
        </w:rPr>
        <w:t xml:space="preserve"> § 2</w:t>
      </w:r>
      <w:r w:rsidRPr="009A3C86">
        <w:rPr>
          <w:rFonts w:ascii="Times New Roman" w:hAnsi="Times New Roman"/>
          <w:sz w:val="24"/>
          <w:szCs w:val="24"/>
        </w:rPr>
        <w:t>).</w:t>
      </w:r>
    </w:p>
    <w:p w:rsidR="0085545A" w:rsidRPr="009A3C86" w:rsidRDefault="0085545A" w:rsidP="00D72E74">
      <w:pPr>
        <w:spacing w:after="120" w:line="360" w:lineRule="auto"/>
        <w:jc w:val="both"/>
        <w:rPr>
          <w:rFonts w:ascii="Times New Roman" w:hAnsi="Times New Roman"/>
          <w:sz w:val="24"/>
          <w:szCs w:val="24"/>
        </w:rPr>
      </w:pPr>
      <w:r w:rsidRPr="009A3C86">
        <w:rPr>
          <w:rFonts w:ascii="Times New Roman" w:hAnsi="Times New Roman"/>
          <w:sz w:val="24"/>
          <w:szCs w:val="24"/>
        </w:rPr>
        <w:t>8. Do nałożonych kar porządkowych powinny mieć zastosowanie odpowiednie przepisy dotyczące ulg w spłacie zobowiązań podatkowych (</w:t>
      </w:r>
      <w:r w:rsidRPr="009A3C86">
        <w:rPr>
          <w:rFonts w:ascii="Times New Roman" w:hAnsi="Times New Roman"/>
          <w:b/>
          <w:sz w:val="24"/>
          <w:szCs w:val="24"/>
        </w:rPr>
        <w:t xml:space="preserve">art. </w:t>
      </w:r>
      <w:r w:rsidR="00004A16" w:rsidRPr="009A3C86">
        <w:rPr>
          <w:rFonts w:ascii="Times New Roman" w:hAnsi="Times New Roman"/>
          <w:b/>
          <w:sz w:val="24"/>
          <w:szCs w:val="24"/>
        </w:rPr>
        <w:t>512</w:t>
      </w:r>
      <w:r w:rsidRPr="009A3C86">
        <w:rPr>
          <w:rFonts w:ascii="Times New Roman" w:hAnsi="Times New Roman"/>
          <w:b/>
          <w:sz w:val="24"/>
          <w:szCs w:val="24"/>
        </w:rPr>
        <w:t xml:space="preserve"> § 3</w:t>
      </w:r>
      <w:r w:rsidRPr="009A3C86">
        <w:rPr>
          <w:rFonts w:ascii="Times New Roman" w:hAnsi="Times New Roman"/>
          <w:sz w:val="24"/>
          <w:szCs w:val="24"/>
        </w:rPr>
        <w:t>). W celu usunięcia potencjalnych wątpliwości należy wyraźnie wskazać na poddanie kar egzekucji administracyjnej (</w:t>
      </w:r>
      <w:r w:rsidRPr="009A3C86">
        <w:rPr>
          <w:rFonts w:ascii="Times New Roman" w:hAnsi="Times New Roman"/>
          <w:b/>
          <w:sz w:val="24"/>
          <w:szCs w:val="24"/>
        </w:rPr>
        <w:t xml:space="preserve">art. </w:t>
      </w:r>
      <w:r w:rsidR="00004A16" w:rsidRPr="009A3C86">
        <w:rPr>
          <w:rFonts w:ascii="Times New Roman" w:hAnsi="Times New Roman"/>
          <w:b/>
          <w:sz w:val="24"/>
          <w:szCs w:val="24"/>
        </w:rPr>
        <w:t>512</w:t>
      </w:r>
      <w:r w:rsidRPr="009A3C86">
        <w:rPr>
          <w:rFonts w:ascii="Times New Roman" w:hAnsi="Times New Roman"/>
          <w:b/>
          <w:sz w:val="24"/>
          <w:szCs w:val="24"/>
        </w:rPr>
        <w:t xml:space="preserve"> § 4</w:t>
      </w:r>
      <w:r w:rsidRPr="009A3C86">
        <w:rPr>
          <w:rFonts w:ascii="Times New Roman" w:hAnsi="Times New Roman"/>
          <w:sz w:val="24"/>
          <w:szCs w:val="24"/>
        </w:rPr>
        <w:t>).</w:t>
      </w:r>
    </w:p>
    <w:p w:rsidR="0085545A" w:rsidRPr="009A3C86" w:rsidRDefault="0085545A" w:rsidP="0085545A">
      <w:pPr>
        <w:tabs>
          <w:tab w:val="num" w:pos="720"/>
        </w:tabs>
        <w:spacing w:after="0" w:line="360" w:lineRule="auto"/>
        <w:jc w:val="both"/>
        <w:outlineLvl w:val="2"/>
        <w:rPr>
          <w:rFonts w:ascii="Times New Roman" w:hAnsi="Times New Roman"/>
          <w:b/>
          <w:bCs/>
          <w:sz w:val="24"/>
          <w:szCs w:val="24"/>
        </w:rPr>
      </w:pPr>
      <w:bookmarkStart w:id="70" w:name="_Toc494363290"/>
      <w:r w:rsidRPr="009A3C86">
        <w:rPr>
          <w:rFonts w:ascii="Times New Roman" w:hAnsi="Times New Roman"/>
          <w:b/>
          <w:bCs/>
          <w:sz w:val="24"/>
          <w:szCs w:val="24"/>
        </w:rPr>
        <w:t>Rozdział 24. Koszty postępowania</w:t>
      </w:r>
      <w:bookmarkEnd w:id="70"/>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1. Przepisy regulujące zagadnienie kosztów postępowania podatkowego nie wywołują istotnych wątpliwości w praktyce. Z tego względu nie są w tym zakresie konieczne daleko idące zmiany legislacyjne. Sprecyzowania wymaga regulacja w kwestii obciążania strony zaliczką na poczet kosztów postępowania. W związku z nowym modelem przedawnienia modyfikacji wymaga kwestia przedawnienia ustalania oraz poboru kosztów postępowania.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2. Przepis </w:t>
      </w:r>
      <w:r w:rsidRPr="009A3C86">
        <w:rPr>
          <w:rFonts w:ascii="Times New Roman" w:hAnsi="Times New Roman"/>
          <w:b/>
          <w:sz w:val="24"/>
          <w:szCs w:val="24"/>
        </w:rPr>
        <w:t xml:space="preserve">art. </w:t>
      </w:r>
      <w:r w:rsidR="003C58B9" w:rsidRPr="009A3C86">
        <w:rPr>
          <w:rFonts w:ascii="Times New Roman" w:hAnsi="Times New Roman"/>
          <w:b/>
          <w:sz w:val="24"/>
          <w:szCs w:val="24"/>
        </w:rPr>
        <w:t>513</w:t>
      </w:r>
      <w:r w:rsidRPr="009A3C86">
        <w:rPr>
          <w:rFonts w:ascii="Times New Roman" w:hAnsi="Times New Roman"/>
          <w:sz w:val="24"/>
          <w:szCs w:val="24"/>
        </w:rPr>
        <w:t xml:space="preserve"> odpowiada obecnemu przepisowi art. 264 o.p. Obecny przepis stanowi, że jeżeli dalsze przepisy nie stanowią inaczej, koszty postępowania przed organami podatkowymi ponosi Skarb Państwa, województwo, powiat lub gmina. Niezależnie od tego prostszym i bardziej jednoznacznym dla strony będzie wskazanie na organ, przed którym toczy się postępowanie, abstrahując od budżetowego systemu finansowania organu.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Systematyka wewnętrzna tego rozdziału wymaga, aby to w tym artykule (</w:t>
      </w:r>
      <w:r w:rsidRPr="009A3C86">
        <w:rPr>
          <w:rFonts w:ascii="Times New Roman" w:hAnsi="Times New Roman"/>
          <w:b/>
          <w:sz w:val="24"/>
          <w:szCs w:val="24"/>
        </w:rPr>
        <w:t>§ 2</w:t>
      </w:r>
      <w:r w:rsidRPr="009A3C86">
        <w:rPr>
          <w:rFonts w:ascii="Times New Roman" w:hAnsi="Times New Roman"/>
          <w:sz w:val="24"/>
          <w:szCs w:val="24"/>
        </w:rPr>
        <w:t>) umiejscowić obecny przepis art. 267 § 1a o.p. dotyczący obciążenia kosztami ustanowienia tymczasowego pełnomocnika szczególnego. Koszty te powinien ponosić Skarb Państwa, województwo, powiat lub gmina reprezentowane przez organ występujący o ustanowienie takiego pełnomocnika, a nie Skarb Państwa. Tym samym zbędne staje się wykazywanie tych kosztów w katalogu kosztów postępowania, co czyni obecny art. 265 § 1 pkt 6 o.p.</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sz w:val="24"/>
          <w:szCs w:val="24"/>
        </w:rPr>
        <w:t xml:space="preserve">art. </w:t>
      </w:r>
      <w:r w:rsidR="003C58B9" w:rsidRPr="009A3C86">
        <w:rPr>
          <w:rFonts w:ascii="Times New Roman" w:hAnsi="Times New Roman"/>
          <w:b/>
          <w:sz w:val="24"/>
          <w:szCs w:val="24"/>
        </w:rPr>
        <w:t>514</w:t>
      </w:r>
      <w:r w:rsidRPr="009A3C86">
        <w:rPr>
          <w:rFonts w:ascii="Times New Roman" w:hAnsi="Times New Roman"/>
          <w:sz w:val="24"/>
          <w:szCs w:val="24"/>
        </w:rPr>
        <w:t xml:space="preserve"> odpowiada obecnemu przepisowi art. 265 o.p. Zachowano obecne rozwiązania enumeratywnie określające rodzaje kosztów zaliczanych do kosztów postępowania.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proponowanym brzmieniu </w:t>
      </w:r>
      <w:r w:rsidRPr="009A3C86">
        <w:rPr>
          <w:rFonts w:ascii="Times New Roman" w:hAnsi="Times New Roman"/>
          <w:b/>
          <w:sz w:val="24"/>
          <w:szCs w:val="24"/>
        </w:rPr>
        <w:t xml:space="preserve">art. </w:t>
      </w:r>
      <w:r w:rsidR="003C58B9" w:rsidRPr="009A3C86">
        <w:rPr>
          <w:rFonts w:ascii="Times New Roman" w:hAnsi="Times New Roman"/>
          <w:b/>
          <w:sz w:val="24"/>
          <w:szCs w:val="24"/>
        </w:rPr>
        <w:t>514</w:t>
      </w:r>
      <w:r w:rsidRPr="009A3C86">
        <w:rPr>
          <w:rFonts w:ascii="Times New Roman" w:hAnsi="Times New Roman"/>
          <w:sz w:val="24"/>
          <w:szCs w:val="24"/>
        </w:rPr>
        <w:t xml:space="preserve"> porządkuje się kwestię wynagrodzenia przysługującego biegłym i tłumaczom. Obecnie istnieją wątpliwości w praktyce dotyczące tego, jak traktować </w:t>
      </w:r>
      <w:r w:rsidRPr="009A3C86">
        <w:rPr>
          <w:rFonts w:ascii="Times New Roman" w:hAnsi="Times New Roman"/>
          <w:sz w:val="24"/>
          <w:szCs w:val="24"/>
        </w:rPr>
        <w:lastRenderedPageBreak/>
        <w:t xml:space="preserve">to wynagrodzenie, czy jako część „innych należności” zgodnie z </w:t>
      </w:r>
      <w:r w:rsidRPr="009A3C86">
        <w:rPr>
          <w:rFonts w:ascii="Times New Roman" w:hAnsi="Times New Roman"/>
          <w:b/>
          <w:sz w:val="24"/>
          <w:szCs w:val="24"/>
        </w:rPr>
        <w:t>§ 1 pkt 1</w:t>
      </w:r>
      <w:r w:rsidRPr="009A3C86">
        <w:rPr>
          <w:rFonts w:ascii="Times New Roman" w:hAnsi="Times New Roman"/>
          <w:sz w:val="24"/>
          <w:szCs w:val="24"/>
        </w:rPr>
        <w:t>, do których stosuje się przepisy o kosztach sądowych w sprawach cywilnych, czy jako odrębną kategorię kosztów postępowania ustalaną samodzielnie przez organ, bez potrzeby posiłkowania się przepisami o kosztach sądowych w sprawach cywilnych. Właściwym jest ten pierwszy kierunek interpretacyjny</w:t>
      </w:r>
      <w:r w:rsidRPr="009A3C86">
        <w:rPr>
          <w:rFonts w:ascii="Times New Roman" w:hAnsi="Times New Roman"/>
          <w:sz w:val="24"/>
          <w:szCs w:val="24"/>
          <w:vertAlign w:val="superscript"/>
        </w:rPr>
        <w:footnoteReference w:id="475"/>
      </w:r>
      <w:r w:rsidRPr="009A3C86">
        <w:rPr>
          <w:rFonts w:ascii="Times New Roman" w:hAnsi="Times New Roman"/>
          <w:sz w:val="24"/>
          <w:szCs w:val="24"/>
        </w:rPr>
        <w:t xml:space="preserve"> i dlatego tę kategorię kosztów uwzględnia się w § 1 pkt 1.</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Projektowany przepis </w:t>
      </w:r>
      <w:r w:rsidRPr="009A3C86">
        <w:rPr>
          <w:rFonts w:ascii="Times New Roman" w:hAnsi="Times New Roman"/>
          <w:b/>
          <w:sz w:val="24"/>
          <w:szCs w:val="24"/>
        </w:rPr>
        <w:t>§ 1 pkt 2</w:t>
      </w:r>
      <w:r w:rsidRPr="009A3C86">
        <w:rPr>
          <w:rFonts w:ascii="Times New Roman" w:hAnsi="Times New Roman"/>
          <w:sz w:val="24"/>
          <w:szCs w:val="24"/>
        </w:rPr>
        <w:t xml:space="preserve"> do kosztów postępowania podatkowego zalicza także koszty wynagrodzenia oraz innych wydatków mediatorów związane z prowadzeniem mediacji .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1 pkt 7</w:t>
      </w:r>
      <w:r w:rsidRPr="009A3C86">
        <w:rPr>
          <w:rFonts w:ascii="Times New Roman" w:hAnsi="Times New Roman"/>
          <w:sz w:val="24"/>
          <w:szCs w:val="24"/>
        </w:rPr>
        <w:t xml:space="preserve"> wykreślono wyraz „urzędowych”; w istocie organ podatkowy innych pism niż pisma urzędowe nie wytwarza i nie doręcza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0313EF" w:rsidRPr="009A3C86">
        <w:rPr>
          <w:rFonts w:ascii="Times New Roman" w:hAnsi="Times New Roman"/>
          <w:b/>
          <w:sz w:val="24"/>
          <w:szCs w:val="24"/>
        </w:rPr>
        <w:t>514</w:t>
      </w:r>
      <w:r w:rsidRPr="009A3C86">
        <w:rPr>
          <w:rFonts w:ascii="Times New Roman" w:hAnsi="Times New Roman"/>
          <w:b/>
          <w:sz w:val="24"/>
          <w:szCs w:val="24"/>
        </w:rPr>
        <w:t xml:space="preserve"> § 1 pkt 9</w:t>
      </w:r>
      <w:r w:rsidRPr="009A3C86">
        <w:rPr>
          <w:rFonts w:ascii="Times New Roman" w:hAnsi="Times New Roman"/>
          <w:sz w:val="24"/>
          <w:szCs w:val="24"/>
        </w:rPr>
        <w:t xml:space="preserve"> do kosztów postępowania zalicza też koszty sporządzania odpisów lub kopii akt sprawy lub uwierzytelnionych odpisów akt sprawy, uwierzytelnienia kopii akt sprawy, a także sporządzania oraz uwierzytelniania kopii </w:t>
      </w:r>
      <w:r w:rsidRPr="009A3C86">
        <w:rPr>
          <w:rFonts w:ascii="Times New Roman" w:eastAsia="MS ??" w:hAnsi="Times New Roman"/>
          <w:sz w:val="24"/>
          <w:szCs w:val="24"/>
          <w:lang w:eastAsia="pl-PL"/>
        </w:rPr>
        <w:t>zapisu dźwięku lub obrazu</w:t>
      </w:r>
      <w:r w:rsidRPr="009A3C86">
        <w:rPr>
          <w:rFonts w:ascii="Times New Roman" w:hAnsi="Times New Roman"/>
          <w:sz w:val="24"/>
          <w:szCs w:val="24"/>
        </w:rPr>
        <w:t xml:space="preserve">, skoro takimi kosztami można obciążyć stronę postępowania. Precyzuje się, że chodzi o koszty ponoszone przez organ, a nie koszty sporządzania tych kopii przez stronę za pomocą własnych, przenośnych urządzeń.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xml:space="preserve">art. </w:t>
      </w:r>
      <w:r w:rsidR="000313EF" w:rsidRPr="009A3C86">
        <w:rPr>
          <w:rFonts w:ascii="Times New Roman" w:hAnsi="Times New Roman"/>
          <w:b/>
          <w:sz w:val="24"/>
          <w:szCs w:val="24"/>
        </w:rPr>
        <w:t>515</w:t>
      </w:r>
      <w:r w:rsidRPr="009A3C86">
        <w:rPr>
          <w:rFonts w:ascii="Times New Roman" w:hAnsi="Times New Roman"/>
          <w:sz w:val="24"/>
          <w:szCs w:val="24"/>
        </w:rPr>
        <w:t xml:space="preserve"> odpowiada obecnemu przepisowi art. 266 o.p. Co do zasady, organ podatkowy zwraca koszty postępowania na wniosek, przy czym wniosek o zwrot poniesionych kosztów podróży należy zgłosić organowi podatkowemu prowadzącemu postępowanie, przed wydaniem decyzji w sprawie, pod rygorem utraty roszczenia.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5. W </w:t>
      </w:r>
      <w:r w:rsidRPr="009A3C86">
        <w:rPr>
          <w:rFonts w:ascii="Times New Roman" w:hAnsi="Times New Roman"/>
          <w:b/>
          <w:sz w:val="24"/>
          <w:szCs w:val="24"/>
        </w:rPr>
        <w:t xml:space="preserve">art. </w:t>
      </w:r>
      <w:r w:rsidR="00D803C0" w:rsidRPr="009A3C86">
        <w:rPr>
          <w:rFonts w:ascii="Times New Roman" w:hAnsi="Times New Roman"/>
          <w:b/>
          <w:sz w:val="24"/>
          <w:szCs w:val="24"/>
        </w:rPr>
        <w:t>516</w:t>
      </w:r>
      <w:r w:rsidRPr="009A3C86">
        <w:rPr>
          <w:rFonts w:ascii="Times New Roman" w:hAnsi="Times New Roman"/>
          <w:sz w:val="24"/>
          <w:szCs w:val="24"/>
        </w:rPr>
        <w:t xml:space="preserve"> zachowano obecne rozwiązania zawarte w art. 267 o.p. odnośnie do wskazania, jakie koszty i w jakich sytuacjach obciążają stronę. W treści przepisu uwzględniono też koszty sporządzenia oraz uwierzytelnienia kopii akt sprawy lub kopii zapisu dźwięku lub obrazu. Zgodnie z dodanym pkt 7, koszty mediacji w połowie obciążą stronę, bez względu na jej wynik.</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6. Przepis </w:t>
      </w:r>
      <w:r w:rsidRPr="009A3C86">
        <w:rPr>
          <w:rFonts w:ascii="Times New Roman" w:hAnsi="Times New Roman"/>
          <w:b/>
          <w:sz w:val="24"/>
          <w:szCs w:val="24"/>
        </w:rPr>
        <w:t>art.</w:t>
      </w:r>
      <w:r w:rsidR="00662D62" w:rsidRPr="009A3C86">
        <w:rPr>
          <w:rFonts w:ascii="Times New Roman" w:hAnsi="Times New Roman"/>
          <w:b/>
          <w:sz w:val="24"/>
          <w:szCs w:val="24"/>
        </w:rPr>
        <w:t xml:space="preserve"> </w:t>
      </w:r>
      <w:r w:rsidR="00D803C0" w:rsidRPr="009A3C86">
        <w:rPr>
          <w:rFonts w:ascii="Times New Roman" w:hAnsi="Times New Roman"/>
          <w:b/>
          <w:sz w:val="24"/>
          <w:szCs w:val="24"/>
        </w:rPr>
        <w:t>517</w:t>
      </w:r>
      <w:r w:rsidRPr="009A3C86">
        <w:rPr>
          <w:rFonts w:ascii="Times New Roman" w:hAnsi="Times New Roman"/>
          <w:sz w:val="24"/>
          <w:szCs w:val="24"/>
        </w:rPr>
        <w:t xml:space="preserve"> odpowiada obecnemu przepisowi art. 268 o.p. W mocy pozostawić należy obowiązujące zasady obciążania dodatkowymi kosztami osoby, która w wyniku zachowań penalizowanych karą porządkową doprowadziła do powstania tych dodatkowych kosztów. Uchylenie kary porządkowej automatycznie znosi możliwość obciążenia dodatkowymi kosztami.</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Zamiast odpowiedzialności solidarnej „kilku” osób powodujących dodatkowe koszty postępowania sprecyzowano, że jeżeli dodatkowe koszty spowodowała więcej niż jedna osoba i nie można wyodrębnić odpowiedzialności, te osoby odpowiadają solidarnie. Przede wszystkim nakazuje się więc organowi prowadzić ustalenia w kierunku personalizacji </w:t>
      </w:r>
      <w:r w:rsidRPr="009A3C86">
        <w:rPr>
          <w:rFonts w:ascii="Times New Roman" w:hAnsi="Times New Roman"/>
          <w:sz w:val="24"/>
          <w:szCs w:val="24"/>
        </w:rPr>
        <w:lastRenderedPageBreak/>
        <w:t>przyczynienia się do powstania dodatkowych kosztów. Dopiero w ostateczności możliwe jest solidarne obciążenie odpowiedzialnością różnych osób. Zrezygnowano też ze wskazania, że tych osób musi być „kilka”, aby spełniona została dyspozycja przepisu. Nie ma jasności, czy ten zaimek oznacza więcej niż dwa czy więcej niż trzy. Maksymalną liczbą zamykającą zakres „kilku” uznaje się dziewięć. Takie dookreślenia minimalnej i maksymalnej liczby osób nie są potrzebne w projektowanym przepisie. Reguły dotyczące solidarnej odpowiedzialności za zobowiązania podatkowe należy stosować tu odpowiednio.</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Określanie formy obciążania dodatkowymi kosztami (obecny art. 268 § 3 o.p.) staje się zbędne w kontekście art. </w:t>
      </w:r>
      <w:r w:rsidR="00D803C0" w:rsidRPr="009A3C86">
        <w:rPr>
          <w:rFonts w:ascii="Times New Roman" w:hAnsi="Times New Roman"/>
          <w:sz w:val="24"/>
          <w:szCs w:val="24"/>
        </w:rPr>
        <w:t>519</w:t>
      </w:r>
      <w:r w:rsidRPr="009A3C86">
        <w:rPr>
          <w:rFonts w:ascii="Times New Roman" w:hAnsi="Times New Roman"/>
          <w:sz w:val="24"/>
          <w:szCs w:val="24"/>
        </w:rPr>
        <w:t>, który formę zaskarżalnego postanowienia ustanawia wobec wszystkich typów rozstrzygnięć dotyczących kosztów postępowania.</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7. Przepis </w:t>
      </w:r>
      <w:r w:rsidRPr="009A3C86">
        <w:rPr>
          <w:rFonts w:ascii="Times New Roman" w:hAnsi="Times New Roman"/>
          <w:b/>
          <w:sz w:val="24"/>
          <w:szCs w:val="24"/>
        </w:rPr>
        <w:t xml:space="preserve">art. </w:t>
      </w:r>
      <w:r w:rsidR="00BD6A69" w:rsidRPr="009A3C86">
        <w:rPr>
          <w:rFonts w:ascii="Times New Roman" w:hAnsi="Times New Roman"/>
          <w:b/>
          <w:sz w:val="24"/>
          <w:szCs w:val="24"/>
        </w:rPr>
        <w:t>518</w:t>
      </w:r>
      <w:r w:rsidRPr="009A3C86">
        <w:rPr>
          <w:rFonts w:ascii="Times New Roman" w:hAnsi="Times New Roman"/>
          <w:sz w:val="24"/>
          <w:szCs w:val="24"/>
        </w:rPr>
        <w:t xml:space="preserve"> w części odpowiada obecnemu przepisowi art. 269 o.p. W stosunku do obecnego stanu prawnego proponuje się jednak zmiany polegające na sprecyzowaniu organu podatkowego właściwego w sprawie ustalenia wysokości kosztów postępowania, którymi zostaje obciążona strona. Organem tym jest organ, przed którym toczyło się lub toczy w danej instancji postępowanie, w którym powstały koszty.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Obecnie obowiązujący przepis art. 267 § 2 o.p. kreuje uznaniowe uprawnienie organu podatkowego do żądania od strony zaliczki na pokrycie kosztów postępowania, opierając się na przesłance „uzasadnionych przypadków”. Tak szeroka swoboda w nakładaniu na stronę tego obowiązku wymaga ograniczenia. Żądanie uiszczenia zaliczki na poczet kosztów postępowania powinno być stosowane wyjątkowo. Projektowany przepis </w:t>
      </w:r>
      <w:r w:rsidRPr="009A3C86">
        <w:rPr>
          <w:rFonts w:ascii="Times New Roman" w:hAnsi="Times New Roman"/>
          <w:b/>
          <w:sz w:val="24"/>
          <w:szCs w:val="24"/>
        </w:rPr>
        <w:t xml:space="preserve">art. </w:t>
      </w:r>
      <w:r w:rsidR="00BD6A69" w:rsidRPr="009A3C86">
        <w:rPr>
          <w:rFonts w:ascii="Times New Roman" w:hAnsi="Times New Roman"/>
          <w:b/>
          <w:sz w:val="24"/>
          <w:szCs w:val="24"/>
        </w:rPr>
        <w:t>518</w:t>
      </w:r>
      <w:r w:rsidRPr="009A3C86">
        <w:rPr>
          <w:rFonts w:ascii="Times New Roman" w:hAnsi="Times New Roman"/>
          <w:b/>
          <w:sz w:val="24"/>
          <w:szCs w:val="24"/>
        </w:rPr>
        <w:t xml:space="preserve"> § 2</w:t>
      </w:r>
      <w:r w:rsidRPr="009A3C86">
        <w:rPr>
          <w:rFonts w:ascii="Times New Roman" w:hAnsi="Times New Roman"/>
          <w:b/>
          <w:vanish/>
          <w:sz w:val="24"/>
          <w:szCs w:val="24"/>
        </w:rPr>
        <w:t>informacje o jednostce</w:t>
      </w:r>
      <w:r w:rsidRPr="009A3C86">
        <w:rPr>
          <w:rFonts w:ascii="Times New Roman" w:hAnsi="Times New Roman"/>
          <w:sz w:val="24"/>
          <w:szCs w:val="24"/>
        </w:rPr>
        <w:t xml:space="preserve"> precyzuje więc przesłankę „uzasadnionych przypadków”, odnosząc ją w szczególności do sytuacji, gdy strona żąda dokonania czynności, która nie wynika z ustawowego obowiązku organów prowadzących postępowanie oraz wiążącej się z kosztami przekraczającymi kwotę 5000 zł. </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Obecnie obowiązujący przepis art. 269 § 2 o.p. nakazuje organowi podatkowemu odstąpić od ustalenia kosztów postępowania, jeżeli ich wysokość nie przekracza czterokrotności kosztów upomnienia, gdy organ stwierdzi, że wydatki na postępowanie (w sprawie ustalenia kosztów) oraz koszty poboru ustalonych kosztów nie przekroczą kwoty stanowiącej równowartość czterokrotności kosztów upomnienia. W miejsce tej dość skomplikowanej normy proponuje się, jako zasadę, odstąpienie od ustalenia kosztów postępowania w przypadku, gdy ich wysokość w danej sprawie nie przekracza 50 zł (</w:t>
      </w:r>
      <w:r w:rsidRPr="009A3C86">
        <w:rPr>
          <w:rFonts w:ascii="Times New Roman" w:hAnsi="Times New Roman"/>
          <w:b/>
          <w:sz w:val="24"/>
          <w:szCs w:val="24"/>
        </w:rPr>
        <w:t xml:space="preserve">art. </w:t>
      </w:r>
      <w:r w:rsidR="00BD6A69" w:rsidRPr="009A3C86">
        <w:rPr>
          <w:rFonts w:ascii="Times New Roman" w:hAnsi="Times New Roman"/>
          <w:b/>
          <w:sz w:val="24"/>
          <w:szCs w:val="24"/>
        </w:rPr>
        <w:t>518</w:t>
      </w:r>
      <w:r w:rsidRPr="009A3C86">
        <w:rPr>
          <w:rFonts w:ascii="Times New Roman" w:hAnsi="Times New Roman"/>
          <w:b/>
          <w:sz w:val="24"/>
          <w:szCs w:val="24"/>
        </w:rPr>
        <w:t xml:space="preserve"> § 3</w:t>
      </w:r>
      <w:r w:rsidRPr="009A3C86">
        <w:rPr>
          <w:rFonts w:ascii="Times New Roman" w:hAnsi="Times New Roman"/>
          <w:sz w:val="24"/>
          <w:szCs w:val="24"/>
        </w:rPr>
        <w:t>)</w:t>
      </w:r>
      <w:r w:rsidRPr="009A3C86">
        <w:rPr>
          <w:rFonts w:ascii="Times New Roman" w:hAnsi="Times New Roman"/>
          <w:vanish/>
          <w:sz w:val="24"/>
          <w:szCs w:val="24"/>
        </w:rPr>
        <w:t>informacje o jednostce</w:t>
      </w:r>
      <w:r w:rsidRPr="009A3C86">
        <w:rPr>
          <w:rFonts w:ascii="Times New Roman" w:hAnsi="Times New Roman"/>
          <w:sz w:val="24"/>
          <w:szCs w:val="24"/>
        </w:rPr>
        <w:t xml:space="preserve">. Postępowanie w sprawie ustalenia kosztów poniżej kwoty 50 zł prawie na pewno przyniesie nowe, większe koszty niż koszty ustalane. Wyjątek limitowany wysokością 5 zł dotyczy kosztów sporządzania kopii akt sprawy lub uwierzytelnionych odpisów akt sprawy, </w:t>
      </w:r>
      <w:r w:rsidRPr="009A3C86">
        <w:rPr>
          <w:rFonts w:ascii="Times New Roman" w:hAnsi="Times New Roman"/>
          <w:sz w:val="24"/>
          <w:szCs w:val="24"/>
        </w:rPr>
        <w:lastRenderedPageBreak/>
        <w:t>uwierzytelnienia kopii akt sprawy lub kopii zapisu dźwięku lub obrazu. Nie można bowiem dopuścić do sytuacji, aby organy podatkowe stały się punktami bezpłatnych usług poligraficznych.</w:t>
      </w:r>
    </w:p>
    <w:p w:rsidR="0085545A" w:rsidRPr="009A3C86" w:rsidRDefault="0085545A" w:rsidP="0085545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360" w:lineRule="auto"/>
        <w:jc w:val="both"/>
        <w:rPr>
          <w:rFonts w:ascii="Times New Roman" w:hAnsi="Times New Roman"/>
          <w:sz w:val="24"/>
          <w:szCs w:val="24"/>
        </w:rPr>
      </w:pPr>
      <w:r w:rsidRPr="009A3C86">
        <w:rPr>
          <w:rFonts w:ascii="Times New Roman" w:hAnsi="Times New Roman"/>
          <w:sz w:val="24"/>
          <w:szCs w:val="24"/>
        </w:rPr>
        <w:t xml:space="preserve">Koszty mediacji obciążą stronę, a jeżeli w mediacji uczestniczyła więcej niż jedna strona, strony te odpowiadają solidarnie za koszty mediacji </w:t>
      </w:r>
      <w:r w:rsidRPr="009A3C86">
        <w:rPr>
          <w:rFonts w:ascii="Times New Roman" w:hAnsi="Times New Roman"/>
          <w:b/>
          <w:sz w:val="24"/>
          <w:szCs w:val="24"/>
        </w:rPr>
        <w:t>(§ 4</w:t>
      </w:r>
      <w:r w:rsidRPr="009A3C86">
        <w:rPr>
          <w:rFonts w:ascii="Times New Roman" w:hAnsi="Times New Roman"/>
          <w:sz w:val="24"/>
          <w:szCs w:val="24"/>
        </w:rPr>
        <w:t>).</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8. </w:t>
      </w:r>
      <w:r w:rsidRPr="009A3C86">
        <w:rPr>
          <w:rFonts w:ascii="Times New Roman" w:hAnsi="Times New Roman"/>
          <w:b/>
          <w:sz w:val="24"/>
          <w:szCs w:val="24"/>
        </w:rPr>
        <w:t xml:space="preserve">Art. </w:t>
      </w:r>
      <w:r w:rsidR="00BD6A69" w:rsidRPr="009A3C86">
        <w:rPr>
          <w:rFonts w:ascii="Times New Roman" w:hAnsi="Times New Roman"/>
          <w:b/>
          <w:sz w:val="24"/>
          <w:szCs w:val="24"/>
        </w:rPr>
        <w:t>519</w:t>
      </w:r>
      <w:r w:rsidRPr="009A3C86">
        <w:rPr>
          <w:rFonts w:ascii="Times New Roman" w:hAnsi="Times New Roman"/>
          <w:sz w:val="24"/>
          <w:szCs w:val="24"/>
        </w:rPr>
        <w:t>, tak jak obecny art. 270a op., stanowi, że w sprawie kosztów postępowania wydaje się postanowienie, na które służy zażalenie.</w:t>
      </w:r>
      <w:r w:rsidRPr="009A3C86">
        <w:rPr>
          <w:rFonts w:ascii="Times New Roman" w:hAnsi="Times New Roman"/>
          <w:strike/>
          <w:vanish/>
          <w:sz w:val="24"/>
          <w:szCs w:val="24"/>
        </w:rPr>
        <w:t>informacje o jednostceorzeczenia sądówtezy z piśmiennictwakomentarze praktyczneprojekty ustaw</w:t>
      </w:r>
    </w:p>
    <w:p w:rsidR="0085545A" w:rsidRPr="009A3C86" w:rsidRDefault="0085545A" w:rsidP="0085545A">
      <w:pPr>
        <w:spacing w:after="0" w:line="360" w:lineRule="auto"/>
        <w:jc w:val="both"/>
        <w:rPr>
          <w:rFonts w:ascii="Times New Roman" w:hAnsi="Times New Roman"/>
          <w:strike/>
          <w:vanish/>
          <w:sz w:val="24"/>
          <w:szCs w:val="24"/>
        </w:rPr>
      </w:pPr>
      <w:r w:rsidRPr="009A3C86">
        <w:rPr>
          <w:rFonts w:ascii="Times New Roman" w:hAnsi="Times New Roman"/>
          <w:strike/>
          <w:vanish/>
          <w:sz w:val="24"/>
          <w:szCs w:val="24"/>
        </w:rPr>
        <w:t>komentarze</w:t>
      </w:r>
    </w:p>
    <w:p w:rsidR="0085545A" w:rsidRPr="009A3C86" w:rsidRDefault="0085545A" w:rsidP="0085545A">
      <w:pPr>
        <w:spacing w:after="0" w:line="360" w:lineRule="auto"/>
        <w:jc w:val="both"/>
        <w:rPr>
          <w:rFonts w:ascii="Times New Roman" w:hAnsi="Times New Roman"/>
          <w:strike/>
          <w:vanish/>
          <w:sz w:val="24"/>
          <w:szCs w:val="24"/>
        </w:rPr>
      </w:pPr>
      <w:r w:rsidRPr="009A3C86">
        <w:rPr>
          <w:rFonts w:ascii="Times New Roman" w:hAnsi="Times New Roman"/>
          <w:strike/>
          <w:vanish/>
          <w:sz w:val="24"/>
          <w:szCs w:val="24"/>
        </w:rPr>
        <w:t>wzory i zestawienia</w:t>
      </w:r>
    </w:p>
    <w:p w:rsidR="0085545A" w:rsidRPr="009A3C86" w:rsidRDefault="0085545A" w:rsidP="0085545A">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9. Obecnie obowiązujący art. 271 o.p. przewiduje 3-letni termin na ustalenie kosztów postępowania oraz termin przedawnienia poboru ustalonych kosztów w terminie 5 lat wraz z wszelkimi opcjami przedłużenia tego terminu, na jakie pozwala obecnie obowiązujący art. 70 o.p. Takie rozwiązania są chybione. Okoliczności związane ze zdarzeniem, które pociąga za sobą koszty po dłuższym czasie, są trudne do odtworzenia. Zgodnie z projektowanym </w:t>
      </w:r>
      <w:r w:rsidRPr="009A3C86">
        <w:rPr>
          <w:rFonts w:ascii="Times New Roman" w:eastAsia="Times New Roman" w:hAnsi="Times New Roman"/>
          <w:b/>
          <w:sz w:val="24"/>
          <w:szCs w:val="24"/>
          <w:lang w:eastAsia="pl-PL"/>
        </w:rPr>
        <w:t xml:space="preserve">art. </w:t>
      </w:r>
      <w:r w:rsidR="00BD6A69" w:rsidRPr="009A3C86">
        <w:rPr>
          <w:rFonts w:ascii="Times New Roman" w:eastAsia="Times New Roman" w:hAnsi="Times New Roman"/>
          <w:b/>
          <w:sz w:val="24"/>
          <w:szCs w:val="24"/>
          <w:lang w:eastAsia="pl-PL"/>
        </w:rPr>
        <w:t>520</w:t>
      </w:r>
      <w:r w:rsidRPr="009A3C86">
        <w:rPr>
          <w:rFonts w:ascii="Times New Roman" w:eastAsia="Times New Roman" w:hAnsi="Times New Roman"/>
          <w:sz w:val="24"/>
          <w:szCs w:val="24"/>
          <w:lang w:eastAsia="pl-PL"/>
        </w:rPr>
        <w:t xml:space="preserve"> po upływie 3 miesięcy od końca miesiąca, w którym zakończono postępowanie w danej instancji, doręczenie postanowienia o ustaleniu kosztów postępowania nie wywołuje skutków prawnych. Organ zwykle zna koszty zanim je ponosi, więc termin 3 miesięcy na obciążenie tymi kosztami stronę jest wystarczający. Wyjątek dotyczy sytuacji, gdy postanowienie zostało wydane w wyniku uchylenia wcześniejszego postanowienia przez organ odwoławczy lub sąd administracyjny.</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 xml:space="preserve">Analogicznie zasadniczego skrócenia wymagają przepisy dotyczące poboru kosztów. Proponuje się </w:t>
      </w:r>
      <w:r w:rsidRPr="009A3C86">
        <w:rPr>
          <w:rFonts w:ascii="Times New Roman" w:hAnsi="Times New Roman"/>
          <w:vanish/>
          <w:sz w:val="24"/>
          <w:szCs w:val="24"/>
        </w:rPr>
        <w:t>informacje o jednostcekomentarze</w:t>
      </w:r>
      <w:r w:rsidRPr="009A3C86">
        <w:rPr>
          <w:rFonts w:ascii="Times New Roman" w:hAnsi="Times New Roman"/>
          <w:sz w:val="24"/>
          <w:szCs w:val="24"/>
        </w:rPr>
        <w:t xml:space="preserve">termin przedawnienia poboru wynoszący 1 rok od dnia, w którym postanowienie w sprawie ustalenia kosztów stało się ostateczne. </w:t>
      </w:r>
    </w:p>
    <w:p w:rsidR="0085545A" w:rsidRPr="009A3C86" w:rsidRDefault="0085545A" w:rsidP="0085545A">
      <w:pPr>
        <w:spacing w:after="0" w:line="360" w:lineRule="auto"/>
        <w:jc w:val="both"/>
        <w:rPr>
          <w:rFonts w:ascii="Times New Roman" w:hAnsi="Times New Roman"/>
          <w:sz w:val="24"/>
          <w:szCs w:val="24"/>
        </w:rPr>
      </w:pPr>
      <w:r w:rsidRPr="009A3C86">
        <w:rPr>
          <w:rFonts w:ascii="Times New Roman" w:hAnsi="Times New Roman"/>
          <w:sz w:val="24"/>
          <w:szCs w:val="24"/>
        </w:rPr>
        <w:t>W miejsce obecnego przepisu art. 270 o.p. stanowiącego uprawnienie organu podatkowego do umarzania lub rozkładania na raty ustalonych wobec strony kosztów postępowania wystarczające będzie odesłanie do odpowiedniego stosowania przepisów dotyczących ulg w spłacie zobowiązań podatkowych. Analogicznie dotyczy to poddania kosztów postępowania podatkowego egzekucji administracyjnej. Taki stan zostanie osiągnięty przez odpowiednie zastosowanie analogicznych regulacji dotyczących kar porządkowych (</w:t>
      </w:r>
      <w:r w:rsidRPr="009A3C86">
        <w:rPr>
          <w:rFonts w:ascii="Times New Roman" w:hAnsi="Times New Roman"/>
          <w:b/>
          <w:sz w:val="24"/>
          <w:szCs w:val="24"/>
        </w:rPr>
        <w:t xml:space="preserve">art. </w:t>
      </w:r>
      <w:r w:rsidR="00BD6A69" w:rsidRPr="009A3C86">
        <w:rPr>
          <w:rFonts w:ascii="Times New Roman" w:hAnsi="Times New Roman"/>
          <w:b/>
          <w:sz w:val="24"/>
          <w:szCs w:val="24"/>
        </w:rPr>
        <w:t>520</w:t>
      </w:r>
      <w:r w:rsidRPr="009A3C86">
        <w:rPr>
          <w:rFonts w:ascii="Times New Roman" w:hAnsi="Times New Roman"/>
          <w:b/>
          <w:sz w:val="24"/>
          <w:szCs w:val="24"/>
        </w:rPr>
        <w:t xml:space="preserve"> § 2</w:t>
      </w:r>
      <w:r w:rsidRPr="009A3C86">
        <w:rPr>
          <w:rFonts w:ascii="Times New Roman" w:hAnsi="Times New Roman"/>
          <w:sz w:val="24"/>
          <w:szCs w:val="24"/>
        </w:rPr>
        <w:t>).</w:t>
      </w:r>
    </w:p>
    <w:p w:rsidR="0085545A" w:rsidRPr="009A3C86" w:rsidRDefault="0085545A" w:rsidP="00D72E74">
      <w:pPr>
        <w:spacing w:after="240" w:line="360" w:lineRule="auto"/>
        <w:jc w:val="both"/>
        <w:rPr>
          <w:rFonts w:ascii="Times New Roman" w:hAnsi="Times New Roman"/>
          <w:sz w:val="24"/>
          <w:szCs w:val="24"/>
        </w:rPr>
      </w:pPr>
      <w:r w:rsidRPr="009A3C86">
        <w:rPr>
          <w:rFonts w:ascii="Times New Roman" w:hAnsi="Times New Roman"/>
          <w:sz w:val="24"/>
          <w:szCs w:val="24"/>
        </w:rPr>
        <w:t xml:space="preserve">10. Przepis </w:t>
      </w:r>
      <w:r w:rsidRPr="009A3C86">
        <w:rPr>
          <w:rFonts w:ascii="Times New Roman" w:hAnsi="Times New Roman"/>
          <w:b/>
          <w:sz w:val="24"/>
          <w:szCs w:val="24"/>
        </w:rPr>
        <w:t>art.</w:t>
      </w:r>
      <w:r w:rsidR="00CF7AB2" w:rsidRPr="009A3C86">
        <w:rPr>
          <w:rFonts w:ascii="Times New Roman" w:hAnsi="Times New Roman"/>
          <w:b/>
          <w:sz w:val="24"/>
          <w:szCs w:val="24"/>
        </w:rPr>
        <w:t xml:space="preserve"> </w:t>
      </w:r>
      <w:r w:rsidR="00BD6A69" w:rsidRPr="009A3C86">
        <w:rPr>
          <w:rFonts w:ascii="Times New Roman" w:hAnsi="Times New Roman"/>
          <w:b/>
          <w:sz w:val="24"/>
          <w:szCs w:val="24"/>
        </w:rPr>
        <w:t>521</w:t>
      </w:r>
      <w:r w:rsidRPr="009A3C86">
        <w:rPr>
          <w:rFonts w:ascii="Times New Roman" w:hAnsi="Times New Roman"/>
          <w:sz w:val="24"/>
          <w:szCs w:val="24"/>
        </w:rPr>
        <w:t xml:space="preserve"> odpowiada obecnemu przepisowi art. 270b o.p., który zawiera delegację dla ministra właściwego do spraw finansów publicznych do określenia, w drodze rozporządzenia, </w:t>
      </w:r>
      <w:r w:rsidRPr="009A3C86">
        <w:rPr>
          <w:rFonts w:ascii="Times New Roman" w:hAnsi="Times New Roman"/>
          <w:sz w:val="24"/>
          <w:szCs w:val="24"/>
          <w:shd w:val="clear" w:color="auto" w:fill="FFFFFF"/>
        </w:rPr>
        <w:t xml:space="preserve">wysokości opłaty za sporządzenie kopii oraz odpisu dokumentów, jak również </w:t>
      </w:r>
      <w:r w:rsidRPr="009A3C86">
        <w:rPr>
          <w:rFonts w:ascii="Times New Roman" w:hAnsi="Times New Roman"/>
          <w:sz w:val="24"/>
          <w:szCs w:val="24"/>
          <w:shd w:val="clear" w:color="auto" w:fill="FFFFFF"/>
        </w:rPr>
        <w:lastRenderedPageBreak/>
        <w:t xml:space="preserve">wysokość opłaty za </w:t>
      </w:r>
      <w:r w:rsidRPr="009A3C86">
        <w:rPr>
          <w:rFonts w:ascii="Times New Roman" w:hAnsi="Times New Roman"/>
          <w:sz w:val="24"/>
          <w:szCs w:val="24"/>
          <w:lang w:eastAsia="pl-PL"/>
        </w:rPr>
        <w:t xml:space="preserve">sporządzenie lub </w:t>
      </w:r>
      <w:r w:rsidRPr="009A3C86">
        <w:rPr>
          <w:rFonts w:ascii="Times New Roman" w:hAnsi="Times New Roman"/>
          <w:sz w:val="24"/>
          <w:szCs w:val="24"/>
        </w:rPr>
        <w:t>uwierzytelnienie</w:t>
      </w:r>
      <w:r w:rsidRPr="009A3C86">
        <w:rPr>
          <w:rFonts w:ascii="Times New Roman" w:hAnsi="Times New Roman"/>
          <w:sz w:val="24"/>
          <w:szCs w:val="24"/>
          <w:shd w:val="clear" w:color="auto" w:fill="FFFFFF"/>
        </w:rPr>
        <w:t xml:space="preserve"> kopii zapisu obrazu lub dźwięku, mając na uwadze szacunkowe nakłady pracy z tym związane oraz koszty wykorzystanych materiałów.</w:t>
      </w:r>
    </w:p>
    <w:p w:rsidR="008D7F39" w:rsidRPr="009A3C86" w:rsidRDefault="008D7F39" w:rsidP="00D72E74">
      <w:pPr>
        <w:keepNext/>
        <w:keepLines/>
        <w:spacing w:after="240" w:line="360" w:lineRule="auto"/>
        <w:jc w:val="both"/>
        <w:outlineLvl w:val="1"/>
        <w:rPr>
          <w:rFonts w:ascii="Times New Roman" w:eastAsia="Times New Roman" w:hAnsi="Times New Roman"/>
          <w:b/>
          <w:sz w:val="24"/>
          <w:szCs w:val="24"/>
        </w:rPr>
      </w:pPr>
      <w:r w:rsidRPr="009A3C86">
        <w:rPr>
          <w:rFonts w:ascii="Times New Roman" w:eastAsia="Times New Roman" w:hAnsi="Times New Roman"/>
          <w:b/>
          <w:sz w:val="24"/>
          <w:szCs w:val="24"/>
        </w:rPr>
        <w:t>Dział IV. Postępowania szczególne</w:t>
      </w:r>
    </w:p>
    <w:p w:rsidR="008D7F39" w:rsidRPr="009A3C86" w:rsidRDefault="008D7F39" w:rsidP="008D7F39">
      <w:pPr>
        <w:tabs>
          <w:tab w:val="num" w:pos="720"/>
        </w:tabs>
        <w:spacing w:after="0" w:line="360" w:lineRule="auto"/>
        <w:jc w:val="both"/>
        <w:outlineLvl w:val="2"/>
        <w:rPr>
          <w:rFonts w:ascii="Times New Roman" w:hAnsi="Times New Roman"/>
          <w:b/>
          <w:bCs/>
          <w:sz w:val="24"/>
          <w:szCs w:val="24"/>
        </w:rPr>
      </w:pPr>
      <w:bookmarkStart w:id="71" w:name="_Toc494363292"/>
      <w:r w:rsidRPr="009A3C86">
        <w:rPr>
          <w:rFonts w:ascii="Times New Roman" w:hAnsi="Times New Roman"/>
          <w:b/>
          <w:bCs/>
          <w:sz w:val="24"/>
          <w:szCs w:val="24"/>
        </w:rPr>
        <w:t>Rozdział 1. Identyfikacja i ewidencja podatników</w:t>
      </w:r>
      <w:bookmarkEnd w:id="71"/>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1. Podstawowym założeniem projektowanych przepisów ordynacji podatkowej jest całościowe ujęcie regulacji składających się na część ogólną prawa podatkowego. Znajdują się w niej wszystkie przepisy zaliczane do ogólnego prawa podatkowego, z uwzględnieniem specyfiki polskiego systemu prawa. Przyjęcie racjonalnego układu zawartości merytorycznej ordynacji podatkowej jest jednym z podstawowych zadań projektowanych przepisów ordynacji podatkowej. Od dawna kwestią dyskusyjną była sprawa tego, co powinno się znaleźć w projektowanych przepisach ogólnych prawa podatkowego, a w chwili obecnej jest uregulowane w innych aktach. Niewątpliwie dobrze ukształtowane przepisy dotyczące identyfikacji i ewidencji podatników, które obecnie uregulowano w ustawie </w:t>
      </w:r>
      <w:r w:rsidR="001E0ADB" w:rsidRPr="009A3C86">
        <w:rPr>
          <w:rFonts w:ascii="Times New Roman" w:hAnsi="Times New Roman"/>
          <w:sz w:val="24"/>
          <w:szCs w:val="24"/>
        </w:rPr>
        <w:t xml:space="preserve">z dnia 13 października 1995 r. </w:t>
      </w:r>
      <w:r w:rsidRPr="009A3C86">
        <w:rPr>
          <w:rFonts w:ascii="Times New Roman" w:hAnsi="Times New Roman"/>
          <w:sz w:val="24"/>
          <w:szCs w:val="24"/>
        </w:rPr>
        <w:t xml:space="preserve">o </w:t>
      </w:r>
      <w:r w:rsidR="001E0ADB" w:rsidRPr="009A3C86">
        <w:rPr>
          <w:rFonts w:ascii="Times New Roman" w:hAnsi="Times New Roman"/>
          <w:sz w:val="24"/>
          <w:szCs w:val="24"/>
        </w:rPr>
        <w:t xml:space="preserve">zasadach ewidencji i </w:t>
      </w:r>
      <w:r w:rsidRPr="009A3C86">
        <w:rPr>
          <w:rFonts w:ascii="Times New Roman" w:hAnsi="Times New Roman"/>
          <w:sz w:val="24"/>
          <w:szCs w:val="24"/>
        </w:rPr>
        <w:t xml:space="preserve">identyfikacji podatników </w:t>
      </w:r>
      <w:r w:rsidR="001E0ADB" w:rsidRPr="009A3C86">
        <w:rPr>
          <w:rFonts w:ascii="Times New Roman" w:hAnsi="Times New Roman"/>
          <w:sz w:val="24"/>
          <w:szCs w:val="24"/>
        </w:rPr>
        <w:t>i płatników</w:t>
      </w:r>
      <w:r w:rsidR="00D97F6F" w:rsidRPr="009A3C86">
        <w:rPr>
          <w:rStyle w:val="Odwoanieprzypisudolnego"/>
          <w:sz w:val="24"/>
          <w:szCs w:val="24"/>
        </w:rPr>
        <w:footnoteReference w:id="476"/>
      </w:r>
      <w:r w:rsidR="001E0ADB" w:rsidRPr="009A3C86">
        <w:rPr>
          <w:rFonts w:ascii="Times New Roman" w:hAnsi="Times New Roman"/>
          <w:sz w:val="24"/>
          <w:szCs w:val="24"/>
        </w:rPr>
        <w:t xml:space="preserve"> </w:t>
      </w:r>
      <w:r w:rsidRPr="009A3C86">
        <w:rPr>
          <w:rFonts w:ascii="Times New Roman" w:hAnsi="Times New Roman"/>
          <w:sz w:val="24"/>
          <w:szCs w:val="24"/>
        </w:rPr>
        <w:t>są przepisami ogólnego prawa podatkowego</w:t>
      </w:r>
      <w:r w:rsidRPr="009A3C86">
        <w:rPr>
          <w:rFonts w:ascii="Times New Roman" w:hAnsi="Times New Roman"/>
          <w:sz w:val="24"/>
          <w:szCs w:val="24"/>
          <w:vertAlign w:val="superscript"/>
        </w:rPr>
        <w:footnoteReference w:id="477"/>
      </w:r>
      <w:r w:rsidRPr="009A3C86">
        <w:rPr>
          <w:rFonts w:ascii="Times New Roman" w:hAnsi="Times New Roman"/>
          <w:sz w:val="24"/>
          <w:szCs w:val="24"/>
        </w:rPr>
        <w:t xml:space="preserve"> i powinny być zawarte w projektowanych przepisach, co zostało wyraźnie wyartykułowane w kierunkowych założeniach ordynacji podatkowej.</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Zaproponowane rozwiązania legislacyjne są charakterystyczne dla dojrzałej kodyfikacji części ogólnej prawa podatkowego i są zgodne z postulatami zarówno doktryny jak i instytucji międzynarodowych. Przykładowo w art. </w:t>
      </w:r>
      <w:r w:rsidRPr="009A3C86">
        <w:rPr>
          <w:rFonts w:ascii="Times New Roman" w:hAnsi="Times New Roman"/>
          <w:bCs/>
          <w:sz w:val="24"/>
          <w:szCs w:val="24"/>
        </w:rPr>
        <w:t xml:space="preserve">31 </w:t>
      </w:r>
      <w:r w:rsidRPr="009A3C86">
        <w:rPr>
          <w:rFonts w:ascii="Times New Roman" w:hAnsi="Times New Roman"/>
          <w:sz w:val="24"/>
          <w:szCs w:val="24"/>
        </w:rPr>
        <w:t>Modelowego kodeksu podatkowego Międzynarodowego Funduszu Walutowego</w:t>
      </w:r>
      <w:r w:rsidRPr="009A3C86">
        <w:rPr>
          <w:rFonts w:ascii="Times New Roman" w:hAnsi="Times New Roman"/>
          <w:sz w:val="24"/>
          <w:szCs w:val="24"/>
          <w:vertAlign w:val="superscript"/>
        </w:rPr>
        <w:footnoteReference w:id="478"/>
      </w:r>
      <w:r w:rsidRPr="009A3C86">
        <w:rPr>
          <w:rFonts w:ascii="Times New Roman" w:hAnsi="Times New Roman"/>
          <w:sz w:val="24"/>
          <w:szCs w:val="24"/>
        </w:rPr>
        <w:t xml:space="preserve"> </w:t>
      </w:r>
      <w:r w:rsidRPr="009A3C86">
        <w:rPr>
          <w:rFonts w:ascii="Times New Roman" w:hAnsi="Times New Roman"/>
          <w:bCs/>
          <w:sz w:val="24"/>
          <w:szCs w:val="24"/>
        </w:rPr>
        <w:t>reguluje się zagadnienie numerów identyfikacji podatkowej i w tym zakresie określa m.in. procedurę ich nadawania przez organy władzy publicznej i zasady posługiwania się nimi przez podatników</w:t>
      </w:r>
      <w:r w:rsidRPr="009A3C86">
        <w:rPr>
          <w:rFonts w:ascii="Times New Roman" w:hAnsi="Times New Roman"/>
          <w:sz w:val="24"/>
          <w:szCs w:val="24"/>
          <w:vertAlign w:val="superscript"/>
        </w:rPr>
        <w:footnoteReference w:id="479"/>
      </w:r>
      <w:r w:rsidRPr="009A3C86">
        <w:rPr>
          <w:rFonts w:ascii="Times New Roman" w:hAnsi="Times New Roman"/>
          <w:bCs/>
          <w:sz w:val="24"/>
          <w:szCs w:val="24"/>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Systemy zintegrowane, do których zaliczamy również ewidencje podatników, tworzone przez administrację państwową, najczęściej posługują się identyfikatorami cyfrowymi. Nadanie identyfikatora stwarza bowiem możliwość natychmiastowej lokalizacji oraz odtworzenia wszystkich sytuacji związanych z konkretną osobą czy podmiotem. Numer identyfikacyjny </w:t>
      </w:r>
      <w:r w:rsidRPr="009A3C86">
        <w:rPr>
          <w:rFonts w:ascii="Times New Roman" w:hAnsi="Times New Roman"/>
          <w:sz w:val="24"/>
          <w:szCs w:val="24"/>
        </w:rPr>
        <w:lastRenderedPageBreak/>
        <w:t>umożliwia określenie wszystkich czynności dokonanych przez dany podmiot, a kod numeryczny pozwala na szybkie podjęcie decyzji przez administrację, poprawia jej efektywność, ogranicza biurokrację, szybko wyszukuje już przetworzone dane, a jednocześnie umożliwia praktycznie jednoczesne rozpatrzenie tysięcy spraw o podobnym stanie faktycznym przy zastosowaniu jednakowych kryteriów.</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2. Wszystkie obowiązujące przepisy </w:t>
      </w:r>
      <w:r w:rsidR="001E0ADB" w:rsidRPr="009A3C86">
        <w:rPr>
          <w:rFonts w:ascii="Times New Roman" w:hAnsi="Times New Roman"/>
          <w:sz w:val="24"/>
          <w:szCs w:val="24"/>
        </w:rPr>
        <w:t>ustawy z dnia 13 października 1995 r. o zasadach ewidencji i identyfikacji podatników i płatników</w:t>
      </w:r>
      <w:r w:rsidR="00F179F1" w:rsidRPr="009A3C86">
        <w:rPr>
          <w:rFonts w:ascii="Times New Roman" w:hAnsi="Times New Roman"/>
          <w:sz w:val="24"/>
          <w:szCs w:val="24"/>
        </w:rPr>
        <w:t xml:space="preserve">, zwanej dalej w tym rozdziale „ustawą o NIP” </w:t>
      </w:r>
      <w:r w:rsidRPr="009A3C86">
        <w:rPr>
          <w:rFonts w:ascii="Times New Roman" w:hAnsi="Times New Roman"/>
          <w:sz w:val="24"/>
          <w:szCs w:val="24"/>
        </w:rPr>
        <w:t xml:space="preserve">zostały uwzględnione w projektowanych przepisach, jednakże niektóre z nich ze względu na zakres regulacji i układ ordynacji podatkowej uregulowano w innych rozdziałach ordynacji podatkowej. Dotyczy to przede wszystkim zagadnień dotyczących tajemnicy skarbowej uregulowanej w art. </w:t>
      </w:r>
      <w:r w:rsidR="00D20932" w:rsidRPr="009A3C86">
        <w:rPr>
          <w:rFonts w:ascii="Times New Roman" w:hAnsi="Times New Roman"/>
          <w:sz w:val="24"/>
          <w:szCs w:val="24"/>
        </w:rPr>
        <w:t>99</w:t>
      </w:r>
      <w:r w:rsidRPr="009A3C86">
        <w:rPr>
          <w:rFonts w:ascii="Times New Roman" w:hAnsi="Times New Roman"/>
          <w:sz w:val="24"/>
          <w:szCs w:val="24"/>
        </w:rPr>
        <w:t>–</w:t>
      </w:r>
      <w:r w:rsidR="001E0ADB" w:rsidRPr="009A3C86">
        <w:rPr>
          <w:rFonts w:ascii="Times New Roman" w:hAnsi="Times New Roman"/>
          <w:sz w:val="24"/>
          <w:szCs w:val="24"/>
        </w:rPr>
        <w:t>123</w:t>
      </w:r>
      <w:r w:rsidRPr="009A3C86">
        <w:rPr>
          <w:rFonts w:ascii="Times New Roman" w:hAnsi="Times New Roman"/>
          <w:sz w:val="24"/>
          <w:szCs w:val="24"/>
        </w:rPr>
        <w:t>, zastosowania środków komunikacji elektronicznej (art.</w:t>
      </w:r>
      <w:r w:rsidR="00D20932" w:rsidRPr="009A3C86">
        <w:rPr>
          <w:rFonts w:ascii="Times New Roman" w:hAnsi="Times New Roman"/>
          <w:sz w:val="24"/>
          <w:szCs w:val="24"/>
        </w:rPr>
        <w:t xml:space="preserve"> 38</w:t>
      </w:r>
      <w:r w:rsidRPr="009A3C86">
        <w:rPr>
          <w:rFonts w:ascii="Times New Roman" w:hAnsi="Times New Roman"/>
          <w:sz w:val="24"/>
          <w:szCs w:val="24"/>
        </w:rPr>
        <w:t>–</w:t>
      </w:r>
      <w:r w:rsidR="00D20932" w:rsidRPr="009A3C86">
        <w:rPr>
          <w:rFonts w:ascii="Times New Roman" w:hAnsi="Times New Roman"/>
          <w:sz w:val="24"/>
          <w:szCs w:val="24"/>
        </w:rPr>
        <w:t>49</w:t>
      </w:r>
      <w:r w:rsidRPr="009A3C86">
        <w:rPr>
          <w:rFonts w:ascii="Times New Roman" w:hAnsi="Times New Roman"/>
          <w:sz w:val="24"/>
          <w:szCs w:val="24"/>
        </w:rPr>
        <w:t xml:space="preserve">) oraz właściwości organów podatkowych do celów ewidencyjnych (art. </w:t>
      </w:r>
      <w:r w:rsidR="00D20932" w:rsidRPr="009A3C86">
        <w:rPr>
          <w:rFonts w:ascii="Times New Roman" w:hAnsi="Times New Roman"/>
          <w:sz w:val="24"/>
          <w:szCs w:val="24"/>
        </w:rPr>
        <w:t>69</w:t>
      </w:r>
      <w:r w:rsidRPr="009A3C86">
        <w:rPr>
          <w:rFonts w:ascii="Times New Roman" w:hAnsi="Times New Roman"/>
          <w:sz w:val="24"/>
          <w:szCs w:val="24"/>
        </w:rPr>
        <w:t>-</w:t>
      </w:r>
      <w:r w:rsidR="00D20932" w:rsidRPr="009A3C86">
        <w:rPr>
          <w:rFonts w:ascii="Times New Roman" w:hAnsi="Times New Roman"/>
          <w:sz w:val="24"/>
          <w:szCs w:val="24"/>
        </w:rPr>
        <w:t>84</w:t>
      </w:r>
      <w:r w:rsidRPr="009A3C86">
        <w:rPr>
          <w:rFonts w:ascii="Times New Roman" w:hAnsi="Times New Roman"/>
          <w:sz w:val="24"/>
          <w:szCs w:val="24"/>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Ponadto przepisy dotyczące ewidencji płatników składek na ubezpieczenia społeczne i ubezpieczenia zdrowotne zostały przeniesione do ustawy z dnia 13 października 1998 r. o systemie ubezpieczeń społecznych (Dz. U. z </w:t>
      </w:r>
      <w:r w:rsidR="00567EBD" w:rsidRPr="009A3C86">
        <w:rPr>
          <w:rFonts w:ascii="Times New Roman" w:hAnsi="Times New Roman"/>
          <w:sz w:val="24"/>
          <w:szCs w:val="24"/>
        </w:rPr>
        <w:t>201</w:t>
      </w:r>
      <w:r w:rsidR="00D97F6F" w:rsidRPr="009A3C86">
        <w:rPr>
          <w:rFonts w:ascii="Times New Roman" w:hAnsi="Times New Roman"/>
          <w:sz w:val="24"/>
          <w:szCs w:val="24"/>
        </w:rPr>
        <w:t>9</w:t>
      </w:r>
      <w:r w:rsidR="00567EBD" w:rsidRPr="009A3C86">
        <w:rPr>
          <w:rFonts w:ascii="Times New Roman" w:hAnsi="Times New Roman"/>
          <w:sz w:val="24"/>
          <w:szCs w:val="24"/>
        </w:rPr>
        <w:t xml:space="preserve"> </w:t>
      </w:r>
      <w:r w:rsidRPr="009A3C86">
        <w:rPr>
          <w:rFonts w:ascii="Times New Roman" w:hAnsi="Times New Roman"/>
          <w:sz w:val="24"/>
          <w:szCs w:val="24"/>
        </w:rPr>
        <w:t xml:space="preserve">r. poz. </w:t>
      </w:r>
      <w:r w:rsidR="00D97F6F" w:rsidRPr="009A3C86">
        <w:rPr>
          <w:rFonts w:ascii="Times New Roman" w:hAnsi="Times New Roman"/>
          <w:sz w:val="24"/>
          <w:szCs w:val="24"/>
        </w:rPr>
        <w:t>300, 303 i 730</w:t>
      </w:r>
      <w:r w:rsidRPr="009A3C86">
        <w:rPr>
          <w:rFonts w:ascii="Times New Roman" w:hAnsi="Times New Roman"/>
          <w:sz w:val="24"/>
          <w:szCs w:val="24"/>
        </w:rPr>
        <w:t>), a projektowane przepisy ordynacji podatkowej w zakresie identyfikacji i ewidencji będą miały odpowiednie zastosowanie. Takie rozwiązanie legislacyjne w sposób wymierny przyczyni się do przejrzystości przepisów projektu ordynacji podatkowej regulujących zupełnie odmienną materię.</w:t>
      </w:r>
    </w:p>
    <w:p w:rsidR="008D7F39" w:rsidRPr="009A3C86" w:rsidRDefault="008D7F39" w:rsidP="00D72E74">
      <w:pPr>
        <w:spacing w:after="120" w:line="360" w:lineRule="auto"/>
        <w:jc w:val="both"/>
        <w:rPr>
          <w:rFonts w:ascii="Times New Roman" w:hAnsi="Times New Roman"/>
          <w:sz w:val="24"/>
          <w:szCs w:val="24"/>
        </w:rPr>
      </w:pPr>
      <w:r w:rsidRPr="009A3C86">
        <w:rPr>
          <w:rFonts w:ascii="Times New Roman" w:hAnsi="Times New Roman"/>
          <w:sz w:val="24"/>
          <w:szCs w:val="24"/>
        </w:rPr>
        <w:t>Projektowane przepisy w zakresie identyfikacji i ewidencji podatników o</w:t>
      </w:r>
      <w:r w:rsidRPr="009A3C86">
        <w:rPr>
          <w:rFonts w:ascii="Times New Roman" w:hAnsi="Times New Roman"/>
          <w:bCs/>
          <w:iCs/>
          <w:sz w:val="24"/>
          <w:szCs w:val="24"/>
        </w:rPr>
        <w:t>parto na obecnych rozwiązaniach i</w:t>
      </w:r>
      <w:r w:rsidRPr="009A3C86">
        <w:rPr>
          <w:rFonts w:ascii="Times New Roman" w:hAnsi="Times New Roman"/>
          <w:sz w:val="24"/>
          <w:szCs w:val="24"/>
        </w:rPr>
        <w:t xml:space="preserve"> zostały podzielone na cztery oddziały</w:t>
      </w:r>
      <w:r w:rsidRPr="009A3C86">
        <w:rPr>
          <w:rFonts w:ascii="Times New Roman" w:hAnsi="Times New Roman"/>
          <w:bCs/>
          <w:iCs/>
          <w:sz w:val="24"/>
          <w:szCs w:val="24"/>
        </w:rPr>
        <w:t>: przepisy ogólne, postępowanie w sprawie nadania numeru identyfikacji podatkowej, zasady posługiwania się identyfikatorem podatkowym oraz rejestr podatników.</w:t>
      </w:r>
    </w:p>
    <w:p w:rsidR="008D7F39" w:rsidRPr="009A3C86" w:rsidRDefault="008D7F39" w:rsidP="008D7F39">
      <w:pPr>
        <w:keepNext/>
        <w:keepLines/>
        <w:spacing w:after="0" w:line="360" w:lineRule="auto"/>
        <w:jc w:val="both"/>
        <w:outlineLvl w:val="3"/>
        <w:rPr>
          <w:rFonts w:ascii="Times New Roman" w:eastAsia="Times New Roman" w:hAnsi="Times New Roman"/>
          <w:b/>
          <w:iCs/>
          <w:sz w:val="24"/>
          <w:szCs w:val="24"/>
        </w:rPr>
      </w:pPr>
      <w:bookmarkStart w:id="72" w:name="_Toc494363293"/>
      <w:r w:rsidRPr="009A3C86">
        <w:rPr>
          <w:rFonts w:ascii="Times New Roman" w:eastAsia="Times New Roman" w:hAnsi="Times New Roman"/>
          <w:b/>
          <w:iCs/>
          <w:sz w:val="24"/>
          <w:szCs w:val="24"/>
        </w:rPr>
        <w:t>Oddział 1. Przepisy ogólne</w:t>
      </w:r>
      <w:bookmarkEnd w:id="72"/>
    </w:p>
    <w:p w:rsidR="008D7F39" w:rsidRPr="009A3C86" w:rsidRDefault="008D7F39" w:rsidP="008D7F39">
      <w:pPr>
        <w:spacing w:after="0" w:line="360" w:lineRule="auto"/>
        <w:jc w:val="both"/>
        <w:rPr>
          <w:rFonts w:ascii="Times New Roman" w:hAnsi="Times New Roman"/>
          <w:bCs/>
          <w:sz w:val="24"/>
          <w:szCs w:val="24"/>
        </w:rPr>
      </w:pPr>
      <w:r w:rsidRPr="009A3C86">
        <w:rPr>
          <w:rFonts w:ascii="Times New Roman" w:hAnsi="Times New Roman"/>
          <w:bCs/>
          <w:sz w:val="24"/>
          <w:szCs w:val="24"/>
        </w:rPr>
        <w:t>1. Obowiązkowi ewidencyjnemu podlegają podatnicy</w:t>
      </w:r>
      <w:r w:rsidR="007241DF" w:rsidRPr="009A3C86">
        <w:rPr>
          <w:rFonts w:ascii="Times New Roman" w:hAnsi="Times New Roman"/>
          <w:bCs/>
          <w:sz w:val="24"/>
          <w:szCs w:val="24"/>
        </w:rPr>
        <w:t>,</w:t>
      </w:r>
      <w:r w:rsidRPr="009A3C86">
        <w:rPr>
          <w:rFonts w:ascii="Times New Roman" w:hAnsi="Times New Roman"/>
          <w:bCs/>
          <w:sz w:val="24"/>
          <w:szCs w:val="24"/>
        </w:rPr>
        <w:t xml:space="preserve"> płatnicy oraz inne podmioty, o ile odrębne ustawy tak stanowią (</w:t>
      </w:r>
      <w:r w:rsidRPr="009A3C86">
        <w:rPr>
          <w:rFonts w:ascii="Times New Roman" w:hAnsi="Times New Roman"/>
          <w:b/>
          <w:bCs/>
          <w:sz w:val="24"/>
          <w:szCs w:val="24"/>
        </w:rPr>
        <w:t xml:space="preserve">art. </w:t>
      </w:r>
      <w:r w:rsidR="007241DF" w:rsidRPr="009A3C86">
        <w:rPr>
          <w:rFonts w:ascii="Times New Roman" w:hAnsi="Times New Roman"/>
          <w:b/>
          <w:bCs/>
          <w:sz w:val="24"/>
          <w:szCs w:val="24"/>
        </w:rPr>
        <w:t>522</w:t>
      </w:r>
      <w:r w:rsidRPr="009A3C86">
        <w:rPr>
          <w:rFonts w:ascii="Times New Roman" w:hAnsi="Times New Roman"/>
          <w:b/>
          <w:bCs/>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w:t>
      </w:r>
      <w:r w:rsidRPr="009A3C86">
        <w:rPr>
          <w:rFonts w:ascii="Times New Roman" w:hAnsi="Times New Roman"/>
          <w:bCs/>
          <w:sz w:val="24"/>
          <w:szCs w:val="24"/>
        </w:rPr>
        <w:t xml:space="preserve"> </w:t>
      </w:r>
      <w:r w:rsidR="007241DF" w:rsidRPr="009A3C86">
        <w:rPr>
          <w:rFonts w:ascii="Times New Roman" w:hAnsi="Times New Roman"/>
          <w:bCs/>
          <w:sz w:val="24"/>
          <w:szCs w:val="24"/>
        </w:rPr>
        <w:t>Płatnicy składek na ubezpieczenia społeczne oraz ubezpieczenia zdrowotne będą podlegać obowiązkowi ewidencyjnemu na podstawie odrębnych przepisów, tj. ustawy z dnia 13 października 1998 r. o systemie ubezpieczeń społecznych.</w:t>
      </w:r>
      <w:r w:rsidR="00951F15" w:rsidRPr="009A3C86">
        <w:rPr>
          <w:rFonts w:ascii="Times New Roman" w:hAnsi="Times New Roman"/>
          <w:bCs/>
          <w:sz w:val="24"/>
          <w:szCs w:val="24"/>
        </w:rPr>
        <w:t xml:space="preserve"> </w:t>
      </w:r>
      <w:r w:rsidRPr="009A3C86">
        <w:rPr>
          <w:rFonts w:ascii="Times New Roman" w:hAnsi="Times New Roman"/>
          <w:bCs/>
          <w:sz w:val="24"/>
          <w:szCs w:val="24"/>
        </w:rPr>
        <w:t>Ze względu na zdefiniowanie pojęcia podatnika oraz płatnika zrezygnowano z</w:t>
      </w:r>
      <w:r w:rsidR="00F179F1" w:rsidRPr="009A3C86">
        <w:rPr>
          <w:rFonts w:ascii="Times New Roman" w:hAnsi="Times New Roman"/>
          <w:bCs/>
          <w:sz w:val="24"/>
          <w:szCs w:val="24"/>
        </w:rPr>
        <w:t xml:space="preserve"> występującego w aktualnym art. 2 ust. 1 ustawy o NIP</w:t>
      </w:r>
      <w:r w:rsidRPr="009A3C86">
        <w:rPr>
          <w:rFonts w:ascii="Times New Roman" w:hAnsi="Times New Roman"/>
          <w:bCs/>
          <w:sz w:val="24"/>
          <w:szCs w:val="24"/>
        </w:rPr>
        <w:t xml:space="preserve"> cywilistycznego rozróżnienia podmiotów prawa podlegających obowiązkowi ewidencyjnemu</w:t>
      </w:r>
      <w:r w:rsidR="00F179F1" w:rsidRPr="009A3C86">
        <w:rPr>
          <w:rFonts w:ascii="Times New Roman" w:hAnsi="Times New Roman"/>
          <w:bCs/>
          <w:sz w:val="24"/>
          <w:szCs w:val="24"/>
        </w:rPr>
        <w:t xml:space="preserve"> na</w:t>
      </w:r>
      <w:r w:rsidR="00E718D7" w:rsidRPr="009A3C86">
        <w:rPr>
          <w:rFonts w:ascii="Times New Roman" w:hAnsi="Times New Roman"/>
          <w:bCs/>
          <w:sz w:val="24"/>
          <w:szCs w:val="24"/>
        </w:rPr>
        <w:t>:</w:t>
      </w:r>
      <w:r w:rsidRPr="009A3C86">
        <w:rPr>
          <w:rFonts w:ascii="Times New Roman" w:hAnsi="Times New Roman"/>
          <w:bCs/>
          <w:sz w:val="24"/>
          <w:szCs w:val="24"/>
        </w:rPr>
        <w:t xml:space="preserve"> </w:t>
      </w:r>
      <w:r w:rsidRPr="009A3C86">
        <w:rPr>
          <w:rFonts w:ascii="Times New Roman" w:hAnsi="Times New Roman"/>
          <w:sz w:val="24"/>
          <w:szCs w:val="24"/>
        </w:rPr>
        <w:t xml:space="preserve">osoby fizyczne, osoby prawne i jednostki organizacyjne niemające osobowości prawnej. Podmiot podatku, jako instytucja prawa pozytywnego, powinien być rozpatrywany wyłącznie na tle konkretnego </w:t>
      </w:r>
      <w:r w:rsidRPr="009A3C86">
        <w:rPr>
          <w:rFonts w:ascii="Times New Roman" w:hAnsi="Times New Roman"/>
          <w:sz w:val="24"/>
          <w:szCs w:val="24"/>
        </w:rPr>
        <w:lastRenderedPageBreak/>
        <w:t>podatku, ponieważ właściwy z punktu widzenia celów konkretnego podatku katalog podatników buduje każda ustawa podatkowa</w:t>
      </w:r>
      <w:r w:rsidRPr="009A3C86">
        <w:rPr>
          <w:rFonts w:ascii="Times New Roman" w:hAnsi="Times New Roman"/>
          <w:sz w:val="24"/>
          <w:szCs w:val="24"/>
          <w:vertAlign w:val="superscript"/>
        </w:rPr>
        <w:footnoteReference w:id="480"/>
      </w:r>
      <w:r w:rsidRPr="009A3C86">
        <w:rPr>
          <w:rFonts w:ascii="Times New Roman" w:hAnsi="Times New Roman"/>
          <w:sz w:val="24"/>
          <w:szCs w:val="24"/>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2. Z dniem 1 września 2011 r. nastąpiły zmiany w zakresie identyfikacji podmiotów podlegających obowiązkowi ewidencyjnemu w Polsce. W celu zmniejszenia ustawowych obowiązków jednostek wobec administracji podatkowej i lepszemu wykorzystaniu danych, które i tak są gromadzone przez administrację, przyjęto, że obok numeru NIP, dla wybranej grupy podatników identyfikatorem podatkowym jest numer PESEL. Projektowany przepis </w:t>
      </w:r>
      <w:r w:rsidRPr="009A3C86">
        <w:rPr>
          <w:rFonts w:ascii="Times New Roman" w:hAnsi="Times New Roman"/>
          <w:b/>
          <w:sz w:val="24"/>
          <w:szCs w:val="24"/>
        </w:rPr>
        <w:t xml:space="preserve">art. </w:t>
      </w:r>
      <w:r w:rsidR="0086730C" w:rsidRPr="009A3C86">
        <w:rPr>
          <w:rFonts w:ascii="Times New Roman" w:hAnsi="Times New Roman"/>
          <w:b/>
          <w:sz w:val="24"/>
          <w:szCs w:val="24"/>
        </w:rPr>
        <w:t>523</w:t>
      </w:r>
      <w:r w:rsidRPr="009A3C86">
        <w:rPr>
          <w:rFonts w:ascii="Times New Roman" w:hAnsi="Times New Roman"/>
          <w:sz w:val="24"/>
          <w:szCs w:val="24"/>
        </w:rPr>
        <w:t xml:space="preserve"> </w:t>
      </w:r>
      <w:r w:rsidR="0086730C" w:rsidRPr="009A3C86">
        <w:rPr>
          <w:rFonts w:ascii="Times New Roman" w:hAnsi="Times New Roman"/>
          <w:sz w:val="24"/>
          <w:szCs w:val="24"/>
        </w:rPr>
        <w:t xml:space="preserve">§ 1 </w:t>
      </w:r>
      <w:r w:rsidRPr="009A3C86">
        <w:rPr>
          <w:rFonts w:ascii="Times New Roman" w:hAnsi="Times New Roman"/>
          <w:sz w:val="24"/>
          <w:szCs w:val="24"/>
        </w:rPr>
        <w:t xml:space="preserve">jest odpowiednikiem obecnego art. 3 </w:t>
      </w:r>
      <w:r w:rsidR="00F20B3D" w:rsidRPr="009A3C86">
        <w:rPr>
          <w:rFonts w:ascii="Times New Roman" w:hAnsi="Times New Roman"/>
          <w:sz w:val="24"/>
          <w:szCs w:val="24"/>
        </w:rPr>
        <w:t xml:space="preserve">ust. 1 </w:t>
      </w:r>
      <w:r w:rsidRPr="009A3C86">
        <w:rPr>
          <w:rFonts w:ascii="Times New Roman" w:hAnsi="Times New Roman"/>
          <w:sz w:val="24"/>
          <w:szCs w:val="24"/>
        </w:rPr>
        <w:t xml:space="preserve">ustawy o </w:t>
      </w:r>
      <w:r w:rsidR="0086730C" w:rsidRPr="009A3C86">
        <w:rPr>
          <w:rFonts w:ascii="Times New Roman" w:hAnsi="Times New Roman"/>
          <w:sz w:val="24"/>
          <w:szCs w:val="24"/>
        </w:rPr>
        <w:t>NIP</w:t>
      </w:r>
      <w:r w:rsidRPr="009A3C86">
        <w:rPr>
          <w:rFonts w:ascii="Times New Roman" w:hAnsi="Times New Roman"/>
          <w:sz w:val="24"/>
          <w:szCs w:val="24"/>
        </w:rPr>
        <w:t xml:space="preserve">, zgodnie z którym identyfikatorem podatkowym jest </w:t>
      </w:r>
      <w:r w:rsidRPr="009A3C86">
        <w:rPr>
          <w:rFonts w:ascii="Times New Roman" w:hAnsi="Times New Roman"/>
          <w:bCs/>
          <w:sz w:val="24"/>
          <w:szCs w:val="24"/>
        </w:rPr>
        <w:t xml:space="preserve">numer PESEL </w:t>
      </w:r>
      <w:r w:rsidRPr="009A3C86">
        <w:rPr>
          <w:rFonts w:ascii="Times New Roman" w:hAnsi="Times New Roman"/>
          <w:sz w:val="24"/>
          <w:szCs w:val="24"/>
        </w:rPr>
        <w:t xml:space="preserve">- w przypadku podatników będących osobami fizycznymi objętymi rejestrem PESEL, nieprowadzących działalności gospodarczej lub niebędących zarejestrowanymi podatnikami podatku od towarów i usług, natomiast </w:t>
      </w:r>
      <w:r w:rsidRPr="009A3C86">
        <w:rPr>
          <w:rFonts w:ascii="Times New Roman" w:hAnsi="Times New Roman"/>
          <w:bCs/>
          <w:sz w:val="24"/>
          <w:szCs w:val="24"/>
        </w:rPr>
        <w:t xml:space="preserve">NIP </w:t>
      </w:r>
      <w:r w:rsidRPr="009A3C86">
        <w:rPr>
          <w:rFonts w:ascii="Times New Roman" w:hAnsi="Times New Roman"/>
          <w:sz w:val="24"/>
          <w:szCs w:val="24"/>
        </w:rPr>
        <w:t xml:space="preserve">– w przypadku pozostałych podmiotów podlegających obowiązkowi ewidencyjnemu, o którym mowa w art. </w:t>
      </w:r>
      <w:r w:rsidR="0086730C" w:rsidRPr="009A3C86">
        <w:rPr>
          <w:rFonts w:ascii="Times New Roman" w:hAnsi="Times New Roman"/>
          <w:sz w:val="24"/>
          <w:szCs w:val="24"/>
        </w:rPr>
        <w:t>522</w:t>
      </w:r>
      <w:r w:rsidRPr="009A3C86">
        <w:rPr>
          <w:rFonts w:ascii="Times New Roman" w:hAnsi="Times New Roman"/>
          <w:sz w:val="24"/>
          <w:szCs w:val="24"/>
        </w:rPr>
        <w:t xml:space="preserve">. W konsekwencji powyższego, jeżeli identyfikatorem podatkowym podmiotu, w tym osoby fizycznej, jest NIP, to taki podmiot podlega obowiązkowi ewidencyjnemu w pełnym zakresie, czyli dokonania zgłoszenia identyfikacyjnego i uzyskania NIP oraz aktualizacji danych objętych tym zgłoszeniem w terminach określonych w art. </w:t>
      </w:r>
      <w:r w:rsidR="00CB0049" w:rsidRPr="009A3C86">
        <w:rPr>
          <w:rFonts w:ascii="Times New Roman" w:hAnsi="Times New Roman"/>
          <w:sz w:val="24"/>
          <w:szCs w:val="24"/>
        </w:rPr>
        <w:t>531</w:t>
      </w:r>
      <w:r w:rsidRPr="009A3C86">
        <w:rPr>
          <w:rFonts w:ascii="Times New Roman" w:hAnsi="Times New Roman"/>
          <w:sz w:val="24"/>
          <w:szCs w:val="24"/>
        </w:rPr>
        <w:t xml:space="preserve"> i art. </w:t>
      </w:r>
      <w:r w:rsidR="00CB0049" w:rsidRPr="009A3C86">
        <w:rPr>
          <w:rFonts w:ascii="Times New Roman" w:hAnsi="Times New Roman"/>
          <w:sz w:val="24"/>
          <w:szCs w:val="24"/>
        </w:rPr>
        <w:t>532</w:t>
      </w:r>
      <w:r w:rsidRPr="009A3C86">
        <w:rPr>
          <w:rFonts w:ascii="Times New Roman" w:hAnsi="Times New Roman"/>
          <w:sz w:val="24"/>
          <w:szCs w:val="24"/>
        </w:rPr>
        <w:t>.</w:t>
      </w:r>
    </w:p>
    <w:p w:rsidR="008D7F39" w:rsidRPr="009A3C86" w:rsidRDefault="008D7F39" w:rsidP="00D72E74">
      <w:pPr>
        <w:spacing w:after="120" w:line="360" w:lineRule="auto"/>
        <w:jc w:val="both"/>
        <w:rPr>
          <w:rFonts w:ascii="Times New Roman" w:hAnsi="Times New Roman"/>
          <w:sz w:val="24"/>
          <w:szCs w:val="24"/>
        </w:rPr>
      </w:pPr>
      <w:r w:rsidRPr="009A3C86">
        <w:rPr>
          <w:rFonts w:ascii="Times New Roman" w:hAnsi="Times New Roman"/>
          <w:sz w:val="24"/>
          <w:szCs w:val="24"/>
        </w:rPr>
        <w:t xml:space="preserve">Ponadto wraz z określeniem reguł identyfikacji podatkowej proponuje się w </w:t>
      </w:r>
      <w:r w:rsidRPr="009A3C86">
        <w:rPr>
          <w:rFonts w:ascii="Times New Roman" w:hAnsi="Times New Roman"/>
          <w:b/>
          <w:sz w:val="24"/>
          <w:szCs w:val="24"/>
        </w:rPr>
        <w:t xml:space="preserve">art. </w:t>
      </w:r>
      <w:r w:rsidR="0086730C" w:rsidRPr="009A3C86">
        <w:rPr>
          <w:rFonts w:ascii="Times New Roman" w:hAnsi="Times New Roman"/>
          <w:b/>
          <w:sz w:val="24"/>
          <w:szCs w:val="24"/>
        </w:rPr>
        <w:t>523</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konieczność takiego formułowania numerów identyfikacji podatników i płatników, by nie posiadały one ukrytego lub jawnego charakteru znaczącego, określającego pewne cechy podatnika. W związku z tym należy wskazać, że z jednej strony NIP, podobnie jak PESEL, jest numerem niepowtarzalnym i jedynym dla danego podmiotu, który ma go identyfikować dla celów podatkowych, a jednocześnie jest nadawany na cały okres bytu danej jednostki organizacyjnej albo na całe życie osoby fizycznej.</w:t>
      </w:r>
    </w:p>
    <w:p w:rsidR="008D7F39" w:rsidRPr="009A3C86" w:rsidRDefault="008D7F39" w:rsidP="008D7F39">
      <w:pPr>
        <w:keepNext/>
        <w:keepLines/>
        <w:spacing w:after="0" w:line="360" w:lineRule="auto"/>
        <w:jc w:val="both"/>
        <w:outlineLvl w:val="3"/>
        <w:rPr>
          <w:rFonts w:ascii="Times New Roman" w:eastAsia="Times New Roman" w:hAnsi="Times New Roman"/>
          <w:b/>
          <w:iCs/>
          <w:sz w:val="24"/>
          <w:szCs w:val="24"/>
        </w:rPr>
      </w:pPr>
      <w:bookmarkStart w:id="73" w:name="_Toc494363294"/>
      <w:r w:rsidRPr="009A3C86">
        <w:rPr>
          <w:rFonts w:ascii="Times New Roman" w:eastAsia="Times New Roman" w:hAnsi="Times New Roman"/>
          <w:b/>
          <w:iCs/>
          <w:sz w:val="24"/>
          <w:szCs w:val="24"/>
        </w:rPr>
        <w:t>Oddział 2. Postępowanie w sprawie nadania numeru identyfikacji podatkowej</w:t>
      </w:r>
      <w:bookmarkEnd w:id="73"/>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bCs/>
          <w:sz w:val="24"/>
          <w:szCs w:val="24"/>
        </w:rPr>
        <w:t xml:space="preserve">1. Zgodnie z proponowanym </w:t>
      </w:r>
      <w:r w:rsidRPr="009A3C86">
        <w:rPr>
          <w:rFonts w:ascii="Times New Roman" w:hAnsi="Times New Roman"/>
          <w:b/>
          <w:bCs/>
          <w:sz w:val="24"/>
          <w:szCs w:val="24"/>
        </w:rPr>
        <w:t xml:space="preserve">art. </w:t>
      </w:r>
      <w:r w:rsidR="00402241" w:rsidRPr="009A3C86">
        <w:rPr>
          <w:rFonts w:ascii="Times New Roman" w:hAnsi="Times New Roman"/>
          <w:b/>
          <w:bCs/>
          <w:sz w:val="24"/>
          <w:szCs w:val="24"/>
        </w:rPr>
        <w:t>525</w:t>
      </w:r>
      <w:r w:rsidRPr="009A3C86">
        <w:rPr>
          <w:rFonts w:ascii="Times New Roman" w:hAnsi="Times New Roman"/>
          <w:bCs/>
          <w:sz w:val="24"/>
          <w:szCs w:val="24"/>
        </w:rPr>
        <w:t xml:space="preserve"> </w:t>
      </w:r>
      <w:r w:rsidR="000A1406" w:rsidRPr="009A3C86">
        <w:rPr>
          <w:rFonts w:ascii="Times New Roman" w:hAnsi="Times New Roman"/>
          <w:b/>
          <w:bCs/>
          <w:sz w:val="24"/>
          <w:szCs w:val="24"/>
        </w:rPr>
        <w:t xml:space="preserve">§ 1 </w:t>
      </w:r>
      <w:r w:rsidRPr="009A3C86">
        <w:rPr>
          <w:rFonts w:ascii="Times New Roman" w:hAnsi="Times New Roman"/>
          <w:bCs/>
          <w:sz w:val="24"/>
          <w:szCs w:val="24"/>
        </w:rPr>
        <w:t>przyjęto aktualnie obowiązujące zasady dotyczące nadawania numeru identyfikacji podatkowej, zgodnie z którymi</w:t>
      </w:r>
      <w:r w:rsidRPr="009A3C86">
        <w:rPr>
          <w:rFonts w:ascii="Times New Roman" w:hAnsi="Times New Roman"/>
          <w:sz w:val="24"/>
          <w:szCs w:val="24"/>
        </w:rPr>
        <w:t xml:space="preserve"> podatnicy mają obowiązek złożyć zgłoszenie identyfikacyjne do właściwego naczelnika urzędu skarbowego</w:t>
      </w:r>
      <w:r w:rsidR="000A1406" w:rsidRPr="009A3C86">
        <w:rPr>
          <w:rFonts w:ascii="Times New Roman" w:hAnsi="Times New Roman"/>
          <w:sz w:val="24"/>
          <w:szCs w:val="24"/>
        </w:rPr>
        <w:t>.</w:t>
      </w:r>
      <w:r w:rsidRPr="009A3C86">
        <w:rPr>
          <w:rFonts w:ascii="Times New Roman" w:hAnsi="Times New Roman"/>
          <w:sz w:val="24"/>
          <w:szCs w:val="24"/>
        </w:rPr>
        <w:t xml:space="preserve"> W</w:t>
      </w:r>
      <w:r w:rsidRPr="009A3C86">
        <w:rPr>
          <w:rFonts w:ascii="Times New Roman" w:hAnsi="Times New Roman"/>
          <w:bCs/>
          <w:sz w:val="24"/>
          <w:szCs w:val="24"/>
        </w:rPr>
        <w:t xml:space="preserve">yjątek </w:t>
      </w:r>
      <w:r w:rsidRPr="009A3C86">
        <w:rPr>
          <w:rFonts w:ascii="Times New Roman" w:hAnsi="Times New Roman"/>
          <w:sz w:val="24"/>
          <w:szCs w:val="24"/>
        </w:rPr>
        <w:t>dotyczy</w:t>
      </w:r>
      <w:r w:rsidR="00011CB9" w:rsidRPr="009A3C86">
        <w:rPr>
          <w:rFonts w:ascii="Times New Roman" w:hAnsi="Times New Roman"/>
          <w:sz w:val="24"/>
          <w:szCs w:val="24"/>
        </w:rPr>
        <w:t xml:space="preserve"> podatników będących osobami fizycznymi</w:t>
      </w:r>
      <w:r w:rsidRPr="009A3C86">
        <w:rPr>
          <w:rFonts w:ascii="Times New Roman" w:hAnsi="Times New Roman"/>
          <w:sz w:val="24"/>
          <w:szCs w:val="24"/>
        </w:rPr>
        <w:t>:</w:t>
      </w:r>
    </w:p>
    <w:p w:rsidR="008D7F39" w:rsidRPr="009A3C86" w:rsidRDefault="008D7F39" w:rsidP="00D72E74">
      <w:pPr>
        <w:numPr>
          <w:ilvl w:val="0"/>
          <w:numId w:val="17"/>
        </w:numPr>
        <w:spacing w:after="0" w:line="360" w:lineRule="auto"/>
        <w:jc w:val="both"/>
        <w:rPr>
          <w:rFonts w:ascii="Times New Roman" w:hAnsi="Times New Roman"/>
          <w:sz w:val="24"/>
          <w:szCs w:val="24"/>
        </w:rPr>
      </w:pPr>
      <w:r w:rsidRPr="009A3C86">
        <w:rPr>
          <w:rFonts w:ascii="Times New Roman" w:hAnsi="Times New Roman"/>
          <w:sz w:val="24"/>
          <w:szCs w:val="24"/>
        </w:rPr>
        <w:t xml:space="preserve">objętych </w:t>
      </w:r>
      <w:r w:rsidR="00011CB9" w:rsidRPr="009A3C86">
        <w:rPr>
          <w:rFonts w:ascii="Times New Roman" w:hAnsi="Times New Roman"/>
          <w:sz w:val="24"/>
          <w:szCs w:val="24"/>
        </w:rPr>
        <w:t>ewidencją</w:t>
      </w:r>
      <w:r w:rsidRPr="009A3C86">
        <w:rPr>
          <w:rFonts w:ascii="Times New Roman" w:hAnsi="Times New Roman"/>
          <w:sz w:val="24"/>
          <w:szCs w:val="24"/>
        </w:rPr>
        <w:t xml:space="preserve"> PESEL nieprowadzących działalności gospodarczej</w:t>
      </w:r>
      <w:r w:rsidR="000A1406" w:rsidRPr="009A3C86">
        <w:rPr>
          <w:rFonts w:ascii="Times New Roman" w:hAnsi="Times New Roman"/>
          <w:sz w:val="24"/>
          <w:szCs w:val="24"/>
        </w:rPr>
        <w:t>,</w:t>
      </w:r>
      <w:r w:rsidRPr="009A3C86">
        <w:rPr>
          <w:rFonts w:ascii="Times New Roman" w:hAnsi="Times New Roman"/>
          <w:sz w:val="24"/>
          <w:szCs w:val="24"/>
        </w:rPr>
        <w:t xml:space="preserve"> lub </w:t>
      </w:r>
    </w:p>
    <w:p w:rsidR="008D7F39" w:rsidRPr="009A3C86" w:rsidRDefault="008D7F39" w:rsidP="00D72E74">
      <w:pPr>
        <w:numPr>
          <w:ilvl w:val="0"/>
          <w:numId w:val="17"/>
        </w:numPr>
        <w:spacing w:after="0" w:line="360" w:lineRule="auto"/>
        <w:jc w:val="both"/>
        <w:rPr>
          <w:rFonts w:ascii="Times New Roman" w:hAnsi="Times New Roman"/>
          <w:sz w:val="24"/>
          <w:szCs w:val="24"/>
        </w:rPr>
      </w:pPr>
      <w:r w:rsidRPr="009A3C86">
        <w:rPr>
          <w:rFonts w:ascii="Times New Roman" w:hAnsi="Times New Roman"/>
          <w:sz w:val="24"/>
          <w:szCs w:val="24"/>
        </w:rPr>
        <w:t>niebędących zarejestrowanymi podatnikami podatku od towarów i usług</w:t>
      </w:r>
      <w:r w:rsidR="00DD1E98" w:rsidRPr="009A3C86">
        <w:rPr>
          <w:rFonts w:ascii="Times New Roman" w:hAnsi="Times New Roman"/>
          <w:sz w:val="24"/>
          <w:szCs w:val="24"/>
        </w:rPr>
        <w:t xml:space="preserve"> (</w:t>
      </w:r>
      <w:r w:rsidR="00011CB9" w:rsidRPr="009A3C86">
        <w:rPr>
          <w:rFonts w:ascii="Times New Roman" w:hAnsi="Times New Roman"/>
          <w:b/>
          <w:sz w:val="24"/>
          <w:szCs w:val="24"/>
        </w:rPr>
        <w:t>525</w:t>
      </w:r>
      <w:r w:rsidR="00DD1E98" w:rsidRPr="009A3C86">
        <w:rPr>
          <w:rFonts w:ascii="Times New Roman" w:hAnsi="Times New Roman"/>
          <w:b/>
          <w:sz w:val="24"/>
          <w:szCs w:val="24"/>
        </w:rPr>
        <w:t xml:space="preserve"> § </w:t>
      </w:r>
      <w:r w:rsidR="00011CB9" w:rsidRPr="009A3C86">
        <w:rPr>
          <w:rFonts w:ascii="Times New Roman" w:hAnsi="Times New Roman"/>
          <w:b/>
          <w:sz w:val="24"/>
          <w:szCs w:val="24"/>
        </w:rPr>
        <w:t>2</w:t>
      </w:r>
      <w:r w:rsidR="00DD1E98" w:rsidRPr="009A3C86">
        <w:rPr>
          <w:rFonts w:ascii="Times New Roman" w:hAnsi="Times New Roman"/>
          <w:sz w:val="24"/>
          <w:szCs w:val="24"/>
        </w:rPr>
        <w:t>).</w:t>
      </w:r>
    </w:p>
    <w:p w:rsidR="00DD1E98" w:rsidRPr="009A3C86" w:rsidRDefault="00DD1E98" w:rsidP="008D7F39">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Natomiast podatnicy wykonujący działalność nierejestrowaną, o której mowa w art. 5 ust. 1 ustawy z dnia 6 marca 2018 r. – Prawo przedsiębiorców, będą mogli dokonać zgłoszenia identyfikacyjnego, chyba że odrębne przepisy przewidują obowiązek dokonania takiego zgłoszenia (</w:t>
      </w:r>
      <w:r w:rsidRPr="009A3C86">
        <w:rPr>
          <w:rFonts w:ascii="Times New Roman" w:hAnsi="Times New Roman"/>
          <w:b/>
          <w:sz w:val="24"/>
          <w:szCs w:val="24"/>
        </w:rPr>
        <w:t xml:space="preserve">art. </w:t>
      </w:r>
      <w:r w:rsidR="00011CB9" w:rsidRPr="009A3C86">
        <w:rPr>
          <w:rFonts w:ascii="Times New Roman" w:hAnsi="Times New Roman"/>
          <w:b/>
          <w:sz w:val="24"/>
          <w:szCs w:val="24"/>
        </w:rPr>
        <w:t>525</w:t>
      </w:r>
      <w:r w:rsidRPr="009A3C86">
        <w:rPr>
          <w:rFonts w:ascii="Times New Roman" w:hAnsi="Times New Roman"/>
          <w:b/>
          <w:sz w:val="24"/>
          <w:szCs w:val="24"/>
        </w:rPr>
        <w:t xml:space="preserve"> § </w:t>
      </w:r>
      <w:r w:rsidR="00011CB9" w:rsidRPr="009A3C86">
        <w:rPr>
          <w:rFonts w:ascii="Times New Roman" w:hAnsi="Times New Roman"/>
          <w:b/>
          <w:sz w:val="24"/>
          <w:szCs w:val="24"/>
        </w:rPr>
        <w:t>3</w:t>
      </w:r>
      <w:r w:rsidRPr="009A3C86">
        <w:rPr>
          <w:rFonts w:ascii="Times New Roman" w:hAnsi="Times New Roman"/>
          <w:sz w:val="24"/>
          <w:szCs w:val="24"/>
        </w:rPr>
        <w:t>).</w:t>
      </w:r>
    </w:p>
    <w:p w:rsidR="000A1406"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Z dokumentu „Działalność nierejestrowa. Poradnik praktyczny” opracowanego przez Ministerstwo Przedsiębiorczości i Technologii w październiku 2018 r. wynika, że osoba prowadząca działalność nierejestrową co do zasady nie ma obowiązku uzyskania numeru NIP, ale w niektórych przypadkach szczególne przepisy mogą przewidywać konieczność uzyskania numeru NIP. Propozycja zawarta w </w:t>
      </w:r>
      <w:r w:rsidRPr="009A3C86">
        <w:rPr>
          <w:rFonts w:ascii="Times New Roman" w:hAnsi="Times New Roman"/>
          <w:b/>
          <w:sz w:val="24"/>
          <w:szCs w:val="24"/>
        </w:rPr>
        <w:t xml:space="preserve">art. </w:t>
      </w:r>
      <w:r w:rsidR="000A1406" w:rsidRPr="009A3C86">
        <w:rPr>
          <w:rFonts w:ascii="Times New Roman" w:hAnsi="Times New Roman"/>
          <w:b/>
          <w:sz w:val="24"/>
          <w:szCs w:val="24"/>
        </w:rPr>
        <w:t>525</w:t>
      </w:r>
      <w:r w:rsidRPr="009A3C86">
        <w:rPr>
          <w:rFonts w:ascii="Times New Roman" w:hAnsi="Times New Roman"/>
          <w:b/>
          <w:sz w:val="24"/>
          <w:szCs w:val="24"/>
        </w:rPr>
        <w:t xml:space="preserve"> § 3 </w:t>
      </w:r>
      <w:r w:rsidRPr="009A3C86">
        <w:rPr>
          <w:rFonts w:ascii="Times New Roman" w:hAnsi="Times New Roman"/>
          <w:sz w:val="24"/>
          <w:szCs w:val="24"/>
        </w:rPr>
        <w:t xml:space="preserve">stanowi doprecyzowanie obecnych przepisów w kierunku wskazanym w tym dokumencie. </w:t>
      </w:r>
    </w:p>
    <w:p w:rsidR="008D7F39" w:rsidRPr="009A3C86" w:rsidRDefault="000A1406" w:rsidP="008D7F39">
      <w:pPr>
        <w:spacing w:after="0" w:line="360" w:lineRule="auto"/>
        <w:jc w:val="both"/>
        <w:rPr>
          <w:rFonts w:ascii="Times New Roman" w:hAnsi="Times New Roman"/>
          <w:sz w:val="24"/>
          <w:szCs w:val="24"/>
        </w:rPr>
      </w:pPr>
      <w:r w:rsidRPr="009A3C86">
        <w:rPr>
          <w:rFonts w:ascii="Times New Roman" w:hAnsi="Times New Roman"/>
          <w:sz w:val="24"/>
          <w:szCs w:val="24"/>
        </w:rPr>
        <w:t>Zgłoszenia identyfikacyjnego dokonuje się tylko jeden raz, bez względu na rodzaj oraz liczbę opłacanych przez podatnika podatków, formę opodatkowania, liczbę oraz rodzaj prowadzonej działalności gospodarczej czy liczbę prowadzonych przedsiębiorstw (</w:t>
      </w:r>
      <w:r w:rsidRPr="009A3C86">
        <w:rPr>
          <w:rFonts w:ascii="Times New Roman" w:hAnsi="Times New Roman"/>
          <w:b/>
          <w:sz w:val="24"/>
          <w:szCs w:val="24"/>
        </w:rPr>
        <w:t>art. 525 § 4</w:t>
      </w:r>
      <w:r w:rsidRPr="009A3C86">
        <w:rPr>
          <w:rFonts w:ascii="Times New Roman" w:hAnsi="Times New Roman"/>
          <w:sz w:val="24"/>
          <w:szCs w:val="24"/>
        </w:rPr>
        <w:t xml:space="preserve">). </w:t>
      </w:r>
      <w:r w:rsidR="008D7F39" w:rsidRPr="009A3C86">
        <w:rPr>
          <w:rFonts w:ascii="Times New Roman" w:hAnsi="Times New Roman"/>
          <w:sz w:val="24"/>
          <w:szCs w:val="24"/>
        </w:rPr>
        <w:t xml:space="preserve"> </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Obowiązek identyfikacyjny nie aktualizuje się w przypadku dokonania przez osobę fizyczną objętą rejestrem PESEL określonych czynności podlegających opodatkowaniu akcyzą, ponieważ powstaje on dopiero w przypadku podjęcia działalności gospodarczej, przed dokonaniem pierwszej czynności (</w:t>
      </w:r>
      <w:r w:rsidRPr="009A3C86">
        <w:rPr>
          <w:rFonts w:ascii="Times New Roman" w:hAnsi="Times New Roman"/>
          <w:b/>
          <w:sz w:val="24"/>
          <w:szCs w:val="24"/>
        </w:rPr>
        <w:t xml:space="preserve">art. </w:t>
      </w:r>
      <w:r w:rsidR="000A1406" w:rsidRPr="009A3C86">
        <w:rPr>
          <w:rFonts w:ascii="Times New Roman" w:hAnsi="Times New Roman"/>
          <w:b/>
          <w:sz w:val="24"/>
          <w:szCs w:val="24"/>
        </w:rPr>
        <w:t>531</w:t>
      </w:r>
      <w:r w:rsidRPr="009A3C86">
        <w:rPr>
          <w:rFonts w:ascii="Times New Roman" w:hAnsi="Times New Roman"/>
          <w:b/>
          <w:sz w:val="24"/>
          <w:szCs w:val="24"/>
        </w:rPr>
        <w:t xml:space="preserve"> § 1</w:t>
      </w:r>
      <w:r w:rsidRPr="009A3C86">
        <w:rPr>
          <w:rFonts w:ascii="Times New Roman" w:hAnsi="Times New Roman"/>
          <w:sz w:val="24"/>
          <w:szCs w:val="24"/>
        </w:rPr>
        <w:t xml:space="preserve">). </w:t>
      </w:r>
    </w:p>
    <w:p w:rsidR="008D7F39" w:rsidRPr="009A3C86" w:rsidRDefault="008D7F39" w:rsidP="008D7F39">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0A1406" w:rsidRPr="009A3C86">
        <w:rPr>
          <w:rFonts w:ascii="Times New Roman" w:hAnsi="Times New Roman"/>
          <w:b/>
          <w:sz w:val="24"/>
          <w:szCs w:val="24"/>
        </w:rPr>
        <w:t>528</w:t>
      </w:r>
      <w:r w:rsidRPr="009A3C86">
        <w:rPr>
          <w:rFonts w:ascii="Times New Roman" w:hAnsi="Times New Roman"/>
          <w:sz w:val="24"/>
          <w:szCs w:val="24"/>
        </w:rPr>
        <w:t xml:space="preserve"> wprowadza dodatkowe elementy w zgłoszeniu identyfikacyjnym podatnika będącego użytkownikiem portalu, podatnika będącego zarejestrowanym użytkownikiem konta ePUAP oraz przedsiębiorców w rozumieniu przepisów ustawy z dnia 6 marca 2018 r. – Prawo przedsiębiorców</w:t>
      </w:r>
      <w:r w:rsidR="00256246" w:rsidRPr="009A3C86">
        <w:rPr>
          <w:rFonts w:ascii="Times New Roman" w:hAnsi="Times New Roman"/>
          <w:sz w:val="24"/>
          <w:szCs w:val="24"/>
        </w:rPr>
        <w:t>, z wyłączeniem mikroprzedsiębiorców</w:t>
      </w:r>
      <w:r w:rsidR="00230840" w:rsidRPr="009A3C86">
        <w:rPr>
          <w:rFonts w:ascii="Times New Roman" w:hAnsi="Times New Roman"/>
          <w:sz w:val="24"/>
          <w:szCs w:val="24"/>
        </w:rPr>
        <w:t>.</w:t>
      </w:r>
      <w:r w:rsidRPr="009A3C86">
        <w:rPr>
          <w:rFonts w:ascii="Times New Roman" w:hAnsi="Times New Roman"/>
          <w:sz w:val="24"/>
          <w:szCs w:val="24"/>
        </w:rPr>
        <w:t xml:space="preserve"> </w:t>
      </w:r>
      <w:r w:rsidRPr="009A3C86">
        <w:rPr>
          <w:rFonts w:ascii="Times New Roman" w:hAnsi="Times New Roman"/>
          <w:bCs/>
          <w:sz w:val="24"/>
          <w:szCs w:val="24"/>
        </w:rPr>
        <w:t xml:space="preserve">Ten dodatkowy element to adres elektroniczny. Przepis ten koresponduje z art. </w:t>
      </w:r>
      <w:r w:rsidR="00F277DE" w:rsidRPr="009A3C86">
        <w:rPr>
          <w:rFonts w:ascii="Times New Roman" w:hAnsi="Times New Roman"/>
          <w:bCs/>
          <w:sz w:val="24"/>
          <w:szCs w:val="24"/>
        </w:rPr>
        <w:t>331</w:t>
      </w:r>
      <w:r w:rsidRPr="009A3C86">
        <w:rPr>
          <w:rFonts w:ascii="Times New Roman" w:hAnsi="Times New Roman"/>
          <w:bCs/>
          <w:sz w:val="24"/>
          <w:szCs w:val="24"/>
        </w:rPr>
        <w:t xml:space="preserve"> projektu, w którym wskazano podmioty, którym doręczanie pism za pomocą środków komunikacji elektronicznej jest zasadą. </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bCs/>
          <w:sz w:val="24"/>
          <w:szCs w:val="24"/>
        </w:rPr>
        <w:t>Należy zapewnić samorządowym organom podatkowym odpowiedni dostęp do CRP KEP celem prawidłowej realizacji postanowień przepisów regulujących doręczanie pism określonym podmiotom za pomocą środków komunikacji elektronicznej.</w:t>
      </w:r>
      <w:r w:rsidR="000E15CD" w:rsidRPr="009A3C86">
        <w:rPr>
          <w:rFonts w:ascii="Times New Roman" w:eastAsiaTheme="minorEastAsia" w:hAnsi="Times New Roman" w:cs="Arial"/>
          <w:sz w:val="24"/>
          <w:szCs w:val="20"/>
          <w:lang w:eastAsia="pl-PL"/>
        </w:rPr>
        <w:t xml:space="preserve"> </w:t>
      </w:r>
      <w:r w:rsidR="000E15CD" w:rsidRPr="009A3C86">
        <w:rPr>
          <w:rFonts w:ascii="Times New Roman" w:hAnsi="Times New Roman"/>
          <w:bCs/>
          <w:sz w:val="24"/>
          <w:szCs w:val="24"/>
        </w:rPr>
        <w:t>CRP KEP udostępni za pośrednictwem systemu teleinformatycznego administracji podatkowej samorządowym organom podatkowym, dane zawarte w CRP KEP dotyczące podatników i płatników, a odnoszące się do ich adresów zamieszkania lub siedziby w sprawach należących do właściwości tych organów lub w celu ustalenia ich właściwości (</w:t>
      </w:r>
      <w:r w:rsidR="000E15CD" w:rsidRPr="009A3C86">
        <w:rPr>
          <w:rFonts w:ascii="Times New Roman" w:hAnsi="Times New Roman"/>
          <w:b/>
          <w:bCs/>
          <w:sz w:val="24"/>
          <w:szCs w:val="24"/>
        </w:rPr>
        <w:t>art. 113 § 7</w:t>
      </w:r>
      <w:r w:rsidR="000E15CD" w:rsidRPr="009A3C86">
        <w:rPr>
          <w:rFonts w:ascii="Times New Roman" w:hAnsi="Times New Roman"/>
          <w:bCs/>
          <w:sz w:val="24"/>
          <w:szCs w:val="24"/>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2. Jednocześnie proponuje się pozostawienie kazuistycznych regulacji odnoszących się do poszczególnych grup podatników w związku z realizacją przez nich obowiązku identyfikacyjnego - samodzielnie albo przez pełnomocnika, względnie kuratora. Poszczególne przepisy stanowią w tych wypadkach przepisy o charakterze czysto technicznym, wskazują </w:t>
      </w:r>
      <w:r w:rsidRPr="009A3C86">
        <w:rPr>
          <w:rFonts w:ascii="Times New Roman" w:hAnsi="Times New Roman"/>
          <w:sz w:val="24"/>
          <w:szCs w:val="24"/>
        </w:rPr>
        <w:lastRenderedPageBreak/>
        <w:t>bowiem dane, które należy podać w przypadku zgłoszenia, w zależności od podmiotu, który dokonuje tej czynności (</w:t>
      </w:r>
      <w:r w:rsidRPr="009A3C86">
        <w:rPr>
          <w:rFonts w:ascii="Times New Roman" w:hAnsi="Times New Roman"/>
          <w:b/>
          <w:sz w:val="24"/>
          <w:szCs w:val="24"/>
        </w:rPr>
        <w:t xml:space="preserve">art. </w:t>
      </w:r>
      <w:r w:rsidR="00F277DE" w:rsidRPr="009A3C86">
        <w:rPr>
          <w:rFonts w:ascii="Times New Roman" w:hAnsi="Times New Roman"/>
          <w:b/>
          <w:sz w:val="24"/>
          <w:szCs w:val="24"/>
        </w:rPr>
        <w:t>527 i 529</w:t>
      </w:r>
      <w:r w:rsidRPr="009A3C86">
        <w:rPr>
          <w:rFonts w:ascii="Times New Roman" w:hAnsi="Times New Roman"/>
          <w:sz w:val="24"/>
          <w:szCs w:val="24"/>
        </w:rPr>
        <w:t xml:space="preserve">). Dla ułatwienia dokonania zgłoszenia identyfikacyjnego w </w:t>
      </w:r>
      <w:r w:rsidRPr="009A3C86">
        <w:rPr>
          <w:rFonts w:ascii="Times New Roman" w:hAnsi="Times New Roman"/>
          <w:b/>
          <w:sz w:val="24"/>
          <w:szCs w:val="24"/>
        </w:rPr>
        <w:t xml:space="preserve">art. </w:t>
      </w:r>
      <w:r w:rsidR="00F277DE" w:rsidRPr="009A3C86">
        <w:rPr>
          <w:rFonts w:ascii="Times New Roman" w:hAnsi="Times New Roman"/>
          <w:b/>
          <w:sz w:val="24"/>
          <w:szCs w:val="24"/>
        </w:rPr>
        <w:t>529</w:t>
      </w:r>
      <w:r w:rsidRPr="009A3C86">
        <w:rPr>
          <w:rFonts w:ascii="Times New Roman" w:hAnsi="Times New Roman"/>
          <w:b/>
          <w:sz w:val="24"/>
          <w:szCs w:val="24"/>
        </w:rPr>
        <w:t xml:space="preserve"> § </w:t>
      </w:r>
      <w:r w:rsidR="00F277DE" w:rsidRPr="009A3C86">
        <w:rPr>
          <w:rFonts w:ascii="Times New Roman" w:hAnsi="Times New Roman"/>
          <w:b/>
          <w:sz w:val="24"/>
          <w:szCs w:val="24"/>
        </w:rPr>
        <w:t>4</w:t>
      </w:r>
      <w:r w:rsidRPr="009A3C86">
        <w:rPr>
          <w:rFonts w:ascii="Times New Roman" w:hAnsi="Times New Roman"/>
          <w:sz w:val="24"/>
          <w:szCs w:val="24"/>
        </w:rPr>
        <w:t xml:space="preserve"> zawarto obligatoryjną delegację dla ministra właściwego do spraw finansów publicznych do określenia w drodze rozporządzenia wzorów formularzy zgłoszeń identyfikacyjnych i aktualizacyjnych. Podmioty podlegające obowiązkowi ewidencyjnemu będą mogły wykorzystać w tym celu środki komunikacji elektronicznej.</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3. Proponowane przepisy </w:t>
      </w:r>
      <w:r w:rsidRPr="009A3C86">
        <w:rPr>
          <w:rFonts w:ascii="Times New Roman" w:hAnsi="Times New Roman"/>
          <w:b/>
          <w:sz w:val="24"/>
          <w:szCs w:val="24"/>
        </w:rPr>
        <w:t xml:space="preserve">art. </w:t>
      </w:r>
      <w:r w:rsidR="00F277DE" w:rsidRPr="009A3C86">
        <w:rPr>
          <w:rFonts w:ascii="Times New Roman" w:hAnsi="Times New Roman"/>
          <w:b/>
          <w:sz w:val="24"/>
          <w:szCs w:val="24"/>
        </w:rPr>
        <w:t>533</w:t>
      </w:r>
      <w:r w:rsidRPr="009A3C86">
        <w:rPr>
          <w:rFonts w:ascii="Times New Roman" w:hAnsi="Times New Roman"/>
          <w:sz w:val="24"/>
          <w:szCs w:val="24"/>
        </w:rPr>
        <w:t xml:space="preserve"> zawierają natomiast regulacje dotyczące samego procesu nadawania NIP. Uproszczony tryb nadawania identyfikatora podatkowego polega na nadaniu go przez Szefa Krajowej Administracji Skarbowej, jako organu prowadzącego Centralny Rejestr Podmiotów Krajowej Ewidencji Podatników (CRP KEP) i administratora danych, </w:t>
      </w:r>
      <w:r w:rsidRPr="009A3C86">
        <w:rPr>
          <w:rFonts w:ascii="Times New Roman" w:hAnsi="Times New Roman"/>
          <w:bCs/>
          <w:sz w:val="24"/>
          <w:szCs w:val="24"/>
        </w:rPr>
        <w:t>w formie czynności materialno-technicznej,</w:t>
      </w:r>
      <w:r w:rsidRPr="009A3C86">
        <w:rPr>
          <w:rFonts w:ascii="Times New Roman" w:hAnsi="Times New Roman"/>
          <w:sz w:val="24"/>
          <w:szCs w:val="24"/>
        </w:rPr>
        <w:t xml:space="preserve"> po dokonaniu zgłoszenia identyfikacyjnego. W tym celu Szef KAS posługuje się CRP KEP, który prowadzi w postaci elektronicznej i uzupełnia w nim dane dotyczące KRS, numeru identyfikacyjnego REGON, numeru PESEL oraz rodzaju i numeru dowodu tożsamości na podstawie informacji otrzymanych od organów prowadzących rejestry urzędowe zawierające te dane. W projektowanych przepisach nie przywrócono zatem obowiązującej do końca 2011 roku reguły nadawania NIP w formie decyzji - po przeprowadzeniu postępowania jurysdykcyjnego, z zachowaniem wszelkich gwarancji procesowych przysługujących stronie. Po nadaniu NIP przez Szefa KAS właściwy naczelnik urzędu skarbowego jest jednak zobligowany do niezwłocznego wydania zaświadczenia potwierdzającego nadanie NIP, nie później jednak niż w terminie 3 dni od dnia wpływu poprawnego zgłoszenia identyfikacyjnego </w:t>
      </w:r>
      <w:r w:rsidRPr="009A3C86">
        <w:rPr>
          <w:rFonts w:ascii="Times New Roman" w:hAnsi="Times New Roman"/>
          <w:b/>
          <w:sz w:val="24"/>
          <w:szCs w:val="24"/>
        </w:rPr>
        <w:t>(art.</w:t>
      </w:r>
      <w:r w:rsidR="00A02E6B" w:rsidRPr="009A3C86">
        <w:rPr>
          <w:rFonts w:ascii="Times New Roman" w:hAnsi="Times New Roman"/>
          <w:b/>
          <w:sz w:val="24"/>
          <w:szCs w:val="24"/>
        </w:rPr>
        <w:t xml:space="preserve"> </w:t>
      </w:r>
      <w:r w:rsidR="00F277DE" w:rsidRPr="009A3C86">
        <w:rPr>
          <w:rFonts w:ascii="Times New Roman" w:hAnsi="Times New Roman"/>
          <w:b/>
          <w:sz w:val="24"/>
          <w:szCs w:val="24"/>
        </w:rPr>
        <w:t>534 § 3</w:t>
      </w:r>
      <w:r w:rsidRPr="009A3C86">
        <w:rPr>
          <w:rFonts w:ascii="Times New Roman" w:hAnsi="Times New Roman"/>
          <w:sz w:val="24"/>
          <w:szCs w:val="24"/>
        </w:rPr>
        <w:t>). Ustawa</w:t>
      </w:r>
      <w:r w:rsidRPr="009A3C86">
        <w:rPr>
          <w:rFonts w:ascii="Times New Roman" w:hAnsi="Times New Roman"/>
          <w:bCs/>
          <w:sz w:val="24"/>
          <w:szCs w:val="24"/>
        </w:rPr>
        <w:t xml:space="preserve"> </w:t>
      </w:r>
      <w:r w:rsidRPr="009A3C86">
        <w:rPr>
          <w:rFonts w:ascii="Times New Roman" w:hAnsi="Times New Roman"/>
          <w:sz w:val="24"/>
          <w:szCs w:val="24"/>
        </w:rPr>
        <w:t>precyzować też będzie moment potwierdzenia nadania NIP dla podmiotów wpisanych do Krajowego Rejestru Sądowego lub Centralnej Ewidencji i Informacji o Działalności Gospodarczej, tj. z chwilą ujawnienia tego faktu w tych rejestrach.</w:t>
      </w:r>
    </w:p>
    <w:p w:rsidR="00FD33DA" w:rsidRPr="009A3C86" w:rsidRDefault="00FD33DA"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Należy również wskazać na kwestie związane z </w:t>
      </w:r>
      <w:r w:rsidR="009032C7" w:rsidRPr="009A3C86">
        <w:rPr>
          <w:rFonts w:ascii="Times New Roman" w:hAnsi="Times New Roman"/>
          <w:sz w:val="24"/>
          <w:szCs w:val="24"/>
        </w:rPr>
        <w:t>przekazaniem</w:t>
      </w:r>
      <w:r w:rsidR="000E148A" w:rsidRPr="009A3C86">
        <w:rPr>
          <w:rFonts w:ascii="Times New Roman" w:hAnsi="Times New Roman"/>
          <w:sz w:val="24"/>
          <w:szCs w:val="24"/>
        </w:rPr>
        <w:t xml:space="preserve"> do Krajowego Rejestru Są</w:t>
      </w:r>
      <w:r w:rsidR="009032C7" w:rsidRPr="009A3C86">
        <w:rPr>
          <w:rFonts w:ascii="Times New Roman" w:hAnsi="Times New Roman"/>
          <w:sz w:val="24"/>
          <w:szCs w:val="24"/>
        </w:rPr>
        <w:t xml:space="preserve">dowego i CEIDG informacji </w:t>
      </w:r>
      <w:r w:rsidR="003C4515" w:rsidRPr="009A3C86">
        <w:rPr>
          <w:rFonts w:ascii="Times New Roman" w:hAnsi="Times New Roman"/>
          <w:sz w:val="24"/>
          <w:szCs w:val="24"/>
        </w:rPr>
        <w:t>o</w:t>
      </w:r>
      <w:r w:rsidR="009032C7" w:rsidRPr="009A3C86">
        <w:rPr>
          <w:rFonts w:ascii="Times New Roman" w:hAnsi="Times New Roman"/>
          <w:sz w:val="24"/>
          <w:szCs w:val="24"/>
        </w:rPr>
        <w:t xml:space="preserve"> </w:t>
      </w:r>
      <w:r w:rsidRPr="009A3C86">
        <w:rPr>
          <w:rFonts w:ascii="Times New Roman" w:hAnsi="Times New Roman"/>
          <w:sz w:val="24"/>
          <w:szCs w:val="24"/>
        </w:rPr>
        <w:t>nadani</w:t>
      </w:r>
      <w:r w:rsidR="003C4515" w:rsidRPr="009A3C86">
        <w:rPr>
          <w:rFonts w:ascii="Times New Roman" w:hAnsi="Times New Roman"/>
          <w:sz w:val="24"/>
          <w:szCs w:val="24"/>
        </w:rPr>
        <w:t>u</w:t>
      </w:r>
      <w:r w:rsidRPr="009A3C86">
        <w:rPr>
          <w:rFonts w:ascii="Times New Roman" w:hAnsi="Times New Roman"/>
          <w:sz w:val="24"/>
          <w:szCs w:val="24"/>
        </w:rPr>
        <w:t xml:space="preserve"> NIP przy rozpoczęciu działalności gospodarczej. Taka informacja musi być przekazana przez CRP KEP </w:t>
      </w:r>
      <w:r w:rsidR="003C4515" w:rsidRPr="009A3C86">
        <w:rPr>
          <w:rFonts w:ascii="Times New Roman" w:hAnsi="Times New Roman"/>
          <w:sz w:val="24"/>
          <w:szCs w:val="24"/>
        </w:rPr>
        <w:t>nie później niż</w:t>
      </w:r>
      <w:r w:rsidRPr="009A3C86">
        <w:rPr>
          <w:rFonts w:ascii="Times New Roman" w:hAnsi="Times New Roman"/>
          <w:sz w:val="24"/>
          <w:szCs w:val="24"/>
        </w:rPr>
        <w:t xml:space="preserve"> następnego dnia roboczego</w:t>
      </w:r>
      <w:r w:rsidR="009032C7" w:rsidRPr="009A3C86">
        <w:rPr>
          <w:rFonts w:ascii="Times New Roman" w:hAnsi="Times New Roman"/>
          <w:sz w:val="24"/>
          <w:szCs w:val="24"/>
        </w:rPr>
        <w:t xml:space="preserve"> (</w:t>
      </w:r>
      <w:r w:rsidR="009032C7" w:rsidRPr="009A3C86">
        <w:rPr>
          <w:rFonts w:ascii="Times New Roman" w:hAnsi="Times New Roman"/>
          <w:b/>
          <w:sz w:val="24"/>
          <w:szCs w:val="24"/>
        </w:rPr>
        <w:t xml:space="preserve">art. 533 § </w:t>
      </w:r>
      <w:r w:rsidR="003C4515" w:rsidRPr="009A3C86">
        <w:rPr>
          <w:rFonts w:ascii="Times New Roman" w:hAnsi="Times New Roman"/>
          <w:b/>
          <w:sz w:val="24"/>
          <w:szCs w:val="24"/>
        </w:rPr>
        <w:t>4</w:t>
      </w:r>
      <w:r w:rsidR="009032C7" w:rsidRPr="009A3C86">
        <w:rPr>
          <w:rFonts w:ascii="Times New Roman" w:hAnsi="Times New Roman"/>
          <w:sz w:val="24"/>
          <w:szCs w:val="24"/>
        </w:rPr>
        <w:t>)</w:t>
      </w:r>
      <w:r w:rsidRPr="009A3C86">
        <w:rPr>
          <w:rFonts w:ascii="Times New Roman" w:hAnsi="Times New Roman"/>
          <w:sz w:val="24"/>
          <w:szCs w:val="24"/>
        </w:rPr>
        <w:t xml:space="preserve">. </w:t>
      </w:r>
      <w:r w:rsidR="000E148A" w:rsidRPr="009A3C86">
        <w:rPr>
          <w:rFonts w:ascii="Times New Roman" w:hAnsi="Times New Roman"/>
          <w:sz w:val="24"/>
          <w:szCs w:val="24"/>
        </w:rPr>
        <w:t>Przekazanie do Krajowego Rejestru Sądowego informacji o nadaniu NIP może nastąpić w terminie 3 dni roboczych</w:t>
      </w:r>
      <w:r w:rsidR="000E148A" w:rsidRPr="009A3C86" w:rsidDel="009032C7">
        <w:rPr>
          <w:rFonts w:ascii="Times New Roman" w:hAnsi="Times New Roman"/>
          <w:sz w:val="24"/>
          <w:szCs w:val="24"/>
        </w:rPr>
        <w:t xml:space="preserve"> </w:t>
      </w:r>
      <w:r w:rsidR="000E148A" w:rsidRPr="009A3C86">
        <w:rPr>
          <w:rFonts w:ascii="Times New Roman" w:hAnsi="Times New Roman"/>
          <w:sz w:val="24"/>
          <w:szCs w:val="24"/>
        </w:rPr>
        <w:t>w</w:t>
      </w:r>
      <w:r w:rsidRPr="009A3C86">
        <w:rPr>
          <w:rFonts w:ascii="Times New Roman" w:hAnsi="Times New Roman"/>
          <w:sz w:val="24"/>
          <w:szCs w:val="24"/>
        </w:rPr>
        <w:t xml:space="preserve"> przypadku</w:t>
      </w:r>
      <w:r w:rsidR="009032C7" w:rsidRPr="009A3C86">
        <w:rPr>
          <w:rFonts w:ascii="Times New Roman" w:hAnsi="Times New Roman"/>
          <w:sz w:val="24"/>
          <w:szCs w:val="24"/>
        </w:rPr>
        <w:t xml:space="preserve"> przeprowadzenia postępowania wyjaśniającego w sprawie istnienia przesłanek</w:t>
      </w:r>
      <w:r w:rsidRPr="009A3C86">
        <w:rPr>
          <w:rFonts w:ascii="Times New Roman" w:hAnsi="Times New Roman"/>
          <w:sz w:val="24"/>
          <w:szCs w:val="24"/>
        </w:rPr>
        <w:t xml:space="preserve"> określon</w:t>
      </w:r>
      <w:r w:rsidR="009032C7" w:rsidRPr="009A3C86">
        <w:rPr>
          <w:rFonts w:ascii="Times New Roman" w:hAnsi="Times New Roman"/>
          <w:sz w:val="24"/>
          <w:szCs w:val="24"/>
        </w:rPr>
        <w:t>ych</w:t>
      </w:r>
      <w:r w:rsidRPr="009A3C86">
        <w:rPr>
          <w:rFonts w:ascii="Times New Roman" w:hAnsi="Times New Roman"/>
          <w:sz w:val="24"/>
          <w:szCs w:val="24"/>
        </w:rPr>
        <w:t xml:space="preserve"> w </w:t>
      </w:r>
      <w:r w:rsidRPr="009A3C86">
        <w:rPr>
          <w:rFonts w:ascii="Times New Roman" w:hAnsi="Times New Roman"/>
          <w:b/>
          <w:sz w:val="24"/>
          <w:szCs w:val="24"/>
        </w:rPr>
        <w:t>art</w:t>
      </w:r>
      <w:r w:rsidR="00F277DE" w:rsidRPr="009A3C86">
        <w:rPr>
          <w:rFonts w:ascii="Times New Roman" w:hAnsi="Times New Roman"/>
          <w:b/>
          <w:sz w:val="24"/>
          <w:szCs w:val="24"/>
        </w:rPr>
        <w:t>. 535</w:t>
      </w:r>
      <w:r w:rsidRPr="009A3C86">
        <w:rPr>
          <w:rFonts w:ascii="Times New Roman" w:hAnsi="Times New Roman"/>
          <w:b/>
          <w:sz w:val="24"/>
          <w:szCs w:val="24"/>
        </w:rPr>
        <w:t xml:space="preserve"> § 1</w:t>
      </w:r>
      <w:r w:rsidRPr="009A3C86">
        <w:rPr>
          <w:rFonts w:ascii="Times New Roman" w:hAnsi="Times New Roman"/>
          <w:sz w:val="24"/>
          <w:szCs w:val="24"/>
        </w:rPr>
        <w:t xml:space="preserve"> </w:t>
      </w:r>
      <w:r w:rsidR="00C920AF" w:rsidRPr="009A3C86">
        <w:rPr>
          <w:rFonts w:ascii="Times New Roman" w:hAnsi="Times New Roman"/>
          <w:b/>
          <w:sz w:val="24"/>
          <w:szCs w:val="24"/>
        </w:rPr>
        <w:t>pkt 3</w:t>
      </w:r>
      <w:r w:rsidR="00C920AF" w:rsidRPr="009A3C86">
        <w:rPr>
          <w:rFonts w:ascii="Times New Roman" w:hAnsi="Times New Roman"/>
          <w:sz w:val="24"/>
          <w:szCs w:val="24"/>
        </w:rPr>
        <w:t xml:space="preserve"> </w:t>
      </w:r>
      <w:r w:rsidR="003C4515" w:rsidRPr="009A3C86">
        <w:rPr>
          <w:rFonts w:ascii="Times New Roman" w:hAnsi="Times New Roman"/>
          <w:sz w:val="24"/>
          <w:szCs w:val="24"/>
        </w:rPr>
        <w:t>(</w:t>
      </w:r>
      <w:r w:rsidR="003C4515" w:rsidRPr="009A3C86">
        <w:rPr>
          <w:rFonts w:ascii="Times New Roman" w:hAnsi="Times New Roman"/>
          <w:b/>
          <w:sz w:val="24"/>
          <w:szCs w:val="24"/>
        </w:rPr>
        <w:t>art. 533 §</w:t>
      </w:r>
      <w:r w:rsidR="00C920AF" w:rsidRPr="009A3C86">
        <w:rPr>
          <w:rFonts w:ascii="Times New Roman" w:hAnsi="Times New Roman"/>
          <w:b/>
          <w:sz w:val="24"/>
          <w:szCs w:val="24"/>
        </w:rPr>
        <w:t> </w:t>
      </w:r>
      <w:r w:rsidR="003C4515" w:rsidRPr="009A3C86">
        <w:rPr>
          <w:rFonts w:ascii="Times New Roman" w:hAnsi="Times New Roman"/>
          <w:b/>
          <w:sz w:val="24"/>
          <w:szCs w:val="24"/>
        </w:rPr>
        <w:t>5</w:t>
      </w:r>
      <w:r w:rsidR="003C4515" w:rsidRPr="009A3C86">
        <w:rPr>
          <w:rFonts w:ascii="Times New Roman" w:hAnsi="Times New Roman"/>
          <w:sz w:val="24"/>
          <w:szCs w:val="24"/>
        </w:rPr>
        <w:t>)</w:t>
      </w:r>
      <w:r w:rsidRPr="009A3C86">
        <w:rPr>
          <w:rFonts w:ascii="Times New Roman" w:hAnsi="Times New Roman"/>
          <w:sz w:val="24"/>
          <w:szCs w:val="24"/>
        </w:rPr>
        <w:t xml:space="preserve">. W tym </w:t>
      </w:r>
      <w:r w:rsidR="000E148A" w:rsidRPr="009A3C86">
        <w:rPr>
          <w:rFonts w:ascii="Times New Roman" w:hAnsi="Times New Roman"/>
          <w:sz w:val="24"/>
          <w:szCs w:val="24"/>
        </w:rPr>
        <w:t xml:space="preserve">zakresie zachowano dotychczasowe rozwiązania wynikające z art. 8a ust. 4 i 5 ustawy o NIP. </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4. W nowych przepisach ordynacji podatkowej nałożono również obowiązek dokonania zgłoszenia identyfikacyjnego na podatników, którzy nie posiadają identyfikatora podatkowego, </w:t>
      </w:r>
      <w:r w:rsidRPr="009A3C86">
        <w:rPr>
          <w:rFonts w:ascii="Times New Roman" w:hAnsi="Times New Roman"/>
          <w:sz w:val="24"/>
          <w:szCs w:val="24"/>
        </w:rPr>
        <w:lastRenderedPageBreak/>
        <w:t>ale uzyskali przychody na terytorium Rzeczpospolitej Polskiej ze stosunku pracy, umowy zlecenia, umowy o dzieło lub innej o podobnym charakterze, a także działalności wykonywanej osobiście. Takie zgłoszenie może dokonać za pośrednictwem płatnika</w:t>
      </w:r>
      <w:r w:rsidR="00F66658" w:rsidRPr="009A3C86">
        <w:rPr>
          <w:rFonts w:ascii="Times New Roman" w:hAnsi="Times New Roman"/>
          <w:sz w:val="24"/>
          <w:szCs w:val="24"/>
        </w:rPr>
        <w:t xml:space="preserve"> </w:t>
      </w:r>
      <w:r w:rsidR="00F66658" w:rsidRPr="009A3C86">
        <w:rPr>
          <w:rFonts w:ascii="Times New Roman" w:hAnsi="Times New Roman"/>
          <w:b/>
          <w:sz w:val="24"/>
          <w:szCs w:val="24"/>
        </w:rPr>
        <w:t>(art. 531 § 3</w:t>
      </w:r>
      <w:r w:rsidR="00F66658" w:rsidRPr="009A3C86">
        <w:rPr>
          <w:rFonts w:ascii="Times New Roman" w:hAnsi="Times New Roman"/>
          <w:sz w:val="24"/>
          <w:szCs w:val="24"/>
        </w:rPr>
        <w:t>)</w:t>
      </w:r>
      <w:r w:rsidRPr="009A3C86">
        <w:rPr>
          <w:rFonts w:ascii="Times New Roman" w:hAnsi="Times New Roman"/>
          <w:sz w:val="24"/>
          <w:szCs w:val="24"/>
        </w:rPr>
        <w:t xml:space="preserve">. </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5. W </w:t>
      </w:r>
      <w:r w:rsidRPr="009A3C86">
        <w:rPr>
          <w:rFonts w:ascii="Times New Roman" w:hAnsi="Times New Roman"/>
          <w:b/>
          <w:sz w:val="24"/>
          <w:szCs w:val="24"/>
        </w:rPr>
        <w:t xml:space="preserve">art. </w:t>
      </w:r>
      <w:r w:rsidR="00F66658" w:rsidRPr="009A3C86">
        <w:rPr>
          <w:rFonts w:ascii="Times New Roman" w:hAnsi="Times New Roman"/>
          <w:b/>
          <w:sz w:val="24"/>
          <w:szCs w:val="24"/>
        </w:rPr>
        <w:t>535</w:t>
      </w:r>
      <w:r w:rsidRPr="009A3C86">
        <w:rPr>
          <w:rFonts w:ascii="Times New Roman" w:hAnsi="Times New Roman"/>
          <w:sz w:val="24"/>
          <w:szCs w:val="24"/>
        </w:rPr>
        <w:t xml:space="preserve"> projektu zawarto natomiast zamknięty katalog przesłanek, zarówno podmiotowych, jak i przedmiotowych, do wydania decyzji o odmowie nadania NIP oraz o unieważnieniu NIP. Naczelnik urzędu skarbowego odmawia nadania NIP w przypadku:</w:t>
      </w:r>
    </w:p>
    <w:p w:rsidR="008D7F39" w:rsidRPr="009A3C86" w:rsidRDefault="008D7F39" w:rsidP="00D72E74">
      <w:pPr>
        <w:numPr>
          <w:ilvl w:val="0"/>
          <w:numId w:val="14"/>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braku możliwości potwierdzenia tożsamości lub istnienia podmiotu,</w:t>
      </w:r>
    </w:p>
    <w:p w:rsidR="008D7F39" w:rsidRPr="009A3C86" w:rsidRDefault="008D7F39" w:rsidP="00D72E74">
      <w:pPr>
        <w:numPr>
          <w:ilvl w:val="0"/>
          <w:numId w:val="14"/>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stwierdzenia, że dokonane zgłoszenie nie spełnia wymogów określonych dla tego zgłoszenia,</w:t>
      </w:r>
    </w:p>
    <w:p w:rsidR="008D7F39" w:rsidRPr="009A3C86" w:rsidRDefault="008D7F39" w:rsidP="00D72E74">
      <w:pPr>
        <w:numPr>
          <w:ilvl w:val="0"/>
          <w:numId w:val="14"/>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ponownego wystąpienia o nadanie NIP lub wystąpienia o nadanie NIP przez podatnika będącego osobą fizyczną objętą rejestrem PESEL nieprowadzącą działalności gospodarczej lub niebędącą zarejestrowanym podatnikiem VAT,</w:t>
      </w:r>
    </w:p>
    <w:p w:rsidR="008D7F39" w:rsidRPr="009A3C86" w:rsidRDefault="008D7F39" w:rsidP="00D72E74">
      <w:pPr>
        <w:numPr>
          <w:ilvl w:val="0"/>
          <w:numId w:val="14"/>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ustalenia przez organ podatkowy, że dane adresowe siedziby lub miejsca wykonywania działalności gospodarczej podatnika są fałszywe, fikcyjne</w:t>
      </w:r>
      <w:r w:rsidRPr="009A3C86">
        <w:rPr>
          <w:rFonts w:ascii="Times New Roman" w:eastAsia="Times New Roman" w:hAnsi="Times New Roman"/>
          <w:kern w:val="3"/>
          <w:sz w:val="24"/>
          <w:szCs w:val="24"/>
          <w:lang w:eastAsia="pl-PL"/>
        </w:rPr>
        <w:t xml:space="preserve"> lub wskazany adres siedziby nie spełnia warunków </w:t>
      </w:r>
      <w:r w:rsidR="00D10093" w:rsidRPr="009A3C86">
        <w:rPr>
          <w:rFonts w:ascii="Times New Roman" w:eastAsia="Times New Roman" w:hAnsi="Times New Roman"/>
          <w:kern w:val="3"/>
          <w:sz w:val="24"/>
          <w:szCs w:val="24"/>
          <w:lang w:eastAsia="pl-PL"/>
        </w:rPr>
        <w:t>do</w:t>
      </w:r>
      <w:r w:rsidRPr="009A3C86">
        <w:rPr>
          <w:rFonts w:ascii="Times New Roman" w:eastAsia="Times New Roman" w:hAnsi="Times New Roman"/>
          <w:kern w:val="3"/>
          <w:sz w:val="24"/>
          <w:szCs w:val="24"/>
          <w:lang w:eastAsia="pl-PL"/>
        </w:rPr>
        <w:t xml:space="preserve"> uznania go za faktyczną siedzibę podatnika,</w:t>
      </w:r>
    </w:p>
    <w:p w:rsidR="008D7F39" w:rsidRPr="009A3C86" w:rsidRDefault="008D7F39" w:rsidP="00D72E74">
      <w:pPr>
        <w:numPr>
          <w:ilvl w:val="0"/>
          <w:numId w:val="14"/>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wystąpienia o nadanie NIP przez osoby fizyczne objęte rejestrem PESEL nieprowadzące działalności gospodarczej lub niebędące zarejestrowanymi podatnikami podatku od towarów i usług.</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W przypadku natomiast wielokrotnego nadania NIP (który może być nadany jednokrotnie) lub nadania NIP na podstawie fałszywych lub fikcyjnych danych</w:t>
      </w:r>
      <w:r w:rsidR="00FE4B09" w:rsidRPr="009A3C86">
        <w:rPr>
          <w:rFonts w:ascii="Times New Roman" w:hAnsi="Times New Roman"/>
          <w:sz w:val="24"/>
          <w:szCs w:val="24"/>
        </w:rPr>
        <w:t>, w tym danych</w:t>
      </w:r>
      <w:r w:rsidRPr="009A3C86">
        <w:rPr>
          <w:rFonts w:ascii="Times New Roman" w:hAnsi="Times New Roman"/>
          <w:sz w:val="24"/>
          <w:szCs w:val="24"/>
        </w:rPr>
        <w:t xml:space="preserve"> adresowych, a także gdy </w:t>
      </w:r>
      <w:r w:rsidRPr="009A3C86">
        <w:rPr>
          <w:rFonts w:ascii="Times New Roman" w:hAnsi="Times New Roman"/>
          <w:kern w:val="3"/>
          <w:sz w:val="24"/>
          <w:szCs w:val="24"/>
        </w:rPr>
        <w:t>adres siedziby nie spełnia warunków dla uznania go za faktyczną siedzibę podatnika</w:t>
      </w:r>
      <w:r w:rsidRPr="009A3C86">
        <w:rPr>
          <w:rFonts w:ascii="Times New Roman" w:hAnsi="Times New Roman"/>
          <w:sz w:val="24"/>
          <w:szCs w:val="24"/>
        </w:rPr>
        <w:t xml:space="preserve">, naczelnik urzędu skarbowego </w:t>
      </w:r>
      <w:r w:rsidRPr="009A3C86">
        <w:rPr>
          <w:rFonts w:ascii="Times New Roman" w:hAnsi="Times New Roman"/>
          <w:bCs/>
          <w:sz w:val="24"/>
          <w:szCs w:val="24"/>
        </w:rPr>
        <w:t>unieważnia z urzędu NIP nadany podmiotowi</w:t>
      </w:r>
      <w:r w:rsidR="00FE4B09" w:rsidRPr="009A3C86">
        <w:rPr>
          <w:rFonts w:ascii="Times New Roman" w:hAnsi="Times New Roman"/>
          <w:bCs/>
          <w:sz w:val="24"/>
          <w:szCs w:val="24"/>
        </w:rPr>
        <w:t xml:space="preserve"> </w:t>
      </w:r>
      <w:r w:rsidR="00FE4B09" w:rsidRPr="009A3C86">
        <w:rPr>
          <w:rFonts w:ascii="Times New Roman" w:hAnsi="Times New Roman"/>
          <w:b/>
          <w:bCs/>
          <w:sz w:val="24"/>
          <w:szCs w:val="24"/>
        </w:rPr>
        <w:t>(art. 535 § 2</w:t>
      </w:r>
      <w:r w:rsidR="00FE4B09" w:rsidRPr="009A3C86">
        <w:rPr>
          <w:rFonts w:ascii="Times New Roman" w:hAnsi="Times New Roman"/>
          <w:bCs/>
          <w:sz w:val="24"/>
          <w:szCs w:val="24"/>
        </w:rPr>
        <w:t>)</w:t>
      </w:r>
      <w:r w:rsidRPr="009A3C86">
        <w:rPr>
          <w:rFonts w:ascii="Times New Roman" w:hAnsi="Times New Roman"/>
          <w:bCs/>
          <w:sz w:val="24"/>
          <w:szCs w:val="24"/>
        </w:rPr>
        <w:t>. Przedmiotowej przesłanki organy podatkowe nie mogą jednak interpretować dowolnie. Na uwagę zasługuje bowiem orzecznictwo TSUE</w:t>
      </w:r>
      <w:r w:rsidRPr="009A3C86">
        <w:rPr>
          <w:rFonts w:ascii="Times New Roman" w:hAnsi="Times New Roman"/>
          <w:sz w:val="24"/>
          <w:szCs w:val="24"/>
          <w:vertAlign w:val="superscript"/>
        </w:rPr>
        <w:footnoteReference w:id="481"/>
      </w:r>
      <w:r w:rsidRPr="009A3C86">
        <w:rPr>
          <w:rFonts w:ascii="Times New Roman" w:hAnsi="Times New Roman"/>
          <w:sz w:val="24"/>
          <w:szCs w:val="24"/>
        </w:rPr>
        <w:t xml:space="preserve">, zgodnie z którym artykuły 213, 214 i 273 dyrektywy 2006/112/WE należy interpretować w ten sposób, że stoją one na przeszkodzie temu, by organ skarbowy państwa członkowskiego odmawiał nadania numeru identyfikacji podatkowej do celów podatku od wartości dodanej spółce z tego tylko powodu, że w mniemaniu tego organu nie posiada ona środków materialnych, technicznych i finansowych do wykonywania zgłaszanej działalności gospodarczej. Wskazano również, iż właścicielowi udziałów tej spółki uprzednio wielokrotnie nadawano taki numer dla innych przedsiębiorstw, które nie prowadziły rzeczywistej działalności gospodarczej oraz których udziały były </w:t>
      </w:r>
      <w:r w:rsidRPr="009A3C86">
        <w:rPr>
          <w:rFonts w:ascii="Times New Roman" w:hAnsi="Times New Roman"/>
          <w:sz w:val="24"/>
          <w:szCs w:val="24"/>
        </w:rPr>
        <w:lastRenderedPageBreak/>
        <w:t>przekazywane innym osobom wkrótce po otrzymaniu rzeczonego numeru. Organ nie może odmówić nadania NIP, gdy nie ustali, w świetle obiektywnych czynników, że istnieją poważne przesłanki pozwalające podejrzewać, że nadany numer identyfikacji podatkowej do celów podatku od wartości dodanej zostanie wykorzystany do popełnienia oszustwa. Przy unieważnianiu wielokrotnie nadanego NIP naczelnik urzędu skarbowego powinien natomiast wziąć pod uwagę interes prawny i gospodarczy podmiotu.</w:t>
      </w:r>
    </w:p>
    <w:p w:rsidR="001F0D4F" w:rsidRPr="009A3C86" w:rsidRDefault="001F0D4F" w:rsidP="001F0D4F">
      <w:pPr>
        <w:spacing w:after="0" w:line="360" w:lineRule="auto"/>
        <w:jc w:val="both"/>
        <w:rPr>
          <w:rFonts w:ascii="Times New Roman" w:hAnsi="Times New Roman"/>
          <w:sz w:val="24"/>
          <w:szCs w:val="24"/>
        </w:rPr>
      </w:pPr>
      <w:r w:rsidRPr="009A3C86">
        <w:rPr>
          <w:rFonts w:ascii="Times New Roman" w:hAnsi="Times New Roman"/>
          <w:sz w:val="24"/>
          <w:szCs w:val="24"/>
        </w:rPr>
        <w:t>Istotne jest również, iż decyzja o unieważnieniu lub uchyleniu NIP jest natychmiast wykonalna, a w konsekwencji nie jest wymagane wydanie rygoru wykonalności takiej decyzji (</w:t>
      </w:r>
      <w:r w:rsidRPr="009A3C86">
        <w:rPr>
          <w:rFonts w:ascii="Times New Roman" w:hAnsi="Times New Roman"/>
          <w:b/>
          <w:sz w:val="24"/>
          <w:szCs w:val="24"/>
        </w:rPr>
        <w:t>art. 537</w:t>
      </w:r>
      <w:r w:rsidRPr="009A3C86">
        <w:rPr>
          <w:rFonts w:ascii="Times New Roman" w:hAnsi="Times New Roman"/>
          <w:sz w:val="24"/>
          <w:szCs w:val="24"/>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6. W </w:t>
      </w:r>
      <w:r w:rsidRPr="009A3C86">
        <w:rPr>
          <w:rFonts w:ascii="Times New Roman" w:hAnsi="Times New Roman"/>
          <w:b/>
          <w:sz w:val="24"/>
          <w:szCs w:val="24"/>
        </w:rPr>
        <w:t xml:space="preserve">art. </w:t>
      </w:r>
      <w:r w:rsidR="00FE4B09" w:rsidRPr="009A3C86">
        <w:rPr>
          <w:rFonts w:ascii="Times New Roman" w:hAnsi="Times New Roman"/>
          <w:b/>
          <w:sz w:val="24"/>
          <w:szCs w:val="24"/>
        </w:rPr>
        <w:t>538</w:t>
      </w:r>
      <w:r w:rsidRPr="009A3C86">
        <w:rPr>
          <w:rFonts w:ascii="Times New Roman" w:hAnsi="Times New Roman"/>
          <w:sz w:val="24"/>
          <w:szCs w:val="24"/>
        </w:rPr>
        <w:t xml:space="preserve"> nałożono natomiast na podmioty obowiązek aktualizowania danych objętych zgłoszeniem identyfikacyjnym w terminie 7 dni od dnia, kiedy nastąpiła zmiana danych. Przedmiotowa aktualizacja dotyczy wszelkich podmiotów, które uprzednio były zobowiązane do dokonania zgłoszenia identyfikacyjnego, jednakże osoby fizyczne objęte rejestrem PESEL nieprowadzące działalności gospodarczej lub niebędące zarejestrowanymi podatnikami podatku od towarów i usług dokonują tej czynności w składanych deklaracjach. Obowiązek aktualizowania danych obejmuje także zarządcę sukcesyjnego. Ponadto uregulowano zasady aktualizowania danych w okresie od dnia śmierci przedsiębiorcy do dnia ustanowienia zarządu sukcesyjnego albo wygaśnięcia uprawnienia do powołania zarządcy sukcesyjnego, a także w okresie od dnia, w którym zarządca sukcesyjny przestał pełnić tę funkcję, do dnia powołania kolejnego zarządcy sukcesyjnego albo wygaśnięcia zarządu sukcesyjnego. Zgłoszenie aktualizacyjne będzie dokonywane na odpowiednim wzorze formularza, a dla ułatwienia tej czynności podmiot zobowiązany będzie mógł wykorzystać środki komunikacji elektronicznej. </w:t>
      </w:r>
    </w:p>
    <w:p w:rsidR="008D7F39" w:rsidRPr="009A3C86" w:rsidRDefault="008D7F39" w:rsidP="00D72E74">
      <w:pPr>
        <w:keepNext/>
        <w:keepLines/>
        <w:spacing w:before="120" w:after="0" w:line="360" w:lineRule="auto"/>
        <w:jc w:val="both"/>
        <w:outlineLvl w:val="3"/>
        <w:rPr>
          <w:rFonts w:ascii="Times New Roman" w:eastAsia="Times New Roman" w:hAnsi="Times New Roman"/>
          <w:b/>
          <w:iCs/>
          <w:sz w:val="24"/>
          <w:szCs w:val="24"/>
        </w:rPr>
      </w:pPr>
      <w:bookmarkStart w:id="74" w:name="_Toc494363295"/>
      <w:r w:rsidRPr="009A3C86">
        <w:rPr>
          <w:rFonts w:ascii="Times New Roman" w:eastAsia="Times New Roman" w:hAnsi="Times New Roman"/>
          <w:b/>
          <w:iCs/>
          <w:sz w:val="24"/>
          <w:szCs w:val="24"/>
        </w:rPr>
        <w:t>Oddział 3. Zasady posługiwania się identyfikatorem podatkowym</w:t>
      </w:r>
      <w:bookmarkEnd w:id="74"/>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1. Proponowany przepis </w:t>
      </w:r>
      <w:r w:rsidRPr="009A3C86">
        <w:rPr>
          <w:rFonts w:ascii="Times New Roman" w:hAnsi="Times New Roman"/>
          <w:b/>
          <w:sz w:val="24"/>
          <w:szCs w:val="24"/>
        </w:rPr>
        <w:t xml:space="preserve">art. </w:t>
      </w:r>
      <w:r w:rsidR="00FE4B09" w:rsidRPr="009A3C86">
        <w:rPr>
          <w:rFonts w:ascii="Times New Roman" w:hAnsi="Times New Roman"/>
          <w:b/>
          <w:sz w:val="24"/>
          <w:szCs w:val="24"/>
        </w:rPr>
        <w:t>540</w:t>
      </w:r>
      <w:r w:rsidRPr="009A3C86">
        <w:rPr>
          <w:rFonts w:ascii="Times New Roman" w:hAnsi="Times New Roman"/>
          <w:sz w:val="24"/>
          <w:szCs w:val="24"/>
        </w:rPr>
        <w:t xml:space="preserve"> formułuje natomiast obowiązki podatników i płatników związane z posługiwaniem się identyfikatorem podatkowym. Projektowany przepis w sposób przejrzysty wyraża podstawowe reguły określające zarówno katalog sytuacji, w których podatnicy i płatnicy zobowiązani będą do posługiwania się NIP, jak i kategorie podmiotów, względem których będą oni zobligowani do okazania się tym numerem. Podatnicy prowadzący działalność gospodarczą oraz zarejestrowani w podatku od towarów i usług</w:t>
      </w:r>
      <w:r w:rsidRPr="009A3C86">
        <w:rPr>
          <w:rFonts w:ascii="Times New Roman" w:hAnsi="Times New Roman"/>
          <w:sz w:val="24"/>
          <w:szCs w:val="24"/>
          <w:vertAlign w:val="superscript"/>
        </w:rPr>
        <w:footnoteReference w:id="482"/>
      </w:r>
      <w:r w:rsidRPr="009A3C86">
        <w:rPr>
          <w:rFonts w:ascii="Times New Roman" w:hAnsi="Times New Roman"/>
          <w:sz w:val="24"/>
          <w:szCs w:val="24"/>
        </w:rPr>
        <w:t>, jak również płatnicy podatków będą zobowiązani do podawania identyfikatora podatkowego</w:t>
      </w:r>
      <w:r w:rsidRPr="009A3C86">
        <w:rPr>
          <w:rFonts w:ascii="Times New Roman" w:hAnsi="Times New Roman"/>
          <w:bCs/>
          <w:sz w:val="24"/>
          <w:szCs w:val="24"/>
        </w:rPr>
        <w:t xml:space="preserve"> na </w:t>
      </w:r>
      <w:r w:rsidRPr="009A3C86">
        <w:rPr>
          <w:rFonts w:ascii="Times New Roman" w:hAnsi="Times New Roman"/>
          <w:bCs/>
          <w:sz w:val="24"/>
          <w:szCs w:val="24"/>
        </w:rPr>
        <w:lastRenderedPageBreak/>
        <w:t>dokumentach</w:t>
      </w:r>
      <w:r w:rsidRPr="009A3C86">
        <w:rPr>
          <w:rFonts w:ascii="Times New Roman" w:hAnsi="Times New Roman"/>
          <w:sz w:val="24"/>
          <w:szCs w:val="24"/>
        </w:rPr>
        <w:t xml:space="preserve"> związanych z wykonywaniem zobowiązań podatkowych oraz niepodatkowych należności budżetowych, do których poboru są zobowiązane organy podatkowe.</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2. W art. </w:t>
      </w:r>
      <w:r w:rsidR="00FE178B" w:rsidRPr="009A3C86">
        <w:rPr>
          <w:rFonts w:ascii="Times New Roman" w:hAnsi="Times New Roman"/>
          <w:b/>
          <w:sz w:val="24"/>
          <w:szCs w:val="24"/>
        </w:rPr>
        <w:t>540</w:t>
      </w:r>
      <w:r w:rsidRPr="009A3C86">
        <w:rPr>
          <w:rFonts w:ascii="Times New Roman" w:hAnsi="Times New Roman"/>
          <w:b/>
          <w:sz w:val="24"/>
          <w:szCs w:val="24"/>
        </w:rPr>
        <w:t xml:space="preserve"> § 2</w:t>
      </w:r>
      <w:r w:rsidRPr="009A3C86">
        <w:rPr>
          <w:rFonts w:ascii="Times New Roman" w:hAnsi="Times New Roman"/>
          <w:sz w:val="24"/>
          <w:szCs w:val="24"/>
        </w:rPr>
        <w:t xml:space="preserve"> wskazano natomiast taksatywnie organy władzy publicznej oraz inne podmioty, wobec których podatnicy i płatnicy winni podawać identyfikator podatkowy. W przypadku natomiast uzyskania przez określony podmiot, w tym także podmiot mający miejsce zamieszkania, siedzibę lub zarząd za granicą, </w:t>
      </w:r>
      <w:r w:rsidRPr="009A3C86">
        <w:rPr>
          <w:rFonts w:ascii="Times New Roman" w:hAnsi="Times New Roman"/>
          <w:bCs/>
          <w:sz w:val="24"/>
          <w:szCs w:val="24"/>
        </w:rPr>
        <w:t>numeru służącego identyfikacji dla celów podatkowych w innym państwie,</w:t>
      </w:r>
      <w:r w:rsidRPr="009A3C86">
        <w:rPr>
          <w:rFonts w:ascii="Times New Roman" w:hAnsi="Times New Roman"/>
          <w:sz w:val="24"/>
          <w:szCs w:val="24"/>
        </w:rPr>
        <w:t xml:space="preserve"> jest on obowiązany podać ten numer na żądanie m.in:</w:t>
      </w:r>
    </w:p>
    <w:p w:rsidR="008D7F39" w:rsidRPr="009A3C86" w:rsidRDefault="008D7F39" w:rsidP="008D7F39">
      <w:pPr>
        <w:spacing w:after="0" w:line="360" w:lineRule="auto"/>
        <w:ind w:left="1134" w:hanging="425"/>
        <w:jc w:val="both"/>
        <w:rPr>
          <w:rFonts w:ascii="Times New Roman" w:hAnsi="Times New Roman"/>
          <w:sz w:val="24"/>
          <w:szCs w:val="24"/>
        </w:rPr>
      </w:pPr>
      <w:r w:rsidRPr="009A3C86">
        <w:rPr>
          <w:rFonts w:ascii="Times New Roman" w:hAnsi="Times New Roman"/>
          <w:sz w:val="24"/>
          <w:szCs w:val="24"/>
        </w:rPr>
        <w:t>1)</w:t>
      </w:r>
      <w:r w:rsidRPr="009A3C86">
        <w:rPr>
          <w:rFonts w:ascii="Times New Roman" w:hAnsi="Times New Roman"/>
          <w:sz w:val="24"/>
          <w:szCs w:val="24"/>
        </w:rPr>
        <w:tab/>
        <w:t>organów podatkowych;</w:t>
      </w:r>
    </w:p>
    <w:p w:rsidR="008D7F39" w:rsidRPr="009A3C86" w:rsidRDefault="008D7F39" w:rsidP="008D7F39">
      <w:pPr>
        <w:spacing w:after="0" w:line="360" w:lineRule="auto"/>
        <w:ind w:left="1134" w:hanging="425"/>
        <w:jc w:val="both"/>
        <w:rPr>
          <w:rFonts w:ascii="Times New Roman" w:hAnsi="Times New Roman"/>
          <w:sz w:val="24"/>
          <w:szCs w:val="24"/>
        </w:rPr>
      </w:pPr>
      <w:r w:rsidRPr="009A3C86">
        <w:rPr>
          <w:rFonts w:ascii="Times New Roman" w:hAnsi="Times New Roman"/>
          <w:sz w:val="24"/>
          <w:szCs w:val="24"/>
        </w:rPr>
        <w:t>2)</w:t>
      </w:r>
      <w:r w:rsidRPr="009A3C86">
        <w:rPr>
          <w:rFonts w:ascii="Times New Roman" w:hAnsi="Times New Roman"/>
          <w:sz w:val="24"/>
          <w:szCs w:val="24"/>
        </w:rPr>
        <w:tab/>
        <w:t>płatników podatków;</w:t>
      </w:r>
    </w:p>
    <w:p w:rsidR="008D7F39" w:rsidRPr="009A3C86" w:rsidRDefault="008D7F39" w:rsidP="008D7F39">
      <w:pPr>
        <w:tabs>
          <w:tab w:val="left" w:pos="1134"/>
        </w:tabs>
        <w:spacing w:after="0" w:line="360" w:lineRule="auto"/>
        <w:ind w:left="1276" w:hanging="568"/>
        <w:jc w:val="both"/>
        <w:rPr>
          <w:rFonts w:ascii="Times New Roman" w:hAnsi="Times New Roman"/>
          <w:sz w:val="24"/>
          <w:szCs w:val="24"/>
        </w:rPr>
      </w:pPr>
      <w:r w:rsidRPr="009A3C86">
        <w:rPr>
          <w:rFonts w:ascii="Times New Roman" w:hAnsi="Times New Roman"/>
          <w:sz w:val="24"/>
          <w:szCs w:val="24"/>
        </w:rPr>
        <w:t>3)</w:t>
      </w:r>
      <w:r w:rsidRPr="009A3C86">
        <w:rPr>
          <w:rFonts w:ascii="Times New Roman" w:hAnsi="Times New Roman"/>
          <w:sz w:val="24"/>
          <w:szCs w:val="24"/>
        </w:rPr>
        <w:tab/>
        <w:t>organów i instytucji ubezpieczeń społecznych;</w:t>
      </w:r>
    </w:p>
    <w:p w:rsidR="008D7F39" w:rsidRPr="009A3C86" w:rsidRDefault="008D7F39" w:rsidP="008D7F39">
      <w:pPr>
        <w:spacing w:after="0" w:line="360" w:lineRule="auto"/>
        <w:ind w:left="1134" w:hanging="426"/>
        <w:jc w:val="both"/>
        <w:rPr>
          <w:rFonts w:ascii="Times New Roman" w:hAnsi="Times New Roman"/>
          <w:sz w:val="24"/>
          <w:szCs w:val="24"/>
        </w:rPr>
      </w:pPr>
      <w:r w:rsidRPr="009A3C86">
        <w:rPr>
          <w:rFonts w:ascii="Times New Roman" w:hAnsi="Times New Roman"/>
          <w:sz w:val="24"/>
          <w:szCs w:val="24"/>
        </w:rPr>
        <w:t>4)</w:t>
      </w:r>
      <w:r w:rsidRPr="009A3C86">
        <w:rPr>
          <w:rFonts w:ascii="Times New Roman" w:hAnsi="Times New Roman"/>
          <w:sz w:val="24"/>
          <w:szCs w:val="24"/>
        </w:rPr>
        <w:tab/>
        <w:t>podmiotów określonych w art. 42 ust. 6 ustawy o podatku dochodowym od osób fizycznych.</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Proponuje się również uregulować zasady następstwa prawnego w zakresie NIP, zgodnie z którymi za wyjątkiem sytuacji enumeratywnie wymienionych w przepisie, nadany NIP wygasa w przypadku zgonu lub ustania bytu prawnego podatnika lub płatnika (</w:t>
      </w:r>
      <w:r w:rsidRPr="009A3C86">
        <w:rPr>
          <w:rFonts w:ascii="Times New Roman" w:hAnsi="Times New Roman"/>
          <w:b/>
          <w:sz w:val="24"/>
          <w:szCs w:val="24"/>
        </w:rPr>
        <w:t xml:space="preserve">art. </w:t>
      </w:r>
      <w:r w:rsidR="00FE178B" w:rsidRPr="009A3C86">
        <w:rPr>
          <w:rFonts w:ascii="Times New Roman" w:hAnsi="Times New Roman"/>
          <w:b/>
          <w:sz w:val="24"/>
          <w:szCs w:val="24"/>
        </w:rPr>
        <w:t>541</w:t>
      </w:r>
      <w:r w:rsidR="0031022A" w:rsidRPr="009A3C86">
        <w:rPr>
          <w:rFonts w:ascii="Times New Roman" w:hAnsi="Times New Roman"/>
          <w:b/>
          <w:sz w:val="24"/>
          <w:szCs w:val="24"/>
        </w:rPr>
        <w:t xml:space="preserve"> § 5</w:t>
      </w:r>
      <w:r w:rsidRPr="009A3C86">
        <w:rPr>
          <w:rFonts w:ascii="Times New Roman" w:hAnsi="Times New Roman"/>
          <w:sz w:val="24"/>
          <w:szCs w:val="24"/>
        </w:rPr>
        <w:t xml:space="preserve">). W przypadku zatem osób fizycznych prowadzących działalność gospodarczą lub będących zarejestrowanymi podatnikami podatku od towarów i usług, a także innych podmiotów, które w wyniku łączenia, podziału albo przekształcenia stały się nowym podmiotem praw i obowiązków, obowiązywać będzie generalna reguła, iż dotychczasowy NIP nie przechodzi na następcę prawnego, a nowo powstały podmiot musi dokonać nowego zgłoszenia identyfikacyjnego w celu uzyskania nowego NIP. Wyjątki od tej zasady podlegające w związku z tym wykładni zawężającej zostały wymienione </w:t>
      </w:r>
      <w:r w:rsidRPr="009A3C86">
        <w:rPr>
          <w:rFonts w:ascii="Times New Roman" w:hAnsi="Times New Roman"/>
          <w:i/>
          <w:iCs/>
          <w:sz w:val="24"/>
          <w:szCs w:val="24"/>
        </w:rPr>
        <w:t>expressis verbis</w:t>
      </w:r>
      <w:r w:rsidRPr="009A3C86">
        <w:rPr>
          <w:rFonts w:ascii="Times New Roman" w:hAnsi="Times New Roman"/>
          <w:sz w:val="24"/>
          <w:szCs w:val="24"/>
        </w:rPr>
        <w:t xml:space="preserve"> w </w:t>
      </w:r>
      <w:r w:rsidRPr="009A3C86">
        <w:rPr>
          <w:rFonts w:ascii="Times New Roman" w:hAnsi="Times New Roman"/>
          <w:b/>
          <w:sz w:val="24"/>
          <w:szCs w:val="24"/>
        </w:rPr>
        <w:t xml:space="preserve">art. </w:t>
      </w:r>
      <w:r w:rsidR="00FE178B" w:rsidRPr="009A3C86">
        <w:rPr>
          <w:rFonts w:ascii="Times New Roman" w:hAnsi="Times New Roman"/>
          <w:b/>
          <w:sz w:val="24"/>
          <w:szCs w:val="24"/>
        </w:rPr>
        <w:t>541</w:t>
      </w:r>
      <w:r w:rsidRPr="009A3C86">
        <w:rPr>
          <w:rFonts w:ascii="Times New Roman" w:hAnsi="Times New Roman"/>
          <w:sz w:val="24"/>
          <w:szCs w:val="24"/>
        </w:rPr>
        <w:t xml:space="preserve"> </w:t>
      </w:r>
      <w:r w:rsidRPr="009A3C86">
        <w:rPr>
          <w:rFonts w:ascii="Times New Roman" w:hAnsi="Times New Roman"/>
          <w:b/>
          <w:sz w:val="24"/>
          <w:szCs w:val="24"/>
        </w:rPr>
        <w:t>§ 1 i 2</w:t>
      </w:r>
      <w:r w:rsidRPr="009A3C86">
        <w:rPr>
          <w:rFonts w:ascii="Times New Roman" w:hAnsi="Times New Roman"/>
          <w:sz w:val="24"/>
          <w:szCs w:val="24"/>
        </w:rPr>
        <w:t xml:space="preserve">. Przypadek określony </w:t>
      </w:r>
      <w:r w:rsidRPr="009A3C86">
        <w:rPr>
          <w:rFonts w:ascii="Times New Roman" w:hAnsi="Times New Roman"/>
          <w:b/>
          <w:sz w:val="24"/>
          <w:szCs w:val="24"/>
        </w:rPr>
        <w:t xml:space="preserve">w art. </w:t>
      </w:r>
      <w:r w:rsidR="00FE178B" w:rsidRPr="009A3C86">
        <w:rPr>
          <w:rFonts w:ascii="Times New Roman" w:hAnsi="Times New Roman"/>
          <w:b/>
          <w:sz w:val="24"/>
          <w:szCs w:val="24"/>
        </w:rPr>
        <w:t>541</w:t>
      </w:r>
      <w:r w:rsidRPr="009A3C86">
        <w:rPr>
          <w:rFonts w:ascii="Times New Roman" w:hAnsi="Times New Roman"/>
          <w:b/>
          <w:sz w:val="24"/>
          <w:szCs w:val="24"/>
        </w:rPr>
        <w:t xml:space="preserve"> § 2</w:t>
      </w:r>
      <w:r w:rsidRPr="009A3C86">
        <w:rPr>
          <w:rFonts w:ascii="Times New Roman" w:hAnsi="Times New Roman"/>
          <w:sz w:val="24"/>
          <w:szCs w:val="24"/>
        </w:rPr>
        <w:t xml:space="preserve"> dotyczy przejścia NIP nadanego przedsiębiorcy na przedsiębiorstwo w spadku i momentu jego wygaśnięcia. </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Problematyka następstwa prawnego została kompleksowo uregulowana w dziale II projektowanej ordynacji podatkowej, jednakże ze względu na pewien szczególny typ stosunku podatkowoprawnego oraz niektóre rozwiązania w ustawach regulujących poszczególne podatki</w:t>
      </w:r>
      <w:r w:rsidRPr="009A3C86">
        <w:rPr>
          <w:rFonts w:ascii="Times New Roman" w:hAnsi="Times New Roman"/>
          <w:sz w:val="24"/>
          <w:szCs w:val="24"/>
          <w:vertAlign w:val="superscript"/>
        </w:rPr>
        <w:footnoteReference w:id="483"/>
      </w:r>
      <w:r w:rsidRPr="009A3C86">
        <w:rPr>
          <w:rFonts w:ascii="Times New Roman" w:hAnsi="Times New Roman"/>
          <w:sz w:val="24"/>
          <w:szCs w:val="24"/>
        </w:rPr>
        <w:t xml:space="preserve"> należy ją traktować jako szczegółową regulację</w:t>
      </w:r>
      <w:r w:rsidRPr="009A3C86">
        <w:rPr>
          <w:rFonts w:ascii="Times New Roman" w:hAnsi="Times New Roman"/>
          <w:sz w:val="24"/>
          <w:szCs w:val="24"/>
          <w:vertAlign w:val="superscript"/>
        </w:rPr>
        <w:footnoteReference w:id="484"/>
      </w:r>
      <w:r w:rsidRPr="009A3C86">
        <w:rPr>
          <w:rFonts w:ascii="Times New Roman" w:hAnsi="Times New Roman"/>
          <w:sz w:val="24"/>
          <w:szCs w:val="24"/>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bCs/>
          <w:sz w:val="24"/>
          <w:szCs w:val="24"/>
        </w:rPr>
        <w:t>3. Zaproponowane rozwiązania prawne nie pokrywają się z regulacjami działu II,</w:t>
      </w:r>
      <w:r w:rsidRPr="009A3C86">
        <w:rPr>
          <w:rFonts w:ascii="Times New Roman" w:hAnsi="Times New Roman"/>
          <w:sz w:val="24"/>
          <w:szCs w:val="24"/>
        </w:rPr>
        <w:t xml:space="preserve"> a ściślej rzecz ujmując, art. </w:t>
      </w:r>
      <w:r w:rsidR="00FE178B" w:rsidRPr="009A3C86">
        <w:rPr>
          <w:rFonts w:ascii="Times New Roman" w:hAnsi="Times New Roman"/>
          <w:sz w:val="24"/>
          <w:szCs w:val="24"/>
        </w:rPr>
        <w:t>541</w:t>
      </w:r>
      <w:r w:rsidRPr="009A3C86">
        <w:rPr>
          <w:rFonts w:ascii="Times New Roman" w:hAnsi="Times New Roman"/>
          <w:sz w:val="24"/>
          <w:szCs w:val="24"/>
        </w:rPr>
        <w:t xml:space="preserve"> przewiduje następstwo prawne w obszarze kształtowanych przez nią </w:t>
      </w:r>
      <w:r w:rsidRPr="009A3C86">
        <w:rPr>
          <w:rFonts w:ascii="Times New Roman" w:hAnsi="Times New Roman"/>
          <w:sz w:val="24"/>
          <w:szCs w:val="24"/>
        </w:rPr>
        <w:lastRenderedPageBreak/>
        <w:t>stosunków prawnopodatkowych w węższym zakresie, niż czyni to d</w:t>
      </w:r>
      <w:r w:rsidRPr="009A3C86">
        <w:rPr>
          <w:rFonts w:ascii="Times New Roman" w:hAnsi="Times New Roman"/>
          <w:bCs/>
          <w:sz w:val="24"/>
          <w:szCs w:val="24"/>
        </w:rPr>
        <w:t>ział II</w:t>
      </w:r>
      <w:r w:rsidRPr="009A3C86">
        <w:rPr>
          <w:rFonts w:ascii="Times New Roman" w:hAnsi="Times New Roman"/>
          <w:sz w:val="24"/>
          <w:szCs w:val="24"/>
        </w:rPr>
        <w:t>, który generuje ogólną zasadę w odniesieniu do wszelkich stosunków w obszarze prawa podatkowego. Pozycja następców prawnych oraz podmiotów przekształconych została ukształtowana analogicznie, tzn. podlegają regule kontynuacji w zakresie prawa i obowiązków podatkowo-prawnych, chyba że odrębne ustawy lub ratyfikowane umowy międzynarodowe stanowią inaczej</w:t>
      </w:r>
      <w:r w:rsidRPr="009A3C86">
        <w:rPr>
          <w:rFonts w:ascii="Times New Roman" w:hAnsi="Times New Roman"/>
          <w:sz w:val="24"/>
          <w:szCs w:val="24"/>
          <w:vertAlign w:val="superscript"/>
        </w:rPr>
        <w:footnoteReference w:id="485"/>
      </w:r>
      <w:r w:rsidRPr="009A3C86">
        <w:rPr>
          <w:rFonts w:ascii="Times New Roman" w:hAnsi="Times New Roman"/>
          <w:sz w:val="24"/>
          <w:szCs w:val="24"/>
        </w:rPr>
        <w:t>.</w:t>
      </w:r>
    </w:p>
    <w:p w:rsidR="008D7F39" w:rsidRPr="009A3C86" w:rsidRDefault="008D7F39" w:rsidP="00D72E74">
      <w:pPr>
        <w:keepNext/>
        <w:keepLines/>
        <w:spacing w:before="120" w:after="0" w:line="360" w:lineRule="auto"/>
        <w:jc w:val="both"/>
        <w:outlineLvl w:val="3"/>
        <w:rPr>
          <w:rFonts w:ascii="Times New Roman" w:eastAsia="Times New Roman" w:hAnsi="Times New Roman"/>
          <w:b/>
          <w:iCs/>
          <w:sz w:val="24"/>
          <w:szCs w:val="24"/>
        </w:rPr>
      </w:pPr>
      <w:bookmarkStart w:id="75" w:name="_Toc494363296"/>
      <w:r w:rsidRPr="009A3C86">
        <w:rPr>
          <w:rFonts w:ascii="Times New Roman" w:eastAsia="Times New Roman" w:hAnsi="Times New Roman"/>
          <w:b/>
          <w:iCs/>
          <w:sz w:val="24"/>
          <w:szCs w:val="24"/>
        </w:rPr>
        <w:t>Oddział 4. Rejestr podatników</w:t>
      </w:r>
      <w:bookmarkEnd w:id="75"/>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6318B5" w:rsidRPr="009A3C86">
        <w:rPr>
          <w:rFonts w:ascii="Times New Roman" w:hAnsi="Times New Roman"/>
          <w:b/>
          <w:sz w:val="24"/>
          <w:szCs w:val="24"/>
        </w:rPr>
        <w:t>542–544</w:t>
      </w:r>
      <w:r w:rsidRPr="009A3C86">
        <w:rPr>
          <w:rFonts w:ascii="Times New Roman" w:hAnsi="Times New Roman"/>
          <w:sz w:val="24"/>
          <w:szCs w:val="24"/>
        </w:rPr>
        <w:t xml:space="preserve"> projektowanych przepisów zawarto propozycje regulacji w zakresie kontynuacji funkcjonowania Centralnego Rejestru Podmiotów </w:t>
      </w:r>
      <w:r w:rsidR="006318B5" w:rsidRPr="009A3C86">
        <w:rPr>
          <w:rFonts w:ascii="Times New Roman" w:hAnsi="Times New Roman"/>
          <w:sz w:val="24"/>
          <w:szCs w:val="24"/>
        </w:rPr>
        <w:t>–</w:t>
      </w:r>
      <w:r w:rsidRPr="009A3C86">
        <w:rPr>
          <w:rFonts w:ascii="Times New Roman" w:hAnsi="Times New Roman"/>
          <w:sz w:val="24"/>
          <w:szCs w:val="24"/>
        </w:rPr>
        <w:t xml:space="preserve"> Krajowej Ewidencji Podatników, który jest prowadzony przez Szefa Krajowej Administracji Skarbowej w systemie teleinformatycznym administracji podatkowej. Ten kompletny i </w:t>
      </w:r>
      <w:r w:rsidRPr="009A3C86">
        <w:rPr>
          <w:rFonts w:ascii="Times New Roman" w:hAnsi="Times New Roman"/>
          <w:bCs/>
          <w:sz w:val="24"/>
          <w:szCs w:val="24"/>
        </w:rPr>
        <w:t xml:space="preserve">zintegrowany w skali kraju system </w:t>
      </w:r>
      <w:r w:rsidRPr="009A3C86">
        <w:rPr>
          <w:rFonts w:ascii="Times New Roman" w:hAnsi="Times New Roman"/>
          <w:sz w:val="24"/>
          <w:szCs w:val="24"/>
        </w:rPr>
        <w:t>ewidencji podatników oraz płatników został utworzony dla potrzeb organów podlegających lub nadzorowanych przez Szefa KAS.</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Wyłączne prerogatywy w tym względzie zachowa zatem Szef KAS, a naczelnicy urzędów skarbowych będą jedynie:</w:t>
      </w:r>
    </w:p>
    <w:p w:rsidR="008D7F39" w:rsidRPr="009A3C86" w:rsidRDefault="008D7F39" w:rsidP="00D72E74">
      <w:pPr>
        <w:numPr>
          <w:ilvl w:val="0"/>
          <w:numId w:val="15"/>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gromadzić i przechowywać dokumentację związaną z nadaniem NIP oraz aktualizowaniem danych zawartych w zgłoszeniach identyfikacyjnych (</w:t>
      </w:r>
      <w:r w:rsidRPr="009A3C86">
        <w:rPr>
          <w:rFonts w:ascii="Times New Roman" w:eastAsia="Times New Roman" w:hAnsi="Times New Roman"/>
          <w:b/>
          <w:sz w:val="24"/>
          <w:szCs w:val="24"/>
          <w:lang w:eastAsia="pl-PL"/>
        </w:rPr>
        <w:t xml:space="preserve">art. </w:t>
      </w:r>
      <w:r w:rsidR="006F3054" w:rsidRPr="009A3C86">
        <w:rPr>
          <w:rFonts w:ascii="Times New Roman" w:eastAsia="Times New Roman" w:hAnsi="Times New Roman"/>
          <w:b/>
          <w:sz w:val="24"/>
          <w:szCs w:val="24"/>
          <w:lang w:eastAsia="pl-PL"/>
        </w:rPr>
        <w:t>542</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w:t>
      </w:r>
    </w:p>
    <w:p w:rsidR="008D7F39" w:rsidRPr="009A3C86" w:rsidRDefault="008D7F39" w:rsidP="00D72E74">
      <w:pPr>
        <w:numPr>
          <w:ilvl w:val="0"/>
          <w:numId w:val="15"/>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wydawać decyzje o odmowie nadania NIP i decyzji o unieważnieniu NIP (</w:t>
      </w:r>
      <w:r w:rsidRPr="009A3C86">
        <w:rPr>
          <w:rFonts w:ascii="Times New Roman" w:eastAsia="Times New Roman" w:hAnsi="Times New Roman"/>
          <w:b/>
          <w:sz w:val="24"/>
          <w:szCs w:val="24"/>
          <w:lang w:eastAsia="pl-PL"/>
        </w:rPr>
        <w:t xml:space="preserve">art. </w:t>
      </w:r>
      <w:r w:rsidR="006F3054" w:rsidRPr="009A3C86">
        <w:rPr>
          <w:rFonts w:ascii="Times New Roman" w:eastAsia="Times New Roman" w:hAnsi="Times New Roman"/>
          <w:b/>
          <w:sz w:val="24"/>
          <w:szCs w:val="24"/>
          <w:lang w:eastAsia="pl-PL"/>
        </w:rPr>
        <w:t>535</w:t>
      </w:r>
      <w:r w:rsidRPr="009A3C86">
        <w:rPr>
          <w:rFonts w:ascii="Times New Roman" w:eastAsia="Times New Roman" w:hAnsi="Times New Roman"/>
          <w:b/>
          <w:sz w:val="24"/>
          <w:szCs w:val="24"/>
          <w:lang w:eastAsia="pl-PL"/>
        </w:rPr>
        <w:t xml:space="preserve"> </w:t>
      </w:r>
      <w:r w:rsidR="006F3054" w:rsidRPr="009A3C86">
        <w:rPr>
          <w:rFonts w:ascii="Times New Roman" w:eastAsia="Times New Roman" w:hAnsi="Times New Roman"/>
          <w:b/>
          <w:sz w:val="24"/>
          <w:szCs w:val="24"/>
          <w:lang w:eastAsia="pl-PL"/>
        </w:rPr>
        <w:t>§ </w:t>
      </w:r>
      <w:r w:rsidRPr="009A3C86">
        <w:rPr>
          <w:rFonts w:ascii="Times New Roman" w:eastAsia="Times New Roman" w:hAnsi="Times New Roman"/>
          <w:b/>
          <w:sz w:val="24"/>
          <w:szCs w:val="24"/>
          <w:lang w:eastAsia="pl-PL"/>
        </w:rPr>
        <w:t>1 i 2</w:t>
      </w:r>
      <w:r w:rsidRPr="009A3C86">
        <w:rPr>
          <w:rFonts w:ascii="Times New Roman" w:eastAsia="Times New Roman" w:hAnsi="Times New Roman"/>
          <w:sz w:val="24"/>
          <w:szCs w:val="24"/>
          <w:lang w:eastAsia="pl-PL"/>
        </w:rPr>
        <w:t>), potwierdzeń nadania NIP (</w:t>
      </w:r>
      <w:r w:rsidRPr="009A3C86">
        <w:rPr>
          <w:rFonts w:ascii="Times New Roman" w:eastAsia="Times New Roman" w:hAnsi="Times New Roman"/>
          <w:b/>
          <w:sz w:val="24"/>
          <w:szCs w:val="24"/>
          <w:lang w:eastAsia="pl-PL"/>
        </w:rPr>
        <w:t xml:space="preserve">art. </w:t>
      </w:r>
      <w:r w:rsidR="006F3054" w:rsidRPr="009A3C86">
        <w:rPr>
          <w:rFonts w:ascii="Times New Roman" w:eastAsia="Times New Roman" w:hAnsi="Times New Roman"/>
          <w:b/>
          <w:sz w:val="24"/>
          <w:szCs w:val="24"/>
          <w:lang w:eastAsia="pl-PL"/>
        </w:rPr>
        <w:t>534</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zaświadczeń o nadaniu NIP oraz informacji o nadaniu NIP (</w:t>
      </w:r>
      <w:r w:rsidRPr="009A3C86">
        <w:rPr>
          <w:rFonts w:ascii="Times New Roman" w:eastAsia="Times New Roman" w:hAnsi="Times New Roman"/>
          <w:b/>
          <w:sz w:val="24"/>
          <w:szCs w:val="24"/>
          <w:lang w:eastAsia="pl-PL"/>
        </w:rPr>
        <w:t xml:space="preserve">art. </w:t>
      </w:r>
      <w:r w:rsidR="006F3054" w:rsidRPr="009A3C86">
        <w:rPr>
          <w:rFonts w:ascii="Times New Roman" w:eastAsia="Times New Roman" w:hAnsi="Times New Roman"/>
          <w:b/>
          <w:sz w:val="24"/>
          <w:szCs w:val="24"/>
          <w:lang w:eastAsia="pl-PL"/>
        </w:rPr>
        <w:t>542</w:t>
      </w:r>
      <w:r w:rsidRPr="009A3C86">
        <w:rPr>
          <w:rFonts w:ascii="Times New Roman" w:eastAsia="Times New Roman" w:hAnsi="Times New Roman"/>
          <w:b/>
          <w:sz w:val="24"/>
          <w:szCs w:val="24"/>
          <w:lang w:eastAsia="pl-PL"/>
        </w:rPr>
        <w:t xml:space="preserve"> § 3</w:t>
      </w:r>
      <w:r w:rsidRPr="009A3C86">
        <w:rPr>
          <w:rFonts w:ascii="Times New Roman" w:eastAsia="Times New Roman" w:hAnsi="Times New Roman"/>
          <w:sz w:val="24"/>
          <w:szCs w:val="24"/>
          <w:lang w:eastAsia="pl-PL"/>
        </w:rPr>
        <w:t>),</w:t>
      </w:r>
    </w:p>
    <w:p w:rsidR="008D7F39" w:rsidRPr="009A3C86" w:rsidRDefault="008D7F39" w:rsidP="00D72E74">
      <w:pPr>
        <w:numPr>
          <w:ilvl w:val="0"/>
          <w:numId w:val="15"/>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obok Szefa KAS udostępniać NIP organom prowadzącym urzędowe rejestry na podstawie odrębnych przepisów (</w:t>
      </w:r>
      <w:r w:rsidRPr="009A3C86">
        <w:rPr>
          <w:rFonts w:ascii="Times New Roman" w:eastAsia="Times New Roman" w:hAnsi="Times New Roman"/>
          <w:b/>
          <w:sz w:val="24"/>
          <w:szCs w:val="24"/>
          <w:lang w:eastAsia="pl-PL"/>
        </w:rPr>
        <w:t xml:space="preserve">art. </w:t>
      </w:r>
      <w:r w:rsidR="006F3054" w:rsidRPr="009A3C86">
        <w:rPr>
          <w:rFonts w:ascii="Times New Roman" w:eastAsia="Times New Roman" w:hAnsi="Times New Roman"/>
          <w:b/>
          <w:sz w:val="24"/>
          <w:szCs w:val="24"/>
          <w:lang w:eastAsia="pl-PL"/>
        </w:rPr>
        <w:t>542</w:t>
      </w:r>
      <w:r w:rsidRPr="009A3C86">
        <w:rPr>
          <w:rFonts w:ascii="Times New Roman" w:eastAsia="Times New Roman" w:hAnsi="Times New Roman"/>
          <w:b/>
          <w:sz w:val="24"/>
          <w:szCs w:val="24"/>
          <w:lang w:eastAsia="pl-PL"/>
        </w:rPr>
        <w:t xml:space="preserve"> § 4</w:t>
      </w:r>
      <w:r w:rsidRPr="009A3C86">
        <w:rPr>
          <w:rFonts w:ascii="Times New Roman" w:eastAsia="Times New Roman" w:hAnsi="Times New Roman"/>
          <w:sz w:val="24"/>
          <w:szCs w:val="24"/>
          <w:lang w:eastAsia="pl-PL"/>
        </w:rPr>
        <w:t>).</w:t>
      </w:r>
    </w:p>
    <w:p w:rsidR="008D7F39" w:rsidRPr="009A3C86" w:rsidRDefault="008D7F39" w:rsidP="008D7F39">
      <w:pPr>
        <w:spacing w:after="0" w:line="360" w:lineRule="auto"/>
        <w:jc w:val="both"/>
        <w:rPr>
          <w:rFonts w:ascii="Times New Roman" w:hAnsi="Times New Roman"/>
          <w:sz w:val="24"/>
          <w:szCs w:val="24"/>
        </w:rPr>
      </w:pPr>
      <w:r w:rsidRPr="009A3C86">
        <w:rPr>
          <w:rFonts w:ascii="Times New Roman" w:hAnsi="Times New Roman"/>
          <w:sz w:val="24"/>
          <w:szCs w:val="24"/>
        </w:rPr>
        <w:t xml:space="preserve">Według założeń </w:t>
      </w:r>
      <w:r w:rsidRPr="009A3C86">
        <w:rPr>
          <w:rFonts w:ascii="Times New Roman" w:hAnsi="Times New Roman"/>
          <w:bCs/>
          <w:sz w:val="24"/>
          <w:szCs w:val="24"/>
        </w:rPr>
        <w:t>CRP KEP powinien zapewnić</w:t>
      </w:r>
      <w:r w:rsidRPr="009A3C86">
        <w:rPr>
          <w:rFonts w:ascii="Times New Roman" w:hAnsi="Times New Roman"/>
          <w:sz w:val="24"/>
          <w:szCs w:val="24"/>
        </w:rPr>
        <w:t>:</w:t>
      </w:r>
    </w:p>
    <w:p w:rsidR="008D7F39" w:rsidRPr="009A3C86" w:rsidRDefault="008D7F39" w:rsidP="00D72E74">
      <w:pPr>
        <w:numPr>
          <w:ilvl w:val="0"/>
          <w:numId w:val="16"/>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identyfikację podmiotów przez gromadzenie niezbędnych danych ewidencyjnych pochodzących z rejestru PESEL,</w:t>
      </w:r>
    </w:p>
    <w:p w:rsidR="008D7F39" w:rsidRPr="009A3C86" w:rsidRDefault="008D7F39" w:rsidP="00D72E74">
      <w:pPr>
        <w:numPr>
          <w:ilvl w:val="0"/>
          <w:numId w:val="16"/>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identyfikację podatników w ramach całego kraju przez gromadzenie i weryfikację danych wynikających ze zgłoszeń identyfikacyjnych i aktualizacyjnych podmiotów,</w:t>
      </w:r>
    </w:p>
    <w:p w:rsidR="008D7F39" w:rsidRPr="009A3C86" w:rsidRDefault="008D7F39" w:rsidP="00D72E74">
      <w:pPr>
        <w:numPr>
          <w:ilvl w:val="0"/>
          <w:numId w:val="16"/>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spójność i poprawność dla całego systemu ewidencji podatników przez zintegrowanie w jednym miejscu pochodzących z różnych urzędów skarbowych danych ewidencyjnych podmiotów,</w:t>
      </w:r>
    </w:p>
    <w:p w:rsidR="008D7F39" w:rsidRPr="009A3C86" w:rsidRDefault="008D7F39" w:rsidP="00D72E74">
      <w:pPr>
        <w:numPr>
          <w:ilvl w:val="0"/>
          <w:numId w:val="16"/>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usprawnienie i przyspieszenie procesu rejestracji podmiotów i nadawania NIP oraz wykorzystywanie danych w nim zgromadzonych do realizacji celów i zadań ustawowych</w:t>
      </w:r>
      <w:r w:rsidRPr="009A3C86">
        <w:rPr>
          <w:rFonts w:ascii="Times New Roman" w:hAnsi="Times New Roman"/>
          <w:sz w:val="24"/>
          <w:szCs w:val="24"/>
          <w:vertAlign w:val="superscript"/>
          <w:lang w:eastAsia="pl-PL"/>
        </w:rPr>
        <w:footnoteReference w:id="486"/>
      </w:r>
      <w:r w:rsidRPr="009A3C86">
        <w:rPr>
          <w:rFonts w:ascii="Times New Roman" w:eastAsia="Times New Roman" w:hAnsi="Times New Roman"/>
          <w:sz w:val="24"/>
          <w:szCs w:val="24"/>
          <w:lang w:eastAsia="pl-PL"/>
        </w:rPr>
        <w:t>.</w:t>
      </w:r>
    </w:p>
    <w:p w:rsidR="00045CB9" w:rsidRPr="009A3C86" w:rsidRDefault="00045CB9" w:rsidP="00D72E74">
      <w:pPr>
        <w:tabs>
          <w:tab w:val="num" w:pos="720"/>
        </w:tabs>
        <w:spacing w:before="120" w:after="0" w:line="360" w:lineRule="auto"/>
        <w:jc w:val="both"/>
        <w:outlineLvl w:val="2"/>
        <w:rPr>
          <w:rFonts w:ascii="Times New Roman" w:eastAsia="Times New Roman" w:hAnsi="Times New Roman"/>
          <w:b/>
          <w:sz w:val="24"/>
          <w:szCs w:val="24"/>
        </w:rPr>
      </w:pPr>
      <w:r w:rsidRPr="009A3C86">
        <w:rPr>
          <w:rFonts w:ascii="Times New Roman" w:eastAsia="Times New Roman" w:hAnsi="Times New Roman"/>
          <w:b/>
          <w:sz w:val="24"/>
          <w:szCs w:val="24"/>
        </w:rPr>
        <w:t>Rozdział 2. Interpretacje i informacje dotyczące przepisów prawa podatkowego</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Istnienie różnych podatków, form opodatkowania, częste ich zmiany, obowiązywanie regulacji unijnych oraz prawa międzynarodowego prowadzi do wzrostu skomplikowania prawa, niepewności co do jego treści, a więc również interpretacji i stosowania. Stanowi to źródło potencjalnych konfliktów pomiędzy interesem podatników a administracją podatkową,  reprezentującą interesy fiskalne państwa. Z tych względów wprowadzone w obecnie obowiązującej ordynacji podatkowej instytucje ogólnych oraz indywidualnych interpretacji przepisów prawa podatkowego należy traktować jako istotne rozszerzenie zakresu ochrony praw i wolności ekonomicznych podatnika. Interpretacje są też ważnym, stabilizującym elementem rozwiązywania sporów między podatnikiem a organem podatkowym. Stanowią również jedną z ważniejszych rękojmi ochrony praw podmiotowych podatników. Niewątpliwie na podstawie interpretacji podatnik uzyskuje wiedzę w zakresie reguł, które razem z przepisami prawa podatkowego współtworzą potencjalną sytuację prawną każdego adresata prawa podatkowego. Podmioty te kształtują swoje poczucie pewności prawa i bezpieczeństwa prawnego nie tylko na podstawie ustaw podatkowych, lecz także na podstawie tego, jak administracja podatkowa stosuje prawo podatkowe. Z podanych powodów należy podzielić dominujące poglądy o konieczności utrzymania w nowej ordynacji podatkowej rozwiązań dotyczących interpretacji przepisów prawa podatkowego oraz nie podzielać tych poglądów, które opowiadają się za ich wyeliminowaniem</w:t>
      </w:r>
      <w:r w:rsidRPr="009A3C86">
        <w:rPr>
          <w:rFonts w:ascii="Times New Roman" w:eastAsia="Times New Roman" w:hAnsi="Times New Roman"/>
          <w:sz w:val="24"/>
          <w:szCs w:val="24"/>
          <w:vertAlign w:val="superscript"/>
        </w:rPr>
        <w:footnoteReference w:id="487"/>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Przystępność administracji podatkowej w krajach UE i poza nią jest różna, a procedura uzyskiwania stanowiska władz skarbowych – niejednolita. Z reguły im bardziej „przyjazna” jest administracja, tym szybciej i w bardziej bezpośredni sposób możliwe jest uzyskanie potwierdzenia swojego stanowiska w sprawie stosowania przepisów podatkowych. Im zaś bardziej restrykcyjne podejście władz skarbowych w danym państwie, tym większe znaczenie zyskuje moc wiążąca uzyskanych interpretacji, gwarantująca pewną ochronę podatnikowi.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wielu państwach Unii Europejskiej można uzyskać wiążące informacje o tamtejszych przepisach podatkowych</w:t>
      </w:r>
      <w:r w:rsidRPr="009A3C86">
        <w:rPr>
          <w:rFonts w:ascii="Times New Roman" w:eastAsia="Times New Roman" w:hAnsi="Times New Roman"/>
          <w:sz w:val="24"/>
          <w:szCs w:val="24"/>
          <w:vertAlign w:val="superscript"/>
        </w:rPr>
        <w:footnoteReference w:id="488"/>
      </w:r>
      <w:r w:rsidRPr="009A3C86">
        <w:rPr>
          <w:rFonts w:ascii="Times New Roman" w:eastAsia="Times New Roman" w:hAnsi="Times New Roman"/>
          <w:sz w:val="24"/>
          <w:szCs w:val="24"/>
        </w:rPr>
        <w:t xml:space="preserve">. Jednak w każdym kraju inny jest ich zakres tematyczny czy </w:t>
      </w:r>
      <w:r w:rsidRPr="009A3C86">
        <w:rPr>
          <w:rFonts w:ascii="Times New Roman" w:eastAsia="Times New Roman" w:hAnsi="Times New Roman"/>
          <w:sz w:val="24"/>
          <w:szCs w:val="24"/>
        </w:rPr>
        <w:lastRenderedPageBreak/>
        <w:t>publiczna dostępność. W Europie nie ma jednego modelu wiążących informacji podatkowych. Nie wprowadzono bowiem jednolitych unijnych reguł w tej sprawie. Stało się tak jedynie w przypadku unijnego prawa celnego, które zapewnia możliwość uzyskania wiążących informacji o klasyfikacji taryfowej towarów i o ich pochodzeniu. Wiele krajów europejskich ogranicza zakres udzielania wiążących interpretacji. Przykładowo w Danii organy podatkowe nie odpowiadają na pytania dotyczące VAT, cła i podatków związanych ze spadkami. W Holandii interpretacje mogą dotyczyć tylko niektórych spraw związanych z opodatkowaniem międzynarodowych struktur biznesowych. Podobnie jest we Francji, gdzie interpretacje dotyczą niewielu zagadnień, głównie międzynarodowego opodatkowania. W Czechach i Słowacji zakres wydawanych wiążących informacji jest ograniczony tylko do spraw cen transferowych. We wszystkich krajach system interpretacji podlega ciągłej ewolucji. Następuje poszukiwanie optymalnych sposobów wyważenia z jednej strony interesu fiskalnego państwa, a drugiej strony interesu obywateli związanego z ochroną ich uzasadnionych oczekiwań związanych z działaniem w zaufaniu do treści interpretacji prawa podatkowego</w:t>
      </w:r>
      <w:r w:rsidRPr="009A3C86">
        <w:rPr>
          <w:rFonts w:ascii="Times New Roman" w:eastAsia="Times New Roman" w:hAnsi="Times New Roman"/>
          <w:sz w:val="24"/>
          <w:szCs w:val="24"/>
          <w:vertAlign w:val="superscript"/>
        </w:rPr>
        <w:footnoteReference w:id="489"/>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Od 1 stycznia 2017 r. wprowadzono ograniczony obowiązek monitorowania przez Komisję Europejską wydawanych przez kraje członkowskie wiążących interpretacji przepisów prawa podatkowego</w:t>
      </w:r>
      <w:r w:rsidRPr="009A3C86">
        <w:rPr>
          <w:rFonts w:ascii="Times New Roman" w:eastAsia="Times New Roman" w:hAnsi="Times New Roman"/>
          <w:sz w:val="24"/>
          <w:szCs w:val="24"/>
          <w:vertAlign w:val="superscript"/>
        </w:rPr>
        <w:footnoteReference w:id="490"/>
      </w:r>
      <w:r w:rsidRPr="009A3C86">
        <w:rPr>
          <w:rFonts w:ascii="Times New Roman" w:eastAsia="Times New Roman" w:hAnsi="Times New Roman"/>
          <w:sz w:val="24"/>
          <w:szCs w:val="24"/>
        </w:rPr>
        <w:t xml:space="preserve">. Dyrektywa jest jednym z pomysłów na ukrócenie uchylania się od płacenia podatków przez przedsiębiorstwa. Zobowiązuje państwa członkowskie do automatycznej wymiany informacji o wydawanych </w:t>
      </w:r>
      <w:r w:rsidRPr="009A3C86">
        <w:rPr>
          <w:rFonts w:ascii="Times New Roman" w:eastAsia="Times New Roman" w:hAnsi="Times New Roman"/>
          <w:i/>
          <w:iCs/>
          <w:sz w:val="24"/>
          <w:szCs w:val="24"/>
        </w:rPr>
        <w:t>ex ante</w:t>
      </w:r>
      <w:r w:rsidRPr="009A3C86">
        <w:rPr>
          <w:rFonts w:ascii="Times New Roman" w:eastAsia="Times New Roman" w:hAnsi="Times New Roman"/>
          <w:sz w:val="24"/>
          <w:szCs w:val="24"/>
        </w:rPr>
        <w:t xml:space="preserve"> transgranicznych interpretacjach prawa podatkowego oraz o uprzednich porozumieniach cenowych. Obowiązek automatycznej wymiany informacji o interpretacjach podatkowych wprowadza art. 76 ustawy z dnia 9 marca 2017 r. o wymianie informacji podatkowych z innymi państwami</w:t>
      </w:r>
      <w:r w:rsidRPr="009A3C86">
        <w:rPr>
          <w:rFonts w:ascii="Times New Roman" w:eastAsia="Times New Roman" w:hAnsi="Times New Roman"/>
          <w:sz w:val="24"/>
          <w:szCs w:val="24"/>
          <w:vertAlign w:val="superscript"/>
        </w:rPr>
        <w:footnoteReference w:id="491"/>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3. W zakresie problematyki dotyczącej indywidualnych interpretacji podatkowych pozostaje również poddanie ich kontroli sądowej (art. 3 § 2 pkt 4a p.p.s.a. oraz art. 14c § 3</w:t>
      </w:r>
      <w:r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sz w:val="24"/>
          <w:szCs w:val="24"/>
          <w:lang w:eastAsia="pl-PL"/>
        </w:rPr>
        <w:t>o.p.) zarówno w aspekcie formalnym, jak i zastosowanych w nich przepisów materialnego prawa podatkowego</w:t>
      </w:r>
      <w:r w:rsidRPr="009A3C86">
        <w:rPr>
          <w:rFonts w:ascii="Times New Roman" w:eastAsia="Times New Roman" w:hAnsi="Times New Roman"/>
          <w:sz w:val="24"/>
          <w:szCs w:val="24"/>
          <w:vertAlign w:val="superscript"/>
          <w:lang w:eastAsia="pl-PL"/>
        </w:rPr>
        <w:footnoteReference w:id="492"/>
      </w:r>
      <w:r w:rsidRPr="009A3C86">
        <w:rPr>
          <w:rFonts w:ascii="Times New Roman" w:eastAsia="Times New Roman" w:hAnsi="Times New Roman"/>
          <w:sz w:val="24"/>
          <w:szCs w:val="24"/>
          <w:lang w:eastAsia="pl-PL"/>
        </w:rPr>
        <w:t xml:space="preserve">. Spowodowało to znaczne obciążenie sądów administracyjnych ilością rozpoznawanych skarg na indywidualne interpretacje oraz skarg kasacyjnych od wyroków wydanych w tych sprawach wnoszonych zarówno przez podatników, jak i organy interpretacyjne. W 2016 r. wpłynęło do wojewódzkich sądów administracyjnych 20.828 skarg </w:t>
      </w:r>
      <w:r w:rsidRPr="009A3C86">
        <w:rPr>
          <w:rFonts w:ascii="Times New Roman" w:eastAsia="Times New Roman" w:hAnsi="Times New Roman"/>
          <w:sz w:val="24"/>
          <w:szCs w:val="24"/>
          <w:lang w:eastAsia="pl-PL"/>
        </w:rPr>
        <w:lastRenderedPageBreak/>
        <w:t>na akty i inne czynności w sprawach podatkowych, z tego 2.456 stanowiły skargi na interpretacje indywidualne. W analogicznym okresie do Naczelnego Sądu Administracyjnego wpłynęło 6.995 skarg kasacyjnych od orzeczeń sądów pierwszej instancji w sprawach podatkowych, z tego 1.249 to skargi kasacyjne od orzeczeń sądów pierwszej instancji kontrolujących interpretacje indywidualne</w:t>
      </w:r>
      <w:r w:rsidRPr="009A3C86">
        <w:rPr>
          <w:rFonts w:ascii="Times New Roman" w:eastAsia="Times New Roman" w:hAnsi="Times New Roman"/>
          <w:sz w:val="24"/>
          <w:szCs w:val="24"/>
          <w:vertAlign w:val="superscript"/>
          <w:lang w:eastAsia="pl-PL"/>
        </w:rPr>
        <w:footnoteReference w:id="493"/>
      </w:r>
      <w:r w:rsidRPr="009A3C86">
        <w:rPr>
          <w:rFonts w:ascii="Times New Roman" w:eastAsia="Times New Roman" w:hAnsi="Times New Roman"/>
          <w:sz w:val="24"/>
          <w:szCs w:val="24"/>
          <w:lang w:eastAsia="pl-PL"/>
        </w:rPr>
        <w:t>. Spowodowało to znaczne wydłużenie, sięgające dwóch lat, okresu oczekiwania na rozpoznanie sprawy szczególnie przez Naczelny Sąd Administracyjny. Oceniając tę sytuację krytycznie, podkreślano, że w założeniu indywidualna interpretacja ma za zadanie dać podatnikowi pewność w zakresie prawidłowości dokonywanych przez niego rozliczeń podatkowych, jednak w praktyce przedłużające się postępowanie w tym przedmiocie tylko pogłębia niepewność, gdyż podatnik nie wie, w jaki sposób powinien interpretować przepisy. Długotrwałe oczekiwanie na rozstrzygnięcie w sprawie nierzadko skutkuje utratą przez podatnika płynności finansowej, np. w sytuacji, gdy oczekuje on na stwierdzenie nadpłaty w znacznej kwocie lub wydanie interpretacji potwierdzającej jego stanowisko co do rozumienia przepisów kluczowych z jego punktu widzenia, przykładowo w zakresie stawek podatku od towarów i usług</w:t>
      </w:r>
      <w:r w:rsidRPr="009A3C86">
        <w:rPr>
          <w:rFonts w:ascii="Times New Roman" w:eastAsia="Times New Roman" w:hAnsi="Times New Roman"/>
          <w:sz w:val="24"/>
          <w:szCs w:val="24"/>
          <w:vertAlign w:val="superscript"/>
          <w:lang w:eastAsia="pl-PL"/>
        </w:rPr>
        <w:footnoteReference w:id="494"/>
      </w:r>
      <w:r w:rsidRPr="009A3C86">
        <w:rPr>
          <w:rFonts w:ascii="Times New Roman" w:eastAsia="Times New Roman" w:hAnsi="Times New Roman"/>
          <w:sz w:val="24"/>
          <w:szCs w:val="24"/>
          <w:lang w:eastAsia="pl-PL"/>
        </w:rPr>
        <w:t>. Opowiadając się za utrzymaniem sądowej kontroli interpretacji w obecnym kształcie, zwracano przede wszystkim uwagę na znaczny odsetek spraw, w których sądy nie podzieliły stanowiska Ministra Finansów. Ponadto podkreślano, że kontrola sądowa administracji ma szczególnie istotne znaczenie z punktu widzenia prawa podatkowego. Obok prawa karnego, to ono bowiem najmocniej ingeruje w prawa i wolności obywatelskie, przede wszystkim własność, która zgodnie z Konstytucją podlega szczególnej ochronie.</w:t>
      </w:r>
    </w:p>
    <w:p w:rsidR="00045CB9" w:rsidRPr="009A3C86" w:rsidRDefault="00045CB9" w:rsidP="00045CB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Dostrzegając istniejące problemy na tle zaskarżalności do sądów administracyjnych indywidualnych interpretacji, opowiedziano się za utrzymaniem w nowej ordynacji podatkowej rozwiązania, zgodnie z którym tego rodzaju akty niewładczego działania uprawnionych organów podlegają kontroli sądowej (dotychczasowy art. 14c § 3 o.p.).  Kierunek zmian został zapoczątkowany wprowadzeniem od 15 sierpnia 2015 r. art. 57a p.p.s.a</w:t>
      </w:r>
      <w:r w:rsidRPr="009A3C86">
        <w:rPr>
          <w:rFonts w:ascii="Times New Roman" w:eastAsia="Times New Roman" w:hAnsi="Times New Roman"/>
          <w:sz w:val="24"/>
          <w:szCs w:val="24"/>
          <w:vertAlign w:val="superscript"/>
          <w:lang w:eastAsia="pl-PL"/>
        </w:rPr>
        <w:footnoteReference w:id="495"/>
      </w:r>
      <w:r w:rsidRPr="009A3C86">
        <w:rPr>
          <w:rFonts w:ascii="Times New Roman" w:eastAsia="Times New Roman" w:hAnsi="Times New Roman"/>
          <w:sz w:val="24"/>
          <w:szCs w:val="24"/>
          <w:lang w:eastAsia="pl-PL"/>
        </w:rPr>
        <w:t>. Zatem już obecnie odmiennie niż w innych sprawach, sąd administracyjny pierwszej instancji jest związany zarzutami skargi oraz powołaną podstawą prawną</w:t>
      </w:r>
      <w:r w:rsidRPr="009A3C86">
        <w:rPr>
          <w:rFonts w:ascii="Times New Roman" w:eastAsia="Times New Roman" w:hAnsi="Times New Roman"/>
          <w:sz w:val="24"/>
          <w:szCs w:val="24"/>
          <w:vertAlign w:val="superscript"/>
          <w:lang w:eastAsia="pl-PL"/>
        </w:rPr>
        <w:footnoteReference w:id="496"/>
      </w:r>
      <w:r w:rsidRPr="009A3C86">
        <w:rPr>
          <w:rFonts w:ascii="Times New Roman" w:eastAsia="Times New Roman" w:hAnsi="Times New Roman"/>
          <w:sz w:val="24"/>
          <w:szCs w:val="24"/>
          <w:lang w:eastAsia="pl-PL"/>
        </w:rPr>
        <w:t>.</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W ramach przyjętych rozwiązań dotyczących wyłącznie interpretacji ogólnych, wprowadzono możliwość pytań prawnych organu uprawnionego do wydawania tego rodzaju interpretacji do Naczelnego Sądu Administracyjnego (art. 5</w:t>
      </w:r>
      <w:r w:rsidR="00222D36" w:rsidRPr="009A3C86">
        <w:rPr>
          <w:rFonts w:ascii="Times New Roman" w:eastAsia="Times New Roman" w:hAnsi="Times New Roman"/>
          <w:sz w:val="24"/>
          <w:szCs w:val="24"/>
        </w:rPr>
        <w:t>50</w:t>
      </w:r>
      <w:r w:rsidRPr="009A3C86">
        <w:rPr>
          <w:rFonts w:ascii="Times New Roman" w:eastAsia="Times New Roman" w:hAnsi="Times New Roman"/>
          <w:sz w:val="24"/>
          <w:szCs w:val="24"/>
        </w:rPr>
        <w:t xml:space="preserve"> § 3).</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4. Zgodnie z przedstawionymi propozycjami czynności stanowiące wykonanie przewidzianych w ordynacji podatkowej uprawnień i obowiązków z zakresu interpretacji prawa podatkowego powinny stanowić merytorycznie poprawną, dostępną, przekonującą pomoc prawną dla podatników, dzięki czemu zostanie zrealizowana zasada ich bezpieczeństwa prawnego na gruncie niekiedy bardzo trudnego do wykładni i przestrzegania prawa podatkowego. Jednym z podstawowych celów interpretacji ogólnych i interpretacji indywidualnych powinno pozostać dążenie do ujednolicenia stosowania prawa podatkowego, na podstawie którego organy podatkowe dokonują oceny przestrzegania tego samego prawa przez różnych podatników. W tym zakresie zasadniczymi gwarancjami ochrony praw podatników powinno pozostać upublicznienie interpretacji przepisów prawa podatkowego oraz ustawowa gwarancja ochrony prawnej w przypadku zastosowania się do niej. Jednocześnie jednym z głównych zadań powinno pozostać wspieranie podatników w dobrowolnym i prawidłowym wypełnianiu przez nich obowiązków podatkowych, a także podnoszenie ich świadomości w tym zakresie. W zakresie realizacji podstawowych celów nowej ordynacji podatkowej oraz wzmocnienia gwarancji wynikających z obowiązywania interpretacji przepisów prawa podatkowego za celowe uznano:</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dalsze wzmocnienie znaczenia interpretacji ogólnych. Obok dotychczas obowiązujących zasad, w ramach przyjętych rozwiązań dotyczących wyłącznie interpretacji ogólnych wprowadzono możliwość pytań prawnych organu uprawnionego do wydawania tego rodzaju interpretacji do Naczelnego Sądu Administracyjnego. Wprowadzenie tego rodzaju rozwiązania wymaga równoległej zmiany w ustawie - Prawo o postępowaniu przed sądami administracyjnymi (dział VI – uchwały NSA – art. 264 § 2);</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dalszą centralizację procesu wydawania interpretacji indywidualnych. Kierunek centralizacji procesu wydawania interpretacji zgodny z założeniami nowej ordynacji podatkowej został przyjęty w przepisach reformujących funkcjonowanie administracji celnej i skarbowej</w:t>
      </w:r>
      <w:r w:rsidRPr="009A3C86">
        <w:rPr>
          <w:rFonts w:ascii="Times New Roman" w:eastAsia="Times New Roman" w:hAnsi="Times New Roman"/>
          <w:sz w:val="24"/>
          <w:szCs w:val="24"/>
          <w:vertAlign w:val="superscript"/>
        </w:rPr>
        <w:footnoteReference w:id="497"/>
      </w:r>
      <w:r w:rsidRPr="009A3C86">
        <w:rPr>
          <w:rFonts w:ascii="Times New Roman" w:eastAsia="Times New Roman" w:hAnsi="Times New Roman"/>
          <w:sz w:val="24"/>
          <w:szCs w:val="24"/>
        </w:rPr>
        <w:t xml:space="preserve">. W tym zakresie należy dodatkowo wprowadzić jednolite zasady w odniesieniu do wszystkich interpretacji przepisów prawa podatkowego niezależnie od tego, czy dany podatek stanowi dochód budżetu państwa czy jednostek samorządu terytorialnego. W ten sposób stworzony </w:t>
      </w:r>
      <w:r w:rsidRPr="009A3C86">
        <w:rPr>
          <w:rFonts w:ascii="Times New Roman" w:eastAsia="Times New Roman" w:hAnsi="Times New Roman"/>
          <w:sz w:val="24"/>
          <w:szCs w:val="24"/>
        </w:rPr>
        <w:lastRenderedPageBreak/>
        <w:t>zostanie nowoczesny, sprawny ogólnokrajowy punkt jednolitej informacji na temat podatków dla podatników i pracowników administracji podatkowej. Stanowić to będzie również gwarancję jednolitych procedur oraz standardów w zakresie udzielania indywidualnych interpretacji.</w:t>
      </w:r>
    </w:p>
    <w:p w:rsidR="00045CB9" w:rsidRPr="009A3C86" w:rsidRDefault="00045CB9" w:rsidP="00045CB9">
      <w:pPr>
        <w:spacing w:after="0" w:line="360" w:lineRule="auto"/>
        <w:jc w:val="both"/>
        <w:rPr>
          <w:rFonts w:ascii="Times New Roman" w:eastAsia="Times New Roman" w:hAnsi="Times New Roman"/>
          <w:strike/>
          <w:sz w:val="24"/>
          <w:szCs w:val="24"/>
        </w:rPr>
      </w:pPr>
      <w:r w:rsidRPr="009A3C86">
        <w:rPr>
          <w:rFonts w:ascii="Times New Roman" w:eastAsia="Times New Roman" w:hAnsi="Times New Roman"/>
          <w:sz w:val="24"/>
          <w:szCs w:val="24"/>
        </w:rPr>
        <w:t>Dla sprawnego działania tego rozwiązania za uzasadnione należy uznać określenie zasad współdziałania i wymiany informacji pomiędzy centralnie zarządzaną Krajową Informacją Skarbową a podatkowymi organami samorządowymi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Zachowując co do zasady kształt aktualnie obowiązujących przepisów dotyczących interpretacji przepisów prawa podatkowego, wprowadzono zmiany polegające na dodaniu nowych rozwiązań oraz pominięciu tych przepisów, których stosowanie wzbudziło kontrowersje.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pierwszej kolejności dokonano zmiany w systematyce ustawy. Dotychczas przepisy o interpretacjach przepisów prawa podatkowego usytuowane były w dziale II ordynacji podatkowej „Organy podatkowe i ich właściwość” (rozdział 1a; art. 14a–14s). To  usytuowanie pomiędzy przepisami określającymi organy podatkowe oraz ich właściwość  mogło zostać uznane za odpowiednie w sytuacji, gdy ograniczone było do jednego przepisu kompetencyjnego (art. 14  § 1 pkt 2, § 3-6  o.p. w brzmieniu obowiązującym przed 1 stycznia 2003 r.)</w:t>
      </w:r>
      <w:r w:rsidRPr="009A3C86">
        <w:rPr>
          <w:rFonts w:ascii="Times New Roman" w:eastAsia="Times New Roman" w:hAnsi="Times New Roman"/>
          <w:sz w:val="24"/>
          <w:szCs w:val="24"/>
          <w:vertAlign w:val="superscript"/>
        </w:rPr>
        <w:footnoteReference w:id="498"/>
      </w:r>
      <w:r w:rsidRPr="009A3C86">
        <w:rPr>
          <w:rFonts w:ascii="Times New Roman" w:eastAsia="Times New Roman" w:hAnsi="Times New Roman"/>
          <w:sz w:val="24"/>
          <w:szCs w:val="24"/>
        </w:rPr>
        <w:t xml:space="preserve">. Z wprowadzeniem z tym dniem zmian polegających na dodaniu nowych jednostek redakcyjnych </w:t>
      </w:r>
      <w:r w:rsidRPr="009A3C86">
        <w:rPr>
          <w:rFonts w:ascii="Times New Roman" w:eastAsia="Times New Roman" w:hAnsi="Times New Roman"/>
          <w:b/>
          <w:sz w:val="24"/>
          <w:szCs w:val="24"/>
        </w:rPr>
        <w:t>(</w:t>
      </w:r>
      <w:r w:rsidRPr="009A3C86">
        <w:rPr>
          <w:rFonts w:ascii="Times New Roman" w:eastAsia="Times New Roman" w:hAnsi="Times New Roman"/>
          <w:sz w:val="24"/>
          <w:szCs w:val="24"/>
        </w:rPr>
        <w:t>art. 14-14c) i określeniu odrębnej procedury wydawania wiążących interpretacji, to usytuowanie należało uznać za nieodpowiednie. W późniejszym okresie te rozwiązania były rozbudowywane do obecnego systemu z własną odrębną procedurą i organami właściwymi wyłącznie w tego rodzaju sprawach. Z tego względu zaproponowano usytuowanie tych przepisów w dziale IV nowej ordynacji podatkowej „Postępowania szczególne”. Taką szczególną, odrębną procedurę stanowi obecnie postępowanie w sprawie interpretacji ogólnych oraz interpretacji indywidualnych przepisów prawa podatkowego. Ponadto w ramach systematyki rozdziału 1 dziale „Interpretacje i informacje dotyczące przepisów prawa podatkowego” wprowadzono dodatkowy podział, wyodrębniając cztery oddziały systematyzujące tematycznie przepisy z tego zakresu. Pozwala to na czytelniejsze usystematyzowanie tych przepisów oraz rozdzielenie poszczególnych instytucji. Przyczynia się również to poprawy ich przejrzystości, co powinno wpłynąć na łatwiejsze stosowanie tych regulacji przez zainteresowanych oraz organy KAS.</w:t>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Kolejne nowe rozwiązanie dotyczy obowiązku wydawania z urzędu przez ministra właściwego do spraw finansów publicznych, obok interpretacji ogólnych oraz objaśnień podatkowych, informacji o treści przepisów prawa podatkowego. Ten szczególny obowiązek dotyczy przede wszystkim nowych przepisów (art. 5</w:t>
      </w:r>
      <w:r w:rsidR="00222D36" w:rsidRPr="009A3C86">
        <w:rPr>
          <w:rFonts w:ascii="Times New Roman" w:eastAsia="Times New Roman" w:hAnsi="Times New Roman"/>
          <w:sz w:val="24"/>
          <w:szCs w:val="24"/>
        </w:rPr>
        <w:t>45 § 1 pkt 2 lit. a oraz art. 546</w:t>
      </w:r>
      <w:r w:rsidRPr="009A3C86">
        <w:rPr>
          <w:rFonts w:ascii="Times New Roman" w:eastAsia="Times New Roman" w:hAnsi="Times New Roman"/>
          <w:sz w:val="24"/>
          <w:szCs w:val="24"/>
        </w:rPr>
        <w:t xml:space="preserve">). Wskazanych obowiązków informacyjnych nie wypełnia to, iż do projekty aktów sporządzane jest uzasadnienie. Uzasadnienie to przede wszystkim skierowane jest do określonego kręgu odbiorców biorących udział w procesie legislacyjnym. Nie wypełnia zatem obowiązku informacji o tych regulacjach ogółu ich adresatów. Podstawowa funkcja uzasadnienia powoduje, że nie zawsze jest ono zupełne i czytelne dla wszystkich adresatów wprowadzanych rozwiązań prawnych. Ponadto odmienne funkcje objaśnień podatkowych -  usunięcie wątpliwości powstałych w toku stosowania prawa podatkowego i  ich często odległy okres publikacji od samego wejścia w życie nowych przepisów nie wypełniają tych obowiązków informacyjnych. Oczywiście są to dwie odrębne instytucje służące wsparciu podatnika w wypełnianiu obowiązków podatkowych.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zakresie interpretacji ogólnych nowym rozwiązaniem jest przewidziana dla ministra właściwego do spraw finansów publicznych możliwość przedstawiania pytań prawnych do Naczelnego Sądu Administracyjnego (</w:t>
      </w:r>
      <w:r w:rsidRPr="009A3C86">
        <w:rPr>
          <w:rFonts w:ascii="Times New Roman" w:eastAsia="Times New Roman" w:hAnsi="Times New Roman"/>
          <w:b/>
          <w:sz w:val="24"/>
          <w:szCs w:val="24"/>
        </w:rPr>
        <w:t xml:space="preserve">art. </w:t>
      </w:r>
      <w:r w:rsidR="00624069" w:rsidRPr="009A3C86">
        <w:rPr>
          <w:rFonts w:ascii="Times New Roman" w:eastAsia="Times New Roman" w:hAnsi="Times New Roman"/>
          <w:b/>
          <w:sz w:val="24"/>
          <w:szCs w:val="24"/>
        </w:rPr>
        <w:t>5</w:t>
      </w:r>
      <w:r w:rsidR="00222D36"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Wystąpienie z pytaniem prawnym musi być usprawiedliwione występowaniem rozbieżności powstałych w orzecznictwie sądowym w zakresie niezbędnym do wydania interpretacji ogólnej. Uprawnienie przyznane ministrowi właściwemu do spraw finansów publicznych do występowania z pytaniami prawnymi do NSA stanowi wyłącznie o dalszym wzmocnieniu interpretacji ogólnych. Na tym etapie powinno ostatecznie dochodzić do rozwiązywania problemów wykładni przepisów materialnego prawa podatkowego. Zapobiegnie to powstawaniu licznych sporów przed sądami administracyjnymi na etapie kontroli indywidualnych interpretacji oraz ograniczy kształtowanie rozbieżnego orzecznictwa sądowego. W praktyce, o czym świadczą dotychczasowe pytania kierowane przez składy orzekające NSA, rozbieżne orzecznictwo sądów na tle indywidualnych interpretacji prowadziło do podjęcia uchwał przez NSA dopiero w przypadku wielu tego rodzaju spraw zawisłych przed tym sądem.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zakresie interpretacji indywidualnych w dalszym ciągu przewidziano wydawanie tego rodzaju interpretacji przez podatkowe organy samorządowe. Zgodnie z aktualnie obowiązującym art. 14j § 1 o.p. organami obowiązanymi do udzielenia interpretacji są stosownie do swojej właściwości: wójt, burmistrz (prezydent miasta), starosta lub marszałek województwa. Przyjęcie takiej zasady oznacza, że wnioskodawca nie ma żadnej dowolności w wyborze organu udzielającego interpretacji. Musi natomiast zwrócić się z wnioskiem o wydanie interpretacji wyłącznie do jednego z organów wymienionych w art. 14j § 1</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wtedy, gdy </w:t>
      </w:r>
      <w:r w:rsidRPr="009A3C86">
        <w:rPr>
          <w:rFonts w:ascii="Times New Roman" w:eastAsia="Times New Roman" w:hAnsi="Times New Roman"/>
          <w:sz w:val="24"/>
          <w:szCs w:val="24"/>
        </w:rPr>
        <w:lastRenderedPageBreak/>
        <w:t xml:space="preserve">przedmiotem interpretacji są przepisy prawne dotyczące danin publicznych dla wymiaru, poboru i egzekucji, w których właściwy jest ten organ. Obecnie dotyczy to następujących podatków i opłat pozostających we właściwości rzeczowej wójta (burmistrza lub prezydenta miasta): podatku od nieruchomości, podatku rolnego, podatku leśnego, podatku od środków transportowych, opłaty targowej, opłaty miejscowej, opłaty uzdrowiskowej, opłaty reklamowej, opłaty od posiadania psów. W roli organów wydających interpretacje indywidualne nie mogą w obecnym stanie prawnym występować starostowie oraz marszałkowie województw, ponieważ przepisy prawa podatkowego w zasadzie nie przewidują dla nich kompetencji dotyczących wymiaru, poboru i egzekucji danin publicznych (z wyjątkami dotyczącymi opłaty eksploatacyjnej pobieranej na podstawie prawa geologicznego i górniczego).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Dane uzyskane z dużych miast wskazują, że liczba wydawanych tego rodzaju interpretacji indywidualnych jest nieznaczna (np. w 2014 r. w Warszawie wydano 28 interpretacji, w Krakowie - 15, w Łodzi - 14, w Katowicach - 11, w Szczecinie, Gdańsku, Wrocławiu, Poznaniu, Lublinie, Rzeszowie, Białymstoku, Olsztynie, Kielcach wydano mniej niż 10 interpretacji, w Opolu i Zielonej Górze nie wydano żadnej interpretacji).</w:t>
      </w:r>
      <w:r w:rsidRPr="009A3C86">
        <w:rPr>
          <w:rFonts w:ascii="Times New Roman" w:eastAsia="Times New Roman" w:hAnsi="Times New Roman"/>
          <w:sz w:val="24"/>
          <w:szCs w:val="24"/>
        </w:rPr>
        <w:tab/>
        <w:t>Również niewielka ilość tych interpretacji jest zaskarżana do sądów administracyjnych. Przykładowo w 2014 r. do NSA w tego rodzaju sprawach złożono 17 skarg kasacyjnych (w sprawach interpretacji wydanych przez Ministra Finansów 1495 skarg kasacyjnych).</w:t>
      </w:r>
      <w:r w:rsidRPr="009A3C86">
        <w:rPr>
          <w:rFonts w:ascii="Times New Roman" w:eastAsia="Times New Roman" w:hAnsi="Times New Roman"/>
          <w:sz w:val="24"/>
          <w:szCs w:val="24"/>
          <w:vertAlign w:val="superscript"/>
        </w:rPr>
        <w:footnoteReference w:id="499"/>
      </w:r>
      <w:r w:rsidRPr="009A3C86">
        <w:rPr>
          <w:rFonts w:ascii="Times New Roman" w:eastAsia="Times New Roman" w:hAnsi="Times New Roman"/>
          <w:sz w:val="24"/>
          <w:szCs w:val="24"/>
        </w:rPr>
        <w:t xml:space="preserve">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Ponadto w latach 2012-2014 w zakresie podatków pobieranych przez wójtów, burmistrzów (prezydentów miast) złożono zaledwie 26 wniosków o wydanie interpretacji ogólnej, a tylko jeden wniosek spełniał przesłanki do jej wydania, co świadczy o niedużej skali rozbieżnych interpretacji odnoszących się do tego samego stanu faktycznego</w:t>
      </w:r>
      <w:r w:rsidRPr="009A3C86">
        <w:rPr>
          <w:rFonts w:ascii="Times New Roman" w:eastAsia="Times New Roman" w:hAnsi="Times New Roman"/>
          <w:sz w:val="24"/>
          <w:szCs w:val="24"/>
          <w:vertAlign w:val="superscript"/>
        </w:rPr>
        <w:footnoteReference w:id="500"/>
      </w:r>
      <w:r w:rsidRPr="009A3C86">
        <w:rPr>
          <w:rFonts w:ascii="Times New Roman" w:eastAsia="Times New Roman" w:hAnsi="Times New Roman"/>
          <w:sz w:val="24"/>
          <w:szCs w:val="24"/>
        </w:rPr>
        <w:t xml:space="preserve">.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Podane dane o niewielkiej ilości wydanych interpretacji indywidualnych przepisów prawa podatkowego przez uprawnione samorządowe organy podatkowe przemawiają za ich objęciem jednolitą procedurą. Wobec  negatywnej reakcji gmin na wprowadzenie tego rodzaju rozwiązania pozostawiono dotychczasowe rozwiązanie uprawniające podatkowe organy samorządowe w zakresie ich właściwości do wydawania na wniosek zainteresowanego interpretacji  indywidualnych. Obowiązujące ustawy określają tryb i zasady ustalania przez jednostki samorządu terytorialnego wysokości podatków, a także opłat lokalnych. Artykuł 168 </w:t>
      </w:r>
      <w:r w:rsidRPr="009A3C86">
        <w:rPr>
          <w:rFonts w:ascii="Times New Roman" w:eastAsia="Times New Roman" w:hAnsi="Times New Roman"/>
          <w:sz w:val="24"/>
          <w:szCs w:val="24"/>
        </w:rPr>
        <w:lastRenderedPageBreak/>
        <w:t>Konstytucji RP traktuje o władztwie podatkowym samorządu terytorialnego, ale tylko w odniesieniu do podatków i opłat lokalnych. W tym zakresie gmina może ustalać wysokość tych danin; tak więc wspomniane władztwo podatkowe samorządu terytorialnego powoduje, że w zakresie stanowienia w uchwałach samorząd ma wpływ na ustalanie wysokości danin. Akty prawa miejscowego mogą w szczególności określać stawki podatków i innych opłat, ustawodawca musi jednak wyznaczyć zakres swobody regulacyjnej przysługującej upoważnionym organom. Zważywszy jednak na kategoryczne brzmienie art. 217 Konstytucji, gwarancyjną funkcję art. 84 Konstytucji i brak innej niż art. 168 Konstytucji regulacji odnoszącej się do realizacji władztwa daninowego przez jednostki samorządu terytorialnego, należy uznać, że to organ władzy ustawodawczej rozstrzyga o ustanowieniu podatków i opłat, o nadaniu im charakteru lokalnego oraz granicach, w jakich jednostki samorządu terytorialnego mogą zrealizować prawo do ustalania wysokości tych podatków i opłat. W granicach wyznaczonych przez zasadę decentralizacji, zastrzeżenie na poziomie konstytucyjnym dla jednostek samorządu terytorialnego kompetencji do stanowienia o wysokości podatków lub opłat lokalnych należy rozumieć jako przekazanie - przyznanie, a nie przekazanie - przeniesienie wykonywania kompetencji prawodawczej o określonej treści. Przyznanie to musi odpowiadać wymaganiom stawianym przez konstytucyjną koncepcję źródeł prawa (art. 87 ust. 2, art. 88 ust. 1, art. 94 Konstytucji)</w:t>
      </w:r>
      <w:r w:rsidRPr="009A3C86">
        <w:rPr>
          <w:rFonts w:ascii="Times New Roman" w:eastAsia="Times New Roman" w:hAnsi="Times New Roman"/>
          <w:sz w:val="24"/>
          <w:szCs w:val="24"/>
          <w:vertAlign w:val="superscript"/>
        </w:rPr>
        <w:footnoteReference w:id="501"/>
      </w:r>
      <w:r w:rsidRPr="009A3C86">
        <w:rPr>
          <w:rFonts w:ascii="Times New Roman" w:eastAsia="Times New Roman" w:hAnsi="Times New Roman"/>
          <w:sz w:val="24"/>
          <w:szCs w:val="24"/>
        </w:rPr>
        <w:t>. Jak dowodzi orzecznictwo sądowe, główne spory interpretacyjne koncentrują się na wykładni przepisów poszczególnych ustaw podatkowych</w:t>
      </w:r>
      <w:r w:rsidRPr="009A3C86">
        <w:rPr>
          <w:rFonts w:ascii="Times New Roman" w:eastAsia="Times New Roman" w:hAnsi="Times New Roman"/>
          <w:sz w:val="24"/>
          <w:szCs w:val="24"/>
          <w:vertAlign w:val="superscript"/>
        </w:rPr>
        <w:footnoteReference w:id="502"/>
      </w:r>
      <w:r w:rsidRPr="009A3C86">
        <w:rPr>
          <w:rFonts w:ascii="Times New Roman" w:eastAsia="Times New Roman" w:hAnsi="Times New Roman"/>
          <w:sz w:val="24"/>
          <w:szCs w:val="24"/>
        </w:rPr>
        <w:t xml:space="preserve">. Zatem dążąc do stworzenia jednolitego systemu udzielania interpretacji wprowadzono uprawnienia dla ministra właściwego do spraw finansów publicznych do weryfikacji prawidłowości wydanych przez samorządowe organy podatkowe interpretacji indywidualnych. Centralizacja procesu wydawania interpretacji indywidualnych od 2007 r. miała m.in. zapobiec rozbieżnemu stosowaniu prawa podatkowego oraz doprowadzić do stworzenia jednolitej bazy wiedzy o tych interpretacjach. Ten proces nie objął interpretacji wydawanych przez podatkowe organy samorządowe. Efektem tego jest brak pełnej bazy danych o tym, jaka ilość tego rodzaju interpretacji jest wydawana oraz jaka jest ich treść. Z tego względu wzmocnienie nadzoru nad prawidłowością wydawania interpretacji obejmie również tego rodzaju interpretacje w odniesieniu do podatków stanowiących dochody samorządowe. Po pierwsze, w aktualnym stanie tego rodzaju rozwiązanie stosowane jest w odniesieniu do stanowiących dochody gmin podatku od czynności cywilnoprawnych, podatku od spadków i darowizn oraz PIT opłacanego </w:t>
      </w:r>
      <w:r w:rsidRPr="009A3C86">
        <w:rPr>
          <w:rFonts w:ascii="Times New Roman" w:eastAsia="Times New Roman" w:hAnsi="Times New Roman"/>
          <w:sz w:val="24"/>
          <w:szCs w:val="24"/>
        </w:rPr>
        <w:lastRenderedPageBreak/>
        <w:t>w formie karty podatkowej. Po drugie, minister właściwy do spraw finansów publicznych dla zapewnienia jednolitości stosowania przepisów prawa podatkowego wydaje interpretacje ogólne w zakresie wszystkich podatków (art. 14a § 1</w:t>
      </w:r>
      <w:r w:rsidR="00B4755B"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pkt 1</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o.p.).</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Równocześnie interpretacje indywidualne tego rodzaju, obok ich publikacji na ogólnych zasadach, będą również zamieszczane w Biuletynie Informacji Publicznej na stronie podmiotowej urzędu obsługującego wójta, burmistrza (prezydenta miasta), starosty lub marszałka województwa, zostaną zmieszczone w jednolitym zbiorze zawierającym całość interpretacji indywidualnych w Biuletynie Informacji Publicznej na stronie podmiotowej urzędu obsługującego Dyrektora Krajowej Informacji Skarbowej.   </w:t>
      </w:r>
    </w:p>
    <w:p w:rsidR="00045CB9" w:rsidRPr="009A3C86" w:rsidRDefault="00045CB9" w:rsidP="00D72E74">
      <w:pPr>
        <w:keepNext/>
        <w:suppressAutoHyphens/>
        <w:spacing w:before="120" w:after="0" w:line="360" w:lineRule="auto"/>
        <w:jc w:val="both"/>
        <w:rPr>
          <w:rFonts w:ascii="Times New Roman" w:hAnsi="Times New Roman"/>
          <w:b/>
          <w:bCs/>
          <w:sz w:val="24"/>
          <w:szCs w:val="24"/>
          <w:lang w:eastAsia="pl-PL"/>
        </w:rPr>
      </w:pPr>
      <w:r w:rsidRPr="009A3C86">
        <w:rPr>
          <w:rFonts w:ascii="Times New Roman" w:hAnsi="Times New Roman"/>
          <w:b/>
          <w:sz w:val="24"/>
          <w:szCs w:val="24"/>
          <w:lang w:eastAsia="pl-PL"/>
        </w:rPr>
        <w:t>Odział 1.</w:t>
      </w:r>
      <w:r w:rsidRPr="009A3C86">
        <w:rPr>
          <w:rFonts w:ascii="Times New Roman" w:hAnsi="Times New Roman"/>
          <w:b/>
          <w:bCs/>
          <w:i/>
          <w:iCs/>
          <w:sz w:val="24"/>
          <w:szCs w:val="24"/>
          <w:lang w:eastAsia="pl-PL"/>
        </w:rPr>
        <w:t xml:space="preserve"> </w:t>
      </w:r>
      <w:r w:rsidRPr="009A3C86">
        <w:rPr>
          <w:rFonts w:ascii="Times New Roman" w:hAnsi="Times New Roman"/>
          <w:b/>
          <w:sz w:val="24"/>
          <w:szCs w:val="24"/>
          <w:lang w:eastAsia="pl-PL"/>
        </w:rPr>
        <w:t>Przepisy ogólne, informacje o treści przepisów prawa podatkowego oraz objaśnienia podatkowe</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Powołanie z dniem 1 marca 2017 r. Szefa Krajowej Administracji Skarbowej i przejęcie przez ten organ niektórych kompetencji ministra właściwego do spraw finansów publicznych spowodowało, że z tym dniem ogólny nadzór w sprawach podatkowych sprawuje ten organ (art. 14 § 1  o.p.)</w:t>
      </w:r>
      <w:r w:rsidRPr="009A3C86">
        <w:rPr>
          <w:rFonts w:ascii="Times New Roman" w:eastAsia="Times New Roman" w:hAnsi="Times New Roman"/>
          <w:sz w:val="24"/>
          <w:szCs w:val="24"/>
          <w:vertAlign w:val="superscript"/>
        </w:rPr>
        <w:footnoteReference w:id="503"/>
      </w:r>
      <w:r w:rsidRPr="009A3C86">
        <w:rPr>
          <w:rFonts w:ascii="Times New Roman" w:eastAsia="Times New Roman" w:hAnsi="Times New Roman"/>
          <w:sz w:val="24"/>
          <w:szCs w:val="24"/>
        </w:rPr>
        <w:t>. W projekcie nowej ordynacji podatkowej w art. 7</w:t>
      </w:r>
      <w:r w:rsidR="00624069" w:rsidRPr="009A3C86">
        <w:rPr>
          <w:rFonts w:ascii="Times New Roman" w:eastAsia="Times New Roman" w:hAnsi="Times New Roman"/>
          <w:sz w:val="24"/>
          <w:szCs w:val="24"/>
        </w:rPr>
        <w:t>1</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 przyjęto, że minister właściwy do spraw finansów publicznych sprawuje ogólny nadzór w sprawach podatkowych. Powoduje to, że  minister właściwy do spraw finansów publicznych posiada kompetencje w zakresie legislacji podatkowej oraz wydawania interpretacji ogólnych. To właśnie z tego tytułu należy od ministra właściwego do spraw finansów publicznych oczekiwać, że potrafi prawidłowo odczytać (zrozumieć) i potem stosować przepisy prawa podatkowego.</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 tego względu w </w:t>
      </w:r>
      <w:r w:rsidRPr="009A3C86">
        <w:rPr>
          <w:rFonts w:ascii="Times New Roman" w:eastAsia="Times New Roman" w:hAnsi="Times New Roman"/>
          <w:b/>
          <w:sz w:val="24"/>
          <w:szCs w:val="24"/>
        </w:rPr>
        <w:t>art. 5</w:t>
      </w:r>
      <w:r w:rsidR="00222D36"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przewidziano uprawnienie ministra właściwego do spraw finansów publicznych do wydawania interpretacji ogólnych przepisów prawa podatkowego na zasadach określonych w oddziale 2 tego rozdziału. Z kolei obowiązek informowania o treści przepisów prawa podatkowego skoncentrowany zostanie na nowych przepisach. W tym zakresie nałożono na ministra właściwego do spraw finansów publicznych obowiązek wydawania z urzędu i bez zbędnej zwłoki, także przed ich wejściem w życie, informacji, w jakim zakresie przepisy te wpływają na prawa i obowiązki podatnika (</w:t>
      </w:r>
      <w:r w:rsidRPr="009A3C86">
        <w:rPr>
          <w:rFonts w:ascii="Times New Roman" w:eastAsia="Times New Roman" w:hAnsi="Times New Roman"/>
          <w:b/>
          <w:sz w:val="24"/>
          <w:szCs w:val="24"/>
        </w:rPr>
        <w:t>art. 5</w:t>
      </w:r>
      <w:r w:rsidR="00222D36" w:rsidRPr="009A3C86">
        <w:rPr>
          <w:rFonts w:ascii="Times New Roman" w:eastAsia="Times New Roman" w:hAnsi="Times New Roman"/>
          <w:b/>
          <w:sz w:val="24"/>
          <w:szCs w:val="24"/>
        </w:rPr>
        <w:t>46</w:t>
      </w:r>
      <w:r w:rsidRPr="009A3C86">
        <w:rPr>
          <w:rFonts w:ascii="Times New Roman" w:eastAsia="Times New Roman" w:hAnsi="Times New Roman"/>
          <w:sz w:val="24"/>
          <w:szCs w:val="24"/>
        </w:rPr>
        <w:t xml:space="preserve">). Powinno to przyczynić się do upowszechnia wiedzy na temat nowych rozwiązań podatkowych, tak aby podatnicy nie byli zaskakiwani ich wprowadzeniem oraz zapobiec potencjalnym sporom na tle ich stosowania, tym bardziej że informacja w tym zakresie będzie publikowana w sposób powszechnie dostępny.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Równocześnie z uwagi na to, że jednym z zadań, które będzie realizował Rzecznik Praw Podatnika (RPP), jest zapewnienie szerokiego dostępu do interpretacji i wyjaśnień w sprawach podatkowych wydawanych przez ministra właściwego do spraw finansów publicznych (interpretacje ogólne) oraz Dyrektora Krajowej Informacji Skarbowej (interpretacje indywidualne), przewidziano inicjowanie usuwania niejasności w stosowaniu przepisów prawa podatkowego w drodze objaśnień podatkowych wydawanych przez ministra właściwego do spraw finansów publicznych. W tym celu w </w:t>
      </w:r>
      <w:r w:rsidRPr="009A3C86">
        <w:rPr>
          <w:rFonts w:ascii="Times New Roman" w:eastAsia="Times New Roman" w:hAnsi="Times New Roman"/>
          <w:b/>
          <w:sz w:val="24"/>
          <w:szCs w:val="24"/>
        </w:rPr>
        <w:t>art. 5</w:t>
      </w:r>
      <w:r w:rsidR="00063AE3" w:rsidRPr="009A3C86">
        <w:rPr>
          <w:rFonts w:ascii="Times New Roman" w:eastAsia="Times New Roman" w:hAnsi="Times New Roman"/>
          <w:b/>
          <w:sz w:val="24"/>
          <w:szCs w:val="24"/>
        </w:rPr>
        <w:t>45</w:t>
      </w:r>
      <w:r w:rsidRPr="009A3C86">
        <w:rPr>
          <w:rFonts w:ascii="Times New Roman" w:eastAsia="Times New Roman" w:hAnsi="Times New Roman"/>
          <w:b/>
          <w:sz w:val="24"/>
          <w:szCs w:val="24"/>
        </w:rPr>
        <w:t xml:space="preserve"> § </w:t>
      </w:r>
      <w:r w:rsidR="00A13832" w:rsidRPr="009A3C86">
        <w:rPr>
          <w:rFonts w:ascii="Times New Roman" w:eastAsia="Times New Roman" w:hAnsi="Times New Roman"/>
          <w:b/>
          <w:sz w:val="24"/>
          <w:szCs w:val="24"/>
        </w:rPr>
        <w:t>3</w:t>
      </w:r>
      <w:r w:rsidRPr="009A3C86">
        <w:rPr>
          <w:rFonts w:ascii="Times New Roman" w:eastAsia="Times New Roman" w:hAnsi="Times New Roman"/>
          <w:sz w:val="24"/>
          <w:szCs w:val="24"/>
        </w:rPr>
        <w:t xml:space="preserve"> przyznano RPP uprawnienie do występowania z wnioskiem o wydanie objaśnień podatkowych. Wniosek powinien zostać załatwiony w terminie </w:t>
      </w:r>
      <w:r w:rsidR="00A13832" w:rsidRPr="009A3C86">
        <w:rPr>
          <w:rFonts w:ascii="Times New Roman" w:eastAsia="Times New Roman" w:hAnsi="Times New Roman"/>
          <w:sz w:val="24"/>
          <w:szCs w:val="24"/>
        </w:rPr>
        <w:t>sześciu</w:t>
      </w:r>
      <w:r w:rsidRPr="009A3C86">
        <w:rPr>
          <w:rFonts w:ascii="Times New Roman" w:eastAsia="Times New Roman" w:hAnsi="Times New Roman"/>
          <w:sz w:val="24"/>
          <w:szCs w:val="24"/>
        </w:rPr>
        <w:t xml:space="preserve"> miesięcy chyba, że istniały uzasadnione powody uniemożliwiające wydanie przez ministra właściwego do spraw finansów publicznych objaśnień podatkowych. W tym samym terminie o przyczynach ich niewydania RPP powinien zostać poinformowany.</w:t>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Przedmiotem interpretacji ogólnych i indywidualnych oraz informacji i objaśnień są przepisy prawa podatkowego w rozumieniu przyjętym w art. 13 pkt 15 projektu. Podobnie jak dotychczas (art. 3 pkt 2 i 3</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w związku z pkt 1 o.p.) oznacza to, że interpretacji (zarówno ogólnej, jak i indywidualnej) podlegają nie tylko </w:t>
      </w:r>
      <w:r w:rsidRPr="009A3C86">
        <w:rPr>
          <w:rFonts w:ascii="Times New Roman" w:eastAsia="Times New Roman" w:hAnsi="Times New Roman"/>
          <w:i/>
          <w:iCs/>
          <w:sz w:val="24"/>
          <w:szCs w:val="24"/>
        </w:rPr>
        <w:t>stricte</w:t>
      </w:r>
      <w:r w:rsidRPr="009A3C86">
        <w:rPr>
          <w:rFonts w:ascii="Times New Roman" w:eastAsia="Times New Roman" w:hAnsi="Times New Roman"/>
          <w:sz w:val="24"/>
          <w:szCs w:val="24"/>
        </w:rPr>
        <w:t xml:space="preserve"> przepisy ustaw podatkowych, ale także przepisy innych ustaw wprowadzających opłaty oraz niepodatkowe należności budżetowe. W odniesieniu do organów Krajowej Administracji Skarbowej, obowiązki jej Szefa w tym zakresie wynikają przede wszystkim z jego kompetencji w zakresie sprawowania nadzoru ogólnego w sprawach podatkowych. To właśnie z tego tytułu należy od Szefa Krajowej Administracji Skarbowej oczekiwać działań, dzięki którym podległe mu organy potrafią prawidłowo odczytać (zrozumieć) i potem stosować przepisy prawa podatkowego. Większość obowiązków w zakresie wydawania interpretacji indywidualnych i informacji o przepisach prawa podatkowego skoncentrowano w specjalnie do tego celu utworzonym organie Krajowej Administracji Skarbowej, jakim jest od dnia 1 marca 2017 r. Dyrektor Krajowej Informacji Skarbowej</w:t>
      </w:r>
      <w:r w:rsidRPr="009A3C86">
        <w:rPr>
          <w:rFonts w:ascii="Times New Roman" w:eastAsia="Times New Roman" w:hAnsi="Times New Roman"/>
          <w:sz w:val="24"/>
          <w:szCs w:val="24"/>
          <w:vertAlign w:val="superscript"/>
        </w:rPr>
        <w:footnoteReference w:id="504"/>
      </w:r>
      <w:r w:rsidRPr="009A3C86">
        <w:rPr>
          <w:rFonts w:ascii="Times New Roman" w:eastAsia="Times New Roman" w:hAnsi="Times New Roman"/>
          <w:sz w:val="24"/>
          <w:szCs w:val="24"/>
        </w:rPr>
        <w:t>. Należy przy tym zaznaczyć, iż już w chwili obecnej funkcjonują obszary działania administracji podatkowej, w których podatnikom udzielane są telefonicznie informacje podatkowe.</w:t>
      </w:r>
    </w:p>
    <w:p w:rsidR="00045CB9" w:rsidRPr="009A3C86" w:rsidRDefault="00045CB9" w:rsidP="00045CB9">
      <w:pPr>
        <w:suppressAutoHyphens/>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W </w:t>
      </w:r>
      <w:r w:rsidRPr="009A3C86">
        <w:rPr>
          <w:rFonts w:ascii="Times New Roman" w:hAnsi="Times New Roman"/>
          <w:b/>
          <w:sz w:val="24"/>
          <w:szCs w:val="24"/>
          <w:lang w:eastAsia="pl-PL"/>
        </w:rPr>
        <w:t>art. 5</w:t>
      </w:r>
      <w:r w:rsidR="00063AE3" w:rsidRPr="009A3C86">
        <w:rPr>
          <w:rFonts w:ascii="Times New Roman" w:hAnsi="Times New Roman"/>
          <w:b/>
          <w:sz w:val="24"/>
          <w:szCs w:val="24"/>
          <w:lang w:eastAsia="pl-PL"/>
        </w:rPr>
        <w:t>47</w:t>
      </w:r>
      <w:r w:rsidRPr="009A3C86">
        <w:rPr>
          <w:rFonts w:ascii="Times New Roman" w:hAnsi="Times New Roman"/>
          <w:sz w:val="24"/>
          <w:szCs w:val="24"/>
          <w:lang w:eastAsia="pl-PL"/>
        </w:rPr>
        <w:t xml:space="preserve"> i </w:t>
      </w:r>
      <w:r w:rsidRPr="009A3C86">
        <w:rPr>
          <w:rFonts w:ascii="Times New Roman" w:hAnsi="Times New Roman"/>
          <w:b/>
          <w:sz w:val="24"/>
          <w:szCs w:val="24"/>
          <w:lang w:eastAsia="pl-PL"/>
        </w:rPr>
        <w:t>art. 5</w:t>
      </w:r>
      <w:r w:rsidR="00063AE3" w:rsidRPr="009A3C86">
        <w:rPr>
          <w:rFonts w:ascii="Times New Roman" w:hAnsi="Times New Roman"/>
          <w:b/>
          <w:sz w:val="24"/>
          <w:szCs w:val="24"/>
          <w:lang w:eastAsia="pl-PL"/>
        </w:rPr>
        <w:t>48</w:t>
      </w:r>
      <w:r w:rsidRPr="009A3C86">
        <w:rPr>
          <w:rFonts w:ascii="Times New Roman" w:hAnsi="Times New Roman"/>
          <w:sz w:val="24"/>
          <w:szCs w:val="24"/>
          <w:lang w:eastAsia="pl-PL"/>
        </w:rPr>
        <w:t xml:space="preserve"> przewidziano obowiązek aktualizowania informacji i objaśnień podatkowych w zależności od zmieniającego się orzecznictwa sądowego oraz obowiązek ich publikacji. W przypadku istotnej zmiany lub wprowadzenia nowych przepisów prawa </w:t>
      </w:r>
      <w:r w:rsidRPr="009A3C86">
        <w:rPr>
          <w:rFonts w:ascii="Times New Roman" w:hAnsi="Times New Roman"/>
          <w:sz w:val="24"/>
          <w:szCs w:val="24"/>
          <w:lang w:eastAsia="pl-PL"/>
        </w:rPr>
        <w:lastRenderedPageBreak/>
        <w:t xml:space="preserve">podatkowego powinien istnieć obowiązek udzielenie informacji ogólnej w jakim zakresie przepisy te wpływają na prawa i obowiązki podatnika. Nie może to pozostawać w sferze uznania organu. Tym bardziej, że w ten sposób można uniknąć wielu błędów popełnianych przez podatników oraz wyeliminować potencjalne spory w zakresie stosowania nowych przepisów. Również w odpowiednim czasie powinna nastąpić reakcja uwzględniająca orzecznictwo sądów, Trybunału Konstytucyjnego oraz Trybunału Sprawiedliwości Unii Europejskiej. Dotyczy to w szczególności wydanych interpretacji ogólnych inspirowanych tym orzecznictwem. Należy pamiętać, że w tym zakresie w </w:t>
      </w:r>
      <w:r w:rsidRPr="009A3C86">
        <w:rPr>
          <w:rFonts w:ascii="Times New Roman" w:hAnsi="Times New Roman"/>
          <w:b/>
          <w:sz w:val="24"/>
          <w:szCs w:val="24"/>
          <w:lang w:eastAsia="pl-PL"/>
        </w:rPr>
        <w:t>art. 5</w:t>
      </w:r>
      <w:r w:rsidR="00063AE3" w:rsidRPr="009A3C86">
        <w:rPr>
          <w:rFonts w:ascii="Times New Roman" w:hAnsi="Times New Roman"/>
          <w:b/>
          <w:sz w:val="24"/>
          <w:szCs w:val="24"/>
          <w:lang w:eastAsia="pl-PL"/>
        </w:rPr>
        <w:t>50</w:t>
      </w:r>
      <w:r w:rsidRPr="009A3C86">
        <w:rPr>
          <w:rFonts w:ascii="Times New Roman" w:hAnsi="Times New Roman"/>
          <w:b/>
          <w:sz w:val="24"/>
          <w:szCs w:val="24"/>
          <w:lang w:eastAsia="pl-PL"/>
        </w:rPr>
        <w:t xml:space="preserve"> § 3</w:t>
      </w:r>
      <w:r w:rsidRPr="009A3C86">
        <w:rPr>
          <w:rFonts w:ascii="Times New Roman" w:hAnsi="Times New Roman"/>
          <w:sz w:val="24"/>
          <w:szCs w:val="24"/>
          <w:lang w:eastAsia="pl-PL"/>
        </w:rPr>
        <w:t xml:space="preserve"> przyznano ministrowi właściwemu do spraw finansów publicznych uprawnienie do wystąpienia do Naczelnego Sądu Administracyjnego z wnioskiem w sprawie rozstrzygnięcia rozbieżności powstałych w orzecznictwie sądowym.</w:t>
      </w:r>
      <w:r w:rsidR="003D769C" w:rsidRPr="009A3C86">
        <w:rPr>
          <w:rFonts w:ascii="Times New Roman" w:hAnsi="Times New Roman"/>
          <w:sz w:val="24"/>
          <w:szCs w:val="24"/>
          <w:lang w:eastAsia="pl-PL"/>
        </w:rPr>
        <w:t xml:space="preserve"> </w:t>
      </w:r>
      <w:r w:rsidRPr="009A3C86">
        <w:rPr>
          <w:rFonts w:ascii="Times New Roman" w:hAnsi="Times New Roman"/>
          <w:sz w:val="24"/>
          <w:szCs w:val="24"/>
          <w:lang w:eastAsia="pl-PL"/>
        </w:rPr>
        <w:t>Incydentalne przypadki wystąpienia sądu administracyjnego z pytaniem prejudycjalnym do TSUE, pomimo istnienie wcześniej ukształtowanej jednolitej  linii orzeczniczej nie powinny mieć wpływu na zmianę tych zasad.</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54</w:t>
      </w:r>
      <w:r w:rsidR="00063AE3" w:rsidRPr="009A3C86">
        <w:rPr>
          <w:rFonts w:ascii="Times New Roman" w:eastAsia="Times New Roman" w:hAnsi="Times New Roman"/>
          <w:b/>
          <w:sz w:val="24"/>
          <w:szCs w:val="24"/>
        </w:rPr>
        <w:t>9</w:t>
      </w:r>
      <w:r w:rsidRPr="009A3C86">
        <w:rPr>
          <w:rFonts w:ascii="Times New Roman" w:eastAsia="Times New Roman" w:hAnsi="Times New Roman"/>
          <w:sz w:val="24"/>
          <w:szCs w:val="24"/>
        </w:rPr>
        <w:t xml:space="preserve"> przewidziano, że na tych samych zasadach interpretacje i informacje o przepisach prawa podatkowego będą udzielane innym zobowiązanym, a więc obok podatników – płatnikom, inkasentom, osobom trzecim oraz następcom prawnym w zakresie ich należności. Ponadto przedmiotem interpretacji mogą być należności zrównane z zaległością podatkową (art. 16</w:t>
      </w:r>
      <w:r w:rsidR="00F6757D" w:rsidRPr="009A3C86">
        <w:rPr>
          <w:rFonts w:ascii="Times New Roman" w:eastAsia="Times New Roman" w:hAnsi="Times New Roman"/>
          <w:sz w:val="24"/>
          <w:szCs w:val="24"/>
        </w:rPr>
        <w:t>1</w:t>
      </w:r>
      <w:r w:rsidRPr="009A3C86">
        <w:rPr>
          <w:rFonts w:ascii="Times New Roman" w:eastAsia="Times New Roman" w:hAnsi="Times New Roman"/>
          <w:sz w:val="24"/>
          <w:szCs w:val="24"/>
        </w:rPr>
        <w:t xml:space="preserve"> § 1). Rozwiązanie to stanowi akceptację obecnie obowiązujących reguł na gruncie art.</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14p o.p., potwierdzonych w orzecznictwie sądowym</w:t>
      </w:r>
      <w:r w:rsidRPr="009A3C86">
        <w:rPr>
          <w:rFonts w:ascii="Times New Roman" w:eastAsia="Times New Roman" w:hAnsi="Times New Roman"/>
          <w:sz w:val="24"/>
          <w:szCs w:val="24"/>
          <w:vertAlign w:val="superscript"/>
        </w:rPr>
        <w:footnoteReference w:id="505"/>
      </w:r>
      <w:r w:rsidRPr="009A3C86">
        <w:rPr>
          <w:rFonts w:ascii="Times New Roman" w:eastAsia="Times New Roman" w:hAnsi="Times New Roman"/>
          <w:sz w:val="24"/>
          <w:szCs w:val="24"/>
        </w:rPr>
        <w:t xml:space="preserve">. W orzecznictwie potwierdzono m.in. legitymację osoby trzeciej do wszczęcia postępowania o wydanie interpretacji indywidualnej. W takiej sytuacji organ nie może odmówić wszczęcia postępowania interpretacyjnego. Umieszczenie tego przepisu w tym oddziale jest usprawiedliwione tym, że zawiera on również regulacje ogólne dla całego rozdziału tj. odnoszące się zarówno do informacji ogólnych, objaśnień podatkowych, jak i interpretacji ogólnych i interpretacji indywidualnych. Zastosowanie przepisów całego rozdziału odnosi się w ten sposób do należności innych niż zobowiązany np. płatnik, inkasent, osoba trzecia, następca prawny oraz zobowiązanych do zwrotu nienależnie zwróconej nadpłaty </w:t>
      </w:r>
      <w:r w:rsidRPr="009A3C86">
        <w:rPr>
          <w:rFonts w:ascii="Times New Roman" w:eastAsia="Times New Roman" w:hAnsi="Times New Roman"/>
          <w:b/>
          <w:bCs/>
          <w:sz w:val="24"/>
          <w:szCs w:val="24"/>
        </w:rPr>
        <w:t>(</w:t>
      </w:r>
      <w:r w:rsidRPr="009A3C86">
        <w:rPr>
          <w:rFonts w:ascii="Times New Roman" w:eastAsia="Times New Roman" w:hAnsi="Times New Roman"/>
          <w:sz w:val="24"/>
          <w:szCs w:val="24"/>
        </w:rPr>
        <w:t>art. 16</w:t>
      </w:r>
      <w:r w:rsidR="00063AE3" w:rsidRPr="009A3C86">
        <w:rPr>
          <w:rFonts w:ascii="Times New Roman" w:eastAsia="Times New Roman" w:hAnsi="Times New Roman"/>
          <w:sz w:val="24"/>
          <w:szCs w:val="24"/>
        </w:rPr>
        <w:t>1</w:t>
      </w:r>
      <w:r w:rsidRPr="009A3C86">
        <w:rPr>
          <w:rFonts w:ascii="Times New Roman" w:eastAsia="Times New Roman" w:hAnsi="Times New Roman"/>
          <w:sz w:val="24"/>
          <w:szCs w:val="24"/>
        </w:rPr>
        <w:t xml:space="preserve"> § 1).  </w:t>
      </w:r>
    </w:p>
    <w:p w:rsidR="00045CB9" w:rsidRPr="009A3C86" w:rsidRDefault="00045CB9" w:rsidP="00D72E74">
      <w:pPr>
        <w:keepNext/>
        <w:keepLines/>
        <w:spacing w:before="120" w:after="0" w:line="360" w:lineRule="auto"/>
        <w:jc w:val="both"/>
        <w:outlineLvl w:val="3"/>
        <w:rPr>
          <w:rFonts w:ascii="Times New Roman" w:hAnsi="Times New Roman"/>
          <w:b/>
          <w:sz w:val="24"/>
          <w:szCs w:val="24"/>
        </w:rPr>
      </w:pPr>
      <w:bookmarkStart w:id="76" w:name="_Toc494363299"/>
      <w:bookmarkStart w:id="77" w:name="_Toc494363300"/>
      <w:r w:rsidRPr="009A3C86">
        <w:rPr>
          <w:rFonts w:ascii="Times New Roman" w:hAnsi="Times New Roman"/>
          <w:b/>
          <w:sz w:val="24"/>
          <w:szCs w:val="24"/>
        </w:rPr>
        <w:t>Oddział 2. Interpretacje ogólne</w:t>
      </w:r>
      <w:bookmarkEnd w:id="76"/>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W przepisach tego oddziału uregulowano całościowo podstawy prawne interpretacji ogólnych wydawanych zarówno z urzędu, jak i na wniosek. Istota ogólnych interpretacji podatkowych tkwi w tym, że mają one na celu zapewnienie jednolitego stosowania prawa podatkowego przez organy podatkowe oraz inne organy administracji publicznej stosujące </w:t>
      </w:r>
      <w:r w:rsidRPr="009A3C86">
        <w:rPr>
          <w:rFonts w:ascii="Times New Roman" w:eastAsia="Times New Roman" w:hAnsi="Times New Roman"/>
          <w:sz w:val="24"/>
          <w:szCs w:val="24"/>
        </w:rPr>
        <w:lastRenderedPageBreak/>
        <w:t xml:space="preserve">przepisy prawa podatkowego. Jednolitość tę nie jest łatwo utrzymać, skoro interpretacja i stosowanie prawa podatkowego należy do samodzielnych kompetencji organów podatkowych oraz do niezawisłych sądów i trybunałów, w tym do Trybunału Sprawiedliwości Unii Europejskiej. Aby wydać z urzędu interpretację ogólną wskazującą na potrzebę jednolitego stosowania przepisów prawa podatkowego, organ właściwy powinien prowadzić w sposób stały i ciągły odpowiednią obserwację i analizę orzecznictwa podatkowego organów podatkowych oraz sądów administracyjnych i Trybunału Konstytucyjnego, a także Trybunału Sprawiedliwości UE. Tylko bowiem na tej podstawie będzie możliwa ocena, czy występuje niejednolitość w stosowaniu przepisów prawa podatkowego, w jakim zakresie i z jakiego powodu. Wtedy też można podejmować odpowiednie działania organizacyjne (wydawanie interpretacji ogólnych) lub legislacyjne (projektowanie zmian ustawowych lub zmian rozporządzeń wykonawczych).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 tych względów uprawnienie do wydawania tego rodzaju interpretacji w </w:t>
      </w:r>
      <w:r w:rsidRPr="009A3C86">
        <w:rPr>
          <w:rFonts w:ascii="Times New Roman" w:eastAsia="Times New Roman" w:hAnsi="Times New Roman"/>
          <w:b/>
          <w:sz w:val="24"/>
          <w:szCs w:val="24"/>
        </w:rPr>
        <w:t>art. 5</w:t>
      </w:r>
      <w:r w:rsidR="00063AE3"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przyznane zostało ministrowi właściwemu do spraw finansów publicznych jako jego wyłączna kompetencja. W tym zakresie, na podstawie </w:t>
      </w:r>
      <w:r w:rsidRPr="009A3C86">
        <w:rPr>
          <w:rFonts w:ascii="Times New Roman" w:eastAsia="Times New Roman" w:hAnsi="Times New Roman"/>
          <w:b/>
          <w:sz w:val="24"/>
          <w:szCs w:val="24"/>
        </w:rPr>
        <w:t>art. 5</w:t>
      </w:r>
      <w:r w:rsidR="00063AE3" w:rsidRPr="009A3C86">
        <w:rPr>
          <w:rFonts w:ascii="Times New Roman" w:eastAsia="Times New Roman" w:hAnsi="Times New Roman"/>
          <w:b/>
          <w:sz w:val="24"/>
          <w:szCs w:val="24"/>
        </w:rPr>
        <w:t>55</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Dyrektor Krajowej Informacji Skarbowej w drodze rozporządzenia może uzyskać jedynie upoważnienie do wydania postanowienia o pozostawieniu wniosku o wydanie interpretacji ogólnej bez rozpoznania, jeżeli wniosek nie spełnia ściśle określonych wymogów lub wydana została interpretacja ogólna w sprawie zagadnienia prawnego przedstawionego we wniosku. Może zostać również upoważniony do skompletowania postępowań, w których, zdaniem wnioskodawcy, doszło do rozbieżnej interpretacji przepisów prawa podatkowego (</w:t>
      </w:r>
      <w:r w:rsidRPr="009A3C86">
        <w:rPr>
          <w:rFonts w:ascii="Times New Roman" w:eastAsia="Times New Roman" w:hAnsi="Times New Roman"/>
          <w:b/>
          <w:sz w:val="24"/>
          <w:szCs w:val="24"/>
        </w:rPr>
        <w:t>art. 5</w:t>
      </w:r>
      <w:r w:rsidR="00063AE3" w:rsidRPr="009A3C86">
        <w:rPr>
          <w:rFonts w:ascii="Times New Roman" w:eastAsia="Times New Roman" w:hAnsi="Times New Roman"/>
          <w:b/>
          <w:sz w:val="24"/>
          <w:szCs w:val="24"/>
        </w:rPr>
        <w:t>52</w:t>
      </w:r>
      <w:r w:rsidRPr="009A3C86">
        <w:rPr>
          <w:rFonts w:ascii="Times New Roman" w:eastAsia="Times New Roman" w:hAnsi="Times New Roman"/>
          <w:b/>
          <w:sz w:val="24"/>
          <w:szCs w:val="24"/>
        </w:rPr>
        <w:t xml:space="preserve"> § 5</w:t>
      </w:r>
      <w:r w:rsidRPr="009A3C86">
        <w:rPr>
          <w:rFonts w:ascii="Times New Roman" w:eastAsia="Times New Roman" w:hAnsi="Times New Roman"/>
          <w:sz w:val="24"/>
          <w:szCs w:val="24"/>
        </w:rPr>
        <w:t>).</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Jednocześnie w </w:t>
      </w:r>
      <w:r w:rsidRPr="009A3C86">
        <w:rPr>
          <w:rFonts w:ascii="Times New Roman" w:eastAsia="Times New Roman" w:hAnsi="Times New Roman"/>
          <w:b/>
          <w:sz w:val="24"/>
          <w:szCs w:val="24"/>
        </w:rPr>
        <w:t>art. 5</w:t>
      </w:r>
      <w:r w:rsidR="00063AE3"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nie wskazano w sposób jednoznaczny na krąg podmiotów uprawnionych do złożenia wniosku o wydanie interpretacji ogólnej. Zastrzeżono jedynie, że wnioskodawcą nie może być organ administracji publicznej (</w:t>
      </w:r>
      <w:r w:rsidRPr="009A3C86">
        <w:rPr>
          <w:rFonts w:ascii="Times New Roman" w:eastAsia="Times New Roman" w:hAnsi="Times New Roman"/>
          <w:b/>
          <w:sz w:val="24"/>
          <w:szCs w:val="24"/>
        </w:rPr>
        <w:t>art. 5</w:t>
      </w:r>
      <w:r w:rsidR="00063AE3"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Oznacza to, że wnioskodawcą może być każdy podmiot, z wyjątkiem organu administracji publicznej. Zapewniono korzystanie z prawa składania wniosku o wydanie interpretacji ogólnej wszystkim uprawnionym, niezależnie od powodu, z jakiego sięgają do instytucji interpretacji ogólnych. Zrezygnowano z dotychczasowego rozwiązania (art. 14a § 1 o.p.), wykluczającego możliwość złożenia wniosku o wydanie interpretacji ogólnej w sprawach, w których w dniu złożenia wniosku w stosunku do wnioskodawcy toczy się postępowanie podatkowe lub postępowanie kontrolne organu kontroli skarbowej albo w sprawach, w których zostało przez wnioskodawcę wniesione odwołanie od decyzji lub zażalenie na postanowienie. Oznacza to, że wnioskowanie o wydanie interpretacji ogólnej nie wymaga wykazania przez wnioskodawcę powodu i celu wydania interpretacji ogólnej. Szczególnie predestynowanymi do występowania z wnioskiem </w:t>
      </w:r>
      <w:r w:rsidRPr="009A3C86">
        <w:rPr>
          <w:rFonts w:ascii="Times New Roman" w:eastAsia="Times New Roman" w:hAnsi="Times New Roman"/>
          <w:sz w:val="24"/>
          <w:szCs w:val="24"/>
        </w:rPr>
        <w:lastRenderedPageBreak/>
        <w:t>o wydanie interpretacji ogólnej powinny stać się organizacje przedsiębiorców lub inne organizacje samorządu zawodowego lub gospodarczego. Reprezentowane przez nich podmioty powinny być traktowane jednolicie w ramach tożsamych faktycznych i prawnych stanów podatkowych. Samorząd gospodarczy lub zawodowo-gospodarczy może, poprzez korzystanie z prawa do składania wniosków o wydanie interpretacji ogólnych, zapewnić jednolite stosowanie przepisów prawa podatkowego w stosunku do podmiotów, których interesy reprezentuje w obliczu władzy publicznej.</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Dostrzeżono, że </w:t>
      </w:r>
      <w:r w:rsidRPr="009A3C86">
        <w:rPr>
          <w:rFonts w:ascii="Times New Roman" w:eastAsia="Times New Roman" w:hAnsi="Times New Roman"/>
          <w:noProof/>
          <w:sz w:val="24"/>
          <w:szCs w:val="24"/>
        </w:rPr>
        <w:t xml:space="preserve">centralizacja wydawania interpretacji indywidualnych zakłada, iż przepisy prawa podatkowego są interpretowane w sposób jednolity przez organy podatkowe. Dotychczasowa praktyka wskazuje jednak, że niejasne przepisy prawa podatkowego interpretowane są  na więcej niż jeden sposobów. Ponadto, zdarzają się sytuacje, w których konkretny przepis podatkowy, co prawda jest jednolicie interpretowany przez </w:t>
      </w:r>
      <w:r w:rsidRPr="009A3C86">
        <w:rPr>
          <w:rFonts w:ascii="Times New Roman" w:eastAsia="Times New Roman" w:hAnsi="Times New Roman"/>
          <w:sz w:val="24"/>
          <w:szCs w:val="24"/>
        </w:rPr>
        <w:t>ministra właściwego do spraw finansów publicznych</w:t>
      </w:r>
      <w:r w:rsidRPr="009A3C86">
        <w:rPr>
          <w:rFonts w:ascii="Times New Roman" w:eastAsia="Times New Roman" w:hAnsi="Times New Roman"/>
          <w:noProof/>
          <w:sz w:val="24"/>
          <w:szCs w:val="24"/>
        </w:rPr>
        <w:t xml:space="preserve">, ale z kolei w odmienny sposób interpretowany jest przez sądy administracyjne. Instytucja Rzecznika Praw Podatnika ma być pomocna w wyjaśnianiu tego typu sytuacji – identyfikowaniu kolizji interpretacyjnych oraz identyfikowaniu interpretacji prawa kwestionującej wykładnię sądów (uznających rację podatnika) i w konsekwencji odmawiającej ogromnej rzeszy podatników prawa potwierdzonego w orzeczeniach sądowych. Temu służyć ma prawo do wystąpienia RPP z wnioskiem do </w:t>
      </w:r>
      <w:r w:rsidRPr="009A3C86">
        <w:rPr>
          <w:rFonts w:ascii="Times New Roman" w:eastAsia="Times New Roman" w:hAnsi="Times New Roman"/>
          <w:sz w:val="24"/>
          <w:szCs w:val="24"/>
        </w:rPr>
        <w:t>ministra właściwego do spraw finansów publicznych</w:t>
      </w:r>
      <w:r w:rsidRPr="009A3C86">
        <w:rPr>
          <w:rFonts w:ascii="Times New Roman" w:eastAsia="Times New Roman" w:hAnsi="Times New Roman"/>
          <w:noProof/>
          <w:sz w:val="24"/>
          <w:szCs w:val="24"/>
        </w:rPr>
        <w:t xml:space="preserve"> o wydanie ogólnej interpretacji przepisów prawa podatkowego </w:t>
      </w:r>
      <w:r w:rsidRPr="009A3C86">
        <w:rPr>
          <w:rFonts w:ascii="Times New Roman" w:eastAsia="Times New Roman" w:hAnsi="Times New Roman"/>
          <w:b/>
          <w:noProof/>
          <w:sz w:val="24"/>
          <w:szCs w:val="24"/>
        </w:rPr>
        <w:t>(art. 5</w:t>
      </w:r>
      <w:r w:rsidR="002E0810" w:rsidRPr="009A3C86">
        <w:rPr>
          <w:rFonts w:ascii="Times New Roman" w:eastAsia="Times New Roman" w:hAnsi="Times New Roman"/>
          <w:b/>
          <w:noProof/>
          <w:sz w:val="24"/>
          <w:szCs w:val="24"/>
        </w:rPr>
        <w:t>50</w:t>
      </w:r>
      <w:r w:rsidRPr="009A3C86">
        <w:rPr>
          <w:rFonts w:ascii="Times New Roman" w:eastAsia="Times New Roman" w:hAnsi="Times New Roman"/>
          <w:b/>
          <w:noProof/>
          <w:sz w:val="24"/>
          <w:szCs w:val="24"/>
        </w:rPr>
        <w:t xml:space="preserve"> </w:t>
      </w:r>
      <w:r w:rsidRPr="009A3C86">
        <w:rPr>
          <w:rFonts w:ascii="Times New Roman" w:eastAsia="Times New Roman" w:hAnsi="Times New Roman"/>
          <w:b/>
          <w:sz w:val="24"/>
          <w:szCs w:val="24"/>
        </w:rPr>
        <w:t>§ 2 i § 5</w:t>
      </w:r>
      <w:r w:rsidRPr="009A3C86">
        <w:rPr>
          <w:rFonts w:ascii="Times New Roman" w:eastAsia="Times New Roman" w:hAnsi="Times New Roman"/>
          <w:sz w:val="24"/>
          <w:szCs w:val="24"/>
        </w:rPr>
        <w:t>).</w:t>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Przyznanie ministrowi właściwemu do spraw finansów publicznych kompetencji do dokonywania wykładni przepisów prawa podatkowego w drodze wydawanych interpretacji ogólnych stanowi rozwiązanie wyjątkowe. Z ustrojowego punktu widzenia kompetencje do dokonywania wykładni prawa są zastrzeżone dla Sądu Najwyższego i Naczelnego Sądu Administracyjnego. Kompetencji tych nie ma nawet Trybunał Konstytucyjny, który w swoich orzeczeniach dokonuje wykładni prawa w zakresie niezbędnym do oceny ich zgodności z Konstytucją RP. Nie ma ich także żaden organ administracji publicznej, w tym Rada Ministrów i pozostali ministrowie. Kompetencje przyznane ministrowi właściwemu do spraw finansów publicznych, w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rozszerzono na możliwość składania wniosku do Naczelnego Sądu Administracyjnego o rozstrzygnięcie wątpliwości na tle wykładni przepisów prawa podatkowego. Wniosek ten musi być jednak usprawiedliwiony wskazaniem rozbieżności powstałych w orzecznictwie sądowym w zakresie niezbędnym do wydania interpretacji ogólnej. Należy również zwrócić uwagę na regulację art. 5</w:t>
      </w:r>
      <w:r w:rsidR="002E0810" w:rsidRPr="009A3C86">
        <w:rPr>
          <w:rFonts w:ascii="Times New Roman" w:eastAsia="Times New Roman" w:hAnsi="Times New Roman"/>
          <w:sz w:val="24"/>
          <w:szCs w:val="24"/>
        </w:rPr>
        <w:t>56</w:t>
      </w:r>
      <w:r w:rsidRPr="009A3C86">
        <w:rPr>
          <w:rFonts w:ascii="Times New Roman" w:eastAsia="Times New Roman" w:hAnsi="Times New Roman"/>
          <w:sz w:val="24"/>
          <w:szCs w:val="24"/>
        </w:rPr>
        <w:t xml:space="preserve"> nakładającą na ministra właściwego do spraw finansów publicznych obowiązek zmiany z urzędu wydanej interpretacji </w:t>
      </w:r>
      <w:r w:rsidRPr="009A3C86">
        <w:rPr>
          <w:rFonts w:ascii="Times New Roman" w:eastAsia="Times New Roman" w:hAnsi="Times New Roman"/>
          <w:sz w:val="24"/>
          <w:szCs w:val="24"/>
        </w:rPr>
        <w:lastRenderedPageBreak/>
        <w:t>ogólnej, jeżeli stwierdzi jej nieprawidłowość, uwzględniając w szczególności orzecznictwo sądów, Trybunału Konstytucyjnego oraz Trybunału Sprawiedliwości Unii Europejskiej. Podkreślić należy, że uprawnienie przyznane  ministrowi właściwemu do spraw finansów publicznych w art. 5</w:t>
      </w:r>
      <w:r w:rsidR="002E0810" w:rsidRPr="009A3C86">
        <w:rPr>
          <w:rFonts w:ascii="Times New Roman" w:eastAsia="Times New Roman" w:hAnsi="Times New Roman"/>
          <w:sz w:val="24"/>
          <w:szCs w:val="24"/>
        </w:rPr>
        <w:t>50</w:t>
      </w:r>
      <w:r w:rsidRPr="009A3C86">
        <w:rPr>
          <w:rFonts w:ascii="Times New Roman" w:eastAsia="Times New Roman" w:hAnsi="Times New Roman"/>
          <w:sz w:val="24"/>
          <w:szCs w:val="24"/>
        </w:rPr>
        <w:t xml:space="preserve"> § 3 związane jest wyłącznie z wydawaniem interpretacji ogólnych i wynika z ich funkcji oraz przesłanek do wydania. Nie może dotyczyć zatem każdego postępowania podatkowego. Istota ogólnych interpretacji podatkowych tkwi w tym, że mają one na celu zapewnienie jednolitego stosowania prawa podatkowego przez organy podatkowe oraz inne organy administracji publicznej stosujące przepisy prawa podatkowego. Jednolitość tą nie jest łatwo utrzymać, skoro interpretacja i stosowanie prawa podatkowego należy do samodzielnych kompetencji organów podatkowych oraz do niezawisłych sądów i Trybunałów, w tym do Trybunału Sprawiedliwości Unii Europejskiej. Aby wydać z urzędu interpretację ogólną wskazującą na potrzebę jednolitego stosowania przepisów prawa podatkowego, organ właściwy powinien prowadzić w sposób stały i ciągły odpowiednią obserwację i analizę orzecznictwa podatkowego organów podatkowych oraz sądów administracyjnych i Trybunału Konstytucyjnego, a także Trybunału Sprawiedliwości UE. Tylko bowiem na tej podstawie będzie możliwa ocena, czy występuje niejednolitość w stosowaniu przepisów prawa podatkowego, w jakim zakresie i z jakiego powodu. Wtedy też można podejmować odpowiednie działania organizacyjne (wydawanie interpretacji ogólnych) lub legislacyjne (projektowanie zmian ustawowych lub zmian rozporządzeń wykonawczych).  </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Kierując się potrzebą podniesienia skuteczności interpretacji ogólnych na płaszczyźnie kształtowania jednolitego stosowania prawa podatkowego, w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50</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xml:space="preserve"> uregulowano wymogi formalne interpretacji ogólnych. W przepisie tym wskazano, że interpretacja ta zawiera w szczególności opis zagadnienia, w świetle którego jest dokonywana interpretacja przepisów prawa podatkowego oraz wyjaśnienie zakresu i stosowania interpretowanych przepisów prawa podatkowego do opisanego zagadnienia wraz z uzasadnieniem prawnym. Regulacja ta zapewni możliwość zestawienia treści interpretacji ogólnych z zagadnieniami wskazywanymi we wnioskach o interpretacje indywidualne oraz w wydanych interpretacjach indywidualnych. Wymogi te musi spełniać zarówno interpretacja ogólna wydana z urzędu, jak i na wniosek, a zgodnie z tym przepisem dotyczą one w szczególności opisu zagadnienia, w związku z którym jest dokonywana interpretacja przepisów prawa podatkowego oraz wyjaśnienie zakresu oraz sposobu stosowania interpretowanych przepisów prawa podatkowego do opisanego zagadnienia wraz z uzasadnieniem prawnym.</w:t>
      </w:r>
      <w:r w:rsidRPr="009A3C86">
        <w:rPr>
          <w:rFonts w:ascii="Times New Roman" w:eastAsia="Times New Roman" w:hAnsi="Times New Roman"/>
          <w:sz w:val="24"/>
          <w:szCs w:val="24"/>
        </w:rPr>
        <w:tab/>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Z kolei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51</w:t>
      </w:r>
      <w:r w:rsidRPr="009A3C86">
        <w:rPr>
          <w:rFonts w:ascii="Times New Roman" w:eastAsia="Times New Roman" w:hAnsi="Times New Roman"/>
          <w:sz w:val="24"/>
          <w:szCs w:val="24"/>
        </w:rPr>
        <w:t xml:space="preserve"> zawiera nową regulację, zobowiązującą ministra właściwego do spraw finansów publicznych do wydania bez zbędnej zwłoki interpretacji ogólnej, jeżeli wpłynie </w:t>
      </w:r>
      <w:r w:rsidRPr="009A3C86">
        <w:rPr>
          <w:rFonts w:ascii="Times New Roman" w:eastAsia="Times New Roman" w:hAnsi="Times New Roman"/>
          <w:sz w:val="24"/>
          <w:szCs w:val="24"/>
        </w:rPr>
        <w:lastRenderedPageBreak/>
        <w:t xml:space="preserve">znacząca liczba wniosków o interpretacje indywidualne, dotyczących takich samych stanów faktycznych lub zdarzeń przyszłych, złożonych w takim samym stanie prawnym. Wprowadzenie tego rodzaju rozwiązania usprawiedliwiała dotychczasowa praktyka wydawania interpretacji ogólnych. Do 1 stycznia 2012 r. minister właściwy do spraw finansów publicznych wydawał ogólne interpretacje podatkowe tylko z urzędu. W czasie obowiązywania tego rozwiązania prawnego nie wykazał się w tym względzie szczególną aktywnością. W 2007 r. nie wydał żadnej interpretacji ogólnej, w 2008 r. wydał ich 9, w 2009 r. - 6, w 2010 r. – również </w:t>
      </w:r>
      <w:smartTag w:uri="urn:schemas-microsoft-com:office:smarttags" w:element="metricconverter">
        <w:smartTagPr>
          <w:attr w:name="ProductID" w:val="6, a"/>
        </w:smartTagPr>
        <w:r w:rsidRPr="009A3C86">
          <w:rPr>
            <w:rFonts w:ascii="Times New Roman" w:eastAsia="Times New Roman" w:hAnsi="Times New Roman"/>
            <w:sz w:val="24"/>
            <w:szCs w:val="24"/>
          </w:rPr>
          <w:t>6, a</w:t>
        </w:r>
      </w:smartTag>
      <w:r w:rsidRPr="009A3C86">
        <w:rPr>
          <w:rFonts w:ascii="Times New Roman" w:eastAsia="Times New Roman" w:hAnsi="Times New Roman"/>
          <w:sz w:val="24"/>
          <w:szCs w:val="24"/>
        </w:rPr>
        <w:t xml:space="preserve"> w 2011 r. - 9. Na tle niejednolitego w skali państwa orzecznictwa organów podatkowych należy uznać te wielkości za wręcz symboliczne. Dodatkowo przy wydawaniu interpretacji ogólnych koncentrowano się przede wszystkim na usuwaniu niezgodności przepisów prawnych z Konstytucją RP, gdy o niezgodności takiej orzekł Trybunał Konstytucyjny. Zmiana treści art. 14a obowiązująca od 1 stycznia 2012 r.</w:t>
      </w:r>
      <w:r w:rsidRPr="009A3C86">
        <w:rPr>
          <w:rFonts w:ascii="Times New Roman" w:eastAsia="Times New Roman" w:hAnsi="Times New Roman"/>
          <w:sz w:val="24"/>
          <w:szCs w:val="24"/>
          <w:vertAlign w:val="superscript"/>
        </w:rPr>
        <w:footnoteReference w:id="506"/>
      </w:r>
      <w:r w:rsidRPr="009A3C86">
        <w:rPr>
          <w:rFonts w:ascii="Times New Roman" w:eastAsia="Times New Roman" w:hAnsi="Times New Roman"/>
          <w:sz w:val="24"/>
          <w:szCs w:val="24"/>
        </w:rPr>
        <w:t xml:space="preserve"> sprawiła, że minister właściwy do spraw finansów publicznych wydaje ogólne interpretacje podatkowe z nie tylko z urzędu, lecz również ma obowiązek wydawania ich na wniosek. Zmiana ta spowodowała, że tylko w ciągu jednego miesiąca obowiązywania tej zasady wpłynęły 4 wnioski o wydanie interpretacji ogólnych. Nowe rozwiązanie kwestii wydawania interpretacji ogólnej potwierdziło, że aktywność Ministra Finansów w tym obszarze była zbyt nikła. Zaproponowane rozwiązanie nie pozostawia możliwości wyboru co do obowiązku wydania interpretacji ogólnej, szczególnie wtedy gdy stosowanie przepisów prawa podatkowego prowadzi do licznych sporów przed organami podatkowymi i sądami administracyjnymi.</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W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52</w:t>
      </w:r>
      <w:r w:rsidRPr="009A3C86">
        <w:rPr>
          <w:rFonts w:ascii="Times New Roman" w:eastAsia="Times New Roman" w:hAnsi="Times New Roman"/>
          <w:sz w:val="24"/>
          <w:szCs w:val="24"/>
        </w:rPr>
        <w:t xml:space="preserve"> w sposób kompleksowy uregulowano wymogi, jakie musi spełnić wniosek o wydanie interpretacji ogólnej oraz skutki procesowe w wypadku, jeżeli złożony wniosek nie spełnia przewidzianych w tym przepisie wymogów. Zgodnie z </w:t>
      </w:r>
      <w:r w:rsidRPr="009A3C86">
        <w:rPr>
          <w:rFonts w:ascii="Times New Roman" w:eastAsia="Times New Roman" w:hAnsi="Times New Roman"/>
          <w:b/>
          <w:sz w:val="24"/>
          <w:szCs w:val="24"/>
        </w:rPr>
        <w:t>art. 54</w:t>
      </w:r>
      <w:r w:rsidR="002E0810" w:rsidRPr="009A3C86">
        <w:rPr>
          <w:rFonts w:ascii="Times New Roman" w:eastAsia="Times New Roman" w:hAnsi="Times New Roman"/>
          <w:b/>
          <w:sz w:val="24"/>
          <w:szCs w:val="24"/>
        </w:rPr>
        <w:t>52</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wniosek o wydanie interpretacji ogólnej powinien w szczególności: przedstawiać zagadnienie oraz wskazać przepisy prawa podatkowego wymagające wydania interpretacji ogólnej; zawierać wskazanie niejednolitego stosowania przepisów prawa podatkowego w określonych decyzjach, postanowieniach oraz interpretacjach indywidualnych wydanych przez organy podatkowe w takich samych stanach faktycznych lub zdarzeniach przyszłych i w takich samych stanach prawnych lub rozbieżności w orzecznictwie sądowym związanych z wykładnią przepisów prawa podatkowego. Zagadnienie będące przedmiotem wniosku o wydanie interpretacji ogólnej musi mieć charakter konkretny i powinno wiązać się z niejednolitością stosowania </w:t>
      </w:r>
      <w:r w:rsidRPr="009A3C86">
        <w:rPr>
          <w:rFonts w:ascii="Times New Roman" w:eastAsia="Times New Roman" w:hAnsi="Times New Roman"/>
          <w:sz w:val="24"/>
          <w:szCs w:val="24"/>
        </w:rPr>
        <w:lastRenderedPageBreak/>
        <w:t xml:space="preserve">przepisów prawa podatkowego w odniesieniu do jednego stanu faktycznego i prawnego. Łącznie z podaniem zagadnienia, we wniosku należy wskazać na przepisy prawa podatkowego wymagające wydania interpretacji ogólnej. Chodzi tutaj o przepisy, które zdaniem wnioskodawcy są stosowane niejednolicie przez organy podatkowe. Wskazanie takich przepisów powinno być również konkretne, a więc zawierać oznaczenie numeracji artykułu (artykułów) i ustępu (ustępów) bądź paragrafów. Nie wystarczy ogólnie wskazać na przepisy całej ustawy podatkowej lub na wszystkie przepisy innego aktu normatywnego. Nie jest natomiast wymagane, odmiennie niż przy interpretacjach indywidualnych, aby wnioskodawca przedstawił własne stanowisko w sprawie i zaproponował kierunek rozstrzygnięcia co do treści interpretacji ogólnej. Jednocześnie, biorąc pod uwagę zapewnienie sprawności postępowania tego rodzaju sprawach, w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55</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przewidziano delegację dla ministra właściwego do spraw finansów publicznych dla określenia w drodze rozporządzenia wzoru wniosku o wydanie interpretacji ogólnej, zawierającego w szczególności dane identyfikujące wnioskodawcę, omówione wskazania dotyczące samego wniosku oraz sposób uiszczenia opłaty.</w:t>
      </w:r>
    </w:p>
    <w:p w:rsidR="00045CB9" w:rsidRPr="009A3C86" w:rsidRDefault="00045CB9" w:rsidP="00045CB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w:t>
      </w:r>
      <w:r w:rsidRPr="009A3C86">
        <w:rPr>
          <w:rFonts w:ascii="Times New Roman" w:eastAsia="Times New Roman" w:hAnsi="Times New Roman"/>
          <w:b/>
          <w:sz w:val="24"/>
          <w:szCs w:val="24"/>
          <w:lang w:eastAsia="pl-PL"/>
        </w:rPr>
        <w:t>art. 5</w:t>
      </w:r>
      <w:r w:rsidR="002E0810" w:rsidRPr="009A3C86">
        <w:rPr>
          <w:rFonts w:ascii="Times New Roman" w:eastAsia="Times New Roman" w:hAnsi="Times New Roman"/>
          <w:b/>
          <w:sz w:val="24"/>
          <w:szCs w:val="24"/>
          <w:lang w:eastAsia="pl-PL"/>
        </w:rPr>
        <w:t>52</w:t>
      </w:r>
      <w:r w:rsidRPr="009A3C86">
        <w:rPr>
          <w:rFonts w:ascii="Times New Roman" w:eastAsia="Times New Roman" w:hAnsi="Times New Roman"/>
          <w:b/>
          <w:sz w:val="24"/>
          <w:szCs w:val="24"/>
          <w:lang w:eastAsia="pl-PL"/>
        </w:rPr>
        <w:t xml:space="preserve"> § 2</w:t>
      </w:r>
      <w:r w:rsidRPr="009A3C86">
        <w:rPr>
          <w:rFonts w:ascii="Times New Roman" w:eastAsia="Times New Roman" w:hAnsi="Times New Roman"/>
          <w:sz w:val="24"/>
          <w:szCs w:val="24"/>
          <w:lang w:eastAsia="pl-PL"/>
        </w:rPr>
        <w:t xml:space="preserve"> wskazano, że wniosek o wydanie interpretacji ogólnej zostanie pozostawiony bez rozpatrzenia w przypadku, gdy nie są spełnione warunki, o których mowa w § 1 lub wniosek nie spełnia innych wymogów formalnych określonych przepisami prawa oraz przedstawione we wniosku zagadnienie jest przedmiotem interpretacji ogólnej i stan prawny nie uległ w tym zakresie zmianie. Ponadto w </w:t>
      </w:r>
      <w:r w:rsidRPr="009A3C86">
        <w:rPr>
          <w:rFonts w:ascii="Times New Roman" w:eastAsia="Times New Roman" w:hAnsi="Times New Roman"/>
          <w:b/>
          <w:sz w:val="24"/>
          <w:szCs w:val="24"/>
          <w:lang w:eastAsia="pl-PL"/>
        </w:rPr>
        <w:t>art. 5</w:t>
      </w:r>
      <w:r w:rsidR="002E0810" w:rsidRPr="009A3C86">
        <w:rPr>
          <w:rFonts w:ascii="Times New Roman" w:eastAsia="Times New Roman" w:hAnsi="Times New Roman"/>
          <w:b/>
          <w:sz w:val="24"/>
          <w:szCs w:val="24"/>
          <w:lang w:eastAsia="pl-PL"/>
        </w:rPr>
        <w:t>52</w:t>
      </w:r>
      <w:r w:rsidRPr="009A3C86">
        <w:rPr>
          <w:rFonts w:ascii="Times New Roman" w:eastAsia="Times New Roman" w:hAnsi="Times New Roman"/>
          <w:b/>
          <w:sz w:val="24"/>
          <w:szCs w:val="24"/>
          <w:lang w:eastAsia="pl-PL"/>
        </w:rPr>
        <w:t xml:space="preserve"> § 3</w:t>
      </w:r>
      <w:r w:rsidRPr="009A3C86">
        <w:rPr>
          <w:rFonts w:ascii="Times New Roman" w:eastAsia="Times New Roman" w:hAnsi="Times New Roman"/>
          <w:sz w:val="24"/>
          <w:szCs w:val="24"/>
          <w:lang w:eastAsia="pl-PL"/>
        </w:rPr>
        <w:t xml:space="preserve"> wskazano, że rozstrzygnięcie w tej sprawie ma formę postanowienia, na które służy zażalenie. Odesłano również w tym zakresie, w sprawach dotyczących interpretacji ogólnych na wniosek, do rozdziałów 15 i 17 działu III. Postanowienie nie zawiera danych identyfikujących stronę postępowania, w którym wydano decyzję, postanowienie lub interpretację indywidualną, wskazaną we wniosku o wydanie interpretacji ogólnej.</w:t>
      </w:r>
    </w:p>
    <w:p w:rsidR="00045CB9" w:rsidRPr="009A3C86" w:rsidRDefault="00045CB9" w:rsidP="00045CB9">
      <w:pPr>
        <w:spacing w:after="0" w:line="360" w:lineRule="auto"/>
        <w:jc w:val="both"/>
        <w:rPr>
          <w:rFonts w:ascii="Times New Roman" w:eastAsia="Times New Roman" w:hAnsi="Times New Roman"/>
          <w:noProof/>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52</w:t>
      </w:r>
      <w:r w:rsidRPr="009A3C86">
        <w:rPr>
          <w:rFonts w:ascii="Times New Roman" w:eastAsia="Times New Roman" w:hAnsi="Times New Roman"/>
          <w:b/>
          <w:sz w:val="24"/>
          <w:szCs w:val="24"/>
        </w:rPr>
        <w:t xml:space="preserve"> § 6</w:t>
      </w:r>
      <w:r w:rsidR="00FC7D6E" w:rsidRPr="009A3C86">
        <w:rPr>
          <w:rFonts w:ascii="Times New Roman" w:eastAsia="Times New Roman" w:hAnsi="Times New Roman"/>
          <w:b/>
          <w:sz w:val="24"/>
          <w:szCs w:val="24"/>
        </w:rPr>
        <w:t>-</w:t>
      </w:r>
      <w:r w:rsidR="002E0810" w:rsidRPr="009A3C86">
        <w:rPr>
          <w:rFonts w:ascii="Times New Roman" w:eastAsia="Times New Roman" w:hAnsi="Times New Roman"/>
          <w:b/>
          <w:sz w:val="24"/>
          <w:szCs w:val="24"/>
        </w:rPr>
        <w:t>10</w:t>
      </w:r>
      <w:r w:rsidRPr="009A3C86">
        <w:rPr>
          <w:rFonts w:ascii="Times New Roman" w:eastAsia="Times New Roman" w:hAnsi="Times New Roman"/>
          <w:sz w:val="24"/>
          <w:szCs w:val="24"/>
        </w:rPr>
        <w:t xml:space="preserve"> szczegółowo uregulowano wymogi dotyczące wniosku RPP o wydanie interpretacji ogólnej oraz tryb postępowania po złożeniu tego wniosku. Z uwagi na pozycję ustrojową RPP odmiennie od wniosku pozostałych uprawnionych podmiotów Rzecznik został zobowiązany do przedstawienia własnego stanowiska w sprawie oceny prawnej zagadnienia wymagającego wydania interpretacji ogólnej. Ocena ta ma o tyle istotne znaczenie, ze w razie niewydania interpretacji ogólnej w przewidzianym terminie </w:t>
      </w:r>
      <w:r w:rsidR="0082626D" w:rsidRPr="009A3C86">
        <w:rPr>
          <w:rFonts w:ascii="Times New Roman" w:eastAsia="Times New Roman" w:hAnsi="Times New Roman"/>
          <w:sz w:val="24"/>
          <w:szCs w:val="24"/>
        </w:rPr>
        <w:t>sześciu</w:t>
      </w:r>
      <w:r w:rsidRPr="009A3C86">
        <w:rPr>
          <w:rFonts w:ascii="Times New Roman" w:eastAsia="Times New Roman" w:hAnsi="Times New Roman"/>
          <w:sz w:val="24"/>
          <w:szCs w:val="24"/>
        </w:rPr>
        <w:t xml:space="preserve"> miesięcy, ocena ta będzie miała charakter wiążący, podobnie jak wynikająca z interpretacji ogólnej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52</w:t>
      </w:r>
      <w:r w:rsidRPr="009A3C86">
        <w:rPr>
          <w:rFonts w:ascii="Times New Roman" w:eastAsia="Times New Roman" w:hAnsi="Times New Roman"/>
          <w:b/>
          <w:sz w:val="24"/>
          <w:szCs w:val="24"/>
        </w:rPr>
        <w:t xml:space="preserve"> § </w:t>
      </w:r>
      <w:r w:rsidR="002E0810" w:rsidRPr="009A3C86">
        <w:rPr>
          <w:rFonts w:ascii="Times New Roman" w:eastAsia="Times New Roman" w:hAnsi="Times New Roman"/>
          <w:b/>
          <w:sz w:val="24"/>
          <w:szCs w:val="24"/>
        </w:rPr>
        <w:t>10</w:t>
      </w:r>
      <w:r w:rsidRPr="009A3C86">
        <w:rPr>
          <w:rFonts w:ascii="Times New Roman" w:eastAsia="Times New Roman" w:hAnsi="Times New Roman"/>
          <w:sz w:val="24"/>
          <w:szCs w:val="24"/>
        </w:rPr>
        <w:t xml:space="preserve">). Równocześnie uznając działania RPP jako podejmowane w interesie ogółu podatników przewidziano zwolnienie wniosku od opłat. </w:t>
      </w:r>
    </w:p>
    <w:p w:rsidR="00045CB9" w:rsidRPr="009A3C86" w:rsidRDefault="00045CB9" w:rsidP="00045CB9">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4. Wniosek o wydanie interpretacji ogólnej (z wyjątkiem złożonego przez RPP) podlega opłacie na analogicznych zasadach jak wniosek o wydanie interpretacji indywidualnej (</w:t>
      </w:r>
      <w:r w:rsidRPr="009A3C86">
        <w:rPr>
          <w:rFonts w:ascii="Times New Roman" w:eastAsia="Times New Roman" w:hAnsi="Times New Roman"/>
          <w:b/>
          <w:sz w:val="24"/>
          <w:szCs w:val="24"/>
          <w:lang w:eastAsia="pl-PL"/>
        </w:rPr>
        <w:t>art. 5</w:t>
      </w:r>
      <w:r w:rsidR="002E0810" w:rsidRPr="009A3C86">
        <w:rPr>
          <w:rFonts w:ascii="Times New Roman" w:eastAsia="Times New Roman" w:hAnsi="Times New Roman"/>
          <w:b/>
          <w:sz w:val="24"/>
          <w:szCs w:val="24"/>
          <w:lang w:eastAsia="pl-PL"/>
        </w:rPr>
        <w:t>53</w:t>
      </w:r>
      <w:r w:rsidRPr="009A3C86">
        <w:rPr>
          <w:rFonts w:ascii="Times New Roman" w:eastAsia="Times New Roman" w:hAnsi="Times New Roman"/>
          <w:sz w:val="24"/>
          <w:szCs w:val="24"/>
          <w:lang w:eastAsia="pl-PL"/>
        </w:rPr>
        <w:t>). Opłata ta podlega jednak zwrotowi w przypadku wydania interpretacji ogólnej. Interpretacje ogólne podlegają publikacji w Dzienniku Urzędowym ministra właściwego do spraw finansów publicznych oraz zamieszczane są Biuletynie Informacji Publicznej (</w:t>
      </w:r>
      <w:r w:rsidRPr="009A3C86">
        <w:rPr>
          <w:rFonts w:ascii="Times New Roman" w:eastAsia="Times New Roman" w:hAnsi="Times New Roman"/>
          <w:b/>
          <w:sz w:val="24"/>
          <w:szCs w:val="24"/>
          <w:lang w:eastAsia="pl-PL"/>
        </w:rPr>
        <w:t>art. 5</w:t>
      </w:r>
      <w:r w:rsidR="002E0810" w:rsidRPr="009A3C86">
        <w:rPr>
          <w:rFonts w:ascii="Times New Roman" w:eastAsia="Times New Roman" w:hAnsi="Times New Roman"/>
          <w:b/>
          <w:sz w:val="24"/>
          <w:szCs w:val="24"/>
          <w:lang w:eastAsia="pl-PL"/>
        </w:rPr>
        <w:t>57</w:t>
      </w:r>
      <w:r w:rsidRPr="009A3C86">
        <w:rPr>
          <w:rFonts w:ascii="Times New Roman" w:eastAsia="Times New Roman" w:hAnsi="Times New Roman"/>
          <w:sz w:val="24"/>
          <w:szCs w:val="24"/>
          <w:lang w:eastAsia="pl-PL"/>
        </w:rPr>
        <w:t xml:space="preserve">). W </w:t>
      </w:r>
      <w:r w:rsidRPr="009A3C86">
        <w:rPr>
          <w:rFonts w:ascii="Times New Roman" w:eastAsia="Times New Roman" w:hAnsi="Times New Roman"/>
          <w:b/>
          <w:sz w:val="24"/>
          <w:szCs w:val="24"/>
          <w:lang w:eastAsia="pl-PL"/>
        </w:rPr>
        <w:t>art. 5</w:t>
      </w:r>
      <w:r w:rsidR="002E0810" w:rsidRPr="009A3C86">
        <w:rPr>
          <w:rFonts w:ascii="Times New Roman" w:eastAsia="Times New Roman" w:hAnsi="Times New Roman"/>
          <w:b/>
          <w:sz w:val="24"/>
          <w:szCs w:val="24"/>
          <w:lang w:eastAsia="pl-PL"/>
        </w:rPr>
        <w:t>54</w:t>
      </w:r>
      <w:r w:rsidRPr="009A3C86">
        <w:rPr>
          <w:rFonts w:ascii="Times New Roman" w:eastAsia="Times New Roman" w:hAnsi="Times New Roman"/>
          <w:sz w:val="24"/>
          <w:szCs w:val="24"/>
          <w:lang w:eastAsia="pl-PL"/>
        </w:rPr>
        <w:t xml:space="preserve"> dokonano odesłań do odpowiedniego stosowania wskazanych przepisów postępowania, zapewniając sprawność postępowania w sprawach interpretacji ogólnych wydawanych na wniosek. W stosunku do stanu aktualnego zrezygnowano z odesłania do przepisów o karach porządkowych, które dotychczas nie miały praktycznego zastosowania w tych sprawach. </w:t>
      </w:r>
    </w:p>
    <w:p w:rsidR="00045CB9" w:rsidRPr="009A3C86" w:rsidRDefault="00045CB9" w:rsidP="00D72E74">
      <w:pPr>
        <w:keepNext/>
        <w:keepLines/>
        <w:spacing w:before="120" w:after="0" w:line="360" w:lineRule="auto"/>
        <w:jc w:val="both"/>
        <w:outlineLvl w:val="3"/>
        <w:rPr>
          <w:rFonts w:ascii="Times New Roman" w:hAnsi="Times New Roman"/>
          <w:b/>
          <w:sz w:val="24"/>
          <w:szCs w:val="24"/>
        </w:rPr>
      </w:pPr>
      <w:r w:rsidRPr="009A3C86">
        <w:rPr>
          <w:rFonts w:ascii="Times New Roman" w:hAnsi="Times New Roman"/>
          <w:b/>
          <w:sz w:val="24"/>
          <w:szCs w:val="24"/>
        </w:rPr>
        <w:t>Oddział 3. Interpretacje indywidualne</w:t>
      </w:r>
      <w:bookmarkEnd w:id="77"/>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Interpretacje indywidualne stanowią odpowiedź na wniosek zainteresowanego, złożony w sprawie wydania interpretacji i są kierowane do wnioskodawców. Interpretacja indywidualna prawa podatkowego stanowi swoistą formę i wynik działania administracji podatkowej, której nie można utożsamiać z czynnością materialno-techniczną ani też z indywidualnym aktem administracyjnym</w:t>
      </w:r>
      <w:r w:rsidRPr="009A3C86">
        <w:rPr>
          <w:rFonts w:ascii="Times New Roman" w:eastAsia="Times New Roman" w:hAnsi="Times New Roman"/>
          <w:sz w:val="24"/>
          <w:szCs w:val="24"/>
          <w:vertAlign w:val="superscript"/>
        </w:rPr>
        <w:footnoteReference w:id="507"/>
      </w:r>
      <w:r w:rsidRPr="009A3C86">
        <w:rPr>
          <w:rFonts w:ascii="Times New Roman" w:eastAsia="Times New Roman" w:hAnsi="Times New Roman"/>
          <w:sz w:val="24"/>
          <w:szCs w:val="24"/>
        </w:rPr>
        <w:t>.</w:t>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Istotą interpretacji indywidualnej jest rozstrzygnięcie, czy wnioskodawca prawidłowo postrzega, jakie skutki prawne na gruncie określonych przepisów prawa podatkowego wywołuje przedstawiony przez niego stan faktyczny albo zdarzenie przyszłe. Organ wydający interpretację przepisów prawa podatkowego nie może prowadzić postępowania ani podejmować rozstrzygnięć zastrzeżonych dla innego trybu orzekania, w tym w kontroli podatkowej, kontroli celno-skarbowej czy postępowaniu podatkowym prowadzonym w oparciu o konkretną dokumentację. W tym znaczeniu interpretacja indywidualna nie stanowi abstrakcyjnego wyjaśnienia przepisów prawnych, lecz jest dokonaniem oceny prawnej stanowiska wnioskującego na tle zindywidualizowanego stanu faktycznego, który jest przedstawiany przez zainteresowanego we wniosku o udzielenie interpretacji. Organ, wydając interpretację, nie ustanawia żadnej normy indywidualnej, lecz jedynie przedstawia swój pogląd dotyczący rozumienia treści przepisów prawa podatkowego i sposobu ich zastosowania w odniesieniu do określonej sprawy indywidualnej, której zakres przedmiotowy w tym wypadku jest zakreślony stanem faktycznym lub zdarzeniem przyszłym, przedstawionym przez pytającego we wniosku. W tym zakresie postępowanie przed organami w sprawie o interpretację ma charakter autonomiczny w stosunku do postępowania podatkowego.</w:t>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2. Ukształtowane w ten sposób, aktualnie obowiązujące ogólne zasady wydawania i charakter indywidualnych interpretacji zostały zachowane w projekcie. W zakresie wydawania interpretacji indywidualnych uwzględniono  szczegółowe rozwiązania wprowadzone z dniem 1 stycznia 2019 r.</w:t>
      </w:r>
      <w:r w:rsidRPr="009A3C86">
        <w:rPr>
          <w:rFonts w:ascii="Times New Roman" w:eastAsia="Times New Roman" w:hAnsi="Times New Roman"/>
          <w:sz w:val="24"/>
          <w:szCs w:val="24"/>
          <w:vertAlign w:val="superscript"/>
        </w:rPr>
        <w:footnoteReference w:id="508"/>
      </w:r>
      <w:r w:rsidRPr="009A3C86">
        <w:rPr>
          <w:rFonts w:ascii="Times New Roman" w:eastAsia="Times New Roman" w:hAnsi="Times New Roman"/>
          <w:sz w:val="24"/>
          <w:szCs w:val="24"/>
        </w:rPr>
        <w:t xml:space="preserve"> Jak wynika z treści uzasadnienia projektu, główne zmiany nim objęte dotyczą częściowej implementacji dyrektywy Rady 2016/1164 z dnia 12 lipca 2016 r. </w:t>
      </w:r>
      <w:r w:rsidRPr="009A3C86">
        <w:rPr>
          <w:rFonts w:ascii="Times New Roman" w:eastAsia="Times New Roman" w:hAnsi="Times New Roman"/>
          <w:i/>
          <w:iCs/>
          <w:sz w:val="24"/>
          <w:szCs w:val="24"/>
        </w:rPr>
        <w:t>ustanawiającej przepisy mające na celu przeciwdziałanie praktykom unikania opodatkowania, które mają bezpośredni wpływ na funkcjonowanie rynku wewnętrznego</w:t>
      </w:r>
      <w:r w:rsidRPr="009A3C86">
        <w:rPr>
          <w:rFonts w:ascii="Times New Roman" w:eastAsia="Times New Roman" w:hAnsi="Times New Roman"/>
          <w:sz w:val="24"/>
          <w:szCs w:val="24"/>
        </w:rPr>
        <w:t xml:space="preserve"> (ATAD). Tym celom podporządkowano również wprowadzone rozwiązania, które mogą wpłynąć na zwiększenie efektu prewencyjnego przepisów przeciwko unikaniu opodatkowania oraz doprecyzowujących niektóre ich elementy. W zakresie wydawania interpretacji indywidualnych oznacza to ograniczenie możliwości wydawania interpretacji indywidualnych w zakresie przepisów zapobiegających unikaniu opodatkowania.</w:t>
      </w:r>
      <w:r w:rsidRPr="009A3C86">
        <w:rPr>
          <w:rFonts w:ascii="Times New Roman" w:eastAsia="Times New Roman" w:hAnsi="Times New Roman"/>
          <w:sz w:val="24"/>
          <w:szCs w:val="24"/>
          <w:vertAlign w:val="superscript"/>
        </w:rPr>
        <w:footnoteReference w:id="509"/>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Uwzględniono w nim również kompetencje organów Krajowej Administracji Skarbowej w zakresie wydawania indywidualnych interpretacji. Zgodnie z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Dyrektor Krajowej Informacji Skarbowej, na wniosek zainteresowanego, wydaje, w jego indywidualnej sprawie, interpretację przepisów prawa podatkowego (interpretację indywidualną). Podmiotem (zainteresowanym) uprawnionym do złożenia wniosku o wydanie interpretacji indywidualnych może być każdy, kto przedstawi wyczerpujący opis zaistniałego stanu faktycznego albo zdarzenia przyszłego, stanowiącego podatkowy stan faktyczny oraz zajmie wobec tego stanu własne stanowisko w sprawie jego oceny prawnej, a także spełni pozostałe wymagania stawiane wnioskowi. Z tego wynika, że wnioskodawcą może być zarówno podmiot będący podatnikiem, płatnikiem, inkasentem, osobą odpowiedzialną za zobowiązania podatnika, jak i podmiot niewystępujący jeszcze w tej roli, lecz przewidujący lub wręcz projektujący możliwość znalezienia się w niej. Wniosek o wydanie interpretacji może być formułowany zarówno na tle istniejącego już stanu faktycznego, a więc zdarzeń lub czynności, które miały już miejsce, jak również w kontekście przyszłego, hipotetycznego stanu faktycznego, czyli dopiero planowanych przedsięwzięć wnioskodawcy, który chce wiedzieć, jakie będą skutki prawnopodatkowe zamierzonych przez niego działań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w:t>
      </w:r>
      <w:r w:rsidR="008315B1" w:rsidRPr="009A3C86">
        <w:rPr>
          <w:rFonts w:ascii="Times New Roman" w:eastAsia="Times New Roman" w:hAnsi="Times New Roman"/>
          <w:b/>
          <w:sz w:val="24"/>
          <w:szCs w:val="24"/>
        </w:rPr>
        <w:t>§ </w:t>
      </w:r>
      <w:r w:rsidRPr="009A3C86">
        <w:rPr>
          <w:rFonts w:ascii="Times New Roman" w:eastAsia="Times New Roman" w:hAnsi="Times New Roman"/>
          <w:b/>
          <w:sz w:val="24"/>
          <w:szCs w:val="24"/>
        </w:rPr>
        <w:t>2</w:t>
      </w:r>
      <w:r w:rsidRPr="009A3C86">
        <w:rPr>
          <w:rFonts w:ascii="Times New Roman" w:eastAsia="Times New Roman" w:hAnsi="Times New Roman"/>
          <w:sz w:val="24"/>
          <w:szCs w:val="24"/>
        </w:rPr>
        <w:t xml:space="preserve">). Istotne jest jednak, aby określony we wniosku stan faktyczny przedstawiony został w sposób wyczerpujący. Własne </w:t>
      </w:r>
      <w:r w:rsidRPr="009A3C86">
        <w:rPr>
          <w:rFonts w:ascii="Times New Roman" w:eastAsia="Times New Roman" w:hAnsi="Times New Roman"/>
          <w:sz w:val="24"/>
          <w:szCs w:val="24"/>
        </w:rPr>
        <w:lastRenderedPageBreak/>
        <w:t>stanowisko podatnika powinno ściśle korespondować z zakresem złożonego wniosku i zadanym w jego ramach pytaniem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Obecny kształt wniosku o wydanie interpretacji indywidualnej oraz ukształtowana na tym tle praktyka orzecznicza</w:t>
      </w:r>
      <w:r w:rsidRPr="009A3C86">
        <w:rPr>
          <w:rFonts w:ascii="Times New Roman" w:eastAsia="Times New Roman" w:hAnsi="Times New Roman"/>
          <w:sz w:val="24"/>
          <w:szCs w:val="24"/>
          <w:vertAlign w:val="superscript"/>
        </w:rPr>
        <w:footnoteReference w:id="510"/>
      </w:r>
      <w:r w:rsidRPr="009A3C86">
        <w:rPr>
          <w:rFonts w:ascii="Times New Roman" w:eastAsia="Times New Roman" w:hAnsi="Times New Roman"/>
          <w:sz w:val="24"/>
          <w:szCs w:val="24"/>
        </w:rPr>
        <w:t xml:space="preserve"> wskazują, że zainteresowany w formie pytań skierowanych do organu interpretacyjnego formułuje zagadnienie prawne wymagające zajęcia stanowiska przez ten organ. Zgodnie z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w:t>
      </w:r>
      <w:r w:rsidR="008315B1" w:rsidRPr="009A3C86">
        <w:rPr>
          <w:rFonts w:ascii="Times New Roman" w:eastAsia="Times New Roman" w:hAnsi="Times New Roman"/>
          <w:b/>
          <w:sz w:val="24"/>
          <w:szCs w:val="24"/>
        </w:rPr>
        <w:t>6</w:t>
      </w:r>
      <w:r w:rsidRPr="009A3C86">
        <w:rPr>
          <w:rFonts w:ascii="Times New Roman" w:eastAsia="Times New Roman" w:hAnsi="Times New Roman"/>
          <w:sz w:val="24"/>
          <w:szCs w:val="24"/>
        </w:rPr>
        <w:t xml:space="preserve"> wniosek o wydanie interpretacji indywidualnej niespełniający opisanych wymogów (art. 5</w:t>
      </w:r>
      <w:r w:rsidR="002E0810" w:rsidRPr="009A3C86">
        <w:rPr>
          <w:rFonts w:ascii="Times New Roman" w:eastAsia="Times New Roman" w:hAnsi="Times New Roman"/>
          <w:sz w:val="24"/>
          <w:szCs w:val="24"/>
        </w:rPr>
        <w:t>58</w:t>
      </w:r>
      <w:r w:rsidRPr="009A3C86">
        <w:rPr>
          <w:rFonts w:ascii="Times New Roman" w:eastAsia="Times New Roman" w:hAnsi="Times New Roman"/>
          <w:sz w:val="24"/>
          <w:szCs w:val="24"/>
        </w:rPr>
        <w:t xml:space="preserve"> § 3</w:t>
      </w:r>
      <w:r w:rsidR="008315B1" w:rsidRPr="009A3C86">
        <w:rPr>
          <w:rFonts w:ascii="Times New Roman" w:eastAsia="Times New Roman" w:hAnsi="Times New Roman"/>
          <w:sz w:val="24"/>
          <w:szCs w:val="24"/>
        </w:rPr>
        <w:t xml:space="preserve"> i 4</w:t>
      </w:r>
      <w:r w:rsidRPr="009A3C86">
        <w:rPr>
          <w:rFonts w:ascii="Times New Roman" w:eastAsia="Times New Roman" w:hAnsi="Times New Roman"/>
          <w:sz w:val="24"/>
          <w:szCs w:val="24"/>
        </w:rPr>
        <w:t xml:space="preserve">) lub innych wymogów określonych przepisami prawa np. w sytuacji gdy brak będzie podpisu wnioskodawcy lub pełnomocnictwa, pozostawia się bez rozpatrzenia. W tego rodzaju sprawach właściwy organ wydaje postanowienie, na które zainteresowanemu przysługuje zażalenie.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3. Na podstawie tych regulacji wniosek o wydanie interpretacji indywidualnej powinien spełniać następujące wymagania: musi być złożony na piśmie; może dotyczyć tylko indywidualnej sprawy zainteresowanego; może dotyczyć zaistniałego stanu faktycznego, jak i zdarzeń przyszłych; informacje te muszą być przedstawione w sposób wyczerpujący; przedmiotem wniosku nie mogą być te elementy stanu faktycznego, które w dniu złożenia wniosku są przedmiotem toczącego się postępowania podatkowego, kontroli podatkowej, kontroli celno-skarbowej albo były przedmiotem decyzji lub postanowienia w sprawie, która została już rozstrzygnięta co do istoty. Z tego względu wniosek musi zawierać w tym zakresie oświadczenie wnioskodawcy, złożone pod rygorem odpowiedzialności karnej za złożenie fałszywego oświadczenia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w:t>
      </w:r>
      <w:r w:rsidR="008315B1" w:rsidRPr="009A3C86">
        <w:rPr>
          <w:rFonts w:ascii="Times New Roman" w:eastAsia="Times New Roman" w:hAnsi="Times New Roman"/>
          <w:b/>
          <w:sz w:val="24"/>
          <w:szCs w:val="24"/>
        </w:rPr>
        <w:t>7</w:t>
      </w:r>
      <w:r w:rsidRPr="009A3C86">
        <w:rPr>
          <w:rFonts w:ascii="Times New Roman" w:eastAsia="Times New Roman" w:hAnsi="Times New Roman"/>
          <w:sz w:val="24"/>
          <w:szCs w:val="24"/>
        </w:rPr>
        <w:t>); musi zawierać własne stanowisko zainteresowanego w sprawie oceny prawnej stanu faktycznego lub zdarzenia przedstawionego we wniosku.</w:t>
      </w:r>
    </w:p>
    <w:p w:rsidR="002E7C2C"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Przepisy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1-</w:t>
      </w:r>
      <w:r w:rsidR="002E7C2C" w:rsidRPr="009A3C86">
        <w:rPr>
          <w:rFonts w:ascii="Times New Roman" w:eastAsia="Times New Roman" w:hAnsi="Times New Roman"/>
          <w:b/>
          <w:sz w:val="24"/>
          <w:szCs w:val="24"/>
        </w:rPr>
        <w:t>3 i 6</w:t>
      </w:r>
      <w:r w:rsidRPr="009A3C86">
        <w:rPr>
          <w:rFonts w:ascii="Times New Roman" w:eastAsia="Times New Roman" w:hAnsi="Times New Roman"/>
          <w:sz w:val="24"/>
          <w:szCs w:val="24"/>
        </w:rPr>
        <w:t xml:space="preserve"> stawiają przed zainteresowanym udzieleniem interpretacji wymagania związane z tym, aby był złożony na piśmie i w sposób wyczerpujący przedstawiał stan faktyczny sprawy oraz zawierał własne stanowisko wnioskodawcy w sprawie oceny prawnej stanu faktycznego lub zdarzenia przyszłego. Jednoznacznie wykluczona została możliwość złożenia wniosku, którego przedmiotem jest stan faktyczny objęty już postępowaniem podatkowym, kontrolą podatkową, kontrolą celno-skarbową albo sprawa została już rozstrzygnięta co do istoty w decyzji lub w postanowieniu organu podatkowego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w:t>
      </w:r>
      <w:r w:rsidR="002E7C2C" w:rsidRPr="009A3C86">
        <w:rPr>
          <w:rFonts w:ascii="Times New Roman" w:eastAsia="Times New Roman" w:hAnsi="Times New Roman"/>
          <w:b/>
          <w:sz w:val="24"/>
          <w:szCs w:val="24"/>
        </w:rPr>
        <w:t>8</w:t>
      </w:r>
      <w:r w:rsidRPr="009A3C86">
        <w:rPr>
          <w:rFonts w:ascii="Times New Roman" w:eastAsia="Times New Roman" w:hAnsi="Times New Roman"/>
          <w:sz w:val="24"/>
          <w:szCs w:val="24"/>
        </w:rPr>
        <w:t>).</w:t>
      </w:r>
    </w:p>
    <w:p w:rsidR="002E7C2C" w:rsidRPr="009A3C86" w:rsidRDefault="002E7C2C" w:rsidP="002E7C2C">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Przepis </w:t>
      </w:r>
      <w:r w:rsidRPr="009A3C86">
        <w:rPr>
          <w:rFonts w:ascii="Times New Roman" w:eastAsia="Times New Roman" w:hAnsi="Times New Roman"/>
          <w:b/>
          <w:sz w:val="24"/>
          <w:szCs w:val="24"/>
        </w:rPr>
        <w:t>art. 558 § 4</w:t>
      </w:r>
      <w:r w:rsidRPr="009A3C86">
        <w:rPr>
          <w:rFonts w:ascii="Times New Roman" w:eastAsia="Times New Roman" w:hAnsi="Times New Roman"/>
          <w:sz w:val="24"/>
          <w:szCs w:val="24"/>
        </w:rPr>
        <w:t xml:space="preserve"> normuje sytuacje, w których wnioskodawca występujący o wydanie interpretacji indywidualnej przepisów prawa podatkowego będzie zobligowany do wskazania odpowiednio państwa lub terytorium miejsca zamieszkania osoby fizycznej, danych </w:t>
      </w:r>
      <w:r w:rsidRPr="009A3C86">
        <w:rPr>
          <w:rFonts w:ascii="Times New Roman" w:eastAsia="Times New Roman" w:hAnsi="Times New Roman"/>
          <w:sz w:val="24"/>
          <w:szCs w:val="24"/>
        </w:rPr>
        <w:lastRenderedPageBreak/>
        <w:t>identyfikujących osobę prawną lub jednostkę organizacyjną niemającą osobowości prawnej, w tym państwa lub terytoria, na których wystąpiły lub mogą wystąpić skutki transgraniczne. Przy czym obowiązek ten nie będzie obejmował wniosków o wydanie interpretacji indywidualnej dotyczących wyłącznie indywidualnej sprawy osoby fizycznej, jak również wniosków o wydanie interpretacji indywidualnej w zakresie podatku akcyzowego oraz podatku od towarów i usług (</w:t>
      </w:r>
      <w:r w:rsidRPr="009A3C86">
        <w:rPr>
          <w:rFonts w:ascii="Times New Roman" w:eastAsia="Times New Roman" w:hAnsi="Times New Roman"/>
          <w:b/>
          <w:sz w:val="24"/>
          <w:szCs w:val="24"/>
        </w:rPr>
        <w:t>art. 558 § 5</w:t>
      </w:r>
      <w:r w:rsidRPr="009A3C86">
        <w:rPr>
          <w:rFonts w:ascii="Times New Roman" w:eastAsia="Times New Roman" w:hAnsi="Times New Roman"/>
          <w:sz w:val="24"/>
          <w:szCs w:val="24"/>
        </w:rPr>
        <w:t>).</w:t>
      </w:r>
    </w:p>
    <w:p w:rsidR="002E7C2C" w:rsidRPr="009A3C86" w:rsidRDefault="002E7C2C" w:rsidP="002E7C2C">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Pojęcie </w:t>
      </w:r>
      <w:r w:rsidRPr="009A3C86">
        <w:rPr>
          <w:rFonts w:ascii="Times New Roman" w:eastAsia="Times New Roman" w:hAnsi="Times New Roman"/>
          <w:i/>
          <w:sz w:val="24"/>
          <w:szCs w:val="24"/>
        </w:rPr>
        <w:t>skutki transgraniczne</w:t>
      </w:r>
      <w:r w:rsidRPr="009A3C86">
        <w:rPr>
          <w:rFonts w:ascii="Times New Roman" w:eastAsia="Times New Roman" w:hAnsi="Times New Roman"/>
          <w:sz w:val="24"/>
          <w:szCs w:val="24"/>
        </w:rPr>
        <w:t xml:space="preserve"> nie ma nadanego specyficznego znaczenia i zgodnie z definicją językową dotyczy zdarzenia mającego skutki w dwóch krajach, np. dotyczącego podejmowanej działalności w innym państwie (która nie mieści się w kategoriach wymienionych w art. 558 § 4 pkt 1). Przykładem interpretacji indywidualnej, która mieściłaby się w tak rozumianym pojęciu, byłaby np. interpretacja potwierdzająca nieistnienie zakładu w innym państwie w świetle umowy o unikaniu podwójnego opodatkowania.</w:t>
      </w:r>
    </w:p>
    <w:p w:rsidR="002E7C2C" w:rsidRPr="009A3C86" w:rsidRDefault="002E7C2C" w:rsidP="002E7C2C">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Dodanie wskazanych regulacji uwzględnia cel dyrektywy Rady 2011/16/UE oraz wytyczne zawarte w opracowanym przez OECD standardzie BEPS.</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5</w:t>
      </w:r>
      <w:r w:rsidR="00045CB9" w:rsidRPr="009A3C86">
        <w:rPr>
          <w:rFonts w:ascii="Times New Roman" w:eastAsia="Times New Roman" w:hAnsi="Times New Roman"/>
          <w:sz w:val="24"/>
          <w:szCs w:val="24"/>
        </w:rPr>
        <w:t>. Wnioskodawca nie może żądać od organu wydającego interpretację indywidualną zajęcia stanowiska w sprawie, która jest dopiero w toku lub została już rozstrzygnięta. Aby do wydania takiej interpretacji nie doszło, od wnioskodawcy wymaga się złożenia oświadczenia pod rygorem odpowiedzialności karnej za fałszywe zeznania. Gdyby jednak wnioskodawca złożył oświadczenie niezgodne z prawdą, a organ wydał interpretację indywidualną, to interpretacja ta nie wywołuje skutków prawnych w sprawie podatkowej (</w:t>
      </w:r>
      <w:r w:rsidR="00045CB9"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00045CB9" w:rsidRPr="009A3C86">
        <w:rPr>
          <w:rFonts w:ascii="Times New Roman" w:eastAsia="Times New Roman" w:hAnsi="Times New Roman"/>
          <w:b/>
          <w:sz w:val="24"/>
          <w:szCs w:val="24"/>
        </w:rPr>
        <w:t xml:space="preserve"> § </w:t>
      </w:r>
      <w:r w:rsidR="008315B1" w:rsidRPr="009A3C86">
        <w:rPr>
          <w:rFonts w:ascii="Times New Roman" w:eastAsia="Times New Roman" w:hAnsi="Times New Roman"/>
          <w:b/>
          <w:sz w:val="24"/>
          <w:szCs w:val="24"/>
        </w:rPr>
        <w:t>7</w:t>
      </w:r>
      <w:r w:rsidR="00045CB9" w:rsidRPr="009A3C86">
        <w:rPr>
          <w:rFonts w:ascii="Times New Roman" w:eastAsia="Times New Roman" w:hAnsi="Times New Roman"/>
          <w:sz w:val="24"/>
          <w:szCs w:val="24"/>
        </w:rPr>
        <w:t>), a wnioskodawca ponosi odpowiedzialność karną przewidzianą w przepisach kodeksu karnego.</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6</w:t>
      </w:r>
      <w:r w:rsidR="00045CB9" w:rsidRPr="009A3C86">
        <w:rPr>
          <w:rFonts w:ascii="Times New Roman" w:eastAsia="Times New Roman" w:hAnsi="Times New Roman"/>
          <w:sz w:val="24"/>
          <w:szCs w:val="24"/>
        </w:rPr>
        <w:t xml:space="preserve">. Ponadto zgodnie z </w:t>
      </w:r>
      <w:r w:rsidR="00045CB9"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00045CB9" w:rsidRPr="009A3C86">
        <w:rPr>
          <w:rFonts w:ascii="Times New Roman" w:eastAsia="Times New Roman" w:hAnsi="Times New Roman"/>
          <w:b/>
          <w:sz w:val="24"/>
          <w:szCs w:val="24"/>
        </w:rPr>
        <w:t xml:space="preserve"> § </w:t>
      </w:r>
      <w:r w:rsidR="008315B1" w:rsidRPr="009A3C86">
        <w:rPr>
          <w:rFonts w:ascii="Times New Roman" w:eastAsia="Times New Roman" w:hAnsi="Times New Roman"/>
          <w:b/>
          <w:sz w:val="24"/>
          <w:szCs w:val="24"/>
        </w:rPr>
        <w:t>9</w:t>
      </w:r>
      <w:r w:rsidR="00045CB9" w:rsidRPr="009A3C86">
        <w:rPr>
          <w:rFonts w:ascii="Times New Roman" w:eastAsia="Times New Roman" w:hAnsi="Times New Roman"/>
          <w:sz w:val="24"/>
          <w:szCs w:val="24"/>
        </w:rPr>
        <w:t>, jeżeli przedstawione we wniosku stan faktyczny lub zdarzenie przyszłe odpowiadają zagadnieniu będącemu przedmiotem interpretacji ogólnej wydanej w takim samym stanie prawnym, wydaje się postanowienie o stwierdzeniu, że do stanu faktycznego lub zdarzenia przyszłego opisanych we wniosku ma zastosowanie interpretacja ogólna, z jednoczesnym stwierdzeniem bezprzedmiotowości wniosku. W tym przypadku w postanowieniu wskazuje się oznaczenie interpretacji ogólnej wraz z podaniem miejsca jej publikacji. Na wydane postanowienie przysługuje zażalenie.</w:t>
      </w:r>
    </w:p>
    <w:p w:rsidR="00045CB9" w:rsidRPr="009A3C86" w:rsidRDefault="00045CB9" w:rsidP="00045CB9">
      <w:pPr>
        <w:suppressAutoHyphens/>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b/>
          <w:sz w:val="24"/>
          <w:szCs w:val="24"/>
          <w:lang w:eastAsia="pl-PL"/>
        </w:rPr>
        <w:t>Art. 5</w:t>
      </w:r>
      <w:r w:rsidR="002E0810" w:rsidRPr="009A3C86">
        <w:rPr>
          <w:rFonts w:ascii="Times New Roman" w:hAnsi="Times New Roman"/>
          <w:b/>
          <w:sz w:val="24"/>
          <w:szCs w:val="24"/>
          <w:lang w:eastAsia="pl-PL"/>
        </w:rPr>
        <w:t>58</w:t>
      </w:r>
      <w:r w:rsidRPr="009A3C86">
        <w:rPr>
          <w:rFonts w:ascii="Times New Roman" w:hAnsi="Times New Roman"/>
          <w:b/>
          <w:sz w:val="24"/>
          <w:szCs w:val="24"/>
          <w:lang w:eastAsia="pl-PL"/>
        </w:rPr>
        <w:t xml:space="preserve"> §</w:t>
      </w:r>
      <w:r w:rsidR="001066AA" w:rsidRPr="009A3C86">
        <w:rPr>
          <w:rFonts w:ascii="Times New Roman" w:hAnsi="Times New Roman"/>
          <w:b/>
          <w:sz w:val="24"/>
          <w:szCs w:val="24"/>
          <w:lang w:eastAsia="pl-PL"/>
        </w:rPr>
        <w:t xml:space="preserve"> </w:t>
      </w:r>
      <w:r w:rsidR="008315B1" w:rsidRPr="009A3C86">
        <w:rPr>
          <w:rFonts w:ascii="Times New Roman" w:hAnsi="Times New Roman"/>
          <w:b/>
          <w:sz w:val="24"/>
          <w:szCs w:val="24"/>
          <w:lang w:eastAsia="pl-PL"/>
        </w:rPr>
        <w:t>10</w:t>
      </w:r>
      <w:r w:rsidRPr="009A3C86">
        <w:rPr>
          <w:rFonts w:ascii="Times New Roman" w:hAnsi="Times New Roman"/>
          <w:sz w:val="24"/>
          <w:szCs w:val="24"/>
          <w:lang w:eastAsia="pl-PL"/>
        </w:rPr>
        <w:t xml:space="preserve"> nakłada na Dyrektor Krajowej Informacji Skarbowej </w:t>
      </w:r>
      <w:r w:rsidR="001066AA" w:rsidRPr="009A3C86">
        <w:rPr>
          <w:rFonts w:ascii="Times New Roman" w:hAnsi="Times New Roman"/>
          <w:sz w:val="24"/>
          <w:szCs w:val="24"/>
          <w:lang w:eastAsia="pl-PL"/>
        </w:rPr>
        <w:t xml:space="preserve">obowiązek </w:t>
      </w:r>
      <w:r w:rsidRPr="009A3C86">
        <w:rPr>
          <w:rFonts w:ascii="Times New Roman" w:hAnsi="Times New Roman"/>
          <w:sz w:val="24"/>
          <w:szCs w:val="24"/>
          <w:lang w:eastAsia="pl-PL"/>
        </w:rPr>
        <w:t>wydania interpretacji indywidualnej po zasięgnięciu opinii Szefa Krajowej Administracji Skarbowej, jeżeli wnioskodawca lub jeden z wnioskodawców w przypadku wniosku wspólnego podpisał umowę o współdziałanie.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w:t>
      </w:r>
      <w:r w:rsidR="002E0810" w:rsidRPr="009A3C86">
        <w:rPr>
          <w:rFonts w:ascii="Times New Roman" w:eastAsia="Times New Roman" w:hAnsi="Times New Roman"/>
          <w:b/>
          <w:sz w:val="24"/>
          <w:szCs w:val="24"/>
        </w:rPr>
        <w:t>58</w:t>
      </w:r>
      <w:r w:rsidRPr="009A3C86">
        <w:rPr>
          <w:rFonts w:ascii="Times New Roman" w:eastAsia="Times New Roman" w:hAnsi="Times New Roman"/>
          <w:b/>
          <w:sz w:val="24"/>
          <w:szCs w:val="24"/>
        </w:rPr>
        <w:t xml:space="preserve"> § </w:t>
      </w:r>
      <w:r w:rsidR="008315B1" w:rsidRPr="009A3C86">
        <w:rPr>
          <w:rFonts w:ascii="Times New Roman" w:eastAsia="Times New Roman" w:hAnsi="Times New Roman"/>
          <w:b/>
          <w:sz w:val="24"/>
          <w:szCs w:val="24"/>
        </w:rPr>
        <w:t>11</w:t>
      </w:r>
      <w:r w:rsidRPr="009A3C86">
        <w:rPr>
          <w:rFonts w:ascii="Times New Roman" w:eastAsia="Times New Roman" w:hAnsi="Times New Roman"/>
          <w:sz w:val="24"/>
          <w:szCs w:val="24"/>
        </w:rPr>
        <w:t xml:space="preserve"> przewidziano delegację dla ministra właściwego do spraw finansów publicznych dla określenia w drodze rozporządzenia wzoru wniosku o wydanie interpretacji </w:t>
      </w:r>
      <w:r w:rsidRPr="009A3C86">
        <w:rPr>
          <w:rFonts w:ascii="Times New Roman" w:eastAsia="Times New Roman" w:hAnsi="Times New Roman"/>
          <w:sz w:val="24"/>
          <w:szCs w:val="24"/>
        </w:rPr>
        <w:lastRenderedPageBreak/>
        <w:t>indywidualnej, zawierającego w szczególności dane identyfikujące wnioskodawcę, omówione wskazania dotyczące samego wniosku oraz sposób uiszczenia opłaty.</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7</w:t>
      </w:r>
      <w:r w:rsidR="00045CB9" w:rsidRPr="009A3C86">
        <w:rPr>
          <w:rFonts w:ascii="Times New Roman" w:eastAsia="Times New Roman" w:hAnsi="Times New Roman"/>
          <w:sz w:val="24"/>
          <w:szCs w:val="24"/>
        </w:rPr>
        <w:t xml:space="preserve">. </w:t>
      </w:r>
      <w:r w:rsidR="00045CB9" w:rsidRPr="009A3C86">
        <w:rPr>
          <w:rFonts w:ascii="Times New Roman" w:eastAsia="Times New Roman" w:hAnsi="Times New Roman"/>
          <w:b/>
          <w:bCs/>
          <w:sz w:val="24"/>
          <w:szCs w:val="24"/>
        </w:rPr>
        <w:t>W art. 55</w:t>
      </w:r>
      <w:r w:rsidR="002E0810" w:rsidRPr="009A3C86">
        <w:rPr>
          <w:rFonts w:ascii="Times New Roman" w:eastAsia="Times New Roman" w:hAnsi="Times New Roman"/>
          <w:b/>
          <w:bCs/>
          <w:sz w:val="24"/>
          <w:szCs w:val="24"/>
        </w:rPr>
        <w:t>9</w:t>
      </w:r>
      <w:r w:rsidR="00045CB9" w:rsidRPr="009A3C86">
        <w:rPr>
          <w:rFonts w:ascii="Times New Roman" w:eastAsia="Times New Roman" w:hAnsi="Times New Roman"/>
          <w:sz w:val="24"/>
          <w:szCs w:val="24"/>
        </w:rPr>
        <w:t xml:space="preserve"> przewidziano rozwiązanie odpowiadające  dotychczasowemu rozwiązaniu ograniczającemu dopuszczalność wydawania indywidualnych interpretacji, gdy wniosek dotyczy przepisów prawa podatkowego, regulujących właściwość, uprawnienia i obowiązki organów podatkowych (art. 14b § 2a o.p.). Na konieczność ograniczenia dopuszczalności wydawania indywidualnych interpretacji, jeżeli w złożonym wniosku podniesione zostały kwestie procesowe, tzn. przepisów regulujących postępowanie podatkowe czy też przepisów o charakterze proceduralnym regulujących uprawnienia i obowiązki organu podatkowego wskazano w orzecznictwie sądowym.</w:t>
      </w:r>
      <w:r w:rsidR="00045CB9" w:rsidRPr="009A3C86">
        <w:rPr>
          <w:rFonts w:ascii="Times New Roman" w:eastAsia="Times New Roman" w:hAnsi="Times New Roman"/>
          <w:sz w:val="24"/>
          <w:szCs w:val="24"/>
          <w:vertAlign w:val="superscript"/>
        </w:rPr>
        <w:footnoteReference w:id="511"/>
      </w:r>
      <w:r w:rsidR="00045CB9" w:rsidRPr="009A3C86">
        <w:rPr>
          <w:rFonts w:ascii="Times New Roman" w:eastAsia="Times New Roman" w:hAnsi="Times New Roman"/>
          <w:sz w:val="24"/>
          <w:szCs w:val="24"/>
        </w:rPr>
        <w:t xml:space="preserve"> W nowelizacji z dnia 23 października 2018 r. katalog tych przepisów został rozszerzony. Podobnie jak  w art. 14b § 2a lit. a-</w:t>
      </w:r>
      <w:r w:rsidR="00045CB9" w:rsidRPr="009A3C86">
        <w:rPr>
          <w:rFonts w:ascii="Times New Roman" w:eastAsia="Times New Roman" w:hAnsi="Times New Roman"/>
          <w:b/>
          <w:sz w:val="24"/>
          <w:szCs w:val="24"/>
        </w:rPr>
        <w:t>c</w:t>
      </w:r>
      <w:r w:rsidR="00045CB9" w:rsidRPr="009A3C86">
        <w:rPr>
          <w:rFonts w:ascii="Times New Roman" w:eastAsia="Times New Roman" w:hAnsi="Times New Roman"/>
          <w:sz w:val="24"/>
          <w:szCs w:val="24"/>
        </w:rPr>
        <w:t xml:space="preserve"> o.p., katalog ten ma charakter otwarty oraz obejmuje przykładowe sytuacje, gdy przedmiotem wniosku o interpretację indywidualną nie mogą być przepisy prawa podatkowego:</w:t>
      </w:r>
    </w:p>
    <w:p w:rsidR="00045CB9" w:rsidRPr="009A3C86" w:rsidRDefault="00045CB9" w:rsidP="00D72E74">
      <w:pPr>
        <w:numPr>
          <w:ilvl w:val="0"/>
          <w:numId w:val="18"/>
        </w:numPr>
        <w:spacing w:after="0" w:line="360" w:lineRule="auto"/>
        <w:ind w:left="720"/>
        <w:jc w:val="both"/>
        <w:rPr>
          <w:rFonts w:ascii="Times New Roman" w:eastAsia="Times New Roman" w:hAnsi="Times New Roman"/>
          <w:sz w:val="24"/>
          <w:szCs w:val="24"/>
        </w:rPr>
      </w:pPr>
      <w:r w:rsidRPr="009A3C86">
        <w:rPr>
          <w:rFonts w:ascii="Times New Roman" w:eastAsia="Times New Roman" w:hAnsi="Times New Roman"/>
          <w:sz w:val="24"/>
          <w:szCs w:val="24"/>
        </w:rPr>
        <w:t>regulujące właściwość, uprawnienia i obowiązki organów podatkowych;</w:t>
      </w:r>
    </w:p>
    <w:p w:rsidR="00045CB9" w:rsidRPr="009A3C86" w:rsidRDefault="00045CB9" w:rsidP="00D72E74">
      <w:pPr>
        <w:numPr>
          <w:ilvl w:val="0"/>
          <w:numId w:val="18"/>
        </w:numPr>
        <w:spacing w:after="0" w:line="360" w:lineRule="auto"/>
        <w:ind w:left="720"/>
        <w:jc w:val="both"/>
        <w:rPr>
          <w:rFonts w:ascii="Times New Roman" w:eastAsia="Times New Roman" w:hAnsi="Times New Roman"/>
          <w:sz w:val="24"/>
          <w:szCs w:val="24"/>
        </w:rPr>
      </w:pPr>
      <w:r w:rsidRPr="009A3C86">
        <w:rPr>
          <w:rFonts w:ascii="Times New Roman" w:eastAsia="Times New Roman" w:hAnsi="Times New Roman"/>
          <w:sz w:val="24"/>
          <w:szCs w:val="24"/>
        </w:rPr>
        <w:t>mające na celu przeciwdziałanie unikaniu opodatkowania, odnosząc się do transakcji lub innej czynności poprzez ocenę jej uzasadnienia ekonomicznego, lub dokonania jej w warunkach sztuczności lub w celu nadużycia prawa, w tym w zakresie klauzuli przeciwko unikaniu opodatkowania oraz małych klauzul przeciwko unikaniu opodatkowania, np. art. 4a pkt 23, art. 12 ust 13 i 14, art. 22c u.p.d.o.p.</w:t>
      </w:r>
    </w:p>
    <w:p w:rsidR="00045CB9" w:rsidRPr="009A3C86" w:rsidRDefault="00045CB9" w:rsidP="00D72E74">
      <w:pPr>
        <w:numPr>
          <w:ilvl w:val="0"/>
          <w:numId w:val="18"/>
        </w:numPr>
        <w:spacing w:after="0" w:line="360" w:lineRule="auto"/>
        <w:ind w:left="720"/>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dotyczące środków ograniczających umowne korzyści.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Obowiązującej od 15 lipca 2016 r. generalnej klauzuli przeciwko unikaniu opodatkowania towarzyszy instytucja wydawania tzw. opinii zabezpieczających. Polega ona na możliwości uzyskania stanowiska Szefa KAS, w którym organ ten ocenia, czy w danym stanie faktycznym opisanym przez podatnika klauzula mogłaby mieć zastosowanie. Opinie zabezpieczające stanowią więc instrument, z którego podatnik powinien korzystać, jeżeli poszukuje zabezpieczenia swojej sytuacji prawnej z perspektywy uniknięcia zarzutu prowadzenia agresywnej optymalizacji podatkowej. Jednakże, pomimo wprowadzenia instytucji opinii zabezpieczającej, nie było w Ordynacji podatkowej przepisu, który wyłączałby </w:t>
      </w:r>
      <w:r w:rsidRPr="009A3C86">
        <w:rPr>
          <w:rFonts w:ascii="Times New Roman" w:eastAsia="Times New Roman" w:hAnsi="Times New Roman"/>
          <w:i/>
          <w:iCs/>
          <w:sz w:val="24"/>
          <w:szCs w:val="24"/>
        </w:rPr>
        <w:t>explicite</w:t>
      </w:r>
      <w:r w:rsidRPr="009A3C86">
        <w:rPr>
          <w:rFonts w:ascii="Times New Roman" w:eastAsia="Times New Roman" w:hAnsi="Times New Roman"/>
          <w:sz w:val="24"/>
          <w:szCs w:val="24"/>
        </w:rPr>
        <w:t xml:space="preserve"> możliwość zadawania przez podatników pytań w formule indywidualnej interpretacji przepisów prawa podatkowego, dotyczących zastosowania klauzuli przeciwko unikaniu opodatkowania (choć wyłączenie takie można wywieść z wykładni systemowej przepisów regulujących te instytucje). Brak było również przepisów wyłączających możliwość </w:t>
      </w:r>
      <w:r w:rsidRPr="009A3C86">
        <w:rPr>
          <w:rFonts w:ascii="Times New Roman" w:eastAsia="Times New Roman" w:hAnsi="Times New Roman"/>
          <w:sz w:val="24"/>
          <w:szCs w:val="24"/>
        </w:rPr>
        <w:lastRenderedPageBreak/>
        <w:t xml:space="preserve">wnioskowania o wydanie interpretacji indywidualnej w stosunku do przepisów klauzul szczególnych lub środków ograniczających umowne korzyści, mimo iż materialne prawo podatkowe zawiera przepisy podobne w swoim charakterze do generalnej klauzuli przeciwko unikaniu opodatkowania. Są to środki ograniczające umowne korzyści, tzw. małe klauzule przeciwko unikaniu opodatkowania oraz klauzula nadużycia prawa (np. art. 5 ust. 5 u.p.t.u). </w:t>
      </w:r>
      <w:r w:rsidRPr="009A3C86">
        <w:rPr>
          <w:rFonts w:ascii="Times New Roman" w:eastAsia="Times New Roman" w:hAnsi="Times New Roman"/>
          <w:b/>
          <w:sz w:val="24"/>
          <w:szCs w:val="24"/>
        </w:rPr>
        <w:t xml:space="preserve">Art. </w:t>
      </w:r>
      <w:r w:rsidR="008753A6" w:rsidRPr="009A3C86">
        <w:rPr>
          <w:rFonts w:ascii="Times New Roman" w:eastAsia="Times New Roman" w:hAnsi="Times New Roman"/>
          <w:b/>
          <w:sz w:val="24"/>
          <w:szCs w:val="24"/>
        </w:rPr>
        <w:t>55</w:t>
      </w:r>
      <w:r w:rsidR="00CC02CD" w:rsidRPr="009A3C86">
        <w:rPr>
          <w:rFonts w:ascii="Times New Roman" w:eastAsia="Times New Roman" w:hAnsi="Times New Roman"/>
          <w:b/>
          <w:sz w:val="24"/>
          <w:szCs w:val="24"/>
        </w:rPr>
        <w:t>9</w:t>
      </w:r>
      <w:r w:rsidRPr="009A3C86">
        <w:rPr>
          <w:rFonts w:ascii="Times New Roman" w:eastAsia="Times New Roman" w:hAnsi="Times New Roman"/>
          <w:sz w:val="24"/>
          <w:szCs w:val="24"/>
        </w:rPr>
        <w:t xml:space="preserve"> podobnie jak wprowadzony z dniem 1 stycznia </w:t>
      </w:r>
      <w:r w:rsidRPr="009A3C86">
        <w:rPr>
          <w:rFonts w:ascii="Times New Roman" w:eastAsia="Times New Roman" w:hAnsi="Times New Roman"/>
          <w:b/>
          <w:sz w:val="24"/>
          <w:szCs w:val="24"/>
        </w:rPr>
        <w:t>art. 14b § 2a</w:t>
      </w:r>
      <w:r w:rsidR="00C9126E" w:rsidRPr="009A3C86">
        <w:rPr>
          <w:rFonts w:ascii="Times New Roman" w:eastAsia="Times New Roman" w:hAnsi="Times New Roman"/>
          <w:b/>
          <w:sz w:val="24"/>
          <w:szCs w:val="24"/>
        </w:rPr>
        <w:t xml:space="preserve"> </w:t>
      </w:r>
      <w:r w:rsidR="00C9126E" w:rsidRPr="009A3C86">
        <w:rPr>
          <w:rFonts w:ascii="Times New Roman" w:eastAsia="Times New Roman" w:hAnsi="Times New Roman"/>
          <w:b/>
          <w:color w:val="FF0000"/>
          <w:sz w:val="24"/>
          <w:szCs w:val="24"/>
        </w:rPr>
        <w:t xml:space="preserve">pkt 2 </w:t>
      </w:r>
      <w:r w:rsidRPr="009A3C86">
        <w:rPr>
          <w:rFonts w:ascii="Times New Roman" w:eastAsia="Times New Roman" w:hAnsi="Times New Roman"/>
          <w:b/>
          <w:sz w:val="24"/>
          <w:szCs w:val="24"/>
        </w:rPr>
        <w:t>lit. a-c</w:t>
      </w:r>
      <w:r w:rsidRPr="009A3C86">
        <w:rPr>
          <w:rFonts w:ascii="Times New Roman" w:eastAsia="Times New Roman" w:hAnsi="Times New Roman"/>
          <w:sz w:val="24"/>
          <w:szCs w:val="24"/>
        </w:rPr>
        <w:t xml:space="preserve"> o.p. lukę tę wypełnia.</w:t>
      </w:r>
    </w:p>
    <w:p w:rsidR="00045CB9" w:rsidRPr="009A3C86" w:rsidRDefault="002E7C2C"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8</w:t>
      </w:r>
      <w:r w:rsidR="00045CB9" w:rsidRPr="009A3C86">
        <w:rPr>
          <w:rFonts w:ascii="Times New Roman" w:eastAsia="Times New Roman" w:hAnsi="Times New Roman"/>
          <w:sz w:val="24"/>
          <w:szCs w:val="24"/>
        </w:rPr>
        <w:t xml:space="preserve">. </w:t>
      </w:r>
      <w:r w:rsidR="00A7240C" w:rsidRPr="009A3C86">
        <w:rPr>
          <w:rFonts w:ascii="Times New Roman" w:eastAsia="Times New Roman" w:hAnsi="Times New Roman"/>
          <w:sz w:val="24"/>
          <w:szCs w:val="24"/>
        </w:rPr>
        <w:t xml:space="preserve"> Pozostawiono </w:t>
      </w:r>
      <w:r w:rsidR="00045CB9" w:rsidRPr="009A3C86">
        <w:rPr>
          <w:rFonts w:ascii="Times New Roman" w:eastAsia="Times New Roman" w:hAnsi="Times New Roman"/>
          <w:sz w:val="24"/>
          <w:szCs w:val="24"/>
        </w:rPr>
        <w:t xml:space="preserve">uprawnienie samorządowych organów podatkowych w sprawach wydania interpretacji indywidualnych dotyczących podatków, dla których właściwym organem podatkowym jest wójt, burmistrz (prezydent miasta), starosta lub marszałek województwa. Podobnie jak w obecnie obowiązującym art. 14j § 1 o.p. wójt (burmistrz, prezydent miasta), starosta lub marszałek województwa wydają interpretacje indywidualne przepisów prawa podatkowego stosownie do swojej właściwości. Przepis ten ma charakter kompetencyjny, ale także zobowiązuje przywołane organy do wydawania interpretacji indywidualnych. Interpretacje indywidualne w tych sprawach wydają wyłącznie wymienione organy, co oznacza, że wnioskodawca nie może wystąpić ze stosownym wnioskiem do Dyrektora Krajowej Informacji Skarbowej. Organy te wydają interpretacje indywidualne „stosownie do swojej właściwości", co oznacza, że mają obowiązek przestrzegać jej z urzędu (art. </w:t>
      </w:r>
      <w:r w:rsidR="00366AE9" w:rsidRPr="009A3C86">
        <w:rPr>
          <w:rFonts w:ascii="Times New Roman" w:eastAsia="Times New Roman" w:hAnsi="Times New Roman"/>
          <w:sz w:val="24"/>
          <w:szCs w:val="24"/>
        </w:rPr>
        <w:t>73</w:t>
      </w:r>
      <w:r w:rsidR="00045CB9" w:rsidRPr="009A3C86">
        <w:rPr>
          <w:rFonts w:ascii="Times New Roman" w:eastAsia="Times New Roman" w:hAnsi="Times New Roman"/>
          <w:sz w:val="24"/>
          <w:szCs w:val="24"/>
        </w:rPr>
        <w:t xml:space="preserve">). W aktualnym stanie prawnym wójt (burmistrz, prezydent miasta) są organami właściwymi rzeczowo do wydawania indywidualnych interpretacji przepisów prawa podatkowego w zakresie podatku od nieruchomości, podatku od środków transportowych, opłaty targowej, opłaty od posiadania psów, opłaty miejscowej, opłaty uzdrowiskowej, opłaty reklamowej, podatku rolnego, podatku leśnego. Wymienione organy nie są natomiast właściwe do wydawania interpretacji indywidualnych w zakresie podatków realizowanych przez urzędy skarbowe, a stanowiących w całości dochody jednostek samorządu terytorialnego. Dotyczy to podatku od spadków i darowizn, podatku od czynności cywilnoprawnych oraz podatku dochodowego od osób fizycznych, opłacanego w formie karty podatkowej. Tym samym odnośnie do tych trzech podatków interpretacje indywidualne będzie wydawał Dyrektor Krajowej Informacji Skarbowej. Aktualnie do wydawania interpretacji indywidualnej nie jest właściwy rzeczowo starosta oraz marszałek województwa. Wynika to z faktu, że powiat i województwo samorządowe nie mają przyznanych własnych, samoistnych dochodów podatkowych. Właściwość miejscową organów w zakresie wydawania interpretacji indywidualnych ustala się według reguł wynikających z art. 80 w powiązaniu z poszczególnymi ustawami dotyczącymi podatków i opłat samorządowych. Jednocześnie dążąc do zapewnienia </w:t>
      </w:r>
      <w:r w:rsidR="00045CB9" w:rsidRPr="009A3C86">
        <w:rPr>
          <w:rFonts w:ascii="Times New Roman" w:eastAsia="Times New Roman" w:hAnsi="Times New Roman"/>
          <w:sz w:val="24"/>
          <w:szCs w:val="24"/>
        </w:rPr>
        <w:lastRenderedPageBreak/>
        <w:t xml:space="preserve">prawidłowości stanowisk zawartych w tego rodzaju interpretacjach w </w:t>
      </w:r>
      <w:r w:rsidR="00045CB9" w:rsidRPr="009A3C86">
        <w:rPr>
          <w:rFonts w:ascii="Times New Roman" w:eastAsia="Times New Roman" w:hAnsi="Times New Roman"/>
          <w:b/>
          <w:sz w:val="24"/>
          <w:szCs w:val="24"/>
        </w:rPr>
        <w:t>art. 5</w:t>
      </w:r>
      <w:r w:rsidR="004B572E" w:rsidRPr="009A3C86">
        <w:rPr>
          <w:rFonts w:ascii="Times New Roman" w:eastAsia="Times New Roman" w:hAnsi="Times New Roman"/>
          <w:b/>
          <w:sz w:val="24"/>
          <w:szCs w:val="24"/>
        </w:rPr>
        <w:t>67</w:t>
      </w:r>
      <w:r w:rsidR="00045CB9" w:rsidRPr="009A3C86">
        <w:rPr>
          <w:rFonts w:ascii="Times New Roman" w:eastAsia="Times New Roman" w:hAnsi="Times New Roman"/>
          <w:sz w:val="24"/>
          <w:szCs w:val="24"/>
        </w:rPr>
        <w:t xml:space="preserve"> przewidziano uprawnienie dla ministra właściwego do spraw finansów publicznych w przypadkach, o których mowa w art. 5</w:t>
      </w:r>
      <w:r w:rsidR="004B572E" w:rsidRPr="009A3C86">
        <w:rPr>
          <w:rFonts w:ascii="Times New Roman" w:eastAsia="Times New Roman" w:hAnsi="Times New Roman"/>
          <w:sz w:val="24"/>
          <w:szCs w:val="24"/>
        </w:rPr>
        <w:t>68</w:t>
      </w:r>
      <w:r w:rsidR="00CB2351" w:rsidRPr="009A3C86">
        <w:rPr>
          <w:rFonts w:ascii="Times New Roman" w:eastAsiaTheme="minorEastAsia" w:hAnsi="Times New Roman" w:cs="Arial"/>
          <w:sz w:val="24"/>
          <w:szCs w:val="20"/>
          <w:lang w:eastAsia="pl-PL"/>
        </w:rPr>
        <w:t xml:space="preserve"> </w:t>
      </w:r>
      <w:r w:rsidR="00CB2351" w:rsidRPr="009A3C86">
        <w:rPr>
          <w:rFonts w:ascii="Times New Roman" w:eastAsia="Times New Roman" w:hAnsi="Times New Roman"/>
          <w:sz w:val="24"/>
          <w:szCs w:val="24"/>
        </w:rPr>
        <w:t xml:space="preserve">pkt 1 i 2 </w:t>
      </w:r>
      <w:r w:rsidR="00045CB9" w:rsidRPr="009A3C86">
        <w:rPr>
          <w:rFonts w:ascii="Times New Roman" w:eastAsia="Times New Roman" w:hAnsi="Times New Roman"/>
          <w:sz w:val="24"/>
          <w:szCs w:val="24"/>
        </w:rPr>
        <w:t xml:space="preserve"> i art. 56</w:t>
      </w:r>
      <w:r w:rsidR="004B572E" w:rsidRPr="009A3C86">
        <w:rPr>
          <w:rFonts w:ascii="Times New Roman" w:eastAsia="Times New Roman" w:hAnsi="Times New Roman"/>
          <w:sz w:val="24"/>
          <w:szCs w:val="24"/>
        </w:rPr>
        <w:t>9</w:t>
      </w:r>
      <w:r w:rsidR="009B717E" w:rsidRPr="009A3C86">
        <w:rPr>
          <w:rFonts w:ascii="Times New Roman" w:eastAsia="Times New Roman" w:hAnsi="Times New Roman"/>
          <w:sz w:val="24"/>
          <w:szCs w:val="24"/>
        </w:rPr>
        <w:t>, do</w:t>
      </w:r>
      <w:r w:rsidR="00045CB9" w:rsidRPr="009A3C86">
        <w:rPr>
          <w:rFonts w:ascii="Times New Roman" w:eastAsia="Times New Roman" w:hAnsi="Times New Roman"/>
          <w:sz w:val="24"/>
          <w:szCs w:val="24"/>
        </w:rPr>
        <w:t xml:space="preserve"> zmiany </w:t>
      </w:r>
      <w:r w:rsidR="009B717E" w:rsidRPr="009A3C86">
        <w:rPr>
          <w:rFonts w:ascii="Times New Roman" w:eastAsia="Times New Roman" w:hAnsi="Times New Roman"/>
          <w:sz w:val="24"/>
          <w:szCs w:val="24"/>
        </w:rPr>
        <w:t xml:space="preserve">wydanych </w:t>
      </w:r>
      <w:r w:rsidR="00045CB9" w:rsidRPr="009A3C86">
        <w:rPr>
          <w:rFonts w:ascii="Times New Roman" w:eastAsia="Times New Roman" w:hAnsi="Times New Roman"/>
          <w:sz w:val="24"/>
          <w:szCs w:val="24"/>
        </w:rPr>
        <w:t>przez samorządowy organ podatkowy interpretacji indywidualnych, ich uchylania i stwierdzania ich wygaśnięcia oraz zmiany lub uchylenia postanowienia, o którym mowa w art. 5</w:t>
      </w:r>
      <w:r w:rsidR="004B572E" w:rsidRPr="009A3C86">
        <w:rPr>
          <w:rFonts w:ascii="Times New Roman" w:eastAsia="Times New Roman" w:hAnsi="Times New Roman"/>
          <w:sz w:val="24"/>
          <w:szCs w:val="24"/>
        </w:rPr>
        <w:t>58</w:t>
      </w:r>
      <w:r w:rsidR="00045CB9" w:rsidRPr="009A3C86">
        <w:rPr>
          <w:rFonts w:ascii="Times New Roman" w:eastAsia="Times New Roman" w:hAnsi="Times New Roman"/>
          <w:sz w:val="24"/>
          <w:szCs w:val="24"/>
        </w:rPr>
        <w:t xml:space="preserve"> § </w:t>
      </w:r>
      <w:r w:rsidR="008315B1" w:rsidRPr="009A3C86">
        <w:rPr>
          <w:rFonts w:ascii="Times New Roman" w:eastAsia="Times New Roman" w:hAnsi="Times New Roman"/>
          <w:sz w:val="24"/>
          <w:szCs w:val="24"/>
        </w:rPr>
        <w:t>9</w:t>
      </w:r>
      <w:r w:rsidR="009B717E" w:rsidRPr="009A3C86">
        <w:rPr>
          <w:rFonts w:ascii="Times New Roman" w:eastAsia="Times New Roman" w:hAnsi="Times New Roman"/>
          <w:sz w:val="24"/>
          <w:szCs w:val="24"/>
        </w:rPr>
        <w:t>.</w:t>
      </w:r>
      <w:r w:rsidR="00CB2351" w:rsidRPr="009A3C86">
        <w:rPr>
          <w:rFonts w:ascii="Times New Roman" w:eastAsia="Times New Roman" w:hAnsi="Times New Roman"/>
          <w:sz w:val="24"/>
          <w:szCs w:val="24"/>
        </w:rPr>
        <w:t xml:space="preserve"> </w:t>
      </w:r>
      <w:r w:rsidR="005A21BD" w:rsidRPr="009A3C86">
        <w:rPr>
          <w:rFonts w:ascii="Times New Roman" w:eastAsia="Times New Roman" w:hAnsi="Times New Roman"/>
          <w:sz w:val="24"/>
          <w:szCs w:val="24"/>
        </w:rPr>
        <w:t xml:space="preserve">W przypadku wystąpienia przesłanki wymienionej w art. 563 § 1 </w:t>
      </w:r>
      <w:r w:rsidR="00CB2351" w:rsidRPr="009A3C86">
        <w:rPr>
          <w:rFonts w:ascii="Times New Roman" w:eastAsia="Times New Roman" w:hAnsi="Times New Roman"/>
          <w:sz w:val="24"/>
          <w:szCs w:val="24"/>
        </w:rPr>
        <w:t xml:space="preserve">Szef Krajowej Administracji Skarbowej pozostanie właściwy do uchylenia interpretacji indywidualnej </w:t>
      </w:r>
      <w:r w:rsidR="005A21BD" w:rsidRPr="009A3C86">
        <w:rPr>
          <w:rFonts w:ascii="Times New Roman" w:eastAsia="Times New Roman" w:hAnsi="Times New Roman"/>
          <w:sz w:val="24"/>
          <w:szCs w:val="24"/>
        </w:rPr>
        <w:t>wydanej przez samorządowy organ podatkowy. W takim przypadku Szef KAS odmówi, w drodze postanowienia, na które służy zażalenie, wydania interpretacji indywidualnej</w:t>
      </w:r>
      <w:r w:rsidR="00C63E94" w:rsidRPr="009A3C86">
        <w:rPr>
          <w:rFonts w:ascii="Times New Roman" w:eastAsia="Times New Roman" w:hAnsi="Times New Roman"/>
          <w:sz w:val="24"/>
          <w:szCs w:val="24"/>
        </w:rPr>
        <w:t>.</w:t>
      </w:r>
      <w:r w:rsidR="00CB2351" w:rsidRPr="009A3C86">
        <w:rPr>
          <w:rFonts w:ascii="Times New Roman" w:eastAsia="Times New Roman" w:hAnsi="Times New Roman"/>
          <w:sz w:val="24"/>
          <w:szCs w:val="24"/>
        </w:rPr>
        <w:t xml:space="preserve"> </w:t>
      </w:r>
      <w:r w:rsidR="00045CB9" w:rsidRPr="009A3C86">
        <w:rPr>
          <w:rFonts w:ascii="Times New Roman" w:eastAsia="Times New Roman" w:hAnsi="Times New Roman"/>
          <w:sz w:val="24"/>
          <w:szCs w:val="24"/>
        </w:rPr>
        <w:t xml:space="preserve"> </w:t>
      </w:r>
    </w:p>
    <w:p w:rsidR="00045CB9" w:rsidRPr="009A3C86" w:rsidRDefault="002E7C2C"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9</w:t>
      </w:r>
      <w:r w:rsidR="00045CB9" w:rsidRPr="009A3C86">
        <w:rPr>
          <w:rFonts w:ascii="Times New Roman" w:eastAsia="Times New Roman" w:hAnsi="Times New Roman"/>
          <w:sz w:val="24"/>
          <w:szCs w:val="24"/>
        </w:rPr>
        <w:t xml:space="preserve">. W </w:t>
      </w:r>
      <w:r w:rsidR="00045CB9"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60</w:t>
      </w:r>
      <w:r w:rsidR="00045CB9" w:rsidRPr="009A3C86">
        <w:rPr>
          <w:rFonts w:ascii="Times New Roman" w:eastAsia="Times New Roman" w:hAnsi="Times New Roman"/>
          <w:b/>
          <w:sz w:val="24"/>
          <w:szCs w:val="24"/>
        </w:rPr>
        <w:t xml:space="preserve"> § 1</w:t>
      </w:r>
      <w:r w:rsidR="00045CB9" w:rsidRPr="009A3C86">
        <w:rPr>
          <w:rFonts w:ascii="Times New Roman" w:eastAsia="Times New Roman" w:hAnsi="Times New Roman"/>
          <w:sz w:val="24"/>
          <w:szCs w:val="24"/>
        </w:rPr>
        <w:t xml:space="preserve"> przewidziano możliwość złożenia wniosku o wydanie interpretacji przez kilka podmiotów, które są zaangażowane w dane zdarzenie i dla których z danego zdarzenia mogą wynikać skutki podatkowe (wniosek wspólny). Oznacza to, iż wszystkie strony danego zdarzenia, jeżeli chcą uzyskać stanowisko organu podatkowego co do skutków podatkowych wynikających dla nich z danego zdarzenia, mogą złożyć wspólny wniosek o wydanie interpretacji indywidualnej, przedstawiając w nim to zdarzenie. Składającym wniosek o wydanie interpretacji indywidualnej może być zatem grupa podmiotów (dwóch lub więcej), w przypadku gdy w tym samym zdarzeniu, będącym jego przedmiotem, zaangażowanych jest więcej niż jeden podmiot – „wspólny wniosek”, a skutki podatkowe z tego zdarzenia powstają dla zainteresowanych. Przykładem takich sytuacji, w których proponowane rozwiązanie może znaleźć zastosowanie, są zagadnienia dotyczące np. opodatkowania i stawki VAT, obowiązków płatnik - podatnik w podatkach dochodowych, wypłata przez spółkę udziałowcom dochodów z dywidendy oraz innych przychodów z tytułu udziału w zyskach osób prawnych, opodatkowanie podatkiem od czynności cywilnoprawnych, zbycie wspólnego składnika majątku przez małżonków, zagadnienia dotyczące spadkobierców i obdarowanych, nabywców akcji prywatyzowanego przedsiębiorstwa. Wniosek może dotyczyć jednego podatku lub różnych podatków, jeżeli interpretacja przepisów różnych ustaw jest wzajemnie sprzężona np. VAT- PCC, podatek dochodowy – podatek od spadków i darowizn.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w:t>
      </w:r>
      <w:r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60</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wszyscy zainteresowani wskażą jeden podmiot, który będzie stroną postępowania w sprawie interpretacji, a także jej ewentualnej zmiany, uchylenia lub wygaśnięcia. W celu uzupełnienia braków formalnych wniosku (np. o doprecyzowanie opisu stanu faktycznego lub zdarzenia przyszłego będącego przedmiotem wniosku) organ będzie występował wyłącznie do zainteresowanego wskazanego we wniosku i on też będzie udzielał organowi wyjaśnień. Czynności dokonywane w postępowaniu przez innych zainteresowanych (niewskazanych przez składających wniosek wspólny) będą bezskuteczne. Wspólny wniosek </w:t>
      </w:r>
      <w:r w:rsidRPr="009A3C86">
        <w:rPr>
          <w:rFonts w:ascii="Times New Roman" w:eastAsia="Times New Roman" w:hAnsi="Times New Roman"/>
          <w:sz w:val="24"/>
          <w:szCs w:val="24"/>
        </w:rPr>
        <w:lastRenderedPageBreak/>
        <w:t>będzie musiał zawierać oświadczenia wszystkich zainteresowanych, że zdarzenie objęte wnioskiem o wydanie interpretacji w dniu złożenia wniosku nie jest w stosunku do poszczególnych wnioskodawców przedmiotem toczącego się wobec nich postępowania podatkowego, kontroli podatkowej, kontroli celno-skarbowej oraz że w tym zakresie sprawa nie została rozstrzygnięta co do jej istoty w wydanej dla nich decyzji lub postanowieniu organu podatkowego. Wniosek taki powinien spełniać wszystkie warunki przewidziane dla wniosków o wydanie interpretacji indywidualnej, z tym że wspólny wniosek powinien zawierać wyczerpujący opis zaistniałego stanu faktycznego albo zdarzenia przyszłego oraz przedstawienie własnego stanowiska w sprawie oceny prawnej tego stanu faktycznego lub zdarzenia przyszłego dla wszystkich zainteresowanych, którzy złożyli wniosek wraz z uzasadnieniem. W art. 5</w:t>
      </w:r>
      <w:r w:rsidR="005360C1" w:rsidRPr="009A3C86">
        <w:rPr>
          <w:rFonts w:ascii="Times New Roman" w:eastAsia="Times New Roman" w:hAnsi="Times New Roman"/>
          <w:sz w:val="24"/>
          <w:szCs w:val="24"/>
        </w:rPr>
        <w:t>60</w:t>
      </w:r>
      <w:r w:rsidRPr="009A3C86">
        <w:rPr>
          <w:rFonts w:ascii="Times New Roman" w:eastAsia="Times New Roman" w:hAnsi="Times New Roman"/>
          <w:sz w:val="24"/>
          <w:szCs w:val="24"/>
        </w:rPr>
        <w:t xml:space="preserve"> § 2 jednoznacznie wskazano, że  zainteresowani składają oświadczenie, o którym mowa w art. 5</w:t>
      </w:r>
      <w:r w:rsidR="005360C1" w:rsidRPr="009A3C86">
        <w:rPr>
          <w:rFonts w:ascii="Times New Roman" w:eastAsia="Times New Roman" w:hAnsi="Times New Roman"/>
          <w:sz w:val="24"/>
          <w:szCs w:val="24"/>
        </w:rPr>
        <w:t>58</w:t>
      </w:r>
      <w:r w:rsidRPr="009A3C86">
        <w:rPr>
          <w:rFonts w:ascii="Times New Roman" w:eastAsia="Times New Roman" w:hAnsi="Times New Roman"/>
          <w:sz w:val="24"/>
          <w:szCs w:val="24"/>
        </w:rPr>
        <w:t xml:space="preserve"> § </w:t>
      </w:r>
      <w:r w:rsidR="008315B1" w:rsidRPr="009A3C86">
        <w:rPr>
          <w:rFonts w:ascii="Times New Roman" w:eastAsia="Times New Roman" w:hAnsi="Times New Roman"/>
          <w:sz w:val="24"/>
          <w:szCs w:val="24"/>
        </w:rPr>
        <w:t>7</w:t>
      </w:r>
      <w:r w:rsidRPr="009A3C86">
        <w:rPr>
          <w:rFonts w:ascii="Times New Roman" w:eastAsia="Times New Roman" w:hAnsi="Times New Roman"/>
          <w:sz w:val="24"/>
          <w:szCs w:val="24"/>
        </w:rPr>
        <w:t>. Liczba mnoga użyta w tym przepisie oznacza, ze każdy z zainteresowanych, którego dotyczy wniosek jest zobowiązany do złożenia oświadczenia  pod rygorem odpowiedzialności karnej za fałszywe zeznania, że elementy stanu faktycznego objęte wnioskiem o wydanie interpretacji w dniu złożenia wniosku nie są przedmiotem toczącego się postępowania podatkowego, kontroli podatkowej, kontroli celno-skarbowej oraz że w tym zakresie sprawa nie została rozstrzygnięta co do jej istoty w decyzji lub postanowieniu organu podatkowego.</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przypadku gdy wniosek nie będzie spełniał warunków formalnych (np. nie będzie zawierał pełnego opisu zdarzenia lub nie zostaną dołączone stosowne oświadczenia), wówczas organ będzie wydawał postanowienie o pozostawieniu wniosku bez rozpatrzenia.</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10</w:t>
      </w:r>
      <w:r w:rsidR="00045CB9" w:rsidRPr="009A3C86">
        <w:rPr>
          <w:rFonts w:ascii="Times New Roman" w:eastAsia="Times New Roman" w:hAnsi="Times New Roman"/>
          <w:sz w:val="24"/>
          <w:szCs w:val="24"/>
        </w:rPr>
        <w:t xml:space="preserve">. Na wspólny wniosek złożony przez kilku wnioskodawców organ, właściwy dla wskazanego zainteresowanego, będzie wydawał jedną interpretację, która będzie doręczana tylko podmiotowi wskazanemu przez wnioskodawców jako strona postępowania. W interpretacji tej organ będzie dokonywał oceny prawnej stanu faktycznego lub zdarzenia przyszłego dla wszystkich wnioskodawców wraz z uzasadnieniem tej oceny. Ochrona z wydanej interpretacji będzie przysługiwać wszystkim zainteresowanym, którzy wystąpili z wnioskiem i będzie wywoływała skutki od dnia doręczenia interpretacji podmiotowi wskazanemu we wniosku przez zainteresowanych. Interpretacja zostanie też przekazana do wiadomości organom podatkowym i celno-skarbowym właściwym dla wszystkich zainteresowanych. </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11</w:t>
      </w:r>
      <w:r w:rsidR="00045CB9" w:rsidRPr="009A3C86">
        <w:rPr>
          <w:rFonts w:ascii="Times New Roman" w:eastAsia="Times New Roman" w:hAnsi="Times New Roman"/>
          <w:sz w:val="24"/>
          <w:szCs w:val="24"/>
        </w:rPr>
        <w:t xml:space="preserve">. W </w:t>
      </w:r>
      <w:r w:rsidR="00045CB9"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60</w:t>
      </w:r>
      <w:r w:rsidR="00045CB9" w:rsidRPr="009A3C86">
        <w:rPr>
          <w:rFonts w:ascii="Times New Roman" w:eastAsia="Times New Roman" w:hAnsi="Times New Roman"/>
          <w:b/>
          <w:sz w:val="24"/>
          <w:szCs w:val="24"/>
        </w:rPr>
        <w:t xml:space="preserve"> § 3</w:t>
      </w:r>
      <w:r w:rsidR="00045CB9" w:rsidRPr="009A3C86">
        <w:rPr>
          <w:rFonts w:ascii="Times New Roman" w:eastAsia="Times New Roman" w:hAnsi="Times New Roman"/>
          <w:sz w:val="24"/>
          <w:szCs w:val="24"/>
        </w:rPr>
        <w:t xml:space="preserve"> uregulowano kwestię doręczeń interpretacji i postanowień wydawanych na podstawie wniosków wspólnych. Przewidziano, że interpretację lub postanowienie doręcza się podmiotowi wskazanemu jako strona. Pozostałym wskazanym zainteresowanym doręcza się odpis interpretacji lub postanowienia. W </w:t>
      </w:r>
      <w:r w:rsidR="00045CB9"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60</w:t>
      </w:r>
      <w:r w:rsidR="00045CB9" w:rsidRPr="009A3C86">
        <w:rPr>
          <w:rFonts w:ascii="Times New Roman" w:eastAsia="Times New Roman" w:hAnsi="Times New Roman"/>
          <w:b/>
          <w:sz w:val="24"/>
          <w:szCs w:val="24"/>
        </w:rPr>
        <w:t xml:space="preserve"> § </w:t>
      </w:r>
      <w:r w:rsidR="005360C1" w:rsidRPr="009A3C86">
        <w:rPr>
          <w:rFonts w:ascii="Times New Roman" w:eastAsia="Times New Roman" w:hAnsi="Times New Roman"/>
          <w:b/>
          <w:sz w:val="24"/>
          <w:szCs w:val="24"/>
        </w:rPr>
        <w:t>4</w:t>
      </w:r>
      <w:r w:rsidR="00045CB9" w:rsidRPr="009A3C86">
        <w:rPr>
          <w:rFonts w:ascii="Times New Roman" w:eastAsia="Times New Roman" w:hAnsi="Times New Roman"/>
          <w:sz w:val="24"/>
          <w:szCs w:val="24"/>
        </w:rPr>
        <w:t xml:space="preserve"> proponuje się również wprowadzenie </w:t>
      </w:r>
      <w:r w:rsidR="00045CB9" w:rsidRPr="009A3C86">
        <w:rPr>
          <w:rFonts w:ascii="Times New Roman" w:eastAsia="Times New Roman" w:hAnsi="Times New Roman"/>
          <w:sz w:val="24"/>
          <w:szCs w:val="24"/>
        </w:rPr>
        <w:lastRenderedPageBreak/>
        <w:t>delegacji umożliwiającej ministrowi właściwemu do spraw finansów publicznych określenie, w drodze rozporządzenia, wzoru wspólnego wniosku oraz sposobu uiszczenia opłaty, mając na względzie konieczność zapewnienia sprawnej obsługi wnioskodawców.</w:t>
      </w:r>
      <w:r w:rsidR="00CE5C13" w:rsidRPr="009A3C86">
        <w:rPr>
          <w:rFonts w:ascii="Times New Roman" w:eastAsia="Times New Roman" w:hAnsi="Times New Roman"/>
          <w:sz w:val="24"/>
          <w:szCs w:val="24"/>
        </w:rPr>
        <w:t xml:space="preserve"> Przyznano również prawo Rzecznikowi Praw Podatnika do występowania z wnioskiem o interpretację indywidualną w imieniu podatnika, który nie ma możliwości samodzielnego złożenia wniosku – </w:t>
      </w:r>
      <w:r w:rsidR="00CE5C13" w:rsidRPr="009A3C86">
        <w:rPr>
          <w:rFonts w:ascii="Times New Roman" w:eastAsia="Times New Roman" w:hAnsi="Times New Roman"/>
          <w:b/>
          <w:sz w:val="24"/>
          <w:szCs w:val="24"/>
        </w:rPr>
        <w:t>art.</w:t>
      </w:r>
      <w:r w:rsidR="009B717E" w:rsidRPr="009A3C86">
        <w:rPr>
          <w:rFonts w:ascii="Times New Roman" w:eastAsia="Times New Roman" w:hAnsi="Times New Roman"/>
          <w:b/>
          <w:sz w:val="24"/>
          <w:szCs w:val="24"/>
        </w:rPr>
        <w:t xml:space="preserve"> </w:t>
      </w:r>
      <w:r w:rsidR="00CE5C13" w:rsidRPr="009A3C86">
        <w:rPr>
          <w:rFonts w:ascii="Times New Roman" w:eastAsia="Times New Roman" w:hAnsi="Times New Roman"/>
          <w:b/>
          <w:sz w:val="24"/>
          <w:szCs w:val="24"/>
        </w:rPr>
        <w:t>5</w:t>
      </w:r>
      <w:r w:rsidR="005360C1" w:rsidRPr="009A3C86">
        <w:rPr>
          <w:rFonts w:ascii="Times New Roman" w:eastAsia="Times New Roman" w:hAnsi="Times New Roman"/>
          <w:b/>
          <w:sz w:val="24"/>
          <w:szCs w:val="24"/>
        </w:rPr>
        <w:t>61</w:t>
      </w:r>
      <w:r w:rsidR="00CE5C13" w:rsidRPr="009A3C86">
        <w:rPr>
          <w:rFonts w:ascii="Times New Roman" w:eastAsia="Times New Roman" w:hAnsi="Times New Roman"/>
          <w:b/>
          <w:sz w:val="24"/>
          <w:szCs w:val="24"/>
        </w:rPr>
        <w:t>.</w:t>
      </w:r>
      <w:r w:rsidR="009F2762" w:rsidRPr="009A3C86">
        <w:rPr>
          <w:rFonts w:ascii="Times New Roman" w:eastAsia="Times New Roman" w:hAnsi="Times New Roman"/>
          <w:b/>
          <w:sz w:val="24"/>
          <w:szCs w:val="24"/>
        </w:rPr>
        <w:t xml:space="preserve"> </w:t>
      </w:r>
      <w:r w:rsidR="00A45319" w:rsidRPr="009A3C86">
        <w:rPr>
          <w:rFonts w:ascii="Times New Roman" w:eastAsia="Times New Roman" w:hAnsi="Times New Roman"/>
          <w:sz w:val="24"/>
          <w:szCs w:val="24"/>
        </w:rPr>
        <w:t>K</w:t>
      </w:r>
      <w:r w:rsidR="00361C9A" w:rsidRPr="009A3C86">
        <w:rPr>
          <w:rFonts w:ascii="Times New Roman" w:eastAsia="Times New Roman" w:hAnsi="Times New Roman"/>
          <w:sz w:val="24"/>
          <w:szCs w:val="24"/>
        </w:rPr>
        <w:t xml:space="preserve">onieczna </w:t>
      </w:r>
      <w:r w:rsidR="00A45319" w:rsidRPr="009A3C86">
        <w:rPr>
          <w:rFonts w:ascii="Times New Roman" w:eastAsia="Times New Roman" w:hAnsi="Times New Roman"/>
          <w:sz w:val="24"/>
          <w:szCs w:val="24"/>
        </w:rPr>
        <w:t xml:space="preserve">do tego </w:t>
      </w:r>
      <w:r w:rsidR="00361C9A" w:rsidRPr="009A3C86">
        <w:rPr>
          <w:rFonts w:ascii="Times New Roman" w:eastAsia="Times New Roman" w:hAnsi="Times New Roman"/>
          <w:sz w:val="24"/>
          <w:szCs w:val="24"/>
        </w:rPr>
        <w:t>będzie zgoda podatnika</w:t>
      </w:r>
      <w:r w:rsidR="007672E2" w:rsidRPr="009A3C86">
        <w:rPr>
          <w:rFonts w:ascii="Times New Roman" w:eastAsia="Times New Roman" w:hAnsi="Times New Roman"/>
          <w:sz w:val="24"/>
          <w:szCs w:val="24"/>
        </w:rPr>
        <w:t xml:space="preserve"> (wymagają jej przepisy projektu ustawy o Rzeczniku Praw Podatnika).</w:t>
      </w:r>
      <w:r w:rsidR="00A45319" w:rsidRPr="009A3C86">
        <w:rPr>
          <w:rFonts w:ascii="Times New Roman" w:eastAsia="Times New Roman" w:hAnsi="Times New Roman"/>
          <w:sz w:val="24"/>
          <w:szCs w:val="24"/>
        </w:rPr>
        <w:t xml:space="preserve"> </w:t>
      </w:r>
      <w:r w:rsidR="009C511B" w:rsidRPr="009A3C86">
        <w:rPr>
          <w:rFonts w:ascii="Times New Roman" w:eastAsia="Times New Roman" w:hAnsi="Times New Roman"/>
          <w:b/>
          <w:sz w:val="24"/>
          <w:szCs w:val="24"/>
        </w:rPr>
        <w:t xml:space="preserve">  </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12</w:t>
      </w:r>
      <w:r w:rsidR="00045CB9" w:rsidRPr="009A3C86">
        <w:rPr>
          <w:rFonts w:ascii="Times New Roman" w:eastAsia="Times New Roman" w:hAnsi="Times New Roman"/>
          <w:sz w:val="24"/>
          <w:szCs w:val="24"/>
        </w:rPr>
        <w:t xml:space="preserve">. W </w:t>
      </w:r>
      <w:r w:rsidR="00045CB9"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62</w:t>
      </w:r>
      <w:r w:rsidR="00045CB9" w:rsidRPr="009A3C86">
        <w:rPr>
          <w:rFonts w:ascii="Times New Roman" w:eastAsia="Times New Roman" w:hAnsi="Times New Roman"/>
          <w:sz w:val="24"/>
          <w:szCs w:val="24"/>
        </w:rPr>
        <w:t xml:space="preserve"> przyznano podmiotowi zamawiającemu w rozumieniu ustawy – Prawo zamówień publicznych możliwość wystąpienia z wnioskiem o wydanie interpretacji indywidualnej. W przepisie wskazano, że podmiot zamawiający będzie mógł wystąpić z wnioskiem przed przeprowadzeniem postępowania o udzielenie zamówienia publicznego w zakresie mającym wpływ na sposób obliczenia ceny. Jednakże do wniosku tego nie będzie miał zastosowania art. 5</w:t>
      </w:r>
      <w:r w:rsidR="005360C1" w:rsidRPr="009A3C86">
        <w:rPr>
          <w:rFonts w:ascii="Times New Roman" w:eastAsia="Times New Roman" w:hAnsi="Times New Roman"/>
          <w:sz w:val="24"/>
          <w:szCs w:val="24"/>
        </w:rPr>
        <w:t>58</w:t>
      </w:r>
      <w:r w:rsidR="00045CB9" w:rsidRPr="009A3C86">
        <w:rPr>
          <w:rFonts w:ascii="Times New Roman" w:eastAsia="Times New Roman" w:hAnsi="Times New Roman"/>
          <w:sz w:val="24"/>
          <w:szCs w:val="24"/>
        </w:rPr>
        <w:t xml:space="preserve"> § </w:t>
      </w:r>
      <w:r w:rsidR="008315B1" w:rsidRPr="009A3C86">
        <w:rPr>
          <w:rFonts w:ascii="Times New Roman" w:eastAsia="Times New Roman" w:hAnsi="Times New Roman"/>
          <w:sz w:val="24"/>
          <w:szCs w:val="24"/>
        </w:rPr>
        <w:t>7</w:t>
      </w:r>
      <w:r w:rsidR="00045CB9" w:rsidRPr="009A3C86">
        <w:rPr>
          <w:rFonts w:ascii="Times New Roman" w:eastAsia="Times New Roman" w:hAnsi="Times New Roman"/>
          <w:sz w:val="24"/>
          <w:szCs w:val="24"/>
        </w:rPr>
        <w:t xml:space="preserve"> dotyczący składania oświadczenia. Oznacza to, że zamawiający, który złoży wniosek, nie będzie składał oświadczenia, że elementy stanu faktycznego objęte wnioskiem o wydanie interpretacji w dniu złożenia wniosku nie są przedmiotem toczącego się postępowania podatkowego, kontroli podatkowej, kontroli celno-skarbowej oraz że w tym zakresie sprawa nie została rozstrzygnięta co do jej istoty w decyzji lub postanowieniu organu podatkowego lub organu kontroli celno-skarbowej. Wynika to z faktu, że kwestie te dotyczą nie zamawiającego, ale podmiotów, które ewentualnie będą ubiegać się o udzielenie zamówienia publicznego lub złożą ofertę, a skutki podatkowe wynikające ze zdarzeń objętych zamówieniem publicznym, co do zasady, powstaną już po wydaniu interpretacji, w związku z tym nie mogą być przedmiotem toczących się postępowań oraz wydanych decyzji lub postanowień. Brzmienie przepisu dostosowano do treści ustawy z dnia 5 lipca 2018 r. o zmianie ustawy o partnerstwie publiczno-prywatnym oraz niektórych innych ustaw (Dz. U. poz. 1693) nadającego nowe brzmienie art. 14s o.p.. Z wnioskiem na podstawie tego przepisu będzie mógł wystąpić również podmiot publiczny w rozumieniu ustawy z dnia 19 grudnia 2008 r. o partnerstwie publiczno-prywatnym (Dz. U. z 2017 r. poz. 1834 oraz z 2018 r. poz. 1693) w zakresie mającym wpływ na sposób obliczenia wynagrodzenia w związku z zawieraną umową o partnerstwie publiczno-prywatnym, lub zamawiający w rozumieniu ustawy z dnia 21 października 2016 r. o umowie koncesji na roboty budowlane lub usługi (Dz. U. poz. 1920 oraz z 2018r. poz. 1669 i 1693) w zakresie mającym wpływ na sposób obliczenia wynagrodzenia koncesjonariusza wraz z ewentualną płatnością od zamawiającego w związku z zawieraną umową koncesji na roboty budowlane lub usługi.</w:t>
      </w:r>
    </w:p>
    <w:p w:rsidR="00045CB9" w:rsidRPr="009A3C86" w:rsidRDefault="002E7C2C" w:rsidP="00045CB9">
      <w:pPr>
        <w:spacing w:after="0" w:line="360" w:lineRule="auto"/>
        <w:jc w:val="both"/>
        <w:rPr>
          <w:rFonts w:ascii="Times New Roman" w:eastAsia="Times New Roman" w:hAnsi="Times New Roman"/>
          <w:strike/>
          <w:sz w:val="24"/>
          <w:szCs w:val="24"/>
        </w:rPr>
      </w:pPr>
      <w:r w:rsidRPr="009A3C86">
        <w:rPr>
          <w:rFonts w:ascii="Times New Roman" w:eastAsia="Times New Roman" w:hAnsi="Times New Roman"/>
          <w:sz w:val="24"/>
          <w:szCs w:val="24"/>
        </w:rPr>
        <w:lastRenderedPageBreak/>
        <w:t>13</w:t>
      </w:r>
      <w:r w:rsidR="00045CB9" w:rsidRPr="009A3C86">
        <w:rPr>
          <w:rFonts w:ascii="Times New Roman" w:eastAsia="Times New Roman" w:hAnsi="Times New Roman"/>
          <w:sz w:val="24"/>
          <w:szCs w:val="24"/>
        </w:rPr>
        <w:t>. W związku z wprowadzeniem do ordynacji podatkowej przepisów o tzw. klauzuli obejścia prawa podatkowego jednocześnie wprowadzone zostały w art. 14b § 5b i 5c rozwiązania tamujące wydawanie interpretacji indywidualnych przepisów prawa podatkowego w określonych przypadkach.</w:t>
      </w:r>
      <w:r w:rsidR="00045CB9" w:rsidRPr="009A3C86">
        <w:rPr>
          <w:rFonts w:ascii="Times New Roman" w:eastAsia="Times New Roman" w:hAnsi="Times New Roman"/>
          <w:i/>
          <w:iCs/>
          <w:sz w:val="24"/>
          <w:szCs w:val="24"/>
        </w:rPr>
        <w:t xml:space="preserve"> </w:t>
      </w:r>
      <w:r w:rsidR="00045CB9" w:rsidRPr="009A3C86">
        <w:rPr>
          <w:rFonts w:ascii="Times New Roman" w:eastAsia="Times New Roman" w:hAnsi="Times New Roman"/>
          <w:sz w:val="24"/>
          <w:szCs w:val="24"/>
        </w:rPr>
        <w:t xml:space="preserve">Przyjęto, że ochrona prawna wynikająca z zastosowania się do otrzymanej interpretacji indywidualnej powinna być wyłączona wobec podmiotów, które świadomie układają stosunki prawne tak, aby unikać płacenia podatków. Odpowiadający tym  regulacjom </w:t>
      </w:r>
      <w:r w:rsidR="00045CB9"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63</w:t>
      </w:r>
      <w:r w:rsidR="00045CB9" w:rsidRPr="009A3C86">
        <w:rPr>
          <w:rFonts w:ascii="Times New Roman" w:eastAsia="Times New Roman" w:hAnsi="Times New Roman"/>
          <w:b/>
          <w:sz w:val="24"/>
          <w:szCs w:val="24"/>
        </w:rPr>
        <w:t xml:space="preserve"> § 1 </w:t>
      </w:r>
      <w:r w:rsidR="00045CB9" w:rsidRPr="009A3C86">
        <w:rPr>
          <w:rFonts w:ascii="Times New Roman" w:eastAsia="Times New Roman" w:hAnsi="Times New Roman"/>
          <w:sz w:val="24"/>
          <w:szCs w:val="24"/>
        </w:rPr>
        <w:t>nakłada na organ interpretacyjny, już w trakcie prowadzenia postępowania w przedmiocie wydania interpretacji indywidualnej, obowiązek przeprowadzenia analizy, czy jakiekolwiek elementy stanu faktycznego lub zdarzenia przyszłego przedstawione we wniosku mogą stanowić unikanie opodatkowania. W razie uzasadnionego przypuszczenia, że stan faktyczny albo zdarzenie przyszłe mogą stanowić unikanie opodatkowania (i w konsekwencji być przedmiotem decyzji wydanej na podstawie art. 3</w:t>
      </w:r>
      <w:r w:rsidR="005360C1" w:rsidRPr="009A3C86">
        <w:rPr>
          <w:rFonts w:ascii="Times New Roman" w:eastAsia="Times New Roman" w:hAnsi="Times New Roman"/>
          <w:sz w:val="24"/>
          <w:szCs w:val="24"/>
        </w:rPr>
        <w:t>3</w:t>
      </w:r>
      <w:r w:rsidR="00045CB9" w:rsidRPr="009A3C86">
        <w:rPr>
          <w:rFonts w:ascii="Times New Roman" w:eastAsia="Times New Roman" w:hAnsi="Times New Roman"/>
          <w:sz w:val="24"/>
          <w:szCs w:val="24"/>
        </w:rPr>
        <w:t>), organ interpretacyjny powstrzymuje się od wydania interpretacji. Jednocześnie zobowiązany jest zwrócić się do Szefa KAS o opinię, czy w konkretnym stanie faktycznym lub zdarzeniu przyszłym, odpowiednio – dochodzi albo może w przyszłości dojść – do unikania opodatkowania (</w:t>
      </w:r>
      <w:r w:rsidR="00045CB9" w:rsidRPr="009A3C86">
        <w:rPr>
          <w:rFonts w:ascii="Times New Roman" w:eastAsia="Times New Roman" w:hAnsi="Times New Roman"/>
          <w:b/>
          <w:sz w:val="24"/>
          <w:szCs w:val="24"/>
        </w:rPr>
        <w:t>art. 5</w:t>
      </w:r>
      <w:r w:rsidR="005360C1" w:rsidRPr="009A3C86">
        <w:rPr>
          <w:rFonts w:ascii="Times New Roman" w:eastAsia="Times New Roman" w:hAnsi="Times New Roman"/>
          <w:b/>
          <w:sz w:val="24"/>
          <w:szCs w:val="24"/>
        </w:rPr>
        <w:t>63</w:t>
      </w:r>
      <w:r w:rsidR="00045CB9" w:rsidRPr="009A3C86">
        <w:rPr>
          <w:rFonts w:ascii="Times New Roman" w:eastAsia="Times New Roman" w:hAnsi="Times New Roman"/>
          <w:b/>
          <w:sz w:val="24"/>
          <w:szCs w:val="24"/>
        </w:rPr>
        <w:t xml:space="preserve"> § 2</w:t>
      </w:r>
      <w:r w:rsidR="00045CB9" w:rsidRPr="009A3C86">
        <w:rPr>
          <w:rFonts w:ascii="Times New Roman" w:eastAsia="Times New Roman" w:hAnsi="Times New Roman"/>
          <w:sz w:val="24"/>
          <w:szCs w:val="24"/>
        </w:rPr>
        <w:t>). W praktyce stosowania tych przepisów powstawały wątpliwości, jak powinien zachować się organ interpretacyjny zarówno po zwróceniu się do Szefa KAS o opinię, jak i po jej otrzymaniu</w:t>
      </w:r>
      <w:r w:rsidR="00045CB9" w:rsidRPr="009A3C86">
        <w:rPr>
          <w:rFonts w:ascii="Times New Roman" w:eastAsia="Times New Roman" w:hAnsi="Times New Roman"/>
          <w:sz w:val="24"/>
          <w:szCs w:val="24"/>
          <w:vertAlign w:val="superscript"/>
        </w:rPr>
        <w:footnoteReference w:id="512"/>
      </w:r>
      <w:r w:rsidR="00045CB9" w:rsidRPr="009A3C86">
        <w:rPr>
          <w:rFonts w:ascii="Times New Roman" w:eastAsia="Times New Roman" w:hAnsi="Times New Roman"/>
          <w:sz w:val="24"/>
          <w:szCs w:val="24"/>
        </w:rPr>
        <w:t>. W wyroku tym wyjaśniono, że w przypadku, w którym w trakcie prowadzonego postępowania o wydanie interpretacji indywidualnej, podatkowy organ interpretacyjny stwierdzi, że w zakresie określonych elementów stanu faktycznego lub zdarzenia przyszłego przedstawionych we wniosku o wydanie interpretacji, istnieje uzasadnione przypuszczenie, że mogą być one przedmiotem decyzji wydanej z zastosowaniem art. 119a o.p. organ ten, na podstawie art. 14b § 5b, wydaje postanowienie o odmowie wydania indywidualnej interpretacji przepisów prawa podatkowego. Ukształtował się też odmienny pogląd, że w takiej sytuacji uzasadnione jest wydanie postanowienia o odmowie wszczęcia postępowania w przedmiocie wydania interpretacji indywidualnej</w:t>
      </w:r>
      <w:r w:rsidR="00045CB9" w:rsidRPr="009A3C86">
        <w:rPr>
          <w:rFonts w:ascii="Times New Roman" w:eastAsia="Times New Roman" w:hAnsi="Times New Roman"/>
          <w:sz w:val="24"/>
          <w:szCs w:val="24"/>
          <w:vertAlign w:val="superscript"/>
        </w:rPr>
        <w:footnoteReference w:id="513"/>
      </w:r>
      <w:r w:rsidR="00045CB9" w:rsidRPr="009A3C86">
        <w:rPr>
          <w:rFonts w:ascii="Times New Roman" w:eastAsia="Times New Roman" w:hAnsi="Times New Roman"/>
          <w:sz w:val="24"/>
          <w:szCs w:val="24"/>
        </w:rPr>
        <w:t>.  Postanowienie to nie może być prostym powieleniem opinii Szefa KAS. Organ prowadzący postępowanie interpretacyjne powinien wnikliwie uzasadnić powzięcie uzasadnionego przypuszczenia, że elementy stanu faktycznego lub zdarzenia przyszłego mogą być przedmiotem decyzji wydanej z zastosowaniem art. 119a</w:t>
      </w:r>
      <w:r w:rsidR="00045CB9" w:rsidRPr="009A3C86">
        <w:rPr>
          <w:rFonts w:ascii="Times New Roman" w:eastAsia="Times New Roman" w:hAnsi="Times New Roman"/>
          <w:b/>
          <w:sz w:val="24"/>
          <w:szCs w:val="24"/>
        </w:rPr>
        <w:t xml:space="preserve"> </w:t>
      </w:r>
      <w:r w:rsidR="00045CB9" w:rsidRPr="009A3C86">
        <w:rPr>
          <w:rFonts w:ascii="Times New Roman" w:eastAsia="Times New Roman" w:hAnsi="Times New Roman"/>
          <w:sz w:val="24"/>
          <w:szCs w:val="24"/>
        </w:rPr>
        <w:t xml:space="preserve">o.p., dokonując oceny przesłanek ujętych w tym przepisie z wykorzystaniem opinii szefa KAS. Wątpliwości te usunięto w nowelizacji z dnia 23 </w:t>
      </w:r>
      <w:r w:rsidR="00045CB9" w:rsidRPr="009A3C86">
        <w:rPr>
          <w:rFonts w:ascii="Times New Roman" w:eastAsia="Times New Roman" w:hAnsi="Times New Roman"/>
          <w:sz w:val="24"/>
          <w:szCs w:val="24"/>
        </w:rPr>
        <w:lastRenderedPageBreak/>
        <w:t xml:space="preserve">października 2018 r. Również w </w:t>
      </w:r>
      <w:r w:rsidR="00045CB9" w:rsidRPr="009A3C86">
        <w:rPr>
          <w:rFonts w:ascii="Times New Roman" w:eastAsia="Times New Roman" w:hAnsi="Times New Roman"/>
          <w:b/>
          <w:sz w:val="24"/>
          <w:szCs w:val="24"/>
        </w:rPr>
        <w:t>art. 5</w:t>
      </w:r>
      <w:r w:rsidR="00C12A89" w:rsidRPr="009A3C86">
        <w:rPr>
          <w:rFonts w:ascii="Times New Roman" w:eastAsia="Times New Roman" w:hAnsi="Times New Roman"/>
          <w:b/>
          <w:sz w:val="24"/>
          <w:szCs w:val="24"/>
        </w:rPr>
        <w:t>63</w:t>
      </w:r>
      <w:r w:rsidR="00045CB9" w:rsidRPr="009A3C86">
        <w:rPr>
          <w:rFonts w:ascii="Times New Roman" w:eastAsia="Times New Roman" w:hAnsi="Times New Roman"/>
          <w:b/>
          <w:sz w:val="24"/>
          <w:szCs w:val="24"/>
        </w:rPr>
        <w:t xml:space="preserve"> § 1</w:t>
      </w:r>
      <w:r w:rsidR="00045CB9" w:rsidRPr="009A3C86">
        <w:rPr>
          <w:rFonts w:ascii="Times New Roman" w:eastAsia="Times New Roman" w:hAnsi="Times New Roman"/>
          <w:sz w:val="24"/>
          <w:szCs w:val="24"/>
        </w:rPr>
        <w:t xml:space="preserve"> przyjęto, że odmawia się w drodze postanowienia, wydania interpretacji indywidualnej w zakresie tych elementów stanu faktycznego lub zdarzenia przyszłego, co do których istnieje uzasadnione przypuszczenie, że mogą:</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stanowić czynność lub element czynności dokonanej przede wszystkim w celu osiągnięcia korzyści podatkowej (określonej w art. 3</w:t>
      </w:r>
      <w:r w:rsidR="00CE5C13" w:rsidRPr="009A3C86">
        <w:rPr>
          <w:rFonts w:ascii="Times New Roman" w:eastAsia="Times New Roman" w:hAnsi="Times New Roman"/>
          <w:sz w:val="24"/>
          <w:szCs w:val="24"/>
        </w:rPr>
        <w:t>3</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być przedmiotem decyzji wydanej z zastosowaniem środków ograniczających umowne korzyści, lub</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stanowić nadużycie prawa, o którym mowa w art. 5 ust. 5 u.p.t.u.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przypadku otrzymania wniosku o wydanie interpretacji indywidualnej organ interpretacyjny powinien występować do Szefa KAS z wnioskiem o wydanie opinii, o której mowa w </w:t>
      </w:r>
      <w:r w:rsidRPr="009A3C86">
        <w:rPr>
          <w:rFonts w:ascii="Times New Roman" w:eastAsia="Times New Roman" w:hAnsi="Times New Roman"/>
          <w:b/>
          <w:bCs/>
          <w:sz w:val="24"/>
          <w:szCs w:val="24"/>
        </w:rPr>
        <w:t>art. 5</w:t>
      </w:r>
      <w:r w:rsidR="00C12A89" w:rsidRPr="009A3C86">
        <w:rPr>
          <w:rFonts w:ascii="Times New Roman" w:eastAsia="Times New Roman" w:hAnsi="Times New Roman"/>
          <w:b/>
          <w:bCs/>
          <w:sz w:val="24"/>
          <w:szCs w:val="24"/>
        </w:rPr>
        <w:t>63</w:t>
      </w:r>
      <w:r w:rsidRPr="009A3C86">
        <w:rPr>
          <w:rFonts w:ascii="Times New Roman" w:eastAsia="Times New Roman" w:hAnsi="Times New Roman"/>
          <w:b/>
          <w:bCs/>
          <w:sz w:val="24"/>
          <w:szCs w:val="24"/>
        </w:rPr>
        <w:t xml:space="preserve">  § 2</w:t>
      </w:r>
      <w:r w:rsidRPr="009A3C86">
        <w:rPr>
          <w:rFonts w:ascii="Times New Roman" w:eastAsia="Times New Roman" w:hAnsi="Times New Roman"/>
          <w:sz w:val="24"/>
          <w:szCs w:val="24"/>
        </w:rPr>
        <w:t xml:space="preserve"> już po sprawdzeniu braków formalnych wniosków i po wykluczeniu innych przeszkód uniemożliwiających wszczęcie postępowania i rozpatrzenie wniosku o wydanie interpretacji indywidualnej. Postanowienie oparte o przesłanki wskazane w art. 5</w:t>
      </w:r>
      <w:r w:rsidR="00C12A89" w:rsidRPr="009A3C86">
        <w:rPr>
          <w:rFonts w:ascii="Times New Roman" w:eastAsia="Times New Roman" w:hAnsi="Times New Roman"/>
          <w:sz w:val="24"/>
          <w:szCs w:val="24"/>
        </w:rPr>
        <w:t>63</w:t>
      </w:r>
      <w:r w:rsidRPr="009A3C86">
        <w:rPr>
          <w:rFonts w:ascii="Times New Roman" w:eastAsia="Times New Roman" w:hAnsi="Times New Roman"/>
          <w:sz w:val="24"/>
          <w:szCs w:val="24"/>
        </w:rPr>
        <w:t> § 1 jest w istocie wydawane po przeprowadzeniu postępowania oraz po merytorycznym rozpoznaniu wniosku zainteresowanego podmiotu. Stan faktyczny (zdarzenie przyszłe) jest oceniany bowiem także w kontekście przepisów, o które pyta wnioskodawca. Zgodnie z art. 5</w:t>
      </w:r>
      <w:r w:rsidR="00C12A89" w:rsidRPr="009A3C86">
        <w:rPr>
          <w:rFonts w:ascii="Times New Roman" w:eastAsia="Times New Roman" w:hAnsi="Times New Roman"/>
          <w:sz w:val="24"/>
          <w:szCs w:val="24"/>
        </w:rPr>
        <w:t>63</w:t>
      </w:r>
      <w:r w:rsidRPr="009A3C86">
        <w:rPr>
          <w:rFonts w:ascii="Times New Roman" w:eastAsia="Times New Roman" w:hAnsi="Times New Roman"/>
          <w:sz w:val="24"/>
          <w:szCs w:val="24"/>
        </w:rPr>
        <w:t xml:space="preserve"> § 1 stanowi on samodzielną podstawę do wydania postanowienia w przedmiocie odmowy wydania interpretacji, na które będzie służyć zażalenie. Organ interpretacyjny na tych samych zasadach odmówi wydania interpretacji indywidualnej także w przypadku, w którym zaistnieje uzasadnione przypuszczenie wydania decyzji z zastosowaniem środków ograniczających umowne korzyści.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t>Art. 5</w:t>
      </w:r>
      <w:r w:rsidR="00C12A89" w:rsidRPr="009A3C86">
        <w:rPr>
          <w:rFonts w:ascii="Times New Roman" w:eastAsia="Times New Roman" w:hAnsi="Times New Roman"/>
          <w:b/>
          <w:sz w:val="24"/>
          <w:szCs w:val="24"/>
        </w:rPr>
        <w:t>63</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wprowadzony został z uwagi na fakt, że schematy unikania opodatkowania stanowią zazwyczaj szereg skomplikowanych czynności, ich poszczególne fragmenty mogą być przedmiotem odrębnych wniosków o wydanie interpretacji indywidualnej. Taka fragmentaryzacja schematów unikania opodatkowania może stanowić formę wykluczenia lub utrudnienia możliwości zastosowania art. 5</w:t>
      </w:r>
      <w:r w:rsidR="00C12A89" w:rsidRPr="009A3C86">
        <w:rPr>
          <w:rFonts w:ascii="Times New Roman" w:eastAsia="Times New Roman" w:hAnsi="Times New Roman"/>
          <w:sz w:val="24"/>
          <w:szCs w:val="24"/>
        </w:rPr>
        <w:t>63</w:t>
      </w:r>
      <w:r w:rsidRPr="009A3C86">
        <w:rPr>
          <w:rFonts w:ascii="Times New Roman" w:eastAsia="Times New Roman" w:hAnsi="Times New Roman"/>
          <w:sz w:val="24"/>
          <w:szCs w:val="24"/>
        </w:rPr>
        <w:t xml:space="preserve"> § 1, co nie jest zgodne z </w:t>
      </w:r>
      <w:r w:rsidRPr="009A3C86">
        <w:rPr>
          <w:rFonts w:ascii="Times New Roman" w:eastAsia="Times New Roman" w:hAnsi="Times New Roman"/>
          <w:i/>
          <w:iCs/>
          <w:sz w:val="24"/>
          <w:szCs w:val="24"/>
        </w:rPr>
        <w:t>ratio legis</w:t>
      </w:r>
      <w:r w:rsidRPr="009A3C86">
        <w:rPr>
          <w:rFonts w:ascii="Times New Roman" w:eastAsia="Times New Roman" w:hAnsi="Times New Roman"/>
          <w:sz w:val="24"/>
          <w:szCs w:val="24"/>
        </w:rPr>
        <w:t xml:space="preserve"> przepisu. W takiej sytuacji organ interpretacyjny może, dla celów stosowania omawianej regulacji, łączyć elementy stanu faktycznego (zdarzenia przyszłego) zawarte w więcej niż jednym wniosku złożonym przez wnioskodawcę lub wnioskodawców mogących uczestniczyć w tej samej czynności. Organ interpretacyjny będzie mógł zastosować art. 5</w:t>
      </w:r>
      <w:r w:rsidR="00C12A89" w:rsidRPr="009A3C86">
        <w:rPr>
          <w:rFonts w:ascii="Times New Roman" w:eastAsia="Times New Roman" w:hAnsi="Times New Roman"/>
          <w:sz w:val="24"/>
          <w:szCs w:val="24"/>
        </w:rPr>
        <w:t>63</w:t>
      </w:r>
      <w:r w:rsidRPr="009A3C86">
        <w:rPr>
          <w:rFonts w:ascii="Times New Roman" w:eastAsia="Times New Roman" w:hAnsi="Times New Roman"/>
          <w:sz w:val="24"/>
          <w:szCs w:val="24"/>
        </w:rPr>
        <w:t xml:space="preserve"> § 1 wobec kilku wniosków o wydanie interpretacji indywidualnej, jeżeli wobec elementów stanu faktycznego (zdarzenia przyszłego) wynikających z tych wniosków zaistnieje uzasadnione przypuszczenie spełnienia przesłanki z art. 3</w:t>
      </w:r>
      <w:r w:rsidR="00034F46"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środków ograniczających umowne korzyści lub art. 5 ust. 4 i 5 u.p..t.u. Wystąpienie uzasadnionego przypuszczenia może być wywiedzione także z okoliczności </w:t>
      </w:r>
      <w:r w:rsidRPr="009A3C86">
        <w:rPr>
          <w:rFonts w:ascii="Times New Roman" w:eastAsia="Times New Roman" w:hAnsi="Times New Roman"/>
          <w:sz w:val="24"/>
          <w:szCs w:val="24"/>
        </w:rPr>
        <w:lastRenderedPageBreak/>
        <w:t>złożenia przez wnioskodawcę lub inne powiązane podmioty innych wniosków o wydanie interpretacji indywidualnej, które będą uzupełniać przedstawiony stan faktyczny (zdarzenie przyszłe).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Odmowa wydania interpretacji indywidualnej nastąpi w przypadku powzięcia uzasadnionego przypuszczenia, że elementy stanu faktycznego lub zdarzenia przyszłego spełniają definicję unikania opodatkowania w rozumieniu art. 3</w:t>
      </w:r>
      <w:r w:rsidR="00034F46"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mogą być przedmiotem decyzji wydanej z zastosowaniem środków ograniczających umowne korzyści lub stanowić nadużycie prawa w rozumieniu art. 5 ust. 4 i 5 u.p.t.u.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Szef KAS uzyska ponadto nadzorcze uprawnienie do uchylenia wydanej interpretacji indywidualnej z uwagi na wystąpienie przesłanki określonej w art. 55</w:t>
      </w:r>
      <w:r w:rsidR="00034F46" w:rsidRPr="009A3C86">
        <w:rPr>
          <w:rFonts w:ascii="Times New Roman" w:eastAsia="Times New Roman" w:hAnsi="Times New Roman"/>
          <w:sz w:val="24"/>
          <w:szCs w:val="24"/>
        </w:rPr>
        <w:t>5</w:t>
      </w:r>
      <w:r w:rsidRPr="009A3C86">
        <w:rPr>
          <w:rFonts w:ascii="Times New Roman" w:eastAsia="Times New Roman" w:hAnsi="Times New Roman"/>
          <w:sz w:val="24"/>
          <w:szCs w:val="24"/>
        </w:rPr>
        <w:t xml:space="preserve"> § 1. Uprawnienie nadzorcze Szefa KAS w tym zakresie zostało określone w </w:t>
      </w:r>
      <w:r w:rsidRPr="009A3C86">
        <w:rPr>
          <w:rFonts w:ascii="Times New Roman" w:eastAsia="Times New Roman" w:hAnsi="Times New Roman"/>
          <w:b/>
          <w:sz w:val="24"/>
          <w:szCs w:val="24"/>
        </w:rPr>
        <w:t>art. 5</w:t>
      </w:r>
      <w:r w:rsidR="00C12A89" w:rsidRPr="009A3C86">
        <w:rPr>
          <w:rFonts w:ascii="Times New Roman" w:eastAsia="Times New Roman" w:hAnsi="Times New Roman"/>
          <w:b/>
          <w:sz w:val="24"/>
          <w:szCs w:val="24"/>
        </w:rPr>
        <w:t>68</w:t>
      </w:r>
      <w:r w:rsidRPr="009A3C86">
        <w:rPr>
          <w:rFonts w:ascii="Times New Roman" w:eastAsia="Times New Roman" w:hAnsi="Times New Roman"/>
          <w:b/>
          <w:sz w:val="24"/>
          <w:szCs w:val="24"/>
        </w:rPr>
        <w:t xml:space="preserve"> pkt 3</w:t>
      </w:r>
      <w:r w:rsidRPr="009A3C86">
        <w:rPr>
          <w:rFonts w:ascii="Times New Roman" w:eastAsia="Times New Roman" w:hAnsi="Times New Roman"/>
          <w:sz w:val="24"/>
          <w:szCs w:val="24"/>
        </w:rPr>
        <w:t>. Przyznanie takiego uprawnienia Szefowi KAS przyczyni się do uszczelnienia systemu interpretacji indywidualnych. W niektórych, pojedynczych, przypadkach organ interpretacyjny może nie dostrzec dostatecznie wcześnie nowego schematu unikania opodatkowania (nadużycia prawa) lub nie połączyć kilku wniosków składających się na spójny stan faktyczny (zdarzenie przyszłe) prowadzący do unikania opodatkowania (nadużycia prawa).</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14</w:t>
      </w:r>
      <w:r w:rsidR="00045CB9" w:rsidRPr="009A3C86">
        <w:rPr>
          <w:rFonts w:ascii="Times New Roman" w:eastAsia="Times New Roman" w:hAnsi="Times New Roman"/>
          <w:sz w:val="24"/>
          <w:szCs w:val="24"/>
        </w:rPr>
        <w:t xml:space="preserve">. W </w:t>
      </w:r>
      <w:r w:rsidR="00045CB9" w:rsidRPr="009A3C86">
        <w:rPr>
          <w:rFonts w:ascii="Times New Roman" w:eastAsia="Times New Roman" w:hAnsi="Times New Roman"/>
          <w:b/>
          <w:sz w:val="24"/>
          <w:szCs w:val="24"/>
        </w:rPr>
        <w:t>art. 5</w:t>
      </w:r>
      <w:r w:rsidR="00C12A89" w:rsidRPr="009A3C86">
        <w:rPr>
          <w:rFonts w:ascii="Times New Roman" w:eastAsia="Times New Roman" w:hAnsi="Times New Roman"/>
          <w:b/>
          <w:sz w:val="24"/>
          <w:szCs w:val="24"/>
        </w:rPr>
        <w:t>64</w:t>
      </w:r>
      <w:r w:rsidR="00045CB9" w:rsidRPr="009A3C86">
        <w:rPr>
          <w:rFonts w:ascii="Times New Roman" w:eastAsia="Times New Roman" w:hAnsi="Times New Roman"/>
          <w:b/>
          <w:sz w:val="24"/>
          <w:szCs w:val="24"/>
        </w:rPr>
        <w:t xml:space="preserve"> § 1 i 3</w:t>
      </w:r>
      <w:r w:rsidR="00045CB9" w:rsidRPr="009A3C86">
        <w:rPr>
          <w:rFonts w:ascii="Times New Roman" w:eastAsia="Times New Roman" w:hAnsi="Times New Roman"/>
          <w:sz w:val="24"/>
          <w:szCs w:val="24"/>
        </w:rPr>
        <w:t xml:space="preserve"> wskazano wymogi, jakie powinna spełniać interpretacja indywidualna. Interpretacja ta powinna zawierać ocenę stanowiska wnioskodawcy wraz z uzasadnieniem prawnym. Ocena dokonana w interpretacji winna polegać na stwierdzeniu, czy stanowisko wnioskodawcy jest prawidłowe bądź nieprawidłowe. Z tego względu zasadniczym elementem interpretacji indywidualnej jest wyrażenie oceny co do stanowiska wnioskodawcy zaprezentowanego we wniosku. Wykonanie tego obowiązku zamyka się w zasadzie stwierdzeniem: stanowisko wnioskodawcy jest prawidłowe albo stanowisko wnioskodawcy jest nieprawidłowe. Jeśli ocena stanowiska wnioskodawcy jest pozytywna, to interpretacja może ograniczyć się do stwierdzenia, że stanowisko wnioskodawcy ocenia się jako prawidłowe. Istotne natomiast znaczenie ma uzasadnienie prawne interpretacji indywidualnej w razie negatywnej oceny stanowiska strony. W takim przypadku konieczne jest zawarcie w interpretacji wskazania stanowiska, które organ uznał za prawidłowe oraz uzasadnienia prawnego tego stanowiska.</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Ocena ta powinna być jednoznaczna. Osoba zainteresowana ma bowiem uzyskać stanowisko organu w zakresie stosowania prawa w konkretnym, przedstawionym przez nią stanie faktycznym. Udzielenie interpretacji niejednoznacznej, wariantowej jest niezgodne z istotą tej </w:t>
      </w:r>
      <w:r w:rsidRPr="009A3C86">
        <w:rPr>
          <w:rFonts w:ascii="Times New Roman" w:eastAsia="Times New Roman" w:hAnsi="Times New Roman"/>
          <w:sz w:val="24"/>
          <w:szCs w:val="24"/>
        </w:rPr>
        <w:lastRenderedPageBreak/>
        <w:t>instytucji</w:t>
      </w:r>
      <w:r w:rsidRPr="009A3C86">
        <w:rPr>
          <w:rFonts w:ascii="Times New Roman" w:eastAsia="Times New Roman" w:hAnsi="Times New Roman"/>
          <w:sz w:val="24"/>
          <w:szCs w:val="24"/>
          <w:vertAlign w:val="superscript"/>
        </w:rPr>
        <w:footnoteReference w:id="514"/>
      </w:r>
      <w:r w:rsidRPr="009A3C86">
        <w:rPr>
          <w:rFonts w:ascii="Times New Roman" w:eastAsia="Times New Roman" w:hAnsi="Times New Roman"/>
          <w:sz w:val="24"/>
          <w:szCs w:val="24"/>
        </w:rPr>
        <w:t>. Tylko indywidualna interpretacja podatkowa, która jest jednoznaczna, precyzyjna i bezwarunkowa wypełnia funkcję informacyjną i gwarancyjną, nadaną instytucji interpretacji indywidualnej, zapewniając wyjaśnienie sprawy oraz umożliwia stronie zastosowanie się do wskazań z interpretacji i uzyskanie pewności oceny prawnej swojego postępowania.</w:t>
      </w:r>
    </w:p>
    <w:p w:rsidR="00045CB9" w:rsidRPr="009A3C86" w:rsidRDefault="002E7C2C"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15</w:t>
      </w:r>
      <w:r w:rsidR="00045CB9" w:rsidRPr="009A3C86">
        <w:rPr>
          <w:rFonts w:ascii="Times New Roman" w:eastAsia="Times New Roman" w:hAnsi="Times New Roman"/>
          <w:sz w:val="24"/>
          <w:szCs w:val="24"/>
        </w:rPr>
        <w:t xml:space="preserve">. Z kolei w </w:t>
      </w:r>
      <w:r w:rsidR="00045CB9" w:rsidRPr="009A3C86">
        <w:rPr>
          <w:rFonts w:ascii="Times New Roman" w:eastAsia="Times New Roman" w:hAnsi="Times New Roman"/>
          <w:b/>
          <w:sz w:val="24"/>
          <w:szCs w:val="24"/>
        </w:rPr>
        <w:t>art. 5</w:t>
      </w:r>
      <w:r w:rsidR="00C12A89" w:rsidRPr="009A3C86">
        <w:rPr>
          <w:rFonts w:ascii="Times New Roman" w:eastAsia="Times New Roman" w:hAnsi="Times New Roman"/>
          <w:b/>
          <w:sz w:val="24"/>
          <w:szCs w:val="24"/>
        </w:rPr>
        <w:t>64</w:t>
      </w:r>
      <w:r w:rsidR="00045CB9" w:rsidRPr="009A3C86">
        <w:rPr>
          <w:rFonts w:ascii="Times New Roman" w:eastAsia="Times New Roman" w:hAnsi="Times New Roman"/>
          <w:b/>
          <w:sz w:val="24"/>
          <w:szCs w:val="24"/>
        </w:rPr>
        <w:t xml:space="preserve"> § 3</w:t>
      </w:r>
      <w:r w:rsidR="00045CB9" w:rsidRPr="009A3C86">
        <w:rPr>
          <w:rFonts w:ascii="Times New Roman" w:eastAsia="Times New Roman" w:hAnsi="Times New Roman"/>
          <w:sz w:val="24"/>
          <w:szCs w:val="24"/>
        </w:rPr>
        <w:t xml:space="preserve"> utrzymano dotychczasowe rozwiązanie, że interpretacjom indywidualnym nie jest nadawana określona forma prawna aktu indywidualnego. W takim zakresie interpretacja indywidualna jest jedynie wyjaśnieniem znaczenia przepisów prawa podatkowego, a przez to nie stanowi aktu lub czynności dotyczących uprawnień i obowiązków w rozumieniu art. 3 § 2 pkt 4 p.p.s.a. Potwierdza to wprowadzenie do wymienionej ustawy przepisu art. 3 § 2 pkt 4a, na mocy którego kontrolą sądu administracyjnego objęte są także pisemne interpretacje prawa podatkowego wydane w sprawach indywidualnych. Dodanie tego przepisu wskazuje na to, że ustawodawca świadomie nie zmierzał do nadania interpretacjom indywidualnym określonej formy prawnej aktu indywidualnego (np. decyzji lub postanowienia)</w:t>
      </w:r>
      <w:r w:rsidR="00045CB9" w:rsidRPr="009A3C86">
        <w:rPr>
          <w:rFonts w:ascii="Times New Roman" w:eastAsia="Times New Roman" w:hAnsi="Times New Roman"/>
          <w:sz w:val="24"/>
          <w:szCs w:val="24"/>
          <w:vertAlign w:val="superscript"/>
        </w:rPr>
        <w:footnoteReference w:id="515"/>
      </w:r>
      <w:r w:rsidR="00045CB9" w:rsidRPr="009A3C86">
        <w:rPr>
          <w:rFonts w:ascii="Times New Roman" w:eastAsia="Times New Roman" w:hAnsi="Times New Roman"/>
          <w:sz w:val="24"/>
          <w:szCs w:val="24"/>
        </w:rPr>
        <w:t>. Z tych względów, podobnie jak poprzednio w art. 14c § 3 o.p., w nowej ordynacji podatkowej brak jest przepisu potwierdzającego wprost prawo wnioskodawcy do zaskarżenia wydanej interpretacji indywidualnej. Pośrednio wyraża to prawo omawiany przepis, który nakazuje, aby w interpretacji znalazło się pouczenie o prawie wniesienia skargi do sądu administracyjnego. Sądowa kontrola interpretacji indywidualnych powinna dotyczyć: oceny zgodności wydanej interpretacji z materialnym prawem podatkowym; dochowania wymaganej procedury wydawania interpretacji oraz jej doręczania; respektowania reguł kompetencji przy wydawaniu interpretacji</w:t>
      </w:r>
      <w:r w:rsidR="00045CB9" w:rsidRPr="009A3C86">
        <w:rPr>
          <w:rFonts w:ascii="Times New Roman" w:eastAsia="Times New Roman" w:hAnsi="Times New Roman"/>
          <w:sz w:val="24"/>
          <w:szCs w:val="24"/>
          <w:vertAlign w:val="superscript"/>
        </w:rPr>
        <w:footnoteReference w:id="516"/>
      </w:r>
      <w:r w:rsidR="00045CB9" w:rsidRPr="009A3C86">
        <w:rPr>
          <w:rFonts w:ascii="Times New Roman" w:eastAsia="Times New Roman" w:hAnsi="Times New Roman"/>
          <w:sz w:val="24"/>
          <w:szCs w:val="24"/>
        </w:rPr>
        <w:t xml:space="preserve">. Interpretacja zawiera ponadto pouczenie, że  zgodnie z </w:t>
      </w:r>
      <w:r w:rsidR="00045CB9" w:rsidRPr="009A3C86">
        <w:rPr>
          <w:rFonts w:ascii="Times New Roman" w:eastAsia="Times New Roman" w:hAnsi="Times New Roman"/>
          <w:b/>
          <w:sz w:val="24"/>
          <w:szCs w:val="24"/>
        </w:rPr>
        <w:t>art. 5</w:t>
      </w:r>
      <w:r w:rsidR="00C11D31" w:rsidRPr="009A3C86">
        <w:rPr>
          <w:rFonts w:ascii="Times New Roman" w:eastAsia="Times New Roman" w:hAnsi="Times New Roman"/>
          <w:b/>
          <w:sz w:val="24"/>
          <w:szCs w:val="24"/>
        </w:rPr>
        <w:t>80</w:t>
      </w:r>
      <w:r w:rsidR="00045CB9" w:rsidRPr="009A3C86">
        <w:rPr>
          <w:rFonts w:ascii="Times New Roman" w:eastAsia="Times New Roman" w:hAnsi="Times New Roman"/>
          <w:sz w:val="24"/>
          <w:szCs w:val="24"/>
        </w:rPr>
        <w:t xml:space="preserve"> nie przysługuje  ochrona z tytułu udzielonej interpretacji indywidualnej (</w:t>
      </w:r>
      <w:r w:rsidR="00045CB9" w:rsidRPr="009A3C86">
        <w:rPr>
          <w:rFonts w:ascii="Times New Roman" w:eastAsia="Times New Roman" w:hAnsi="Times New Roman"/>
          <w:b/>
          <w:sz w:val="24"/>
          <w:szCs w:val="24"/>
        </w:rPr>
        <w:t>art. 5</w:t>
      </w:r>
      <w:r w:rsidR="00C11D31" w:rsidRPr="009A3C86">
        <w:rPr>
          <w:rFonts w:ascii="Times New Roman" w:eastAsia="Times New Roman" w:hAnsi="Times New Roman"/>
          <w:b/>
          <w:sz w:val="24"/>
          <w:szCs w:val="24"/>
        </w:rPr>
        <w:t>74</w:t>
      </w:r>
      <w:r w:rsidR="00045CB9" w:rsidRPr="009A3C86">
        <w:rPr>
          <w:rFonts w:ascii="Times New Roman" w:eastAsia="Times New Roman" w:hAnsi="Times New Roman"/>
          <w:b/>
          <w:sz w:val="24"/>
          <w:szCs w:val="24"/>
        </w:rPr>
        <w:t>–5</w:t>
      </w:r>
      <w:r w:rsidR="00C11D31" w:rsidRPr="009A3C86">
        <w:rPr>
          <w:rFonts w:ascii="Times New Roman" w:eastAsia="Times New Roman" w:hAnsi="Times New Roman"/>
          <w:b/>
          <w:sz w:val="24"/>
          <w:szCs w:val="24"/>
        </w:rPr>
        <w:t>78</w:t>
      </w:r>
      <w:r w:rsidR="00045CB9" w:rsidRPr="009A3C86">
        <w:rPr>
          <w:rFonts w:ascii="Times New Roman" w:eastAsia="Times New Roman" w:hAnsi="Times New Roman"/>
          <w:sz w:val="24"/>
          <w:szCs w:val="24"/>
        </w:rPr>
        <w:t>), jeżeli stan faktyczny lub zdarzenie przyszłe będące przedmiotem interpretacji indywidualnej stanowi element czynności będących przedmiotem decyzji wydanej z zastosowaniem środków ograniczających umowne korzyści.</w:t>
      </w:r>
    </w:p>
    <w:p w:rsidR="00045CB9" w:rsidRPr="009A3C86" w:rsidRDefault="002E7C2C" w:rsidP="00045CB9">
      <w:pPr>
        <w:spacing w:after="0" w:line="360" w:lineRule="auto"/>
        <w:jc w:val="both"/>
        <w:rPr>
          <w:rFonts w:ascii="Times New Roman" w:eastAsia="Arial Unicode MS" w:hAnsi="Times New Roman"/>
          <w:sz w:val="24"/>
          <w:szCs w:val="24"/>
          <w:shd w:val="clear" w:color="auto" w:fill="FFFFFF"/>
        </w:rPr>
      </w:pPr>
      <w:r w:rsidRPr="009A3C86">
        <w:rPr>
          <w:rFonts w:ascii="Times New Roman" w:eastAsia="Times New Roman" w:hAnsi="Times New Roman"/>
          <w:sz w:val="24"/>
          <w:szCs w:val="24"/>
        </w:rPr>
        <w:t>16</w:t>
      </w:r>
      <w:r w:rsidR="00045CB9" w:rsidRPr="009A3C86">
        <w:rPr>
          <w:rFonts w:ascii="Times New Roman" w:eastAsia="Times New Roman" w:hAnsi="Times New Roman"/>
          <w:sz w:val="24"/>
          <w:szCs w:val="24"/>
        </w:rPr>
        <w:t xml:space="preserve">. W omawianym </w:t>
      </w:r>
      <w:r w:rsidR="00045CB9" w:rsidRPr="009A3C86">
        <w:rPr>
          <w:rFonts w:ascii="Times New Roman" w:eastAsia="Times New Roman" w:hAnsi="Times New Roman"/>
          <w:b/>
          <w:sz w:val="24"/>
          <w:szCs w:val="24"/>
        </w:rPr>
        <w:t>art. 5</w:t>
      </w:r>
      <w:r w:rsidR="00C11D31" w:rsidRPr="009A3C86">
        <w:rPr>
          <w:rFonts w:ascii="Times New Roman" w:eastAsia="Times New Roman" w:hAnsi="Times New Roman"/>
          <w:b/>
          <w:sz w:val="24"/>
          <w:szCs w:val="24"/>
        </w:rPr>
        <w:t>64</w:t>
      </w:r>
      <w:r w:rsidR="00045CB9" w:rsidRPr="009A3C86">
        <w:rPr>
          <w:rFonts w:ascii="Times New Roman" w:eastAsia="Times New Roman" w:hAnsi="Times New Roman"/>
          <w:b/>
          <w:sz w:val="24"/>
          <w:szCs w:val="24"/>
        </w:rPr>
        <w:t xml:space="preserve"> § 3</w:t>
      </w:r>
      <w:r w:rsidR="00045CB9" w:rsidRPr="009A3C86">
        <w:rPr>
          <w:rFonts w:ascii="Times New Roman" w:eastAsia="Times New Roman" w:hAnsi="Times New Roman"/>
          <w:sz w:val="24"/>
          <w:szCs w:val="24"/>
        </w:rPr>
        <w:t xml:space="preserve"> uzupełniono dotychczasową regulację o wskazanie podmiotu legitymowanego do wniesienia skargi w przypadku interpretacji indywidualnej wydawanej na wniosek wspólny (art. 5</w:t>
      </w:r>
      <w:r w:rsidR="00C11D31" w:rsidRPr="009A3C86">
        <w:rPr>
          <w:rFonts w:ascii="Times New Roman" w:eastAsia="Times New Roman" w:hAnsi="Times New Roman"/>
          <w:sz w:val="24"/>
          <w:szCs w:val="24"/>
        </w:rPr>
        <w:t>60</w:t>
      </w:r>
      <w:r w:rsidR="00045CB9" w:rsidRPr="009A3C86">
        <w:rPr>
          <w:rFonts w:ascii="Times New Roman" w:eastAsia="Times New Roman" w:hAnsi="Times New Roman"/>
          <w:sz w:val="24"/>
          <w:szCs w:val="24"/>
        </w:rPr>
        <w:t xml:space="preserve">). Zaproponowano, aby tym podmiotem był podmiot wskazany jako zainteresowany przez składających wniosek wspólny, chyba że do wniesienia skargi zostanie wyznaczony inny podmiot zainteresowany. </w:t>
      </w:r>
      <w:r w:rsidR="00045CB9" w:rsidRPr="009A3C86">
        <w:rPr>
          <w:rFonts w:ascii="Times New Roman" w:eastAsia="Arial Unicode MS" w:hAnsi="Times New Roman"/>
          <w:sz w:val="24"/>
          <w:szCs w:val="24"/>
          <w:shd w:val="clear" w:color="auto" w:fill="FFFFFF"/>
        </w:rPr>
        <w:t xml:space="preserve">Na podstawie art. 50 </w:t>
      </w:r>
      <w:r w:rsidR="00045CB9" w:rsidRPr="009A3C86">
        <w:rPr>
          <w:rFonts w:ascii="Times New Roman" w:eastAsia="Times New Roman" w:hAnsi="Times New Roman"/>
          <w:sz w:val="24"/>
          <w:szCs w:val="24"/>
        </w:rPr>
        <w:t>§ 1</w:t>
      </w:r>
      <w:r w:rsidR="00045CB9" w:rsidRPr="009A3C86">
        <w:rPr>
          <w:rFonts w:ascii="Times New Roman" w:eastAsia="Arial Unicode MS" w:hAnsi="Times New Roman"/>
          <w:sz w:val="24"/>
          <w:szCs w:val="24"/>
          <w:shd w:val="clear" w:color="auto" w:fill="FFFFFF"/>
        </w:rPr>
        <w:t xml:space="preserve">  p.p.s.a. uprawnionym do </w:t>
      </w:r>
      <w:r w:rsidR="00045CB9" w:rsidRPr="009A3C86">
        <w:rPr>
          <w:rFonts w:ascii="Times New Roman" w:eastAsia="Arial Unicode MS" w:hAnsi="Times New Roman"/>
          <w:sz w:val="24"/>
          <w:szCs w:val="24"/>
          <w:shd w:val="clear" w:color="auto" w:fill="FFFFFF"/>
        </w:rPr>
        <w:lastRenderedPageBreak/>
        <w:t>wniesienia skargi jest m.in. każdy, kto ma w tym interes prawny. Konieczność jednoznacznego uregulowania tej kwestii wynikała z różnych poglądów prezentowanych w tym zakresie. Przykładowo w uzasadnieniu projektu ustawy z dnia 10 września 2015 r. o zmianie ustawy - Ordynacja podatkowa oraz niektórych ustaw</w:t>
      </w:r>
      <w:r w:rsidR="00045CB9" w:rsidRPr="009A3C86">
        <w:rPr>
          <w:rFonts w:ascii="Times New Roman" w:eastAsia="Arial Unicode MS" w:hAnsi="Times New Roman"/>
          <w:sz w:val="24"/>
          <w:szCs w:val="24"/>
          <w:vertAlign w:val="superscript"/>
        </w:rPr>
        <w:footnoteReference w:id="517"/>
      </w:r>
      <w:r w:rsidR="00045CB9" w:rsidRPr="009A3C86">
        <w:rPr>
          <w:rFonts w:ascii="Times New Roman" w:eastAsia="Arial Unicode MS" w:hAnsi="Times New Roman"/>
          <w:sz w:val="24"/>
          <w:szCs w:val="24"/>
          <w:shd w:val="clear" w:color="auto" w:fill="FFFFFF"/>
        </w:rPr>
        <w:t xml:space="preserve"> w części odnoszącej się do art. 14r o.p. wskazano, że w art. 14r § 3 uregulowano kwestię doręczeń interpretacji i postanowień wydawanych na podstawie wniosków wspólnych. Przewidziano, że interpretację lub postanowienie doręcza się podmiotowi wskazanemu jako strona. Pozostałym wskazanym zainteresowanym doręcza się ich odpis. Czynność ta ma umożliwić każdemu z nich ewentualne skorzystanie z prawa do skargi do sądu administracyjnego</w:t>
      </w:r>
      <w:r w:rsidR="00045CB9" w:rsidRPr="009A3C86">
        <w:rPr>
          <w:rFonts w:ascii="Times New Roman" w:eastAsia="Times New Roman" w:hAnsi="Times New Roman"/>
          <w:sz w:val="24"/>
          <w:szCs w:val="24"/>
          <w:vertAlign w:val="superscript"/>
        </w:rPr>
        <w:footnoteReference w:id="518"/>
      </w:r>
      <w:r w:rsidR="00045CB9" w:rsidRPr="009A3C86">
        <w:rPr>
          <w:rFonts w:ascii="Times New Roman" w:eastAsia="Arial Unicode MS" w:hAnsi="Times New Roman"/>
          <w:sz w:val="24"/>
          <w:szCs w:val="24"/>
          <w:shd w:val="clear" w:color="auto" w:fill="FFFFFF"/>
        </w:rPr>
        <w:t>.</w:t>
      </w:r>
    </w:p>
    <w:p w:rsidR="00045CB9" w:rsidRPr="009A3C86" w:rsidRDefault="00045CB9" w:rsidP="00045CB9">
      <w:pPr>
        <w:spacing w:after="0" w:line="360" w:lineRule="auto"/>
        <w:jc w:val="both"/>
        <w:rPr>
          <w:rFonts w:ascii="Times New Roman" w:eastAsia="Arial Unicode MS" w:hAnsi="Times New Roman"/>
          <w:sz w:val="24"/>
          <w:szCs w:val="24"/>
          <w:shd w:val="clear" w:color="auto" w:fill="FFFFFF"/>
        </w:rPr>
      </w:pPr>
      <w:r w:rsidRPr="009A3C86">
        <w:rPr>
          <w:rFonts w:ascii="Times New Roman" w:eastAsia="Arial Unicode MS" w:hAnsi="Times New Roman"/>
          <w:sz w:val="24"/>
          <w:szCs w:val="24"/>
          <w:shd w:val="clear" w:color="auto" w:fill="FFFFFF"/>
        </w:rPr>
        <w:t xml:space="preserve">Dopuszczenie możliwości zaskarżenia interpretacji indywidualnej przez wszystkich zainteresowanych może w dalszej kolejności spowodować wątpliwości w zakresie stosowania art. 57a p.p.s.a., zgodnie z którym skarga na pisemną interpretację przepisów prawa podatkowego wydaną w indywidualnej sprawie może być oparta wyłącznie na zarzucie naruszenia przepisów postępowania, dopuszczeniu się błędu wykładni lub niewłaściwej oceny co do zastosowania przepisu prawa materialnego. Sąd administracyjny jest związany zarzutami skargi oraz powołaną podstawą prawną. </w:t>
      </w:r>
    </w:p>
    <w:p w:rsidR="00045CB9" w:rsidRPr="009A3C86" w:rsidRDefault="00045CB9" w:rsidP="00045CB9">
      <w:pPr>
        <w:spacing w:after="0" w:line="360" w:lineRule="auto"/>
        <w:jc w:val="both"/>
        <w:rPr>
          <w:rFonts w:ascii="Times New Roman" w:eastAsia="Arial Unicode MS" w:hAnsi="Times New Roman"/>
          <w:sz w:val="24"/>
          <w:szCs w:val="24"/>
          <w:shd w:val="clear" w:color="auto" w:fill="FFFFFF"/>
        </w:rPr>
      </w:pPr>
      <w:r w:rsidRPr="009A3C86">
        <w:rPr>
          <w:rFonts w:ascii="Times New Roman" w:eastAsia="Arial Unicode MS" w:hAnsi="Times New Roman"/>
          <w:sz w:val="24"/>
          <w:szCs w:val="24"/>
          <w:shd w:val="clear" w:color="auto" w:fill="FFFFFF"/>
        </w:rPr>
        <w:t>Ponadto, zgodnie z art. 51 p.p.s.a., kilku uprawnionych do wniesienia skargi może w jednej sprawie występować w roli skarżących, jeżeli ich skargi dotyczą tej samej decyzji, postanowienia, innego aktu lub czynności albo bezczynności organu lub przewlekłego prowadzenia postępowania. Zauważyć należy, że wśród form działania organów administracji publicznej wymienionych w art. 51 p.p.s.a. nie ma pisemnych interpretacji przepisów prawa podatkowego wydawanych w indywidualnej sprawie (art. 3 § 2 pkt 4a</w:t>
      </w:r>
      <w:r w:rsidRPr="009A3C86">
        <w:rPr>
          <w:rFonts w:ascii="Times New Roman" w:eastAsia="Arial Unicode MS" w:hAnsi="Times New Roman"/>
          <w:b/>
          <w:sz w:val="24"/>
          <w:szCs w:val="24"/>
          <w:shd w:val="clear" w:color="auto" w:fill="FFFFFF"/>
        </w:rPr>
        <w:t xml:space="preserve"> </w:t>
      </w:r>
      <w:r w:rsidRPr="009A3C86">
        <w:rPr>
          <w:rFonts w:ascii="Times New Roman" w:eastAsia="Arial Unicode MS" w:hAnsi="Times New Roman"/>
          <w:sz w:val="24"/>
          <w:szCs w:val="24"/>
          <w:shd w:val="clear" w:color="auto" w:fill="FFFFFF"/>
        </w:rPr>
        <w:t xml:space="preserve">p.p.s.a.). Jeżeli dodatkowo uwzględni się specyfikę postępowania interpretacyjnego, nasuwa się wątpliwość, czy prawo wniesienia skargi do sądu przysługuje wszystkim zainteresowanym. W praktyce sądowej na tle powyższych regulacji prawnych mogą wystąpić wątpliwości interpretacyjne związane z ustaleniem właściwego sądu administracyjnego do rozpoznania tego rodzaju skarg. Tego rodzaju sytuacja wystąpi w przypadku zaskarżenia interpretacji podatkowej (lub postanowienia), a także przewlekłości postępowania, wydanej z wniosku wspólnego (tj. </w:t>
      </w:r>
      <w:r w:rsidRPr="009A3C86">
        <w:rPr>
          <w:rFonts w:ascii="Times New Roman" w:eastAsia="Arial Unicode MS" w:hAnsi="Times New Roman"/>
          <w:sz w:val="24"/>
          <w:szCs w:val="24"/>
          <w:shd w:val="clear" w:color="auto" w:fill="FFFFFF"/>
        </w:rPr>
        <w:lastRenderedPageBreak/>
        <w:t>wielokrotność skarg na to samo działanie lub przewlekłe prowadzenie postępowania przez organ interpretacyjny), którzy zamieszkują (lub mają siedzibę) w różnych województwach</w:t>
      </w:r>
      <w:r w:rsidRPr="009A3C86">
        <w:rPr>
          <w:rFonts w:ascii="Times New Roman" w:eastAsia="Arial Unicode MS" w:hAnsi="Times New Roman"/>
          <w:sz w:val="24"/>
          <w:szCs w:val="24"/>
          <w:vertAlign w:val="superscript"/>
        </w:rPr>
        <w:footnoteReference w:id="519"/>
      </w:r>
      <w:r w:rsidRPr="009A3C86">
        <w:rPr>
          <w:rFonts w:ascii="Times New Roman" w:eastAsia="Arial Unicode MS" w:hAnsi="Times New Roman"/>
          <w:sz w:val="24"/>
          <w:szCs w:val="24"/>
          <w:shd w:val="clear" w:color="auto" w:fill="FFFFFF"/>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17. 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65</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uregulowano termin do wydania indywidualnej interpretacji. Przyjęte w tym zakresie rozwiązania nie wprowadzają zmian do obecnie obowiązujących zasad (art. 14d  § 1-3 </w:t>
      </w:r>
      <w:r w:rsidRPr="009A3C86">
        <w:rPr>
          <w:rFonts w:ascii="Times New Roman" w:eastAsia="Arial Unicode MS" w:hAnsi="Times New Roman"/>
          <w:sz w:val="24"/>
          <w:szCs w:val="24"/>
          <w:shd w:val="clear" w:color="auto" w:fill="FFFFFF"/>
        </w:rPr>
        <w:t>o.p.).</w:t>
      </w:r>
      <w:r w:rsidRPr="009A3C86">
        <w:rPr>
          <w:rFonts w:ascii="Times New Roman" w:eastAsia="Times New Roman" w:hAnsi="Times New Roman"/>
          <w:sz w:val="24"/>
          <w:szCs w:val="24"/>
        </w:rPr>
        <w:t xml:space="preserve"> Termin na wydanie interpretacji wynikający z tego przepisu ma charakter mieszany - materialno-procesowy. Z jego upływem wiąże się bowiem skutek identyczny jak z wydaniem interpretacji indywidualnej, a zatem wpływa on na ukształtowanie praw i obowiązków zainteresowanego zarówno w obszarze prawa podatkowego, jak i w zakresie odpowiedzialności za przestępstwa lub wykroczenia karne skarbowe. Jednocześnie z upływem terminu następuje także skutek procesowy w postaci utraty kompetencji organu do wydania interpretacji indywidualnej</w:t>
      </w:r>
      <w:r w:rsidRPr="009A3C86">
        <w:rPr>
          <w:rFonts w:ascii="Times New Roman" w:eastAsia="Times New Roman" w:hAnsi="Times New Roman"/>
          <w:sz w:val="24"/>
          <w:szCs w:val="24"/>
          <w:vertAlign w:val="superscript"/>
        </w:rPr>
        <w:footnoteReference w:id="520"/>
      </w:r>
      <w:r w:rsidRPr="009A3C86">
        <w:rPr>
          <w:rFonts w:ascii="Times New Roman" w:eastAsia="Times New Roman" w:hAnsi="Times New Roman"/>
          <w:sz w:val="24"/>
          <w:szCs w:val="24"/>
        </w:rPr>
        <w:t>. Konsekwencją niedotrzymania przez organ interpretacyjny ustawowego 3-miesięcznego terminu zakreślonego dla wydania interpretacji jest związanie organu stanowiskiem uprawnionego podmiotu zawartym we wniosku (tzw. milcząca interpretacja z art. 5</w:t>
      </w:r>
      <w:r w:rsidR="00A8042D" w:rsidRPr="009A3C86">
        <w:rPr>
          <w:rFonts w:ascii="Times New Roman" w:eastAsia="Times New Roman" w:hAnsi="Times New Roman"/>
          <w:sz w:val="24"/>
          <w:szCs w:val="24"/>
        </w:rPr>
        <w:t>66</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65</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uregulowano sytuację dotyczącą daty wszczęcia postępowania na żądanie zainteresowanego wniesione za pomocą środków komunikacji elektronicznej. W związku z tym konieczne jest również precyzyjne wskazanie zachowania terminu, o którym mowa w § 1, w przypadku doręczenia interpretacji indywidualnej za pomocą środków komunikacji elektronicznej. Z kolei rozwiązanie przyjęte 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65</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stanowi realizację wyroku Trybunału Konstytucyjnego z dnia 25 września 2014 r., K 49/12, dotyczącego pojęcia niewydania interpretacji przyjętej w art. 14o o.p. oraz postanowienia sygnalizacyjnego z dnia 29 października 2014 r., S 5/14, w którym Trybunał Konstytucyjny przedstawił Sejmowi Rzeczypospolitej Polskiej uwagi dotyczące stwierdzonej w ustawie - Ordynacja podatkowa luki w prawie, której usunięcie jest niezbędne dla zapewnienia spójności systemu prawnego Rzeczypospolitej Polskiej. Luka ta, w ocenie Trybunału Konstytucyjnego, polegała na braku urzędowej formy zakomunikowania zainteresowanemu o wydaniu (sporządzeniu i podpisaniu) interpretacji indywidualnej przepisów prawa podatkowego w terminie określonym w art. 14d ustawy oraz o pozytywnym lub negatywnym charakterze tej interpretacji.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18. Kolejnym przepisem powiązanym z regulacją dotyczącą terminu wydania interpretacji jest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66</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regulujący skutki niewydania indywidualnej interpretacji w terminie. Również w tym </w:t>
      </w:r>
      <w:r w:rsidRPr="009A3C86">
        <w:rPr>
          <w:rFonts w:ascii="Times New Roman" w:eastAsia="Times New Roman" w:hAnsi="Times New Roman"/>
          <w:sz w:val="24"/>
          <w:szCs w:val="24"/>
        </w:rPr>
        <w:lastRenderedPageBreak/>
        <w:t xml:space="preserve">wypadku nie wprowadzono zmian w stosunku do stanu prawnego obecnie obowiązującego (art. 14o o.p.). Jak już wyjaśniono, konsekwencją niedotrzymania przez organ interpretacyjny ustawowego 3-miesięcznego terminu zakreślonego dla wydania interpretacji jest związanie organu stanowiskiem uprawnionego podmiotu zawartym we wniosku (tzw. milcząca interpretacja). W sposób dorozumiany przyjmuje się, że stanowisko przedstawione przez zainteresowanego we wniosku jest prawidłowe. W tej sytuacji bezzasadne jest wydawanie w sprawie interpretacji. Poprzez wejście do obrotu prawnego milczącej interpretacji odpada podstawa prawna wydania w sprawie interpretacji.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Kwestia terminu wydania indywidualnej interpretacji przepisów prawa podatkowego była przedmiotem wielu orzeczeń sądowych</w:t>
      </w:r>
      <w:r w:rsidRPr="009A3C86">
        <w:rPr>
          <w:rFonts w:ascii="Times New Roman" w:eastAsia="Times New Roman" w:hAnsi="Times New Roman"/>
          <w:sz w:val="24"/>
          <w:szCs w:val="24"/>
          <w:vertAlign w:val="superscript"/>
        </w:rPr>
        <w:footnoteReference w:id="521"/>
      </w:r>
      <w:r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19. 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68</w:t>
      </w:r>
      <w:r w:rsidRPr="009A3C86">
        <w:rPr>
          <w:rFonts w:ascii="Times New Roman" w:eastAsia="Times New Roman" w:hAnsi="Times New Roman"/>
          <w:b/>
          <w:sz w:val="24"/>
          <w:szCs w:val="24"/>
        </w:rPr>
        <w:t xml:space="preserve"> i art. 56</w:t>
      </w:r>
      <w:r w:rsidR="00A8042D" w:rsidRPr="009A3C86">
        <w:rPr>
          <w:rFonts w:ascii="Times New Roman" w:eastAsia="Times New Roman" w:hAnsi="Times New Roman"/>
          <w:b/>
          <w:sz w:val="24"/>
          <w:szCs w:val="24"/>
        </w:rPr>
        <w:t>9</w:t>
      </w:r>
      <w:r w:rsidRPr="009A3C86">
        <w:rPr>
          <w:rFonts w:ascii="Times New Roman" w:eastAsia="Times New Roman" w:hAnsi="Times New Roman"/>
          <w:sz w:val="24"/>
          <w:szCs w:val="24"/>
        </w:rPr>
        <w:t xml:space="preserve"> uregulowano kompetencje Szefa Krajowej Administracji Skarbowej i Dyrektora Krajowej Informacji Skarbowej do zmiany oraz uchylenia z urzędu wydanej interpretacji indywidualnej. Uprawnienia Szefa Krajowej Administracji Skarbowej w tym zakresie, określone 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68</w:t>
      </w:r>
      <w:r w:rsidRPr="009A3C86">
        <w:rPr>
          <w:rFonts w:ascii="Times New Roman" w:eastAsia="Times New Roman" w:hAnsi="Times New Roman"/>
          <w:sz w:val="24"/>
          <w:szCs w:val="24"/>
        </w:rPr>
        <w:t xml:space="preserve"> dotyczą zmiany wydanej interpretacji indywidualnej, jeżeli stwierdzi jej nieprawidłowość, uwzględniając w szczególności orzecznictwo sądów, Trybunału Konstytucyjnego lub Trybunału Sprawiedliwości Unii Europejskiej. Zgodnie z tym przepisem nieprawidłowość interpretacji uzasadniająca jej zmianę wystąpi wówczas, gdy przyjęte w niej wyjaśnienie przepisów prawa podatkowego nie znajduje dostatecznego uzasadnienia we wnioskach wypływających z poprawnej wykładni tego prawa</w:t>
      </w:r>
      <w:r w:rsidRPr="009A3C86">
        <w:rPr>
          <w:rFonts w:ascii="Times New Roman" w:eastAsia="Times New Roman" w:hAnsi="Times New Roman"/>
          <w:sz w:val="24"/>
          <w:szCs w:val="24"/>
          <w:vertAlign w:val="superscript"/>
        </w:rPr>
        <w:footnoteReference w:id="522"/>
      </w:r>
      <w:r w:rsidRPr="009A3C86">
        <w:rPr>
          <w:rFonts w:ascii="Times New Roman" w:eastAsia="Times New Roman" w:hAnsi="Times New Roman"/>
          <w:sz w:val="24"/>
          <w:szCs w:val="24"/>
        </w:rPr>
        <w:t>. Rozwiązanie to umożliwi zmianę zaskarżonej do sądu interpretacji indywidualnej do dnia rozpoczęcia w sprawie pierwszej rozprawy przed sądem administracyjnym. Z kolei uprawnienie do uchylenia wydanej interpretacji indywidualnej i umorzenia postępowania w sprawie wydania interpretacji indywidualnej dotyczy sytuacji, w której w dniu jej wydania istniały przesłanki do odmowy wszczęcia postępowania w sprawie wydania interpretacji indywidualnej (np. z wnioskiem wystąpił podmiot niebędący zainteresowanym w rozumieniu przepisów o interpretacjach indywidualnych lub wniosek nie dotyczył przepisów prawa podatkowego). Uprawnienia Dyrektora Krajowej Informacji Skarbowej w tym zakresie wynikają z kompetencji do prowadzenia spraw dotyczących interpretacji indywidualnych przepisów prawa podatkowego</w:t>
      </w:r>
      <w:r w:rsidRPr="009A3C86">
        <w:rPr>
          <w:rFonts w:ascii="Times New Roman" w:eastAsia="Times New Roman" w:hAnsi="Times New Roman"/>
          <w:sz w:val="24"/>
          <w:szCs w:val="24"/>
          <w:vertAlign w:val="superscript"/>
        </w:rPr>
        <w:footnoteReference w:id="523"/>
      </w:r>
      <w:r w:rsidRPr="009A3C86">
        <w:rPr>
          <w:rFonts w:ascii="Times New Roman" w:eastAsia="Times New Roman" w:hAnsi="Times New Roman"/>
          <w:sz w:val="24"/>
          <w:szCs w:val="24"/>
        </w:rPr>
        <w:t xml:space="preserve">. Uprawnienia te obejmują zmianę interpretacji indywidualnej na etapie rozpatrywania wezwania do usunięcia naruszenia prawa i są związane z trybem sądowej </w:t>
      </w:r>
      <w:r w:rsidRPr="009A3C86">
        <w:rPr>
          <w:rFonts w:ascii="Times New Roman" w:eastAsia="Times New Roman" w:hAnsi="Times New Roman"/>
          <w:sz w:val="24"/>
          <w:szCs w:val="24"/>
        </w:rPr>
        <w:lastRenderedPageBreak/>
        <w:t>kontroli interpretacji indywidualnych. Również uprawnienie do stwierdzenia wygaśnięcia interpretacji indywidualnej - w sytuacji jej niezgodności z aktualną interpretacją ogólną wydaną w takim samym stanie prawnym - procedura ta znajdzie zastosowanie do interpretacji indywidualnych wydanych przed dniem opublikowania interpretacji ogólnej. Z kolei uprawnienie do uchylenia wydanej interpretacji indywidualnej dotyczy wydania interpretacji, pomimo że w sprawie istniały podstawy do odmowy jej wydania (art. 5</w:t>
      </w:r>
      <w:r w:rsidR="00A8042D" w:rsidRPr="009A3C86">
        <w:rPr>
          <w:rFonts w:ascii="Times New Roman" w:eastAsia="Times New Roman" w:hAnsi="Times New Roman"/>
          <w:sz w:val="24"/>
          <w:szCs w:val="24"/>
        </w:rPr>
        <w:t>58</w:t>
      </w:r>
      <w:r w:rsidRPr="009A3C86">
        <w:rPr>
          <w:rFonts w:ascii="Times New Roman" w:eastAsia="Times New Roman" w:hAnsi="Times New Roman"/>
          <w:sz w:val="24"/>
          <w:szCs w:val="24"/>
        </w:rPr>
        <w:t xml:space="preserve"> § </w:t>
      </w:r>
      <w:r w:rsidR="008315B1" w:rsidRPr="009A3C86">
        <w:rPr>
          <w:rFonts w:ascii="Times New Roman" w:eastAsia="Times New Roman" w:hAnsi="Times New Roman"/>
          <w:sz w:val="24"/>
          <w:szCs w:val="24"/>
        </w:rPr>
        <w:t>9</w:t>
      </w:r>
      <w:r w:rsidRPr="009A3C86">
        <w:rPr>
          <w:rFonts w:ascii="Times New Roman" w:eastAsia="Times New Roman" w:hAnsi="Times New Roman"/>
          <w:sz w:val="24"/>
          <w:szCs w:val="24"/>
        </w:rPr>
        <w:t>). W takiej sytuacji Dyrektor Krajowej Informacji Skarbowej powinien w drodze postanowienia uchylić wydaną interpretację indywidualną z jednoczesnym stwierdzeniem, że do zdarzenia opisanego we wniosku zastosowanie znajduje interpretacja ogólna oraz stwierdzeniem bezprzedmiotowości wniosku. Na postanowienie, w którym wskazana będzie konkretna interpretacja ogólna mająca zastosowanie w sprawie wraz z miejscem jej publikacji, będzie służyło zażalenie, a następnie skarga do sądu administracyjnego. Ponadto organ ten uprawniony będzie do zmiany postanowienia, o którym mowa w art. 5</w:t>
      </w:r>
      <w:r w:rsidR="00A8042D" w:rsidRPr="009A3C86">
        <w:rPr>
          <w:rFonts w:ascii="Times New Roman" w:eastAsia="Times New Roman" w:hAnsi="Times New Roman"/>
          <w:sz w:val="24"/>
          <w:szCs w:val="24"/>
        </w:rPr>
        <w:t>58</w:t>
      </w:r>
      <w:r w:rsidRPr="009A3C86">
        <w:rPr>
          <w:rFonts w:ascii="Times New Roman" w:eastAsia="Times New Roman" w:hAnsi="Times New Roman"/>
          <w:sz w:val="24"/>
          <w:szCs w:val="24"/>
        </w:rPr>
        <w:t xml:space="preserve"> § </w:t>
      </w:r>
      <w:r w:rsidR="008315B1" w:rsidRPr="009A3C86">
        <w:rPr>
          <w:rFonts w:ascii="Times New Roman" w:eastAsia="Times New Roman" w:hAnsi="Times New Roman"/>
          <w:sz w:val="24"/>
          <w:szCs w:val="24"/>
        </w:rPr>
        <w:t>9</w:t>
      </w:r>
      <w:r w:rsidRPr="009A3C86">
        <w:rPr>
          <w:rFonts w:ascii="Times New Roman" w:eastAsia="Times New Roman" w:hAnsi="Times New Roman"/>
          <w:sz w:val="24"/>
          <w:szCs w:val="24"/>
        </w:rPr>
        <w:t>, w sytuacji zmiany interpretacji ogólnej wskazanej w tym postanowieniu, uchylenia tego postanowienia, jeżeli przedstawiony we wniosku stan faktyczny lub zdarzenie przyszłe nie odpowiada zagadnieniu będącemu przedmiotem wskazanej w nim interpretacji ogólnej. W takim przypadku po uchyleniu postanowienia wydawana będzie przez organ upoważniony interpretacja indywidualna.</w:t>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20. 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70</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uregulowano zasadę, w myśl której zmiana interpretacji indywidualnej następuje tylko w odniesieniu do opisanego we wniosku stanu faktycznego lub zdarzenia przyszłego, który został przedstawiony we wniosku, na podstawie którego wydana została zmieniana interpretacja. Rozwiązanie to usuwa pojawiające się wątpliwości w zakresie możliwości uzupełniania stanu faktycznego na etapie zmiany interpretacji indywidualnej, co w istocie zmieniałoby przedmiot sprawy. W </w:t>
      </w:r>
      <w:r w:rsidRPr="009A3C86">
        <w:rPr>
          <w:rFonts w:ascii="Times New Roman" w:eastAsia="Times New Roman" w:hAnsi="Times New Roman"/>
          <w:b/>
          <w:sz w:val="24"/>
          <w:szCs w:val="24"/>
        </w:rPr>
        <w:t>§ 2 art.</w:t>
      </w:r>
      <w:r w:rsidRPr="009A3C86">
        <w:rPr>
          <w:rFonts w:ascii="Times New Roman" w:eastAsia="Times New Roman" w:hAnsi="Times New Roman"/>
          <w:sz w:val="24"/>
          <w:szCs w:val="24"/>
        </w:rPr>
        <w:t xml:space="preserve"> </w:t>
      </w:r>
      <w:r w:rsidRPr="009A3C86">
        <w:rPr>
          <w:rFonts w:ascii="Times New Roman" w:eastAsia="Times New Roman" w:hAnsi="Times New Roman"/>
          <w:b/>
          <w:sz w:val="24"/>
          <w:szCs w:val="24"/>
        </w:rPr>
        <w:t>5</w:t>
      </w:r>
      <w:r w:rsidR="00A8042D" w:rsidRPr="009A3C86">
        <w:rPr>
          <w:rFonts w:ascii="Times New Roman" w:eastAsia="Times New Roman" w:hAnsi="Times New Roman"/>
          <w:b/>
          <w:sz w:val="24"/>
          <w:szCs w:val="24"/>
        </w:rPr>
        <w:t>70</w:t>
      </w:r>
      <w:r w:rsidRPr="009A3C86">
        <w:rPr>
          <w:rFonts w:ascii="Times New Roman" w:eastAsia="Times New Roman" w:hAnsi="Times New Roman"/>
          <w:sz w:val="24"/>
          <w:szCs w:val="24"/>
        </w:rPr>
        <w:t xml:space="preserve"> uregulowano formę aktu administracyjnego w sprawie uchylenia interpretacji - w tym przypadku wydawane będzie postanowienie, na które będzie służyło zażalenie, a w dalszej kolejności skarga do sądu administracyjnego. W przepisie tym uregulowano także, że w sprawie stwierdzenia wygaśnięcia interpretacji indywidualnej stojącej w sprzeczności z interpretacją ogólną, organ również powinien wydać postanowienie, na które będzie służyło zażalenie, a w dalszej kolejności skarga do sądu administracyjnego. Analogicznie zmiana postanowienia lub jego uchylenie będzie dokonywane także w formie postanowienia.</w:t>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70</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uregulowano zasady doręczenia zmiany, uchylenia lub stwierdzenia wygaśnięcia interpretacji indywidualnej oraz zmiany lub uchylenia postanowienia, o którym mowa w art. 5</w:t>
      </w:r>
      <w:r w:rsidR="00DD5F3E" w:rsidRPr="009A3C86">
        <w:rPr>
          <w:rFonts w:ascii="Times New Roman" w:eastAsia="Times New Roman" w:hAnsi="Times New Roman"/>
          <w:sz w:val="24"/>
          <w:szCs w:val="24"/>
        </w:rPr>
        <w:t>49</w:t>
      </w:r>
      <w:r w:rsidRPr="009A3C86">
        <w:rPr>
          <w:rFonts w:ascii="Times New Roman" w:eastAsia="Times New Roman" w:hAnsi="Times New Roman"/>
          <w:sz w:val="24"/>
          <w:szCs w:val="24"/>
        </w:rPr>
        <w:t xml:space="preserve"> § 7, poprzez jednoznaczne wskazanie, że doręczanie następuje podmiotowi, któremu w danej sprawie została wydana interpretacja lub postanowienie albo jego następcy </w:t>
      </w:r>
      <w:r w:rsidRPr="009A3C86">
        <w:rPr>
          <w:rFonts w:ascii="Times New Roman" w:eastAsia="Times New Roman" w:hAnsi="Times New Roman"/>
          <w:sz w:val="24"/>
          <w:szCs w:val="24"/>
        </w:rPr>
        <w:lastRenderedPageBreak/>
        <w:t xml:space="preserve">prawnemu.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70</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xml:space="preserve"> zawiera regulację, w myśl której organ, stwierdzając wygaśnięcie interpretacji indywidualnej, będzie wskazywać w postanowieniu interpretację ogólną, w oparciu o którą stwierdził nieaktualność stanowiska przedstawionego w interpretacji indywidualnej oraz miejsce publikacji tej interpretacji ogólnej. W razie stwierdzenia wygaśnięcia interpretacji zastosowanie będą miały odpowiednio wszystkie zasady ochrony jak w przypadku zmiany interpretacji.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21. W </w:t>
      </w:r>
      <w:r w:rsidRPr="009A3C86">
        <w:rPr>
          <w:rFonts w:ascii="Times New Roman" w:eastAsia="Times New Roman" w:hAnsi="Times New Roman"/>
          <w:b/>
          <w:sz w:val="24"/>
          <w:szCs w:val="24"/>
        </w:rPr>
        <w:t>art. 5</w:t>
      </w:r>
      <w:r w:rsidR="00C12A89" w:rsidRPr="009A3C86">
        <w:rPr>
          <w:rFonts w:ascii="Times New Roman" w:eastAsia="Times New Roman" w:hAnsi="Times New Roman"/>
          <w:b/>
          <w:sz w:val="24"/>
          <w:szCs w:val="24"/>
        </w:rPr>
        <w:t>71</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uregulowano obowiązek wnoszenia opłaty od wniosku o wydanie indywidualnej interpretacji, jej wysokość, warunki jej zwrotu. Utrzymano dotychczasową podstawową wysokość opłaty (art. </w:t>
      </w:r>
      <w:smartTag w:uri="urn:schemas-microsoft-com:office:smarttags" w:element="metricconverter">
        <w:smartTagPr>
          <w:attr w:name="ProductID" w:val="14f"/>
        </w:smartTagPr>
        <w:r w:rsidRPr="009A3C86">
          <w:rPr>
            <w:rFonts w:ascii="Times New Roman" w:eastAsia="Times New Roman" w:hAnsi="Times New Roman"/>
            <w:sz w:val="24"/>
            <w:szCs w:val="24"/>
          </w:rPr>
          <w:t>14f</w:t>
        </w:r>
      </w:smartTag>
      <w:r w:rsidRPr="009A3C86">
        <w:rPr>
          <w:rFonts w:ascii="Times New Roman" w:eastAsia="Times New Roman" w:hAnsi="Times New Roman"/>
          <w:sz w:val="24"/>
          <w:szCs w:val="24"/>
        </w:rPr>
        <w:t xml:space="preserve"> § 4</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o.p.). W dalszym ciągu wniosek o wydanie interpretacji indywidualnej podlega opłacie w wysokości 40 zł, którą należy wpłacić w terminie 7 dni od dnia złożenia wniosku. Również, tak jak dotychczas, uregulowana w </w:t>
      </w:r>
      <w:r w:rsidRPr="009A3C86">
        <w:rPr>
          <w:rFonts w:ascii="Times New Roman" w:eastAsia="Times New Roman" w:hAnsi="Times New Roman"/>
          <w:b/>
          <w:sz w:val="24"/>
          <w:szCs w:val="24"/>
        </w:rPr>
        <w:t>art. 5</w:t>
      </w:r>
      <w:r w:rsidR="00A8042D" w:rsidRPr="009A3C86">
        <w:rPr>
          <w:rFonts w:ascii="Times New Roman" w:eastAsia="Times New Roman" w:hAnsi="Times New Roman"/>
          <w:b/>
          <w:sz w:val="24"/>
          <w:szCs w:val="24"/>
        </w:rPr>
        <w:t>71</w:t>
      </w:r>
      <w:r w:rsidRPr="009A3C86">
        <w:rPr>
          <w:rFonts w:ascii="Times New Roman" w:eastAsia="Times New Roman" w:hAnsi="Times New Roman"/>
          <w:b/>
          <w:sz w:val="24"/>
          <w:szCs w:val="24"/>
        </w:rPr>
        <w:t xml:space="preserve"> § 2 </w:t>
      </w:r>
      <w:r w:rsidRPr="009A3C86">
        <w:rPr>
          <w:rFonts w:ascii="Times New Roman" w:eastAsia="Times New Roman" w:hAnsi="Times New Roman"/>
          <w:sz w:val="24"/>
          <w:szCs w:val="24"/>
        </w:rPr>
        <w:t>opłata za wspólny wniosek będzie stanowiła iloczyn kwoty opłaty od zwykłego wniosku, tj. 40 zł razy liczba wnioskodawców składających wspólny wniosek. Przyjęcie takiego rozwiązania uzasadnione jest tym, że w przypadku, gdyby każdy z wnioskodawców nie złożył wspólnego wniosku, tylko zwykły, wówczas każdy z nich ponosiłby opłatę w wysokości 40 zł, chyba że wystąpią okoliczności, o których mowa w § 5.</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22. Wysokość opłaty od wniosku o wydanie interpretacji indywidualnej budziła wątpliwości. Początkowo opłata za wydanie indywidualnych interpretacji wynosiła 75 zł, jednakże zgodnie z ustawą z dnia 10 lipca 2008 r. o zmianie ustawy o swobodzie działalności gospodarczej oraz o zmianie niektórych innych ustaw (Dz. U. poz. 888) wynosi 40 zł. Minister Finansów, po analizie kosztów wydania interpretacji, zaproponował ich zróżnicowanie w zależności od rodzaju przedsiębiorcy, który o interpretację występuje. I tak opłata za jeden stan faktyczny wynosi 40 zł,</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71</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wprowadzono kryteria, którymi składający wniosek o interpretację indywidualną powinien kierować się w celu ustalenia zasadności uiszczenia opłaty od wniosku w wysokości 2 000 zł. W dalszym ciągu wniosek o wydanie interpretacji indywidualnej podlega opłacie w wysokości 40 zł, którą należy wpłacić w terminie 7 dni od dnia złożenia wniosku. Jedynie w określonych sytuacjach, wymienionych w projektowanym art. 56</w:t>
      </w:r>
      <w:r w:rsidR="001637B2" w:rsidRPr="009A3C86">
        <w:rPr>
          <w:rFonts w:ascii="Times New Roman" w:eastAsia="Times New Roman" w:hAnsi="Times New Roman"/>
          <w:sz w:val="24"/>
          <w:szCs w:val="24"/>
        </w:rPr>
        <w:t>2</w:t>
      </w:r>
      <w:r w:rsidRPr="009A3C86">
        <w:rPr>
          <w:rFonts w:ascii="Times New Roman" w:eastAsia="Times New Roman" w:hAnsi="Times New Roman"/>
          <w:sz w:val="24"/>
          <w:szCs w:val="24"/>
        </w:rPr>
        <w:t xml:space="preserve"> § 3, opłata od wniosku za wydanie interpretacji indywidulanej będzie wynosić 2 000 zł.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Proponowane rozwiązanie ma stanowić gwarancję żądania podwyższonej opłaty wyłącznie w sytuacjach wskazanych w tym przepisie. To wnioskujący o wydanie interpretacji indywidulanej będzie określał, czy w jego przypadku ma zastosowanie wyższa opłata, w zależności od wartości korzyści podatkowej powstałej w wyniku dokonania opisanych zdarzeń gospodarczych lub przedmiotu jego zapytania.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Wartość graniczna korzyści podatkowej 500 000 zł, przekroczenie której powoduje poniesienie opłaty w wysokości 2 000 zł, odpowiada przykładowo zapytaniu o możliwość zaliczenia w danym okresie rozliczeniowym do kosztów uzyskania przychodów wydatku w wysokości ponad 2,5 mln zł. Złożenie wniosku o wydanie interpretacji indywidualnej, który wiąże się z powstaniem korzyści podatkowej przekraczającej wskazaną kwotę wymaga od organu interpretującego przeprowadzenia wnikliwej analizy przepisów i orzecznictwa, której wynik może dać podatnikowi ochronę, o jaką zabiega w drodze interpretacji indywidulanej. Przy wydatku rzędu 2,5 mln zł, opłata za wniosek stanowi mniej niż 0,1% tej kwoty.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Obowiązek uiszczenia wyższej opłaty od wniosku będzie powiązany z występowaniem w opisanym stanie faktycznym lub zdarzeniu przyszłym takich cech i okoliczności działania podatnika, które służą ocenie, czy ten sposób działania jest sztuczny, a więc ich analiza może być konieczna w związku z przypuszczeniem unikania opodatkowania. Tego typu sytuacje wymagają bowiem znacznie większego nakładu pracy po stronie organów interpretacyjnych oraz Szefa KAS (w przypadku zwrócenia się o jego opinię).</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Ponadto, obowiązek uiszczenia wyższej opłaty od wniosku wystąpi, gdy przedmiotem zapytania będą transakcje zawierane między podmiotami powiązanymi, których przedmiotem będzie transfer istotnych składników majątku, w powiązaniu z przeniesieniem istotnych ekonomicznie funkcji, aktywów lub ryzyk oraz, gdy przedmiot zapytania będzie wymagał interpretacji postanowień ratyfikowanych przez Rzeczpospolitą Polską umów o unikaniu podwójnego opodatkowania, innych ratyfikowanych umów międzynarodowych, których stroną jest Rzeczpospolita Polska lub przepisów prawa Unii Europejskiej. Specyfika tego typu transakcji oraz konieczność sięgania do przepisów wykraczających poza krajowe uregulowania również wiążą się z koniecznością zdecydowanie większego nakładu pracy niż w przypadku bardziej standardowych zagadnień.</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sytuacji odstąpienia od uzasadnienia prawnego oceny stanowiska wnioskodawcy, z uwagi na prawidłowość jego stanowiska w pełnym zakresie, opłata od wniosku za wydanie interpretacji indywidualnej wyniesie 40 zł. Nie wydaje się bowiem zasadne pobieranie wyższej opłaty w sytuacji, gdy uzasadnienie prawne przedstawione przez wnioskodawcę jest w pełni podzielone przez organ interpretacyjny.</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71</w:t>
      </w:r>
      <w:r w:rsidRPr="009A3C86">
        <w:rPr>
          <w:rFonts w:ascii="Times New Roman" w:eastAsia="Times New Roman" w:hAnsi="Times New Roman"/>
          <w:b/>
          <w:sz w:val="24"/>
          <w:szCs w:val="24"/>
        </w:rPr>
        <w:t xml:space="preserve"> § </w:t>
      </w:r>
      <w:r w:rsidR="0020039E" w:rsidRPr="009A3C86">
        <w:rPr>
          <w:rFonts w:ascii="Times New Roman" w:eastAsia="Times New Roman" w:hAnsi="Times New Roman"/>
          <w:b/>
          <w:sz w:val="24"/>
          <w:szCs w:val="24"/>
        </w:rPr>
        <w:t xml:space="preserve">7 </w:t>
      </w:r>
      <w:r w:rsidRPr="009A3C86">
        <w:rPr>
          <w:rFonts w:ascii="Times New Roman" w:eastAsia="Times New Roman" w:hAnsi="Times New Roman"/>
          <w:b/>
          <w:sz w:val="24"/>
          <w:szCs w:val="24"/>
        </w:rPr>
        <w:t xml:space="preserve">i </w:t>
      </w:r>
      <w:r w:rsidR="0020039E" w:rsidRPr="009A3C86">
        <w:rPr>
          <w:rFonts w:ascii="Times New Roman" w:eastAsia="Times New Roman" w:hAnsi="Times New Roman"/>
          <w:b/>
          <w:sz w:val="24"/>
          <w:szCs w:val="24"/>
        </w:rPr>
        <w:t>8</w:t>
      </w:r>
      <w:r w:rsidR="0020039E"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uregulowano zwrot nienależnie uiszczonej opłaty. Dotyczy to przede wszystkim wycofania w całości lub w części wniosku o wydanie interpretacji. Przewidziano również uiszczenie opłaty przez wnioskodawcę w nadmiernej wysokości. Taka sytuacja może mieć miejsce w szczególności wobec obowiązku obliczenia liczby odrębnych stanów faktycznych i zdarzeń przyszłych, od których zależy wysokość opłaty. W takich sytuacjach </w:t>
      </w:r>
      <w:r w:rsidRPr="009A3C86">
        <w:rPr>
          <w:rFonts w:ascii="Times New Roman" w:eastAsia="Times New Roman" w:hAnsi="Times New Roman"/>
          <w:sz w:val="24"/>
          <w:szCs w:val="24"/>
        </w:rPr>
        <w:lastRenderedPageBreak/>
        <w:t>opłata jest zwracana w terminie 7 dni od dnia zakończenia postępowania w sprawie wydania interpretacji.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w:t>
      </w:r>
      <w:r w:rsidRPr="009A3C86">
        <w:rPr>
          <w:rFonts w:ascii="Times New Roman" w:eastAsia="Times New Roman" w:hAnsi="Times New Roman"/>
          <w:b/>
          <w:sz w:val="24"/>
          <w:szCs w:val="24"/>
        </w:rPr>
        <w:t>art. 5</w:t>
      </w:r>
      <w:r w:rsidR="00894977" w:rsidRPr="009A3C86">
        <w:rPr>
          <w:rFonts w:ascii="Times New Roman" w:eastAsia="Times New Roman" w:hAnsi="Times New Roman"/>
          <w:b/>
          <w:sz w:val="24"/>
          <w:szCs w:val="24"/>
        </w:rPr>
        <w:t>45</w:t>
      </w:r>
      <w:r w:rsidRPr="009A3C86">
        <w:rPr>
          <w:rFonts w:ascii="Times New Roman" w:eastAsia="Times New Roman" w:hAnsi="Times New Roman"/>
          <w:b/>
          <w:sz w:val="24"/>
          <w:szCs w:val="24"/>
        </w:rPr>
        <w:t xml:space="preserve"> § </w:t>
      </w:r>
      <w:r w:rsidR="00894977" w:rsidRPr="009A3C86">
        <w:rPr>
          <w:rFonts w:ascii="Times New Roman" w:eastAsia="Times New Roman" w:hAnsi="Times New Roman"/>
          <w:b/>
          <w:sz w:val="24"/>
          <w:szCs w:val="24"/>
        </w:rPr>
        <w:t>4</w:t>
      </w:r>
      <w:r w:rsidR="0020039E"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opłata stanowi dochód budżetu państwa (można ją uznać za niepodatkową należność budżetową).</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23.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72</w:t>
      </w:r>
      <w:r w:rsidRPr="009A3C86">
        <w:rPr>
          <w:rFonts w:ascii="Times New Roman" w:eastAsia="Times New Roman" w:hAnsi="Times New Roman"/>
          <w:sz w:val="24"/>
          <w:szCs w:val="24"/>
        </w:rPr>
        <w:t xml:space="preserve">, podobnie jak w treści art. 14h o.p., zaproponowano, że w sprawach dotyczących interpretacji mają odpowiednie zastosowanie wymienione przepisy ustawy. Przyjęcie takiej konstrukcji, tj. zastosowania wymienionych w tym przepisie uregulowań do spraw dotyczących interpretacji, przesądza o możliwości stosowania wymienionych przepisów przez organy uprawnione do wydawania indywidualnych interpretacji. Odpowiednie stosowanie przepisów polega na uwzględnieniu pewnych odmienności i specyfiki instytucji lub rozwiązania prawnego, do których mają być stosowane przepisy. Nie sformułowano dla tych sytuacji odrębnych przepisów, lecz odesłano do przepisów już obowiązujących, uważając, że mogą być one stosowane także do określonych instytucji lub rozwiązań prawnych, tyle że stosowane odpowiednio z uwzględnieniem specyfiki postępowania w sprawie wydania na wniosek zainteresowanego indywidualnej interpretacji przepisów prawa podatkowego.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Podobnie jak w przypadku interpretacji ogólnych zrezygnowano z odesłania do przepisów o karach porządkowych (rozdział 23 w dziale III).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Analogicznie jak obecnie (art. 14h o.p.), w sprawach dotyczących interpretacji indywidualnej wyłączono stosowanie zasady prawdy obiektywnej oraz nowowprowadzanej zasady rozstrzygania wątpliwości co do stanu faktycznego na korzyść zobowiązanego (art. 23). Takie wyłączenie jest konieczne z tego względu, że składający wniosek o wydanie interpretacji indywidualnej obowiązany jest do wyczerpującego przedstawienia zaistniałego stanu faktycznego albo zdarzenia przyszłego.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24. Wydane interpretacje indywidualne podlegają doręczeniu przede wszystkim wnioskodawcy.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73</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podobnie jak w dotychczasowym art. 14i o.p., ustanowiono przekazanie ich także organom podatkowym, właściwym rzeczowo i miejscowo ze względu na zakres spraw będących przedmiotem interpretacji. Zakłada się bowiem, że wnioskodawca zechce zrobić użytek z uzyskanej interpretacji indywidualnej w ten sposób, że zastosuje się do niej w konkretnym stanie faktycznym lub zdarzeniu przyszłym, opisanym i ocenionym we wniosku oraz stanowisku uznanym przez organ wydający interpretację indywidualną za prawidłowe. Przekazaniu podlega zarówno wydana interpretacja indywidualna, jak i załączona do niej informacja o dacie doręczenia jej wnioskodawcy. Jeżeli wnioskodawca powoła się przed właściwymi organami podatkowymi na wydaną interpretację, z której chce skorzystać w konkretnej sprawie, to wówczas organy dysponujące przekazaną im interpretacją będą mogły </w:t>
      </w:r>
      <w:r w:rsidRPr="009A3C86">
        <w:rPr>
          <w:rFonts w:ascii="Times New Roman" w:eastAsia="Times New Roman" w:hAnsi="Times New Roman"/>
          <w:sz w:val="24"/>
          <w:szCs w:val="24"/>
        </w:rPr>
        <w:lastRenderedPageBreak/>
        <w:t xml:space="preserve">ustalić, czy w sprawie tej występuje tożsamy stan faktyczny lub zdarzenie przyszłe z tym, które zawiera interpretacja. Odpowiednio do rezultatów podjętych ustaleń i ocen nastąpi rozstrzygnięcie sprawy podatkowej podatnika powołującego się na pozyskaną wcześniej interpretację indywidualną.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25. Z kolei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73</w:t>
      </w:r>
      <w:r w:rsidRPr="009A3C86">
        <w:rPr>
          <w:rFonts w:ascii="Times New Roman" w:eastAsia="Times New Roman" w:hAnsi="Times New Roman"/>
          <w:b/>
          <w:sz w:val="24"/>
          <w:szCs w:val="24"/>
        </w:rPr>
        <w:t xml:space="preserve"> § 2–5</w:t>
      </w:r>
      <w:r w:rsidRPr="009A3C86">
        <w:rPr>
          <w:rFonts w:ascii="Times New Roman" w:eastAsia="Times New Roman" w:hAnsi="Times New Roman"/>
          <w:sz w:val="24"/>
          <w:szCs w:val="24"/>
        </w:rPr>
        <w:t xml:space="preserve"> uregulowano obowiązek publikacji interpretacji indywidualnych. Zgodnie z tymi rozwiązaniami interpretacje indywidualne podlegają zamieszczeniu w Biuletynie Informacji Publicznej na stronie podmiotowej urzędu obsługującego Dyrektora Krajowej Informacji Skarbowej. Warunkiem zamieszczenia w Biuletynie jest jednakże usunięcie danych identyfikujących wnioskodawcę oraz inne podmioty wskazane w treści interpretacji. Chodzi w szczególności o dane dotyczące imienia i nazwiska lub nazwy bądź firmy wnioskodawcy, jego adresu zamieszkania lub siedziby, a także adresu miejsca objętego stanem faktycznym lub zdarzeniem przyszłym, rodzaju wykonywanej działalności gospodarczej itp. W tym samym Biuletynie zamieszcza się informację o zmianie, uchyleniu oraz stwierdzeniu wygaśnięcia interpretacji indywidualnej oraz informacje o nieprawidłowych interpretacjach indywidualnych, które z powodu śmierci, likwidacji lub rozwiązania wnioskodawcy, dla którego interpretacja indywidualna została wydana, nie mogą zostać zmienione, uchylone lub nie można stwierdzić ich wygaśnięcia. W ten sposób zminimalizowano ryzyko powoływania się przez podatników na nieprawidłowe lub nieaktualne interpretacje przepisów prawa podatkowego (zachowując jednak tekst interpretacji wycofanej z obrotu prawnego). Dodatkowo interpretacje indywidualne, dotyczące podatków dla których właściwym organem podatkowym jest wójt, burmistrz (prezydent miasta), starosta lub marszałek województwa umieszcza się także w Biuletynie Informacji Publicznej na stronie podmiotowej urzędu obsługującego Dyrektora Krajowej Informacji Skarbowej. </w:t>
      </w:r>
    </w:p>
    <w:p w:rsidR="00045CB9" w:rsidRPr="009A3C86" w:rsidRDefault="00045CB9" w:rsidP="00D72E74">
      <w:pPr>
        <w:keepNext/>
        <w:keepLines/>
        <w:spacing w:before="120" w:after="0" w:line="360" w:lineRule="auto"/>
        <w:jc w:val="both"/>
        <w:outlineLvl w:val="3"/>
        <w:rPr>
          <w:rFonts w:ascii="Times New Roman" w:hAnsi="Times New Roman"/>
          <w:b/>
          <w:sz w:val="24"/>
          <w:szCs w:val="24"/>
        </w:rPr>
      </w:pPr>
      <w:bookmarkStart w:id="78" w:name="_Toc494363301"/>
      <w:r w:rsidRPr="009A3C86">
        <w:rPr>
          <w:rFonts w:ascii="Times New Roman" w:hAnsi="Times New Roman"/>
          <w:b/>
          <w:sz w:val="24"/>
          <w:szCs w:val="24"/>
        </w:rPr>
        <w:t>Oddział 4. Ochrona z tytułu zastosowania się do interpretacji ogólnych oraz interpretacji indywidualnych</w:t>
      </w:r>
      <w:bookmarkEnd w:id="78"/>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Wydanie interpretacji załatwia tylko daną sprawę interpretacyjną, polegającą na udzieleniu informacji o stosowaniu i wykładni prawa podatkowego, co samoistnie nie oddziałuje bezpośrednio na prawa i obowiązki zainteresowanego uzyskaniem interpretacji. Interpretacja przepisów prawa podatkowego zaczyna działać w obszarze praw i obowiązków podmiotu materialnego prawa podatkowego, kiedy i jeżeli ten do niej się zastosuje, natomiast zastosowanie się do interpretacji nie jest składnikiem ich treści oraz wydawania i nie jest obowiązkiem zainteresowanego. Pismo uprawnionego organu podatkowego, stanowiącego w </w:t>
      </w:r>
      <w:r w:rsidRPr="009A3C86">
        <w:rPr>
          <w:rFonts w:ascii="Times New Roman" w:eastAsia="Times New Roman" w:hAnsi="Times New Roman"/>
          <w:sz w:val="24"/>
          <w:szCs w:val="24"/>
        </w:rPr>
        <w:lastRenderedPageBreak/>
        <w:t>rozważanym kontekście organ interpretacyjny, zawiera tylko informację o stosowaniu i wykładni prawa podatkowego, nie zaś rozstrzygnięcie o jego stosowaniu.</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Złożenie wniosku o wydanie indywidualnej interpretacji przez podmiot zainteresowany co do zasady powoduje powstanie wyłącznie stosunku procesowego. O zaistnieniu stosunku o charakterze materialnym można natomiast mówić dopiero w przypadku zastosowania się przez zainteresowanego do interpretacji indywidualnej. W takiej bowiem sytuacji pojawiają się wzajemne prawa i obowiązki organu podatkowego oraz adresata indywidualnej interpretacji, uregulowane w przepisach omawianego oddziału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74</w:t>
      </w:r>
      <w:r w:rsidRPr="009A3C86">
        <w:rPr>
          <w:rFonts w:ascii="Times New Roman" w:eastAsia="Times New Roman" w:hAnsi="Times New Roman"/>
          <w:b/>
          <w:sz w:val="24"/>
          <w:szCs w:val="24"/>
        </w:rPr>
        <w:t>-5</w:t>
      </w:r>
      <w:r w:rsidR="0079675F" w:rsidRPr="009A3C86">
        <w:rPr>
          <w:rFonts w:ascii="Times New Roman" w:eastAsia="Times New Roman" w:hAnsi="Times New Roman"/>
          <w:b/>
          <w:sz w:val="24"/>
          <w:szCs w:val="24"/>
        </w:rPr>
        <w:t>80</w:t>
      </w:r>
      <w:r w:rsidRPr="009A3C86">
        <w:rPr>
          <w:rFonts w:ascii="Times New Roman" w:eastAsia="Times New Roman" w:hAnsi="Times New Roman"/>
          <w:sz w:val="24"/>
          <w:szCs w:val="24"/>
        </w:rPr>
        <w:t>). Analizę obowiązujących aktualnie regulacji prawnych dotyczących pisemnych interpretacji przepisów prawa podatkowego przeprowadził w swoim orzecznictwie Naczelny Sąd Administracyjny</w:t>
      </w:r>
      <w:r w:rsidRPr="009A3C86">
        <w:rPr>
          <w:rFonts w:ascii="Times New Roman" w:eastAsia="Times New Roman" w:hAnsi="Times New Roman"/>
          <w:sz w:val="24"/>
          <w:szCs w:val="24"/>
          <w:vertAlign w:val="superscript"/>
        </w:rPr>
        <w:footnoteReference w:id="524"/>
      </w:r>
      <w:r w:rsidRPr="009A3C86">
        <w:rPr>
          <w:rFonts w:ascii="Times New Roman" w:eastAsia="Times New Roman" w:hAnsi="Times New Roman"/>
          <w:sz w:val="24"/>
          <w:szCs w:val="24"/>
        </w:rPr>
        <w:t>. W uzasadnieniu uchwały z dnia 7 lipca 2014 r., II FPS 1/14, NSA wyjaśnił, że indywidualna interpretacja przepisów prawa podatkowego to forma zewnętrznego, jednostronnego działania administracji podatkowej, jak również czynność uprawnionych organów wykonujących administrację publiczną, która nie ma charakteru władczego rozstrzygnięcia i nie stanowi załatwienia sprawy w zakresie realizacji praw i obowiązków podatkowych zainteresowanego. Należy szczególnie podkreślić, że zastosowanie się podmiotu prawa do treści wydanej interpretacji, a nie jej udzielenie i wydanie, tworzy związaną z nią ochronę prawną. Jest to działanie niewładcze, informujące o obowiązującym prawie, a mówiąc ściślej, o uzasadnionych możliwościach jego stosowania, które prowadzić ma do jednolitości stosowania oraz do przestrzegania prawa podatkowego, przekonując do tego i przedstawiając w tym zakresie określone propozycje. Z kolei w uzasadnieniu wyroku Trybunału Konstytucyjnego z dnia 25 września 2014 r., K 49/12</w:t>
      </w:r>
      <w:r w:rsidRPr="009A3C86">
        <w:rPr>
          <w:rFonts w:ascii="Times New Roman" w:eastAsia="Times New Roman" w:hAnsi="Times New Roman"/>
          <w:sz w:val="24"/>
          <w:szCs w:val="24"/>
          <w:vertAlign w:val="superscript"/>
        </w:rPr>
        <w:footnoteReference w:id="525"/>
      </w:r>
      <w:r w:rsidRPr="009A3C86">
        <w:rPr>
          <w:rFonts w:ascii="Times New Roman" w:eastAsia="Times New Roman" w:hAnsi="Times New Roman"/>
          <w:sz w:val="24"/>
          <w:szCs w:val="24"/>
        </w:rPr>
        <w:t xml:space="preserve">, oceniając charakter prawny interpretacji, stwierdzono, że interpretacje indywidualne prawa podatkowego nie kształtują same przez się w sposób władczy praw ani obowiązków podatnika i nie determinują jego sytuacji prawnej. Stanowią jedynie swoisty „drogowskaz” czy też „deklarację poglądów” aparatu fiskalnego na przedstawione zagadnienie prawne i dopiero późniejsze autonomiczne decyzje podatnika (płatnika, inkasenta) mogą rodzić określone skutki. Konsekwencją udzielenia informacji podatkowej nie jest w </w:t>
      </w:r>
      <w:r w:rsidRPr="009A3C86">
        <w:rPr>
          <w:rFonts w:ascii="Times New Roman" w:eastAsia="Times New Roman" w:hAnsi="Times New Roman"/>
          <w:sz w:val="24"/>
          <w:szCs w:val="24"/>
        </w:rPr>
        <w:lastRenderedPageBreak/>
        <w:t xml:space="preserve">żadnej mierze konkretyzacja przysługującego podatnikowi uprawnienia lub ciążącego na nim obowiązku, bo zarówno przedmiot opodatkowania, jak i zakres obowiązku podatkowego i moment jego powstania oraz stawki podatkowe określane są ustawami podatkowymi. Tym samym czynności organów podatkowych, polegające na informowaniu „o zakresie stosowania prawa”, nie mogą prowadzić ani do wykreowania bądź skonkretyzowania obowiązku, ani też do jego zniesienia bądź ograniczenia.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3. Specyfika wprowadzonych z dniem 1 lipca 2007 r. indywidualnych interpretacji przepisów prawa podatkowego jako aktu niewładczego działania administracji podatkowej wynika z przyjętego założenia, że mają one pełnić dwojakiego rodzaju funkcje, a mianowicie informacyjną oraz gwarancyjną</w:t>
      </w:r>
      <w:r w:rsidRPr="009A3C86">
        <w:rPr>
          <w:rFonts w:ascii="Times New Roman" w:eastAsia="Times New Roman" w:hAnsi="Times New Roman"/>
          <w:sz w:val="24"/>
          <w:szCs w:val="24"/>
          <w:vertAlign w:val="superscript"/>
        </w:rPr>
        <w:footnoteReference w:id="526"/>
      </w:r>
      <w:r w:rsidRPr="009A3C86">
        <w:rPr>
          <w:rFonts w:ascii="Times New Roman" w:eastAsia="Times New Roman" w:hAnsi="Times New Roman"/>
          <w:sz w:val="24"/>
          <w:szCs w:val="24"/>
        </w:rPr>
        <w:t>. Założenie to w zakresie funkcji informacyjnej zostało zrealizowane w art. 14b § 1 oraz art. 14c § 1 i 2 o.p. Natomiast funkcję gwarancyjną interpretacji indywidualnych zapewniono, wprowadzając przepisy o tzw. „nieszkodzeniu” podmiotowi, który zastosował się do wydanej interpretacji (art. 14k § 1 i 3, art. 14m oraz art. 14n</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o.p.). Ze swej istoty wydanie interpretacji indywidualnej powinno zatem oznaczać, że zainteresowany pozna poglądy organu podatkowego w zakresie rozumienia określonych przepisów prawa podatkowego na tle stanu faktycznego opisanego we wniosku, jak również to, że będzie miał realną możliwość powołania się na to stanowisko w razie ewentualnych sporów z organami podatkowymi. W interesie wnioskodawcy i w zgodzie z funkcjami interpretacji indywidualnej jest przedstawienie wyczerpującego i dokładnego opisu zaistniałych lub przyszłych zdarzeń w sposób, który je właściwie konkretyzuje. Bez niego mogłaby bowiem zostać zrealizowana wyłącznie funkcja informacyjna i to w znacznym uproszczeniu, a nie funkcja gwarancyjna interpretacji indywidualnej.</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Przedstawione funkcje informacyjna oraz gwarancyjna interpretacji podatkowych zostały co do zasady utrzymane w przepisach wyodrębnionego oddziału 4 ,,Ochrona z tytułu zastosowania się do interpretacji ogólnych oraz interpretacji indywidualnych’’.</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W </w:t>
      </w:r>
      <w:r w:rsidRPr="009A3C86">
        <w:rPr>
          <w:rFonts w:ascii="Times New Roman" w:eastAsia="Times New Roman" w:hAnsi="Times New Roman"/>
          <w:b/>
          <w:sz w:val="24"/>
          <w:szCs w:val="24"/>
        </w:rPr>
        <w:t xml:space="preserve">art. </w:t>
      </w:r>
      <w:r w:rsidR="00E94348" w:rsidRPr="009A3C86">
        <w:rPr>
          <w:rFonts w:ascii="Times New Roman" w:eastAsia="Times New Roman" w:hAnsi="Times New Roman"/>
          <w:b/>
          <w:sz w:val="24"/>
          <w:szCs w:val="24"/>
        </w:rPr>
        <w:t>5</w:t>
      </w:r>
      <w:r w:rsidR="0079675F" w:rsidRPr="009A3C86">
        <w:rPr>
          <w:rFonts w:ascii="Times New Roman" w:eastAsia="Times New Roman" w:hAnsi="Times New Roman"/>
          <w:b/>
          <w:sz w:val="24"/>
          <w:szCs w:val="24"/>
        </w:rPr>
        <w:t>74</w:t>
      </w:r>
      <w:r w:rsidR="00756515" w:rsidRPr="009A3C86">
        <w:rPr>
          <w:rFonts w:ascii="Times New Roman" w:eastAsia="Times New Roman" w:hAnsi="Times New Roman"/>
          <w:color w:val="FF0000"/>
          <w:sz w:val="24"/>
          <w:szCs w:val="24"/>
        </w:rPr>
        <w:t xml:space="preserve"> </w:t>
      </w:r>
      <w:r w:rsidRPr="009A3C86">
        <w:rPr>
          <w:rFonts w:ascii="Times New Roman" w:eastAsia="Times New Roman" w:hAnsi="Times New Roman"/>
          <w:sz w:val="24"/>
          <w:szCs w:val="24"/>
        </w:rPr>
        <w:t>(dotychczasowy art. 14k</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o.p.) uregulowano zasadę nieszkodzenia. Oznacza ona, iż podmiot, który zastosował się do interpretacji, nie może z tego tytułu ponosić negatywnych skutków prawnych. W omawianym przepisie zostały zawarte gwarancje dla zobowiązanego, że zastosowanie się przez niego do interpretacji ogólnej oraz indywidualnej (przed jej zmianą lub przed doręczeniem organowi podatkowemu prawomocnego orzeczenia sądu administracyjnego uchylającego interpretację indywidualną) nie może mu szkodzić. Zgodnie z </w:t>
      </w:r>
      <w:r w:rsidRPr="009A3C86">
        <w:rPr>
          <w:rFonts w:ascii="Times New Roman" w:eastAsia="Times New Roman" w:hAnsi="Times New Roman"/>
          <w:sz w:val="24"/>
          <w:szCs w:val="24"/>
        </w:rPr>
        <w:lastRenderedPageBreak/>
        <w:t xml:space="preserve">przyjętymi kryteriami oceny stosowania zasady nieszkodzenia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74</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określono skutki prawne zastosowania się do interpretacji ogólnej przed jej zmianą - stan faktyczny związany z interpretacją zaistniał przed opublikowaniem tej interpretacji. Z kolei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74</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określono skutki prawne zastosowania się do interpretacji indywidualnej przed jej zmianą, stwierdzeniem jej wygaśnięcia lub doręczeniem organowi podatkowemu odpisu prawomocnego orzeczenia sądu administracyjnego uchylającego interpretację indywidualną – stan faktyczny zaistniał przed doręczeniem interpretacji indywidualnej lub doręczeniem organowi podatkowemu odpisu prawomocnego orzeczenia sądu administracyjnego uchylającego interpretację indywidualną. Zgodnie z zasadą nieszkodzenia w tego rodzaju sprawach w zakresie związanym z zastosowaniem się do interpretacji, w stosunku do której stwierdzono jej wygaśnięcie, nie wszczyna się postępowania w sprawach o przestępstwo skarbowe lub wykroczenie skarbowe, a postępowanie wszczęte w tych sprawach umarza się oraz nie nalicza się odsetek za zwłokę i nie ustala się dodatkowego zobowiązania podatkowego w podatku od towarów i usług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74</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 wąski zakres zastosowania zasady nieszkodzenia). Okres ochrony liczy się od dnia opublikowania interpretacji ogólnej w Dzienniku Urzędowym ministra właściwego do spraw finansów publicznych do dnia publikacji interpretacji ogólnej zastępującej poprzednio opublikowaną interpretację. Natomiast w odniesieniu do interpretacji indywidualnych okres ochrony liczy się od dnia doręczenia interpretacji do dnia doręczenia wnioskodawcy nowej, zmienionej interpretacji. W przypadku uchylenia interpretacji indywidualnej przez sąd administracyjny okres ochrony trwa do dnia doręczenia organowi podatkowemu odpisu prawomocnego orzeczenia sądu uchylającego interpretację indywidualną. W sytuacjach objętych powyższymi przepisami, gdy podatnik podjął określone działania, a następnie wystąpił z wnioskiem o wydanie interpretacji indywidualnej i zastosował się do niej, nie może podlegać pełnej ochronie prawnej i oczekiwać zwolnienia z obowiązku zapłaty podatku. Interpretacja ta nie wpływała na działanie podatnika kształtujące stan faktyczny, skoro miał on miejsce przed otrzymaniem interpretacji indywidualnej. W takiej sytuacji podatnik nie może oczekiwać zwolnienia z obowiązku zapłaty podatku. Nie ma bowiem związku przyczynowo-skutkowego pomiędzy zastosowaniem się podatnika do interpretacji a obowiązkiem podatkowym oraz wynikającym z niego zobowiązaniem podatkowym. Zastosowanie się do interpretacji ma natomiast wpływ na samo wykonanie zobowiązania podatkowego, które pod wpływem interpretacji może być niewłaściwie zrealizowane. Przepis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75</w:t>
      </w:r>
      <w:r w:rsidRPr="009A3C86">
        <w:rPr>
          <w:rFonts w:ascii="Times New Roman" w:eastAsia="Times New Roman" w:hAnsi="Times New Roman"/>
          <w:sz w:val="24"/>
          <w:szCs w:val="24"/>
        </w:rPr>
        <w:t xml:space="preserve"> (dotychczasowy art. 14l o.p.) nie wiąże skutków podatkowych zastosowania się do interpretacji przed jej opublikowaniem (interpretacja ogólna) lub doręczeniem (interpretacja indywidualna), mimo iż przedmiot interpretacji obejmuje zdarzenie, któremu odpowiada stan faktyczny ujęty w </w:t>
      </w:r>
      <w:r w:rsidRPr="009A3C86">
        <w:rPr>
          <w:rFonts w:ascii="Times New Roman" w:eastAsia="Times New Roman" w:hAnsi="Times New Roman"/>
          <w:sz w:val="24"/>
          <w:szCs w:val="24"/>
        </w:rPr>
        <w:lastRenderedPageBreak/>
        <w:t xml:space="preserve">interpretacji. Dlatego też zastosowanie się do takiej interpretacji nie zwalnia z obowiązku zapłaty podatku, który powstał przed opublikowaniem lub doręczeniem interpretacji.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 każdym przypadku nieuwzględnienia interpretacji ogólnej  oraz interpretacji indywidualnej w rozstrzygnięciu sprawy podatkowej organ wydający decyzję zawiadamia w terminie 14 dni od wydania decyzji Szefa Krajowej Administracji Skarbowej lub ministra właściwego do spraw finansów publicznych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74</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Z kolei zasada nieszkodzenia w szerszym zakresie ukształtowana została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76</w:t>
      </w:r>
      <w:r w:rsidRPr="009A3C86">
        <w:rPr>
          <w:rFonts w:ascii="Times New Roman" w:eastAsia="Times New Roman" w:hAnsi="Times New Roman"/>
          <w:sz w:val="24"/>
          <w:szCs w:val="24"/>
        </w:rPr>
        <w:t xml:space="preserve"> (dotychczasowy art. 14m o.p.), który przewiduje zwolnienie z obowiązku zapłaty podatku, jednakże warunkiem tego zwolnienia jest spełnienie dwóch zasadniczych przesłanek – zobowiązanie podatkowe nie zostało prawidłowo wykonane jako konsekwencja zastosowania się do interpretacji, a skutki podatkowe związane ze zdarzeniem, któremu odpowiada stan faktyczny będący przedmiotem interpretacji, miały miejsce po opublikowaniu interpretacji ogólnej lub doręczeniu interpretacji indywidualnej. Stan faktyczny będący przedmiotem interpretacji nie może wystąpić w momencie doręczenia interpretacji indywidualnej. W takiej sytuacji podatnik uzależnia podjęcie swojego zachowania od skutków podatkowych, jakie ono wywoła, a zatem ochrona podatnika wynikająca z tych działań opartych na zaufaniu do organów interpretacyjnych musi być pełna. Zgodnie z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76</w:t>
      </w:r>
      <w:r w:rsidRPr="009A3C86">
        <w:rPr>
          <w:rFonts w:ascii="Times New Roman" w:eastAsia="Times New Roman" w:hAnsi="Times New Roman"/>
          <w:b/>
          <w:sz w:val="24"/>
          <w:szCs w:val="24"/>
        </w:rPr>
        <w:t xml:space="preserve"> § 1 </w:t>
      </w:r>
      <w:r w:rsidRPr="009A3C86">
        <w:rPr>
          <w:rFonts w:ascii="Times New Roman" w:eastAsia="Times New Roman" w:hAnsi="Times New Roman"/>
          <w:sz w:val="24"/>
          <w:szCs w:val="24"/>
        </w:rPr>
        <w:t xml:space="preserve">w przypadku zastosowania się do interpretacji, która następnie została zmieniona lub co do której następnie stwierdzono jej wygaśnięcie, będzie można zastosować zwolnienie z obowiązku zapłaty podatku w zakresie wynikającym ze zdarzenia będącego przedmiotem interpretacji. Należy podkreślić, że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76</w:t>
      </w:r>
      <w:r w:rsidRPr="009A3C86">
        <w:rPr>
          <w:rFonts w:ascii="Times New Roman" w:eastAsia="Times New Roman" w:hAnsi="Times New Roman"/>
          <w:b/>
          <w:sz w:val="24"/>
          <w:szCs w:val="24"/>
        </w:rPr>
        <w:t xml:space="preserve"> § 1 pkt 2</w:t>
      </w:r>
      <w:r w:rsidRPr="009A3C86">
        <w:rPr>
          <w:rFonts w:ascii="Times New Roman" w:eastAsia="Times New Roman" w:hAnsi="Times New Roman"/>
          <w:sz w:val="24"/>
          <w:szCs w:val="24"/>
        </w:rPr>
        <w:t xml:space="preserve"> wskazano na zdarzenie, a nie ich skutki podatkowe. Wprowadzona zmiana ma charakter merytoryczny. Przepis art. 14m § 1 pkt 2 o.p. ze względu na jego konstrukcję oraz brak jasności był przedmiotem krytyki</w:t>
      </w:r>
      <w:r w:rsidRPr="009A3C86">
        <w:rPr>
          <w:rFonts w:ascii="Times New Roman" w:eastAsia="Times New Roman" w:hAnsi="Times New Roman"/>
          <w:sz w:val="24"/>
          <w:szCs w:val="24"/>
          <w:vertAlign w:val="superscript"/>
        </w:rPr>
        <w:footnoteReference w:id="527"/>
      </w:r>
      <w:r w:rsidRPr="009A3C86">
        <w:rPr>
          <w:rFonts w:ascii="Times New Roman" w:eastAsia="Times New Roman" w:hAnsi="Times New Roman"/>
          <w:sz w:val="24"/>
          <w:szCs w:val="24"/>
        </w:rPr>
        <w:t xml:space="preserve">. W szczególności za pozbawione uzasadnienia należało uznać uzależnienie zakresu temporalnego ochrony od wystąpienia skutków podatkowych. Zdarzenie podatkowe może rodzić skutki podatkowe w dość długim okresie. Nie było podstaw do ograniczenia tylko z tego powodu ochrony temporalnej i to dokonane w sposób mało klarowny rodzący spory co do wykładni przepisu wprowadzającego to ograniczenie. Zgodnie z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76</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w przypadku zastosowania się do interpretacji, która następnie została zmieniona lub co do której następnie stwierdzono jej wygaśnięcie, będzie można zastosować zwolnienie z obowiązku zapłaty podatku w zakresie wynikającym ze zdarzenia będącego przedmiotem interpretacji.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76</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określono, że zwolnienie to będzie obejmowało, w zależności od sposobu rozliczenia podatku, okres do końca roku podatkowego (kwartału, miesiąca), w którym stwierdzono wygaśnięcie interpretacji indywidualnej. Organ podatkowy na wniosek podatnika ma obowiązek pisemnego poinformowania go o wysokości podatku objętego zwolnieniem oraz o tym, z jakim dniem kończy się okres zwolnienia z obowiązku płacenia podatku. W przypadku uiszczenia podatku w zakresie objętym zwolnieniem określa wysokość nadpłaty (art. 569 § 3). Wniosek o określenie wysokości podatku objętego zwolnieniem na podstawie art. 569 § 3 może zostać złożony dopiero w prowadzonym postępowaniu podatkowym</w:t>
      </w:r>
      <w:r w:rsidRPr="009A3C86">
        <w:rPr>
          <w:rFonts w:ascii="Times New Roman" w:eastAsia="Times New Roman" w:hAnsi="Times New Roman"/>
          <w:sz w:val="24"/>
          <w:szCs w:val="24"/>
          <w:vertAlign w:val="superscript"/>
        </w:rPr>
        <w:footnoteReference w:id="528"/>
      </w:r>
      <w:r w:rsidRPr="009A3C86">
        <w:rPr>
          <w:rFonts w:ascii="Times New Roman" w:eastAsia="Times New Roman" w:hAnsi="Times New Roman"/>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6. W </w:t>
      </w:r>
      <w:r w:rsidRPr="009A3C86">
        <w:rPr>
          <w:rFonts w:ascii="Times New Roman" w:eastAsia="Times New Roman" w:hAnsi="Times New Roman"/>
          <w:b/>
          <w:sz w:val="24"/>
          <w:szCs w:val="24"/>
        </w:rPr>
        <w:t>art. 5</w:t>
      </w:r>
      <w:r w:rsidR="0079675F" w:rsidRPr="009A3C86">
        <w:rPr>
          <w:rFonts w:ascii="Times New Roman" w:eastAsia="Times New Roman" w:hAnsi="Times New Roman"/>
          <w:b/>
          <w:sz w:val="24"/>
          <w:szCs w:val="24"/>
        </w:rPr>
        <w:t>77</w:t>
      </w:r>
      <w:r w:rsidRPr="009A3C86">
        <w:rPr>
          <w:rFonts w:ascii="Times New Roman" w:eastAsia="Times New Roman" w:hAnsi="Times New Roman"/>
          <w:b/>
          <w:bCs/>
          <w:sz w:val="24"/>
          <w:szCs w:val="24"/>
        </w:rPr>
        <w:t xml:space="preserve"> </w:t>
      </w:r>
      <w:r w:rsidRPr="009A3C86">
        <w:rPr>
          <w:rFonts w:ascii="Times New Roman" w:eastAsia="Times New Roman" w:hAnsi="Times New Roman"/>
          <w:sz w:val="24"/>
          <w:szCs w:val="24"/>
        </w:rPr>
        <w:t>(dotychczasowy art. 14n o.p.) ochroną prawną dotyczącą podmiotów, które zastosowały się do interpretacji prawa podatkowego, w sytuacjach określonych w art. 5</w:t>
      </w:r>
      <w:r w:rsidR="00B8314A" w:rsidRPr="009A3C86">
        <w:rPr>
          <w:rFonts w:ascii="Times New Roman" w:eastAsia="Times New Roman" w:hAnsi="Times New Roman"/>
          <w:sz w:val="24"/>
          <w:szCs w:val="24"/>
        </w:rPr>
        <w:t>74</w:t>
      </w:r>
      <w:r w:rsidRPr="009A3C86">
        <w:rPr>
          <w:rFonts w:ascii="Times New Roman" w:eastAsia="Times New Roman" w:hAnsi="Times New Roman"/>
          <w:sz w:val="24"/>
          <w:szCs w:val="24"/>
        </w:rPr>
        <w:t xml:space="preserve"> i art. 5</w:t>
      </w:r>
      <w:r w:rsidR="00B8314A" w:rsidRPr="009A3C86">
        <w:rPr>
          <w:rFonts w:ascii="Times New Roman" w:eastAsia="Times New Roman" w:hAnsi="Times New Roman"/>
          <w:sz w:val="24"/>
          <w:szCs w:val="24"/>
        </w:rPr>
        <w:t>76</w:t>
      </w:r>
      <w:r w:rsidRPr="009A3C86">
        <w:rPr>
          <w:rFonts w:ascii="Times New Roman" w:eastAsia="Times New Roman" w:hAnsi="Times New Roman"/>
          <w:sz w:val="24"/>
          <w:szCs w:val="24"/>
        </w:rPr>
        <w:t>, objęto także podmioty wymienione w tym przepisie. Ochrona wiąże się jednakże tylko z zastosowaniem się tych podmiotów do interpretacji indywidualnych</w:t>
      </w:r>
      <w:r w:rsidRPr="009A3C86">
        <w:rPr>
          <w:rFonts w:ascii="Times New Roman" w:eastAsia="Times New Roman" w:hAnsi="Times New Roman"/>
          <w:sz w:val="24"/>
          <w:szCs w:val="24"/>
          <w:vertAlign w:val="superscript"/>
        </w:rPr>
        <w:footnoteReference w:id="529"/>
      </w:r>
      <w:r w:rsidRPr="009A3C86">
        <w:rPr>
          <w:rFonts w:ascii="Times New Roman" w:eastAsia="Times New Roman" w:hAnsi="Times New Roman"/>
          <w:sz w:val="24"/>
          <w:szCs w:val="24"/>
        </w:rPr>
        <w:t xml:space="preserve">. W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77</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wymienia się następujące podmioty ochrony: spółki prawa handlowego i spółkę cywilną w zakresie interpretacji indywidualnej wydanej przed powstaniem spółki na wniosek osób planujących jej utworzenie; podatkową grupę kapitałową, która zastosowała się do interpretacji indywidualnej wydanej przed powstaniem grupy na wniosek spółki planującej utworzenie tej grupy; oddział lub przedstawicielstwo przedsiębiorcy w zakresie interpretacji indywidualnej dotyczącej działalności oddziału lub przedstawicielstwa, wydanej przed ich powstaniem, na wniosek tworzącego je przedsiębiorcy.</w:t>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r w:rsidRPr="009A3C86">
        <w:rPr>
          <w:rFonts w:ascii="Times New Roman" w:eastAsia="Times New Roman" w:hAnsi="Times New Roman"/>
          <w:sz w:val="24"/>
          <w:szCs w:val="24"/>
        </w:rPr>
        <w:tab/>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77</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precyzuje sytuację doręczenia zmiany, uchylenia lub stwierdzenia wygaśnięcia interpretacji lub zmiany postanowienia o stwierdzeniu, że do stanu faktycznego lub zdarzenia przyszłego opisanego we wniosku zastosowanie znajduje interpretacja ogólna z jednoczesnym stwierdzeniem bezprzedmiotowości wniosku, którą doręcza się spółce, podatkowej grupie kapitałowej, oddziałowi lub przedstawicielstwu, wskazanym przez wnioskującego o wydanie interpretacji. W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77</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określono, że przepisy art. 5</w:t>
      </w:r>
      <w:r w:rsidR="00B8314A" w:rsidRPr="009A3C86">
        <w:rPr>
          <w:rFonts w:ascii="Times New Roman" w:eastAsia="Times New Roman" w:hAnsi="Times New Roman"/>
          <w:sz w:val="24"/>
          <w:szCs w:val="24"/>
        </w:rPr>
        <w:t>74</w:t>
      </w:r>
      <w:r w:rsidRPr="009A3C86">
        <w:rPr>
          <w:rFonts w:ascii="Times New Roman" w:eastAsia="Times New Roman" w:hAnsi="Times New Roman"/>
          <w:sz w:val="24"/>
          <w:szCs w:val="24"/>
        </w:rPr>
        <w:t xml:space="preserve"> i art. 5</w:t>
      </w:r>
      <w:r w:rsidR="00B8314A" w:rsidRPr="009A3C86">
        <w:rPr>
          <w:rFonts w:ascii="Times New Roman" w:eastAsia="Times New Roman" w:hAnsi="Times New Roman"/>
          <w:sz w:val="24"/>
          <w:szCs w:val="24"/>
        </w:rPr>
        <w:t>76</w:t>
      </w:r>
      <w:r w:rsidRPr="009A3C86">
        <w:rPr>
          <w:rFonts w:ascii="Times New Roman" w:eastAsia="Times New Roman" w:hAnsi="Times New Roman"/>
          <w:sz w:val="24"/>
          <w:szCs w:val="24"/>
        </w:rPr>
        <w:t xml:space="preserve"> stosuje się odpowiednio do zmiany postanowienia o stwierdzeniu, że do stanu faktycznego lub zdarzenia przyszłego opisanego we wniosku o wydanie interpretacji indywidualnej zastosowanie znajduje interpretacja ogólna i stwierdzającego bezprzedmiotowość wniosku, o którym mowa w art. 5</w:t>
      </w:r>
      <w:r w:rsidR="00B8314A" w:rsidRPr="009A3C86">
        <w:rPr>
          <w:rFonts w:ascii="Times New Roman" w:eastAsia="Times New Roman" w:hAnsi="Times New Roman"/>
          <w:sz w:val="24"/>
          <w:szCs w:val="24"/>
        </w:rPr>
        <w:t>58</w:t>
      </w:r>
      <w:r w:rsidRPr="009A3C86">
        <w:rPr>
          <w:rFonts w:ascii="Times New Roman" w:eastAsia="Times New Roman" w:hAnsi="Times New Roman"/>
          <w:sz w:val="24"/>
          <w:szCs w:val="24"/>
        </w:rPr>
        <w:t xml:space="preserve"> § </w:t>
      </w:r>
      <w:r w:rsidR="008315B1" w:rsidRPr="009A3C86">
        <w:rPr>
          <w:rFonts w:ascii="Times New Roman" w:eastAsia="Times New Roman" w:hAnsi="Times New Roman"/>
          <w:sz w:val="24"/>
          <w:szCs w:val="24"/>
        </w:rPr>
        <w:t>9</w:t>
      </w:r>
      <w:r w:rsidRPr="009A3C86">
        <w:rPr>
          <w:rFonts w:ascii="Times New Roman" w:eastAsia="Times New Roman" w:hAnsi="Times New Roman"/>
          <w:sz w:val="24"/>
          <w:szCs w:val="24"/>
        </w:rPr>
        <w:t>, na podstawie art. 5</w:t>
      </w:r>
      <w:r w:rsidR="00B8314A" w:rsidRPr="009A3C86">
        <w:rPr>
          <w:rFonts w:ascii="Times New Roman" w:eastAsia="Times New Roman" w:hAnsi="Times New Roman"/>
          <w:sz w:val="24"/>
          <w:szCs w:val="24"/>
        </w:rPr>
        <w:t>68</w:t>
      </w:r>
      <w:r w:rsidRPr="009A3C86">
        <w:rPr>
          <w:rFonts w:ascii="Times New Roman" w:eastAsia="Times New Roman" w:hAnsi="Times New Roman"/>
          <w:sz w:val="24"/>
          <w:szCs w:val="24"/>
        </w:rPr>
        <w:t xml:space="preserve"> pkt </w:t>
      </w:r>
      <w:r w:rsidR="00E94348"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oraz do uchylenia interpretacji indywidualnej na podstawie art. 5</w:t>
      </w:r>
      <w:r w:rsidR="00E94348" w:rsidRPr="009A3C86">
        <w:rPr>
          <w:rFonts w:ascii="Times New Roman" w:eastAsia="Times New Roman" w:hAnsi="Times New Roman"/>
          <w:sz w:val="24"/>
          <w:szCs w:val="24"/>
        </w:rPr>
        <w:t>6</w:t>
      </w:r>
      <w:r w:rsidR="00B8314A" w:rsidRPr="009A3C86">
        <w:rPr>
          <w:rFonts w:ascii="Times New Roman" w:eastAsia="Times New Roman" w:hAnsi="Times New Roman"/>
          <w:sz w:val="24"/>
          <w:szCs w:val="24"/>
        </w:rPr>
        <w:t>9</w:t>
      </w:r>
      <w:r w:rsidRPr="009A3C86">
        <w:rPr>
          <w:rFonts w:ascii="Times New Roman" w:eastAsia="Times New Roman" w:hAnsi="Times New Roman"/>
          <w:sz w:val="24"/>
          <w:szCs w:val="24"/>
        </w:rPr>
        <w:t xml:space="preserve"> pkt 3. Analogiczne zasady ochrony będą miały zastosowanie do uchylenia postanowienia, </w:t>
      </w:r>
      <w:r w:rsidRPr="009A3C86">
        <w:rPr>
          <w:rFonts w:ascii="Times New Roman" w:eastAsia="Times New Roman" w:hAnsi="Times New Roman"/>
          <w:sz w:val="24"/>
          <w:szCs w:val="24"/>
        </w:rPr>
        <w:lastRenderedPageBreak/>
        <w:t>jeżeli przedstawiony we wniosku stan faktyczny lub zdarzenie przyszłe nie odpowiada zagadnieniu będącemu przedmiotem wskazanej w nim interpretacji ogólnej.</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W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78</w:t>
      </w:r>
      <w:r w:rsidRPr="009A3C86">
        <w:rPr>
          <w:rFonts w:ascii="Times New Roman" w:eastAsia="Times New Roman" w:hAnsi="Times New Roman"/>
          <w:sz w:val="24"/>
          <w:szCs w:val="24"/>
        </w:rPr>
        <w:t xml:space="preserve"> (dotychczasowy art.</w:t>
      </w:r>
      <w:r w:rsidR="00876162"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14s</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2 o.p.) określono, że ochrona wynikająca z zastosowania się do interpretacji indywidualnej przysługuje wykonawcy zamówienia w ramach zamówienia publicznego. Na potrzeby uregulowania kwestii występowania przez podmiot zamawiający z wnioskiem o wydanie interpretacji indywidualnej zastosowano wyjątek od zasady tożsamości osoby wnioskodawcy i zainteresowanego (w rozumieniu przepisów ordynacji podatkowej) jako warunku niezbędnego do uzyskania interpretacji indywidualnej. Wynika to z tego, iż zamawiający we wniosku o wydanie interpretacji indywidualnej nie będzie pytał o własną sytuację prawnopodatkową, ale o sytuację prawnopodatkową podmiotu, który będzie realizował zamówienie po rozstrzygnięciu przetargu, często nieskonkretyzowanego w chwili składania wniosku. Regulacje te stosuje się odpowiednio do wykonawcy, partnera prywatnego lub koncesjonariusza, o których mowa w art. 5</w:t>
      </w:r>
      <w:r w:rsidR="00B8314A" w:rsidRPr="009A3C86">
        <w:rPr>
          <w:rFonts w:ascii="Times New Roman" w:eastAsia="Times New Roman" w:hAnsi="Times New Roman"/>
          <w:sz w:val="24"/>
          <w:szCs w:val="24"/>
        </w:rPr>
        <w:t>62</w:t>
      </w:r>
      <w:r w:rsidRPr="009A3C86">
        <w:rPr>
          <w:rFonts w:ascii="Times New Roman" w:eastAsia="Times New Roman" w:hAnsi="Times New Roman"/>
          <w:sz w:val="24"/>
          <w:szCs w:val="24"/>
        </w:rPr>
        <w:t>.</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W </w:t>
      </w:r>
      <w:r w:rsidRPr="009A3C86">
        <w:rPr>
          <w:rFonts w:ascii="Times New Roman" w:eastAsia="Times New Roman" w:hAnsi="Times New Roman"/>
          <w:b/>
          <w:sz w:val="24"/>
          <w:szCs w:val="24"/>
        </w:rPr>
        <w:t>art. 57</w:t>
      </w:r>
      <w:r w:rsidR="00B8314A" w:rsidRPr="009A3C86">
        <w:rPr>
          <w:rFonts w:ascii="Times New Roman" w:eastAsia="Times New Roman" w:hAnsi="Times New Roman"/>
          <w:b/>
          <w:sz w:val="24"/>
          <w:szCs w:val="24"/>
        </w:rPr>
        <w:t>9</w:t>
      </w:r>
      <w:r w:rsidRPr="009A3C86">
        <w:rPr>
          <w:rFonts w:ascii="Times New Roman" w:eastAsia="Times New Roman" w:hAnsi="Times New Roman"/>
          <w:sz w:val="24"/>
          <w:szCs w:val="24"/>
        </w:rPr>
        <w:t xml:space="preserve"> przewidziano pełną ochronę dla podatników, którzy zastosowali się do ogólnej informacji dotyczącej treści przepisów prawa podatkowego oraz objaśnień podatkowych. W przepisie tym przewidziano również regulację odpowiadającą treści art. 14n</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5</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o.p. Wprowadzone w tym przepisie pojęcie utrwalonej praktyki orzeczniczej  oznacza, że ustalana ona będzie na podstawie interpretacji indywidualnych wydanych w takich samych stanach faktycznych oraz takim samym stanie prawnym w trakcie okresu rozliczeniowego oraz w okresie 12 miesięcy przed okresem rozliczeniowym, w którym podatnik zastosował się do tej praktyki, z wyłączeniem przypadków, gdy w tożsamym zakresie, w okresie 12 miesięcy przed okresem rozliczeniowym, w którym podatnik zastosował się do tej praktyki lub w trakcie tego okresu rozliczeniowego, wydana została interpretacja ogólna lub objaśnienia podatkowe - w tym przypadku praktykę tę ustala się na podstawie tej interpretacji ogólnej lub objaśnień podatkowych (jednakże ze skutkiem wyłącznie na przyszłość - od dnia wydania takiej interpretacji ogólnej lub objaśnień podatkowych). </w:t>
      </w:r>
    </w:p>
    <w:p w:rsidR="00045CB9" w:rsidRPr="009A3C86" w:rsidRDefault="00045CB9" w:rsidP="00045CB9">
      <w:pPr>
        <w:tabs>
          <w:tab w:val="left" w:pos="0"/>
        </w:tabs>
        <w:spacing w:after="0" w:line="360" w:lineRule="auto"/>
        <w:ind w:hanging="408"/>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9. W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80</w:t>
      </w:r>
      <w:r w:rsidRPr="009A3C86">
        <w:rPr>
          <w:rFonts w:ascii="Times New Roman" w:eastAsia="Times New Roman" w:hAnsi="Times New Roman"/>
          <w:sz w:val="24"/>
          <w:szCs w:val="24"/>
        </w:rPr>
        <w:t xml:space="preserve"> (dotychczasowy art. 14na o.p.) uregulowano kwestie ochrony z interpretacji indywidualnych m.in. w przypadku zastosowania klauzuli przeciwko unikaniu opodatkowania (pkt 1)</w:t>
      </w:r>
      <w:r w:rsidRPr="009A3C86">
        <w:rPr>
          <w:rFonts w:ascii="Times New Roman" w:eastAsia="Times New Roman" w:hAnsi="Times New Roman"/>
          <w:sz w:val="24"/>
          <w:szCs w:val="24"/>
          <w:vertAlign w:val="superscript"/>
        </w:rPr>
        <w:footnoteReference w:id="530"/>
      </w:r>
      <w:r w:rsidRPr="009A3C86">
        <w:rPr>
          <w:rFonts w:ascii="Times New Roman" w:eastAsia="Times New Roman" w:hAnsi="Times New Roman"/>
          <w:sz w:val="24"/>
          <w:szCs w:val="24"/>
        </w:rPr>
        <w:t xml:space="preserve">. W związku z wprowadzeniem klauzuli przeciwko unikaniu opodatkowania wyłączono ochronę prawną z tytułu zastosowania się do interpretacji indywidualnej dotyczącej zdarzenia, które stanowi unikanie opodatkowania. Nie ma uzasadnienia, aby podmiot, który </w:t>
      </w:r>
      <w:r w:rsidRPr="009A3C86">
        <w:rPr>
          <w:rFonts w:ascii="Times New Roman" w:eastAsia="Times New Roman" w:hAnsi="Times New Roman"/>
          <w:sz w:val="24"/>
          <w:szCs w:val="24"/>
        </w:rPr>
        <w:lastRenderedPageBreak/>
        <w:t>unika opodatkowania, korzystał z ochrony wynikającej z uzyskanej interpretacji indywidualnej oraz mógł powoływać się na nieograniczone bezpieczeństwo prawne. Z uwagi na skutki ochronne interpretacji podatkowych (zwolnienie z obowiązku zapłaty podatku) brak proponowanego rozwiązania w zasadniczy sposób ograniczał będzie, a niejednokrotnie wyłączał stosowanie klauzuli przeciwko unikaniu opodatkowania. Dlatego wyłączono ochronę prawną, uregulowaną w art. 5</w:t>
      </w:r>
      <w:r w:rsidR="00B8314A" w:rsidRPr="009A3C86">
        <w:rPr>
          <w:rFonts w:ascii="Times New Roman" w:eastAsia="Times New Roman" w:hAnsi="Times New Roman"/>
          <w:sz w:val="24"/>
          <w:szCs w:val="24"/>
        </w:rPr>
        <w:t>74</w:t>
      </w:r>
      <w:r w:rsidRPr="009A3C86">
        <w:rPr>
          <w:rFonts w:ascii="Times New Roman" w:eastAsia="Times New Roman" w:hAnsi="Times New Roman"/>
          <w:sz w:val="24"/>
          <w:szCs w:val="24"/>
        </w:rPr>
        <w:t>-5</w:t>
      </w:r>
      <w:r w:rsidR="00B8314A" w:rsidRPr="009A3C86">
        <w:rPr>
          <w:rFonts w:ascii="Times New Roman" w:eastAsia="Times New Roman" w:hAnsi="Times New Roman"/>
          <w:sz w:val="24"/>
          <w:szCs w:val="24"/>
        </w:rPr>
        <w:t>76</w:t>
      </w:r>
      <w:r w:rsidRPr="009A3C86">
        <w:rPr>
          <w:rFonts w:ascii="Times New Roman" w:eastAsia="Times New Roman" w:hAnsi="Times New Roman"/>
          <w:sz w:val="24"/>
          <w:szCs w:val="24"/>
        </w:rPr>
        <w:t>. W przypadku stwierdzenia w postępowaniu podatkowym przez organ podatkowy lub organ celno-skarbowy, że stan faktyczny lub zdarzenie przyszłe, będące przedmiotem interpretacji indywidualnej, stanowi element (część) czynności stanowiących przedmiot decyzji w związku z zastosowaniem klauzuli przeciwko unikaniu opodatkowania, podatnikowi nie będzie przysługiwała ochrona z tytułu wydanej interpretacji indywidualnej. Podobnie w przypadku, gdy stwierdzenie nadużycia prawa w podatku od towarów i usług nastąpi już po wydaniu interpretacji indywidualnej, nie zapewni ona podatnikowi ochrony prawnej, a organy podatkowe będą mogły wyegzekwować podatek, naliczyć odsetki oraz wszcząć postępowanie karne skarbowe jako sankcję za próbę nadużycia prawa podatkowego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80</w:t>
      </w:r>
      <w:r w:rsidRPr="009A3C86">
        <w:rPr>
          <w:rFonts w:ascii="Times New Roman" w:eastAsia="Times New Roman" w:hAnsi="Times New Roman"/>
          <w:b/>
          <w:sz w:val="24"/>
          <w:szCs w:val="24"/>
        </w:rPr>
        <w:t xml:space="preserve"> pkt 2</w:t>
      </w:r>
      <w:r w:rsidRPr="009A3C86">
        <w:rPr>
          <w:rFonts w:ascii="Times New Roman" w:eastAsia="Times New Roman" w:hAnsi="Times New Roman"/>
          <w:sz w:val="24"/>
          <w:szCs w:val="24"/>
        </w:rPr>
        <w:t>). Nie będzie również chroniła w przypadku wydania decyzji z zastosowaniem środków ograniczających umowne korzyści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80</w:t>
      </w:r>
      <w:r w:rsidRPr="009A3C86">
        <w:rPr>
          <w:rFonts w:ascii="Times New Roman" w:eastAsia="Times New Roman" w:hAnsi="Times New Roman"/>
          <w:b/>
          <w:sz w:val="24"/>
          <w:szCs w:val="24"/>
        </w:rPr>
        <w:t xml:space="preserve"> pkt 3</w:t>
      </w:r>
      <w:r w:rsidRPr="009A3C86">
        <w:rPr>
          <w:rFonts w:ascii="Times New Roman" w:eastAsia="Times New Roman" w:hAnsi="Times New Roman"/>
          <w:sz w:val="24"/>
          <w:szCs w:val="24"/>
        </w:rPr>
        <w:t xml:space="preserve">). </w:t>
      </w:r>
    </w:p>
    <w:p w:rsidR="00045CB9" w:rsidRPr="009A3C86" w:rsidRDefault="00045CB9" w:rsidP="00045CB9">
      <w:pPr>
        <w:tabs>
          <w:tab w:val="left" w:pos="0"/>
        </w:tabs>
        <w:spacing w:after="0" w:line="360" w:lineRule="auto"/>
        <w:ind w:hanging="408"/>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Do przepisu </w:t>
      </w:r>
      <w:r w:rsidRPr="009A3C86">
        <w:rPr>
          <w:rFonts w:ascii="Times New Roman" w:eastAsia="Times New Roman" w:hAnsi="Times New Roman"/>
          <w:b/>
          <w:sz w:val="24"/>
          <w:szCs w:val="24"/>
        </w:rPr>
        <w:t xml:space="preserve">art. </w:t>
      </w:r>
      <w:r w:rsidR="00017522" w:rsidRPr="009A3C86">
        <w:rPr>
          <w:rFonts w:ascii="Times New Roman" w:eastAsia="Times New Roman" w:hAnsi="Times New Roman"/>
          <w:b/>
          <w:sz w:val="24"/>
          <w:szCs w:val="24"/>
        </w:rPr>
        <w:t>5</w:t>
      </w:r>
      <w:r w:rsidR="00B8314A" w:rsidRPr="009A3C86">
        <w:rPr>
          <w:rFonts w:ascii="Times New Roman" w:eastAsia="Times New Roman" w:hAnsi="Times New Roman"/>
          <w:b/>
          <w:sz w:val="24"/>
          <w:szCs w:val="24"/>
        </w:rPr>
        <w:t>80</w:t>
      </w:r>
      <w:r w:rsidR="00017522"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dodano § 2, zgodnie z którym przepisów art. 5</w:t>
      </w:r>
      <w:r w:rsidR="00B8314A" w:rsidRPr="009A3C86">
        <w:rPr>
          <w:rFonts w:ascii="Times New Roman" w:eastAsia="Times New Roman" w:hAnsi="Times New Roman"/>
          <w:sz w:val="24"/>
          <w:szCs w:val="24"/>
        </w:rPr>
        <w:t>74</w:t>
      </w:r>
      <w:r w:rsidRPr="009A3C86">
        <w:rPr>
          <w:rFonts w:ascii="Times New Roman" w:eastAsia="Times New Roman" w:hAnsi="Times New Roman"/>
          <w:sz w:val="24"/>
          <w:szCs w:val="24"/>
        </w:rPr>
        <w:t>-5</w:t>
      </w:r>
      <w:r w:rsidR="00B8314A" w:rsidRPr="009A3C86">
        <w:rPr>
          <w:rFonts w:ascii="Times New Roman" w:eastAsia="Times New Roman" w:hAnsi="Times New Roman"/>
          <w:sz w:val="24"/>
          <w:szCs w:val="24"/>
        </w:rPr>
        <w:t>76</w:t>
      </w:r>
      <w:r w:rsidR="00017522"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nie stosuje się, jeżeli korzyść podatkowa, stwierdzona w decyzjach wymienionych w § 1 , jest skutkiem zastosowania się do wyjaśnień zakresu i sposobu stosowania przepisów prawa podatkowego wynikających z utrwalonej praktyki interpretacyjnej lub interpretacji ogólnej, lub wyjaśnień przepisów prawa podatkowego dotyczących stosowania tych przepisów zawartych w objaśnieniach podatkowych. Przepis w tym brzmieniu został wprowadzony w art. 14 na</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o.p. w nowelizacji z dnia 23 października 2018 r. Funkcję ochronną dla podatnika mogą sprawować instytucje takie jak utrwalona praktyka interpretacyjna, interpretacja ogólna oraz objaśnienia podatkowe. Także w tym przypadku ich skutki ochronne nie mogą wyłączać stosowania przepisów przeciwko unikaniu opodatkowania oraz klauzuli nadużycia prawa w podatku od towarów i usług. Pouczenie o treści </w:t>
      </w:r>
      <w:r w:rsidRPr="009A3C86">
        <w:rPr>
          <w:rFonts w:ascii="Times New Roman" w:eastAsia="Times New Roman" w:hAnsi="Times New Roman"/>
          <w:b/>
          <w:sz w:val="24"/>
          <w:szCs w:val="24"/>
        </w:rPr>
        <w:t>art. 5</w:t>
      </w:r>
      <w:r w:rsidR="00B8314A" w:rsidRPr="009A3C86">
        <w:rPr>
          <w:rFonts w:ascii="Times New Roman" w:eastAsia="Times New Roman" w:hAnsi="Times New Roman"/>
          <w:b/>
          <w:sz w:val="24"/>
          <w:szCs w:val="24"/>
        </w:rPr>
        <w:t>80</w:t>
      </w:r>
      <w:r w:rsidRPr="009A3C86">
        <w:rPr>
          <w:rFonts w:ascii="Times New Roman" w:eastAsia="Times New Roman" w:hAnsi="Times New Roman"/>
          <w:sz w:val="24"/>
          <w:szCs w:val="24"/>
        </w:rPr>
        <w:t xml:space="preserve"> będzie stanowiło obligatoryjną część interpretacji indywidualnej.</w:t>
      </w:r>
    </w:p>
    <w:p w:rsidR="002A6A35" w:rsidRPr="009A3C86" w:rsidRDefault="002A6A35" w:rsidP="002A6A35">
      <w:pPr>
        <w:tabs>
          <w:tab w:val="left" w:pos="0"/>
        </w:tabs>
        <w:spacing w:after="0" w:line="360" w:lineRule="auto"/>
        <w:ind w:hanging="408"/>
        <w:jc w:val="both"/>
        <w:rPr>
          <w:rFonts w:ascii="Times New Roman" w:eastAsia="Times New Roman" w:hAnsi="Times New Roman"/>
          <w:sz w:val="24"/>
          <w:szCs w:val="24"/>
        </w:rPr>
      </w:pPr>
      <w:r w:rsidRPr="009A3C86">
        <w:rPr>
          <w:rFonts w:ascii="Times New Roman" w:eastAsia="Times New Roman" w:hAnsi="Times New Roman"/>
          <w:sz w:val="24"/>
          <w:szCs w:val="24"/>
        </w:rPr>
        <w:tab/>
        <w:t xml:space="preserve">W </w:t>
      </w:r>
      <w:r w:rsidRPr="009A3C86">
        <w:rPr>
          <w:rFonts w:ascii="Times New Roman" w:eastAsia="Times New Roman" w:hAnsi="Times New Roman"/>
          <w:b/>
          <w:sz w:val="24"/>
          <w:szCs w:val="24"/>
        </w:rPr>
        <w:t>art. 580 § 3</w:t>
      </w:r>
      <w:r w:rsidRPr="009A3C86">
        <w:rPr>
          <w:rFonts w:ascii="Times New Roman" w:eastAsia="Times New Roman" w:hAnsi="Times New Roman"/>
          <w:sz w:val="24"/>
          <w:szCs w:val="24"/>
        </w:rPr>
        <w:t xml:space="preserve"> Ordynacji podatkowej przewiduje się, że ochrona prawna wynikająca z interpretacji indywidualnej przewidziana w art. 574-579 tej ustawy będzie obejmować transakcje, zespoły transakcji lub inne zdarzenia w zakresie, w jakim we wniosku o wydanie interpretacji indywidualnej zgodnie z art. 558 § 4 wskazane zostały państwa, terytoria i dane, o których mowa w tym przepisie.</w:t>
      </w:r>
      <w:r w:rsidRPr="009A3C86">
        <w:rPr>
          <w:rFonts w:ascii="Times New Roman" w:eastAsiaTheme="minorEastAsia" w:hAnsi="Times New Roman" w:cs="Arial"/>
          <w:sz w:val="24"/>
          <w:szCs w:val="20"/>
          <w:lang w:eastAsia="pl-PL"/>
        </w:rPr>
        <w:t xml:space="preserve"> W powyższym zakresie przepis </w:t>
      </w:r>
      <w:r w:rsidRPr="009A3C86">
        <w:rPr>
          <w:rFonts w:ascii="Times New Roman" w:eastAsiaTheme="minorEastAsia" w:hAnsi="Times New Roman" w:cs="Arial"/>
          <w:b/>
          <w:sz w:val="24"/>
          <w:szCs w:val="20"/>
          <w:lang w:eastAsia="pl-PL"/>
        </w:rPr>
        <w:t>art. 580 § 3</w:t>
      </w:r>
      <w:r w:rsidRPr="009A3C86">
        <w:rPr>
          <w:rFonts w:ascii="Times New Roman" w:eastAsiaTheme="minorEastAsia" w:hAnsi="Times New Roman" w:cs="Arial"/>
          <w:sz w:val="24"/>
          <w:szCs w:val="20"/>
          <w:lang w:eastAsia="pl-PL"/>
        </w:rPr>
        <w:t xml:space="preserve"> Ordynacji </w:t>
      </w:r>
      <w:r w:rsidRPr="009A3C86">
        <w:rPr>
          <w:rFonts w:ascii="Times New Roman" w:eastAsiaTheme="minorEastAsia" w:hAnsi="Times New Roman" w:cs="Arial"/>
          <w:sz w:val="24"/>
          <w:szCs w:val="20"/>
          <w:lang w:eastAsia="pl-PL"/>
        </w:rPr>
        <w:lastRenderedPageBreak/>
        <w:t xml:space="preserve">podatkowej stanowi zasadniczo odpowiednik dotychczasowego art. 14nb o.p. </w:t>
      </w:r>
      <w:r w:rsidRPr="009A3C86">
        <w:rPr>
          <w:rFonts w:ascii="Times New Roman" w:eastAsia="Times New Roman" w:hAnsi="Times New Roman"/>
          <w:sz w:val="24"/>
          <w:szCs w:val="24"/>
        </w:rPr>
        <w:t xml:space="preserve">W przypadku, o którym mowa w art. 558 § 4 będą mieć także zastosowanie przepisy art. 580 § 1 i 2. </w:t>
      </w:r>
    </w:p>
    <w:p w:rsidR="00443800" w:rsidRPr="009A3C86" w:rsidRDefault="00443800" w:rsidP="00D72E74">
      <w:pPr>
        <w:tabs>
          <w:tab w:val="num" w:pos="720"/>
        </w:tabs>
        <w:spacing w:before="120" w:after="0" w:line="360" w:lineRule="auto"/>
        <w:jc w:val="both"/>
        <w:outlineLvl w:val="2"/>
        <w:rPr>
          <w:rFonts w:ascii="Times New Roman" w:hAnsi="Times New Roman"/>
          <w:b/>
          <w:bCs/>
          <w:sz w:val="24"/>
          <w:szCs w:val="24"/>
        </w:rPr>
      </w:pPr>
      <w:bookmarkStart w:id="79" w:name="_Toc494363302"/>
      <w:bookmarkStart w:id="80" w:name="_Toc483413671"/>
      <w:r w:rsidRPr="009A3C86">
        <w:rPr>
          <w:rFonts w:ascii="Times New Roman" w:hAnsi="Times New Roman"/>
          <w:b/>
          <w:bCs/>
          <w:sz w:val="24"/>
          <w:szCs w:val="24"/>
        </w:rPr>
        <w:t>Rozdział 3. Konsultacja skutków podatkowych transakcji</w:t>
      </w:r>
      <w:bookmarkEnd w:id="79"/>
      <w:bookmarkEnd w:id="80"/>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1. Rozdział 3 reguluje przebieg procedury szczególnej pozwalającej na konsultację skutków podatkowych transakcji, a także określa skutki prawne wydanej w niej decyzji, zwanej „decyzją w sprawie skutków podatkowych”. W ramach tej procedury wnioskodawca oraz organ podatkowy będą mogli w trybie konsultacji dokonać uzgodnień dotyczących skutków podatkowych dokonanych przez wnioskodawcę czynności – jeszcze przed zaistnieniem ewentualnego sporu.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W procedurze tej zobowiązany, po przeprowadzeniu postępowania dowodowego, będzie mógł uzyskać wiążące potwierdzenie konsekwencji podatkowych opisanych w tym wniosku zdarzeń lub procesów gospodarczych. Do cech procedury konsultacyjnej należy to, że w jej ramach będą dokonywane ustalenia faktyczne, prowadzone postępowanie dowodowe, a także dokonywane uzgodnienia między organami podatkowymi a podatnikami (np. co do ustalenia wartości transakcji, poziomu stosowanych cen itd.). W wyniku przeprowadzenia procedury będzie wydawane rozstrzygnięcie władcze (decyzja) – o charakterze cząstkowym. Procedura ma zastosowanie do czynności dokonanych, gdzie stan faktyczny jest ustalony i nie podlega modyfikacji. Organ podatkowy stosuje w jej przypadku prawo do ustalonego przez siebie stanu faktycznego. Cechy te odróżniają tę procedurę od postępowania w sprawie wydania interpretacji indywidualnej i od postępowania w sprawie uprzednich porozumień cenowych.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Dla wnioskodawców pragnących uzyskać ochronę w zakresie, w jakim konieczna jest analiza stanu faktycznego, procedura konsultacyjna będzie stanowić formę komplementarną wobec dotychczasowego postępowania w sprawie wydania interpretacji indywidualnej. W tym ostatnim bowiem przypadku stan faktyczny nie jest badany, a jedynie przyjmowany na podstawie opisu zawartego we wniosku podatnika. Procedura stanowi odpowiedź na zgłaszane od lat postulaty udzielenia podatnikom legitymacji procesowej do wnioskowania o przeprowadzenie postępowania podatkowego lub kontroli podatkowej, umożliwiające weryfikację prawidłowości samoobliczenia na wniosek.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Nie będzie to jednak procedura „zastępująca” procedurę w zakresie uprzednich porozumień cenowych, m.in. dlatego, że nie będzie miała zastosowania do czynności przyszłych.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Procedury podobne do konsultacyjnej obowiązują z sukcesem w innych, rozwiniętych jurysdykcjach podatkowych</w:t>
      </w:r>
      <w:r w:rsidRPr="009A3C86">
        <w:rPr>
          <w:rFonts w:ascii="Times New Roman" w:hAnsi="Times New Roman"/>
          <w:sz w:val="24"/>
          <w:szCs w:val="24"/>
          <w:vertAlign w:val="superscript"/>
        </w:rPr>
        <w:footnoteReference w:id="531"/>
      </w:r>
      <w:r w:rsidRPr="009A3C86">
        <w:rPr>
          <w:rFonts w:ascii="Times New Roman" w:hAnsi="Times New Roman"/>
          <w:sz w:val="24"/>
          <w:szCs w:val="24"/>
        </w:rPr>
        <w:t>. Procedura będzie miała na celu ustalenie skutków transakcji, tak, jakby zapadło normalne rozstrzygnięcie w toku postępowania podatkowego. Celem tej procedury nie będzie uzyskanie lub udzielenie jakiejkolwiek korzyści, lecz ustalenie skutków podatkowych w oparciu o zbadanie przez organ podatkowy okoliczności faktycznych oraz powszechnie obowiązujące przepisy prawa.</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2. Istotę i przedmiot procedury oddaje </w:t>
      </w:r>
      <w:r w:rsidRPr="009A3C86">
        <w:rPr>
          <w:rFonts w:ascii="Times New Roman" w:hAnsi="Times New Roman"/>
          <w:b/>
          <w:bCs/>
          <w:sz w:val="24"/>
          <w:szCs w:val="24"/>
        </w:rPr>
        <w:t>art. 5</w:t>
      </w:r>
      <w:r w:rsidR="00B8314A" w:rsidRPr="009A3C86">
        <w:rPr>
          <w:rFonts w:ascii="Times New Roman" w:hAnsi="Times New Roman"/>
          <w:b/>
          <w:bCs/>
          <w:sz w:val="24"/>
          <w:szCs w:val="24"/>
        </w:rPr>
        <w:t>81</w:t>
      </w:r>
      <w:r w:rsidRPr="009A3C86">
        <w:rPr>
          <w:rFonts w:ascii="Times New Roman" w:hAnsi="Times New Roman"/>
          <w:sz w:val="24"/>
          <w:szCs w:val="24"/>
        </w:rPr>
        <w:t xml:space="preserve">. Zgodnie z jego </w:t>
      </w:r>
      <w:r w:rsidRPr="009A3C86">
        <w:rPr>
          <w:rFonts w:ascii="Times New Roman" w:hAnsi="Times New Roman"/>
          <w:b/>
          <w:bCs/>
          <w:sz w:val="24"/>
          <w:szCs w:val="24"/>
        </w:rPr>
        <w:t>§ 1</w:t>
      </w:r>
      <w:r w:rsidRPr="009A3C86">
        <w:rPr>
          <w:rFonts w:ascii="Times New Roman" w:hAnsi="Times New Roman"/>
          <w:sz w:val="24"/>
          <w:szCs w:val="24"/>
        </w:rPr>
        <w:t xml:space="preserve"> organ podatkowy I instancji na wniosek zainteresowanego i po przeprowadzeniu z nim konsultacji wydaje decyzję w sprawie skutków podatkowych czynności</w:t>
      </w:r>
      <w:r w:rsidR="00DB7E46" w:rsidRPr="009A3C86">
        <w:rPr>
          <w:rFonts w:ascii="Times New Roman" w:hAnsi="Times New Roman"/>
          <w:sz w:val="24"/>
          <w:szCs w:val="24"/>
        </w:rPr>
        <w:t>,</w:t>
      </w:r>
      <w:r w:rsidRPr="009A3C86">
        <w:rPr>
          <w:rFonts w:ascii="Times New Roman" w:hAnsi="Times New Roman"/>
          <w:sz w:val="24"/>
          <w:szCs w:val="24"/>
        </w:rPr>
        <w:t xml:space="preserve"> </w:t>
      </w:r>
      <w:r w:rsidR="00DB7E46" w:rsidRPr="009A3C86">
        <w:rPr>
          <w:rFonts w:ascii="Times New Roman" w:hAnsi="Times New Roman"/>
          <w:sz w:val="24"/>
          <w:szCs w:val="24"/>
        </w:rPr>
        <w:t xml:space="preserve">których dokonywał zainteresowany </w:t>
      </w:r>
      <w:r w:rsidRPr="009A3C86">
        <w:rPr>
          <w:rFonts w:ascii="Times New Roman" w:hAnsi="Times New Roman"/>
          <w:sz w:val="24"/>
          <w:szCs w:val="24"/>
        </w:rPr>
        <w:t xml:space="preserve">lub </w:t>
      </w:r>
      <w:r w:rsidR="00DB7E46" w:rsidRPr="009A3C86">
        <w:rPr>
          <w:rFonts w:ascii="Times New Roman" w:hAnsi="Times New Roman"/>
          <w:sz w:val="24"/>
          <w:szCs w:val="24"/>
        </w:rPr>
        <w:t xml:space="preserve">czynności lub </w:t>
      </w:r>
      <w:r w:rsidRPr="009A3C86">
        <w:rPr>
          <w:rFonts w:ascii="Times New Roman" w:hAnsi="Times New Roman"/>
          <w:sz w:val="24"/>
          <w:szCs w:val="24"/>
        </w:rPr>
        <w:t xml:space="preserve">zdarzeń, w których brał udział zainteresowany. Wydawana decyzja, zwana dalej „decyzją w sprawie skutków podatkowych”, dotyczy konkretnego podatku. Postępowanie konsultacyjne jest wszczynane na wniosek zainteresowanego i zostaje zakończone wydaniem decyzji podatkowej w sprawie skutków podatkowych </w:t>
      </w:r>
      <w:r w:rsidR="00DB7730" w:rsidRPr="009A3C86">
        <w:rPr>
          <w:rFonts w:ascii="Times New Roman" w:hAnsi="Times New Roman"/>
          <w:sz w:val="24"/>
          <w:szCs w:val="24"/>
        </w:rPr>
        <w:t>wymienionych czynności lub zdarzeń zwanych dalej w niniejszym rozdziale „transakcjami”</w:t>
      </w:r>
      <w:r w:rsidRPr="009A3C86">
        <w:rPr>
          <w:rFonts w:ascii="Times New Roman" w:hAnsi="Times New Roman"/>
          <w:sz w:val="24"/>
          <w:szCs w:val="24"/>
        </w:rPr>
        <w:t xml:space="preserve">. Z przepisów wynika również to, że decyzja jest wydawana po konsultacji z zainteresowanym – w ten sposób podkreślony zostaje </w:t>
      </w:r>
      <w:r w:rsidRPr="009A3C86">
        <w:rPr>
          <w:rFonts w:ascii="Times New Roman" w:hAnsi="Times New Roman"/>
          <w:i/>
          <w:sz w:val="24"/>
          <w:szCs w:val="24"/>
        </w:rPr>
        <w:t>quasi-</w:t>
      </w:r>
      <w:r w:rsidRPr="009A3C86">
        <w:rPr>
          <w:rFonts w:ascii="Times New Roman" w:hAnsi="Times New Roman"/>
          <w:sz w:val="24"/>
          <w:szCs w:val="24"/>
        </w:rPr>
        <w:t>konsensualny charakter tej procedury. Wprawdzie kończy się ona wydaniem aktu władczego (decyzji), to jednak zakłada się, że w trakcie postępowania prowadzącego do jej wydania mogą być dokonywane uzgodnienia pomiędzy zainteresowanym i organem. Przepis ten, przez użycie słów „w zakresie danego podatku”, stanowi również, że decyzja w sprawie skutków podatkowych wydawana jest w odniesieniu do jednego podatku – wskazanego we wniosku przez zainteresowanego. To oznacza, że w odniesieniu do danej transakcji będzie można prowadzić kilka jednoczesnych postępowań oraz wydać kilka decyzji w sprawie skutków podatkowych w różnych podatkach</w:t>
      </w:r>
      <w:r w:rsidR="00DB7E46" w:rsidRPr="009A3C86">
        <w:rPr>
          <w:rFonts w:ascii="Times New Roman" w:hAnsi="Times New Roman"/>
          <w:sz w:val="24"/>
          <w:szCs w:val="24"/>
        </w:rPr>
        <w:t>.</w:t>
      </w:r>
      <w:r w:rsidRPr="009A3C86">
        <w:rPr>
          <w:rFonts w:ascii="Times New Roman" w:hAnsi="Times New Roman"/>
          <w:sz w:val="24"/>
          <w:szCs w:val="24"/>
        </w:rPr>
        <w:t xml:space="preserve"> </w:t>
      </w:r>
      <w:r w:rsidR="00DB7E46" w:rsidRPr="009A3C86">
        <w:rPr>
          <w:rFonts w:ascii="Times New Roman" w:hAnsi="Times New Roman"/>
          <w:sz w:val="24"/>
          <w:szCs w:val="24"/>
        </w:rPr>
        <w:t>K</w:t>
      </w:r>
      <w:r w:rsidRPr="009A3C86">
        <w:rPr>
          <w:rFonts w:ascii="Times New Roman" w:hAnsi="Times New Roman"/>
          <w:sz w:val="24"/>
          <w:szCs w:val="24"/>
        </w:rPr>
        <w:t>ażde takie postępowanie oraz decyzja będą odrębne (co będzie wiązać się również z koniecznością wniesienia odrębnej opłaty). W każdym przypadku kompetencję do przeprowadzenia postępowania konsultacyjnego i wydania w nim decyzji ma organ pierwszej instancji właściwy do poboru danego podatku.</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2</w:t>
      </w:r>
      <w:r w:rsidRPr="009A3C86">
        <w:rPr>
          <w:rFonts w:ascii="Times New Roman" w:hAnsi="Times New Roman"/>
          <w:sz w:val="24"/>
          <w:szCs w:val="24"/>
        </w:rPr>
        <w:t xml:space="preserve"> zawiera przykładowy katalog czynności lub zdarzeń, w zakresie których będzie mogła zostać wydana decyzja w sprawie skutków podatkowych. Przepis ten wymienia czynności lub zdarzenia, w wyniku których do</w:t>
      </w:r>
      <w:r w:rsidR="00A10644" w:rsidRPr="009A3C86">
        <w:rPr>
          <w:rFonts w:ascii="Times New Roman" w:hAnsi="Times New Roman"/>
          <w:sz w:val="24"/>
          <w:szCs w:val="24"/>
        </w:rPr>
        <w:t>szło</w:t>
      </w:r>
      <w:r w:rsidRPr="009A3C86">
        <w:rPr>
          <w:rFonts w:ascii="Times New Roman" w:hAnsi="Times New Roman"/>
          <w:sz w:val="24"/>
          <w:szCs w:val="24"/>
        </w:rPr>
        <w:t xml:space="preserve"> do przeniesienia własności składników majątkowych lub przekazania ich do używania, </w:t>
      </w:r>
      <w:r w:rsidR="00A10644" w:rsidRPr="009A3C86">
        <w:rPr>
          <w:rFonts w:ascii="Times New Roman" w:hAnsi="Times New Roman"/>
          <w:sz w:val="24"/>
          <w:szCs w:val="24"/>
        </w:rPr>
        <w:t xml:space="preserve">lub </w:t>
      </w:r>
      <w:r w:rsidRPr="009A3C86">
        <w:rPr>
          <w:rFonts w:ascii="Times New Roman" w:hAnsi="Times New Roman"/>
          <w:sz w:val="24"/>
          <w:szCs w:val="24"/>
        </w:rPr>
        <w:t>udziel</w:t>
      </w:r>
      <w:r w:rsidR="00A10644" w:rsidRPr="009A3C86">
        <w:rPr>
          <w:rFonts w:ascii="Times New Roman" w:hAnsi="Times New Roman"/>
          <w:sz w:val="24"/>
          <w:szCs w:val="24"/>
        </w:rPr>
        <w:t>e</w:t>
      </w:r>
      <w:r w:rsidRPr="009A3C86">
        <w:rPr>
          <w:rFonts w:ascii="Times New Roman" w:hAnsi="Times New Roman"/>
          <w:sz w:val="24"/>
          <w:szCs w:val="24"/>
        </w:rPr>
        <w:t xml:space="preserve">nia pożyczek lub kredytów, a także realizacji procesów restrukturyzacyjnych lub wspólnych przedsięwzięć.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Treść tego przepisu odzwierciedla przekonanie, że procedura będzie przydatna i wykorzystywana do oceny konsekwencji podatkowych transakcji o skomplikowanej strukturze, obarczonych dużym ryzykiem podatkowym dla podmiotów gospodarczych (np. zdarzeń restrukturyzacyjnych: przekształcenia, łączenia, podziału spółek itd.; wyceny wartości przedmiotu opodatkowania; oceny charakteru przedmiotu transakcji – np. tego, czy przedmiot ten stanowi zorganizowaną część przedsiębiorstwa itd.). Zawarty w przepisie katalog nie jest zamknięty – zainteresowany będzie mógł zwrócić się do organu podatkowego o orzeczenie w sprawie skutków podatkowych także innych czynności lub zdarzeń. Ograniczenie zakresu, w jakim możliwość ta będzie dostępna, narzucają jednak kolejne przepisy </w:t>
      </w:r>
      <w:r w:rsidRPr="009A3C86">
        <w:rPr>
          <w:rFonts w:ascii="Times New Roman" w:hAnsi="Times New Roman"/>
          <w:bCs/>
          <w:sz w:val="24"/>
          <w:szCs w:val="24"/>
        </w:rPr>
        <w:t>§ 3-5</w:t>
      </w:r>
      <w:r w:rsidR="0014451A" w:rsidRPr="009A3C86">
        <w:rPr>
          <w:rFonts w:ascii="Times New Roman" w:hAnsi="Times New Roman"/>
          <w:sz w:val="24"/>
          <w:szCs w:val="24"/>
        </w:rPr>
        <w:t>.</w:t>
      </w:r>
      <w:r w:rsidRPr="009A3C86">
        <w:rPr>
          <w:rFonts w:ascii="Times New Roman" w:hAnsi="Times New Roman"/>
          <w:sz w:val="24"/>
          <w:szCs w:val="24"/>
        </w:rPr>
        <w:t xml:space="preserve"> </w:t>
      </w:r>
      <w:r w:rsidR="0014451A" w:rsidRPr="009A3C86">
        <w:rPr>
          <w:rFonts w:ascii="Times New Roman" w:hAnsi="Times New Roman"/>
          <w:sz w:val="24"/>
          <w:szCs w:val="24"/>
        </w:rPr>
        <w:t>D</w:t>
      </w:r>
      <w:r w:rsidRPr="009A3C86">
        <w:rPr>
          <w:rFonts w:ascii="Times New Roman" w:hAnsi="Times New Roman"/>
          <w:sz w:val="24"/>
          <w:szCs w:val="24"/>
        </w:rPr>
        <w:t xml:space="preserve">odatkowe ograniczenie wynika z konieczności poniesienia opłaty za korzystanie z tej procedury.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 3</w:t>
      </w:r>
      <w:r w:rsidRPr="009A3C86">
        <w:rPr>
          <w:rFonts w:ascii="Times New Roman" w:hAnsi="Times New Roman"/>
          <w:sz w:val="24"/>
          <w:szCs w:val="24"/>
        </w:rPr>
        <w:t xml:space="preserve"> stanowi, że decyzja w sprawie skutków podatkowych dotyczy wyłącznie skutków podatkowych, które wystąpiły przed złożeniem przez zainteresowanego wniosku o konsultację. Zatem nie wydaje się decyzji w sprawie przyszłych (w tym hipotetycznych) czynności lub zdarzeń, lecz takich tylko, które już zaszły i których skutki podatkowe już wystąpiły przed złożeniem wniosku przez zainteresowanego. Co więcej, jeżeli transakcja wywołuje skutki rozciągnięte w czasie (np. w postaci możliwości ujęcia w rachunku podatkowym kosztów uzyskania przychodów z tytułu odpisów amortyzacyjnych od wartości początkowej składnika majątkowego wniesionego aportem), decyzję wydaje się tylko w zakresie tych skutków podatkowych, które wystąpiły przed złożeniem wniosku. Takie ograniczenie jest konsekwencją przyjętej konstrukcji decyzji w sprawie skutków podatkowych, która może stanowić decyzję wymiarową.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bCs/>
          <w:sz w:val="24"/>
          <w:szCs w:val="24"/>
        </w:rPr>
        <w:t>§ 4</w:t>
      </w:r>
      <w:r w:rsidRPr="009A3C86">
        <w:rPr>
          <w:rFonts w:ascii="Times New Roman" w:hAnsi="Times New Roman"/>
          <w:sz w:val="24"/>
          <w:szCs w:val="24"/>
        </w:rPr>
        <w:t xml:space="preserve"> nie wydaje się decyzji w sprawie skutków podatkowych w zakresie skutków podatkowych transakcji, które w dniu złożenia wniosku o konsultację są przedmiotem postępowania podatkowego, kontroli podatkowej lub kontroli celno-skarbowej. Postępowanie będzie zatem prowadzone pod warunkiem, że w momencie jego wszczęcia nie jest w tym samym zakresie prowadzone jurysdykcyjne postępowanie podatkowe lub kontrola podatkowa albo celno-skarbowa (w szczególności w sprawie określenia wysokości zobowiązania podatkowego). Na przeszkodzie jego wszczęciu nie będzie natomiast stać toczące się lub już zakończone postępowanie w sprawie wydania interpretacji podatkowej (i </w:t>
      </w:r>
      <w:r w:rsidRPr="009A3C86">
        <w:rPr>
          <w:rFonts w:ascii="Times New Roman" w:hAnsi="Times New Roman"/>
          <w:i/>
          <w:iCs/>
          <w:sz w:val="24"/>
          <w:szCs w:val="24"/>
        </w:rPr>
        <w:t>vice versa</w:t>
      </w:r>
      <w:r w:rsidRPr="009A3C86">
        <w:rPr>
          <w:rFonts w:ascii="Times New Roman" w:hAnsi="Times New Roman"/>
          <w:sz w:val="24"/>
          <w:szCs w:val="24"/>
        </w:rPr>
        <w:t xml:space="preserve"> – wszczęcie procedury konsultacyjnej nie stoi na przeszkodzie złożeniu wniosku o wydanie interpretacji indywidualnej). Natomiast w ramach procedury konsultacyjnej będzie można podważyć ocenę prawną zawartą w interpretacji indywidualnej, jeżeli okaże się, że występują różnice w stanie faktycznym w stosunku do przedstawionego we wniosku o interpretację.</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Jest oczywiste, że procedura konsultacyjna nie może zostać wszczęta w sytuacji, gdy postępowanie podatkowe w sprawie zobowiązania podatkowego zostało wcześniej rozstrzygnięte co do istoty. Taka procedura musiałaby bowiem zostać zakończona wydaniem drugiej decyzji w tej samej sprawie.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Jednocześnie procedura będzie pozostawać bez wpływu na możliwość wszczęcia i prowadzenia postępowania podatkowego wymiarowego w pełnym zakresie, tj. nie tylko w zakresie skutków podatkowych danej transakcji, a całego zobowiązania podatkowego za dany okres. Stanowi o tym </w:t>
      </w:r>
      <w:r w:rsidRPr="009A3C86">
        <w:rPr>
          <w:rFonts w:ascii="Times New Roman" w:hAnsi="Times New Roman"/>
          <w:b/>
          <w:bCs/>
          <w:sz w:val="24"/>
          <w:szCs w:val="24"/>
        </w:rPr>
        <w:t>§ 6</w:t>
      </w:r>
      <w:r w:rsidRPr="009A3C86">
        <w:rPr>
          <w:rFonts w:ascii="Times New Roman" w:hAnsi="Times New Roman"/>
          <w:sz w:val="24"/>
          <w:szCs w:val="24"/>
        </w:rPr>
        <w:t xml:space="preserve">. W razie wszczęcia z urzędu postępowania podatkowego w sprawie obejmującej transakcję, w odniesieniu do której został złożony wniosek o konsultację, żądanie zawarte we wniosku podlega rozpatrzeniu w tym postępowaniu, a postępowanie wszczęte </w:t>
      </w:r>
      <w:r w:rsidR="00FC3A5C" w:rsidRPr="009A3C86">
        <w:rPr>
          <w:rFonts w:ascii="Times New Roman" w:hAnsi="Times New Roman"/>
          <w:sz w:val="24"/>
          <w:szCs w:val="24"/>
        </w:rPr>
        <w:t xml:space="preserve">tym </w:t>
      </w:r>
      <w:r w:rsidRPr="009A3C86">
        <w:rPr>
          <w:rFonts w:ascii="Times New Roman" w:hAnsi="Times New Roman"/>
          <w:sz w:val="24"/>
          <w:szCs w:val="24"/>
        </w:rPr>
        <w:t>wnioskiem podlega umorzeniu.</w:t>
      </w:r>
      <w:r w:rsidRPr="009A3C86">
        <w:rPr>
          <w:rFonts w:ascii="Times New Roman" w:hAnsi="Times New Roman"/>
          <w:bCs/>
          <w:sz w:val="24"/>
          <w:szCs w:val="24"/>
        </w:rPr>
        <w:t xml:space="preserve">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5</w:t>
      </w:r>
      <w:r w:rsidRPr="009A3C86">
        <w:rPr>
          <w:rFonts w:ascii="Times New Roman" w:hAnsi="Times New Roman"/>
          <w:sz w:val="24"/>
          <w:szCs w:val="24"/>
        </w:rPr>
        <w:t xml:space="preserve"> decyzji w sprawie skutków podatkowych nie wydaje się, jeżeli transakcja jest przedmiotem </w:t>
      </w:r>
      <w:r w:rsidR="00703581" w:rsidRPr="009A3C86">
        <w:rPr>
          <w:rFonts w:ascii="Times New Roman" w:hAnsi="Times New Roman"/>
          <w:sz w:val="24"/>
          <w:szCs w:val="24"/>
        </w:rPr>
        <w:t>uprzednich porozumień cenowych</w:t>
      </w:r>
      <w:r w:rsidRPr="009A3C86">
        <w:rPr>
          <w:rFonts w:ascii="Times New Roman" w:hAnsi="Times New Roman"/>
          <w:sz w:val="24"/>
          <w:szCs w:val="24"/>
        </w:rPr>
        <w:t xml:space="preserve">, opinii zabezpieczającej, o której mowa </w:t>
      </w:r>
      <w:r w:rsidR="00703581" w:rsidRPr="009A3C86">
        <w:rPr>
          <w:rFonts w:ascii="Times New Roman" w:hAnsi="Times New Roman"/>
          <w:sz w:val="24"/>
          <w:szCs w:val="24"/>
        </w:rPr>
        <w:t xml:space="preserve">art. 606 § 1 </w:t>
      </w:r>
      <w:r w:rsidRPr="009A3C86">
        <w:rPr>
          <w:rFonts w:ascii="Times New Roman" w:hAnsi="Times New Roman"/>
          <w:sz w:val="24"/>
          <w:szCs w:val="24"/>
        </w:rPr>
        <w:t>lub porozumienia podatkowego zawieranego z podatnikiem będącym stroną umowy o współdziałanie.</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Postępowanie konsultacyjne będzie prowadzone co do zasady przez organ właściwy w sprawie danego zobowiązania podatkowego na zasadach ogólnych. Wyjątek wprowadza w tym względzie </w:t>
      </w:r>
      <w:r w:rsidRPr="009A3C86">
        <w:rPr>
          <w:rFonts w:ascii="Times New Roman" w:hAnsi="Times New Roman"/>
          <w:b/>
          <w:sz w:val="24"/>
          <w:szCs w:val="24"/>
        </w:rPr>
        <w:t>§ 7</w:t>
      </w:r>
      <w:r w:rsidRPr="009A3C86">
        <w:rPr>
          <w:rFonts w:ascii="Times New Roman" w:hAnsi="Times New Roman"/>
          <w:sz w:val="24"/>
          <w:szCs w:val="24"/>
        </w:rPr>
        <w:t xml:space="preserve">, zgodnie z którym w przypadku prowadzenia więcej niż jednego postępowania konsultacyjnego w sprawie tej samej transakcji przez różne organy podatkowe, </w:t>
      </w:r>
      <w:r w:rsidR="00DD6A0A" w:rsidRPr="009A3C86">
        <w:rPr>
          <w:rFonts w:ascii="Times New Roman" w:hAnsi="Times New Roman"/>
          <w:sz w:val="24"/>
          <w:szCs w:val="24"/>
        </w:rPr>
        <w:t>w tym</w:t>
      </w:r>
      <w:r w:rsidRPr="009A3C86">
        <w:rPr>
          <w:rFonts w:ascii="Times New Roman" w:hAnsi="Times New Roman"/>
          <w:sz w:val="24"/>
          <w:szCs w:val="24"/>
        </w:rPr>
        <w:t xml:space="preserve"> w zakresie różnych podatków, postępowanie konsultacyjne jest przekazywane przez te organy do prowadzenia przez dyrektora izby administracji skarbowej, w którego obszarze właściwości miejscowej działają, a jeśli nie działają w obszarze właściwości miejscowej tego samego dyrektora izby administracji skarbowej, do Szefa KAS. Jest to jedno z rozwiązań, które mają służyć zapewnieniu spójności rozstrzygnięć zapadających w postępowaniach konsultacyjnych dotyczących tej samej transakcji.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 </w:t>
      </w:r>
      <w:r w:rsidRPr="009A3C86">
        <w:rPr>
          <w:rFonts w:ascii="Times New Roman" w:hAnsi="Times New Roman"/>
          <w:b/>
          <w:bCs/>
          <w:sz w:val="24"/>
          <w:szCs w:val="24"/>
        </w:rPr>
        <w:t>art. 5</w:t>
      </w:r>
      <w:r w:rsidR="00B8314A" w:rsidRPr="009A3C86">
        <w:rPr>
          <w:rFonts w:ascii="Times New Roman" w:hAnsi="Times New Roman"/>
          <w:b/>
          <w:bCs/>
          <w:sz w:val="24"/>
          <w:szCs w:val="24"/>
        </w:rPr>
        <w:t>82</w:t>
      </w:r>
      <w:r w:rsidRPr="009A3C86">
        <w:rPr>
          <w:rFonts w:ascii="Times New Roman" w:hAnsi="Times New Roman"/>
          <w:sz w:val="24"/>
          <w:szCs w:val="24"/>
        </w:rPr>
        <w:t xml:space="preserve"> wymienia elementy wniosku o konsultację (wniosku o wydanie decyzji w sprawie skutków podatkowych). Zgodnie z </w:t>
      </w:r>
      <w:r w:rsidRPr="009A3C86">
        <w:rPr>
          <w:rFonts w:ascii="Times New Roman" w:hAnsi="Times New Roman"/>
          <w:b/>
          <w:bCs/>
          <w:sz w:val="24"/>
          <w:szCs w:val="24"/>
        </w:rPr>
        <w:t>§ 1</w:t>
      </w:r>
      <w:r w:rsidRPr="009A3C86">
        <w:rPr>
          <w:rFonts w:ascii="Times New Roman" w:hAnsi="Times New Roman"/>
          <w:sz w:val="24"/>
          <w:szCs w:val="24"/>
        </w:rPr>
        <w:t xml:space="preserve"> wniosek taki zawiera oznaczenie wnioskodawcy, wskazanie pozostałych stron lub uczestników transakcji, wskazanie podatku, którego dotyczy, wskazanie rodzaju, przedmiotu i wartości transakcji, wyczerpujący opis przebiegu transakcji wraz ze wskazaniem występujących między uczestniczącymi w niej podmiotami związków, o których mowa w art. 11 ustawy o podatku dochodowym od osób prawnych lub art. 25 ustawy o podatku dochodowym od osób fizycznych, lub art. 32 ustawy o podatku od towarów i usług, </w:t>
      </w:r>
      <w:r w:rsidRPr="009A3C86">
        <w:rPr>
          <w:rFonts w:ascii="Times New Roman" w:hAnsi="Times New Roman"/>
          <w:bCs/>
          <w:sz w:val="24"/>
          <w:szCs w:val="24"/>
        </w:rPr>
        <w:t xml:space="preserve">informację o interpretacjach indywidualnych dotyczących transakcji, w tym znanych wnioskodawcy interpretacjach indywidualnych uzyskanych w </w:t>
      </w:r>
      <w:r w:rsidRPr="009A3C86">
        <w:rPr>
          <w:rFonts w:ascii="Times New Roman" w:hAnsi="Times New Roman"/>
          <w:bCs/>
          <w:sz w:val="24"/>
          <w:szCs w:val="24"/>
        </w:rPr>
        <w:lastRenderedPageBreak/>
        <w:t xml:space="preserve">odniesieniu do tej transakcji przez pozostałe jej strony lub uczestników, </w:t>
      </w:r>
      <w:r w:rsidRPr="009A3C86">
        <w:rPr>
          <w:rFonts w:ascii="Times New Roman" w:hAnsi="Times New Roman"/>
          <w:sz w:val="24"/>
          <w:szCs w:val="24"/>
        </w:rPr>
        <w:t xml:space="preserve">informację, czy według wiedzy wnioskodawcy w odniesieniu do tej samej transakcji jest prowadzone inne postępowanie konsultacyjne, a także własne stanowisko wnioskodawcy co do skutków podatkowych transakcji. Co istotne, zgodnie z </w:t>
      </w:r>
      <w:r w:rsidRPr="009A3C86">
        <w:rPr>
          <w:rFonts w:ascii="Times New Roman" w:hAnsi="Times New Roman"/>
          <w:b/>
          <w:bCs/>
          <w:sz w:val="24"/>
          <w:szCs w:val="24"/>
        </w:rPr>
        <w:t>§ 2</w:t>
      </w:r>
      <w:r w:rsidRPr="009A3C86">
        <w:rPr>
          <w:rFonts w:ascii="Times New Roman" w:hAnsi="Times New Roman"/>
          <w:sz w:val="24"/>
          <w:szCs w:val="24"/>
        </w:rPr>
        <w:t xml:space="preserve"> do wniosku należy załączyć dokumentację dotyczącą transakcji, w szczególności oryginały lub uwierzytelnione kopie umów.</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wskazuje elementy samego wniosku; nie oznacza on jednak, że postępowanie podatkowe wszczęte wnioskiem ogranicza się z konieczności jedynie do tych elementów i zawartych w nim informacji. Procedura uregulowana w rozdziale 3 stanowi typ postępowania podatkowego, a ze względu na treść </w:t>
      </w:r>
      <w:r w:rsidRPr="009A3C86">
        <w:rPr>
          <w:rFonts w:ascii="Times New Roman" w:hAnsi="Times New Roman"/>
          <w:bCs/>
          <w:sz w:val="24"/>
          <w:szCs w:val="24"/>
        </w:rPr>
        <w:t xml:space="preserve">art. </w:t>
      </w:r>
      <w:r w:rsidR="002B739C" w:rsidRPr="009A3C86">
        <w:rPr>
          <w:rFonts w:ascii="Times New Roman" w:hAnsi="Times New Roman"/>
          <w:bCs/>
          <w:sz w:val="24"/>
          <w:szCs w:val="24"/>
        </w:rPr>
        <w:t>5</w:t>
      </w:r>
      <w:r w:rsidR="00595CCD" w:rsidRPr="009A3C86">
        <w:rPr>
          <w:rFonts w:ascii="Times New Roman" w:hAnsi="Times New Roman"/>
          <w:bCs/>
          <w:sz w:val="24"/>
          <w:szCs w:val="24"/>
        </w:rPr>
        <w:t>93</w:t>
      </w:r>
      <w:r w:rsidR="002B739C" w:rsidRPr="009A3C86">
        <w:rPr>
          <w:rFonts w:ascii="Times New Roman" w:hAnsi="Times New Roman"/>
          <w:sz w:val="24"/>
          <w:szCs w:val="24"/>
        </w:rPr>
        <w:t xml:space="preserve"> </w:t>
      </w:r>
      <w:r w:rsidRPr="009A3C86">
        <w:rPr>
          <w:rFonts w:ascii="Times New Roman" w:hAnsi="Times New Roman"/>
          <w:sz w:val="24"/>
          <w:szCs w:val="24"/>
        </w:rPr>
        <w:t xml:space="preserve">znajdują w niej odpowiednie zastosowanie – w zakresie nieuregulowanym – przepisy działu III. To oznacza, że mają w niej zastosowanie w szczególności przepisy o postępowaniu dowodowym.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Stosownie do </w:t>
      </w:r>
      <w:r w:rsidRPr="009A3C86">
        <w:rPr>
          <w:rFonts w:ascii="Times New Roman" w:hAnsi="Times New Roman"/>
          <w:b/>
          <w:sz w:val="24"/>
          <w:szCs w:val="24"/>
        </w:rPr>
        <w:t>art. 5</w:t>
      </w:r>
      <w:r w:rsidR="00B8314A" w:rsidRPr="009A3C86">
        <w:rPr>
          <w:rFonts w:ascii="Times New Roman" w:hAnsi="Times New Roman"/>
          <w:b/>
          <w:sz w:val="24"/>
          <w:szCs w:val="24"/>
        </w:rPr>
        <w:t>82</w:t>
      </w:r>
      <w:r w:rsidRPr="009A3C86">
        <w:rPr>
          <w:rFonts w:ascii="Times New Roman" w:hAnsi="Times New Roman"/>
          <w:b/>
          <w:sz w:val="24"/>
          <w:szCs w:val="24"/>
        </w:rPr>
        <w:t xml:space="preserve"> § 3</w:t>
      </w:r>
      <w:r w:rsidRPr="009A3C86">
        <w:rPr>
          <w:rFonts w:ascii="Times New Roman" w:hAnsi="Times New Roman"/>
          <w:sz w:val="24"/>
          <w:szCs w:val="24"/>
        </w:rPr>
        <w:t xml:space="preserve"> organ podatkowy zawiadamia o złożeniu wniosku pozostałe strony lub pozostałych uczestników transakcji. To da tym podmiotom szansę wystąpienia z własnym wnioskiem – wszczęcia postępowania konsultacyjnego, którego będą stroną. W takim przypadku oba postępowania zostaną przejęte przez organ wyższego rzędu: właściwego dyrektora izby administracji skarbowej lub Szefa KAS. </w:t>
      </w:r>
    </w:p>
    <w:p w:rsidR="00443800" w:rsidRPr="009A3C86" w:rsidRDefault="00443800" w:rsidP="00443800">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bCs/>
          <w:sz w:val="24"/>
          <w:szCs w:val="24"/>
          <w:lang w:eastAsia="pl-PL"/>
        </w:rPr>
        <w:t>art. 5</w:t>
      </w:r>
      <w:r w:rsidR="00B8314A" w:rsidRPr="009A3C86">
        <w:rPr>
          <w:rFonts w:ascii="Times New Roman" w:eastAsia="Times New Roman" w:hAnsi="Times New Roman"/>
          <w:b/>
          <w:bCs/>
          <w:sz w:val="24"/>
          <w:szCs w:val="24"/>
          <w:lang w:eastAsia="pl-PL"/>
        </w:rPr>
        <w:t>83</w:t>
      </w:r>
      <w:r w:rsidRPr="009A3C86">
        <w:rPr>
          <w:rFonts w:ascii="Times New Roman" w:eastAsia="Times New Roman" w:hAnsi="Times New Roman"/>
          <w:sz w:val="24"/>
          <w:szCs w:val="24"/>
          <w:lang w:eastAsia="pl-PL"/>
        </w:rPr>
        <w:t xml:space="preserve"> przed złożeniem wniosku o konsultację zainteresowany może zwrócić się do organu podatkowego o wyjaśnienie wszelkich wątpliwości dotyczących przeprowadzenia konsultacji w jego indywidualnej sprawie, w szczególności celowości wystąpienia z </w:t>
      </w:r>
      <w:r w:rsidR="006F0DAC" w:rsidRPr="009A3C86">
        <w:rPr>
          <w:rFonts w:ascii="Times New Roman" w:eastAsia="Times New Roman" w:hAnsi="Times New Roman"/>
          <w:sz w:val="24"/>
          <w:szCs w:val="24"/>
          <w:lang w:eastAsia="pl-PL"/>
        </w:rPr>
        <w:t xml:space="preserve">tym </w:t>
      </w:r>
      <w:r w:rsidRPr="009A3C86">
        <w:rPr>
          <w:rFonts w:ascii="Times New Roman" w:eastAsia="Times New Roman" w:hAnsi="Times New Roman"/>
          <w:sz w:val="24"/>
          <w:szCs w:val="24"/>
          <w:lang w:eastAsia="pl-PL"/>
        </w:rPr>
        <w:t xml:space="preserve">wnioskiem, zakresu niezbędnych informacji, trybu i przypuszczalnego terminu wydania decyzji w sprawie skutków podatkowych oraz przewidywanej jej treści. Wątpliwości te mogą zatem dotyczyć zarówno przebiegu procedury, jak i szans na uzyskanie satysfakcjonującego wnioskodawcę wyniku tej procedury.  Przepis ten jest wzorowany na podobnym przepisie dotyczącym postępowania w sprawach ustalenia cen transakcyjnych. Jest on przejawem nasilenia cech konsensualnych tej procedury. Ma też zapobiegać występowaniu przez zainteresowanego z wnioskiem o konsultację, gdy w sposób oczywisty wniosek ten nie może doprowadzić do pożądanego przezeń rezultatu. Stworzenie zainteresowanym możliwości pozyskania wstępnej orientacji co do szans uzyskania decyzji w sprawie skutków podatkowych jest zasadne w sytuacji, gdy postępowanie jest obciążone istotną opłatą.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Stosownie do </w:t>
      </w:r>
      <w:r w:rsidRPr="009A3C86">
        <w:rPr>
          <w:rFonts w:ascii="Times New Roman" w:hAnsi="Times New Roman"/>
          <w:bCs/>
          <w:sz w:val="24"/>
          <w:szCs w:val="24"/>
        </w:rPr>
        <w:t xml:space="preserve">art. </w:t>
      </w:r>
      <w:r w:rsidRPr="009A3C86">
        <w:rPr>
          <w:rFonts w:ascii="Times New Roman" w:hAnsi="Times New Roman"/>
          <w:b/>
          <w:bCs/>
          <w:sz w:val="24"/>
          <w:szCs w:val="24"/>
        </w:rPr>
        <w:t>5</w:t>
      </w:r>
      <w:r w:rsidR="00B8314A" w:rsidRPr="009A3C86">
        <w:rPr>
          <w:rFonts w:ascii="Times New Roman" w:hAnsi="Times New Roman"/>
          <w:b/>
          <w:bCs/>
          <w:sz w:val="24"/>
          <w:szCs w:val="24"/>
        </w:rPr>
        <w:t>84</w:t>
      </w:r>
      <w:r w:rsidRPr="009A3C86">
        <w:rPr>
          <w:rFonts w:ascii="Times New Roman" w:hAnsi="Times New Roman"/>
          <w:b/>
          <w:bCs/>
          <w:sz w:val="24"/>
          <w:szCs w:val="24"/>
        </w:rPr>
        <w:t xml:space="preserve"> § 1-3</w:t>
      </w:r>
      <w:r w:rsidRPr="009A3C86">
        <w:rPr>
          <w:rFonts w:ascii="Times New Roman" w:hAnsi="Times New Roman"/>
          <w:bCs/>
          <w:sz w:val="24"/>
          <w:szCs w:val="24"/>
        </w:rPr>
        <w:t xml:space="preserve"> </w:t>
      </w:r>
      <w:r w:rsidRPr="009A3C86">
        <w:rPr>
          <w:rFonts w:ascii="Times New Roman" w:hAnsi="Times New Roman"/>
          <w:sz w:val="24"/>
          <w:szCs w:val="24"/>
        </w:rPr>
        <w:t xml:space="preserve">w toku postępowania organ podatkowy i wnioskodawca mogą odbywać spotkania uzgodnieniowe, z których sporządza się protokół. Możliwe jest także utrwalenie przebiegu spotkania uzgodnieniowego za pomocą aparatury rejestrującej obraz i dźwięk, tym na informatycznych nośnikach danych. Kopia protokołu jest przekazywana </w:t>
      </w:r>
      <w:r w:rsidRPr="009A3C86">
        <w:rPr>
          <w:rFonts w:ascii="Times New Roman" w:hAnsi="Times New Roman"/>
          <w:sz w:val="24"/>
          <w:szCs w:val="24"/>
        </w:rPr>
        <w:lastRenderedPageBreak/>
        <w:t>organom właściwym dla pozostałych stron lub uczestników transakcji będącej przedmiotem postępowania konsultacyjnego.</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W trakcie postępowania konsultacyjnego może okazać się, że zajdzie potrzeba modyfikacji wniosku (np. rozszerzenia lub zawężenia jego zakresu) lub dostarczenia dodatkowych dokumentów i złożenia wyjaśnień. To w szczególności w celu poczynienia uzgodnień w tym zakresie organ podatkowy i wnioskodawca mogą odbywać spotkania uzgodnieniowe.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art. 5</w:t>
      </w:r>
      <w:r w:rsidR="00826B20" w:rsidRPr="009A3C86">
        <w:rPr>
          <w:rFonts w:ascii="Times New Roman" w:hAnsi="Times New Roman"/>
          <w:b/>
          <w:sz w:val="24"/>
          <w:szCs w:val="24"/>
        </w:rPr>
        <w:t>85</w:t>
      </w:r>
      <w:r w:rsidRPr="009A3C86">
        <w:rPr>
          <w:rFonts w:ascii="Times New Roman" w:hAnsi="Times New Roman"/>
          <w:sz w:val="24"/>
          <w:szCs w:val="24"/>
        </w:rPr>
        <w:t xml:space="preserve"> wnioskodawca ma obowiązek lojalnego poinformowania organu prowadzącego postępowanie o wszystkich faktach, które mogą mieć wpływ na rozstrzygnięcie sprawy, także w przypadku, gdy fakty te nie dotyczą bezpośrednio wnioskodawcy, lecz innych podmiotów, w tym jego jednostek dominujących lub zależnych w rozumieniu ustawy o rachunkowości. Lojalność w wykonywaniu obowiązku informacyjnego oznacza, że strona powinna informować organ w sposób wyczerpujący, niezwłocznie, mając na względzie realizację celu procedury konsultacyjnej. Oznacza to także przedstawienie i wyjaśnienie organowi kwestii, które niekoniecznie są związane ze sprawą w sposób bezpośredni, ale – na przykład – stwarzają jej prawnie istotny kontekst.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Istotną treść niesie również </w:t>
      </w:r>
      <w:r w:rsidRPr="009A3C86">
        <w:rPr>
          <w:rFonts w:ascii="Times New Roman" w:hAnsi="Times New Roman"/>
          <w:b/>
          <w:bCs/>
          <w:sz w:val="24"/>
          <w:szCs w:val="24"/>
        </w:rPr>
        <w:t>art. 5</w:t>
      </w:r>
      <w:r w:rsidR="00826B20" w:rsidRPr="009A3C86">
        <w:rPr>
          <w:rFonts w:ascii="Times New Roman" w:hAnsi="Times New Roman"/>
          <w:b/>
          <w:bCs/>
          <w:sz w:val="24"/>
          <w:szCs w:val="24"/>
        </w:rPr>
        <w:t>86</w:t>
      </w:r>
      <w:r w:rsidRPr="009A3C86">
        <w:rPr>
          <w:rFonts w:ascii="Times New Roman" w:hAnsi="Times New Roman"/>
          <w:sz w:val="24"/>
          <w:szCs w:val="24"/>
        </w:rPr>
        <w:t xml:space="preserve">. Zgodnie z </w:t>
      </w:r>
      <w:r w:rsidRPr="009A3C86">
        <w:rPr>
          <w:rFonts w:ascii="Times New Roman" w:hAnsi="Times New Roman"/>
          <w:b/>
          <w:bCs/>
          <w:sz w:val="24"/>
          <w:szCs w:val="24"/>
        </w:rPr>
        <w:t>§ 1</w:t>
      </w:r>
      <w:r w:rsidRPr="009A3C86">
        <w:rPr>
          <w:rFonts w:ascii="Times New Roman" w:hAnsi="Times New Roman"/>
          <w:sz w:val="24"/>
          <w:szCs w:val="24"/>
        </w:rPr>
        <w:t xml:space="preserve"> do czasu wydania decyzji w sprawie skutków podatkowych wnioskodawca może zmienić swoje stanowisko co do skutków podatkowych transakcji. Stosownie do </w:t>
      </w:r>
      <w:r w:rsidRPr="009A3C86">
        <w:rPr>
          <w:rFonts w:ascii="Times New Roman" w:hAnsi="Times New Roman"/>
          <w:b/>
          <w:bCs/>
          <w:sz w:val="24"/>
          <w:szCs w:val="24"/>
        </w:rPr>
        <w:t>§ 2</w:t>
      </w:r>
      <w:r w:rsidRPr="009A3C86">
        <w:rPr>
          <w:rFonts w:ascii="Times New Roman" w:hAnsi="Times New Roman"/>
          <w:sz w:val="24"/>
          <w:szCs w:val="24"/>
        </w:rPr>
        <w:t xml:space="preserve"> przed wydaniem decyzji w sprawie skutków podatkowych organ podatkowy doręcza wnioskodawcy projekt rozstrzygnięcia, wyznaczając mu czternastodniowy termin do wypowiedzenia się w sprawie tego projektu. Stosownie do </w:t>
      </w:r>
      <w:r w:rsidR="001C1CC2" w:rsidRPr="009A3C86">
        <w:rPr>
          <w:rFonts w:ascii="Times New Roman" w:hAnsi="Times New Roman"/>
          <w:b/>
          <w:bCs/>
          <w:sz w:val="24"/>
          <w:szCs w:val="24"/>
        </w:rPr>
        <w:t>§ </w:t>
      </w:r>
      <w:r w:rsidRPr="009A3C86">
        <w:rPr>
          <w:rFonts w:ascii="Times New Roman" w:hAnsi="Times New Roman"/>
          <w:b/>
          <w:bCs/>
          <w:sz w:val="24"/>
          <w:szCs w:val="24"/>
        </w:rPr>
        <w:t>3</w:t>
      </w:r>
      <w:r w:rsidRPr="009A3C86">
        <w:rPr>
          <w:rFonts w:ascii="Times New Roman" w:hAnsi="Times New Roman"/>
          <w:bCs/>
          <w:sz w:val="24"/>
          <w:szCs w:val="24"/>
        </w:rPr>
        <w:t xml:space="preserve"> </w:t>
      </w:r>
      <w:r w:rsidRPr="009A3C86">
        <w:rPr>
          <w:rFonts w:ascii="Times New Roman" w:hAnsi="Times New Roman"/>
          <w:sz w:val="24"/>
          <w:szCs w:val="24"/>
        </w:rPr>
        <w:t xml:space="preserve">przepis </w:t>
      </w:r>
      <w:r w:rsidRPr="009A3C86">
        <w:rPr>
          <w:rFonts w:ascii="Times New Roman" w:hAnsi="Times New Roman"/>
          <w:bCs/>
          <w:sz w:val="24"/>
          <w:szCs w:val="24"/>
        </w:rPr>
        <w:t xml:space="preserve">art. </w:t>
      </w:r>
      <w:r w:rsidR="005F69A8" w:rsidRPr="009A3C86">
        <w:rPr>
          <w:rFonts w:ascii="Times New Roman" w:hAnsi="Times New Roman"/>
          <w:bCs/>
          <w:sz w:val="24"/>
          <w:szCs w:val="24"/>
        </w:rPr>
        <w:t>1</w:t>
      </w:r>
      <w:r w:rsidR="00826B20" w:rsidRPr="009A3C86">
        <w:rPr>
          <w:rFonts w:ascii="Times New Roman" w:hAnsi="Times New Roman"/>
          <w:bCs/>
          <w:sz w:val="24"/>
          <w:szCs w:val="24"/>
        </w:rPr>
        <w:t>40</w:t>
      </w:r>
      <w:r w:rsidR="005F69A8" w:rsidRPr="009A3C86">
        <w:rPr>
          <w:rFonts w:ascii="Times New Roman" w:hAnsi="Times New Roman"/>
          <w:bCs/>
          <w:sz w:val="24"/>
          <w:szCs w:val="24"/>
        </w:rPr>
        <w:t xml:space="preserve"> </w:t>
      </w:r>
      <w:r w:rsidRPr="009A3C86">
        <w:rPr>
          <w:rFonts w:ascii="Times New Roman" w:hAnsi="Times New Roman"/>
          <w:bCs/>
          <w:sz w:val="24"/>
          <w:szCs w:val="24"/>
        </w:rPr>
        <w:t>§ 1</w:t>
      </w:r>
      <w:r w:rsidRPr="009A3C86">
        <w:rPr>
          <w:rFonts w:ascii="Times New Roman" w:hAnsi="Times New Roman"/>
          <w:sz w:val="24"/>
          <w:szCs w:val="24"/>
        </w:rPr>
        <w:t xml:space="preserve"> stosuje się odpowiednio, tj. wnioskodawca może po otrzymaniu projektu rozstrzygnięcia, a przez wydaniem decyzji dokonać korekty deklaracji.</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To oznacza, że do czasu wydania decyzji wnioskodawca zachowuje swobodę co do sposobu postępowania. Otrzymawszy projekt rozstrzygnięcia – a tym samym pozyskawszy wiedzę na temat sposobu, w jaki sprawa będzie rozstrzygnięta – wnioskodawca może postąpić według swojego uznania: albo wycofać wniosek (co jest możliwe na zasadach ogólnych i spowoduje umorzenie postępowania), albo zmienić swoje stanowisko co do skutków podatkowych transakcji (co może spowodować zmianę stanowiska organu podatkowego, a w konsekwencji także zmianę treści rozstrzygnięcia zawartego w decyzji), albo skorygować deklarację (np. zgodnie z oczekiwaniami organu podatkowego), albo wreszcie nie czynić nic (w takim przypadku decyzja zostanie wydana zgodnie z projektem, następnie zaś wnioskodawca będzie mógł zdecydować o jej zaskarżeniu lub pozostawieniu tak, by stała się ostateczna i się uprawomocniła). Pozwoli to wnioskodawcy decydować o tym, czy w razie gdy uzgodnienia z organem podatkowym będą prowadzić do rezultatu dla niego niesatysfakcjonującego, </w:t>
      </w:r>
      <w:r w:rsidRPr="009A3C86">
        <w:rPr>
          <w:rFonts w:ascii="Times New Roman" w:hAnsi="Times New Roman"/>
          <w:sz w:val="24"/>
          <w:szCs w:val="24"/>
        </w:rPr>
        <w:lastRenderedPageBreak/>
        <w:t xml:space="preserve">doprowadzić do nieefektywnego zakończenia procedury (umorzenia postępowania), czy też wejść na drogę sporu z organem (zaskarżyć wydaną decyzję).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4. W postępowaniu konsultacyjnym są wydawane decyzje. Decyzje te, na zasadach ogólnych, są wiążące dla organu podatkowego i podatnika oraz podlegają zaskarżeniu – w trybie odwoławczym i przez wniesienie skargi do sądu administracyjnego. Decyzje ostateczne będą mogły zostać wzruszone w razie wystąpienia jednej z przesłanek uzasadniających stwierdzenie nieważności decyzji podatkowej lub wznowienie postępowania prowadzącego do wydania decyzji.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Kolejne przepisy – </w:t>
      </w:r>
      <w:r w:rsidRPr="009A3C86">
        <w:rPr>
          <w:rFonts w:ascii="Times New Roman" w:hAnsi="Times New Roman"/>
          <w:b/>
          <w:bCs/>
          <w:sz w:val="24"/>
          <w:szCs w:val="24"/>
        </w:rPr>
        <w:t>art. 5</w:t>
      </w:r>
      <w:r w:rsidR="00826B20" w:rsidRPr="009A3C86">
        <w:rPr>
          <w:rFonts w:ascii="Times New Roman" w:hAnsi="Times New Roman"/>
          <w:b/>
          <w:bCs/>
          <w:sz w:val="24"/>
          <w:szCs w:val="24"/>
        </w:rPr>
        <w:t>87</w:t>
      </w:r>
      <w:r w:rsidRPr="009A3C86">
        <w:rPr>
          <w:rFonts w:ascii="Times New Roman" w:hAnsi="Times New Roman"/>
          <w:b/>
          <w:sz w:val="24"/>
          <w:szCs w:val="24"/>
        </w:rPr>
        <w:t xml:space="preserve"> i </w:t>
      </w:r>
      <w:r w:rsidRPr="009A3C86">
        <w:rPr>
          <w:rFonts w:ascii="Times New Roman" w:hAnsi="Times New Roman"/>
          <w:b/>
          <w:bCs/>
          <w:sz w:val="24"/>
          <w:szCs w:val="24"/>
        </w:rPr>
        <w:t>5</w:t>
      </w:r>
      <w:r w:rsidR="00826B20" w:rsidRPr="009A3C86">
        <w:rPr>
          <w:rFonts w:ascii="Times New Roman" w:hAnsi="Times New Roman"/>
          <w:b/>
          <w:bCs/>
          <w:sz w:val="24"/>
          <w:szCs w:val="24"/>
        </w:rPr>
        <w:t>88</w:t>
      </w:r>
      <w:r w:rsidRPr="009A3C86">
        <w:rPr>
          <w:rFonts w:ascii="Times New Roman" w:hAnsi="Times New Roman"/>
          <w:sz w:val="24"/>
          <w:szCs w:val="24"/>
        </w:rPr>
        <w:t xml:space="preserve"> – określają treść decyzji w sprawie skutków podatkowych. Treść ta jest zróżnicowana w zależności od tego, czy zachodzą powody wydania decyzji wymiarowej.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bCs/>
          <w:sz w:val="24"/>
          <w:szCs w:val="24"/>
        </w:rPr>
        <w:t>art. 5</w:t>
      </w:r>
      <w:r w:rsidR="00826B20" w:rsidRPr="009A3C86">
        <w:rPr>
          <w:rFonts w:ascii="Times New Roman" w:hAnsi="Times New Roman"/>
          <w:b/>
          <w:bCs/>
          <w:sz w:val="24"/>
          <w:szCs w:val="24"/>
        </w:rPr>
        <w:t>87</w:t>
      </w:r>
      <w:r w:rsidRPr="009A3C86">
        <w:rPr>
          <w:rFonts w:ascii="Times New Roman" w:hAnsi="Times New Roman"/>
          <w:b/>
          <w:bCs/>
          <w:sz w:val="24"/>
          <w:szCs w:val="24"/>
        </w:rPr>
        <w:t xml:space="preserve"> § 1-2</w:t>
      </w:r>
      <w:r w:rsidRPr="009A3C86">
        <w:rPr>
          <w:rFonts w:ascii="Times New Roman" w:hAnsi="Times New Roman"/>
          <w:sz w:val="24"/>
          <w:szCs w:val="24"/>
        </w:rPr>
        <w:t xml:space="preserve"> decyzja w sprawie skutków podatkowych zawiera ocenę stanowiska wnioskodawcy co do skutków podatkowych transakcji wraz z uzasadnieniem faktycznym i prawnym tej oceny. W razie uznania stanowiska wnioskodawcy za nieprawidłowe decyzja w sprawie skutków podatkowych zawiera także wskazanie prawidłowego stanowiska wraz z uzasadnieniem faktycznym i prawnym.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przypadku wystąpienia przesłanek wskazanych w przepisach </w:t>
      </w:r>
      <w:r w:rsidRPr="009A3C86">
        <w:rPr>
          <w:rFonts w:ascii="Times New Roman" w:hAnsi="Times New Roman"/>
          <w:bCs/>
          <w:sz w:val="24"/>
          <w:szCs w:val="24"/>
        </w:rPr>
        <w:t>art. 1</w:t>
      </w:r>
      <w:r w:rsidR="00826B20" w:rsidRPr="009A3C86">
        <w:rPr>
          <w:rFonts w:ascii="Times New Roman" w:hAnsi="Times New Roman"/>
          <w:bCs/>
          <w:sz w:val="24"/>
          <w:szCs w:val="24"/>
        </w:rPr>
        <w:t>30</w:t>
      </w:r>
      <w:r w:rsidRPr="009A3C86">
        <w:rPr>
          <w:rFonts w:ascii="Times New Roman" w:hAnsi="Times New Roman"/>
          <w:bCs/>
          <w:sz w:val="24"/>
          <w:szCs w:val="24"/>
        </w:rPr>
        <w:t xml:space="preserve"> § 2 </w:t>
      </w:r>
      <w:r w:rsidR="00154D5C" w:rsidRPr="009A3C86">
        <w:rPr>
          <w:rFonts w:ascii="Times New Roman" w:hAnsi="Times New Roman"/>
          <w:bCs/>
          <w:sz w:val="24"/>
          <w:szCs w:val="24"/>
        </w:rPr>
        <w:t>lub</w:t>
      </w:r>
      <w:r w:rsidRPr="009A3C86">
        <w:rPr>
          <w:rFonts w:ascii="Times New Roman" w:hAnsi="Times New Roman"/>
          <w:bCs/>
          <w:sz w:val="24"/>
          <w:szCs w:val="24"/>
        </w:rPr>
        <w:t xml:space="preserve"> 4</w:t>
      </w:r>
      <w:r w:rsidRPr="009A3C86">
        <w:rPr>
          <w:rFonts w:ascii="Times New Roman" w:hAnsi="Times New Roman"/>
          <w:sz w:val="24"/>
          <w:szCs w:val="24"/>
        </w:rPr>
        <w:t>, tj. w razie stwierdzenia, że złożona deklaracja lub dokonane rozliczenie są nieprawidłowe, w związku z czym zachodzą przesłanki wydania decyzji wymiarowej (określającej), w decyzji w sprawie skutków podatkowych organ podatkowy dokonuje wymiaru podatku w zakresie skutków podatkowych transakcji objętej wnioskiem o konsultację (</w:t>
      </w:r>
      <w:r w:rsidRPr="009A3C86">
        <w:rPr>
          <w:rFonts w:ascii="Times New Roman" w:hAnsi="Times New Roman"/>
          <w:b/>
          <w:bCs/>
          <w:sz w:val="24"/>
          <w:szCs w:val="24"/>
        </w:rPr>
        <w:t>art. 5</w:t>
      </w:r>
      <w:r w:rsidR="00826B20" w:rsidRPr="009A3C86">
        <w:rPr>
          <w:rFonts w:ascii="Times New Roman" w:hAnsi="Times New Roman"/>
          <w:b/>
          <w:bCs/>
          <w:sz w:val="24"/>
          <w:szCs w:val="24"/>
        </w:rPr>
        <w:t>88</w:t>
      </w:r>
      <w:r w:rsidRPr="009A3C86">
        <w:rPr>
          <w:rFonts w:ascii="Times New Roman" w:hAnsi="Times New Roman"/>
          <w:sz w:val="24"/>
          <w:szCs w:val="24"/>
        </w:rPr>
        <w:t>). Taka decyzja ma charakter cząstkowy: ma przymiot powagi rzeczy osądzonej tylko w odniesieniu do tego wycinka zobowiązania podatkowego, które było przedmiotem postępowania oraz staje się przedmiotem orzekania decyzją w sprawie skutków podatkowych. Dlatego w uzasadnieniu tej decyzji organ podatkowy informuje jej adresata o tym, że w pozostałym zakresie złożona przez niego deklaracja wywołuje skutki prawne.</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art. 5</w:t>
      </w:r>
      <w:r w:rsidR="00826B20" w:rsidRPr="009A3C86">
        <w:rPr>
          <w:rFonts w:ascii="Times New Roman" w:hAnsi="Times New Roman"/>
          <w:b/>
          <w:bCs/>
          <w:sz w:val="24"/>
          <w:szCs w:val="24"/>
        </w:rPr>
        <w:t>88</w:t>
      </w:r>
      <w:r w:rsidRPr="009A3C86">
        <w:rPr>
          <w:rFonts w:ascii="Times New Roman" w:hAnsi="Times New Roman"/>
          <w:bCs/>
          <w:sz w:val="24"/>
          <w:szCs w:val="24"/>
        </w:rPr>
        <w:t xml:space="preserve"> </w:t>
      </w:r>
      <w:r w:rsidRPr="009A3C86">
        <w:rPr>
          <w:rFonts w:ascii="Times New Roman" w:hAnsi="Times New Roman"/>
          <w:sz w:val="24"/>
          <w:szCs w:val="24"/>
        </w:rPr>
        <w:t>nie przewiduje możliwości wydawania decyzji ustalających, ponieważ w ich przypadku samo złożenie przez podatnika informacji podatkowej uruchamia (wszczyna) zwykłe postępowanie podatkowe.</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art. 58</w:t>
      </w:r>
      <w:r w:rsidR="00826B20" w:rsidRPr="009A3C86">
        <w:rPr>
          <w:rFonts w:ascii="Times New Roman" w:hAnsi="Times New Roman"/>
          <w:b/>
          <w:sz w:val="24"/>
          <w:szCs w:val="24"/>
        </w:rPr>
        <w:t>9</w:t>
      </w:r>
      <w:r w:rsidRPr="009A3C86">
        <w:rPr>
          <w:rFonts w:ascii="Times New Roman" w:hAnsi="Times New Roman"/>
          <w:sz w:val="24"/>
          <w:szCs w:val="24"/>
        </w:rPr>
        <w:t xml:space="preserve"> decyzja w sprawie skutków podatkowych rozstrzyga sprawę co do istoty w zakresie transakcji i podatku określonych we wniosku</w:t>
      </w:r>
      <w:r w:rsidR="00932BCD" w:rsidRPr="009A3C86">
        <w:rPr>
          <w:rFonts w:ascii="Times New Roman" w:hAnsi="Times New Roman"/>
          <w:sz w:val="24"/>
          <w:szCs w:val="24"/>
        </w:rPr>
        <w:t xml:space="preserve"> o konsultację</w:t>
      </w:r>
      <w:r w:rsidRPr="009A3C86">
        <w:rPr>
          <w:rFonts w:ascii="Times New Roman" w:hAnsi="Times New Roman"/>
          <w:sz w:val="24"/>
          <w:szCs w:val="24"/>
        </w:rPr>
        <w:t>. Wydając decyzję w sprawie skutków podatkowych lub decyzję wymiarową dla pozostałych stron lub uczestników transakcji organy podatkowe są obowiązane zachować spójność rozstrzygnięcia w traktowaniu transakcji na gruncie prawa materialnego (§ 2).</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5. Przepisy </w:t>
      </w:r>
      <w:r w:rsidRPr="009A3C86">
        <w:rPr>
          <w:rFonts w:ascii="Times New Roman" w:hAnsi="Times New Roman"/>
          <w:b/>
          <w:bCs/>
          <w:sz w:val="24"/>
          <w:szCs w:val="24"/>
        </w:rPr>
        <w:t>art. 5</w:t>
      </w:r>
      <w:r w:rsidR="00826B20" w:rsidRPr="009A3C86">
        <w:rPr>
          <w:rFonts w:ascii="Times New Roman" w:hAnsi="Times New Roman"/>
          <w:b/>
          <w:bCs/>
          <w:sz w:val="24"/>
          <w:szCs w:val="24"/>
        </w:rPr>
        <w:t>90</w:t>
      </w:r>
      <w:r w:rsidRPr="009A3C86">
        <w:rPr>
          <w:rFonts w:ascii="Times New Roman" w:hAnsi="Times New Roman"/>
          <w:b/>
          <w:bCs/>
          <w:sz w:val="24"/>
          <w:szCs w:val="24"/>
        </w:rPr>
        <w:t>-5</w:t>
      </w:r>
      <w:r w:rsidR="00826B20" w:rsidRPr="009A3C86">
        <w:rPr>
          <w:rFonts w:ascii="Times New Roman" w:hAnsi="Times New Roman"/>
          <w:b/>
          <w:bCs/>
          <w:sz w:val="24"/>
          <w:szCs w:val="24"/>
        </w:rPr>
        <w:t>91</w:t>
      </w:r>
      <w:r w:rsidRPr="009A3C86">
        <w:rPr>
          <w:rFonts w:ascii="Times New Roman" w:hAnsi="Times New Roman"/>
          <w:sz w:val="24"/>
          <w:szCs w:val="24"/>
        </w:rPr>
        <w:t xml:space="preserve"> dotyczą opłaty, którą wnioskodawca obowiązany jest wnieść, aby uzyskać decyzję w sprawie skutków podatkowych transakcji. Wniosek o konsultację podlega opłacie wpłacanej na rachunek organu podatkowego właściwego w sprawie konsultacji w terminie 7 dni od dnia złożenia wniosku (</w:t>
      </w:r>
      <w:r w:rsidRPr="009A3C86">
        <w:rPr>
          <w:rFonts w:ascii="Times New Roman" w:hAnsi="Times New Roman"/>
          <w:bCs/>
          <w:sz w:val="24"/>
          <w:szCs w:val="24"/>
        </w:rPr>
        <w:t>§ 1</w:t>
      </w:r>
      <w:r w:rsidRPr="009A3C86">
        <w:rPr>
          <w:rFonts w:ascii="Times New Roman" w:hAnsi="Times New Roman"/>
          <w:sz w:val="24"/>
          <w:szCs w:val="24"/>
        </w:rPr>
        <w:t>).</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Opłata została skalkulowana na poziomie umożliwiającym pokrycie kosztów przeprowadzenia przez organ podatkowy procedur, a zarazem odzwierciedlającym korzyści, jakich może oczekiwać wnioskodawca z jej przeprowadzenia (które naturalnie są większe w przypadku transakcji o większej wartości). Jednocześnie zasadne jest również uzależnienie wysokości opłaty od wielkości przedsiębiorcy, tj. skali prowadzonej przez niego działalności gospodarczej.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Stosownie do </w:t>
      </w:r>
      <w:r w:rsidRPr="009A3C86">
        <w:rPr>
          <w:rFonts w:ascii="Times New Roman" w:hAnsi="Times New Roman"/>
          <w:b/>
          <w:bCs/>
          <w:sz w:val="24"/>
          <w:szCs w:val="24"/>
        </w:rPr>
        <w:t>§ 2</w:t>
      </w:r>
      <w:r w:rsidRPr="009A3C86">
        <w:rPr>
          <w:rFonts w:ascii="Times New Roman" w:hAnsi="Times New Roman"/>
          <w:sz w:val="24"/>
          <w:szCs w:val="24"/>
        </w:rPr>
        <w:t xml:space="preserve"> wysokość opłaty od wniosku o konsultację wynosi 1 procent wartości transakcji będącej przedmiotem konsultacji, przy czym dla konsultacji dotyczącej transakcji niezwiązanych z prowadzeniem działalności gospodarczej – nie mniej niż 500 zł i nie więcej niż 1</w:t>
      </w:r>
      <w:r w:rsidR="00843C63" w:rsidRPr="009A3C86">
        <w:rPr>
          <w:rFonts w:ascii="Times New Roman" w:hAnsi="Times New Roman"/>
          <w:sz w:val="24"/>
          <w:szCs w:val="24"/>
        </w:rPr>
        <w:t xml:space="preserve"> </w:t>
      </w:r>
      <w:r w:rsidRPr="009A3C86">
        <w:rPr>
          <w:rFonts w:ascii="Times New Roman" w:hAnsi="Times New Roman"/>
          <w:sz w:val="24"/>
          <w:szCs w:val="24"/>
        </w:rPr>
        <w:t>000 zł; transakcji związanych z prowadzeniem działalności gospodarczej i wniosków składanych przez: a) mikroprzedsiębiorców i małych przedsiębiorców – nie mniej niż 1</w:t>
      </w:r>
      <w:r w:rsidR="00843C63" w:rsidRPr="009A3C86">
        <w:rPr>
          <w:rFonts w:ascii="Times New Roman" w:hAnsi="Times New Roman"/>
          <w:sz w:val="24"/>
          <w:szCs w:val="24"/>
        </w:rPr>
        <w:t xml:space="preserve"> </w:t>
      </w:r>
      <w:r w:rsidRPr="009A3C86">
        <w:rPr>
          <w:rFonts w:ascii="Times New Roman" w:hAnsi="Times New Roman"/>
          <w:sz w:val="24"/>
          <w:szCs w:val="24"/>
        </w:rPr>
        <w:t>000 zł i nie więcej niż 7 500 zł; b) średnich przedsiębiorców – nie mniej niż 2</w:t>
      </w:r>
      <w:r w:rsidR="00843C63" w:rsidRPr="009A3C86">
        <w:rPr>
          <w:rFonts w:ascii="Times New Roman" w:hAnsi="Times New Roman"/>
          <w:sz w:val="24"/>
          <w:szCs w:val="24"/>
        </w:rPr>
        <w:t xml:space="preserve"> </w:t>
      </w:r>
      <w:r w:rsidRPr="009A3C86">
        <w:rPr>
          <w:rFonts w:ascii="Times New Roman" w:hAnsi="Times New Roman"/>
          <w:sz w:val="24"/>
          <w:szCs w:val="24"/>
        </w:rPr>
        <w:t xml:space="preserve">500 zł i nie więcej niż 25 000 zł; c) </w:t>
      </w:r>
      <w:r w:rsidR="00843C63" w:rsidRPr="009A3C86">
        <w:rPr>
          <w:rFonts w:ascii="Times New Roman" w:hAnsi="Times New Roman"/>
          <w:sz w:val="24"/>
          <w:szCs w:val="24"/>
        </w:rPr>
        <w:t>dużych</w:t>
      </w:r>
      <w:r w:rsidRPr="009A3C86">
        <w:rPr>
          <w:rFonts w:ascii="Times New Roman" w:hAnsi="Times New Roman"/>
          <w:sz w:val="24"/>
          <w:szCs w:val="24"/>
        </w:rPr>
        <w:t xml:space="preserve"> przedsiębiorców – nie mniej niż 5</w:t>
      </w:r>
      <w:r w:rsidR="00843C63" w:rsidRPr="009A3C86">
        <w:rPr>
          <w:rFonts w:ascii="Times New Roman" w:hAnsi="Times New Roman"/>
          <w:sz w:val="24"/>
          <w:szCs w:val="24"/>
        </w:rPr>
        <w:t xml:space="preserve"> </w:t>
      </w:r>
      <w:r w:rsidRPr="009A3C86">
        <w:rPr>
          <w:rFonts w:ascii="Times New Roman" w:hAnsi="Times New Roman"/>
          <w:sz w:val="24"/>
          <w:szCs w:val="24"/>
        </w:rPr>
        <w:t>000 zł i nie więcej niż 50 000 zł.</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W przypadku gdy wniosek o konsultację dotyczy części przedmiotu transakcji, jako wartość transakcji, o której mowa w § 2, przyjmuje się wartość tej części (</w:t>
      </w:r>
      <w:r w:rsidRPr="009A3C86">
        <w:rPr>
          <w:rFonts w:ascii="Times New Roman" w:hAnsi="Times New Roman"/>
          <w:b/>
          <w:sz w:val="24"/>
          <w:szCs w:val="24"/>
        </w:rPr>
        <w:t>§ 3</w:t>
      </w:r>
      <w:r w:rsidRPr="009A3C86">
        <w:rPr>
          <w:rFonts w:ascii="Times New Roman" w:hAnsi="Times New Roman"/>
          <w:sz w:val="24"/>
          <w:szCs w:val="24"/>
        </w:rPr>
        <w:t xml:space="preserve">). Może to mieć miejsce przykładowo w sytuacji, gdy wnioskodawca występuje o konsultację skutków podatkowych nabycia nieruchomości wniesionej aportem do spółki w ramach wkładu niepieniężnego w postaci przedsiębiorstwa. Wtedy wniesienie wkładu niepieniężnego w postaci przedsiębiorstwa jest w rozumieniu omawianych przepisów transakcją, jednak opłata obliczana będzie nie od wartości całego przedsiębiorstwa, a jedynie od wartości nieruchomości, której dotyczy wniosek.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przypadku gdy udziałowcem, akcjonariuszem lub wspólnikiem mikroprzedsiębiorcy, małego przedsiębiorcy albo średniego przedsiębiorcy </w:t>
      </w:r>
      <w:r w:rsidR="00236E8F" w:rsidRPr="009A3C86">
        <w:rPr>
          <w:rFonts w:ascii="Times New Roman" w:hAnsi="Times New Roman"/>
          <w:sz w:val="24"/>
          <w:szCs w:val="24"/>
        </w:rPr>
        <w:t xml:space="preserve">w rozumieniu ustawy z dnia 6 marca 2018 r. – Prawo przedsiębiorców </w:t>
      </w:r>
      <w:r w:rsidRPr="009A3C86">
        <w:rPr>
          <w:rFonts w:ascii="Times New Roman" w:hAnsi="Times New Roman"/>
          <w:sz w:val="24"/>
          <w:szCs w:val="24"/>
        </w:rPr>
        <w:t xml:space="preserve">jest, bezpośrednio lub pośrednio, odpowiednio, średni przedsiębiorca albo </w:t>
      </w:r>
      <w:r w:rsidR="007C00E2" w:rsidRPr="009A3C86">
        <w:rPr>
          <w:rFonts w:ascii="Times New Roman" w:hAnsi="Times New Roman"/>
          <w:sz w:val="24"/>
          <w:szCs w:val="24"/>
        </w:rPr>
        <w:t>duży</w:t>
      </w:r>
      <w:r w:rsidRPr="009A3C86">
        <w:rPr>
          <w:rFonts w:ascii="Times New Roman" w:hAnsi="Times New Roman"/>
          <w:sz w:val="24"/>
          <w:szCs w:val="24"/>
        </w:rPr>
        <w:t xml:space="preserve"> przedsiębiorca</w:t>
      </w:r>
      <w:r w:rsidR="00236E8F" w:rsidRPr="009A3C86">
        <w:rPr>
          <w:rFonts w:ascii="Times New Roman" w:hAnsi="Times New Roman"/>
          <w:sz w:val="24"/>
          <w:szCs w:val="24"/>
        </w:rPr>
        <w:t xml:space="preserve"> w rozumieniu tej ustawy</w:t>
      </w:r>
      <w:r w:rsidRPr="009A3C86">
        <w:rPr>
          <w:rFonts w:ascii="Times New Roman" w:hAnsi="Times New Roman"/>
          <w:sz w:val="24"/>
          <w:szCs w:val="24"/>
        </w:rPr>
        <w:t xml:space="preserve">, opłatę przyjmuje się w wysokości wyższej, </w:t>
      </w:r>
      <w:r w:rsidR="00236E8F" w:rsidRPr="009A3C86">
        <w:rPr>
          <w:rFonts w:ascii="Times New Roman" w:hAnsi="Times New Roman"/>
          <w:sz w:val="24"/>
          <w:szCs w:val="24"/>
        </w:rPr>
        <w:t xml:space="preserve">ustalonej zgodnie z </w:t>
      </w:r>
      <w:r w:rsidRPr="009A3C86">
        <w:rPr>
          <w:rFonts w:ascii="Times New Roman" w:hAnsi="Times New Roman"/>
          <w:sz w:val="24"/>
          <w:szCs w:val="24"/>
        </w:rPr>
        <w:t xml:space="preserve">§ 2 dla tego udziałowca, akcjonariusza lub wspólnika. Opłata ulega zatem w takich przypadkach podwyższeniu do właściwego podmiotom prowadzącym działalność w skali odpowiadającej skali działalności wspólnika. Rozwiązanie to jest podyktowane wolą zapewnienia właściwego poziomu opłaty – w sytuacji, gdy w niektórych sektorach działalności gospodarczej (np. w branży nieruchomościowej) typowe jest </w:t>
      </w:r>
      <w:r w:rsidRPr="009A3C86">
        <w:rPr>
          <w:rFonts w:ascii="Times New Roman" w:hAnsi="Times New Roman"/>
          <w:sz w:val="24"/>
          <w:szCs w:val="24"/>
        </w:rPr>
        <w:lastRenderedPageBreak/>
        <w:t xml:space="preserve">powoływanie do celów inwestycyjnych spółek celowych. Spółki te, mimo swojego statusu małego przedsiębiorcy, dokonują transakcji wartościowo istotnych.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009C4592" w:rsidRPr="009A3C86">
        <w:rPr>
          <w:rFonts w:ascii="Times New Roman" w:hAnsi="Times New Roman"/>
          <w:sz w:val="24"/>
          <w:szCs w:val="24"/>
        </w:rPr>
        <w:t>przypadku</w:t>
      </w:r>
      <w:r w:rsidRPr="009A3C86">
        <w:rPr>
          <w:rFonts w:ascii="Times New Roman" w:hAnsi="Times New Roman"/>
          <w:sz w:val="24"/>
          <w:szCs w:val="24"/>
        </w:rPr>
        <w:t xml:space="preserve"> niemożności ustalenia wartości transakcji będącej przedmiotem konsultacji opłata od wniosku o konsultację ma charakter ryczałtowy; jej wysokość odpowiada połowie wartości górnej granicy przedziałów kwotowych wskazanych w § 2, odpowiednio (</w:t>
      </w:r>
      <w:r w:rsidRPr="009A3C86">
        <w:rPr>
          <w:rFonts w:ascii="Times New Roman" w:hAnsi="Times New Roman"/>
          <w:b/>
          <w:bCs/>
          <w:sz w:val="24"/>
          <w:szCs w:val="24"/>
        </w:rPr>
        <w:t>§ 5</w:t>
      </w:r>
      <w:r w:rsidRPr="009A3C86">
        <w:rPr>
          <w:rFonts w:ascii="Times New Roman" w:hAnsi="Times New Roman"/>
          <w:sz w:val="24"/>
          <w:szCs w:val="24"/>
        </w:rPr>
        <w:t xml:space="preserve">).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6</w:t>
      </w:r>
      <w:r w:rsidRPr="009A3C86">
        <w:rPr>
          <w:rFonts w:ascii="Times New Roman" w:hAnsi="Times New Roman"/>
          <w:sz w:val="24"/>
          <w:szCs w:val="24"/>
        </w:rPr>
        <w:t xml:space="preserve"> precyzuje, że wartością transakcji jest wartość rynkowa rzeczy lub praw </w:t>
      </w:r>
      <w:r w:rsidR="009C4592" w:rsidRPr="009A3C86">
        <w:rPr>
          <w:rFonts w:ascii="Times New Roman" w:hAnsi="Times New Roman"/>
          <w:sz w:val="24"/>
          <w:szCs w:val="24"/>
        </w:rPr>
        <w:t xml:space="preserve">majątkowych </w:t>
      </w:r>
      <w:r w:rsidRPr="009A3C86">
        <w:rPr>
          <w:rFonts w:ascii="Times New Roman" w:hAnsi="Times New Roman"/>
          <w:sz w:val="24"/>
          <w:szCs w:val="24"/>
        </w:rPr>
        <w:t xml:space="preserve">będących jej przedmiotem.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Jeżeli jednym wnioskiem zainteresowany występuje o konsultację w sprawie skutków podatkowych więcej niż jednej transakcji lub w więcej niż jednym podatku, opłatę pobiera się odrębnie od każdej transakcji oraz każdego podatku (</w:t>
      </w:r>
      <w:r w:rsidRPr="009A3C86">
        <w:rPr>
          <w:rFonts w:ascii="Times New Roman" w:hAnsi="Times New Roman"/>
          <w:b/>
          <w:bCs/>
          <w:sz w:val="24"/>
          <w:szCs w:val="24"/>
        </w:rPr>
        <w:t>§</w:t>
      </w:r>
      <w:r w:rsidRPr="009A3C86">
        <w:rPr>
          <w:rFonts w:ascii="Times New Roman" w:hAnsi="Times New Roman"/>
          <w:bCs/>
          <w:sz w:val="24"/>
          <w:szCs w:val="24"/>
        </w:rPr>
        <w:t xml:space="preserve"> </w:t>
      </w:r>
      <w:r w:rsidRPr="009A3C86">
        <w:rPr>
          <w:rFonts w:ascii="Times New Roman" w:hAnsi="Times New Roman"/>
          <w:b/>
          <w:bCs/>
          <w:sz w:val="24"/>
          <w:szCs w:val="24"/>
        </w:rPr>
        <w:t>7-8</w:t>
      </w:r>
      <w:r w:rsidRPr="009A3C86">
        <w:rPr>
          <w:rFonts w:ascii="Times New Roman" w:hAnsi="Times New Roman"/>
          <w:sz w:val="24"/>
          <w:szCs w:val="24"/>
        </w:rPr>
        <w:t>). Jednak opłata od drugiego i każdego kolejnego podatku wynosi 30% opłaty ustalonej według zasad ogólnych (§ 8</w:t>
      </w:r>
      <w:r w:rsidRPr="009A3C86">
        <w:rPr>
          <w:rFonts w:ascii="Times New Roman" w:hAnsi="Times New Roman"/>
          <w:i/>
          <w:sz w:val="24"/>
          <w:szCs w:val="24"/>
        </w:rPr>
        <w:t xml:space="preserve"> in fine</w:t>
      </w:r>
      <w:r w:rsidRPr="009A3C86">
        <w:rPr>
          <w:rFonts w:ascii="Times New Roman" w:hAnsi="Times New Roman"/>
          <w:sz w:val="24"/>
          <w:szCs w:val="24"/>
        </w:rPr>
        <w:t>).</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W przypadku gdy organem właściwym w zakresie podatku, którego dotyczy konsultacja, jest samorządowy organ podatkowy (wójt, burmistrz, prezydent miasta, starosta lub marszałek województwa), opłata stanowi dochód budżetu jednostki samorządu terytorialnego. W innych przypadkach stanowi ona dochód budżetu państwa  (</w:t>
      </w:r>
      <w:r w:rsidRPr="009A3C86">
        <w:rPr>
          <w:rFonts w:ascii="Times New Roman" w:hAnsi="Times New Roman"/>
          <w:b/>
          <w:bCs/>
          <w:sz w:val="24"/>
          <w:szCs w:val="24"/>
        </w:rPr>
        <w:t>§ 9</w:t>
      </w:r>
      <w:r w:rsidRPr="009A3C86">
        <w:rPr>
          <w:rFonts w:ascii="Times New Roman" w:hAnsi="Times New Roman"/>
          <w:sz w:val="24"/>
          <w:szCs w:val="24"/>
        </w:rPr>
        <w:t xml:space="preserve">).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Przepisy przewidują także trzy przypadki, w których opłata podlega zwrotowi (</w:t>
      </w:r>
      <w:r w:rsidRPr="009A3C86">
        <w:rPr>
          <w:rFonts w:ascii="Times New Roman" w:hAnsi="Times New Roman"/>
          <w:b/>
          <w:bCs/>
          <w:sz w:val="24"/>
          <w:szCs w:val="24"/>
        </w:rPr>
        <w:t>§ 10</w:t>
      </w:r>
      <w:r w:rsidRPr="009A3C86">
        <w:rPr>
          <w:rFonts w:ascii="Times New Roman" w:hAnsi="Times New Roman"/>
          <w:sz w:val="24"/>
          <w:szCs w:val="24"/>
        </w:rPr>
        <w:t xml:space="preserve">). Podlega ona zwrotowi w całości w przypadku odmowy wszczęcia postępowania, pozostawienia wniosku o konsultację bez rozpatrzenia lub umorzenia postępowania z przyczyn innych niż cofniecie wniosku przez wnioskodawcę (np. gdy po wszczęciu postępowania w sprawie skutków podatkowych zostanie wszczęte z urzędu pełne postępowanie w sprawie zobowiązania podatkowego). Racją takiego rozwiązania jest to, że gdy organ podatkowy faktycznie nie przeprowadzi postępowania zakończonego wydaniem rozstrzygnięcia merytorycznego, lecz wyda rozstrzygnięcie formalne tamujące bieg postępowania, nie ma podstaw do obciążania kosztami zainteresowanego. Podobnie jest w przypadku, gdy organ podatkowy sam widzi potrzebę przeprowadzenia kompleksowego postępowania podatkowego. Takie postępowanie jest bowiem prowadzone na zasadach ogólnych i jak każde inne standardowe postępowanie jurysdykcyjne powinno być dla zobowiązanego bezpłatne.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Opłata podlega także zwrotowi, lecz jedynie w połowie, w razie cofnięcia wniosku przez zainteresowanego przed doręczeniem wnioskodawcy projektu rozstrzygnięcia. Cofnięcie wniosku może mieć miejsce na różnych etapach rozpatrywania wniosku przez organ podatkowy; zwrot połowy kwoty ma za zadanie sprawić, by został pokryty koszt dotychczas podjętych czynności (które okazują się nieefektywne i podjęte na próżno; wobec cofnięcia wniosku postępowanie zostanie umorzone). Ma także zapobiegać czysto taktycznemu wnoszeniu przez zainteresowanych o konsultację – po to tylko, by przekonać się wstępnie, jakie </w:t>
      </w:r>
      <w:r w:rsidRPr="009A3C86">
        <w:rPr>
          <w:rFonts w:ascii="Times New Roman" w:hAnsi="Times New Roman"/>
          <w:sz w:val="24"/>
          <w:szCs w:val="24"/>
        </w:rPr>
        <w:lastRenderedPageBreak/>
        <w:t xml:space="preserve">jest zdanie organu podatkowego. Takiemu wstępnemu rozeznaniu ma służyć poprzedzające wszczęcie postępowania na wniosek zainteresowanego spotkanie wstępne, o którym mowa w </w:t>
      </w:r>
      <w:r w:rsidRPr="009A3C86">
        <w:rPr>
          <w:rFonts w:ascii="Times New Roman" w:hAnsi="Times New Roman"/>
          <w:bCs/>
          <w:sz w:val="24"/>
          <w:szCs w:val="24"/>
        </w:rPr>
        <w:t>art. 5</w:t>
      </w:r>
      <w:r w:rsidR="0056715A" w:rsidRPr="009A3C86">
        <w:rPr>
          <w:rFonts w:ascii="Times New Roman" w:hAnsi="Times New Roman"/>
          <w:bCs/>
          <w:sz w:val="24"/>
          <w:szCs w:val="24"/>
        </w:rPr>
        <w:t>83</w:t>
      </w:r>
      <w:r w:rsidRPr="009A3C86">
        <w:rPr>
          <w:rFonts w:ascii="Times New Roman" w:hAnsi="Times New Roman"/>
          <w:sz w:val="24"/>
          <w:szCs w:val="24"/>
        </w:rPr>
        <w:t>, a nie sama procedura konsultacyjna. Natomiast jeżeli wnioskodawca cofa wniosek już po otrzymaniu projektu rozstrzygnięcia, zwrot choćby części opłaty nie byłby zasadny – przed sporządzeniem takiego projektu organ podatkowy przeprowadza bowiem wszystkie czynności umożliwiające rozpatrzenie wniosku.</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Opłata podlega zwrotowi w odpowiedniej części, jeśli została uiszczona w kwocie wyższej niż należna.</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Zwrot opłaty następuje w terminie 7 dni od dnia efektywnego lub nieefektywnego załatwienia wniosku o konsultację (</w:t>
      </w:r>
      <w:r w:rsidRPr="009A3C86">
        <w:rPr>
          <w:rFonts w:ascii="Times New Roman" w:hAnsi="Times New Roman"/>
          <w:b/>
          <w:sz w:val="24"/>
          <w:szCs w:val="24"/>
        </w:rPr>
        <w:t>§ 11</w:t>
      </w:r>
      <w:r w:rsidRPr="009A3C86">
        <w:rPr>
          <w:rFonts w:ascii="Times New Roman" w:hAnsi="Times New Roman"/>
          <w:sz w:val="24"/>
          <w:szCs w:val="24"/>
        </w:rPr>
        <w:t>).</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bCs/>
          <w:sz w:val="24"/>
          <w:szCs w:val="24"/>
        </w:rPr>
        <w:t>art. 5</w:t>
      </w:r>
      <w:r w:rsidR="00826B20" w:rsidRPr="009A3C86">
        <w:rPr>
          <w:rFonts w:ascii="Times New Roman" w:hAnsi="Times New Roman"/>
          <w:b/>
          <w:bCs/>
          <w:sz w:val="24"/>
          <w:szCs w:val="24"/>
        </w:rPr>
        <w:t>91</w:t>
      </w:r>
      <w:r w:rsidRPr="009A3C86">
        <w:rPr>
          <w:rFonts w:ascii="Times New Roman" w:hAnsi="Times New Roman"/>
          <w:sz w:val="24"/>
          <w:szCs w:val="24"/>
        </w:rPr>
        <w:t xml:space="preserve"> odnosi się do przypadku, gdy w toku postępowania w sprawie skutków podatkowych organ stwierdzi, że wartość transakcji, która może być przedmiotem konsultacji, jest wyższa od podanej we wniosku. Organ ten ustala wówczas wysokość opłaty uzupełniającej, obliczonej według tego samego algorytmu, co wskazany zgodnie z </w:t>
      </w:r>
      <w:r w:rsidRPr="009A3C86">
        <w:rPr>
          <w:rFonts w:ascii="Times New Roman" w:hAnsi="Times New Roman"/>
          <w:bCs/>
          <w:sz w:val="24"/>
          <w:szCs w:val="24"/>
        </w:rPr>
        <w:t>art. 5</w:t>
      </w:r>
      <w:r w:rsidR="00826B20" w:rsidRPr="009A3C86">
        <w:rPr>
          <w:rFonts w:ascii="Times New Roman" w:hAnsi="Times New Roman"/>
          <w:bCs/>
          <w:sz w:val="24"/>
          <w:szCs w:val="24"/>
        </w:rPr>
        <w:t>90</w:t>
      </w:r>
      <w:r w:rsidRPr="009A3C86">
        <w:rPr>
          <w:rFonts w:ascii="Times New Roman" w:hAnsi="Times New Roman"/>
          <w:sz w:val="24"/>
          <w:szCs w:val="24"/>
        </w:rPr>
        <w:t xml:space="preserve">. Do opłaty tej stosują się pozostałe przepisy ujęte w </w:t>
      </w:r>
      <w:r w:rsidRPr="009A3C86">
        <w:rPr>
          <w:rFonts w:ascii="Times New Roman" w:hAnsi="Times New Roman"/>
          <w:bCs/>
          <w:sz w:val="24"/>
          <w:szCs w:val="24"/>
        </w:rPr>
        <w:t>art. 5</w:t>
      </w:r>
      <w:r w:rsidR="00826B20" w:rsidRPr="009A3C86">
        <w:rPr>
          <w:rFonts w:ascii="Times New Roman" w:hAnsi="Times New Roman"/>
          <w:bCs/>
          <w:sz w:val="24"/>
          <w:szCs w:val="24"/>
        </w:rPr>
        <w:t>90</w:t>
      </w:r>
      <w:r w:rsidRPr="009A3C86">
        <w:rPr>
          <w:rFonts w:ascii="Times New Roman" w:hAnsi="Times New Roman"/>
          <w:sz w:val="24"/>
          <w:szCs w:val="24"/>
        </w:rPr>
        <w:t xml:space="preserve"> (między innymi dotyczące zwrotu opłaty), z tym że opłata uzupełniające podlega wpłacie w terminie 7 dni od dnia doręczenia postanowienia w sprawie jej ustalenia. Na postanowienie w sprawie ustalenia opłaty uzupełniającej służy zażalenie (</w:t>
      </w:r>
      <w:r w:rsidRPr="009A3C86">
        <w:rPr>
          <w:rFonts w:ascii="Times New Roman" w:hAnsi="Times New Roman"/>
          <w:b/>
          <w:bCs/>
          <w:sz w:val="24"/>
          <w:szCs w:val="24"/>
        </w:rPr>
        <w:t>§ 3</w:t>
      </w:r>
      <w:r w:rsidRPr="009A3C86">
        <w:rPr>
          <w:rFonts w:ascii="Times New Roman" w:hAnsi="Times New Roman"/>
          <w:sz w:val="24"/>
          <w:szCs w:val="24"/>
        </w:rPr>
        <w:t>).</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6. Ważna regulacja została ujęta w </w:t>
      </w:r>
      <w:r w:rsidRPr="009A3C86">
        <w:rPr>
          <w:rFonts w:ascii="Times New Roman" w:hAnsi="Times New Roman"/>
          <w:b/>
          <w:bCs/>
          <w:sz w:val="24"/>
          <w:szCs w:val="24"/>
        </w:rPr>
        <w:t>art. 5</w:t>
      </w:r>
      <w:r w:rsidR="00826B20" w:rsidRPr="009A3C86">
        <w:rPr>
          <w:rFonts w:ascii="Times New Roman" w:hAnsi="Times New Roman"/>
          <w:b/>
          <w:bCs/>
          <w:sz w:val="24"/>
          <w:szCs w:val="24"/>
        </w:rPr>
        <w:t>92</w:t>
      </w:r>
      <w:r w:rsidRPr="009A3C86">
        <w:rPr>
          <w:rFonts w:ascii="Times New Roman" w:hAnsi="Times New Roman"/>
          <w:b/>
          <w:sz w:val="24"/>
          <w:szCs w:val="24"/>
        </w:rPr>
        <w:t>.</w:t>
      </w:r>
      <w:r w:rsidRPr="009A3C86">
        <w:rPr>
          <w:rFonts w:ascii="Times New Roman" w:hAnsi="Times New Roman"/>
          <w:sz w:val="24"/>
          <w:szCs w:val="24"/>
        </w:rPr>
        <w:t xml:space="preserve"> Zgodnie z </w:t>
      </w:r>
      <w:r w:rsidRPr="009A3C86">
        <w:rPr>
          <w:rFonts w:ascii="Times New Roman" w:hAnsi="Times New Roman"/>
          <w:b/>
          <w:bCs/>
          <w:sz w:val="24"/>
          <w:szCs w:val="24"/>
        </w:rPr>
        <w:t>§ 1</w:t>
      </w:r>
      <w:r w:rsidRPr="009A3C86">
        <w:rPr>
          <w:rFonts w:ascii="Times New Roman" w:hAnsi="Times New Roman"/>
          <w:sz w:val="24"/>
          <w:szCs w:val="24"/>
        </w:rPr>
        <w:t xml:space="preserve"> przepisy rozdziału 3 nie ograniczają możliwości wydania w wyniku postępowania podatkowego decyzji wymiarowej w zakresie tego samego podatku za ten sam rok podatkowy lub inny okres rozliczeniowy, któr</w:t>
      </w:r>
      <w:r w:rsidR="007C35DD" w:rsidRPr="009A3C86">
        <w:rPr>
          <w:rFonts w:ascii="Times New Roman" w:hAnsi="Times New Roman"/>
          <w:sz w:val="24"/>
          <w:szCs w:val="24"/>
        </w:rPr>
        <w:t>ych</w:t>
      </w:r>
      <w:r w:rsidRPr="009A3C86">
        <w:rPr>
          <w:rFonts w:ascii="Times New Roman" w:hAnsi="Times New Roman"/>
          <w:sz w:val="24"/>
          <w:szCs w:val="24"/>
        </w:rPr>
        <w:t xml:space="preserve"> dotyczy decyzja w sprawie skutków podatkowych.</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 xml:space="preserve">Jednocześnie charakter wiążący decyzji w sprawie skutków podatkowych dla organów podatkowych wyraża się w tym, że w postępowaniu podatkowym organy te co do zasady nie będą mogły zająć stanowiska różniącego się od wyrażonego w tej decyzji (w jej zakresie przedmiotowym, wycinkowym w porównaniu z zakresem postępowania podatkowego mającego za przedmiot określenie zobowiązania podatkowego). Zgodnie z </w:t>
      </w:r>
      <w:r w:rsidRPr="009A3C86">
        <w:rPr>
          <w:rFonts w:ascii="Times New Roman" w:hAnsi="Times New Roman"/>
          <w:b/>
          <w:bCs/>
          <w:sz w:val="24"/>
          <w:szCs w:val="24"/>
        </w:rPr>
        <w:t>§ 2</w:t>
      </w:r>
      <w:r w:rsidRPr="009A3C86">
        <w:rPr>
          <w:rFonts w:ascii="Times New Roman" w:hAnsi="Times New Roman"/>
          <w:sz w:val="24"/>
          <w:szCs w:val="24"/>
        </w:rPr>
        <w:t xml:space="preserve"> w decyzji wymiarowej, o której mowa w </w:t>
      </w:r>
      <w:r w:rsidRPr="009A3C86">
        <w:rPr>
          <w:rFonts w:ascii="Times New Roman" w:hAnsi="Times New Roman"/>
          <w:bCs/>
          <w:sz w:val="24"/>
          <w:szCs w:val="24"/>
        </w:rPr>
        <w:t>§ 1</w:t>
      </w:r>
      <w:r w:rsidRPr="009A3C86">
        <w:rPr>
          <w:rFonts w:ascii="Times New Roman" w:hAnsi="Times New Roman"/>
          <w:sz w:val="24"/>
          <w:szCs w:val="24"/>
        </w:rPr>
        <w:t xml:space="preserve">, organ podatkowy uwzględnia treść decyzji w sprawie skutków podatkowych, w tym wymiar podatku dokonany w niej na podstawie </w:t>
      </w:r>
      <w:r w:rsidRPr="009A3C86">
        <w:rPr>
          <w:rFonts w:ascii="Times New Roman" w:hAnsi="Times New Roman"/>
          <w:bCs/>
          <w:sz w:val="24"/>
          <w:szCs w:val="24"/>
        </w:rPr>
        <w:t>art. 5</w:t>
      </w:r>
      <w:r w:rsidR="00706A92" w:rsidRPr="009A3C86">
        <w:rPr>
          <w:rFonts w:ascii="Times New Roman" w:hAnsi="Times New Roman"/>
          <w:bCs/>
          <w:sz w:val="24"/>
          <w:szCs w:val="24"/>
        </w:rPr>
        <w:t>90</w:t>
      </w:r>
      <w:r w:rsidRPr="009A3C86">
        <w:rPr>
          <w:rFonts w:ascii="Times New Roman" w:hAnsi="Times New Roman"/>
          <w:sz w:val="24"/>
          <w:szCs w:val="24"/>
        </w:rPr>
        <w:t xml:space="preserve">. Z dniem, w którym decyzja wymiarowa, o której mowa w </w:t>
      </w:r>
      <w:r w:rsidRPr="009A3C86">
        <w:rPr>
          <w:rFonts w:ascii="Times New Roman" w:hAnsi="Times New Roman"/>
          <w:bCs/>
          <w:sz w:val="24"/>
          <w:szCs w:val="24"/>
        </w:rPr>
        <w:t>§ 1</w:t>
      </w:r>
      <w:r w:rsidRPr="009A3C86">
        <w:rPr>
          <w:rFonts w:ascii="Times New Roman" w:hAnsi="Times New Roman"/>
          <w:sz w:val="24"/>
          <w:szCs w:val="24"/>
        </w:rPr>
        <w:t xml:space="preserve">, stanie się ostateczna, decyzja w sprawie skutków podatkowych wygasa w zakresie objętym decyzją wymiarową. </w:t>
      </w:r>
      <w:r w:rsidRPr="009A3C86">
        <w:rPr>
          <w:rFonts w:ascii="Times New Roman" w:hAnsi="Times New Roman"/>
          <w:bCs/>
          <w:sz w:val="24"/>
          <w:szCs w:val="24"/>
        </w:rPr>
        <w:t>Organ podatkowy wskazuje na to w uzasadnieniu decyzji wymiarowej</w:t>
      </w:r>
      <w:r w:rsidRPr="009A3C86">
        <w:rPr>
          <w:rFonts w:ascii="Times New Roman" w:hAnsi="Times New Roman"/>
          <w:sz w:val="24"/>
          <w:szCs w:val="24"/>
        </w:rPr>
        <w:t xml:space="preserve"> (</w:t>
      </w:r>
      <w:r w:rsidRPr="009A3C86">
        <w:rPr>
          <w:rFonts w:ascii="Times New Roman" w:hAnsi="Times New Roman"/>
          <w:b/>
          <w:bCs/>
          <w:sz w:val="24"/>
          <w:szCs w:val="24"/>
        </w:rPr>
        <w:t xml:space="preserve">§ </w:t>
      </w:r>
      <w:r w:rsidR="00ED09EC" w:rsidRPr="009A3C86">
        <w:rPr>
          <w:rFonts w:ascii="Times New Roman" w:hAnsi="Times New Roman"/>
          <w:b/>
          <w:bCs/>
          <w:sz w:val="24"/>
          <w:szCs w:val="24"/>
        </w:rPr>
        <w:t>5</w:t>
      </w:r>
      <w:r w:rsidRPr="009A3C86">
        <w:rPr>
          <w:rFonts w:ascii="Times New Roman" w:hAnsi="Times New Roman"/>
          <w:sz w:val="24"/>
          <w:szCs w:val="24"/>
        </w:rPr>
        <w:t xml:space="preserve">). Jeżeli zatem decyzja w sprawie skutków podatkowych dotyczyła rozliczenia za kilka okresów, natomiast przedmiotem decyzji wymiarowej był tylko jeden okres (np. jeden rok podatkowy w podatku </w:t>
      </w:r>
      <w:r w:rsidRPr="009A3C86">
        <w:rPr>
          <w:rFonts w:ascii="Times New Roman" w:hAnsi="Times New Roman"/>
          <w:sz w:val="24"/>
          <w:szCs w:val="24"/>
        </w:rPr>
        <w:lastRenderedPageBreak/>
        <w:t xml:space="preserve">dochodowym od osób prawnych), decyzja w sprawie skutków podatkowych wygasa tylko w odniesieniu do rozliczenia za ten jeden okres (rok). </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Projekt kreuje dwa wyjątki od zasady związania organu podatkowego decyzją w sprawie skutków podatkowych. Po pierwsze, organ podatkowy może nie uwzględnić treści decyzji w sprawie skutków podatkowych w decyzji wymiarowej wydanej w wyniku procedury wzajemnego porozumiewania lub procedury arbitrażowej, prowadzonej na podstawie ratyfikowanej umowy o unikaniu podwójnego opodatkowania lub innej ratyfikowanej umowy międzynarodowej, której stroną jest Rzeczpospolita Polska. Po drugie, może jej nie uwzględnić w decyzji wymiarowej wydanej z zastosowaniem art. 3</w:t>
      </w:r>
      <w:r w:rsidR="00ED09EC" w:rsidRPr="009A3C86">
        <w:rPr>
          <w:rFonts w:ascii="Times New Roman" w:hAnsi="Times New Roman"/>
          <w:sz w:val="24"/>
          <w:szCs w:val="24"/>
        </w:rPr>
        <w:t>3</w:t>
      </w:r>
      <w:r w:rsidRPr="009A3C86">
        <w:rPr>
          <w:rFonts w:ascii="Times New Roman" w:hAnsi="Times New Roman"/>
          <w:sz w:val="24"/>
          <w:szCs w:val="24"/>
        </w:rPr>
        <w:t>, art. 5 ust. 5 ustawy z dnia 11 marca 2004 r. o podatku od towarów i usług lub innych przepisów przeciwko unikaniu opodatkowania, albo środków ograniczających umowne korzyści.</w:t>
      </w:r>
    </w:p>
    <w:p w:rsidR="00443800" w:rsidRPr="009A3C86" w:rsidRDefault="00443800" w:rsidP="00443800">
      <w:pPr>
        <w:spacing w:after="0" w:line="360" w:lineRule="auto"/>
        <w:jc w:val="both"/>
        <w:rPr>
          <w:rFonts w:ascii="Times New Roman" w:hAnsi="Times New Roman"/>
          <w:sz w:val="24"/>
          <w:szCs w:val="24"/>
        </w:rPr>
      </w:pPr>
      <w:r w:rsidRPr="009A3C86">
        <w:rPr>
          <w:rFonts w:ascii="Times New Roman" w:hAnsi="Times New Roman"/>
          <w:sz w:val="24"/>
          <w:szCs w:val="24"/>
        </w:rPr>
        <w:t>7. Wreszcie, zgodnie z</w:t>
      </w:r>
      <w:r w:rsidRPr="009A3C86">
        <w:rPr>
          <w:rFonts w:ascii="Times New Roman" w:hAnsi="Times New Roman"/>
          <w:bCs/>
          <w:sz w:val="24"/>
          <w:szCs w:val="24"/>
        </w:rPr>
        <w:t xml:space="preserve"> </w:t>
      </w:r>
      <w:r w:rsidRPr="009A3C86">
        <w:rPr>
          <w:rFonts w:ascii="Times New Roman" w:hAnsi="Times New Roman"/>
          <w:b/>
          <w:bCs/>
          <w:sz w:val="24"/>
          <w:szCs w:val="24"/>
        </w:rPr>
        <w:t>art. 5</w:t>
      </w:r>
      <w:r w:rsidR="00826B20" w:rsidRPr="009A3C86">
        <w:rPr>
          <w:rFonts w:ascii="Times New Roman" w:hAnsi="Times New Roman"/>
          <w:b/>
          <w:bCs/>
          <w:sz w:val="24"/>
          <w:szCs w:val="24"/>
        </w:rPr>
        <w:t>93</w:t>
      </w:r>
      <w:r w:rsidRPr="009A3C86">
        <w:rPr>
          <w:rFonts w:ascii="Times New Roman" w:hAnsi="Times New Roman"/>
          <w:bCs/>
          <w:sz w:val="24"/>
          <w:szCs w:val="24"/>
        </w:rPr>
        <w:t xml:space="preserve">, w </w:t>
      </w:r>
      <w:r w:rsidRPr="009A3C86">
        <w:rPr>
          <w:rFonts w:ascii="Times New Roman" w:hAnsi="Times New Roman"/>
          <w:sz w:val="24"/>
          <w:szCs w:val="24"/>
        </w:rPr>
        <w:t xml:space="preserve">sprawach nieuregulowanych w rozdziale 3 stosuje się odpowiednio przepisy </w:t>
      </w:r>
      <w:r w:rsidRPr="009A3C86">
        <w:rPr>
          <w:rFonts w:ascii="Times New Roman" w:hAnsi="Times New Roman"/>
          <w:bCs/>
          <w:sz w:val="24"/>
          <w:szCs w:val="24"/>
        </w:rPr>
        <w:t>działu III,</w:t>
      </w:r>
      <w:r w:rsidRPr="009A3C86">
        <w:rPr>
          <w:rFonts w:ascii="Times New Roman" w:hAnsi="Times New Roman"/>
          <w:sz w:val="24"/>
          <w:szCs w:val="24"/>
        </w:rPr>
        <w:t xml:space="preserve"> a zatem wszelkie przepisy o postępowaniu podatkowym. Postępowanie w sprawie skutków podatkowych transakcji różni się od postępowania w sprawie określenia zobowiązania podatkowego głównie tym, że zostaje wszczęte na wniosek (podlegający opłacie), jego przedmiot jest ograniczony do skutków podatkowych danej transakcji oraz poszerzone są w nim (względem zwykłego postępowania jurysdykcyjnego) możliwości zarządzania przez wnioskodawcę jego przebiegiem. Co do innych aspektów, w tym zwłaszcza postępowania dowodowego, nie różni się ono natomiast od standardowego postępowania wymiarowego. Do konsultacji skutków podatkowych transakcji stosuje się też dział I.</w:t>
      </w:r>
    </w:p>
    <w:p w:rsidR="00045CB9" w:rsidRPr="009A3C86" w:rsidRDefault="00045CB9" w:rsidP="00D72E74">
      <w:pPr>
        <w:tabs>
          <w:tab w:val="num" w:pos="720"/>
        </w:tabs>
        <w:spacing w:before="120" w:after="0" w:line="360" w:lineRule="auto"/>
        <w:jc w:val="both"/>
        <w:outlineLvl w:val="2"/>
        <w:rPr>
          <w:rFonts w:ascii="Times New Roman" w:eastAsia="Times New Roman" w:hAnsi="Times New Roman"/>
          <w:b/>
          <w:sz w:val="24"/>
          <w:szCs w:val="24"/>
        </w:rPr>
      </w:pPr>
      <w:bookmarkStart w:id="81" w:name="_Toc494363304"/>
      <w:r w:rsidRPr="009A3C86">
        <w:rPr>
          <w:rFonts w:ascii="Times New Roman" w:eastAsia="Times New Roman" w:hAnsi="Times New Roman"/>
          <w:b/>
          <w:sz w:val="24"/>
          <w:szCs w:val="24"/>
        </w:rPr>
        <w:t xml:space="preserve">Rozdział </w:t>
      </w:r>
      <w:r w:rsidR="00C42B00" w:rsidRPr="009A3C86">
        <w:rPr>
          <w:rFonts w:ascii="Times New Roman" w:eastAsia="Times New Roman" w:hAnsi="Times New Roman"/>
          <w:b/>
          <w:sz w:val="24"/>
          <w:szCs w:val="24"/>
        </w:rPr>
        <w:t>4</w:t>
      </w:r>
      <w:r w:rsidRPr="009A3C86">
        <w:rPr>
          <w:rFonts w:ascii="Times New Roman" w:eastAsia="Times New Roman" w:hAnsi="Times New Roman"/>
          <w:b/>
          <w:sz w:val="24"/>
          <w:szCs w:val="24"/>
        </w:rPr>
        <w:t>. Przeciwdziałanie unikaniu opodatkowania</w:t>
      </w:r>
      <w:bookmarkEnd w:id="81"/>
    </w:p>
    <w:p w:rsidR="00045CB9" w:rsidRPr="009A3C86" w:rsidRDefault="00045CB9" w:rsidP="00045CB9">
      <w:pPr>
        <w:keepNext/>
        <w:keepLines/>
        <w:spacing w:after="0" w:line="360" w:lineRule="auto"/>
        <w:jc w:val="both"/>
        <w:outlineLvl w:val="3"/>
        <w:rPr>
          <w:rFonts w:ascii="Times New Roman" w:hAnsi="Times New Roman"/>
          <w:b/>
          <w:sz w:val="24"/>
          <w:szCs w:val="24"/>
        </w:rPr>
      </w:pPr>
      <w:r w:rsidRPr="009A3C86">
        <w:rPr>
          <w:rFonts w:ascii="Times New Roman" w:hAnsi="Times New Roman"/>
          <w:b/>
          <w:sz w:val="24"/>
          <w:szCs w:val="24"/>
        </w:rPr>
        <w:t>Oddział 1. Postępowanie w przypadku unikania opodatkowania</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Wyodrębnienie tego rozdziału w ramach procedur szczególnych jest wynikiem rozbici</w:t>
      </w:r>
      <w:r w:rsidR="001A1325" w:rsidRPr="009A3C86">
        <w:rPr>
          <w:rFonts w:ascii="Times New Roman" w:eastAsia="Times New Roman" w:hAnsi="Times New Roman"/>
          <w:sz w:val="24"/>
          <w:szCs w:val="24"/>
        </w:rPr>
        <w:t>a</w:t>
      </w:r>
      <w:r w:rsidRPr="009A3C86">
        <w:rPr>
          <w:rFonts w:ascii="Times New Roman" w:eastAsia="Times New Roman" w:hAnsi="Times New Roman"/>
          <w:sz w:val="24"/>
          <w:szCs w:val="24"/>
        </w:rPr>
        <w:t xml:space="preserve"> sztucznie stworzonego dotychczasowego Działu IIIa oraz jest uzasadnione systematyką projektowanej ustawy nakazującą uporządkowanie i oddzielenie przepisów prawa materialnego od przepisów postępowania. Dotychczasowy dział IIIa o.p. zawierając regulacje z obu zakresów sztucznie został wprowadzony pomiędzy działy określające podstawy zobowiązań podatkowych i postępowania podatkowego. Zaproponowane w projekcie uporządkowanie tej materii prowadzi do wniosku, że przepisy ogólne dotyczące klauzuli (</w:t>
      </w:r>
      <w:r w:rsidRPr="009A3C86">
        <w:rPr>
          <w:rFonts w:ascii="Times New Roman" w:eastAsia="Times New Roman" w:hAnsi="Times New Roman"/>
          <w:b/>
          <w:sz w:val="24"/>
          <w:szCs w:val="24"/>
        </w:rPr>
        <w:t xml:space="preserve">dział I, rozdział </w:t>
      </w:r>
      <w:r w:rsidR="00E00EE5" w:rsidRPr="009A3C86">
        <w:rPr>
          <w:rFonts w:ascii="Times New Roman" w:eastAsia="Times New Roman" w:hAnsi="Times New Roman"/>
          <w:b/>
          <w:sz w:val="24"/>
          <w:szCs w:val="24"/>
        </w:rPr>
        <w:t>3</w:t>
      </w:r>
      <w:r w:rsidRPr="009A3C86">
        <w:rPr>
          <w:rFonts w:ascii="Times New Roman" w:eastAsia="Times New Roman" w:hAnsi="Times New Roman"/>
          <w:sz w:val="24"/>
          <w:szCs w:val="24"/>
        </w:rPr>
        <w:t xml:space="preserve">) mają zastosowanie w każdym przypadku, gdy należy się do nich odwołać prowadząc postępowanie w przypadku unikania opodatkowania i to bez konieczności ich przywoływania w dziale IV postępowania szczególne.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Zaproponowana procedura ma charakter szczególny i wiążący się z wieloetapowym często  długotrwałym postępowaniem. Należy jednak pamiętać, że najistotniejszą funkcją klauzuli powinna jednak być prewencja. Działanie podatnika prowadzące do unikania opodatkowania wiązałoby się z ryzykiem wymiaru zobowiązania podatkowego w sposób niweczący korzyść podatkową uzyskaną w wyniku tego działania. Do tego dochodziłaby konieczność zapłacenia odsetek za zwłokę od zaległości podatkowej. Nawet przy umiarkowanej skali stosowania klauzuli sam fakt jej obecności w systemie prawnym powinien zniechęcać do działań zmierzających do unikania opodatkowania. Wprowadzenie klauzuli przeciwko unikaniu opodatkowania porządkuje system prawa podatkowego, wyznaczając poprzez swoją treść i praktykę stosowania granice dopuszczalnej optymalizacji podatkowej. Założyć należy, że klauzula przyczyni się też do uporządkowania relacji między prawem podatkowym i cywilnym, podkreślając tu autonomię prawa podatkowego.</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Szef Krajowej Administracji Skarbowej będzie uprawniony do wszczęcia postępowania podatkowego lub przejęcia do dalszego prowadzenia toczącego się postępowania podatkowego lub kontroli celno-skarbowej, jeżeli istnieje możliwość zastosowania klauzuli. W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1 pkt 1-5</w:t>
      </w:r>
      <w:r w:rsidRPr="009A3C86">
        <w:rPr>
          <w:rFonts w:ascii="Times New Roman" w:eastAsia="Times New Roman" w:hAnsi="Times New Roman"/>
          <w:sz w:val="24"/>
          <w:szCs w:val="24"/>
        </w:rPr>
        <w:t xml:space="preserve"> wskazano rodzaje postępowań podatkowych, w ramach których możliwe jest zastosowanie klauzuli przeciwko unikaniu opodatkowania. Zamknięty katalog tych postępowań uwzględnia również postępowania w zakresie odpowiedzialności podatkowej płatnika. Konsekwencją tego rozwiązania jest objęcie tym postępowaniem  schematów polegających na uniknięciu opodatkowania dochodu u źródła oraz określanie takich czynności odpowiednich, które wskazywałyby na obowiązek płatnika do obliczenia, pobrania i odprowadzenia podatku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1 pkt 4</w:t>
      </w:r>
      <w:r w:rsidRPr="009A3C86">
        <w:rPr>
          <w:rFonts w:ascii="Times New Roman" w:eastAsia="Times New Roman" w:hAnsi="Times New Roman"/>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Aby umożliwić wyspecjalizowanemu organowi podatkowemu wyjaśnianie stanu faktycznego sprawy za pomocą czynności kontrolnych w kierunku zagadnienia unikania opodatkowania, Szef KAS jest uprawniony do przejęcia również kontroli podatkowej prowadzonej przez naczelnika urzędu skarbowego (</w:t>
      </w:r>
      <w:r w:rsidRPr="009A3C86">
        <w:rPr>
          <w:rFonts w:ascii="Times New Roman" w:eastAsia="Times New Roman" w:hAnsi="Times New Roman"/>
          <w:b/>
          <w:sz w:val="24"/>
          <w:szCs w:val="24"/>
        </w:rPr>
        <w:t>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2-6</w:t>
      </w:r>
      <w:r w:rsidRPr="009A3C86">
        <w:rPr>
          <w:rFonts w:ascii="Times New Roman" w:eastAsia="Times New Roman" w:hAnsi="Times New Roman"/>
          <w:sz w:val="24"/>
          <w:szCs w:val="24"/>
        </w:rPr>
        <w:t>). Czynności podjęte w postępowaniu przez dotychczasowe organy podatkowe pozostaną w mocy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5</w:t>
      </w:r>
      <w:r w:rsidRPr="009A3C86">
        <w:rPr>
          <w:rFonts w:ascii="Times New Roman" w:eastAsia="Times New Roman" w:hAnsi="Times New Roman"/>
          <w:sz w:val="24"/>
          <w:szCs w:val="24"/>
        </w:rPr>
        <w:t xml:space="preserve">). Szef KAS z racji sprawowanego nadzoru nad organami podatkowymi będzie z urzędu przez te organy informowany o ujawnieniu w toku prowadzonych postępowań przesłanek wskazujących na podstawy wydania decyzji </w:t>
      </w:r>
      <w:r w:rsidR="007B250C" w:rsidRPr="009A3C86">
        <w:rPr>
          <w:rFonts w:ascii="Times New Roman" w:eastAsia="Times New Roman" w:hAnsi="Times New Roman"/>
          <w:sz w:val="24"/>
          <w:szCs w:val="24"/>
        </w:rPr>
        <w:t>z zastosowaniem</w:t>
      </w:r>
      <w:r w:rsidRPr="009A3C86">
        <w:rPr>
          <w:rFonts w:ascii="Times New Roman" w:eastAsia="Times New Roman" w:hAnsi="Times New Roman"/>
          <w:sz w:val="24"/>
          <w:szCs w:val="24"/>
        </w:rPr>
        <w:t xml:space="preserve"> art. </w:t>
      </w:r>
      <w:r w:rsidR="009627AE" w:rsidRPr="009A3C86">
        <w:rPr>
          <w:rFonts w:ascii="Times New Roman" w:eastAsia="Times New Roman" w:hAnsi="Times New Roman"/>
          <w:sz w:val="24"/>
          <w:szCs w:val="24"/>
        </w:rPr>
        <w:t>33</w:t>
      </w:r>
      <w:r w:rsidRPr="009A3C86">
        <w:rPr>
          <w:rFonts w:ascii="Times New Roman" w:eastAsia="Times New Roman" w:hAnsi="Times New Roman"/>
          <w:sz w:val="24"/>
          <w:szCs w:val="24"/>
        </w:rPr>
        <w:t>. Szef KAS w takiej sytuacji będzie uprawniony do wszczęcia postępowania podatkowego lub przejęcia do dalszego prowadzenia toczącego się postępowania podatkowego lub kontroli celno-skarbowej, jeżeli istnieje możliwość zastosowania klauzuli. Czynności podjęte w postępowaniu przez dotychczasowe organy podatkowe pozostaną w mocy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5</w:t>
      </w:r>
      <w:r w:rsidRPr="009A3C86">
        <w:rPr>
          <w:rFonts w:ascii="Times New Roman" w:eastAsia="Times New Roman" w:hAnsi="Times New Roman"/>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Przejęcie toczącego się postępowania następować będzie w drodze niezaskarżalnego postanowienia, które doręczane będzie stronie oraz właściwemu uprzednio w sprawie organowi podatkowemu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1 i 6</w:t>
      </w:r>
      <w:r w:rsidRPr="009A3C86">
        <w:rPr>
          <w:rFonts w:ascii="Times New Roman" w:eastAsia="Times New Roman" w:hAnsi="Times New Roman"/>
          <w:sz w:val="24"/>
          <w:szCs w:val="24"/>
        </w:rPr>
        <w:t>). W postanowieniu o wszczęciu postępowania podatkowego lub o przejęciu postępowania zostanie wyznaczony zakres, w jakim Szef KAS będzie prowadzić postępowanie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xml:space="preserve">). Zgodnie natomiast z </w:t>
      </w:r>
      <w:r w:rsidRPr="009A3C86">
        <w:rPr>
          <w:rFonts w:ascii="Times New Roman" w:eastAsia="Times New Roman" w:hAnsi="Times New Roman"/>
          <w:b/>
          <w:sz w:val="24"/>
          <w:szCs w:val="24"/>
        </w:rPr>
        <w:t xml:space="preserve">§ 7 art. </w:t>
      </w:r>
      <w:r w:rsidR="00F02F3A" w:rsidRPr="009A3C86">
        <w:rPr>
          <w:rFonts w:ascii="Times New Roman" w:eastAsia="Times New Roman" w:hAnsi="Times New Roman"/>
          <w:b/>
          <w:sz w:val="24"/>
          <w:szCs w:val="24"/>
        </w:rPr>
        <w:t>594</w:t>
      </w:r>
      <w:r w:rsidRPr="009A3C86">
        <w:rPr>
          <w:rFonts w:ascii="Times New Roman" w:eastAsia="Times New Roman" w:hAnsi="Times New Roman"/>
          <w:sz w:val="24"/>
          <w:szCs w:val="24"/>
        </w:rPr>
        <w:t xml:space="preserve"> w przypadku gdy będąca stroną postępowania podatkowego spółka cywilna, jawna, partnerska, komandytowa albo komandytowo-akcyjna została rozwiązana w jego trakcie, postępowanie podatkowe kończy się decyzją, o której mowa w art. 2</w:t>
      </w:r>
      <w:r w:rsidR="009B40F2" w:rsidRPr="009A3C86">
        <w:rPr>
          <w:rFonts w:ascii="Times New Roman" w:eastAsia="Times New Roman" w:hAnsi="Times New Roman"/>
          <w:sz w:val="24"/>
          <w:szCs w:val="24"/>
        </w:rPr>
        <w:t>63</w:t>
      </w:r>
      <w:r w:rsidRPr="009A3C86">
        <w:rPr>
          <w:rFonts w:ascii="Times New Roman" w:eastAsia="Times New Roman" w:hAnsi="Times New Roman"/>
          <w:sz w:val="24"/>
          <w:szCs w:val="24"/>
        </w:rPr>
        <w:t xml:space="preserve"> § 4.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Jeżeli w sprawie może być wydana decyzja z zastosowaniem środków ograniczających umowne korzyści, </w:t>
      </w:r>
      <w:r w:rsidR="00AC6CC1" w:rsidRPr="009A3C86">
        <w:rPr>
          <w:rFonts w:ascii="Times New Roman" w:eastAsia="Times New Roman" w:hAnsi="Times New Roman"/>
          <w:sz w:val="24"/>
          <w:szCs w:val="24"/>
        </w:rPr>
        <w:t xml:space="preserve">przepisy niniejszego oddziału oraz przepis </w:t>
      </w:r>
      <w:r w:rsidRPr="009A3C86">
        <w:rPr>
          <w:rFonts w:ascii="Times New Roman" w:eastAsia="Times New Roman" w:hAnsi="Times New Roman"/>
          <w:sz w:val="24"/>
          <w:szCs w:val="24"/>
        </w:rPr>
        <w:t>art. 3</w:t>
      </w:r>
      <w:r w:rsidR="00A80329"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7 stosuje się odpowiednio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8</w:t>
      </w:r>
      <w:r w:rsidRPr="009A3C86">
        <w:rPr>
          <w:rFonts w:ascii="Times New Roman" w:eastAsia="Times New Roman" w:hAnsi="Times New Roman"/>
          <w:sz w:val="24"/>
          <w:szCs w:val="24"/>
        </w:rPr>
        <w:t>).  Zaznaczyć należy, że system prawa podatkowego obok generalnej klauzuli przeciwko unikaniu opodatkowania zawiera również inne instytucje przeciwdziałające unikaniu opodatkowania. Wskazać w tym miejscu należy m.in. tzw. małe klauzule przeciwko unikaniu opodatkowania zawarte w art. 12 ust. 13 i 14 i art. 22c u.p.d.o.p. Nie można również pominąć przeciwdziałania unikaniu opodatkowania przeprowadzanego za pośrednictwem art. </w:t>
      </w:r>
      <w:r w:rsidR="00F02F3A"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1. Analiza schematów unikania opodatkowania wskazuje, że nierzadko powstają wątpliwości, czy skutki unikania opodatkowania mogą zostać zniwelowane za pośrednictwem innych niż klauzula przeciwko unikaniu opodatkowania przepisów prawa podatkowego, a jeśli tak, to czy w takim samym stopniu. Wątpliwości takie powstają m.in. na tle zespołów czynności prowadzących do unikania opodatkowania, w których jeden z etapów czynności podlega wyraźnie jednej z małych klauzul przeciwko unikaniu opodatkowania. Omawianą intencję projektodawcy będzie realizować proponowany </w:t>
      </w:r>
      <w:r w:rsidRPr="009A3C86">
        <w:rPr>
          <w:rFonts w:ascii="Times New Roman" w:eastAsia="Times New Roman" w:hAnsi="Times New Roman"/>
          <w:b/>
          <w:sz w:val="24"/>
          <w:szCs w:val="24"/>
        </w:rPr>
        <w:t xml:space="preserve">art. </w:t>
      </w:r>
      <w:r w:rsidR="00F02F3A" w:rsidRPr="009A3C86">
        <w:rPr>
          <w:rFonts w:ascii="Times New Roman" w:eastAsia="Times New Roman" w:hAnsi="Times New Roman"/>
          <w:b/>
          <w:sz w:val="24"/>
          <w:szCs w:val="24"/>
        </w:rPr>
        <w:t>596</w:t>
      </w:r>
      <w:r w:rsidRPr="009A3C86">
        <w:rPr>
          <w:rFonts w:ascii="Times New Roman" w:eastAsia="Times New Roman" w:hAnsi="Times New Roman"/>
          <w:sz w:val="24"/>
          <w:szCs w:val="24"/>
        </w:rPr>
        <w:t>. Na mocy ww. przepisu, Szef KAS będzie mógł odmówić wszczęcia postępowania podatkowego lub przejęcia postępowania podatkowego, kontroli celno-skarbowej lub kontroli podatkowej, jeżeli zastosowanie innych niż art. 3</w:t>
      </w:r>
      <w:r w:rsidR="009D04A0"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lub umowna klauzula przeciwko unikaniu opodatkowania przepisów prawa podatkowego pozwoli na przeciwdziałanie unikaniu opodatkowania. Postępowanie zaś wszczęte lub przejęte Szef KAS będzie mógł przekazać innemu organowi podatkowemu, który zastosuje inne przepisy niwelujące skutki unikania opodatkowania. Omawiana regulacja nie będzie mogła być podstawą zarzutu w przypadku wystąpienia ewentualnej kolizji klauzuli przeciwko unikaniu opodatkowania lub umownych klauzul przeciwko unikaniu opodatkowania z innymi przepisami prawa materialnego. Celem regulacji nie jest poszerzanie kompetencji Szefa KAS w zakresie stosowania klauzuli przeciwko unikaniu opodatkowania, lecz usunięcie nieuzasadnionych przeszkód przy stosowaniu klauzuli przeciwko unikaniu opodatkowania w skomplikowanych stanach faktycznych. Nie będzie także możliwe prowadzenie równoległego </w:t>
      </w:r>
      <w:r w:rsidRPr="009A3C86">
        <w:rPr>
          <w:rFonts w:ascii="Times New Roman" w:eastAsia="Times New Roman" w:hAnsi="Times New Roman"/>
          <w:sz w:val="24"/>
          <w:szCs w:val="24"/>
        </w:rPr>
        <w:lastRenderedPageBreak/>
        <w:t>postępowania przez dwa różne organy podatkowe. Postępowanie podatkowe zarówno wszczęte na podstawie art. 3</w:t>
      </w:r>
      <w:r w:rsidR="009D04A0" w:rsidRPr="009A3C86">
        <w:rPr>
          <w:rFonts w:ascii="Times New Roman" w:eastAsia="Times New Roman" w:hAnsi="Times New Roman"/>
          <w:sz w:val="24"/>
          <w:szCs w:val="24"/>
        </w:rPr>
        <w:t>48</w:t>
      </w:r>
      <w:r w:rsidRPr="009A3C86">
        <w:rPr>
          <w:rFonts w:ascii="Times New Roman" w:eastAsia="Times New Roman" w:hAnsi="Times New Roman"/>
          <w:sz w:val="24"/>
          <w:szCs w:val="24"/>
        </w:rPr>
        <w:t xml:space="preserve">, jak i </w:t>
      </w:r>
      <w:r w:rsidRPr="009A3C86">
        <w:rPr>
          <w:rFonts w:ascii="Times New Roman" w:eastAsia="Times New Roman" w:hAnsi="Times New Roman"/>
          <w:b/>
          <w:sz w:val="24"/>
          <w:szCs w:val="24"/>
        </w:rPr>
        <w:t>art. </w:t>
      </w:r>
      <w:r w:rsidR="008A636A" w:rsidRPr="009A3C86">
        <w:rPr>
          <w:rFonts w:ascii="Times New Roman" w:eastAsia="Times New Roman" w:hAnsi="Times New Roman"/>
          <w:b/>
          <w:sz w:val="24"/>
          <w:szCs w:val="24"/>
        </w:rPr>
        <w:t>594</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dotyczy bowiem danego podatku w konkretnym okresie rozliczeniowym. Wydanie dwóch decyzji w tych postępowaniach jest jednoznaczne z nieważnością postępowania w jednym z nich</w:t>
      </w:r>
      <w:r w:rsidR="003D76ED"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W myśl </w:t>
      </w:r>
      <w:r w:rsidRPr="009A3C86">
        <w:rPr>
          <w:rFonts w:ascii="Times New Roman" w:eastAsia="Times New Roman" w:hAnsi="Times New Roman"/>
          <w:b/>
          <w:sz w:val="24"/>
          <w:szCs w:val="24"/>
        </w:rPr>
        <w:t xml:space="preserve">art. </w:t>
      </w:r>
      <w:r w:rsidR="007A697E" w:rsidRPr="009A3C86">
        <w:rPr>
          <w:rFonts w:ascii="Times New Roman" w:eastAsia="Times New Roman" w:hAnsi="Times New Roman"/>
          <w:b/>
          <w:sz w:val="24"/>
          <w:szCs w:val="24"/>
        </w:rPr>
        <w:t>595</w:t>
      </w:r>
      <w:r w:rsidRPr="009A3C86">
        <w:rPr>
          <w:rFonts w:ascii="Times New Roman" w:eastAsia="Times New Roman" w:hAnsi="Times New Roman"/>
          <w:b/>
          <w:sz w:val="24"/>
          <w:szCs w:val="24"/>
        </w:rPr>
        <w:t>–</w:t>
      </w:r>
      <w:r w:rsidR="007A697E" w:rsidRPr="009A3C86">
        <w:rPr>
          <w:rFonts w:ascii="Times New Roman" w:eastAsia="Times New Roman" w:hAnsi="Times New Roman"/>
          <w:b/>
          <w:sz w:val="24"/>
          <w:szCs w:val="24"/>
        </w:rPr>
        <w:t>598</w:t>
      </w:r>
      <w:r w:rsidRPr="009A3C86">
        <w:rPr>
          <w:rFonts w:ascii="Times New Roman" w:eastAsia="Times New Roman" w:hAnsi="Times New Roman"/>
          <w:sz w:val="24"/>
          <w:szCs w:val="24"/>
        </w:rPr>
        <w:t xml:space="preserve"> (odpowiednik obowiązujących od 1 stycznia 2019 r. art. 119ga–119gd)</w:t>
      </w:r>
      <w:r w:rsidRPr="009A3C86">
        <w:rPr>
          <w:rFonts w:ascii="Times New Roman" w:eastAsia="Times New Roman" w:hAnsi="Times New Roman"/>
          <w:sz w:val="24"/>
          <w:szCs w:val="24"/>
          <w:vertAlign w:val="superscript"/>
        </w:rPr>
        <w:footnoteReference w:id="532"/>
      </w:r>
      <w:r w:rsidRPr="009A3C86">
        <w:rPr>
          <w:rFonts w:ascii="Times New Roman" w:eastAsia="Times New Roman" w:hAnsi="Times New Roman"/>
          <w:sz w:val="24"/>
          <w:szCs w:val="24"/>
        </w:rPr>
        <w:t>, zasady przejmowania spraw przez Szefa KAS będą jednolite w każdej z procedur, tj. postępowanie podatkowe, kontrola podatkowa, kontrola celno-skarbowa. Szef KAS może odmówić wszczęcia postępowania podatkowego lub odmówić przejęcia postępowania podatkowego, kontroli podatkowej lub kontroli celno-skarbowej, zaś postępowanie wszczęte lub przejęte może umorzyć lub przekazać właściwemu organowi podatkowemu, jeżeli zastosowanie innych niż art. 3</w:t>
      </w:r>
      <w:r w:rsidR="003D76ED"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przepisów prawa podatkowego pozwala na przeciwdziałanie unikaniu opodatkowania, np. tzw. małych klauzul przeciwko unikaniu opodatkowania. W takiej sytuacji, Szef KAS może umorzyć wszczęte na podstawie art. </w:t>
      </w:r>
      <w:r w:rsidR="00EF23AA"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3 postępowanie podatkowe, a przejętą kontrolę podatkową lub kontrolę celno-skarbową przekazać organowi podatkowemu. W sprawie przekazania, o którym mowa powyżej wydaje się postanowienie, które doręcza się stronie oraz organowi podatkowemu, któremu sprawa jest przekazywana. Czynności dokonane przed przekazaniem sprawy pozostają w mocy. W przypadku przejęcia postępowania podatkowego od samorządowego organu podatkowego, Szef KAS będzie uprawniony na podstawie </w:t>
      </w:r>
      <w:r w:rsidRPr="009A3C86">
        <w:rPr>
          <w:rFonts w:ascii="Times New Roman" w:eastAsia="Times New Roman" w:hAnsi="Times New Roman"/>
          <w:b/>
          <w:sz w:val="24"/>
          <w:szCs w:val="24"/>
        </w:rPr>
        <w:t>art. </w:t>
      </w:r>
      <w:r w:rsidR="00B43074" w:rsidRPr="009A3C86">
        <w:rPr>
          <w:rFonts w:ascii="Times New Roman" w:eastAsia="Times New Roman" w:hAnsi="Times New Roman"/>
          <w:b/>
          <w:sz w:val="24"/>
          <w:szCs w:val="24"/>
        </w:rPr>
        <w:t>597</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do wystąpienia do tego organu o zajęcie stanowiska w wyznaczonym terminie (nie dłuższym niż 2 miesiące) w zakresie zebranych w postępowaniu dowodów i materiałów. Zmiana ta umożliwi samorządowemu organowi podatkowemu bardziej aktywne uczestnictwo w postępowaniu podatkowym związanym z jego dochodami budżetowymi i przedstawienia swojej oceny prawnej sprawy. Należy wskazać, że zgodnie z </w:t>
      </w:r>
      <w:r w:rsidRPr="009A3C86">
        <w:rPr>
          <w:rFonts w:ascii="Times New Roman" w:eastAsia="Times New Roman" w:hAnsi="Times New Roman"/>
          <w:b/>
          <w:sz w:val="24"/>
          <w:szCs w:val="24"/>
        </w:rPr>
        <w:t xml:space="preserve">§ 2 art. </w:t>
      </w:r>
      <w:r w:rsidR="00A77BED" w:rsidRPr="009A3C86">
        <w:rPr>
          <w:rFonts w:ascii="Times New Roman" w:eastAsia="Times New Roman" w:hAnsi="Times New Roman"/>
          <w:b/>
          <w:sz w:val="24"/>
          <w:szCs w:val="24"/>
        </w:rPr>
        <w:t>598</w:t>
      </w:r>
      <w:r w:rsidRPr="009A3C86">
        <w:rPr>
          <w:rFonts w:ascii="Times New Roman" w:eastAsia="Times New Roman" w:hAnsi="Times New Roman"/>
          <w:sz w:val="24"/>
          <w:szCs w:val="24"/>
        </w:rPr>
        <w:t xml:space="preserve"> wydanie decyzji o zabezpieczeniu wykonania zobowiązania podatkowego, o którym mowa w art. 7</w:t>
      </w:r>
      <w:r w:rsidR="00A77BED" w:rsidRPr="009A3C86">
        <w:rPr>
          <w:rFonts w:ascii="Times New Roman" w:eastAsia="Times New Roman" w:hAnsi="Times New Roman"/>
          <w:sz w:val="24"/>
          <w:szCs w:val="24"/>
        </w:rPr>
        <w:t>31</w:t>
      </w:r>
      <w:r w:rsidRPr="009A3C86">
        <w:rPr>
          <w:rFonts w:ascii="Times New Roman" w:eastAsia="Times New Roman" w:hAnsi="Times New Roman"/>
          <w:sz w:val="24"/>
          <w:szCs w:val="24"/>
        </w:rPr>
        <w:t xml:space="preserve">, w toku postępowania podatkowego określonego w niniejszym rozdziale albo przed wszczęciem lub przejęciem postępowania podatkowego na podstawie art. </w:t>
      </w:r>
      <w:r w:rsidR="00A77BED"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1 lub 3, następuje po zasięgnięciu opinii Szefa KAS.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Przepis </w:t>
      </w:r>
      <w:r w:rsidRPr="009A3C86">
        <w:rPr>
          <w:rFonts w:ascii="Times New Roman" w:eastAsia="Times New Roman" w:hAnsi="Times New Roman"/>
          <w:b/>
          <w:sz w:val="24"/>
          <w:szCs w:val="24"/>
        </w:rPr>
        <w:t xml:space="preserve">art. </w:t>
      </w:r>
      <w:r w:rsidR="00A77BED" w:rsidRPr="009A3C86">
        <w:rPr>
          <w:rFonts w:ascii="Times New Roman" w:eastAsia="Times New Roman" w:hAnsi="Times New Roman"/>
          <w:b/>
          <w:sz w:val="24"/>
          <w:szCs w:val="24"/>
        </w:rPr>
        <w:t>601</w:t>
      </w:r>
      <w:r w:rsidRPr="009A3C86">
        <w:rPr>
          <w:rFonts w:ascii="Times New Roman" w:eastAsia="Times New Roman" w:hAnsi="Times New Roman"/>
          <w:sz w:val="24"/>
          <w:szCs w:val="24"/>
        </w:rPr>
        <w:t xml:space="preserve"> kreuje uprawnienie dla podmiotów uczestniczących w czynności, której skutki podatkowe określono w decyzji wydanej na podstawie art. 3</w:t>
      </w:r>
      <w:r w:rsidR="001A4237" w:rsidRPr="009A3C86">
        <w:rPr>
          <w:rFonts w:ascii="Times New Roman" w:eastAsia="Times New Roman" w:hAnsi="Times New Roman"/>
          <w:sz w:val="24"/>
          <w:szCs w:val="24"/>
        </w:rPr>
        <w:t>3</w:t>
      </w:r>
      <w:r w:rsidR="00F3791E" w:rsidRPr="009A3C86">
        <w:rPr>
          <w:rFonts w:ascii="Times New Roman" w:eastAsia="Times New Roman" w:hAnsi="Times New Roman"/>
          <w:sz w:val="24"/>
          <w:szCs w:val="24"/>
        </w:rPr>
        <w:t xml:space="preserve"> §</w:t>
      </w:r>
      <w:r w:rsidR="002741C2" w:rsidRPr="009A3C86">
        <w:rPr>
          <w:rFonts w:ascii="Times New Roman" w:eastAsia="Times New Roman" w:hAnsi="Times New Roman"/>
          <w:sz w:val="24"/>
          <w:szCs w:val="24"/>
        </w:rPr>
        <w:t xml:space="preserve"> </w:t>
      </w:r>
      <w:r w:rsidR="00F3791E" w:rsidRPr="009A3C86">
        <w:rPr>
          <w:rFonts w:ascii="Times New Roman" w:eastAsia="Times New Roman" w:hAnsi="Times New Roman"/>
          <w:sz w:val="24"/>
          <w:szCs w:val="24"/>
        </w:rPr>
        <w:t>6</w:t>
      </w:r>
      <w:r w:rsidRPr="009A3C86">
        <w:rPr>
          <w:rFonts w:ascii="Times New Roman" w:eastAsia="Times New Roman" w:hAnsi="Times New Roman"/>
          <w:sz w:val="24"/>
          <w:szCs w:val="24"/>
        </w:rPr>
        <w:t xml:space="preserve">. W </w:t>
      </w:r>
      <w:r w:rsidRPr="009A3C86">
        <w:rPr>
          <w:rFonts w:ascii="Times New Roman" w:eastAsia="Times New Roman" w:hAnsi="Times New Roman"/>
          <w:b/>
          <w:sz w:val="24"/>
          <w:szCs w:val="24"/>
        </w:rPr>
        <w:t xml:space="preserve">art. </w:t>
      </w:r>
      <w:r w:rsidR="00A77BED" w:rsidRPr="009A3C86">
        <w:rPr>
          <w:rFonts w:ascii="Times New Roman" w:eastAsia="Times New Roman" w:hAnsi="Times New Roman"/>
          <w:b/>
          <w:sz w:val="24"/>
          <w:szCs w:val="24"/>
        </w:rPr>
        <w:t>601</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stwierdzono, że podmiot inny niż strona postępowania zakończonego decyzją wydaną </w:t>
      </w:r>
      <w:r w:rsidRPr="009A3C86">
        <w:rPr>
          <w:rFonts w:ascii="Times New Roman" w:eastAsia="Times New Roman" w:hAnsi="Times New Roman"/>
          <w:sz w:val="24"/>
          <w:szCs w:val="24"/>
        </w:rPr>
        <w:lastRenderedPageBreak/>
        <w:t>w sprawie, o której mowa w art. </w:t>
      </w:r>
      <w:r w:rsidR="00A77BED"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1, uczestniczący w czynności, której skutki podatkowe określono w tej decyzji, z wyłączeniem skutków podatkowych określonych na podstawie art. </w:t>
      </w:r>
      <w:r w:rsidR="007774C3"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 6, może skorygować swoją deklarację, uwzględniając treść decyzji, a także wystąpić z wnioskiem o stwierdzenie nadpłaty lub zwrot podatku, jeżeli decyzja jest ostateczna, a w przypadku złożenia skargi – jeżeli sąd administracyjny prawomocnie oddalił skargę na tę decyzję, oraz decyzja ta została wykonana w całości. Warunki te zapewnią, aby podmiot uczestniczący w czynności mógł skorzystać z uprawnienia w momencie, gdy decyzja z zastosowaniem art. </w:t>
      </w:r>
      <w:r w:rsidR="007774C3"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nie jest już przedmiotem kontroli organu podatkowego lub sądu administracyjnego. Ponadto skorzystanie z tego uprawnienia nie przyniesie ujemnego wyniku fiskalnego, który mógłby wystąpić, gdyby podmiot otrzymujący decyzję na podstawie art. </w:t>
      </w:r>
      <w:r w:rsidR="007774C3"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nie wykonał jej w całości, zaś podmiot uczestniczący w czynności – w wyniku skorzystania z uprawnienia – np. zwiększył wysokość kosztów uzyskania przychodów. Uprawnienie nie będzie przysługiwać, jeżeli w decyzja została wydana m.in. na podstawie art. </w:t>
      </w:r>
      <w:r w:rsidR="007774C3"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 6. W tym bowiem przypadku organ podatkowy nie będzie wywodził skutków podatkowych z dokonania czynności odpowiedniej lub zaniechania działania. Na podstawie </w:t>
      </w:r>
      <w:r w:rsidRPr="009A3C86">
        <w:rPr>
          <w:rFonts w:ascii="Times New Roman" w:eastAsia="Times New Roman" w:hAnsi="Times New Roman"/>
          <w:b/>
          <w:sz w:val="24"/>
          <w:szCs w:val="24"/>
        </w:rPr>
        <w:t xml:space="preserve">art. </w:t>
      </w:r>
      <w:r w:rsidR="000721EE" w:rsidRPr="009A3C86">
        <w:rPr>
          <w:rFonts w:ascii="Times New Roman" w:eastAsia="Times New Roman" w:hAnsi="Times New Roman"/>
          <w:b/>
          <w:sz w:val="24"/>
          <w:szCs w:val="24"/>
        </w:rPr>
        <w:t>601</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Szef KAS, po stwierdzeniu spełnienia warunków określonych w § 1, poinformuje w drodze postanowienia w ciągu miesiąca podmioty uczestniczące w czynności o możliwości skorzystania z uprawnienia. Podmioty uczestniczące w czynności będą mogły – zgodnie z § 3 – złożyć korektę deklaracji lub wniosek o stwierdzenie nadpłaty lub zwrot podatku w terminie </w:t>
      </w:r>
      <w:r w:rsidR="00F3791E" w:rsidRPr="009A3C86">
        <w:rPr>
          <w:rFonts w:ascii="Times New Roman" w:eastAsia="Times New Roman" w:hAnsi="Times New Roman"/>
          <w:sz w:val="24"/>
          <w:szCs w:val="24"/>
        </w:rPr>
        <w:t>miesiąca</w:t>
      </w:r>
      <w:r w:rsidRPr="009A3C86">
        <w:rPr>
          <w:rFonts w:ascii="Times New Roman" w:eastAsia="Times New Roman" w:hAnsi="Times New Roman"/>
          <w:sz w:val="24"/>
          <w:szCs w:val="24"/>
        </w:rPr>
        <w:t xml:space="preserve"> od otrzymania </w:t>
      </w:r>
      <w:r w:rsidR="00F3791E" w:rsidRPr="009A3C86">
        <w:rPr>
          <w:rFonts w:ascii="Times New Roman" w:eastAsia="Times New Roman" w:hAnsi="Times New Roman"/>
          <w:sz w:val="24"/>
          <w:szCs w:val="24"/>
        </w:rPr>
        <w:t>postanowienia</w:t>
      </w:r>
      <w:r w:rsidRPr="009A3C86">
        <w:rPr>
          <w:rFonts w:ascii="Times New Roman" w:eastAsia="Times New Roman" w:hAnsi="Times New Roman"/>
          <w:sz w:val="24"/>
          <w:szCs w:val="24"/>
        </w:rPr>
        <w:t xml:space="preserve"> zaś pouczenie w tym zakresie będzie elementem zawiadomienia. Wskazane wydaje się bowiem zakreślenie terminu, w którym skorzystanie z uprawnienia będzie skutecznie możliwe, skoro będzie immanentnie wiązać się z treścią decyzji. W sytuacji skierowania zawiadomienia do podmiotów uczestniczących w czynności konieczne jest wyłączenie regulacji zawartych w art. </w:t>
      </w:r>
      <w:r w:rsidR="00F3791E" w:rsidRPr="009A3C86">
        <w:rPr>
          <w:rFonts w:ascii="Times New Roman" w:eastAsia="Times New Roman" w:hAnsi="Times New Roman"/>
          <w:sz w:val="24"/>
          <w:szCs w:val="24"/>
        </w:rPr>
        <w:t>99</w:t>
      </w:r>
      <w:r w:rsidRPr="009A3C86">
        <w:rPr>
          <w:rFonts w:ascii="Times New Roman" w:eastAsia="Times New Roman" w:hAnsi="Times New Roman"/>
          <w:sz w:val="24"/>
          <w:szCs w:val="24"/>
        </w:rPr>
        <w:t>, dotyczących tajemnicy skarbowej. Podmioty te nie były bowiem stronami zakończonego postępowania podatkowego.</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Bieg terminu na skorzystanie z tego uprawnienia podlega  zawieszeniu jeżeli skorzystanie z niego nie będzie możliwe – np. z powodu trwającej kontroli celno-skarbowej lub postępowania podatkowego (</w:t>
      </w:r>
      <w:r w:rsidR="00006B22" w:rsidRPr="009A3C86">
        <w:rPr>
          <w:rFonts w:ascii="Times New Roman" w:eastAsia="Times New Roman" w:hAnsi="Times New Roman"/>
          <w:b/>
          <w:sz w:val="24"/>
          <w:szCs w:val="24"/>
        </w:rPr>
        <w:t xml:space="preserve">art. 601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Jeżeli jednak otrzymanie zawiadomienia na podstawie § 3 zbiegnie się z prowadzonym postępowaniem podatkowym, to strona postępowania będzie mogła zażądać od organu podatkowego uwzględnienia uprawnień wynikających z § 1 w toku tego postępowania, o ile będzie ono związane z przedmiotowymi uprawnieniami (</w:t>
      </w:r>
      <w:r w:rsidR="00006B22" w:rsidRPr="009A3C86">
        <w:rPr>
          <w:rFonts w:ascii="Times New Roman" w:eastAsia="Times New Roman" w:hAnsi="Times New Roman"/>
          <w:b/>
          <w:sz w:val="24"/>
          <w:szCs w:val="24"/>
        </w:rPr>
        <w:t xml:space="preserve">art. 601 </w:t>
      </w:r>
      <w:r w:rsidRPr="009A3C86">
        <w:rPr>
          <w:rFonts w:ascii="Times New Roman" w:eastAsia="Times New Roman" w:hAnsi="Times New Roman"/>
          <w:b/>
          <w:sz w:val="24"/>
          <w:szCs w:val="24"/>
        </w:rPr>
        <w:t>§ 5</w:t>
      </w:r>
      <w:r w:rsidRPr="009A3C86">
        <w:rPr>
          <w:rFonts w:ascii="Times New Roman" w:eastAsia="Times New Roman" w:hAnsi="Times New Roman"/>
          <w:sz w:val="24"/>
          <w:szCs w:val="24"/>
        </w:rPr>
        <w:t>).</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6. W </w:t>
      </w:r>
      <w:r w:rsidRPr="009A3C86">
        <w:rPr>
          <w:rFonts w:ascii="Times New Roman" w:eastAsia="Times New Roman" w:hAnsi="Times New Roman"/>
          <w:b/>
          <w:sz w:val="24"/>
          <w:szCs w:val="24"/>
        </w:rPr>
        <w:t xml:space="preserve">art. </w:t>
      </w:r>
      <w:r w:rsidR="00F84725" w:rsidRPr="009A3C86">
        <w:rPr>
          <w:rFonts w:ascii="Times New Roman" w:eastAsia="Times New Roman" w:hAnsi="Times New Roman"/>
          <w:b/>
          <w:sz w:val="24"/>
          <w:szCs w:val="24"/>
        </w:rPr>
        <w:t>602</w:t>
      </w:r>
      <w:r w:rsidRPr="009A3C86">
        <w:rPr>
          <w:rFonts w:ascii="Times New Roman" w:eastAsia="Times New Roman" w:hAnsi="Times New Roman"/>
          <w:sz w:val="24"/>
          <w:szCs w:val="24"/>
        </w:rPr>
        <w:t xml:space="preserve"> określono kwestie związane z zakończeniem przez Szefa KAS postępowania podatkowego, w którym może być wydana decyzja z zastosowaniem art. 3</w:t>
      </w:r>
      <w:r w:rsidR="00F3791E"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W sytuacji gdy w trakcie wszczętego lub przejętego postępowania Szef KAS stwierdzi unikanie opodatkowania, </w:t>
      </w:r>
      <w:r w:rsidRPr="009A3C86">
        <w:rPr>
          <w:rFonts w:ascii="Times New Roman" w:eastAsia="Times New Roman" w:hAnsi="Times New Roman"/>
          <w:sz w:val="24"/>
          <w:szCs w:val="24"/>
        </w:rPr>
        <w:lastRenderedPageBreak/>
        <w:t xml:space="preserve">wydaje decyzję z zastosowaniem klauzuli przeciwko unikaniu opodatkowania. Jeżeli natomiast w sprawie nie występują przesłanki do zastosowania klauzuli, umarza postanowieniem wszczęte lub przejęte postępowanie. Będzie tak wówczas, gdy nie ma potrzeby dalszego prowadzenia postępowania (np. prawidłowa deklaracja podatnika). W </w:t>
      </w:r>
      <w:r w:rsidRPr="009A3C86">
        <w:rPr>
          <w:rFonts w:ascii="Times New Roman" w:eastAsia="Times New Roman" w:hAnsi="Times New Roman"/>
          <w:b/>
          <w:sz w:val="24"/>
          <w:szCs w:val="24"/>
        </w:rPr>
        <w:t>§ </w:t>
      </w:r>
      <w:r w:rsidR="003A382F" w:rsidRPr="009A3C86">
        <w:rPr>
          <w:rFonts w:ascii="Times New Roman" w:eastAsia="Times New Roman" w:hAnsi="Times New Roman"/>
          <w:b/>
          <w:sz w:val="24"/>
          <w:szCs w:val="24"/>
        </w:rPr>
        <w:t>1</w:t>
      </w:r>
      <w:r w:rsidR="00105B27"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użyto alternatywy łącznej („lub”), aby organ podatkowy był władny jednocześnie umorzyć własne postępowanie podatkowe wszczęte na podstawie art. </w:t>
      </w:r>
      <w:r w:rsidR="00F76A77" w:rsidRPr="009A3C86">
        <w:rPr>
          <w:rFonts w:ascii="Times New Roman" w:eastAsia="Times New Roman" w:hAnsi="Times New Roman"/>
          <w:sz w:val="24"/>
          <w:szCs w:val="24"/>
        </w:rPr>
        <w:t>595</w:t>
      </w:r>
      <w:r w:rsidRPr="009A3C86">
        <w:rPr>
          <w:rFonts w:ascii="Times New Roman" w:eastAsia="Times New Roman" w:hAnsi="Times New Roman"/>
          <w:sz w:val="24"/>
          <w:szCs w:val="24"/>
        </w:rPr>
        <w:t xml:space="preserve"> § 3 oraz przekazać przejętą kontrolę podatkową lub kontrolę celno-skarbową właściwemu organowi podatkowemu. W </w:t>
      </w:r>
      <w:r w:rsidRPr="009A3C86">
        <w:rPr>
          <w:rFonts w:ascii="Times New Roman" w:eastAsia="Times New Roman" w:hAnsi="Times New Roman"/>
          <w:b/>
          <w:sz w:val="24"/>
          <w:szCs w:val="24"/>
        </w:rPr>
        <w:t xml:space="preserve">art. </w:t>
      </w:r>
      <w:r w:rsidR="00F84725" w:rsidRPr="009A3C86">
        <w:rPr>
          <w:rFonts w:ascii="Times New Roman" w:eastAsia="Times New Roman" w:hAnsi="Times New Roman"/>
          <w:b/>
          <w:sz w:val="24"/>
          <w:szCs w:val="24"/>
        </w:rPr>
        <w:t>602</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poszerzono  kompetencję Szefa KAS jako organu odwoławczego, jeżeli dojdzie on do przekonania, że w sprawie nie będzie mieć zastosowania art. 3</w:t>
      </w:r>
      <w:r w:rsidR="00DC56C7" w:rsidRPr="009A3C86">
        <w:rPr>
          <w:rFonts w:ascii="Times New Roman" w:eastAsia="Times New Roman" w:hAnsi="Times New Roman"/>
          <w:sz w:val="24"/>
          <w:szCs w:val="24"/>
        </w:rPr>
        <w:t>3</w:t>
      </w:r>
      <w:r w:rsidRPr="009A3C86">
        <w:rPr>
          <w:rFonts w:ascii="Times New Roman" w:eastAsia="Times New Roman" w:hAnsi="Times New Roman"/>
          <w:sz w:val="24"/>
          <w:szCs w:val="24"/>
        </w:rPr>
        <w:t>. Organ odwoławczy będzie mógł w tym przypadku uchylić decyzję organu pierwszej instancji i jednocześnie przekazać sprawę właściwemu organowi podatkowemu. W przypadku gdy postępowanie powinno być prowadzone dalej (np. są wątpliwości co do poprawności zadeklarowanego i zapłaconego podatku), Szef KAS przekazuje sprawę właściwemu organowi. Organ może zakończyć postępowanie na ogólnych zasadach – wydając decyzję (bez klauzuli) lub umarzając postępowanie.</w:t>
      </w:r>
    </w:p>
    <w:p w:rsidR="00045CB9" w:rsidRPr="009A3C86" w:rsidRDefault="00045CB9" w:rsidP="00045CB9">
      <w:pPr>
        <w:autoSpaceDE w:val="0"/>
        <w:autoSpaceDN w:val="0"/>
        <w:adjustRightInd w:val="0"/>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przypadku wydania decyzji z zastosowaniem art. 3</w:t>
      </w:r>
      <w:r w:rsidR="00DC56C7"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lub środków ograniczających umowne korzyści, Szef KAS jako organ podatkowy stosujący przepisy przeciwko unikaniu opodatkowania jest zobowiązany do załatwienia sprawy w całości, a zatem kontynuowanie kontroli podatkowej lub kontroli celno-skarbowej jest się zbędne. Z tego względu </w:t>
      </w:r>
      <w:r w:rsidRPr="009A3C86">
        <w:rPr>
          <w:rFonts w:ascii="Times New Roman" w:eastAsia="Times New Roman" w:hAnsi="Times New Roman"/>
          <w:b/>
          <w:sz w:val="24"/>
          <w:szCs w:val="24"/>
        </w:rPr>
        <w:t xml:space="preserve">art. </w:t>
      </w:r>
      <w:r w:rsidR="00BC6B3A" w:rsidRPr="009A3C86">
        <w:rPr>
          <w:rFonts w:ascii="Times New Roman" w:eastAsia="Times New Roman" w:hAnsi="Times New Roman"/>
          <w:b/>
          <w:sz w:val="24"/>
          <w:szCs w:val="24"/>
        </w:rPr>
        <w:t>602</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wskazuje, że wydanie decyzji z zastosowaniem art. 3</w:t>
      </w:r>
      <w:r w:rsidR="00DC56C7"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lub środków ograniczających umowne korzyści (art. </w:t>
      </w:r>
      <w:r w:rsidR="007873BD"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8 w zw. z art. </w:t>
      </w:r>
      <w:r w:rsidR="007873BD" w:rsidRPr="009A3C86">
        <w:rPr>
          <w:rFonts w:ascii="Times New Roman" w:eastAsia="Times New Roman" w:hAnsi="Times New Roman"/>
          <w:sz w:val="24"/>
          <w:szCs w:val="24"/>
        </w:rPr>
        <w:t>602</w:t>
      </w:r>
      <w:r w:rsidRPr="009A3C86">
        <w:rPr>
          <w:rFonts w:ascii="Times New Roman" w:eastAsia="Times New Roman" w:hAnsi="Times New Roman"/>
          <w:sz w:val="24"/>
          <w:szCs w:val="24"/>
        </w:rPr>
        <w:t xml:space="preserve"> § 3) będzie stanowić jednocześnie zakończenie kontroli podatkowej lub kontroli celno-skarbowej w przejętym zakresie.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7. Szef KAS może zasięgnąć opinii Rady do Spraw Przeciwdziałania Unikaniu Opodatkowania co do zasadności zastosowania art. 3</w:t>
      </w:r>
      <w:r w:rsidR="00DC56C7"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w prowadzonym postępowaniu (</w:t>
      </w:r>
      <w:r w:rsidRPr="009A3C86">
        <w:rPr>
          <w:rFonts w:ascii="Times New Roman" w:eastAsia="Times New Roman" w:hAnsi="Times New Roman"/>
          <w:b/>
          <w:sz w:val="24"/>
          <w:szCs w:val="24"/>
        </w:rPr>
        <w:t>art</w:t>
      </w:r>
      <w:r w:rsidR="003F1B9F" w:rsidRPr="009A3C86">
        <w:rPr>
          <w:rFonts w:ascii="Times New Roman" w:eastAsia="Times New Roman" w:hAnsi="Times New Roman"/>
          <w:b/>
          <w:sz w:val="24"/>
          <w:szCs w:val="24"/>
        </w:rPr>
        <w:t>. </w:t>
      </w:r>
      <w:r w:rsidR="00DC3273" w:rsidRPr="009A3C86">
        <w:rPr>
          <w:rFonts w:ascii="Times New Roman" w:eastAsia="Times New Roman" w:hAnsi="Times New Roman"/>
          <w:b/>
          <w:sz w:val="24"/>
          <w:szCs w:val="24"/>
        </w:rPr>
        <w:t>599</w:t>
      </w:r>
      <w:r w:rsidRPr="009A3C86">
        <w:rPr>
          <w:rFonts w:ascii="Times New Roman" w:eastAsia="Times New Roman" w:hAnsi="Times New Roman"/>
          <w:sz w:val="24"/>
          <w:szCs w:val="24"/>
        </w:rPr>
        <w:t xml:space="preserve">). Opinia tego niezależnego od administracji podatkowej eksperckiego ciała doradczego będzie wydawana na etapie postępowania pierwszoinstancyjnego lub postępowania odwoławczego. Na etapie postępowania pierwszoinstancyjnego uprawnionym do złożenia wniosku byłby wyłącznie Szef KAS, jeśli dostrzega uzasadnione przesłanki do zastosowania klauzuli. Wraz z wnioskiem Szef KAS zobowiązany będzie do przedstawienia analizy i stanowiska co do wystąpienia przesłanek do zastosowania klauzuli. Szef KAS będzie obligatoryjnie składać wniosek o wydanie opinii przez Radę, jeśli podatnik </w:t>
      </w:r>
      <w:r w:rsidR="00D418A4" w:rsidRPr="009A3C86">
        <w:rPr>
          <w:rFonts w:ascii="Times New Roman" w:eastAsia="Times New Roman" w:hAnsi="Times New Roman"/>
          <w:sz w:val="24"/>
          <w:szCs w:val="24"/>
        </w:rPr>
        <w:t xml:space="preserve">zwróci się o to </w:t>
      </w:r>
      <w:r w:rsidRPr="009A3C86">
        <w:rPr>
          <w:rFonts w:ascii="Times New Roman" w:eastAsia="Times New Roman" w:hAnsi="Times New Roman"/>
          <w:sz w:val="24"/>
          <w:szCs w:val="24"/>
        </w:rPr>
        <w:t>w odwołaniu (</w:t>
      </w:r>
      <w:r w:rsidRPr="009A3C86">
        <w:rPr>
          <w:rFonts w:ascii="Times New Roman" w:eastAsia="Times New Roman" w:hAnsi="Times New Roman"/>
          <w:b/>
          <w:sz w:val="24"/>
          <w:szCs w:val="24"/>
        </w:rPr>
        <w:t xml:space="preserve">art. </w:t>
      </w:r>
      <w:r w:rsidR="00D418A4" w:rsidRPr="009A3C86">
        <w:rPr>
          <w:rFonts w:ascii="Times New Roman" w:eastAsia="Times New Roman" w:hAnsi="Times New Roman"/>
          <w:b/>
          <w:sz w:val="24"/>
          <w:szCs w:val="24"/>
        </w:rPr>
        <w:t>599</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W decyzji organu pierwszej instancji, wydanej na podstawie art. 3</w:t>
      </w:r>
      <w:r w:rsidR="00DC56C7"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będzie zawarte pouczenie o prawie złożenia wniosku o zasięgnięcie opinii Rady do Spraw Unikania Opodatkowania. Mimo braku wniosku podatnika, aż do zakończenia postępowania  organ prowadzący postępowanie będzie mógł </w:t>
      </w:r>
      <w:r w:rsidRPr="009A3C86">
        <w:rPr>
          <w:rFonts w:ascii="Times New Roman" w:eastAsia="Times New Roman" w:hAnsi="Times New Roman"/>
          <w:sz w:val="24"/>
          <w:szCs w:val="24"/>
        </w:rPr>
        <w:lastRenderedPageBreak/>
        <w:t>wystąpić do Rady z wnioskiem o wydanie opinii. Uzyskanie takiej opinii nie będzie jednak obligatoryjne.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Zgodnie z treścią </w:t>
      </w:r>
      <w:r w:rsidRPr="009A3C86">
        <w:rPr>
          <w:rFonts w:ascii="Times New Roman" w:eastAsia="Times New Roman" w:hAnsi="Times New Roman"/>
          <w:b/>
          <w:sz w:val="24"/>
          <w:szCs w:val="24"/>
        </w:rPr>
        <w:t xml:space="preserve">art. </w:t>
      </w:r>
      <w:r w:rsidR="00112763" w:rsidRPr="009A3C86">
        <w:rPr>
          <w:rFonts w:ascii="Times New Roman" w:eastAsia="Times New Roman" w:hAnsi="Times New Roman"/>
          <w:b/>
          <w:sz w:val="24"/>
          <w:szCs w:val="24"/>
        </w:rPr>
        <w:t>603</w:t>
      </w:r>
      <w:r w:rsidRPr="009A3C86">
        <w:rPr>
          <w:rFonts w:ascii="Times New Roman" w:eastAsia="Times New Roman" w:hAnsi="Times New Roman"/>
          <w:sz w:val="24"/>
          <w:szCs w:val="24"/>
        </w:rPr>
        <w:t>, Szef KAS prowadząc postępowanie podatkowe w zakresie unikania opodatkowania może korzystać z instytucji zawartych w dziale III. Odesłanie zawarte w tym przepisie pozwala także na zastosowanie w toku postępowania podatkowego przepisów art. 45, art. 46, art. 49</w:t>
      </w:r>
      <w:r w:rsidR="00801D70" w:rsidRPr="009A3C86">
        <w:rPr>
          <w:rFonts w:ascii="Times New Roman" w:eastAsia="Times New Roman" w:hAnsi="Times New Roman"/>
          <w:sz w:val="24"/>
          <w:szCs w:val="24"/>
        </w:rPr>
        <w:t>, art. 49b</w:t>
      </w:r>
      <w:r w:rsidRPr="009A3C86">
        <w:rPr>
          <w:rFonts w:ascii="Times New Roman" w:eastAsia="Times New Roman" w:hAnsi="Times New Roman"/>
          <w:sz w:val="24"/>
          <w:szCs w:val="24"/>
        </w:rPr>
        <w:t xml:space="preserve"> i art. 51 ustawy </w:t>
      </w:r>
      <w:r w:rsidR="006B6099" w:rsidRPr="009A3C86">
        <w:rPr>
          <w:rFonts w:ascii="Times New Roman" w:eastAsia="Times New Roman" w:hAnsi="Times New Roman"/>
          <w:sz w:val="24"/>
          <w:szCs w:val="24"/>
        </w:rPr>
        <w:t>z dnia 16 listopada 2016 r. o </w:t>
      </w:r>
      <w:r w:rsidRPr="009A3C86">
        <w:rPr>
          <w:rFonts w:ascii="Times New Roman" w:eastAsia="Times New Roman" w:hAnsi="Times New Roman"/>
          <w:sz w:val="24"/>
          <w:szCs w:val="24"/>
        </w:rPr>
        <w:t xml:space="preserve">Krajowej Administracji Skarbowej, które kreują uprawnienia o charakterze procesowym (żądanie informacji). </w:t>
      </w:r>
    </w:p>
    <w:p w:rsidR="00045CB9" w:rsidRPr="009A3C86" w:rsidRDefault="00045CB9" w:rsidP="00D72E74">
      <w:pPr>
        <w:keepNext/>
        <w:keepLines/>
        <w:spacing w:before="120" w:after="0" w:line="360" w:lineRule="auto"/>
        <w:jc w:val="both"/>
        <w:outlineLvl w:val="3"/>
        <w:rPr>
          <w:rFonts w:ascii="Times New Roman" w:hAnsi="Times New Roman"/>
          <w:b/>
          <w:sz w:val="24"/>
          <w:szCs w:val="24"/>
        </w:rPr>
      </w:pPr>
      <w:bookmarkStart w:id="82" w:name="_Toc494363306"/>
      <w:r w:rsidRPr="009A3C86">
        <w:rPr>
          <w:rFonts w:ascii="Times New Roman" w:hAnsi="Times New Roman"/>
          <w:b/>
          <w:sz w:val="24"/>
          <w:szCs w:val="24"/>
        </w:rPr>
        <w:t>O</w:t>
      </w:r>
      <w:r w:rsidR="00C4455F" w:rsidRPr="009A3C86">
        <w:rPr>
          <w:rFonts w:ascii="Times New Roman" w:hAnsi="Times New Roman"/>
          <w:b/>
          <w:sz w:val="24"/>
          <w:szCs w:val="24"/>
        </w:rPr>
        <w:t>d</w:t>
      </w:r>
      <w:r w:rsidRPr="009A3C86">
        <w:rPr>
          <w:rFonts w:ascii="Times New Roman" w:hAnsi="Times New Roman"/>
          <w:b/>
          <w:sz w:val="24"/>
          <w:szCs w:val="24"/>
        </w:rPr>
        <w:t>dział 2. Opinie zabezpieczające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W </w:t>
      </w:r>
      <w:r w:rsidRPr="009A3C86">
        <w:rPr>
          <w:rFonts w:ascii="Times New Roman" w:eastAsia="Times New Roman" w:hAnsi="Times New Roman"/>
          <w:b/>
          <w:sz w:val="24"/>
          <w:szCs w:val="24"/>
        </w:rPr>
        <w:t xml:space="preserve">art. </w:t>
      </w:r>
      <w:r w:rsidR="00742B69" w:rsidRPr="009A3C86">
        <w:rPr>
          <w:rFonts w:ascii="Times New Roman" w:eastAsia="Times New Roman" w:hAnsi="Times New Roman"/>
          <w:b/>
          <w:sz w:val="24"/>
          <w:szCs w:val="24"/>
        </w:rPr>
        <w:t>604</w:t>
      </w:r>
      <w:r w:rsidR="00742B69" w:rsidRPr="009A3C86">
        <w:rPr>
          <w:rFonts w:ascii="Times New Roman" w:eastAsia="Times New Roman" w:hAnsi="Times New Roman"/>
          <w:sz w:val="24"/>
          <w:szCs w:val="24"/>
        </w:rPr>
        <w:t>–</w:t>
      </w:r>
      <w:r w:rsidR="00742B69" w:rsidRPr="009A3C86">
        <w:rPr>
          <w:rFonts w:ascii="Times New Roman" w:eastAsia="Times New Roman" w:hAnsi="Times New Roman"/>
          <w:b/>
          <w:sz w:val="24"/>
          <w:szCs w:val="24"/>
        </w:rPr>
        <w:t>615</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uregulowane zostały zasady i tryb wydawania opinii zabezpieczających. Zgodnie z </w:t>
      </w:r>
      <w:r w:rsidRPr="009A3C86">
        <w:rPr>
          <w:rFonts w:ascii="Times New Roman" w:eastAsia="Times New Roman" w:hAnsi="Times New Roman"/>
          <w:b/>
          <w:sz w:val="24"/>
          <w:szCs w:val="24"/>
        </w:rPr>
        <w:t xml:space="preserve">art. </w:t>
      </w:r>
      <w:r w:rsidR="00742B69" w:rsidRPr="009A3C86">
        <w:rPr>
          <w:rFonts w:ascii="Times New Roman" w:eastAsia="Times New Roman" w:hAnsi="Times New Roman"/>
          <w:b/>
          <w:sz w:val="24"/>
          <w:szCs w:val="24"/>
        </w:rPr>
        <w:t>606</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właściwym w zakresie wydawania opinii zabezpieczającej będzie Szef KAS. Stosownie do </w:t>
      </w:r>
      <w:r w:rsidRPr="009A3C86">
        <w:rPr>
          <w:rFonts w:ascii="Times New Roman" w:eastAsia="Times New Roman" w:hAnsi="Times New Roman"/>
          <w:b/>
          <w:sz w:val="24"/>
          <w:szCs w:val="24"/>
        </w:rPr>
        <w:t xml:space="preserve">art. </w:t>
      </w:r>
      <w:r w:rsidR="00742B69" w:rsidRPr="009A3C86">
        <w:rPr>
          <w:rFonts w:ascii="Times New Roman" w:eastAsia="Times New Roman" w:hAnsi="Times New Roman"/>
          <w:b/>
          <w:sz w:val="24"/>
          <w:szCs w:val="24"/>
        </w:rPr>
        <w:t>604</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Szef KAS na wniosek zainteresowanego wydaje, w jego indywidualnej sprawie, opinię zabezpieczającą przed zastosowaniem wobec niego przepisów rozdziału 4 działu I „Klauzula ogólna przeciwko unikaniu opodatkowania” w okolicznościach przedstawionych we wniosku. Opinię taką na wniosek zainteresowanego Szef KAS wyda w razie stwierdzenia, że planowane lub dokonane przez zainteresowanego czynności, przedstawione przez niego we wniosku,  nie stanowią unikania opodatkowania w rozumieniu art. 3</w:t>
      </w:r>
      <w:r w:rsidR="00DC56C7" w:rsidRPr="009A3C86">
        <w:rPr>
          <w:rFonts w:ascii="Times New Roman" w:eastAsia="Times New Roman" w:hAnsi="Times New Roman"/>
          <w:sz w:val="24"/>
          <w:szCs w:val="24"/>
        </w:rPr>
        <w:t>3</w:t>
      </w:r>
      <w:r w:rsidRPr="009A3C86">
        <w:rPr>
          <w:rFonts w:ascii="Times New Roman" w:eastAsia="Times New Roman" w:hAnsi="Times New Roman"/>
          <w:sz w:val="24"/>
          <w:szCs w:val="24"/>
        </w:rPr>
        <w:t>. Procedura wydawania opinii zabezpieczających w indywidualnych sprawach będzie szeroko ujmowała możliwość zastosowania klauzuli przeciwko unikaniu opodatkowania, uwzględniając też zawarte w tej klauzuli aspekty gospodarcze planowanych działań i relacje korzyści gospodarczych i podatkowych. Przedmiotem tej opinii nie będzie ocena stanowiska wnioskodawcy, ale ocena, czy w okolicznościach przestawionych we wniosku istnieją przesłanki do zastosowania klauzuli.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742B69" w:rsidRPr="009A3C86">
        <w:rPr>
          <w:rFonts w:ascii="Times New Roman" w:eastAsia="Times New Roman" w:hAnsi="Times New Roman"/>
          <w:b/>
          <w:sz w:val="24"/>
          <w:szCs w:val="24"/>
        </w:rPr>
        <w:t>604</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wskazano, że z wnioskiem o wydanie opinii zabezpieczającej mogą wystąpić zainteresowani dokonujący niezależnych, ale analogicznych czynności. Treść przepisu nie wymaga, że zainteresowani powinni być powiązani przedstawianą do oceny czynnością. Zainteresowani powinni być powiązani tą samą czynnością, która zostaje poddana pod ocenę organu podatkowego. Podobne rozwiązanie, w przypadku postępowania w przedmiocie wydania interpretacji indywidualnej, zastosowano w art. 5</w:t>
      </w:r>
      <w:r w:rsidR="001D7469" w:rsidRPr="009A3C86">
        <w:rPr>
          <w:rFonts w:ascii="Times New Roman" w:eastAsia="Times New Roman" w:hAnsi="Times New Roman"/>
          <w:sz w:val="24"/>
          <w:szCs w:val="24"/>
        </w:rPr>
        <w:t>60</w:t>
      </w:r>
      <w:r w:rsidRPr="009A3C86">
        <w:rPr>
          <w:rFonts w:ascii="Times New Roman" w:eastAsia="Times New Roman" w:hAnsi="Times New Roman"/>
          <w:sz w:val="24"/>
          <w:szCs w:val="24"/>
        </w:rPr>
        <w:t xml:space="preserve"> § 1.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Wniosek może dotyczyć czynności dokonanej, rozpoczętej lub dopiero planowanej. </w:t>
      </w:r>
      <w:r w:rsidR="00742B69" w:rsidRPr="009A3C86">
        <w:rPr>
          <w:rFonts w:ascii="Times New Roman" w:eastAsia="Times New Roman" w:hAnsi="Times New Roman"/>
          <w:sz w:val="24"/>
          <w:szCs w:val="24"/>
        </w:rPr>
        <w:t>W </w:t>
      </w:r>
      <w:r w:rsidRPr="009A3C86">
        <w:rPr>
          <w:rFonts w:ascii="Times New Roman" w:eastAsia="Times New Roman" w:hAnsi="Times New Roman"/>
          <w:b/>
          <w:sz w:val="24"/>
          <w:szCs w:val="24"/>
        </w:rPr>
        <w:t>art</w:t>
      </w:r>
      <w:r w:rsidR="00742B69" w:rsidRPr="009A3C86">
        <w:rPr>
          <w:rFonts w:ascii="Times New Roman" w:eastAsia="Times New Roman" w:hAnsi="Times New Roman"/>
          <w:b/>
          <w:sz w:val="24"/>
          <w:szCs w:val="24"/>
        </w:rPr>
        <w:t>. </w:t>
      </w:r>
      <w:r w:rsidR="00742B69" w:rsidRPr="009A3C86">
        <w:rPr>
          <w:rFonts w:ascii="Times New Roman" w:eastAsia="Times New Roman" w:hAnsi="Times New Roman"/>
          <w:b/>
          <w:bCs/>
          <w:sz w:val="24"/>
          <w:szCs w:val="24"/>
        </w:rPr>
        <w:t xml:space="preserve">605 </w:t>
      </w:r>
      <w:r w:rsidRPr="009A3C86">
        <w:rPr>
          <w:rFonts w:ascii="Times New Roman" w:eastAsia="Times New Roman" w:hAnsi="Times New Roman"/>
          <w:sz w:val="24"/>
          <w:szCs w:val="24"/>
        </w:rPr>
        <w:t xml:space="preserve">wskazane są elementy, jakie powinien zawierać wniosek o wydanie opinii. Zgodnie z zawartym w </w:t>
      </w:r>
      <w:r w:rsidRPr="009A3C86">
        <w:rPr>
          <w:rFonts w:ascii="Times New Roman" w:eastAsia="Times New Roman" w:hAnsi="Times New Roman"/>
          <w:b/>
          <w:sz w:val="24"/>
          <w:szCs w:val="24"/>
        </w:rPr>
        <w:t xml:space="preserve">art. </w:t>
      </w:r>
      <w:r w:rsidR="006D38A1" w:rsidRPr="009A3C86">
        <w:rPr>
          <w:rFonts w:ascii="Times New Roman" w:eastAsia="Times New Roman" w:hAnsi="Times New Roman"/>
          <w:b/>
          <w:sz w:val="24"/>
          <w:szCs w:val="24"/>
        </w:rPr>
        <w:t>605</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wprowadzeniem do wyliczenia, wniosek o wydanie opinii zabezpieczającej powinien zawierać dane istotne dla określenia podatkowych skutków </w:t>
      </w:r>
      <w:r w:rsidRPr="009A3C86">
        <w:rPr>
          <w:rFonts w:ascii="Times New Roman" w:eastAsia="Times New Roman" w:hAnsi="Times New Roman"/>
          <w:sz w:val="24"/>
          <w:szCs w:val="24"/>
        </w:rPr>
        <w:lastRenderedPageBreak/>
        <w:t>czynności oraz zastosowania do tej czynności art. 3</w:t>
      </w:r>
      <w:r w:rsidR="00716833"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1. Tak zakreślony obszar informacji odpowiada informacjom najbardziej oczekiwanym i przydatnym do oceny, czy dana czynność stanowi unikanie opodatkowania oraz zawartościom punktów znajdujących się w treści tego paragrafu.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Są to w szczególności:</w:t>
      </w:r>
    </w:p>
    <w:p w:rsidR="00045CB9" w:rsidRPr="009A3C86" w:rsidRDefault="00045CB9" w:rsidP="00045CB9">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1)    dane identyfikujące wnioskodawcę;</w:t>
      </w:r>
    </w:p>
    <w:p w:rsidR="00045CB9" w:rsidRPr="009A3C86" w:rsidRDefault="00045CB9" w:rsidP="00045CB9">
      <w:pPr>
        <w:spacing w:after="0" w:line="360" w:lineRule="auto"/>
        <w:ind w:left="510" w:hanging="510"/>
        <w:jc w:val="both"/>
        <w:rPr>
          <w:rFonts w:ascii="Times New Roman" w:hAnsi="Times New Roman"/>
          <w:sz w:val="24"/>
          <w:szCs w:val="24"/>
          <w:lang w:eastAsia="pl-PL"/>
        </w:rPr>
      </w:pPr>
      <w:r w:rsidRPr="009A3C86">
        <w:rPr>
          <w:rFonts w:ascii="Times New Roman" w:hAnsi="Times New Roman"/>
          <w:sz w:val="24"/>
          <w:szCs w:val="24"/>
          <w:lang w:eastAsia="pl-PL"/>
        </w:rPr>
        <w:t>2)</w:t>
      </w:r>
      <w:r w:rsidR="006D38A1" w:rsidRPr="009A3C86">
        <w:rPr>
          <w:rFonts w:ascii="Times New Roman" w:hAnsi="Times New Roman"/>
          <w:sz w:val="24"/>
          <w:szCs w:val="24"/>
          <w:lang w:eastAsia="pl-PL"/>
        </w:rPr>
        <w:t xml:space="preserve">    </w:t>
      </w:r>
      <w:r w:rsidRPr="009A3C86">
        <w:rPr>
          <w:rFonts w:ascii="Times New Roman" w:hAnsi="Times New Roman"/>
          <w:sz w:val="24"/>
          <w:szCs w:val="24"/>
          <w:lang w:eastAsia="pl-PL"/>
        </w:rPr>
        <w:t>wskazanie podmiotów dokonujących czynności;</w:t>
      </w:r>
    </w:p>
    <w:p w:rsidR="00045CB9" w:rsidRPr="009A3C86" w:rsidRDefault="00045CB9" w:rsidP="00045CB9">
      <w:pPr>
        <w:tabs>
          <w:tab w:val="left" w:pos="408"/>
        </w:tabs>
        <w:spacing w:after="0" w:line="360" w:lineRule="auto"/>
        <w:ind w:left="408" w:hanging="408"/>
        <w:jc w:val="both"/>
        <w:rPr>
          <w:rFonts w:ascii="Times New Roman" w:eastAsia="Times New Roman" w:hAnsi="Times New Roman"/>
          <w:sz w:val="24"/>
          <w:szCs w:val="24"/>
        </w:rPr>
      </w:pPr>
      <w:r w:rsidRPr="009A3C86">
        <w:rPr>
          <w:rFonts w:ascii="Times New Roman" w:eastAsia="Times New Roman" w:hAnsi="Times New Roman"/>
          <w:sz w:val="24"/>
          <w:szCs w:val="24"/>
        </w:rPr>
        <w:t>3) </w:t>
      </w:r>
      <w:r w:rsidR="006D38A1" w:rsidRPr="009A3C86">
        <w:rPr>
          <w:rFonts w:ascii="Times New Roman" w:eastAsia="Times New Roman" w:hAnsi="Times New Roman"/>
          <w:sz w:val="24"/>
          <w:szCs w:val="24"/>
        </w:rPr>
        <w:tab/>
      </w:r>
      <w:r w:rsidRPr="009A3C86">
        <w:rPr>
          <w:rFonts w:ascii="Times New Roman" w:eastAsia="Times New Roman" w:hAnsi="Times New Roman"/>
          <w:sz w:val="24"/>
          <w:szCs w:val="24"/>
        </w:rPr>
        <w:t>wyczerpujący opis czynności wraz ze wskazaniem występujących pomiędzy podmiotami powiązań w rozumieniu art. 23m ust. 1 pkt 5 ustawy z dnia 26 lipca 1991 r. o podatku dochodowym od osób fizycznych i art. 11a ust. 1 pkt 5</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ustawy z dnia 15 lutego 1992 r. o podatku dochodowym od osób prawnych; </w:t>
      </w:r>
    </w:p>
    <w:p w:rsidR="00045CB9" w:rsidRPr="009A3C86" w:rsidRDefault="00045CB9" w:rsidP="00045CB9">
      <w:pPr>
        <w:tabs>
          <w:tab w:val="left" w:pos="408"/>
        </w:tabs>
        <w:spacing w:after="0" w:line="360" w:lineRule="auto"/>
        <w:ind w:left="408" w:hanging="408"/>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NSP w rozumieniu przepisów </w:t>
      </w:r>
      <w:r w:rsidRPr="009A3C86">
        <w:rPr>
          <w:rFonts w:ascii="Times New Roman" w:eastAsia="Times New Roman" w:hAnsi="Times New Roman"/>
          <w:bCs/>
          <w:sz w:val="24"/>
          <w:szCs w:val="24"/>
        </w:rPr>
        <w:t>działu III rozdziału 15</w:t>
      </w:r>
      <w:r w:rsidRPr="009A3C86">
        <w:rPr>
          <w:rFonts w:ascii="Times New Roman" w:eastAsia="Times New Roman" w:hAnsi="Times New Roman"/>
          <w:sz w:val="24"/>
          <w:szCs w:val="24"/>
        </w:rPr>
        <w:t xml:space="preserve"> odnoszący się do uzgodnienia albo wyjaśnienie, z jakich powodów faktycznych lub prawnych uzgodnienie nie podlegało zgłoszeniu celem nadania NSP;</w:t>
      </w:r>
    </w:p>
    <w:p w:rsidR="00045CB9" w:rsidRPr="009A3C86" w:rsidRDefault="00045CB9" w:rsidP="00045CB9">
      <w:pPr>
        <w:tabs>
          <w:tab w:val="left" w:pos="408"/>
        </w:tabs>
        <w:spacing w:after="0" w:line="360" w:lineRule="auto"/>
        <w:ind w:left="408" w:hanging="408"/>
        <w:jc w:val="both"/>
        <w:rPr>
          <w:rFonts w:ascii="Times New Roman" w:eastAsia="Times New Roman" w:hAnsi="Times New Roman"/>
          <w:strike/>
          <w:sz w:val="24"/>
          <w:szCs w:val="24"/>
        </w:rPr>
      </w:pPr>
      <w:r w:rsidRPr="009A3C86">
        <w:rPr>
          <w:rFonts w:ascii="Times New Roman" w:eastAsia="Times New Roman" w:hAnsi="Times New Roman"/>
          <w:sz w:val="24"/>
          <w:szCs w:val="24"/>
        </w:rPr>
        <w:t>5)</w:t>
      </w:r>
      <w:r w:rsidRPr="009A3C86">
        <w:rPr>
          <w:rFonts w:ascii="Times New Roman" w:eastAsia="Times New Roman" w:hAnsi="Times New Roman"/>
          <w:sz w:val="24"/>
          <w:szCs w:val="24"/>
        </w:rPr>
        <w:tab/>
        <w:t>wskazanie celów, których realizacji czynność ma służyć;</w:t>
      </w:r>
    </w:p>
    <w:p w:rsidR="00045CB9" w:rsidRPr="009A3C86" w:rsidRDefault="00045CB9" w:rsidP="00045CB9">
      <w:pPr>
        <w:spacing w:after="0" w:line="360" w:lineRule="auto"/>
        <w:ind w:left="510" w:hanging="510"/>
        <w:jc w:val="both"/>
        <w:rPr>
          <w:rFonts w:ascii="Times New Roman" w:hAnsi="Times New Roman"/>
          <w:sz w:val="24"/>
          <w:szCs w:val="24"/>
          <w:lang w:eastAsia="pl-PL"/>
        </w:rPr>
      </w:pPr>
      <w:r w:rsidRPr="009A3C86">
        <w:rPr>
          <w:rFonts w:ascii="Times New Roman" w:hAnsi="Times New Roman"/>
          <w:sz w:val="24"/>
          <w:szCs w:val="24"/>
          <w:lang w:eastAsia="pl-PL"/>
        </w:rPr>
        <w:t>6)</w:t>
      </w:r>
      <w:r w:rsidRPr="009A3C86">
        <w:rPr>
          <w:rFonts w:ascii="Times New Roman" w:hAnsi="Times New Roman"/>
          <w:sz w:val="24"/>
          <w:szCs w:val="24"/>
          <w:lang w:eastAsia="pl-PL"/>
        </w:rPr>
        <w:tab/>
        <w:t>wskazanie ekonomicznego lub gospodarczego uzasadnienia czynności;</w:t>
      </w:r>
    </w:p>
    <w:p w:rsidR="00045CB9" w:rsidRPr="009A3C86" w:rsidRDefault="00045CB9" w:rsidP="00045CB9">
      <w:pPr>
        <w:spacing w:after="0" w:line="360" w:lineRule="auto"/>
        <w:ind w:left="510" w:hanging="510"/>
        <w:jc w:val="both"/>
        <w:rPr>
          <w:rFonts w:ascii="Times New Roman" w:hAnsi="Times New Roman"/>
          <w:sz w:val="24"/>
          <w:szCs w:val="24"/>
          <w:lang w:eastAsia="pl-PL"/>
        </w:rPr>
      </w:pPr>
      <w:r w:rsidRPr="009A3C86">
        <w:rPr>
          <w:rFonts w:ascii="Times New Roman" w:hAnsi="Times New Roman"/>
          <w:sz w:val="24"/>
          <w:szCs w:val="24"/>
          <w:lang w:eastAsia="pl-PL"/>
        </w:rPr>
        <w:t>7)</w:t>
      </w:r>
      <w:r w:rsidRPr="009A3C86">
        <w:rPr>
          <w:rFonts w:ascii="Times New Roman" w:hAnsi="Times New Roman"/>
          <w:sz w:val="24"/>
          <w:szCs w:val="24"/>
          <w:lang w:eastAsia="pl-PL"/>
        </w:rPr>
        <w:tab/>
        <w:t>określenie skutków podatkowych, w tym korzyści podatkowych, będących rezultatem czynności objętych wnioskiem;</w:t>
      </w:r>
    </w:p>
    <w:p w:rsidR="00045CB9" w:rsidRPr="009A3C86" w:rsidRDefault="00045CB9" w:rsidP="00045CB9">
      <w:pPr>
        <w:tabs>
          <w:tab w:val="left" w:pos="408"/>
        </w:tabs>
        <w:spacing w:after="0" w:line="360" w:lineRule="auto"/>
        <w:ind w:left="408" w:hanging="408"/>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wskazanie </w:t>
      </w:r>
      <w:r w:rsidR="00F5791F" w:rsidRPr="009A3C86">
        <w:rPr>
          <w:rFonts w:ascii="Times New Roman" w:eastAsia="Times New Roman" w:hAnsi="Times New Roman"/>
          <w:sz w:val="24"/>
          <w:szCs w:val="24"/>
        </w:rPr>
        <w:t xml:space="preserve">korzyści podatkowych </w:t>
      </w:r>
      <w:r w:rsidRPr="009A3C86">
        <w:rPr>
          <w:rFonts w:ascii="Times New Roman" w:eastAsia="Times New Roman" w:hAnsi="Times New Roman"/>
          <w:sz w:val="24"/>
          <w:szCs w:val="24"/>
        </w:rPr>
        <w:t xml:space="preserve">innych niż w pkt 7, niepodlegających ocenie określonej w art. </w:t>
      </w:r>
      <w:r w:rsidR="00B63960" w:rsidRPr="009A3C86">
        <w:rPr>
          <w:rFonts w:ascii="Times New Roman" w:eastAsia="Times New Roman" w:hAnsi="Times New Roman"/>
          <w:sz w:val="24"/>
          <w:szCs w:val="24"/>
        </w:rPr>
        <w:t>608</w:t>
      </w:r>
      <w:r w:rsidR="00AD5A8E"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pkt 2, których osiągnięcie uzależnione jest choćby pośrednio od dokonania czynności;</w:t>
      </w:r>
    </w:p>
    <w:p w:rsidR="00045CB9" w:rsidRPr="009A3C86" w:rsidRDefault="00045CB9" w:rsidP="00045CB9">
      <w:pPr>
        <w:tabs>
          <w:tab w:val="left" w:pos="408"/>
        </w:tabs>
        <w:spacing w:after="0" w:line="360" w:lineRule="auto"/>
        <w:ind w:left="408" w:hanging="408"/>
        <w:jc w:val="both"/>
        <w:rPr>
          <w:rFonts w:ascii="Times New Roman" w:eastAsia="Times New Roman" w:hAnsi="Times New Roman"/>
          <w:sz w:val="24"/>
          <w:szCs w:val="24"/>
        </w:rPr>
      </w:pPr>
      <w:r w:rsidRPr="009A3C86">
        <w:rPr>
          <w:rFonts w:ascii="Times New Roman" w:eastAsia="Times New Roman" w:hAnsi="Times New Roman"/>
          <w:sz w:val="24"/>
          <w:szCs w:val="24"/>
        </w:rPr>
        <w:t>9)   wskazanie innych czynności planowanych, rozpoczętych lub dokonanych, od których choćby pośrednio uzależnione jest osiągnięcie korzyści podatkowych, o których mowa w pkt 7 i 8;</w:t>
      </w:r>
    </w:p>
    <w:p w:rsidR="00045CB9" w:rsidRPr="009A3C86" w:rsidRDefault="00045CB9" w:rsidP="00045CB9">
      <w:pPr>
        <w:spacing w:after="0" w:line="360" w:lineRule="auto"/>
        <w:ind w:left="510" w:hanging="510"/>
        <w:jc w:val="both"/>
        <w:rPr>
          <w:rFonts w:ascii="Times New Roman" w:hAnsi="Times New Roman"/>
          <w:sz w:val="24"/>
          <w:szCs w:val="24"/>
          <w:lang w:eastAsia="pl-PL"/>
        </w:rPr>
      </w:pPr>
      <w:r w:rsidRPr="009A3C86">
        <w:rPr>
          <w:rFonts w:ascii="Times New Roman" w:hAnsi="Times New Roman"/>
          <w:sz w:val="24"/>
          <w:szCs w:val="24"/>
          <w:lang w:eastAsia="pl-PL"/>
        </w:rPr>
        <w:t>10)</w:t>
      </w:r>
      <w:r w:rsidRPr="009A3C86">
        <w:rPr>
          <w:rFonts w:ascii="Times New Roman" w:hAnsi="Times New Roman"/>
          <w:sz w:val="24"/>
          <w:szCs w:val="24"/>
          <w:lang w:eastAsia="pl-PL"/>
        </w:rPr>
        <w:tab/>
        <w:t>przedstawienie własnego stanowiska w sprawie.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Jak wskazano w pkt 6, wniosek o wydanie opinii zabezpieczającej </w:t>
      </w:r>
      <w:r w:rsidR="0059496A" w:rsidRPr="009A3C86">
        <w:rPr>
          <w:rFonts w:ascii="Times New Roman" w:eastAsia="Times New Roman" w:hAnsi="Times New Roman"/>
          <w:sz w:val="24"/>
          <w:szCs w:val="24"/>
        </w:rPr>
        <w:t xml:space="preserve">powinien </w:t>
      </w:r>
      <w:r w:rsidRPr="009A3C86">
        <w:rPr>
          <w:rFonts w:ascii="Times New Roman" w:eastAsia="Times New Roman" w:hAnsi="Times New Roman"/>
          <w:sz w:val="24"/>
          <w:szCs w:val="24"/>
        </w:rPr>
        <w:t xml:space="preserve">zawierać wskazanie korzyści podatkowych będących rezultatem czynności objętych wnioskiem. Warto zauważyć, że wskazanie tego elementu może być korzystne dla wnioskodawcy, gdyż będzie to pozwalało ocenić organowi, czy wskazane przez wnioskodawcę istotne korzyści ekonomiczne i biznesowe uzasadniające przyjętą przez niego konstrukcję prawną przeważają nad ewentualnymi korzyściami podatkowymi. Do wniosku może być załączona dokumentacja dotycząca czynności, w szczególności oryginały lub kopie umów lub ich projektów.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59496A" w:rsidRPr="009A3C86">
        <w:rPr>
          <w:rFonts w:ascii="Times New Roman" w:eastAsia="Times New Roman" w:hAnsi="Times New Roman"/>
          <w:b/>
          <w:sz w:val="24"/>
          <w:szCs w:val="24"/>
        </w:rPr>
        <w:t>605</w:t>
      </w:r>
      <w:r w:rsidRPr="009A3C86">
        <w:rPr>
          <w:rFonts w:ascii="Times New Roman" w:eastAsia="Times New Roman" w:hAnsi="Times New Roman"/>
          <w:b/>
          <w:sz w:val="24"/>
          <w:szCs w:val="24"/>
        </w:rPr>
        <w:t xml:space="preserve"> § 1 pkt 9</w:t>
      </w:r>
      <w:r w:rsidRPr="009A3C86">
        <w:rPr>
          <w:rFonts w:ascii="Times New Roman" w:eastAsia="Times New Roman" w:hAnsi="Times New Roman"/>
          <w:sz w:val="24"/>
          <w:szCs w:val="24"/>
        </w:rPr>
        <w:t xml:space="preserve"> uzupełniono zakres informacji przedstawianych we wniosku o wskazanie innych niż ocena korzyści podatkowych, których osiągnięcie uzależnione jest choćby pośrednio </w:t>
      </w:r>
      <w:r w:rsidRPr="009A3C86">
        <w:rPr>
          <w:rFonts w:ascii="Times New Roman" w:eastAsia="Times New Roman" w:hAnsi="Times New Roman"/>
          <w:sz w:val="24"/>
          <w:szCs w:val="24"/>
        </w:rPr>
        <w:lastRenderedPageBreak/>
        <w:t>od dokonania czynności oraz o wskazanie innych czynności dokonanych, rozpoczętych lub planowanych, od których choćby pośrednio uzależnione jest osiągnięcie korzyści podatkowych, do których zastosowanie będzie mieć opinia zabezpieczająca oraz wymienionych w pkt 7</w:t>
      </w:r>
      <w:r w:rsidR="00AD5A8E"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i 8. Zakres przedstawianych informacji pozwoli organowi podatkowemu ocenić działania podatnika w szerszym kontekście oraz wykluczy celowość wąskiego przedstawiania przez zainteresowanego kwestii dotyczących uzyskiwanej korzyści podatkowej. Jest to szczególnie istotne ze względu na treść art. </w:t>
      </w:r>
      <w:r w:rsidR="00AD5A8E" w:rsidRPr="009A3C86">
        <w:rPr>
          <w:rFonts w:ascii="Times New Roman" w:eastAsia="Times New Roman" w:hAnsi="Times New Roman"/>
          <w:sz w:val="24"/>
          <w:szCs w:val="24"/>
        </w:rPr>
        <w:t>37</w:t>
      </w:r>
      <w:r w:rsidRPr="009A3C86">
        <w:rPr>
          <w:rFonts w:ascii="Times New Roman" w:eastAsia="Times New Roman" w:hAnsi="Times New Roman"/>
          <w:sz w:val="24"/>
          <w:szCs w:val="24"/>
        </w:rPr>
        <w:t>, w myśl którego czynność to także zespół czynności. Ewentualne pominięcie przez zainteresowanych podania informacji wymaganych przez art. </w:t>
      </w:r>
      <w:r w:rsidR="00E12A19" w:rsidRPr="009A3C86">
        <w:rPr>
          <w:rFonts w:ascii="Times New Roman" w:eastAsia="Times New Roman" w:hAnsi="Times New Roman"/>
          <w:sz w:val="24"/>
          <w:szCs w:val="24"/>
        </w:rPr>
        <w:t>605</w:t>
      </w:r>
      <w:r w:rsidRPr="009A3C86">
        <w:rPr>
          <w:rFonts w:ascii="Times New Roman" w:eastAsia="Times New Roman" w:hAnsi="Times New Roman"/>
          <w:sz w:val="24"/>
          <w:szCs w:val="24"/>
        </w:rPr>
        <w:t xml:space="preserve"> § 1 pkt 7 i 8 powinno prowadzić do ograniczenia ochrony </w:t>
      </w:r>
      <w:r w:rsidR="0073663C" w:rsidRPr="009A3C86">
        <w:rPr>
          <w:rFonts w:ascii="Times New Roman" w:eastAsia="Times New Roman" w:hAnsi="Times New Roman"/>
          <w:sz w:val="24"/>
          <w:szCs w:val="24"/>
        </w:rPr>
        <w:t>wynikającej</w:t>
      </w:r>
      <w:r w:rsidRPr="009A3C86">
        <w:rPr>
          <w:rFonts w:ascii="Times New Roman" w:eastAsia="Times New Roman" w:hAnsi="Times New Roman"/>
          <w:sz w:val="24"/>
          <w:szCs w:val="24"/>
        </w:rPr>
        <w:t xml:space="preserve"> z uzyskanej opinii zabezpieczającej, o ile informacje te miałyby wpływ na ocenę możliwości zastosowania art. </w:t>
      </w:r>
      <w:r w:rsidR="00AD5A8E"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1 do korzyści podatkowej.</w:t>
      </w:r>
    </w:p>
    <w:p w:rsidR="00045CB9" w:rsidRPr="009A3C86" w:rsidRDefault="00045CB9" w:rsidP="009A3C86">
      <w:pPr>
        <w:pStyle w:val="USTustnpkodeksu"/>
        <w:ind w:firstLine="0"/>
        <w:rPr>
          <w:rFonts w:ascii="Times New Roman" w:hAnsi="Times New Roman"/>
          <w:szCs w:val="24"/>
        </w:rPr>
      </w:pPr>
      <w:r w:rsidRPr="009A3C86">
        <w:rPr>
          <w:rFonts w:ascii="Times New Roman" w:hAnsi="Times New Roman"/>
          <w:szCs w:val="24"/>
        </w:rPr>
        <w:t xml:space="preserve">Zgodnie z </w:t>
      </w:r>
      <w:r w:rsidRPr="009A3C86">
        <w:rPr>
          <w:rFonts w:ascii="Times New Roman" w:hAnsi="Times New Roman"/>
          <w:b/>
          <w:szCs w:val="24"/>
        </w:rPr>
        <w:t xml:space="preserve">art. </w:t>
      </w:r>
      <w:r w:rsidR="00E12A19" w:rsidRPr="009A3C86">
        <w:rPr>
          <w:rFonts w:ascii="Times New Roman" w:hAnsi="Times New Roman"/>
          <w:b/>
          <w:szCs w:val="24"/>
        </w:rPr>
        <w:t>605</w:t>
      </w:r>
      <w:r w:rsidR="006E394D" w:rsidRPr="009A3C86">
        <w:rPr>
          <w:rFonts w:ascii="Times New Roman" w:hAnsi="Times New Roman"/>
          <w:b/>
          <w:szCs w:val="24"/>
        </w:rPr>
        <w:t xml:space="preserve"> </w:t>
      </w:r>
      <w:r w:rsidRPr="009A3C86">
        <w:rPr>
          <w:rFonts w:ascii="Times New Roman" w:hAnsi="Times New Roman"/>
          <w:b/>
          <w:szCs w:val="24"/>
        </w:rPr>
        <w:t>§ 3</w:t>
      </w:r>
      <w:r w:rsidRPr="009A3C86">
        <w:rPr>
          <w:rFonts w:ascii="Times New Roman" w:hAnsi="Times New Roman"/>
          <w:szCs w:val="24"/>
        </w:rPr>
        <w:t xml:space="preserve"> Szef KAS wzywa wnoszącego wniosek o wydanie opinii zabezpieczającej do usunięcia braków, o których mowa w § 1, w terminie 14 dni od dnia </w:t>
      </w:r>
      <w:r w:rsidR="00E12A19" w:rsidRPr="009A3C86">
        <w:rPr>
          <w:rFonts w:ascii="Times New Roman" w:hAnsi="Times New Roman"/>
          <w:szCs w:val="24"/>
        </w:rPr>
        <w:t>doręczenia</w:t>
      </w:r>
      <w:r w:rsidRPr="009A3C86">
        <w:rPr>
          <w:rFonts w:ascii="Times New Roman" w:hAnsi="Times New Roman"/>
          <w:szCs w:val="24"/>
        </w:rPr>
        <w:t xml:space="preserve"> wezwania</w:t>
      </w:r>
      <w:r w:rsidR="004E6B2B" w:rsidRPr="009A3C86">
        <w:rPr>
          <w:rFonts w:ascii="Times New Roman" w:hAnsi="Times New Roman"/>
          <w:szCs w:val="24"/>
        </w:rPr>
        <w:t>,</w:t>
      </w:r>
      <w:r w:rsidR="004E6B2B" w:rsidRPr="009A3C86">
        <w:t xml:space="preserve"> z pouczeniem, że nieusunięcie tych braków spowoduje pozostawienie wniosku bez rozpatrzenia</w:t>
      </w:r>
      <w:r w:rsidRPr="009A3C86">
        <w:rPr>
          <w:rFonts w:ascii="Times New Roman" w:hAnsi="Times New Roman"/>
          <w:szCs w:val="24"/>
        </w:rPr>
        <w:t xml:space="preserve">. </w:t>
      </w:r>
    </w:p>
    <w:p w:rsidR="009B6AD1" w:rsidRPr="009A3C86" w:rsidRDefault="00045CB9" w:rsidP="009B6AD1">
      <w:pPr>
        <w:pStyle w:val="CZWSPPKTczwsplnapunktw"/>
      </w:pPr>
      <w:r w:rsidRPr="009A3C86">
        <w:rPr>
          <w:rFonts w:ascii="Times New Roman" w:eastAsia="Times New Roman" w:hAnsi="Times New Roman"/>
          <w:szCs w:val="24"/>
        </w:rPr>
        <w:t xml:space="preserve">Zgodnie z </w:t>
      </w:r>
      <w:r w:rsidRPr="009A3C86">
        <w:rPr>
          <w:rFonts w:ascii="Times New Roman" w:eastAsia="Times New Roman" w:hAnsi="Times New Roman"/>
          <w:b/>
          <w:szCs w:val="24"/>
        </w:rPr>
        <w:t xml:space="preserve">art. </w:t>
      </w:r>
      <w:r w:rsidR="009E6ACF" w:rsidRPr="009A3C86">
        <w:rPr>
          <w:rFonts w:ascii="Times New Roman" w:eastAsia="Times New Roman" w:hAnsi="Times New Roman"/>
          <w:b/>
          <w:szCs w:val="24"/>
        </w:rPr>
        <w:t>614</w:t>
      </w:r>
      <w:r w:rsidRPr="009A3C86">
        <w:rPr>
          <w:rFonts w:ascii="Times New Roman" w:eastAsia="Times New Roman" w:hAnsi="Times New Roman"/>
          <w:szCs w:val="24"/>
        </w:rPr>
        <w:t xml:space="preserve"> minister właściwy do spraw finansów publicznych może określić, w drodze rozporządzenia, wzory wniosków, o których mowa w art. </w:t>
      </w:r>
      <w:r w:rsidR="00FD2726" w:rsidRPr="009A3C86">
        <w:rPr>
          <w:rFonts w:ascii="Times New Roman" w:eastAsia="Times New Roman" w:hAnsi="Times New Roman"/>
          <w:szCs w:val="24"/>
        </w:rPr>
        <w:t>604</w:t>
      </w:r>
      <w:r w:rsidRPr="009A3C86">
        <w:rPr>
          <w:rFonts w:ascii="Times New Roman" w:eastAsia="Times New Roman" w:hAnsi="Times New Roman"/>
          <w:szCs w:val="24"/>
        </w:rPr>
        <w:t xml:space="preserve"> § 2 i  art. </w:t>
      </w:r>
      <w:r w:rsidR="00FD2726" w:rsidRPr="009A3C86">
        <w:rPr>
          <w:rFonts w:ascii="Times New Roman" w:eastAsia="Times New Roman" w:hAnsi="Times New Roman"/>
          <w:szCs w:val="24"/>
        </w:rPr>
        <w:t>605</w:t>
      </w:r>
      <w:r w:rsidRPr="009A3C86">
        <w:rPr>
          <w:rFonts w:ascii="Times New Roman" w:eastAsia="Times New Roman" w:hAnsi="Times New Roman"/>
          <w:szCs w:val="24"/>
        </w:rPr>
        <w:t> § 1</w:t>
      </w:r>
      <w:r w:rsidR="009B6AD1" w:rsidRPr="009A3C86">
        <w:rPr>
          <w:rFonts w:ascii="Times New Roman" w:eastAsia="Times New Roman" w:hAnsi="Times New Roman"/>
          <w:szCs w:val="24"/>
        </w:rPr>
        <w:t xml:space="preserve"> oraz </w:t>
      </w:r>
      <w:r w:rsidR="009B6AD1" w:rsidRPr="009A3C86">
        <w:rPr>
          <w:rFonts w:ascii="Times New Roman" w:eastAsia="Times New Roman" w:hAnsi="Times New Roman" w:cs="Times New Roman"/>
          <w:szCs w:val="24"/>
        </w:rPr>
        <w:t xml:space="preserve">sposób uiszczenia opłaty, o której mowa w art. 610 </w:t>
      </w:r>
      <w:r w:rsidR="009B6AD1" w:rsidRPr="009A3C86">
        <w:rPr>
          <w:rFonts w:ascii="Times New Roman" w:hAnsi="Times New Roman" w:cs="Times New Roman"/>
          <w:szCs w:val="24"/>
        </w:rPr>
        <w:t>§ 1</w:t>
      </w:r>
      <w:r w:rsidRPr="009A3C86">
        <w:rPr>
          <w:rFonts w:ascii="Times New Roman" w:eastAsia="Times New Roman" w:hAnsi="Times New Roman" w:cs="Times New Roman"/>
          <w:szCs w:val="24"/>
        </w:rPr>
        <w:t xml:space="preserve">, </w:t>
      </w:r>
      <w:r w:rsidR="009B6AD1" w:rsidRPr="009A3C86">
        <w:t>mając na względzie konieczność ujednolicenia formy składanych wniosków i pouczenia składających wniosek o skutkach prawnych  złożenia fałszywego oświadczenia w zakresie, o którym mowa w art. 558 § 7, oraz zapewnienia sprawnej obsługi wnioskodawców.</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Ponieważ </w:t>
      </w:r>
      <w:r w:rsidRPr="009A3C86">
        <w:rPr>
          <w:rFonts w:ascii="Times New Roman" w:eastAsia="Times New Roman" w:hAnsi="Times New Roman"/>
          <w:b/>
          <w:sz w:val="24"/>
          <w:szCs w:val="24"/>
        </w:rPr>
        <w:t xml:space="preserve">art. </w:t>
      </w:r>
      <w:r w:rsidR="000F7177" w:rsidRPr="009A3C86">
        <w:rPr>
          <w:rFonts w:ascii="Times New Roman" w:eastAsia="Times New Roman" w:hAnsi="Times New Roman"/>
          <w:b/>
          <w:sz w:val="24"/>
          <w:szCs w:val="24"/>
        </w:rPr>
        <w:t>605</w:t>
      </w:r>
      <w:r w:rsidRPr="009A3C86">
        <w:rPr>
          <w:rFonts w:ascii="Times New Roman" w:eastAsia="Times New Roman" w:hAnsi="Times New Roman"/>
          <w:sz w:val="24"/>
          <w:szCs w:val="24"/>
        </w:rPr>
        <w:t xml:space="preserve"> </w:t>
      </w:r>
      <w:r w:rsidRPr="009A3C86">
        <w:rPr>
          <w:rFonts w:ascii="Times New Roman" w:eastAsia="Times New Roman" w:hAnsi="Times New Roman"/>
          <w:i/>
          <w:iCs/>
          <w:sz w:val="24"/>
          <w:szCs w:val="24"/>
        </w:rPr>
        <w:t>in principio</w:t>
      </w:r>
      <w:r w:rsidRPr="009A3C86">
        <w:rPr>
          <w:rFonts w:ascii="Times New Roman" w:eastAsia="Times New Roman" w:hAnsi="Times New Roman"/>
          <w:sz w:val="24"/>
          <w:szCs w:val="24"/>
        </w:rPr>
        <w:t xml:space="preserve"> stanowi o tym, że wniosek o wydanie opinii zabezpieczającej powinien zawierać dane istotne z punktu widzenia skutków podatkowych czynności, dane takie mogą objąć także elementy niewskazane wprost w szczegółowym katalogu zawartym w tym przepisie. Organ prowadzący postępowanie w sprawie wydania opinii może zwrócić się do wnioskodawcy o przedstawienie takich dodatkowych elementów (</w:t>
      </w:r>
      <w:r w:rsidRPr="009A3C86">
        <w:rPr>
          <w:rFonts w:ascii="Times New Roman" w:eastAsia="Times New Roman" w:hAnsi="Times New Roman"/>
          <w:b/>
          <w:sz w:val="24"/>
          <w:szCs w:val="24"/>
        </w:rPr>
        <w:t xml:space="preserve">art. </w:t>
      </w:r>
      <w:r w:rsidR="000F7177" w:rsidRPr="009A3C86">
        <w:rPr>
          <w:rFonts w:ascii="Times New Roman" w:eastAsia="Times New Roman" w:hAnsi="Times New Roman"/>
          <w:b/>
          <w:sz w:val="24"/>
          <w:szCs w:val="24"/>
        </w:rPr>
        <w:t>605</w:t>
      </w:r>
      <w:r w:rsidRPr="009A3C86">
        <w:rPr>
          <w:rFonts w:ascii="Times New Roman" w:eastAsia="Times New Roman" w:hAnsi="Times New Roman"/>
          <w:b/>
          <w:sz w:val="24"/>
          <w:szCs w:val="24"/>
        </w:rPr>
        <w:t xml:space="preserve"> § 3 i 4</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b/>
          <w:sz w:val="24"/>
          <w:szCs w:val="24"/>
        </w:rPr>
        <w:t xml:space="preserve">Art. </w:t>
      </w:r>
      <w:r w:rsidR="000F7177" w:rsidRPr="009A3C86">
        <w:rPr>
          <w:rFonts w:ascii="Times New Roman" w:eastAsia="Times New Roman" w:hAnsi="Times New Roman"/>
          <w:b/>
          <w:sz w:val="24"/>
          <w:szCs w:val="24"/>
        </w:rPr>
        <w:t>606</w:t>
      </w:r>
      <w:r w:rsidRPr="009A3C86">
        <w:rPr>
          <w:rFonts w:ascii="Times New Roman" w:eastAsia="Times New Roman" w:hAnsi="Times New Roman"/>
          <w:b/>
          <w:sz w:val="24"/>
          <w:szCs w:val="24"/>
        </w:rPr>
        <w:t xml:space="preserve"> § 1 i 2</w:t>
      </w:r>
      <w:r w:rsidRPr="009A3C86">
        <w:rPr>
          <w:rFonts w:ascii="Times New Roman" w:eastAsia="Times New Roman" w:hAnsi="Times New Roman"/>
          <w:sz w:val="24"/>
          <w:szCs w:val="24"/>
        </w:rPr>
        <w:t xml:space="preserve"> wskazuje, że Szef KAS:</w:t>
      </w:r>
    </w:p>
    <w:p w:rsidR="00045CB9" w:rsidRPr="009A3C86" w:rsidRDefault="00045CB9" w:rsidP="00D72E74">
      <w:pPr>
        <w:numPr>
          <w:ilvl w:val="0"/>
          <w:numId w:val="19"/>
        </w:numPr>
        <w:spacing w:after="0" w:line="360" w:lineRule="auto"/>
        <w:ind w:left="567"/>
        <w:jc w:val="both"/>
        <w:rPr>
          <w:rFonts w:ascii="Times New Roman" w:eastAsia="Times New Roman" w:hAnsi="Times New Roman"/>
          <w:sz w:val="24"/>
          <w:szCs w:val="24"/>
        </w:rPr>
      </w:pPr>
      <w:r w:rsidRPr="009A3C86">
        <w:rPr>
          <w:rFonts w:ascii="Times New Roman" w:eastAsia="Times New Roman" w:hAnsi="Times New Roman"/>
          <w:sz w:val="24"/>
          <w:szCs w:val="24"/>
        </w:rPr>
        <w:t>wydaje opinię zabezpieczającą, jeżeli w oparciu o przedstawiony wniosek poweźmie pewność, iż do ocenianej czynności nie będzie mieć zastosowania art. 3</w:t>
      </w:r>
      <w:r w:rsidR="00716833"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1;</w:t>
      </w:r>
    </w:p>
    <w:p w:rsidR="00045CB9" w:rsidRPr="009A3C86" w:rsidRDefault="00045CB9" w:rsidP="00D72E74">
      <w:pPr>
        <w:numPr>
          <w:ilvl w:val="0"/>
          <w:numId w:val="19"/>
        </w:numPr>
        <w:spacing w:after="0" w:line="360" w:lineRule="auto"/>
        <w:ind w:left="567"/>
        <w:jc w:val="both"/>
        <w:rPr>
          <w:rFonts w:ascii="Times New Roman" w:eastAsia="Times New Roman" w:hAnsi="Times New Roman"/>
          <w:sz w:val="24"/>
          <w:szCs w:val="24"/>
        </w:rPr>
      </w:pPr>
      <w:r w:rsidRPr="009A3C86">
        <w:rPr>
          <w:rFonts w:ascii="Times New Roman" w:eastAsia="Times New Roman" w:hAnsi="Times New Roman"/>
          <w:sz w:val="24"/>
          <w:szCs w:val="24"/>
        </w:rPr>
        <w:t>odmawia wydania opinii zabezpieczającej, jeżeli okoliczności wynikające z wniosku wskazują, że do ocenianej czynności może mieć zastosowanie art. 3</w:t>
      </w:r>
      <w:r w:rsidR="00716833"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1.</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Podkreślenia wymaga, że postępowanie w przedmiocie wydania opinii zabezpieczającej jest w niektórych aspektach zbliżone do postępowania w zakresie wydania interpretacji indywidualnej. Organ podatkowy rozpatrujący wniosek o wydanie opinii zabezpieczającej </w:t>
      </w:r>
      <w:r w:rsidRPr="009A3C86">
        <w:rPr>
          <w:rFonts w:ascii="Times New Roman" w:eastAsia="Times New Roman" w:hAnsi="Times New Roman"/>
          <w:sz w:val="24"/>
          <w:szCs w:val="24"/>
        </w:rPr>
        <w:lastRenderedPageBreak/>
        <w:t>pozbawiony jest bowiem możliwości gromadzenia dowodów i wyjaśniania stanu faktycznego sprawy. W tej sytuacji, to do obowiązku wnioskodawcy powinno należeć wszechstronne przekonanie organu podatkowego, że do ocenianej czynności nie będzie mieć zastosowania art. 3</w:t>
      </w:r>
      <w:r w:rsidR="00716833" w:rsidRPr="009A3C86">
        <w:rPr>
          <w:rFonts w:ascii="Times New Roman" w:eastAsia="Times New Roman" w:hAnsi="Times New Roman"/>
          <w:sz w:val="24"/>
          <w:szCs w:val="24"/>
        </w:rPr>
        <w:t>3</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0F7177" w:rsidRPr="009A3C86">
        <w:rPr>
          <w:rFonts w:ascii="Times New Roman" w:eastAsia="Times New Roman" w:hAnsi="Times New Roman"/>
          <w:b/>
          <w:sz w:val="24"/>
          <w:szCs w:val="24"/>
        </w:rPr>
        <w:t>608</w:t>
      </w:r>
      <w:r w:rsidRPr="009A3C86">
        <w:rPr>
          <w:rFonts w:ascii="Times New Roman" w:eastAsia="Times New Roman" w:hAnsi="Times New Roman"/>
          <w:sz w:val="24"/>
          <w:szCs w:val="24"/>
        </w:rPr>
        <w:t xml:space="preserve"> uregulowane zostały elementy opinii. Opinia zabezpieczająca zawierała będzie wyczerpujący opis przedstawionej we wniosku czynności, a także ocenę, że przedstawiona we wniosku czynność (lub zespół czynności) nie stanowi unikania opodatkowania, a zatem nie występują przesłanki zastosowania klauzuli przeciwko unikaniu opodatkowania. Jeżeli natomiast te przesłanki istnieją, wówczas nastąpi odmowa wydania opinii zabezpieczającej (art. </w:t>
      </w:r>
      <w:r w:rsidR="001536D8" w:rsidRPr="009A3C86">
        <w:rPr>
          <w:rFonts w:ascii="Times New Roman" w:eastAsia="Times New Roman" w:hAnsi="Times New Roman"/>
          <w:sz w:val="24"/>
          <w:szCs w:val="24"/>
        </w:rPr>
        <w:t>606</w:t>
      </w:r>
      <w:r w:rsidRPr="009A3C86">
        <w:rPr>
          <w:rFonts w:ascii="Times New Roman" w:eastAsia="Times New Roman" w:hAnsi="Times New Roman"/>
          <w:sz w:val="24"/>
          <w:szCs w:val="24"/>
        </w:rPr>
        <w:t xml:space="preserve"> § 2), która wymagać będzie uzasadnienia stanowiska. Każdy sposób załatwienia wniosku o wydanie opinii będzie wiązać się z prawem wniesienia skargi do sądu administracyjnego, o czym organ będzie pouczał wnioskodawcę.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4. Ze względu na skomplikowany charakter spraw proponuje się, aby opinie zabezpieczające były wydawane bez zbędnej zwłoki, jednak nie później niż w terminie 6 miesięcy od dnia otrzymania wniosku (</w:t>
      </w:r>
      <w:r w:rsidRPr="009A3C86">
        <w:rPr>
          <w:rFonts w:ascii="Times New Roman" w:eastAsia="Times New Roman" w:hAnsi="Times New Roman"/>
          <w:b/>
          <w:sz w:val="24"/>
          <w:szCs w:val="24"/>
        </w:rPr>
        <w:t xml:space="preserve">art. </w:t>
      </w:r>
      <w:r w:rsidR="001536D8" w:rsidRPr="009A3C86">
        <w:rPr>
          <w:rFonts w:ascii="Times New Roman" w:eastAsia="Times New Roman" w:hAnsi="Times New Roman"/>
          <w:b/>
          <w:sz w:val="24"/>
          <w:szCs w:val="24"/>
        </w:rPr>
        <w:t>609</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Do tego terminu nie będzie wliczało się terminów i okresów, o których mowa w art. </w:t>
      </w:r>
      <w:r w:rsidR="001536D8" w:rsidRPr="009A3C86">
        <w:rPr>
          <w:rFonts w:ascii="Times New Roman" w:eastAsia="Times New Roman" w:hAnsi="Times New Roman"/>
          <w:sz w:val="24"/>
          <w:szCs w:val="24"/>
        </w:rPr>
        <w:t>325</w:t>
      </w:r>
      <w:r w:rsidRPr="009A3C86">
        <w:rPr>
          <w:rFonts w:ascii="Times New Roman" w:eastAsia="Times New Roman" w:hAnsi="Times New Roman"/>
          <w:sz w:val="24"/>
          <w:szCs w:val="24"/>
        </w:rPr>
        <w:t xml:space="preserve"> § 3. Wobec tego, że w toku wydania opinii zabezpieczającej dopuszczalne jest zasięgnięcie opinii biegłego i  z uwagi na czasochłonność tej procedury w </w:t>
      </w:r>
      <w:r w:rsidRPr="009A3C86">
        <w:rPr>
          <w:rFonts w:ascii="Times New Roman" w:eastAsia="Times New Roman" w:hAnsi="Times New Roman"/>
          <w:b/>
          <w:sz w:val="24"/>
          <w:szCs w:val="24"/>
        </w:rPr>
        <w:t xml:space="preserve">art. </w:t>
      </w:r>
      <w:r w:rsidR="001536D8" w:rsidRPr="009A3C86">
        <w:rPr>
          <w:rFonts w:ascii="Times New Roman" w:eastAsia="Times New Roman" w:hAnsi="Times New Roman"/>
          <w:b/>
          <w:sz w:val="24"/>
          <w:szCs w:val="24"/>
        </w:rPr>
        <w:t>609</w:t>
      </w:r>
      <w:r w:rsidRPr="009A3C86">
        <w:rPr>
          <w:rFonts w:ascii="Times New Roman" w:eastAsia="Times New Roman" w:hAnsi="Times New Roman"/>
          <w:b/>
          <w:sz w:val="24"/>
          <w:szCs w:val="24"/>
        </w:rPr>
        <w:t xml:space="preserve"> § </w:t>
      </w:r>
      <w:r w:rsidR="00BC1DA2" w:rsidRPr="009A3C86">
        <w:rPr>
          <w:rFonts w:ascii="Times New Roman" w:eastAsia="Times New Roman" w:hAnsi="Times New Roman"/>
          <w:b/>
          <w:sz w:val="24"/>
          <w:szCs w:val="24"/>
        </w:rPr>
        <w:t>2</w:t>
      </w:r>
      <w:r w:rsidRPr="009A3C86">
        <w:rPr>
          <w:rFonts w:ascii="Times New Roman" w:eastAsia="Times New Roman" w:hAnsi="Times New Roman"/>
          <w:sz w:val="24"/>
          <w:szCs w:val="24"/>
        </w:rPr>
        <w:t xml:space="preserve"> wskazano podstawę do wydłużenia materialnego terminu rozpatrzenia wniosku o wydanie opinii zabezpieczającej. </w:t>
      </w:r>
      <w:r w:rsidR="00602442" w:rsidRPr="009A3C86">
        <w:rPr>
          <w:rFonts w:ascii="Times New Roman" w:eastAsia="Times New Roman" w:hAnsi="Times New Roman"/>
          <w:sz w:val="24"/>
          <w:szCs w:val="24"/>
        </w:rPr>
        <w:t>P</w:t>
      </w:r>
      <w:r w:rsidRPr="009A3C86">
        <w:rPr>
          <w:rFonts w:ascii="Times New Roman" w:eastAsia="Times New Roman" w:hAnsi="Times New Roman"/>
          <w:sz w:val="24"/>
          <w:szCs w:val="24"/>
        </w:rPr>
        <w:t>odstawą do przedłużenia terminu, o którym mowa w tym przepisie  będzie złożoność sprawy</w:t>
      </w:r>
      <w:r w:rsidR="00602442"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w:t>
      </w:r>
      <w:r w:rsidR="00602442" w:rsidRPr="009A3C86">
        <w:rPr>
          <w:rFonts w:ascii="Times New Roman" w:eastAsia="Times New Roman" w:hAnsi="Times New Roman"/>
          <w:sz w:val="24"/>
          <w:szCs w:val="24"/>
        </w:rPr>
        <w:t>W</w:t>
      </w:r>
      <w:r w:rsidRPr="009A3C86">
        <w:rPr>
          <w:rFonts w:ascii="Times New Roman" w:eastAsia="Times New Roman" w:hAnsi="Times New Roman"/>
          <w:sz w:val="24"/>
          <w:szCs w:val="24"/>
        </w:rPr>
        <w:t xml:space="preserve"> szczególności w razie zasięgnięcia opinii biegłego, sześciomiesięczny termin, może być przedłużany nie dłużej jednak niż o 9 miesięcy łącznie, co zapewni zainteresowanym gwarancję, że wniosek o wydanie opinii zabezpieczającej zostanie załatwiony w oznaczonym czasie, tj. maksymalnie w terminie 15 miesięcy od otrzymania wniosku przez Szefa KAS.</w:t>
      </w:r>
    </w:p>
    <w:p w:rsidR="00045CB9" w:rsidRPr="009A3C86" w:rsidRDefault="00045CB9" w:rsidP="00045CB9">
      <w:pPr>
        <w:spacing w:after="0" w:line="360" w:lineRule="auto"/>
        <w:jc w:val="both"/>
        <w:rPr>
          <w:rFonts w:ascii="Times New Roman" w:eastAsia="Times New Roman" w:hAnsi="Times New Roman"/>
          <w:strike/>
          <w:sz w:val="24"/>
          <w:szCs w:val="24"/>
        </w:rPr>
      </w:pPr>
      <w:r w:rsidRPr="009A3C86">
        <w:rPr>
          <w:rFonts w:ascii="Times New Roman" w:eastAsia="Times New Roman" w:hAnsi="Times New Roman"/>
          <w:sz w:val="24"/>
          <w:szCs w:val="24"/>
        </w:rPr>
        <w:t>5. Przebieg procedury wydawania opinii zabezpieczającej będzie zbliżony do obecnej procedury porozumienia w sprawie ustalenia cen transakcyjnych, co uzasadnia wprowadzeni</w:t>
      </w:r>
      <w:r w:rsidR="00BC1DA2" w:rsidRPr="009A3C86">
        <w:rPr>
          <w:rFonts w:ascii="Times New Roman" w:eastAsia="Times New Roman" w:hAnsi="Times New Roman"/>
          <w:sz w:val="24"/>
          <w:szCs w:val="24"/>
        </w:rPr>
        <w:t>e</w:t>
      </w:r>
      <w:r w:rsidRPr="009A3C86">
        <w:rPr>
          <w:rFonts w:ascii="Times New Roman" w:eastAsia="Times New Roman" w:hAnsi="Times New Roman"/>
          <w:sz w:val="24"/>
          <w:szCs w:val="24"/>
        </w:rPr>
        <w:t xml:space="preserve"> odpowiedniej opłaty (</w:t>
      </w:r>
      <w:r w:rsidRPr="009A3C86">
        <w:rPr>
          <w:rFonts w:ascii="Times New Roman" w:eastAsia="Times New Roman" w:hAnsi="Times New Roman"/>
          <w:b/>
          <w:sz w:val="24"/>
          <w:szCs w:val="24"/>
        </w:rPr>
        <w:t xml:space="preserve">art. </w:t>
      </w:r>
      <w:r w:rsidR="009D597E" w:rsidRPr="009A3C86">
        <w:rPr>
          <w:rFonts w:ascii="Times New Roman" w:eastAsia="Times New Roman" w:hAnsi="Times New Roman"/>
          <w:b/>
          <w:sz w:val="24"/>
          <w:szCs w:val="24"/>
        </w:rPr>
        <w:t>610</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Jej wysokość uzasadniona jest wysokim stopniem skomplikowania postępowania, które będzie się toczyło w sprawie wydania opinii oraz koniecznością ponoszenia zwiększonych nakładów na jego prowadzenie. Postępowanie to bowiem będzie obejmowało nie tylko przepisy polskiego prawa podatkowego, ale również z  uwagi na podmioty będące nierezydentami, zaangażowane w opisane we wniosku konstrukcje prawne, będzie wymagało znajomości ustawodawstwa podatkowego zagranicznych administracji, analizy dokumentów i umów, w tym również w obcych językach. Zauważyć należy, że wysokość opłaty za opinie zabezpieczające będzie znacząco niższa od opłaty za </w:t>
      </w:r>
      <w:r w:rsidRPr="009A3C86">
        <w:rPr>
          <w:rFonts w:ascii="Times New Roman" w:eastAsia="Times New Roman" w:hAnsi="Times New Roman"/>
          <w:sz w:val="24"/>
          <w:szCs w:val="24"/>
        </w:rPr>
        <w:lastRenderedPageBreak/>
        <w:t xml:space="preserve">wniosek o uznanie metody ustalania ceny transakcyjnej (wysokość opłaty od wniosku w sprawie porozumienia dotyczącego ustalenia cen transakcyjnych wynosi nawet 200 </w:t>
      </w:r>
      <w:r w:rsidR="00FD620C" w:rsidRPr="009A3C86">
        <w:rPr>
          <w:rFonts w:ascii="Times New Roman" w:eastAsia="Times New Roman" w:hAnsi="Times New Roman"/>
          <w:sz w:val="24"/>
          <w:szCs w:val="24"/>
        </w:rPr>
        <w:t>000</w:t>
      </w:r>
      <w:r w:rsidRPr="009A3C86">
        <w:rPr>
          <w:rFonts w:ascii="Times New Roman" w:eastAsia="Times New Roman" w:hAnsi="Times New Roman"/>
          <w:sz w:val="24"/>
          <w:szCs w:val="24"/>
        </w:rPr>
        <w:t xml:space="preserve"> zł).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Opłata podstawowa będzie wzrastać o 5 000 zł od piątego i każdego kolejnego zainteresowanego wnioskodawcy. Wzrost tej opłaty uzasadniony jest większym skomplikowaniem wniosków składanych przez grupy zainteresowanych podmiotów, większym nakładem środków koniecznych do rozpoznania takich wniosków, jak również – co do zasady – istotnie większą wysokością korzyści podatkowej, którą hipotetyczna opinia ma zabezpieczać. Zauważyć także należy, że gradacja opłat od rozpatrzenia wniosku uzależniona jego potencjalnym skomplikowaniem występuje już w przypadku procedury uprzednich porozumień cenowych (obecnie art. 20m § 2 o.p.). Rozwiązanie to nie powinn</w:t>
      </w:r>
      <w:r w:rsidR="00FD620C" w:rsidRPr="009A3C86">
        <w:rPr>
          <w:rFonts w:ascii="Times New Roman" w:eastAsia="Times New Roman" w:hAnsi="Times New Roman"/>
          <w:sz w:val="24"/>
          <w:szCs w:val="24"/>
        </w:rPr>
        <w:t>o</w:t>
      </w:r>
      <w:r w:rsidRPr="009A3C86">
        <w:rPr>
          <w:rFonts w:ascii="Times New Roman" w:eastAsia="Times New Roman" w:hAnsi="Times New Roman"/>
          <w:sz w:val="24"/>
          <w:szCs w:val="24"/>
        </w:rPr>
        <w:t xml:space="preserve"> mieć wpływu na sytuację typowych podatników, którzy nie przeprowadzają czynności gospodarczych w większych grupach. Poza zakresem proponowanej zmiany zostaną także wnioskodawcy wspólnie ubiegający się o wydanie opinii zabezpieczającej, jeżeli ich liczba nie przekracza czterech.</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razie cofnięcia wniosku o wydanie opinii zabezpieczającej opłata podlegać będzie  zwrotowi w połowie (</w:t>
      </w:r>
      <w:r w:rsidRPr="009A3C86">
        <w:rPr>
          <w:rFonts w:ascii="Times New Roman" w:eastAsia="Times New Roman" w:hAnsi="Times New Roman"/>
          <w:b/>
          <w:sz w:val="24"/>
          <w:szCs w:val="24"/>
        </w:rPr>
        <w:t xml:space="preserve">art. </w:t>
      </w:r>
      <w:r w:rsidR="002D21ED" w:rsidRPr="009A3C86">
        <w:rPr>
          <w:rFonts w:ascii="Times New Roman" w:eastAsia="Times New Roman" w:hAnsi="Times New Roman"/>
          <w:b/>
          <w:sz w:val="24"/>
          <w:szCs w:val="24"/>
        </w:rPr>
        <w:t>610</w:t>
      </w:r>
      <w:r w:rsidRPr="009A3C86">
        <w:rPr>
          <w:rFonts w:ascii="Times New Roman" w:eastAsia="Times New Roman" w:hAnsi="Times New Roman"/>
          <w:b/>
          <w:sz w:val="24"/>
          <w:szCs w:val="24"/>
        </w:rPr>
        <w:t xml:space="preserve"> § 2 pkt 1</w:t>
      </w:r>
      <w:r w:rsidRPr="009A3C86">
        <w:rPr>
          <w:rFonts w:ascii="Times New Roman" w:eastAsia="Times New Roman" w:hAnsi="Times New Roman"/>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6. Zgodnie z zaproponowanymi regulacjami Szef KAS będzie mógł, z urzędu, uchylić lub zmienić wydaną opinię zabezpieczającą lub odmowę wydania opinii zabezpieczającej, gdyby były one (lub stałyby się) sprzeczne z orzecznictwem Trybunału  Konstytucyjnego lub Trybunału Sprawiedliwości Unii Europejskiej (</w:t>
      </w:r>
      <w:r w:rsidRPr="009A3C86">
        <w:rPr>
          <w:rFonts w:ascii="Times New Roman" w:eastAsia="Times New Roman" w:hAnsi="Times New Roman"/>
          <w:b/>
          <w:sz w:val="24"/>
          <w:szCs w:val="24"/>
        </w:rPr>
        <w:t xml:space="preserve">art. </w:t>
      </w:r>
      <w:r w:rsidR="002D21ED" w:rsidRPr="009A3C86">
        <w:rPr>
          <w:rFonts w:ascii="Times New Roman" w:eastAsia="Times New Roman" w:hAnsi="Times New Roman"/>
          <w:b/>
          <w:sz w:val="24"/>
          <w:szCs w:val="24"/>
        </w:rPr>
        <w:t>611</w:t>
      </w:r>
      <w:r w:rsidRPr="009A3C86">
        <w:rPr>
          <w:rFonts w:ascii="Times New Roman" w:eastAsia="Times New Roman" w:hAnsi="Times New Roman"/>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Treść opinii zabezpieczających oraz odmów wydania opinii zabezpieczających, po usunięciu danych identyfikujących wnioskodawcę i inne podmioty, publikowana jest w Biuletynie Informacji Publicznej urzędu obsługującego ministra właściwego do spraw finansów publicznych. Dodatkowo na podstawie </w:t>
      </w:r>
      <w:r w:rsidRPr="009A3C86">
        <w:rPr>
          <w:rFonts w:ascii="Times New Roman" w:eastAsia="Times New Roman" w:hAnsi="Times New Roman"/>
          <w:b/>
          <w:sz w:val="24"/>
          <w:szCs w:val="24"/>
        </w:rPr>
        <w:t xml:space="preserve">art. </w:t>
      </w:r>
      <w:r w:rsidR="00063CFE" w:rsidRPr="009A3C86">
        <w:rPr>
          <w:rFonts w:ascii="Times New Roman" w:eastAsia="Times New Roman" w:hAnsi="Times New Roman"/>
          <w:b/>
          <w:sz w:val="24"/>
          <w:szCs w:val="24"/>
        </w:rPr>
        <w:t>620</w:t>
      </w:r>
      <w:r w:rsidRPr="009A3C86">
        <w:rPr>
          <w:rFonts w:ascii="Times New Roman" w:eastAsia="Times New Roman" w:hAnsi="Times New Roman"/>
          <w:sz w:val="24"/>
          <w:szCs w:val="24"/>
        </w:rPr>
        <w:t xml:space="preserve"> w Biuletynie Informacji Publicznej zamieszczane będą informacje odnoszące się do wydania opinii zabezpieczającej lub odmowy wydania opinii zabezpieczającej. Informacje te powinny zawierać zwięzły opis poddanej pod opinię Szefa KAS czynności oraz wyjaśnienie powodów podjętego rozstrzygnięcia. Informacje nie będą mogły natomiast zawierać danych identyfikujących lub mogących zidentyfikować wnioskodawcę lub inne podmioty wymienione w treści aktu. Informacja nie zawierałyby także danych potencjalnie wrażliwych dla zainteresowanych podmiotów, np. wymienionych w art. </w:t>
      </w:r>
      <w:r w:rsidR="00063CFE" w:rsidRPr="009A3C86">
        <w:rPr>
          <w:rFonts w:ascii="Times New Roman" w:eastAsia="Times New Roman" w:hAnsi="Times New Roman"/>
          <w:sz w:val="24"/>
          <w:szCs w:val="24"/>
        </w:rPr>
        <w:t>605</w:t>
      </w:r>
      <w:r w:rsidRPr="009A3C86">
        <w:rPr>
          <w:rFonts w:ascii="Times New Roman" w:eastAsia="Times New Roman" w:hAnsi="Times New Roman"/>
          <w:sz w:val="24"/>
          <w:szCs w:val="24"/>
        </w:rPr>
        <w:t xml:space="preserve"> § 1 pkt 4 i 5. Akta postępowania w sprawie wydania opinii zabezpieczającej objęte zostały tajemnicą skarbową.</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w:t>
      </w:r>
      <w:r w:rsidRPr="009A3C86">
        <w:rPr>
          <w:rFonts w:ascii="Times New Roman" w:eastAsia="Times New Roman" w:hAnsi="Times New Roman"/>
          <w:b/>
          <w:sz w:val="24"/>
          <w:szCs w:val="24"/>
        </w:rPr>
        <w:t xml:space="preserve">art. </w:t>
      </w:r>
      <w:r w:rsidR="00220842" w:rsidRPr="009A3C86">
        <w:rPr>
          <w:rFonts w:ascii="Times New Roman" w:eastAsia="Times New Roman" w:hAnsi="Times New Roman"/>
          <w:b/>
          <w:sz w:val="24"/>
          <w:szCs w:val="24"/>
        </w:rPr>
        <w:t>613</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 xml:space="preserve">organ podatkowy ma możliwość umorzenia postępowania w sprawie wydania opinii zabezpieczającej w każdej sytuacji, w której postępowanie to stało się </w:t>
      </w:r>
      <w:r w:rsidRPr="009A3C86">
        <w:rPr>
          <w:rFonts w:ascii="Times New Roman" w:eastAsia="Times New Roman" w:hAnsi="Times New Roman"/>
          <w:sz w:val="24"/>
          <w:szCs w:val="24"/>
        </w:rPr>
        <w:lastRenderedPageBreak/>
        <w:t>bezprzedmiotowe. Jedną z sytuacji skutkujących bezprzedmiotowością postępowania w sprawie wydania opinii zabezpieczającej jest wcześniejsze wydanie decyzji z zastosowaniem art. 3</w:t>
      </w:r>
      <w:r w:rsidR="00F30E1F"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w zakresie objętym wnioskiem o wydanie opinii. W </w:t>
      </w:r>
      <w:r w:rsidRPr="009A3C86">
        <w:rPr>
          <w:rFonts w:ascii="Times New Roman" w:eastAsia="Times New Roman" w:hAnsi="Times New Roman"/>
          <w:b/>
          <w:sz w:val="24"/>
          <w:szCs w:val="24"/>
        </w:rPr>
        <w:t xml:space="preserve">art. </w:t>
      </w:r>
      <w:r w:rsidR="00220842" w:rsidRPr="009A3C86">
        <w:rPr>
          <w:rFonts w:ascii="Times New Roman" w:eastAsia="Times New Roman" w:hAnsi="Times New Roman"/>
          <w:b/>
          <w:sz w:val="24"/>
          <w:szCs w:val="24"/>
        </w:rPr>
        <w:t>607</w:t>
      </w:r>
      <w:r w:rsidRPr="009A3C86">
        <w:rPr>
          <w:rFonts w:ascii="Times New Roman" w:eastAsia="Times New Roman" w:hAnsi="Times New Roman"/>
          <w:sz w:val="24"/>
          <w:szCs w:val="24"/>
        </w:rPr>
        <w:t xml:space="preserve"> przyjęto bowiem, że złożenie wniosku o wydanie opinii zabezpieczającej może skutkować równoległym prowadzeniem kontroli podatkowej, kontroli celno-skarbowej lub postępowania podatkowego.</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Analogiczny jak w przypadku interpretacji podatkowych, będzie zakres podmiotowy ochrony prawnej związanej z zastosowaniem się wnioskodawcy do uzyskanej opinii. Intencją projektodawcy jest objęcie ochroną wyłącznie wnioskodawcy, z ochrony natomiast nie będą korzystali inni uczestnicy opisanych zdarzeń czy konstrukcji prawnych. Kilka podmiotów będzie jednak mogło wystąpić ze wspólnym wnioskiem dotyczącym tej samej czynności. Zastosowanie się wnioskodawcy do wydanej przez organ opinii zabezpieczającej, stwierdzającej, że przedstawiona we wniosku konstrukcja prawna nie stanowi unikania opodatkowania, będzie dawało podatnikowi ochronę polegającą na niemożności zastosowania w stosunku do niego klauzuli. Nie ma przy tym znaczenia, czy czynność, której dotyczy opinia zabezpieczająca, została dokonana przed czy po uzyskaniu opinii. Jednocześnie zgodnie z regulacjami </w:t>
      </w:r>
      <w:r w:rsidRPr="009A3C86">
        <w:rPr>
          <w:rFonts w:ascii="Times New Roman" w:eastAsia="Times New Roman" w:hAnsi="Times New Roman"/>
          <w:b/>
          <w:sz w:val="24"/>
          <w:szCs w:val="24"/>
        </w:rPr>
        <w:t xml:space="preserve">art. </w:t>
      </w:r>
      <w:r w:rsidR="004B3F4C" w:rsidRPr="009A3C86">
        <w:rPr>
          <w:rFonts w:ascii="Times New Roman" w:eastAsia="Times New Roman" w:hAnsi="Times New Roman"/>
          <w:b/>
          <w:sz w:val="24"/>
          <w:szCs w:val="24"/>
        </w:rPr>
        <w:t>606</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i </w:t>
      </w:r>
      <w:r w:rsidRPr="009A3C86">
        <w:rPr>
          <w:rFonts w:ascii="Times New Roman" w:eastAsia="Times New Roman" w:hAnsi="Times New Roman"/>
          <w:b/>
          <w:sz w:val="24"/>
          <w:szCs w:val="24"/>
        </w:rPr>
        <w:t xml:space="preserve">art. </w:t>
      </w:r>
      <w:r w:rsidR="004B3F4C" w:rsidRPr="009A3C86">
        <w:rPr>
          <w:rFonts w:ascii="Times New Roman" w:eastAsia="Times New Roman" w:hAnsi="Times New Roman"/>
          <w:b/>
          <w:sz w:val="24"/>
          <w:szCs w:val="24"/>
        </w:rPr>
        <w:t>608</w:t>
      </w:r>
      <w:r w:rsidRPr="009A3C86">
        <w:rPr>
          <w:rFonts w:ascii="Times New Roman" w:eastAsia="Times New Roman" w:hAnsi="Times New Roman"/>
          <w:b/>
          <w:sz w:val="24"/>
          <w:szCs w:val="24"/>
        </w:rPr>
        <w:t xml:space="preserve"> pkt 2</w:t>
      </w:r>
      <w:r w:rsidRPr="009A3C86">
        <w:rPr>
          <w:rFonts w:ascii="Times New Roman" w:eastAsia="Times New Roman" w:hAnsi="Times New Roman"/>
          <w:sz w:val="24"/>
          <w:szCs w:val="24"/>
        </w:rPr>
        <w:t xml:space="preserve"> uzyskanie opinii zabezpieczającej wyłącza zastosowanie klauzuli przeciwko unikaniu opodatkowania wobec wszystkich korzyści podatkowych z niej wynikających, nawet jeśli korzyści te nie zostały wskazane we wniosku o wydanie opinii zabezpieczającej, a organ podatkowy nie mógł ocenić ich sprzeczności z celem i przedmiotem przepisów ustawy podatkowej. Wyraźnie w ten sposób powiązano ocenianą czynność oraz konkretną korzyść podatkową z niej wynikającą, które zainteresowany powinien wskazać we wniosku.</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postępowaniu dotyczącym wydania opinii w sprawie zastosowania klauzuli ogólnej przeciwko unikaniu opodatkowania znajdą odpowiednie zastosowanie wybrane regulacje działu III i IV. Jednocześnie specyfika wydawania opinii zabezpieczających wymaga wyłączenia stosowania niektórych przepisów działu 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9. Na opinię zabezpieczającą zainteresowanemu będzie przysługiwała skarga do sądu administracyjnego, skoro samo zastosowanie klauzuli ogólnej przeciwko unikaniu opodatkowania w sprawach wymiarowych jest – i nadal powinno być – przedmiotem kognicji sądów administracyjnych. Skarga przysługuje także na odmowę wydania opinii zabezpieczającej, pozostawienie bez rozpatrzenia wniosku o jej wydanie oraz na decyzję umarzającą, wydawaną w razie cofnięcia wniosku o wydanie opinii. W </w:t>
      </w:r>
      <w:r w:rsidRPr="009A3C86">
        <w:rPr>
          <w:rFonts w:ascii="Times New Roman" w:eastAsia="Times New Roman" w:hAnsi="Times New Roman"/>
          <w:b/>
          <w:sz w:val="24"/>
          <w:szCs w:val="24"/>
        </w:rPr>
        <w:t xml:space="preserve">art. </w:t>
      </w:r>
      <w:r w:rsidR="00EA2E0E" w:rsidRPr="009A3C86">
        <w:rPr>
          <w:rFonts w:ascii="Times New Roman" w:eastAsia="Times New Roman" w:hAnsi="Times New Roman"/>
          <w:b/>
          <w:sz w:val="24"/>
          <w:szCs w:val="24"/>
        </w:rPr>
        <w:t>606</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wskazano na prawo do zaskarżenia </w:t>
      </w:r>
      <w:r w:rsidR="00EA2E0E" w:rsidRPr="009A3C86">
        <w:rPr>
          <w:rFonts w:ascii="Times New Roman" w:eastAsia="Times New Roman" w:hAnsi="Times New Roman"/>
          <w:sz w:val="24"/>
          <w:szCs w:val="24"/>
        </w:rPr>
        <w:t xml:space="preserve">do sądu administracyjnego </w:t>
      </w:r>
      <w:r w:rsidRPr="009A3C86">
        <w:rPr>
          <w:rFonts w:ascii="Times New Roman" w:eastAsia="Times New Roman" w:hAnsi="Times New Roman"/>
          <w:sz w:val="24"/>
          <w:szCs w:val="24"/>
        </w:rPr>
        <w:t>odmowy wydania</w:t>
      </w:r>
      <w:r w:rsidR="00EA2E0E" w:rsidRPr="009A3C86">
        <w:rPr>
          <w:rFonts w:ascii="Times New Roman" w:eastAsia="Times New Roman" w:hAnsi="Times New Roman"/>
          <w:sz w:val="24"/>
          <w:szCs w:val="24"/>
        </w:rPr>
        <w:t xml:space="preserve"> opinii zabezpieczającej</w:t>
      </w:r>
      <w:r w:rsidRPr="009A3C86">
        <w:rPr>
          <w:rFonts w:ascii="Times New Roman" w:eastAsia="Times New Roman" w:hAnsi="Times New Roman"/>
          <w:sz w:val="24"/>
          <w:szCs w:val="24"/>
        </w:rPr>
        <w:t xml:space="preserve">.  Zatem każdy sposób załatwienia wniosku o wydanie opinii będzie wiązać się z prawem </w:t>
      </w:r>
      <w:r w:rsidRPr="009A3C86">
        <w:rPr>
          <w:rFonts w:ascii="Times New Roman" w:eastAsia="Times New Roman" w:hAnsi="Times New Roman"/>
          <w:sz w:val="24"/>
          <w:szCs w:val="24"/>
        </w:rPr>
        <w:lastRenderedPageBreak/>
        <w:t xml:space="preserve">wniesienia skargi do sądu administracyjnego, o czym organ będzie pouczał wnioskodawcę. Potwierdza to regulacja </w:t>
      </w:r>
      <w:r w:rsidRPr="009A3C86">
        <w:rPr>
          <w:rFonts w:ascii="Times New Roman" w:eastAsia="Times New Roman" w:hAnsi="Times New Roman"/>
          <w:b/>
          <w:sz w:val="24"/>
          <w:szCs w:val="24"/>
        </w:rPr>
        <w:t>art.</w:t>
      </w:r>
      <w:r w:rsidR="003003AA" w:rsidRPr="009A3C86">
        <w:rPr>
          <w:rFonts w:ascii="Times New Roman" w:eastAsia="Times New Roman" w:hAnsi="Times New Roman"/>
          <w:b/>
          <w:sz w:val="24"/>
          <w:szCs w:val="24"/>
        </w:rPr>
        <w:t xml:space="preserve"> </w:t>
      </w:r>
      <w:r w:rsidR="00FA0DF9" w:rsidRPr="009A3C86">
        <w:rPr>
          <w:rFonts w:ascii="Times New Roman" w:eastAsia="Times New Roman" w:hAnsi="Times New Roman"/>
          <w:b/>
          <w:sz w:val="24"/>
          <w:szCs w:val="24"/>
        </w:rPr>
        <w:t>608</w:t>
      </w:r>
      <w:r w:rsidRPr="009A3C86">
        <w:rPr>
          <w:rFonts w:ascii="Times New Roman" w:eastAsia="Times New Roman" w:hAnsi="Times New Roman"/>
          <w:b/>
          <w:sz w:val="24"/>
          <w:szCs w:val="24"/>
        </w:rPr>
        <w:t xml:space="preserve"> pkt 3</w:t>
      </w:r>
      <w:r w:rsidRPr="009A3C86">
        <w:rPr>
          <w:rFonts w:ascii="Times New Roman" w:eastAsia="Times New Roman" w:hAnsi="Times New Roman"/>
          <w:sz w:val="24"/>
          <w:szCs w:val="24"/>
        </w:rPr>
        <w:t xml:space="preserve"> wskazując obowiązkowe elementy składowe opinii</w:t>
      </w:r>
      <w:r w:rsidR="00FA0DF9" w:rsidRPr="009A3C86">
        <w:rPr>
          <w:rFonts w:ascii="Times New Roman" w:eastAsia="Times New Roman" w:hAnsi="Times New Roman"/>
          <w:sz w:val="24"/>
          <w:szCs w:val="24"/>
        </w:rPr>
        <w:t>.</w:t>
      </w:r>
    </w:p>
    <w:bookmarkEnd w:id="82"/>
    <w:p w:rsidR="00045CB9" w:rsidRPr="009A3C86" w:rsidRDefault="00045CB9" w:rsidP="00D72E74">
      <w:pPr>
        <w:keepNext/>
        <w:keepLines/>
        <w:spacing w:before="120" w:after="0" w:line="360" w:lineRule="auto"/>
        <w:jc w:val="both"/>
        <w:outlineLvl w:val="1"/>
        <w:rPr>
          <w:rFonts w:ascii="Times New Roman" w:hAnsi="Times New Roman"/>
          <w:b/>
          <w:sz w:val="24"/>
          <w:szCs w:val="24"/>
        </w:rPr>
      </w:pPr>
      <w:r w:rsidRPr="009A3C86">
        <w:rPr>
          <w:rFonts w:ascii="Times New Roman" w:hAnsi="Times New Roman"/>
          <w:b/>
          <w:sz w:val="24"/>
          <w:szCs w:val="24"/>
        </w:rPr>
        <w:t xml:space="preserve">Odział 3. Postępowanie w zakresie cofnięcia skutków unikania opodatkowania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W myśl przepisów art. 3</w:t>
      </w:r>
      <w:r w:rsidR="00F30E1F"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3</w:t>
      </w:r>
      <w:r w:rsidR="00F30E1F" w:rsidRPr="009A3C86">
        <w:rPr>
          <w:rFonts w:ascii="Times New Roman" w:eastAsia="Times New Roman" w:hAnsi="Times New Roman"/>
          <w:sz w:val="24"/>
          <w:szCs w:val="24"/>
        </w:rPr>
        <w:t>7</w:t>
      </w:r>
      <w:r w:rsidRPr="009A3C86">
        <w:rPr>
          <w:rFonts w:ascii="Times New Roman" w:eastAsia="Times New Roman" w:hAnsi="Times New Roman"/>
          <w:sz w:val="24"/>
          <w:szCs w:val="24"/>
        </w:rPr>
        <w:t>, jedynie organ podatkowy jest władny, w drodze decyzji, zastosować klauzulę przeciwko unikaniu opodatkowania. Od tej zasady wprowadzono dwa wyjątki polegające na możliwości korekty deklaracji przez stronę postępowania prowadzonego na podstawie art. </w:t>
      </w:r>
      <w:r w:rsidR="00A716B9"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lub przez podmiot uczestniczący w czynności prowadzącej do unikania opodatkowania (</w:t>
      </w:r>
      <w:r w:rsidRPr="009A3C86">
        <w:rPr>
          <w:rFonts w:ascii="Times New Roman" w:eastAsia="Times New Roman" w:hAnsi="Times New Roman"/>
          <w:b/>
          <w:sz w:val="24"/>
          <w:szCs w:val="24"/>
        </w:rPr>
        <w:t xml:space="preserve">art. </w:t>
      </w:r>
      <w:r w:rsidR="00A716B9" w:rsidRPr="009A3C86">
        <w:rPr>
          <w:rFonts w:ascii="Times New Roman" w:eastAsia="Times New Roman" w:hAnsi="Times New Roman"/>
          <w:b/>
          <w:sz w:val="24"/>
          <w:szCs w:val="24"/>
        </w:rPr>
        <w:t>601</w:t>
      </w:r>
      <w:r w:rsidRPr="009A3C86">
        <w:rPr>
          <w:rFonts w:ascii="Times New Roman" w:eastAsia="Times New Roman" w:hAnsi="Times New Roman"/>
          <w:sz w:val="24"/>
          <w:szCs w:val="24"/>
        </w:rPr>
        <w:t>). Wyjątki te są jednak ściśle powiązane z działaniami organu podatkowego prowadzącego postępowanie podatkowe na podstawie art. </w:t>
      </w:r>
      <w:r w:rsidR="00A716B9"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i są pochodną zastosowan</w:t>
      </w:r>
      <w:r w:rsidR="00F30E1F" w:rsidRPr="009A3C86">
        <w:rPr>
          <w:rFonts w:ascii="Times New Roman" w:eastAsia="Times New Roman" w:hAnsi="Times New Roman"/>
          <w:sz w:val="24"/>
          <w:szCs w:val="24"/>
        </w:rPr>
        <w:t>ia</w:t>
      </w:r>
      <w:r w:rsidRPr="009A3C86">
        <w:rPr>
          <w:rFonts w:ascii="Times New Roman" w:eastAsia="Times New Roman" w:hAnsi="Times New Roman"/>
          <w:sz w:val="24"/>
          <w:szCs w:val="24"/>
        </w:rPr>
        <w:t xml:space="preserve"> klauzul</w:t>
      </w:r>
      <w:r w:rsidR="00F30E1F" w:rsidRPr="009A3C86">
        <w:rPr>
          <w:rFonts w:ascii="Times New Roman" w:eastAsia="Times New Roman" w:hAnsi="Times New Roman"/>
          <w:sz w:val="24"/>
          <w:szCs w:val="24"/>
        </w:rPr>
        <w:t>i</w:t>
      </w:r>
      <w:r w:rsidRPr="009A3C86">
        <w:rPr>
          <w:rFonts w:ascii="Times New Roman" w:eastAsia="Times New Roman" w:hAnsi="Times New Roman"/>
          <w:sz w:val="24"/>
          <w:szCs w:val="24"/>
        </w:rPr>
        <w:t xml:space="preserve"> przeciwko unikaniu opodatkowania.</w:t>
      </w:r>
    </w:p>
    <w:p w:rsidR="00045CB9" w:rsidRPr="009A3C86" w:rsidRDefault="00045CB9" w:rsidP="00045CB9">
      <w:pPr>
        <w:spacing w:after="0" w:line="360" w:lineRule="auto"/>
        <w:jc w:val="both"/>
        <w:rPr>
          <w:rFonts w:ascii="Times New Roman" w:eastAsia="Times New Roman" w:hAnsi="Times New Roman"/>
          <w:strike/>
          <w:sz w:val="24"/>
          <w:szCs w:val="24"/>
        </w:rPr>
      </w:pPr>
      <w:r w:rsidRPr="009A3C86">
        <w:rPr>
          <w:rFonts w:ascii="Times New Roman" w:eastAsia="Times New Roman" w:hAnsi="Times New Roman"/>
          <w:sz w:val="24"/>
          <w:szCs w:val="24"/>
        </w:rPr>
        <w:t>Choć podatnicy mają teoretyczne prawo do złożenia deklaracji lub korekty deklaracji, w której uwzględnią taki stan rzeczy, jaki zaistniałby gdyby nie przeprowadzono czynności prowadzącej do unikania opodatkowania, to jednak działanie takie może zostać uznane za niewłaściwe z systemowego punktu widzenia i które nie powinno być akceptowane przez organy podatkowe. Z wyłączeniem przypadków, o których mowa w poprzednim akapicie, treść deklaracji podatkowych odzwierciedla bowiem skutki podatkowe wynikające z rzeczywistego stanu rzeczy, a nie</w:t>
      </w:r>
      <w:r w:rsidR="00D26950"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z hipotetycznego stanu, który zaistniałby gdyby dokonano czynności odpowiedniej, krytycznej czynności nie dokonano lub przepis prawa nie miał zastosowania (art. </w:t>
      </w:r>
      <w:r w:rsidR="00D26950"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6). Przyjęcie innego poglądu prowadziłoby do stanu, w którym organ podatkowy, inny niż Szef KAS, zobligowany byłby do weryfikowania deklaracji podatkowej nieodpowiadającej rzeczywistym zdarzeniom przy braku informacji na temat przyjętej przez podatnika czynności odpowiedniej.</w:t>
      </w:r>
      <w:r w:rsidRPr="009A3C86">
        <w:rPr>
          <w:rFonts w:ascii="Times New Roman" w:eastAsia="Times New Roman" w:hAnsi="Times New Roman"/>
          <w:strike/>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Zauważenia także wymaga, że w art. </w:t>
      </w:r>
      <w:r w:rsidR="0075205D" w:rsidRPr="009A3C86">
        <w:rPr>
          <w:rFonts w:ascii="Times New Roman" w:eastAsia="Times New Roman" w:hAnsi="Times New Roman"/>
          <w:sz w:val="24"/>
          <w:szCs w:val="24"/>
        </w:rPr>
        <w:t>601</w:t>
      </w:r>
      <w:r w:rsidRPr="009A3C86">
        <w:rPr>
          <w:rFonts w:ascii="Times New Roman" w:eastAsia="Times New Roman" w:hAnsi="Times New Roman"/>
          <w:sz w:val="24"/>
          <w:szCs w:val="24"/>
        </w:rPr>
        <w:t xml:space="preserve"> przyznano prawo do korekty deklaracji podmiotowi, o którym mowa w tym przepisie, w przypadku określenia czynności odpowiedniej w toku postępowania podatkowego. </w:t>
      </w:r>
      <w:r w:rsidRPr="009A3C86">
        <w:rPr>
          <w:rFonts w:ascii="Times New Roman" w:eastAsia="Times New Roman" w:hAnsi="Times New Roman"/>
          <w:i/>
          <w:iCs/>
          <w:sz w:val="24"/>
          <w:szCs w:val="24"/>
        </w:rPr>
        <w:t>A</w:t>
      </w:r>
      <w:r w:rsidRPr="009A3C86">
        <w:rPr>
          <w:rFonts w:ascii="Times New Roman" w:eastAsia="Times New Roman" w:hAnsi="Times New Roman"/>
          <w:sz w:val="24"/>
          <w:szCs w:val="24"/>
        </w:rPr>
        <w:t> </w:t>
      </w:r>
      <w:r w:rsidRPr="009A3C86">
        <w:rPr>
          <w:rFonts w:ascii="Times New Roman" w:eastAsia="Times New Roman" w:hAnsi="Times New Roman"/>
          <w:i/>
          <w:iCs/>
          <w:sz w:val="24"/>
          <w:szCs w:val="24"/>
        </w:rPr>
        <w:t xml:space="preserve">contrario </w:t>
      </w:r>
      <w:r w:rsidRPr="009A3C86">
        <w:rPr>
          <w:rFonts w:ascii="Times New Roman" w:eastAsia="Times New Roman" w:hAnsi="Times New Roman"/>
          <w:sz w:val="24"/>
          <w:szCs w:val="24"/>
        </w:rPr>
        <w:t>należy przyjąć, że analogiczne prawo dla tego podmiotu nie powstaje, jeżeli korekta skutków unikania opodatkowania następowałaby poza dedykowanym postępowaniem podatkowym.</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Przedstawiona ocena stanowiła podstawę do wprowadzenia z dniem 1 stycznia 2019 r. przepisów umożliwiających wycofanie przez podatników i płatników skutków unikania opodatkowania (art. 119zfa–art. 119zfn o.p.)</w:t>
      </w:r>
      <w:r w:rsidRPr="009A3C86">
        <w:rPr>
          <w:rFonts w:ascii="Times New Roman" w:eastAsia="Times New Roman" w:hAnsi="Times New Roman"/>
          <w:sz w:val="24"/>
          <w:szCs w:val="24"/>
          <w:vertAlign w:val="superscript"/>
        </w:rPr>
        <w:footnoteReference w:id="533"/>
      </w:r>
      <w:r w:rsidR="0075205D"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Przepisy te ustanawiają zagwarantowaną możliwość wycofania się ze skutków unikania opodatkowania, a w szczególności możliwość </w:t>
      </w:r>
      <w:r w:rsidRPr="009A3C86">
        <w:rPr>
          <w:rFonts w:ascii="Times New Roman" w:eastAsia="Times New Roman" w:hAnsi="Times New Roman"/>
          <w:sz w:val="24"/>
          <w:szCs w:val="24"/>
        </w:rPr>
        <w:lastRenderedPageBreak/>
        <w:t>wycofania się ze schematów unikania opodatkowania dających korzyści podatkowe przez wiele lat. Zaletą tej drogi korygowania rozliczeń podatkowych będzie ograniczenie negatywnych skutków unikania opodatkowania, które zaistniałyby w przypadku wydania decyzji z zastosowaniem klauzuli przeciwko unikaniu opodatkowania (odsetki od zaległości podatkowych, wymiar dodatkowego zobowiązania podatkowego). Rozwiązania te w całości zostały przyjęte w projekcie (</w:t>
      </w:r>
      <w:r w:rsidRPr="009A3C86">
        <w:rPr>
          <w:rFonts w:ascii="Times New Roman" w:eastAsia="Times New Roman" w:hAnsi="Times New Roman"/>
          <w:b/>
          <w:sz w:val="24"/>
          <w:szCs w:val="24"/>
        </w:rPr>
        <w:t xml:space="preserve">art. </w:t>
      </w:r>
      <w:r w:rsidR="0075205D" w:rsidRPr="009A3C86">
        <w:rPr>
          <w:rFonts w:ascii="Times New Roman" w:eastAsia="Times New Roman" w:hAnsi="Times New Roman"/>
          <w:b/>
          <w:sz w:val="24"/>
          <w:szCs w:val="24"/>
        </w:rPr>
        <w:t>616</w:t>
      </w:r>
      <w:r w:rsidRPr="009A3C86">
        <w:rPr>
          <w:rFonts w:ascii="Times New Roman" w:eastAsia="Times New Roman" w:hAnsi="Times New Roman"/>
          <w:b/>
          <w:sz w:val="24"/>
          <w:szCs w:val="24"/>
        </w:rPr>
        <w:t xml:space="preserve">–art. </w:t>
      </w:r>
      <w:r w:rsidR="0075205D" w:rsidRPr="009A3C86">
        <w:rPr>
          <w:rFonts w:ascii="Times New Roman" w:eastAsia="Times New Roman" w:hAnsi="Times New Roman"/>
          <w:b/>
          <w:sz w:val="24"/>
          <w:szCs w:val="24"/>
        </w:rPr>
        <w:t>629</w:t>
      </w:r>
      <w:r w:rsidRPr="009A3C86">
        <w:rPr>
          <w:rFonts w:ascii="Times New Roman" w:eastAsia="Times New Roman" w:hAnsi="Times New Roman"/>
          <w:sz w:val="24"/>
          <w:szCs w:val="24"/>
        </w:rPr>
        <w:t>) odwołując się do uzasadnienia ich wprowadzenia</w:t>
      </w:r>
      <w:r w:rsidRPr="009A3C86">
        <w:rPr>
          <w:rFonts w:ascii="Times New Roman" w:eastAsia="Times New Roman" w:hAnsi="Times New Roman"/>
          <w:sz w:val="24"/>
          <w:szCs w:val="24"/>
          <w:vertAlign w:val="superscript"/>
        </w:rPr>
        <w:footnoteReference w:id="534"/>
      </w:r>
      <w:r w:rsidRPr="009A3C86">
        <w:rPr>
          <w:rFonts w:ascii="Times New Roman" w:eastAsia="Times New Roman" w:hAnsi="Times New Roman"/>
          <w:sz w:val="24"/>
          <w:szCs w:val="24"/>
        </w:rPr>
        <w:t xml:space="preserve">.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Uwzględniając, że zastosowanie klauzuli przeciwko unikaniu opodatkowania wymaga określenia skutków podatkowych na podstawie takiego stanu rzeczy, który zaistniałby gdyby dokonano czynności odpowiedniej albo stanu prawnego jaki zaistniałby, gdyby dany przepis ustawy podatkowej nie miał zastosowania oraz że złożona deklaracja lub korekta deklaracji powinna – w razie potrzeby i stosownie do okoliczności – uprawniać do złożenia korekty deklaracji przez inne podmioty uczestniczące w czynności prowadzącej do unikania opodatkowania, proponuje się wprowadzenie odrębnej procedury cofnięcia skutków unikania opodatkowania poza postępowaniem podatkowym.</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Procedura cofnięcia skutków unikania opodatkowania, zawarta </w:t>
      </w:r>
      <w:r w:rsidR="00597863" w:rsidRPr="009A3C86">
        <w:rPr>
          <w:rFonts w:ascii="Times New Roman" w:eastAsia="Times New Roman" w:hAnsi="Times New Roman"/>
          <w:sz w:val="24"/>
          <w:szCs w:val="24"/>
        </w:rPr>
        <w:t xml:space="preserve">w </w:t>
      </w:r>
      <w:r w:rsidRPr="009A3C86">
        <w:rPr>
          <w:rFonts w:ascii="Times New Roman" w:eastAsia="Times New Roman" w:hAnsi="Times New Roman"/>
          <w:sz w:val="24"/>
          <w:szCs w:val="24"/>
        </w:rPr>
        <w:t xml:space="preserve">oddziale 3 rozdziału </w:t>
      </w:r>
      <w:r w:rsidR="005D3591" w:rsidRPr="009A3C86">
        <w:rPr>
          <w:rFonts w:ascii="Times New Roman" w:eastAsia="Times New Roman" w:hAnsi="Times New Roman"/>
          <w:sz w:val="24"/>
          <w:szCs w:val="24"/>
        </w:rPr>
        <w:t>4</w:t>
      </w:r>
      <w:r w:rsidRPr="009A3C86">
        <w:rPr>
          <w:rFonts w:ascii="Times New Roman" w:eastAsia="Times New Roman" w:hAnsi="Times New Roman"/>
          <w:sz w:val="24"/>
          <w:szCs w:val="24"/>
        </w:rPr>
        <w:t xml:space="preserve">   działu IV, jest dwustopniowa i polega na:</w:t>
      </w:r>
    </w:p>
    <w:p w:rsidR="00045CB9" w:rsidRPr="009A3C86" w:rsidRDefault="00045CB9" w:rsidP="00D72E74">
      <w:pPr>
        <w:numPr>
          <w:ilvl w:val="0"/>
          <w:numId w:val="21"/>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przeprowadzeniu postępowania, w ramach którego Szef KAS oraz podmioty zainteresowane cofnięciem skutków unikania opodatkowania uzgodnią wysokość uzyskanej w wyniku unikania opodatkowania korzyści podatkowej, czynność odpowiednią oraz skutki przyjętej czynności odpowiedniej (względnie: osiągnięcie korzyści podatkowej było jedynym celem podjęcia czynności skutkującej unikaniem opodatkowania i skutki podatkowe takiego stanu rzeczy) lub skutki stanu prawnego, jaki zaistniałby, gdyby uzgodniony przepis prawa nie miał zastosowania, co znajdzie odzwierciedlenie w decyzji określającej warunki cofnięcia unikania opodatkowania, zwanej dalej w tym punkcie „decyzją”,</w:t>
      </w:r>
    </w:p>
    <w:p w:rsidR="00045CB9" w:rsidRPr="009A3C86" w:rsidRDefault="00045CB9" w:rsidP="00D72E74">
      <w:pPr>
        <w:numPr>
          <w:ilvl w:val="0"/>
          <w:numId w:val="21"/>
        </w:numPr>
        <w:spacing w:after="0" w:line="360" w:lineRule="auto"/>
        <w:ind w:left="1066" w:hanging="357"/>
        <w:jc w:val="both"/>
        <w:rPr>
          <w:rFonts w:ascii="Times New Roman" w:eastAsia="Times New Roman" w:hAnsi="Times New Roman"/>
          <w:sz w:val="24"/>
          <w:szCs w:val="24"/>
        </w:rPr>
      </w:pPr>
      <w:r w:rsidRPr="009A3C86">
        <w:rPr>
          <w:rFonts w:ascii="Times New Roman" w:eastAsia="Times New Roman" w:hAnsi="Times New Roman"/>
          <w:sz w:val="24"/>
          <w:szCs w:val="24"/>
        </w:rPr>
        <w:t>złożeniu przez podmioty zainteresowane korekty deklaracji na podstawie treści decyzji wydanej w postępowaniu określonym w pkt 1.</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Podkreślenia wymaga, że rolą tej procedury nie będzie ustalenie, czy przedstawiona we wniosku czynność, w wyniku której uzyskano korzyść podatkową, stanowi unikanie </w:t>
      </w:r>
      <w:r w:rsidRPr="009A3C86">
        <w:rPr>
          <w:rFonts w:ascii="Times New Roman" w:eastAsia="Times New Roman" w:hAnsi="Times New Roman"/>
          <w:sz w:val="24"/>
          <w:szCs w:val="24"/>
        </w:rPr>
        <w:lastRenderedPageBreak/>
        <w:t>opodatkowania w rozumieniu art. 3</w:t>
      </w:r>
      <w:r w:rsidR="00104B7B" w:rsidRPr="009A3C86">
        <w:rPr>
          <w:rFonts w:ascii="Times New Roman" w:eastAsia="Times New Roman" w:hAnsi="Times New Roman"/>
          <w:sz w:val="24"/>
          <w:szCs w:val="24"/>
        </w:rPr>
        <w:t>3</w:t>
      </w:r>
      <w:r w:rsidRPr="009A3C86">
        <w:rPr>
          <w:rFonts w:ascii="Times New Roman" w:eastAsia="Times New Roman" w:hAnsi="Times New Roman"/>
          <w:sz w:val="24"/>
          <w:szCs w:val="24"/>
        </w:rPr>
        <w:t>. Taka ocena może być dokonana w toku postępowania o wydanie opinii zabezpieczającej.</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3. Złożenie wniosku będzie równać się przyznaniu przez zainteresowanego dla potrzeb prowadzonego postępowania, że dokonał czynności prowadzącej do unikania opodatkowania (</w:t>
      </w:r>
      <w:r w:rsidRPr="009A3C86">
        <w:rPr>
          <w:rFonts w:ascii="Times New Roman" w:eastAsia="Times New Roman" w:hAnsi="Times New Roman"/>
          <w:b/>
          <w:sz w:val="24"/>
          <w:szCs w:val="24"/>
        </w:rPr>
        <w:t xml:space="preserve">art. </w:t>
      </w:r>
      <w:r w:rsidR="00597863" w:rsidRPr="009A3C86">
        <w:rPr>
          <w:rFonts w:ascii="Times New Roman" w:eastAsia="Times New Roman" w:hAnsi="Times New Roman"/>
          <w:b/>
          <w:sz w:val="24"/>
          <w:szCs w:val="24"/>
        </w:rPr>
        <w:t>620</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i wyrażeniu woli cofnięcia jej skutków związanych z unikaniem opodatkowania. Przyznanie takie może w szczególności nastąpić po przeprowadzeniu badania sprawozdania finansowego lub audytu, lub też po publikacji ostrzeżeń w zakresie możliwego zastosowania klauzuli przeciwko unikaniu opodatkowania przez ministra właściwego do spraw finansów publicznych lub Szefa KAS. W toku postępowania o wydanie decyzji określającej warunki cofnięcia skutków unikania opodatkowania organ podatkowy przyjmie, że odnośnie wskazanej czynności zaistniały przesłanki określone w art. </w:t>
      </w:r>
      <w:r w:rsidR="00D26950" w:rsidRPr="009A3C86">
        <w:rPr>
          <w:rFonts w:ascii="Times New Roman" w:eastAsia="Times New Roman" w:hAnsi="Times New Roman"/>
          <w:sz w:val="24"/>
          <w:szCs w:val="24"/>
        </w:rPr>
        <w:t xml:space="preserve">33 </w:t>
      </w:r>
      <w:r w:rsidRPr="009A3C86">
        <w:rPr>
          <w:rFonts w:ascii="Times New Roman" w:eastAsia="Times New Roman" w:hAnsi="Times New Roman"/>
          <w:sz w:val="24"/>
          <w:szCs w:val="24"/>
        </w:rPr>
        <w:t xml:space="preserve">§ 1 Ordynacji podatkowej. W decyzji wydanej na podstawie </w:t>
      </w:r>
      <w:r w:rsidRPr="009A3C86">
        <w:rPr>
          <w:rFonts w:ascii="Times New Roman" w:eastAsia="Times New Roman" w:hAnsi="Times New Roman"/>
          <w:b/>
          <w:sz w:val="24"/>
          <w:szCs w:val="24"/>
        </w:rPr>
        <w:t>art. </w:t>
      </w:r>
      <w:r w:rsidR="00597863" w:rsidRPr="009A3C86">
        <w:rPr>
          <w:rFonts w:ascii="Times New Roman" w:eastAsia="Times New Roman" w:hAnsi="Times New Roman"/>
          <w:b/>
          <w:sz w:val="24"/>
          <w:szCs w:val="24"/>
        </w:rPr>
        <w:t>624</w:t>
      </w:r>
      <w:r w:rsidRPr="009A3C86">
        <w:rPr>
          <w:rFonts w:ascii="Times New Roman" w:eastAsia="Times New Roman" w:hAnsi="Times New Roman"/>
          <w:b/>
          <w:sz w:val="24"/>
          <w:szCs w:val="24"/>
        </w:rPr>
        <w:t> § 1</w:t>
      </w:r>
      <w:r w:rsidRPr="009A3C86">
        <w:rPr>
          <w:rFonts w:ascii="Times New Roman" w:eastAsia="Times New Roman" w:hAnsi="Times New Roman"/>
          <w:sz w:val="24"/>
          <w:szCs w:val="24"/>
        </w:rPr>
        <w:t xml:space="preserve"> będzie mógł jednak wskazać, że – wbrew stanowisku podatnika – nie doszło do osiągnięcia przez niego korzyści podatkowej. Z uwagi na doniosłość wniosku oraz przyjęte w art. </w:t>
      </w:r>
      <w:r w:rsidR="005D3591" w:rsidRPr="009A3C86">
        <w:rPr>
          <w:rFonts w:ascii="Times New Roman" w:eastAsia="Times New Roman" w:hAnsi="Times New Roman"/>
          <w:sz w:val="24"/>
          <w:szCs w:val="24"/>
        </w:rPr>
        <w:t>620</w:t>
      </w:r>
      <w:r w:rsidRPr="009A3C86">
        <w:rPr>
          <w:rFonts w:ascii="Times New Roman" w:eastAsia="Times New Roman" w:hAnsi="Times New Roman"/>
          <w:sz w:val="24"/>
          <w:szCs w:val="24"/>
        </w:rPr>
        <w:t> § 2 domniemania dla jego skutecznego złożenia wprowadzono tzw. przymus adwokacko-radcowski (</w:t>
      </w:r>
      <w:r w:rsidRPr="009A3C86">
        <w:rPr>
          <w:rFonts w:ascii="Times New Roman" w:eastAsia="Times New Roman" w:hAnsi="Times New Roman"/>
          <w:b/>
          <w:sz w:val="24"/>
          <w:szCs w:val="24"/>
        </w:rPr>
        <w:t>art. </w:t>
      </w:r>
      <w:r w:rsidR="005D3591" w:rsidRPr="009A3C86">
        <w:rPr>
          <w:rFonts w:ascii="Times New Roman" w:eastAsia="Times New Roman" w:hAnsi="Times New Roman"/>
          <w:b/>
          <w:sz w:val="24"/>
          <w:szCs w:val="24"/>
        </w:rPr>
        <w:t>619</w:t>
      </w:r>
      <w:r w:rsidRPr="009A3C86">
        <w:rPr>
          <w:rFonts w:ascii="Times New Roman" w:eastAsia="Times New Roman" w:hAnsi="Times New Roman"/>
          <w:b/>
          <w:sz w:val="24"/>
          <w:szCs w:val="24"/>
        </w:rPr>
        <w:t> § 3</w:t>
      </w:r>
      <w:r w:rsidRPr="009A3C86">
        <w:rPr>
          <w:rFonts w:ascii="Times New Roman" w:eastAsia="Times New Roman" w:hAnsi="Times New Roman"/>
          <w:sz w:val="24"/>
          <w:szCs w:val="24"/>
        </w:rPr>
        <w:t xml:space="preserve">). Wprowadzenie trzech domniemań w treści </w:t>
      </w:r>
      <w:r w:rsidRPr="009A3C86">
        <w:rPr>
          <w:rFonts w:ascii="Times New Roman" w:eastAsia="Times New Roman" w:hAnsi="Times New Roman"/>
          <w:b/>
          <w:sz w:val="24"/>
          <w:szCs w:val="24"/>
        </w:rPr>
        <w:t xml:space="preserve">art. </w:t>
      </w:r>
      <w:r w:rsidR="005D3591" w:rsidRPr="009A3C86">
        <w:rPr>
          <w:rFonts w:ascii="Times New Roman" w:eastAsia="Times New Roman" w:hAnsi="Times New Roman"/>
          <w:b/>
          <w:sz w:val="24"/>
          <w:szCs w:val="24"/>
        </w:rPr>
        <w:t>620</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wynika z faktu, że przepisy te dotyczą sytuacji, w której sam zainteresowany złożył wniosek o cofnięcie skutków unikania opodatkowania. Rozwiązanie to powinno wydatnie przyczynić do poprawy ekonomiki postępowań w sprawie cofnięcia unikania opodatkowania. Co do zasady, w sytuacji, w której zainteresowany złożył stosowny wniosek o cofnięcie skutków unikania opodatkowania, nie wydaje się celowe spowalnianie cofnięcia tych skutków. Z drugiej jednak strony, nie można wykluczyć ryzyka nieprawidłowego korzystania przez zainteresowanych ze stworzonej możliwości. W tym celu domniemania przewidziane w analizowanych przepisach mogą zostać obalone przez Szefa KAS.</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Stronami postępowania określonego </w:t>
      </w:r>
      <w:r w:rsidR="00CE6458" w:rsidRPr="009A3C86">
        <w:rPr>
          <w:rFonts w:ascii="Times New Roman" w:eastAsia="Times New Roman" w:hAnsi="Times New Roman"/>
          <w:sz w:val="24"/>
          <w:szCs w:val="24"/>
        </w:rPr>
        <w:t xml:space="preserve">w oddziale 3 rozdziału </w:t>
      </w:r>
      <w:r w:rsidR="005D3591" w:rsidRPr="009A3C86">
        <w:rPr>
          <w:rFonts w:ascii="Times New Roman" w:eastAsia="Times New Roman" w:hAnsi="Times New Roman"/>
          <w:sz w:val="24"/>
          <w:szCs w:val="24"/>
        </w:rPr>
        <w:t>4</w:t>
      </w:r>
      <w:r w:rsidR="00CE6458" w:rsidRPr="009A3C86">
        <w:rPr>
          <w:rFonts w:ascii="Times New Roman" w:eastAsia="Times New Roman" w:hAnsi="Times New Roman"/>
          <w:sz w:val="24"/>
          <w:szCs w:val="24"/>
        </w:rPr>
        <w:t xml:space="preserve"> działu IV </w:t>
      </w:r>
      <w:r w:rsidRPr="009A3C86">
        <w:rPr>
          <w:rFonts w:ascii="Times New Roman" w:eastAsia="Times New Roman" w:hAnsi="Times New Roman"/>
          <w:sz w:val="24"/>
          <w:szCs w:val="24"/>
        </w:rPr>
        <w:t>będą podmioty uczestniczące w czynności prowadzącej do unikania opodatkowania (</w:t>
      </w:r>
      <w:r w:rsidRPr="009A3C86">
        <w:rPr>
          <w:rFonts w:ascii="Times New Roman" w:eastAsia="Times New Roman" w:hAnsi="Times New Roman"/>
          <w:b/>
          <w:sz w:val="24"/>
          <w:szCs w:val="24"/>
        </w:rPr>
        <w:t xml:space="preserve">art. </w:t>
      </w:r>
      <w:r w:rsidR="005D3591" w:rsidRPr="009A3C86">
        <w:rPr>
          <w:rFonts w:ascii="Times New Roman" w:eastAsia="Times New Roman" w:hAnsi="Times New Roman"/>
          <w:b/>
          <w:sz w:val="24"/>
          <w:szCs w:val="24"/>
        </w:rPr>
        <w:t>616</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Wniosek o wszczęcie postępowania w przedmiocie określenia warunków cofnięcia unikania opodatkowania będzie mógł dotyczyć już uzyskanej korzyści podatkowej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Postępowanie to nie będzie mogło jednak zostać wszczęte, jeżeli określona we wniosku korzyść podatkowa będzie w momencie jego złożenia przedmiotem kontroli podatkowej, kontroli celno-skarbowej lub postępowania podatkowego, gdy stanowisko zainteresowanego będzie wskazywać na konieczność wydania decyzji na podstawie art. 3</w:t>
      </w:r>
      <w:r w:rsidR="00584EA4"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lub gdy stanowisko zawarte we wniosku wskazuje na zasadność wydania decyzji na podstawie art. </w:t>
      </w:r>
      <w:r w:rsidR="005D3591" w:rsidRPr="009A3C86">
        <w:rPr>
          <w:rFonts w:ascii="Times New Roman" w:eastAsia="Times New Roman" w:hAnsi="Times New Roman"/>
          <w:sz w:val="24"/>
          <w:szCs w:val="24"/>
        </w:rPr>
        <w:t>624</w:t>
      </w:r>
      <w:r w:rsidRPr="009A3C86">
        <w:rPr>
          <w:rFonts w:ascii="Times New Roman" w:eastAsia="Times New Roman" w:hAnsi="Times New Roman"/>
          <w:sz w:val="24"/>
          <w:szCs w:val="24"/>
        </w:rPr>
        <w:t xml:space="preserve"> § 1 lub 2 (art</w:t>
      </w:r>
      <w:r w:rsidR="005D3591" w:rsidRPr="009A3C86">
        <w:rPr>
          <w:rFonts w:ascii="Times New Roman" w:eastAsia="Times New Roman" w:hAnsi="Times New Roman"/>
          <w:sz w:val="24"/>
          <w:szCs w:val="24"/>
        </w:rPr>
        <w:t>. 617</w:t>
      </w:r>
      <w:r w:rsidRPr="009A3C86">
        <w:rPr>
          <w:rFonts w:ascii="Times New Roman" w:eastAsia="Times New Roman" w:hAnsi="Times New Roman"/>
          <w:sz w:val="24"/>
          <w:szCs w:val="24"/>
        </w:rPr>
        <w:t>). Celem rozwiązania zawartego w </w:t>
      </w:r>
      <w:r w:rsidRPr="009A3C86">
        <w:rPr>
          <w:rFonts w:ascii="Times New Roman" w:eastAsia="Times New Roman" w:hAnsi="Times New Roman"/>
          <w:b/>
          <w:sz w:val="24"/>
          <w:szCs w:val="24"/>
        </w:rPr>
        <w:t>art. </w:t>
      </w:r>
      <w:r w:rsidR="00882592" w:rsidRPr="009A3C86">
        <w:rPr>
          <w:rFonts w:ascii="Times New Roman" w:eastAsia="Times New Roman" w:hAnsi="Times New Roman"/>
          <w:b/>
          <w:sz w:val="24"/>
          <w:szCs w:val="24"/>
        </w:rPr>
        <w:t>617</w:t>
      </w:r>
      <w:r w:rsidRPr="009A3C86">
        <w:rPr>
          <w:rFonts w:ascii="Times New Roman" w:eastAsia="Times New Roman" w:hAnsi="Times New Roman"/>
          <w:b/>
          <w:sz w:val="24"/>
          <w:szCs w:val="24"/>
        </w:rPr>
        <w:t xml:space="preserve"> pkt 2</w:t>
      </w:r>
      <w:r w:rsidRPr="009A3C86">
        <w:rPr>
          <w:rFonts w:ascii="Times New Roman" w:eastAsia="Times New Roman" w:hAnsi="Times New Roman"/>
          <w:sz w:val="24"/>
          <w:szCs w:val="24"/>
        </w:rPr>
        <w:t xml:space="preserve"> jest wyłączenie z rozpatrywania takich wniosków, w </w:t>
      </w:r>
      <w:r w:rsidRPr="009A3C86">
        <w:rPr>
          <w:rFonts w:ascii="Times New Roman" w:eastAsia="Times New Roman" w:hAnsi="Times New Roman"/>
          <w:sz w:val="24"/>
          <w:szCs w:val="24"/>
        </w:rPr>
        <w:lastRenderedPageBreak/>
        <w:t>których zainteresowani mogliby dowodzić, że mimo wypełnienia przesłanki z art. 3</w:t>
      </w:r>
      <w:r w:rsidR="0088295D"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1 nie doszło do unikania opodatkowania lub gdy unikanie opodatkowania może zostać cofnięte poprzez właściwe zastosowanie innych przepisów prawa podatkowego. Postępowanie to  nie powinno być traktowane jako szczególna forma uzyskania opinii zabezpieczającej, zaś regulacja zawarta w art. </w:t>
      </w:r>
      <w:r w:rsidR="00882592" w:rsidRPr="009A3C86">
        <w:rPr>
          <w:rFonts w:ascii="Times New Roman" w:eastAsia="Times New Roman" w:hAnsi="Times New Roman"/>
          <w:sz w:val="24"/>
          <w:szCs w:val="24"/>
        </w:rPr>
        <w:t>617</w:t>
      </w:r>
      <w:r w:rsidRPr="009A3C86">
        <w:rPr>
          <w:rFonts w:ascii="Times New Roman" w:eastAsia="Times New Roman" w:hAnsi="Times New Roman"/>
          <w:sz w:val="24"/>
          <w:szCs w:val="24"/>
        </w:rPr>
        <w:t xml:space="preserve"> pkt 2 ma zapobiegać ewentualnym nadużyciom.</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Procedura ta powinna mieć odpowiednie zastosowanie również do skutków unikania opodatkowania wynikających z opodatkowania środków ograniczających umowne korzyści (art. </w:t>
      </w:r>
      <w:r w:rsidR="00882592" w:rsidRPr="009A3C86">
        <w:rPr>
          <w:rFonts w:ascii="Times New Roman" w:eastAsia="Times New Roman" w:hAnsi="Times New Roman"/>
          <w:sz w:val="24"/>
          <w:szCs w:val="24"/>
        </w:rPr>
        <w:t>616</w:t>
      </w:r>
      <w:r w:rsidRPr="009A3C86">
        <w:rPr>
          <w:rFonts w:ascii="Times New Roman" w:eastAsia="Times New Roman" w:hAnsi="Times New Roman"/>
          <w:sz w:val="24"/>
          <w:szCs w:val="24"/>
        </w:rPr>
        <w:t xml:space="preserve"> § 5).</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Na wzór procedury </w:t>
      </w:r>
      <w:r w:rsidR="00882592" w:rsidRPr="009A3C86">
        <w:rPr>
          <w:rFonts w:ascii="Times New Roman" w:eastAsia="Times New Roman" w:hAnsi="Times New Roman"/>
          <w:sz w:val="24"/>
          <w:szCs w:val="24"/>
        </w:rPr>
        <w:t>uprzednich porozumień cenowych</w:t>
      </w:r>
      <w:r w:rsidRPr="009A3C86">
        <w:rPr>
          <w:rFonts w:ascii="Times New Roman" w:eastAsia="Times New Roman" w:hAnsi="Times New Roman"/>
          <w:sz w:val="24"/>
          <w:szCs w:val="24"/>
        </w:rPr>
        <w:t>, zainteresowane wydaniem decyzji podmioty będą mogły zwrócić się do organu podatkowego o wyjaśnienie wszelkich wątpliwości dotyczących wydawania decyzji w indywidualnej sprawie, w szczególności celowości jej wydania, zakresu niezbędnych informacji, trybu i przypuszczalnego terminu zakończenia postępowania (</w:t>
      </w:r>
      <w:r w:rsidRPr="009A3C86">
        <w:rPr>
          <w:rFonts w:ascii="Times New Roman" w:eastAsia="Times New Roman" w:hAnsi="Times New Roman"/>
          <w:b/>
          <w:sz w:val="24"/>
          <w:szCs w:val="24"/>
        </w:rPr>
        <w:t xml:space="preserve">art. </w:t>
      </w:r>
      <w:r w:rsidR="00882592" w:rsidRPr="009A3C86">
        <w:rPr>
          <w:rFonts w:ascii="Times New Roman" w:eastAsia="Times New Roman" w:hAnsi="Times New Roman"/>
          <w:b/>
          <w:sz w:val="24"/>
          <w:szCs w:val="24"/>
        </w:rPr>
        <w:t>618</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Wątpliwości te mogą dotyczyć zarówno przebiegu procedury wydawania decyzji określającej warunki cofnięcia unikania opodatkowania, jak i szans na uzyskanie satysfakcjonującego wnioskodawcę wyniku tej procedury. Regulacja ta jest przejawem nasilenia cech koncyliacyjnych tej szczególnej procedury. Ma też zapobiegać występowaniu przez zainteresowanych z wnioskiem o konsultację, gdy w sposób oczywisty wniosek ten nie może doprowadzić do pożądanego przezeń rezultatu.</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6. W </w:t>
      </w:r>
      <w:r w:rsidRPr="009A3C86">
        <w:rPr>
          <w:rFonts w:ascii="Times New Roman" w:eastAsia="Times New Roman" w:hAnsi="Times New Roman"/>
          <w:b/>
          <w:sz w:val="24"/>
          <w:szCs w:val="24"/>
        </w:rPr>
        <w:t xml:space="preserve">art. </w:t>
      </w:r>
      <w:r w:rsidR="00882592" w:rsidRPr="009A3C86">
        <w:rPr>
          <w:rFonts w:ascii="Times New Roman" w:eastAsia="Times New Roman" w:hAnsi="Times New Roman"/>
          <w:b/>
          <w:sz w:val="24"/>
          <w:szCs w:val="24"/>
        </w:rPr>
        <w:t>618</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ustanowiono zakaz dowodowy, dotyczący wykorzystania informacji uzyskanych w ramach tzw. spotkań wstępnych, o których mowa w § 1. Pogłębienie zaufania pomiędzy zainteresowanym podmiotem a organem podatkowym jest szczególnie istotne, gdyż złożenie przez zainteresowanego wniosku o wydanie decyzji będzie stanowić jednocześnie – jak już wskazano wyżej – przyznanie się przez niego do tego, że określona we wniosku czynność stanowiła unikanie opodatkowania i zastępować będzie rozstrzygnięcie organu podatkowego w zakresie </w:t>
      </w:r>
      <w:r w:rsidRPr="009A3C86">
        <w:rPr>
          <w:rFonts w:ascii="Times New Roman" w:eastAsia="Times New Roman" w:hAnsi="Times New Roman"/>
          <w:i/>
          <w:iCs/>
          <w:sz w:val="24"/>
          <w:szCs w:val="24"/>
        </w:rPr>
        <w:t>stricte</w:t>
      </w:r>
      <w:r w:rsidRPr="009A3C86">
        <w:rPr>
          <w:rFonts w:ascii="Times New Roman" w:eastAsia="Times New Roman" w:hAnsi="Times New Roman"/>
          <w:sz w:val="24"/>
          <w:szCs w:val="24"/>
        </w:rPr>
        <w:t xml:space="preserve"> art. 3</w:t>
      </w:r>
      <w:r w:rsidR="0088295D"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1. Organ podatkowy będzie jednak mógł korzystać z tych dokumentów i informacji, jeśli uzyska je poprzez inne czynności podjęte w ramach odrębnych procedur, w tym w toku postępowania o wydanie decyzji.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083FD8" w:rsidRPr="009A3C86">
        <w:rPr>
          <w:rFonts w:ascii="Times New Roman" w:eastAsia="Times New Roman" w:hAnsi="Times New Roman"/>
          <w:b/>
          <w:sz w:val="24"/>
          <w:szCs w:val="24"/>
        </w:rPr>
        <w:t>619</w:t>
      </w:r>
      <w:r w:rsidRPr="009A3C86">
        <w:rPr>
          <w:rFonts w:ascii="Times New Roman" w:eastAsia="Times New Roman" w:hAnsi="Times New Roman"/>
          <w:b/>
          <w:sz w:val="24"/>
          <w:szCs w:val="24"/>
        </w:rPr>
        <w:t xml:space="preserve"> § 1 </w:t>
      </w:r>
      <w:r w:rsidRPr="009A3C86">
        <w:rPr>
          <w:rFonts w:ascii="Times New Roman" w:eastAsia="Times New Roman" w:hAnsi="Times New Roman"/>
          <w:sz w:val="24"/>
          <w:szCs w:val="24"/>
        </w:rPr>
        <w:t>określono zakres informacji, które należy zawrzeć we wniosku o wydanie decyzji. Wniosek powinien zawierać:</w:t>
      </w:r>
    </w:p>
    <w:p w:rsidR="00045CB9" w:rsidRPr="009A3C86" w:rsidRDefault="00045CB9" w:rsidP="00D72E74">
      <w:pPr>
        <w:numPr>
          <w:ilvl w:val="0"/>
          <w:numId w:val="30"/>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b/>
        <w:t>stan faktyczny składający się z:</w:t>
      </w:r>
    </w:p>
    <w:p w:rsidR="00045CB9" w:rsidRPr="009A3C86" w:rsidRDefault="00045CB9" w:rsidP="00D72E74">
      <w:pPr>
        <w:numPr>
          <w:ilvl w:val="1"/>
          <w:numId w:val="26"/>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wyczerpującego opisu dokonanej czynności prowadzącej do unikania opodatkowania;</w:t>
      </w:r>
    </w:p>
    <w:p w:rsidR="00045CB9" w:rsidRPr="009A3C86" w:rsidRDefault="00045CB9" w:rsidP="00D72E74">
      <w:pPr>
        <w:numPr>
          <w:ilvl w:val="1"/>
          <w:numId w:val="26"/>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wskazania podmiotów biorących udział w czynności określonej w lit. a wraz ze wskazaniem występujących pomiędzy podmiotami powiązań w rozumieniu art. </w:t>
      </w:r>
      <w:r w:rsidRPr="009A3C86">
        <w:rPr>
          <w:rFonts w:ascii="Times New Roman" w:eastAsia="Times New Roman" w:hAnsi="Times New Roman"/>
          <w:sz w:val="24"/>
          <w:szCs w:val="24"/>
        </w:rPr>
        <w:lastRenderedPageBreak/>
        <w:t xml:space="preserve">23m ust. 1 pkt 5 ustawy z dnia 26 lipca 1991 r. o podatku dochodowym od osób fizycznych i art. 11a ust. 1 pkt 5 ustawy z dnia 15 lutego 1992 r. o podatku dochodowym od osób prawnych, </w:t>
      </w:r>
    </w:p>
    <w:p w:rsidR="00045CB9" w:rsidRPr="009A3C86" w:rsidRDefault="00045CB9" w:rsidP="00D72E74">
      <w:pPr>
        <w:numPr>
          <w:ilvl w:val="1"/>
          <w:numId w:val="26"/>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określenia skutków podatkowych będących rezultatem czynności określonej w lit. a, w tym korzyści podatkowej, o której mowa w art. 3</w:t>
      </w:r>
      <w:r w:rsidR="0088295D" w:rsidRPr="009A3C86">
        <w:rPr>
          <w:rFonts w:ascii="Times New Roman" w:eastAsia="Times New Roman" w:hAnsi="Times New Roman"/>
          <w:sz w:val="24"/>
          <w:szCs w:val="24"/>
        </w:rPr>
        <w:t>3</w:t>
      </w:r>
      <w:r w:rsidRPr="009A3C86">
        <w:rPr>
          <w:rFonts w:ascii="Times New Roman" w:eastAsia="Times New Roman" w:hAnsi="Times New Roman"/>
          <w:sz w:val="24"/>
          <w:szCs w:val="24"/>
        </w:rPr>
        <w:t> § 1, wraz z przedstawieniem sposobu i metody wyliczenia tych skutków;</w:t>
      </w:r>
    </w:p>
    <w:p w:rsidR="00045CB9" w:rsidRPr="009A3C86" w:rsidRDefault="00045CB9" w:rsidP="00D72E74">
      <w:pPr>
        <w:numPr>
          <w:ilvl w:val="0"/>
          <w:numId w:val="30"/>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 w zależności od okoliczności:</w:t>
      </w:r>
    </w:p>
    <w:p w:rsidR="00045CB9" w:rsidRPr="009A3C86" w:rsidRDefault="00045CB9" w:rsidP="00D72E74">
      <w:pPr>
        <w:numPr>
          <w:ilvl w:val="1"/>
          <w:numId w:val="2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wyczerpujący opis przyjętej czynności odpowiedniej w rozumieniu art. 3</w:t>
      </w:r>
      <w:r w:rsidR="0088295D"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3,</w:t>
      </w:r>
    </w:p>
    <w:p w:rsidR="00045CB9" w:rsidRPr="009A3C86" w:rsidRDefault="00045CB9" w:rsidP="00D72E74">
      <w:pPr>
        <w:numPr>
          <w:ilvl w:val="1"/>
          <w:numId w:val="2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oświadczenie, że osiągnięcie korzyści podatkowej było jedynym celem dokonania czynności prowadzącej do unikania opodatkowania,</w:t>
      </w:r>
    </w:p>
    <w:p w:rsidR="00045CB9" w:rsidRPr="009A3C86" w:rsidRDefault="00045CB9" w:rsidP="00D72E74">
      <w:pPr>
        <w:numPr>
          <w:ilvl w:val="1"/>
          <w:numId w:val="27"/>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wskazanie przepisu ustawy podatkowej określonego w art. 3</w:t>
      </w:r>
      <w:r w:rsidR="0088295D"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6, który nie powinien mieć zastosowania;</w:t>
      </w:r>
    </w:p>
    <w:p w:rsidR="00045CB9" w:rsidRPr="009A3C86" w:rsidRDefault="00045CB9" w:rsidP="00D72E74">
      <w:pPr>
        <w:numPr>
          <w:ilvl w:val="0"/>
          <w:numId w:val="30"/>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uzasadnienie przyjęcia wybranej czynności odpowiedniej lub złożonego oświadczenia albo wskazania</w:t>
      </w:r>
      <w:r w:rsidR="00083FD8" w:rsidRPr="009A3C86">
        <w:rPr>
          <w:rFonts w:ascii="Times New Roman" w:eastAsia="Times New Roman" w:hAnsi="Times New Roman"/>
          <w:sz w:val="24"/>
          <w:szCs w:val="24"/>
        </w:rPr>
        <w:t>, o którym mowa w pkt 2</w:t>
      </w:r>
      <w:r w:rsidRPr="009A3C86">
        <w:rPr>
          <w:rFonts w:ascii="Times New Roman" w:eastAsia="Times New Roman" w:hAnsi="Times New Roman"/>
          <w:sz w:val="24"/>
          <w:szCs w:val="24"/>
        </w:rPr>
        <w:t>;</w:t>
      </w:r>
    </w:p>
    <w:p w:rsidR="00045CB9" w:rsidRPr="009A3C86" w:rsidRDefault="00045CB9" w:rsidP="00D72E74">
      <w:pPr>
        <w:numPr>
          <w:ilvl w:val="0"/>
          <w:numId w:val="30"/>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określenie skutków podatkowych, wraz z przedstawieniem sposobu i metody ich wyliczenia:</w:t>
      </w:r>
    </w:p>
    <w:p w:rsidR="00045CB9" w:rsidRPr="009A3C86" w:rsidRDefault="00045CB9" w:rsidP="00D72E74">
      <w:pPr>
        <w:numPr>
          <w:ilvl w:val="1"/>
          <w:numId w:val="28"/>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jakie mogłyby zaistnieć gdyby dokonano przyjętej czynności odpowiedniej,</w:t>
      </w:r>
    </w:p>
    <w:p w:rsidR="00045CB9" w:rsidRPr="009A3C86" w:rsidRDefault="00045CB9" w:rsidP="00D72E74">
      <w:pPr>
        <w:numPr>
          <w:ilvl w:val="1"/>
          <w:numId w:val="28"/>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stanu rzeczy, jaki zaistniałby, gdyby czynność prowadząca do unikania opodatkowania nie została dokonana,</w:t>
      </w:r>
    </w:p>
    <w:p w:rsidR="00045CB9" w:rsidRPr="009A3C86" w:rsidRDefault="00045CB9" w:rsidP="00D72E74">
      <w:pPr>
        <w:numPr>
          <w:ilvl w:val="1"/>
          <w:numId w:val="28"/>
        </w:numPr>
        <w:spacing w:after="0" w:line="360" w:lineRule="auto"/>
        <w:ind w:left="1491" w:hanging="357"/>
        <w:jc w:val="both"/>
        <w:rPr>
          <w:rFonts w:ascii="Times New Roman" w:eastAsia="Times New Roman" w:hAnsi="Times New Roman"/>
          <w:sz w:val="24"/>
          <w:szCs w:val="24"/>
        </w:rPr>
      </w:pPr>
      <w:r w:rsidRPr="009A3C86">
        <w:rPr>
          <w:rFonts w:ascii="Times New Roman" w:eastAsia="Times New Roman" w:hAnsi="Times New Roman"/>
          <w:sz w:val="24"/>
          <w:szCs w:val="24"/>
        </w:rPr>
        <w:t>stanu prawnego, jaki zaistniałby, gdyby wskazany przepis ustawy podatkowej nie miał zastosowania.</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w:t>
      </w:r>
      <w:r w:rsidRPr="009A3C86">
        <w:rPr>
          <w:rFonts w:ascii="Times New Roman" w:eastAsia="Times New Roman" w:hAnsi="Times New Roman"/>
          <w:b/>
          <w:sz w:val="24"/>
          <w:szCs w:val="24"/>
        </w:rPr>
        <w:t xml:space="preserve">art. </w:t>
      </w:r>
      <w:r w:rsidR="00083FD8" w:rsidRPr="009A3C86">
        <w:rPr>
          <w:rFonts w:ascii="Times New Roman" w:eastAsia="Times New Roman" w:hAnsi="Times New Roman"/>
          <w:b/>
          <w:sz w:val="24"/>
          <w:szCs w:val="24"/>
        </w:rPr>
        <w:t>619</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wniosek będzie mógł zostać uzupełniony o dokumentację dotyczącą czynności prowadzącej do unikania opodatkowania oraz potwierdzającą stanowisko zainteresowanego co do zasadności wyboru czynności odpowiedniej.</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Minister właściwy do spraw finansów publicznych będzie mógł w drodze rozporządzenia określić wzór wniosku o wydanie decyzji, co powinno przyczynić się do ich ujednolicenia oraz zmniejszyć ryzyko wystąpienia braków formalnych wniosku (</w:t>
      </w:r>
      <w:r w:rsidRPr="009A3C86">
        <w:rPr>
          <w:rFonts w:ascii="Times New Roman" w:eastAsia="Times New Roman" w:hAnsi="Times New Roman"/>
          <w:b/>
          <w:sz w:val="24"/>
          <w:szCs w:val="24"/>
        </w:rPr>
        <w:t xml:space="preserve">art. </w:t>
      </w:r>
      <w:r w:rsidR="00917657" w:rsidRPr="009A3C86">
        <w:rPr>
          <w:rFonts w:ascii="Times New Roman" w:eastAsia="Times New Roman" w:hAnsi="Times New Roman"/>
          <w:b/>
          <w:sz w:val="24"/>
          <w:szCs w:val="24"/>
        </w:rPr>
        <w:t>619</w:t>
      </w:r>
      <w:r w:rsidRPr="009A3C86">
        <w:rPr>
          <w:rFonts w:ascii="Times New Roman" w:eastAsia="Times New Roman" w:hAnsi="Times New Roman"/>
          <w:b/>
          <w:sz w:val="24"/>
          <w:szCs w:val="24"/>
        </w:rPr>
        <w:t xml:space="preserve"> § 5</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7. Złożenie wniosku o wydanie decyzji nie będzie miało wpływu na możliwość przeprowadzenia kontroli podatkowej, kontroli celno-skarbowej lub postępowania podatkowego (</w:t>
      </w:r>
      <w:r w:rsidRPr="009A3C86">
        <w:rPr>
          <w:rFonts w:ascii="Times New Roman" w:eastAsia="Times New Roman" w:hAnsi="Times New Roman"/>
          <w:b/>
          <w:sz w:val="24"/>
          <w:szCs w:val="24"/>
        </w:rPr>
        <w:t xml:space="preserve">art. </w:t>
      </w:r>
      <w:r w:rsidR="00147281" w:rsidRPr="009A3C86">
        <w:rPr>
          <w:rFonts w:ascii="Times New Roman" w:eastAsia="Times New Roman" w:hAnsi="Times New Roman"/>
          <w:b/>
          <w:sz w:val="24"/>
          <w:szCs w:val="24"/>
        </w:rPr>
        <w:t>620</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Skorygowanie deklaracji w wyniku wydania decyzji wykluczy jednak w zakresie ocenianej czynności możliwość wszczęcia lub przejęcia postępowania podatkowego na podstawie art. </w:t>
      </w:r>
      <w:r w:rsidR="00147281"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w:t>
      </w:r>
      <w:smartTag w:uri="urn:schemas-microsoft-com:office:smarttags" w:element="metricconverter">
        <w:smartTagPr>
          <w:attr w:name="ProductID" w:val="1, a"/>
        </w:smartTagPr>
        <w:r w:rsidRPr="009A3C86">
          <w:rPr>
            <w:rFonts w:ascii="Times New Roman" w:eastAsia="Times New Roman" w:hAnsi="Times New Roman"/>
            <w:sz w:val="24"/>
            <w:szCs w:val="24"/>
          </w:rPr>
          <w:t>1, a</w:t>
        </w:r>
      </w:smartTag>
      <w:r w:rsidRPr="009A3C86">
        <w:rPr>
          <w:rFonts w:ascii="Times New Roman" w:eastAsia="Times New Roman" w:hAnsi="Times New Roman"/>
          <w:sz w:val="24"/>
          <w:szCs w:val="24"/>
        </w:rPr>
        <w:t xml:space="preserve"> w konsekwencji wydanie decyzji z zastosowaniem art. 3</w:t>
      </w:r>
      <w:r w:rsidR="0088295D"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Organ podatkowy prowadzący kontrolę podatkową, kontrolę celno-skarbową lub </w:t>
      </w:r>
      <w:r w:rsidRPr="009A3C86">
        <w:rPr>
          <w:rFonts w:ascii="Times New Roman" w:eastAsia="Times New Roman" w:hAnsi="Times New Roman"/>
          <w:sz w:val="24"/>
          <w:szCs w:val="24"/>
        </w:rPr>
        <w:lastRenderedPageBreak/>
        <w:t>postępowanie podatkowe uwzględni skutki wynikające ze złożonej korekty deklaracji mającej na celu cofnięcie skutków unikania opodatkowania (</w:t>
      </w:r>
      <w:r w:rsidRPr="009A3C86">
        <w:rPr>
          <w:rFonts w:ascii="Times New Roman" w:eastAsia="Times New Roman" w:hAnsi="Times New Roman"/>
          <w:b/>
          <w:sz w:val="24"/>
          <w:szCs w:val="24"/>
        </w:rPr>
        <w:t>art. </w:t>
      </w:r>
      <w:r w:rsidR="00147281" w:rsidRPr="009A3C86">
        <w:rPr>
          <w:rFonts w:ascii="Times New Roman" w:eastAsia="Times New Roman" w:hAnsi="Times New Roman"/>
          <w:b/>
          <w:sz w:val="24"/>
          <w:szCs w:val="24"/>
        </w:rPr>
        <w:t>627</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jeżeli:</w:t>
      </w:r>
    </w:p>
    <w:p w:rsidR="00045CB9" w:rsidRPr="009A3C86" w:rsidRDefault="00045CB9" w:rsidP="00D72E74">
      <w:pPr>
        <w:numPr>
          <w:ilvl w:val="0"/>
          <w:numId w:val="22"/>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korekta deklaracji będzie odpowiadać treści decyzji (</w:t>
      </w:r>
      <w:r w:rsidRPr="009A3C86">
        <w:rPr>
          <w:rFonts w:ascii="Times New Roman" w:eastAsia="Times New Roman" w:hAnsi="Times New Roman"/>
          <w:b/>
          <w:sz w:val="24"/>
          <w:szCs w:val="24"/>
        </w:rPr>
        <w:t xml:space="preserve">art. </w:t>
      </w:r>
      <w:r w:rsidR="00147281" w:rsidRPr="009A3C86">
        <w:rPr>
          <w:rFonts w:ascii="Times New Roman" w:eastAsia="Times New Roman" w:hAnsi="Times New Roman"/>
          <w:b/>
          <w:sz w:val="24"/>
          <w:szCs w:val="24"/>
        </w:rPr>
        <w:t>62</w:t>
      </w:r>
      <w:r w:rsidR="001E2BC8" w:rsidRPr="009A3C86">
        <w:rPr>
          <w:rFonts w:ascii="Times New Roman" w:eastAsia="Times New Roman" w:hAnsi="Times New Roman"/>
          <w:b/>
          <w:sz w:val="24"/>
          <w:szCs w:val="24"/>
        </w:rPr>
        <w:t>6</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w:t>
      </w:r>
    </w:p>
    <w:p w:rsidR="00045CB9" w:rsidRPr="009A3C86" w:rsidRDefault="00045CB9" w:rsidP="00D72E74">
      <w:pPr>
        <w:numPr>
          <w:ilvl w:val="0"/>
          <w:numId w:val="22"/>
        </w:numPr>
        <w:spacing w:after="0" w:line="360" w:lineRule="auto"/>
        <w:ind w:left="1066" w:hanging="357"/>
        <w:jc w:val="both"/>
        <w:rPr>
          <w:rFonts w:ascii="Times New Roman" w:eastAsia="Times New Roman" w:hAnsi="Times New Roman"/>
          <w:sz w:val="24"/>
          <w:szCs w:val="24"/>
        </w:rPr>
      </w:pPr>
      <w:r w:rsidRPr="009A3C86">
        <w:rPr>
          <w:rFonts w:ascii="Times New Roman" w:eastAsia="Times New Roman" w:hAnsi="Times New Roman"/>
          <w:sz w:val="24"/>
          <w:szCs w:val="24"/>
        </w:rPr>
        <w:t>organ podatkowy na podstawie zgromadzonych dowodów nie dojdzie do przekonania, że zainteresowany nierzetelnie przedstawił stan faktyczny (</w:t>
      </w:r>
      <w:r w:rsidRPr="009A3C86">
        <w:rPr>
          <w:rFonts w:ascii="Times New Roman" w:eastAsia="Times New Roman" w:hAnsi="Times New Roman"/>
          <w:b/>
          <w:sz w:val="24"/>
          <w:szCs w:val="24"/>
        </w:rPr>
        <w:t>art. </w:t>
      </w:r>
      <w:r w:rsidR="00147281" w:rsidRPr="009A3C86">
        <w:rPr>
          <w:rFonts w:ascii="Times New Roman" w:eastAsia="Times New Roman" w:hAnsi="Times New Roman"/>
          <w:b/>
          <w:sz w:val="24"/>
          <w:szCs w:val="24"/>
        </w:rPr>
        <w:t>627</w:t>
      </w:r>
      <w:r w:rsidRPr="009A3C86">
        <w:rPr>
          <w:rFonts w:ascii="Times New Roman" w:eastAsia="Times New Roman" w:hAnsi="Times New Roman"/>
          <w:b/>
          <w:sz w:val="24"/>
          <w:szCs w:val="24"/>
        </w:rPr>
        <w:t xml:space="preserve"> </w:t>
      </w:r>
      <w:r w:rsidR="00147281" w:rsidRPr="009A3C86">
        <w:rPr>
          <w:rFonts w:ascii="Times New Roman" w:eastAsia="Times New Roman" w:hAnsi="Times New Roman"/>
          <w:b/>
          <w:sz w:val="24"/>
          <w:szCs w:val="24"/>
        </w:rPr>
        <w:t>§</w:t>
      </w:r>
      <w:r w:rsidR="00147281" w:rsidRPr="009A3C86">
        <w:rPr>
          <w:rFonts w:ascii="Times New Roman" w:eastAsia="Times New Roman" w:hAnsi="Times New Roman"/>
          <w:sz w:val="24"/>
          <w:szCs w:val="24"/>
        </w:rPr>
        <w:t> </w:t>
      </w:r>
      <w:r w:rsidRPr="009A3C86">
        <w:rPr>
          <w:rFonts w:ascii="Times New Roman" w:eastAsia="Times New Roman" w:hAnsi="Times New Roman"/>
          <w:b/>
          <w:sz w:val="24"/>
          <w:szCs w:val="24"/>
        </w:rPr>
        <w:t>2</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8. W </w:t>
      </w:r>
      <w:r w:rsidRPr="009A3C86">
        <w:rPr>
          <w:rFonts w:ascii="Times New Roman" w:eastAsia="Times New Roman" w:hAnsi="Times New Roman"/>
          <w:b/>
          <w:sz w:val="24"/>
          <w:szCs w:val="24"/>
        </w:rPr>
        <w:t xml:space="preserve">art. </w:t>
      </w:r>
      <w:r w:rsidR="00147281" w:rsidRPr="009A3C86">
        <w:rPr>
          <w:rFonts w:ascii="Times New Roman" w:eastAsia="Times New Roman" w:hAnsi="Times New Roman"/>
          <w:b/>
          <w:sz w:val="24"/>
          <w:szCs w:val="24"/>
        </w:rPr>
        <w:t>621</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ustalono zasady kalkulacji opłaty od wniosku o wydanie decyzji. Uzależnienie rozpatrzenia wniosku o wydanie decyzji od uiszczenia opłaty będzie dodatkowo wpływać prewencyjnie na podmioty unikające lub chcące unikać opodatkowania. Opłata będzie odpowiadać co do zasady:</w:t>
      </w:r>
    </w:p>
    <w:p w:rsidR="00045CB9" w:rsidRPr="009A3C86" w:rsidRDefault="00045CB9" w:rsidP="00EB630D">
      <w:pPr>
        <w:numPr>
          <w:ilvl w:val="0"/>
          <w:numId w:val="25"/>
        </w:numPr>
        <w:spacing w:after="0" w:line="360" w:lineRule="auto"/>
        <w:ind w:left="1134"/>
        <w:jc w:val="both"/>
        <w:rPr>
          <w:rFonts w:ascii="Times New Roman" w:eastAsia="Times New Roman" w:hAnsi="Times New Roman"/>
          <w:sz w:val="24"/>
          <w:szCs w:val="24"/>
        </w:rPr>
      </w:pPr>
      <w:r w:rsidRPr="009A3C86">
        <w:rPr>
          <w:rFonts w:ascii="Times New Roman" w:eastAsia="Times New Roman" w:hAnsi="Times New Roman"/>
          <w:sz w:val="24"/>
          <w:szCs w:val="24"/>
        </w:rPr>
        <w:t>0,2% kwoty korzyści podatkowej, o której mowa w art</w:t>
      </w:r>
      <w:r w:rsidRPr="009A3C86">
        <w:rPr>
          <w:rFonts w:ascii="Times New Roman" w:eastAsia="Times New Roman" w:hAnsi="Times New Roman"/>
          <w:b/>
          <w:sz w:val="24"/>
          <w:szCs w:val="24"/>
        </w:rPr>
        <w:t xml:space="preserve">. </w:t>
      </w:r>
      <w:r w:rsidR="00147281" w:rsidRPr="009A3C86">
        <w:rPr>
          <w:rFonts w:ascii="Times New Roman" w:eastAsia="Times New Roman" w:hAnsi="Times New Roman"/>
          <w:sz w:val="24"/>
          <w:szCs w:val="24"/>
        </w:rPr>
        <w:t>619</w:t>
      </w:r>
      <w:r w:rsidRPr="009A3C86">
        <w:rPr>
          <w:rFonts w:ascii="Times New Roman" w:eastAsia="Times New Roman" w:hAnsi="Times New Roman"/>
          <w:sz w:val="24"/>
          <w:szCs w:val="24"/>
        </w:rPr>
        <w:t xml:space="preserve"> § 1 pkt 1 lit. c – odnośnie korzyści podatkowej lub jej części powodującej powstanie lub zawyżenie straty podatkowej,</w:t>
      </w:r>
    </w:p>
    <w:p w:rsidR="00045CB9" w:rsidRPr="009A3C86" w:rsidRDefault="00045CB9" w:rsidP="00EB630D">
      <w:pPr>
        <w:numPr>
          <w:ilvl w:val="0"/>
          <w:numId w:val="25"/>
        </w:numPr>
        <w:spacing w:after="0" w:line="360" w:lineRule="auto"/>
        <w:ind w:left="1134"/>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kwoty korzyści podatkowej, o której mowa w art. </w:t>
      </w:r>
      <w:r w:rsidR="00147281" w:rsidRPr="009A3C86">
        <w:rPr>
          <w:rFonts w:ascii="Times New Roman" w:eastAsia="Times New Roman" w:hAnsi="Times New Roman"/>
          <w:sz w:val="24"/>
          <w:szCs w:val="24"/>
        </w:rPr>
        <w:t>619</w:t>
      </w:r>
      <w:r w:rsidRPr="009A3C86">
        <w:rPr>
          <w:rFonts w:ascii="Times New Roman" w:eastAsia="Times New Roman" w:hAnsi="Times New Roman"/>
          <w:sz w:val="24"/>
          <w:szCs w:val="24"/>
        </w:rPr>
        <w:t xml:space="preserve"> § 1 pkt 1 lit c – w pozostałych przypadkach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Opłata wspomniana powyżej nie będzie wynosić jednak mniej niż 1</w:t>
      </w:r>
      <w:r w:rsidR="00EB630D"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000 zł i nie więcej niż 15 000 zł.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Od zasady zawartej w § 1 wprowadzono kilka wyjątków. Pierwszy z nich będzie umożliwiał obniżenie opłaty, jeżeli czynność zawarta we wniosku była wcześniej oceniona przez Szefa KAS w odmowie wydania opinii zabezpieczającej, a zatem część jej oceny została już dokonana przez administrację skarbową. Opłata podstawowa zostanie w takim wypadku obniżona o opłatę uiszczoną w związku z postępowaniem o wydanie opinii zabezpieczającej, zaś opłatę wynikową obliczoną na podstawie </w:t>
      </w:r>
      <w:r w:rsidRPr="009A3C86">
        <w:rPr>
          <w:rFonts w:ascii="Times New Roman" w:eastAsia="Times New Roman" w:hAnsi="Times New Roman"/>
          <w:b/>
          <w:sz w:val="24"/>
          <w:szCs w:val="24"/>
        </w:rPr>
        <w:t>§ 3</w:t>
      </w:r>
      <w:r w:rsidRPr="009A3C86">
        <w:rPr>
          <w:rFonts w:ascii="Times New Roman" w:eastAsia="Times New Roman" w:hAnsi="Times New Roman"/>
          <w:sz w:val="24"/>
          <w:szCs w:val="24"/>
        </w:rPr>
        <w:t xml:space="preserve"> będzie stanowić 75% tak określonego wyniku pośredniego. Taka konstrukcja wyliczenia opłaty wskazuje, że naturalną konsekwencją otrzymania przez zainteresowanego odmowy wydania opinii zabezpieczającej może być złożenie wniosku o wydanie decyzji.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w:t>
      </w:r>
      <w:r w:rsidRPr="009A3C86">
        <w:rPr>
          <w:rFonts w:ascii="Times New Roman" w:eastAsia="Times New Roman" w:hAnsi="Times New Roman"/>
          <w:b/>
          <w:sz w:val="24"/>
          <w:szCs w:val="24"/>
        </w:rPr>
        <w:t>§ 4</w:t>
      </w:r>
      <w:r w:rsidRPr="009A3C86">
        <w:rPr>
          <w:rFonts w:ascii="Times New Roman" w:eastAsia="Times New Roman" w:hAnsi="Times New Roman"/>
          <w:sz w:val="24"/>
          <w:szCs w:val="24"/>
        </w:rPr>
        <w:t xml:space="preserve"> opłata podlega zwrotowi w przypadku:</w:t>
      </w:r>
    </w:p>
    <w:p w:rsidR="00045CB9" w:rsidRPr="009A3C86" w:rsidRDefault="00045CB9" w:rsidP="00D72E74">
      <w:pPr>
        <w:numPr>
          <w:ilvl w:val="0"/>
          <w:numId w:val="29"/>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wycofania wniosku</w:t>
      </w:r>
    </w:p>
    <w:p w:rsidR="00045CB9" w:rsidRPr="009A3C86" w:rsidRDefault="00045CB9" w:rsidP="00D72E74">
      <w:pPr>
        <w:numPr>
          <w:ilvl w:val="0"/>
          <w:numId w:val="29"/>
        </w:numPr>
        <w:spacing w:after="0" w:line="360" w:lineRule="auto"/>
        <w:ind w:left="1208" w:hanging="357"/>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uiszczenia jej w kwocie wyższej niż należna – w odpowiedniej części.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Opłatę należy uiścić w terminie 7 dni od dnia złożenia wniosku. Zwrot nienależnie uiszczonej opłaty następuje w terminie 7 dni od dnia zakończenia postępowania w sprawie wydania decyzji.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6</w:t>
      </w:r>
      <w:r w:rsidRPr="009A3C86">
        <w:rPr>
          <w:rFonts w:ascii="Times New Roman" w:eastAsia="Times New Roman" w:hAnsi="Times New Roman"/>
          <w:sz w:val="24"/>
          <w:szCs w:val="24"/>
        </w:rPr>
        <w:t xml:space="preserve"> omawianego artykułu zawarto uprawnienie dla Szefa KAS do wydania postanowienia w przedmiocie ustalenia opłaty uzupełniającej od wniosku, jeżeli w ocenie organu podatkowego </w:t>
      </w:r>
      <w:r w:rsidRPr="009A3C86">
        <w:rPr>
          <w:rFonts w:ascii="Times New Roman" w:eastAsia="Times New Roman" w:hAnsi="Times New Roman"/>
          <w:sz w:val="24"/>
          <w:szCs w:val="24"/>
        </w:rPr>
        <w:lastRenderedPageBreak/>
        <w:t>zainteresowany nieprawidłowo obliczył, a w konsekwencji zaniżył we wniosku o wydanie decyzji wartość uzyskanej korzyści podatkowej z tytułu czynności. Postanowienie w tym zakresie nie jest zaskarżalne, ponieważ zakres postanowienia immanentnie związany jest z rozstrzygnięciem zawartym w decyzji. Istotne jest jednak to, że organ podatkowy zwróci na podstawie § 4 pkt 2 omawianego artykułu tę część opłaty, która w wyniku zawyżenia przez zainteresowanego korzyści podatkowej, została uiszczona nienależnie.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przypadku przyjęcia przez organ podatkowy w decyzji, że korzyść podatkowa wynika z zastosowania przepisu prawa podatkowego, o którym mowa w art. 3</w:t>
      </w:r>
      <w:r w:rsidR="002D71C0" w:rsidRPr="009A3C86">
        <w:rPr>
          <w:rFonts w:ascii="Times New Roman" w:eastAsia="Times New Roman" w:hAnsi="Times New Roman"/>
          <w:sz w:val="24"/>
          <w:szCs w:val="24"/>
        </w:rPr>
        <w:t>3</w:t>
      </w:r>
      <w:r w:rsidRPr="009A3C86">
        <w:rPr>
          <w:rFonts w:ascii="Times New Roman" w:eastAsia="Times New Roman" w:hAnsi="Times New Roman"/>
          <w:sz w:val="24"/>
          <w:szCs w:val="24"/>
        </w:rPr>
        <w:t> § 6, zwrócone zostanie 60% uiszczonej opłaty jeżeli zainteresowany złoży korektę deklaracji lub informację zastępczą odpowiadającą treści otrzymanej decyzji oraz wpłaci na rachunek właściwego organu podatkowego kwotę wynikającą ze złożonej korekty deklaracji lub informacji zastępczej wraz z odsetkami za zwłokę. W tej bowiem sytuacji rysuje się wyraźna przestrzeń do ulgowego traktowania zainteresowanych faktycznie wykorzystujących uprawnienia wynikające z decyzji, zwłaszcza gdy w toku postępowania nie było konieczności określania czynności odpowiedniej</w:t>
      </w:r>
      <w:r w:rsidR="00580213" w:rsidRPr="009A3C86">
        <w:rPr>
          <w:rFonts w:ascii="Times New Roman" w:eastAsia="Times New Roman" w:hAnsi="Times New Roman"/>
          <w:sz w:val="24"/>
          <w:szCs w:val="24"/>
        </w:rPr>
        <w:t xml:space="preserve"> (</w:t>
      </w:r>
      <w:r w:rsidR="00580213" w:rsidRPr="009A3C86">
        <w:rPr>
          <w:rFonts w:ascii="Times New Roman" w:eastAsia="Times New Roman" w:hAnsi="Times New Roman"/>
          <w:b/>
          <w:sz w:val="24"/>
          <w:szCs w:val="24"/>
        </w:rPr>
        <w:t>§ 8</w:t>
      </w:r>
      <w:r w:rsidR="00580213" w:rsidRPr="009A3C86">
        <w:rPr>
          <w:rFonts w:ascii="Times New Roman" w:eastAsia="Times New Roman" w:hAnsi="Times New Roman"/>
          <w:sz w:val="24"/>
          <w:szCs w:val="24"/>
        </w:rPr>
        <w:t>)</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9. W </w:t>
      </w:r>
      <w:r w:rsidRPr="009A3C86">
        <w:rPr>
          <w:rFonts w:ascii="Times New Roman" w:eastAsia="Times New Roman" w:hAnsi="Times New Roman"/>
          <w:b/>
          <w:sz w:val="24"/>
          <w:szCs w:val="24"/>
        </w:rPr>
        <w:t xml:space="preserve">art. </w:t>
      </w:r>
      <w:r w:rsidR="0093045C" w:rsidRPr="009A3C86">
        <w:rPr>
          <w:rFonts w:ascii="Times New Roman" w:eastAsia="Times New Roman" w:hAnsi="Times New Roman"/>
          <w:b/>
          <w:sz w:val="24"/>
          <w:szCs w:val="24"/>
        </w:rPr>
        <w:t>622</w:t>
      </w:r>
      <w:r w:rsidRPr="009A3C86">
        <w:rPr>
          <w:rFonts w:ascii="Times New Roman" w:eastAsia="Times New Roman" w:hAnsi="Times New Roman"/>
          <w:b/>
          <w:sz w:val="24"/>
          <w:szCs w:val="24"/>
        </w:rPr>
        <w:t xml:space="preserve"> </w:t>
      </w:r>
      <w:r w:rsidRPr="009A3C86">
        <w:rPr>
          <w:rFonts w:ascii="Times New Roman" w:eastAsia="Times New Roman" w:hAnsi="Times New Roman"/>
          <w:sz w:val="24"/>
          <w:szCs w:val="24"/>
        </w:rPr>
        <w:t>zawarto „miękkie” uprawnienia organu podatkowego prowadzącego postępowanie w zakresie wydania decyzji określającej warunki cofnięcia skutków unikania opodatkowania. Wskazują one, że w postępowaniu tym strony powinny dążyć do porozumienia w zakresie jego istotnych punktów.</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Jeżeli w toku postępowania organ podatkowy uzna, że zainteresowany nieprawidłowo przedstawił we wniosku elementy wniosku, o których mowa w art. </w:t>
      </w:r>
      <w:r w:rsidR="0093045C" w:rsidRPr="009A3C86">
        <w:rPr>
          <w:rFonts w:ascii="Times New Roman" w:eastAsia="Times New Roman" w:hAnsi="Times New Roman"/>
          <w:sz w:val="24"/>
          <w:szCs w:val="24"/>
        </w:rPr>
        <w:t>619</w:t>
      </w:r>
      <w:r w:rsidRPr="009A3C86">
        <w:rPr>
          <w:rFonts w:ascii="Times New Roman" w:eastAsia="Times New Roman" w:hAnsi="Times New Roman"/>
          <w:sz w:val="24"/>
          <w:szCs w:val="24"/>
        </w:rPr>
        <w:t xml:space="preserve"> § 1 pkt 2</w:t>
      </w:r>
      <w:r w:rsidR="00B458AA" w:rsidRPr="009A3C86">
        <w:rPr>
          <w:rFonts w:ascii="Times New Roman" w:eastAsia="Times New Roman" w:hAnsi="Times New Roman"/>
          <w:sz w:val="24"/>
          <w:szCs w:val="24"/>
        </w:rPr>
        <w:t>–</w:t>
      </w:r>
      <w:r w:rsidRPr="009A3C86">
        <w:rPr>
          <w:rFonts w:ascii="Times New Roman" w:eastAsia="Times New Roman" w:hAnsi="Times New Roman"/>
          <w:sz w:val="24"/>
          <w:szCs w:val="24"/>
        </w:rPr>
        <w:t>4, tj. m.in. nieprawidłowo przyjął czynność odpowiednią lub wskazał, że osiągnięcie korzyści podatkowej było jedynym celem dokonania czynności prowadzącej do unikania opodatkowania, lub nieprawidłowo określił skutki podatkowe jakie mogłyby zaistnieć gdyby dokonano przyjętej czynności odpowiedniej lub stanu rzeczy, jaki zaistniałby, gdyby czynność prowadząca do unikania opodatkowania nie została dokonana, Szef KAS w drodze postanowienia zawiadomi o tym zainteresowanego. Zawiadomienie będzie zawierać uzasadnienie faktyczne i prawne (</w:t>
      </w:r>
      <w:r w:rsidRPr="009A3C86">
        <w:rPr>
          <w:rFonts w:ascii="Times New Roman" w:eastAsia="Times New Roman" w:hAnsi="Times New Roman"/>
          <w:b/>
          <w:sz w:val="24"/>
          <w:szCs w:val="24"/>
        </w:rPr>
        <w:t xml:space="preserve">art. </w:t>
      </w:r>
      <w:r w:rsidR="00B458AA" w:rsidRPr="009A3C86">
        <w:rPr>
          <w:rFonts w:ascii="Times New Roman" w:eastAsia="Times New Roman" w:hAnsi="Times New Roman"/>
          <w:b/>
          <w:sz w:val="24"/>
          <w:szCs w:val="24"/>
        </w:rPr>
        <w:t>623</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W wyniku otrzymania tego zawiadomienia, zainteresowany będzie mógł w terminie 14 dni przedstawić dodatkowe wyjaśnienia i dokumenty lub, niezależnie od tego, złożyć wniosek o zasięgnięcie przez Szefa KAS opinii Rady co do kwestii spornych uwzględnionych w treści zawiadomienia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623</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Możliwość udziału w postępowaniu organu eksperckiego, takiego jak Rada, powinien przyczynić się do zwiększenia pewności zainteresowanego do rzetelności warunków zawartych w decyzji i pozytywnie wpłynąć na ich uznanie.</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Szef KAS uwzględni wniosek zainteresowanego i zwróci się o opinię Rady jedynie wtedy, jeżeli w wyniku otrzymania dodatkowych informacji i dokumentów kwestie określone w treści zawiadomienia nadal pozostaną sporne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623</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Zgodnie z treścią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623</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Rada powinna w pierwszej kolejności ocenić zasadność przedstawionych jej stanowisk zainteresowanego oraz Szefa KAS. W przypadku odrzucenia każdego z tych stanowisk, Rada przedstawi własną ocenę kwestii poddanych pod jej opinię uwzględniając jednak szczególne zasady postępowania określone w art. </w:t>
      </w:r>
      <w:r w:rsidR="002D3268" w:rsidRPr="009A3C86">
        <w:rPr>
          <w:rFonts w:ascii="Times New Roman" w:eastAsia="Times New Roman" w:hAnsi="Times New Roman"/>
          <w:sz w:val="24"/>
          <w:szCs w:val="24"/>
        </w:rPr>
        <w:t>620</w:t>
      </w:r>
      <w:r w:rsidRPr="009A3C86">
        <w:rPr>
          <w:rFonts w:ascii="Times New Roman" w:eastAsia="Times New Roman" w:hAnsi="Times New Roman"/>
          <w:sz w:val="24"/>
          <w:szCs w:val="24"/>
        </w:rPr>
        <w:t> § 2. Choć opinie Rady nie będą wiążące dla organu podatkowego, to mogą one stanowić pole do zbliżenia stanowisk organu podatkowego oraz zainteresowanego, w szczególności powzięcia przez Radę własnej opinii.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10. W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624</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zawarto szczególne i autonomiczne uprawnienie do wydania decyzji odmawiającej określenia warunków cofnięcia unikania opodatkowania z uwagi na brak korzyści podatkowej. Regulacja ta dotyczy sytuacji, w których czynność dokonana w celu osiągnięcia korzyści podatkowej sprzecznej z celem lub przedmiotem prawa podatkowego nie skutkowała, wbrew stanowisku zainteresowanego, jej osiągnięciem w kontekście przepisów art. 3</w:t>
      </w:r>
      <w:r w:rsidR="002D71C0"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Możliwość ta stanowi wyraz realizacji zasady zawartej w art. 20. Rozstrzygnięcie wydane na podstawie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624</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będzie uwzględniane przez organy podatkowe w toku kontroli podatkowej, kontroli celno-skarbowej oraz postępowania podatkowego, co wykluczy wydanie decyzji na podstawie art. 3</w:t>
      </w:r>
      <w:r w:rsidR="002D71C0"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wobec czynności przedstawionej we wniosku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627</w:t>
      </w:r>
      <w:r w:rsidR="00C96DA2" w:rsidRPr="009A3C86">
        <w:rPr>
          <w:rFonts w:ascii="Times New Roman" w:eastAsia="Times New Roman" w:hAnsi="Times New Roman"/>
          <w:b/>
          <w:sz w:val="24"/>
          <w:szCs w:val="24"/>
        </w:rPr>
        <w:t xml:space="preserve"> </w:t>
      </w:r>
      <w:r w:rsidRPr="009A3C86">
        <w:rPr>
          <w:rFonts w:ascii="Times New Roman" w:eastAsia="Times New Roman" w:hAnsi="Times New Roman"/>
          <w:b/>
          <w:sz w:val="24"/>
          <w:szCs w:val="24"/>
        </w:rPr>
        <w:t>§ 1</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Szef KAS będzie mógł ponadto odmówić wydania decyzji, jeżeli zastosowanie innych przepisów prawa podatkowego pozwala na przeciwdziałanie unikaniu opodatkowania, co odpowiada regulacji proponowanej w art. </w:t>
      </w:r>
      <w:r w:rsidR="002D3268" w:rsidRPr="009A3C86">
        <w:rPr>
          <w:rFonts w:ascii="Times New Roman" w:eastAsia="Times New Roman" w:hAnsi="Times New Roman"/>
          <w:sz w:val="24"/>
          <w:szCs w:val="24"/>
        </w:rPr>
        <w:t>594</w:t>
      </w:r>
      <w:r w:rsidRPr="009A3C86">
        <w:rPr>
          <w:rFonts w:ascii="Times New Roman" w:eastAsia="Times New Roman" w:hAnsi="Times New Roman"/>
          <w:sz w:val="24"/>
          <w:szCs w:val="24"/>
        </w:rPr>
        <w:t xml:space="preserve"> § 1. Także w tym przypadku otrzymanie takiej decyzji wykluczy możliwość wydania decyzji z zastosowaniem art. 3</w:t>
      </w:r>
      <w:r w:rsidR="002D71C0" w:rsidRPr="009A3C86">
        <w:rPr>
          <w:rFonts w:ascii="Times New Roman" w:eastAsia="Times New Roman" w:hAnsi="Times New Roman"/>
          <w:sz w:val="24"/>
          <w:szCs w:val="24"/>
        </w:rPr>
        <w:t>3</w:t>
      </w:r>
      <w:r w:rsidRPr="009A3C86">
        <w:rPr>
          <w:rFonts w:ascii="Times New Roman" w:eastAsia="Times New Roman" w:hAnsi="Times New Roman"/>
          <w:sz w:val="24"/>
          <w:szCs w:val="24"/>
        </w:rPr>
        <w:t>.</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11. Przepis </w:t>
      </w:r>
      <w:r w:rsidRPr="009A3C86">
        <w:rPr>
          <w:rFonts w:ascii="Times New Roman" w:eastAsia="Times New Roman" w:hAnsi="Times New Roman"/>
          <w:b/>
          <w:sz w:val="24"/>
          <w:szCs w:val="24"/>
        </w:rPr>
        <w:t xml:space="preserve">art. </w:t>
      </w:r>
      <w:r w:rsidR="002D3268" w:rsidRPr="009A3C86">
        <w:rPr>
          <w:rFonts w:ascii="Times New Roman" w:eastAsia="Times New Roman" w:hAnsi="Times New Roman"/>
          <w:b/>
          <w:sz w:val="24"/>
          <w:szCs w:val="24"/>
        </w:rPr>
        <w:t>625</w:t>
      </w:r>
      <w:r w:rsidRPr="009A3C86">
        <w:rPr>
          <w:rFonts w:ascii="Times New Roman" w:eastAsia="Times New Roman" w:hAnsi="Times New Roman"/>
          <w:b/>
          <w:sz w:val="24"/>
          <w:szCs w:val="24"/>
        </w:rPr>
        <w:t xml:space="preserve"> § 1</w:t>
      </w:r>
      <w:r w:rsidRPr="009A3C86">
        <w:rPr>
          <w:rFonts w:ascii="Times New Roman" w:eastAsia="Times New Roman" w:hAnsi="Times New Roman"/>
          <w:sz w:val="24"/>
          <w:szCs w:val="24"/>
        </w:rPr>
        <w:t xml:space="preserve"> określa elementy konieczne decyzji określającej warunki cofnięcia skutków unikania opodatkowania:</w:t>
      </w:r>
    </w:p>
    <w:p w:rsidR="00045CB9" w:rsidRPr="009A3C86" w:rsidRDefault="00045CB9" w:rsidP="00D72E74">
      <w:pPr>
        <w:numPr>
          <w:ilvl w:val="0"/>
          <w:numId w:val="23"/>
        </w:numPr>
        <w:spacing w:after="0" w:line="360" w:lineRule="auto"/>
        <w:ind w:left="1069"/>
        <w:jc w:val="both"/>
        <w:rPr>
          <w:rFonts w:ascii="Times New Roman" w:eastAsia="Times New Roman" w:hAnsi="Times New Roman"/>
          <w:sz w:val="24"/>
          <w:szCs w:val="24"/>
        </w:rPr>
      </w:pPr>
      <w:r w:rsidRPr="009A3C86">
        <w:rPr>
          <w:rFonts w:ascii="Times New Roman" w:eastAsia="Times New Roman" w:hAnsi="Times New Roman"/>
          <w:sz w:val="24"/>
          <w:szCs w:val="24"/>
        </w:rPr>
        <w:t>wynikający z przedstawionego stanu faktycznego wyczerpujący opis czynności prowadzącej do unikania opodatkowania wraz ze wskazaniem podmiotów w niej uczestniczących;</w:t>
      </w:r>
    </w:p>
    <w:p w:rsidR="00045CB9" w:rsidRPr="009A3C86" w:rsidRDefault="00045CB9" w:rsidP="00D72E74">
      <w:pPr>
        <w:numPr>
          <w:ilvl w:val="0"/>
          <w:numId w:val="23"/>
        </w:numPr>
        <w:spacing w:after="0" w:line="360" w:lineRule="auto"/>
        <w:ind w:left="1069"/>
        <w:jc w:val="both"/>
        <w:rPr>
          <w:rFonts w:ascii="Times New Roman" w:eastAsia="Times New Roman" w:hAnsi="Times New Roman"/>
          <w:sz w:val="24"/>
          <w:szCs w:val="24"/>
        </w:rPr>
      </w:pPr>
      <w:r w:rsidRPr="009A3C86">
        <w:rPr>
          <w:rFonts w:ascii="Times New Roman" w:eastAsia="Times New Roman" w:hAnsi="Times New Roman"/>
          <w:sz w:val="24"/>
          <w:szCs w:val="24"/>
        </w:rPr>
        <w:t>rozstrzygnięcie co do:</w:t>
      </w:r>
    </w:p>
    <w:p w:rsidR="00045CB9" w:rsidRPr="009A3C86" w:rsidRDefault="00045CB9" w:rsidP="00D72E74">
      <w:pPr>
        <w:numPr>
          <w:ilvl w:val="1"/>
          <w:numId w:val="24"/>
        </w:numPr>
        <w:spacing w:after="0" w:line="360" w:lineRule="auto"/>
        <w:ind w:left="1789"/>
        <w:jc w:val="both"/>
        <w:rPr>
          <w:rFonts w:ascii="Times New Roman" w:eastAsia="Times New Roman" w:hAnsi="Times New Roman"/>
          <w:sz w:val="24"/>
          <w:szCs w:val="24"/>
        </w:rPr>
      </w:pPr>
      <w:r w:rsidRPr="009A3C86">
        <w:rPr>
          <w:rFonts w:ascii="Times New Roman" w:eastAsia="Times New Roman" w:hAnsi="Times New Roman"/>
          <w:sz w:val="24"/>
          <w:szCs w:val="24"/>
        </w:rPr>
        <w:t>określenia skutków podatkowych będących rezultatem czynności określonej w pkt 1, w tym korzyści podatkowej, o której mowa w art. 3</w:t>
      </w:r>
      <w:r w:rsidR="00E6400A"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w:t>
      </w:r>
      <w:r w:rsidR="002D3268" w:rsidRPr="009A3C86">
        <w:rPr>
          <w:rFonts w:ascii="Times New Roman" w:eastAsia="Times New Roman" w:hAnsi="Times New Roman"/>
          <w:sz w:val="24"/>
          <w:szCs w:val="24"/>
        </w:rPr>
        <w:t>§ </w:t>
      </w:r>
      <w:r w:rsidRPr="009A3C86">
        <w:rPr>
          <w:rFonts w:ascii="Times New Roman" w:eastAsia="Times New Roman" w:hAnsi="Times New Roman"/>
          <w:sz w:val="24"/>
          <w:szCs w:val="24"/>
        </w:rPr>
        <w:t>1;</w:t>
      </w:r>
    </w:p>
    <w:p w:rsidR="00045CB9" w:rsidRPr="009A3C86" w:rsidRDefault="00045CB9" w:rsidP="00D72E74">
      <w:pPr>
        <w:numPr>
          <w:ilvl w:val="1"/>
          <w:numId w:val="24"/>
        </w:numPr>
        <w:spacing w:after="0" w:line="360" w:lineRule="auto"/>
        <w:ind w:left="1789"/>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prawidłowości przyjęcia czynności odpowiedniej, uznania, że osiągnięcie korzyści podatkowej było jedynym celem dokonania czynności prowadzącej </w:t>
      </w:r>
      <w:r w:rsidRPr="009A3C86">
        <w:rPr>
          <w:rFonts w:ascii="Times New Roman" w:eastAsia="Times New Roman" w:hAnsi="Times New Roman"/>
          <w:sz w:val="24"/>
          <w:szCs w:val="24"/>
        </w:rPr>
        <w:lastRenderedPageBreak/>
        <w:t>do unikania opodatkowania, albo wskazania określonego w art. 3</w:t>
      </w:r>
      <w:r w:rsidR="00E6400A"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 6 przepisu ustawy podatkowej, który nie powinien mieć zastosowania;</w:t>
      </w:r>
    </w:p>
    <w:p w:rsidR="00045CB9" w:rsidRPr="009A3C86" w:rsidRDefault="00045CB9" w:rsidP="00D72E74">
      <w:pPr>
        <w:numPr>
          <w:ilvl w:val="1"/>
          <w:numId w:val="24"/>
        </w:numPr>
        <w:spacing w:after="0" w:line="360" w:lineRule="auto"/>
        <w:ind w:left="1789"/>
        <w:jc w:val="both"/>
        <w:rPr>
          <w:rFonts w:ascii="Times New Roman" w:eastAsia="Times New Roman" w:hAnsi="Times New Roman"/>
          <w:sz w:val="24"/>
          <w:szCs w:val="24"/>
        </w:rPr>
      </w:pPr>
      <w:r w:rsidRPr="009A3C86">
        <w:rPr>
          <w:rFonts w:ascii="Times New Roman" w:eastAsia="Times New Roman" w:hAnsi="Times New Roman"/>
          <w:sz w:val="24"/>
          <w:szCs w:val="24"/>
        </w:rPr>
        <w:t>wskazani</w:t>
      </w:r>
      <w:r w:rsidR="002D3268" w:rsidRPr="009A3C86">
        <w:rPr>
          <w:rFonts w:ascii="Times New Roman" w:eastAsia="Times New Roman" w:hAnsi="Times New Roman"/>
          <w:sz w:val="24"/>
          <w:szCs w:val="24"/>
        </w:rPr>
        <w:t>a</w:t>
      </w:r>
      <w:r w:rsidRPr="009A3C86">
        <w:rPr>
          <w:rFonts w:ascii="Times New Roman" w:eastAsia="Times New Roman" w:hAnsi="Times New Roman"/>
          <w:sz w:val="24"/>
          <w:szCs w:val="24"/>
        </w:rPr>
        <w:t xml:space="preserve"> skutków podatkowych jakie mogłyby zaistnieć, gdyby dokonano przyjętej czynności odpowiedniej, stanu rzeczy, jaki zaistniałby, gdyby czynność prowadząca do unikania opodatkowania nie została dokonana, albo stanu prawnego, jaki zaistniałby, gdyby wskazany przepis ustawy podatkowej nie miał zastosowania;</w:t>
      </w:r>
    </w:p>
    <w:p w:rsidR="00045CB9" w:rsidRPr="009A3C86" w:rsidRDefault="00045CB9" w:rsidP="00D72E74">
      <w:pPr>
        <w:numPr>
          <w:ilvl w:val="0"/>
          <w:numId w:val="23"/>
        </w:numPr>
        <w:spacing w:after="0" w:line="360" w:lineRule="auto"/>
        <w:ind w:left="1069"/>
        <w:jc w:val="both"/>
        <w:rPr>
          <w:rFonts w:ascii="Times New Roman" w:eastAsia="Times New Roman" w:hAnsi="Times New Roman"/>
          <w:sz w:val="24"/>
          <w:szCs w:val="24"/>
        </w:rPr>
      </w:pPr>
      <w:r w:rsidRPr="009A3C86">
        <w:rPr>
          <w:rFonts w:ascii="Times New Roman" w:eastAsia="Times New Roman" w:hAnsi="Times New Roman"/>
          <w:sz w:val="24"/>
          <w:szCs w:val="24"/>
        </w:rPr>
        <w:t>określenie, w jaki sposób zainteresowany może cofnąć skutki unikania opodatkowania, przy uwzględnieniu elementów wymienionych w pkt 2 lit. b i c.</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Element przedstawiony w pkt 3 stanowi wynik końcowy postępowania w przedmiocie określenia warunków cofnięcia unikania opodatkowania.</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w:t>
      </w:r>
      <w:r w:rsidRPr="009A3C86">
        <w:rPr>
          <w:rFonts w:ascii="Times New Roman" w:eastAsia="Times New Roman" w:hAnsi="Times New Roman"/>
          <w:b/>
          <w:sz w:val="24"/>
          <w:szCs w:val="24"/>
        </w:rPr>
        <w:t xml:space="preserve">art. </w:t>
      </w:r>
      <w:r w:rsidR="0076277C" w:rsidRPr="009A3C86">
        <w:rPr>
          <w:rFonts w:ascii="Times New Roman" w:eastAsia="Times New Roman" w:hAnsi="Times New Roman"/>
          <w:b/>
          <w:sz w:val="24"/>
          <w:szCs w:val="24"/>
        </w:rPr>
        <w:t>625</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kształtuje władcze uprawnienie Szefa KAS do samodzielnego określenia konsekwencji dokonania czynności skutkującej unikaniem opodatkowania. Uprawnienie to powinno być stosowane w szczególności wtedy, gdy w toku postępowania nie uda się rozwikłać istniejących pomiędzy zainteresowanym a organem podatkowym kwestii spornych.</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12. Decyzja może także kształtować prawa innych zainteresowanych podmiotów, które uczestniczyły w czynności prowadzącej do unikania opodatkowania, chyba że wydana decyzja dotyczy określenia skutków podatkowych jakie zaistniałaby, gdyby przepis ustawy podatkowej nie miał zastosowania (</w:t>
      </w:r>
      <w:r w:rsidRPr="009A3C86">
        <w:rPr>
          <w:rFonts w:ascii="Times New Roman" w:eastAsia="Times New Roman" w:hAnsi="Times New Roman"/>
          <w:b/>
          <w:sz w:val="24"/>
          <w:szCs w:val="24"/>
        </w:rPr>
        <w:t xml:space="preserve">art. </w:t>
      </w:r>
      <w:r w:rsidR="00D14787" w:rsidRPr="009A3C86">
        <w:rPr>
          <w:rFonts w:ascii="Times New Roman" w:eastAsia="Times New Roman" w:hAnsi="Times New Roman"/>
          <w:b/>
          <w:sz w:val="24"/>
          <w:szCs w:val="24"/>
        </w:rPr>
        <w:t>625</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Relacja przepisów </w:t>
      </w:r>
      <w:r w:rsidRPr="009A3C86">
        <w:rPr>
          <w:rFonts w:ascii="Times New Roman" w:eastAsia="Times New Roman" w:hAnsi="Times New Roman"/>
          <w:b/>
          <w:sz w:val="24"/>
          <w:szCs w:val="24"/>
        </w:rPr>
        <w:t xml:space="preserve">art. </w:t>
      </w:r>
      <w:r w:rsidR="00D14787" w:rsidRPr="009A3C86">
        <w:rPr>
          <w:rFonts w:ascii="Times New Roman" w:eastAsia="Times New Roman" w:hAnsi="Times New Roman"/>
          <w:b/>
          <w:sz w:val="24"/>
          <w:szCs w:val="24"/>
        </w:rPr>
        <w:t>625</w:t>
      </w:r>
      <w:r w:rsidRPr="009A3C86">
        <w:rPr>
          <w:rFonts w:ascii="Times New Roman" w:eastAsia="Times New Roman" w:hAnsi="Times New Roman"/>
          <w:b/>
          <w:sz w:val="24"/>
          <w:szCs w:val="24"/>
        </w:rPr>
        <w:t xml:space="preserve"> § 3 </w:t>
      </w:r>
      <w:r w:rsidRPr="009A3C86">
        <w:rPr>
          <w:rFonts w:ascii="Times New Roman" w:eastAsia="Times New Roman" w:hAnsi="Times New Roman"/>
          <w:sz w:val="24"/>
          <w:szCs w:val="24"/>
        </w:rPr>
        <w:t xml:space="preserve">do </w:t>
      </w:r>
      <w:r w:rsidRPr="009A3C86">
        <w:rPr>
          <w:rFonts w:ascii="Times New Roman" w:eastAsia="Times New Roman" w:hAnsi="Times New Roman"/>
          <w:b/>
          <w:sz w:val="24"/>
          <w:szCs w:val="24"/>
        </w:rPr>
        <w:t xml:space="preserve">art. </w:t>
      </w:r>
      <w:r w:rsidR="00D14787" w:rsidRPr="009A3C86">
        <w:rPr>
          <w:rFonts w:ascii="Times New Roman" w:eastAsia="Times New Roman" w:hAnsi="Times New Roman"/>
          <w:b/>
          <w:sz w:val="24"/>
          <w:szCs w:val="24"/>
        </w:rPr>
        <w:t>628</w:t>
      </w:r>
      <w:r w:rsidRPr="009A3C86">
        <w:rPr>
          <w:rFonts w:ascii="Times New Roman" w:eastAsia="Times New Roman" w:hAnsi="Times New Roman"/>
          <w:sz w:val="24"/>
          <w:szCs w:val="24"/>
        </w:rPr>
        <w:t xml:space="preserve"> stanowi analogię relacji treści decyzji wydanej na podstawie art. 3</w:t>
      </w:r>
      <w:r w:rsidR="00E6400A"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do art. </w:t>
      </w:r>
      <w:r w:rsidR="00D14787" w:rsidRPr="009A3C86">
        <w:rPr>
          <w:rFonts w:ascii="Times New Roman" w:eastAsia="Times New Roman" w:hAnsi="Times New Roman"/>
          <w:sz w:val="24"/>
          <w:szCs w:val="24"/>
        </w:rPr>
        <w:t>601</w:t>
      </w:r>
      <w:r w:rsidRPr="009A3C86">
        <w:rPr>
          <w:rFonts w:ascii="Times New Roman" w:eastAsia="Times New Roman" w:hAnsi="Times New Roman"/>
          <w:sz w:val="24"/>
          <w:szCs w:val="24"/>
        </w:rPr>
        <w:t>. Decyzja określająca warunki cofnięcia skutków unikania opodatkowania otwiera zainteresowanemu podmiotowi możliwość cofnięcia skutków unikania opodatkowania w terminie 14 dni od jej doręczenia poprzez złożenie korekty deklaracji lub informacji zastępczej (</w:t>
      </w:r>
      <w:r w:rsidRPr="009A3C86">
        <w:rPr>
          <w:rFonts w:ascii="Times New Roman" w:eastAsia="Times New Roman" w:hAnsi="Times New Roman"/>
          <w:b/>
          <w:sz w:val="24"/>
          <w:szCs w:val="24"/>
        </w:rPr>
        <w:t xml:space="preserve">art. </w:t>
      </w:r>
      <w:r w:rsidR="009B3BC6" w:rsidRPr="009A3C86">
        <w:rPr>
          <w:rFonts w:ascii="Times New Roman" w:eastAsia="Times New Roman" w:hAnsi="Times New Roman"/>
          <w:b/>
          <w:sz w:val="24"/>
          <w:szCs w:val="24"/>
        </w:rPr>
        <w:t>626</w:t>
      </w:r>
      <w:r w:rsidRPr="009A3C86">
        <w:rPr>
          <w:rFonts w:ascii="Times New Roman" w:eastAsia="Times New Roman" w:hAnsi="Times New Roman"/>
          <w:b/>
          <w:sz w:val="24"/>
          <w:szCs w:val="24"/>
        </w:rPr>
        <w:t xml:space="preserve"> § 1 i 2</w:t>
      </w:r>
      <w:r w:rsidRPr="009A3C86">
        <w:rPr>
          <w:rFonts w:ascii="Times New Roman" w:eastAsia="Times New Roman" w:hAnsi="Times New Roman"/>
          <w:sz w:val="24"/>
          <w:szCs w:val="24"/>
        </w:rPr>
        <w:t>). Zainteresowani nie mają obowiązku skorzystania z powstałego uprawnienia. Brak cofnięcia skutków unikania opodatkowania otworzy jednak organowi podatkowemu możliwość wydania decyzji na podstawie art. 3</w:t>
      </w:r>
      <w:r w:rsidR="00E6400A" w:rsidRPr="009A3C86">
        <w:rPr>
          <w:rFonts w:ascii="Times New Roman" w:eastAsia="Times New Roman" w:hAnsi="Times New Roman"/>
          <w:sz w:val="24"/>
          <w:szCs w:val="24"/>
        </w:rPr>
        <w:t>3</w:t>
      </w:r>
      <w:r w:rsidRPr="009A3C86">
        <w:rPr>
          <w:rFonts w:ascii="Times New Roman" w:eastAsia="Times New Roman" w:hAnsi="Times New Roman"/>
          <w:sz w:val="24"/>
          <w:szCs w:val="24"/>
        </w:rPr>
        <w:t xml:space="preserve"> i skorzystania z informacji zgromadzonych w toku postępowania o wydanie decyzji.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sytuacji, w której czynność prowadząca do unikania opodatkowania skutkowała zmianą sposobu opodatkowania podmiotu, zainteresowany podmiot nie składa deklaracji dla podatku, który nie jest dla niego już właściwy. Proponowana w art. </w:t>
      </w:r>
      <w:r w:rsidR="009B3BC6" w:rsidRPr="009A3C86">
        <w:rPr>
          <w:rFonts w:ascii="Times New Roman" w:eastAsia="Times New Roman" w:hAnsi="Times New Roman"/>
          <w:sz w:val="24"/>
          <w:szCs w:val="24"/>
        </w:rPr>
        <w:t>626</w:t>
      </w:r>
      <w:r w:rsidRPr="009A3C86">
        <w:rPr>
          <w:rFonts w:ascii="Times New Roman" w:eastAsia="Times New Roman" w:hAnsi="Times New Roman"/>
          <w:sz w:val="24"/>
          <w:szCs w:val="24"/>
        </w:rPr>
        <w:t xml:space="preserve"> § 2 regulacja ma zapobiegać sytuacjom, w których np. osoby fizyczne będące wspólnikami spółki osobowej zobligowane byłyby do składania korekty deklaracji w podatku dochodowym od osób prawnych, bowiem czynność odpowiednia zakładałaby że spółka kapitałowa nie przekształciłaby się w spółkę osobową. W tej sytuacji podmioty zainteresowane cofnięciem skutków unikania </w:t>
      </w:r>
      <w:r w:rsidRPr="009A3C86">
        <w:rPr>
          <w:rFonts w:ascii="Times New Roman" w:eastAsia="Times New Roman" w:hAnsi="Times New Roman"/>
          <w:sz w:val="24"/>
          <w:szCs w:val="24"/>
        </w:rPr>
        <w:lastRenderedPageBreak/>
        <w:t xml:space="preserve">opodatkowania składają informację zastępczą, której skutki odpowiadają złożeniu korekty deklaracji. Kwota podatku wykazana w takiej informacji zastępczej będzie równoznaczna kwocie podatku do zapłaty.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W </w:t>
      </w:r>
      <w:r w:rsidRPr="009A3C86">
        <w:rPr>
          <w:rFonts w:ascii="Times New Roman" w:eastAsia="Times New Roman" w:hAnsi="Times New Roman"/>
          <w:b/>
          <w:sz w:val="24"/>
          <w:szCs w:val="24"/>
        </w:rPr>
        <w:t xml:space="preserve">art. </w:t>
      </w:r>
      <w:r w:rsidR="009B3BC6" w:rsidRPr="009A3C86">
        <w:rPr>
          <w:rFonts w:ascii="Times New Roman" w:eastAsia="Times New Roman" w:hAnsi="Times New Roman"/>
          <w:b/>
          <w:sz w:val="24"/>
          <w:szCs w:val="24"/>
        </w:rPr>
        <w:t>626</w:t>
      </w:r>
      <w:r w:rsidRPr="009A3C86">
        <w:rPr>
          <w:rFonts w:ascii="Times New Roman" w:eastAsia="Times New Roman" w:hAnsi="Times New Roman"/>
          <w:b/>
          <w:sz w:val="24"/>
          <w:szCs w:val="24"/>
        </w:rPr>
        <w:t xml:space="preserve"> § 4</w:t>
      </w:r>
      <w:r w:rsidRPr="009A3C86">
        <w:rPr>
          <w:rFonts w:ascii="Times New Roman" w:eastAsia="Times New Roman" w:hAnsi="Times New Roman"/>
          <w:sz w:val="24"/>
          <w:szCs w:val="24"/>
        </w:rPr>
        <w:t xml:space="preserve"> wskazano, że ponowne skorygowanie deklaracji nie wywołuje skutków prawnych w zakresie, w jakim dokonana na podstawie § 1 korekta przewidywała cofnięcie skutków unikania opodatkowania. </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13. </w:t>
      </w:r>
      <w:r w:rsidRPr="009A3C86">
        <w:rPr>
          <w:rFonts w:ascii="Times New Roman" w:eastAsia="Times New Roman" w:hAnsi="Times New Roman"/>
          <w:b/>
          <w:sz w:val="24"/>
          <w:szCs w:val="24"/>
        </w:rPr>
        <w:t xml:space="preserve">Art. </w:t>
      </w:r>
      <w:r w:rsidR="009B3BC6" w:rsidRPr="009A3C86">
        <w:rPr>
          <w:rFonts w:ascii="Times New Roman" w:eastAsia="Times New Roman" w:hAnsi="Times New Roman"/>
          <w:b/>
          <w:sz w:val="24"/>
          <w:szCs w:val="24"/>
        </w:rPr>
        <w:t>628</w:t>
      </w:r>
      <w:r w:rsidRPr="009A3C86">
        <w:rPr>
          <w:rFonts w:ascii="Times New Roman" w:eastAsia="Times New Roman" w:hAnsi="Times New Roman"/>
          <w:sz w:val="24"/>
          <w:szCs w:val="24"/>
        </w:rPr>
        <w:t xml:space="preserve"> kreuje prawo do skorygowania deklaracji przez zainteresowane podmioty uczestniczące w czynności prowadzącej do unikania opodatkowania. Aby regulacja ta nie była nadużywana, powstanie prawa do korekty rozliczeń u innych podmiotów uczestniczących w czynności prowadzącej do unikania opodatkowania będzie obarczone dwoma warunkami, tj.: </w:t>
      </w:r>
    </w:p>
    <w:p w:rsidR="00045CB9" w:rsidRPr="009A3C86" w:rsidRDefault="00045CB9" w:rsidP="00D72E74">
      <w:pPr>
        <w:numPr>
          <w:ilvl w:val="0"/>
          <w:numId w:val="20"/>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cofnięciem skutków unikania opodatkowania zgodnie z art. </w:t>
      </w:r>
      <w:r w:rsidR="009B3BC6" w:rsidRPr="009A3C86">
        <w:rPr>
          <w:rFonts w:ascii="Times New Roman" w:eastAsia="Times New Roman" w:hAnsi="Times New Roman"/>
          <w:sz w:val="24"/>
          <w:szCs w:val="24"/>
        </w:rPr>
        <w:t>626</w:t>
      </w:r>
      <w:r w:rsidRPr="009A3C86">
        <w:rPr>
          <w:rFonts w:ascii="Times New Roman" w:eastAsia="Times New Roman" w:hAnsi="Times New Roman"/>
          <w:sz w:val="24"/>
          <w:szCs w:val="24"/>
        </w:rPr>
        <w:t xml:space="preserve"> § 1 lub 2, oraz</w:t>
      </w:r>
    </w:p>
    <w:p w:rsidR="00045CB9" w:rsidRPr="009A3C86" w:rsidRDefault="00045CB9" w:rsidP="00D72E74">
      <w:pPr>
        <w:numPr>
          <w:ilvl w:val="0"/>
          <w:numId w:val="20"/>
        </w:num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wpłaceniem na rachunek właściwego organu podatkowego kwoty wynikającej ze złożonej korekty deklaracji lub informacji zastępczej wraz z odsetkami za zwłokę.</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W innym wypadku możliwe byłoby bowiem np. podwyższenie u jednego z zainteresowanych podmiotów kosztów uzyskania przychodów, co wynikałoby z przyjętej czynności odpowiedniej, podczas gdy podmiot, u którego doszło do unikania opodatkowania nie korzystałby z uprawnienia wynikającego z decyzji.</w:t>
      </w:r>
    </w:p>
    <w:p w:rsidR="00045CB9" w:rsidRPr="009A3C86" w:rsidRDefault="00045CB9" w:rsidP="00045CB9">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Podobnie jak w przypadku procedury </w:t>
      </w:r>
      <w:r w:rsidR="009B3BC6" w:rsidRPr="009A3C86">
        <w:rPr>
          <w:rFonts w:ascii="Times New Roman" w:eastAsia="Times New Roman" w:hAnsi="Times New Roman"/>
          <w:sz w:val="24"/>
          <w:szCs w:val="24"/>
        </w:rPr>
        <w:t>uprzednich porozumień cenowych</w:t>
      </w:r>
      <w:r w:rsidRPr="009A3C86">
        <w:rPr>
          <w:rFonts w:ascii="Times New Roman" w:eastAsia="Times New Roman" w:hAnsi="Times New Roman"/>
          <w:sz w:val="24"/>
          <w:szCs w:val="24"/>
        </w:rPr>
        <w:t>, do omawianego postępowania będą miały odpowiednie zastosowanie</w:t>
      </w:r>
      <w:r w:rsidR="00DF4CC0"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w:t>
      </w:r>
      <w:r w:rsidR="00DF4CC0" w:rsidRPr="009A3C86">
        <w:rPr>
          <w:rFonts w:ascii="Times New Roman" w:eastAsia="Times New Roman" w:hAnsi="Times New Roman"/>
          <w:sz w:val="24"/>
          <w:szCs w:val="24"/>
        </w:rPr>
        <w:t xml:space="preserve">wymienione w </w:t>
      </w:r>
      <w:r w:rsidR="00DF4CC0" w:rsidRPr="009A3C86">
        <w:rPr>
          <w:rFonts w:ascii="Times New Roman" w:eastAsia="Times New Roman" w:hAnsi="Times New Roman"/>
          <w:b/>
          <w:sz w:val="24"/>
          <w:szCs w:val="24"/>
        </w:rPr>
        <w:t xml:space="preserve">art. </w:t>
      </w:r>
      <w:r w:rsidR="009B3BC6" w:rsidRPr="009A3C86">
        <w:rPr>
          <w:rFonts w:ascii="Times New Roman" w:eastAsia="Times New Roman" w:hAnsi="Times New Roman"/>
          <w:b/>
          <w:sz w:val="24"/>
          <w:szCs w:val="24"/>
        </w:rPr>
        <w:t>629</w:t>
      </w:r>
      <w:r w:rsidR="00DF4CC0"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 xml:space="preserve">przepisy </w:t>
      </w:r>
      <w:r w:rsidR="00DF4CC0" w:rsidRPr="009A3C86">
        <w:rPr>
          <w:rFonts w:ascii="Times New Roman" w:eastAsia="Times New Roman" w:hAnsi="Times New Roman"/>
          <w:sz w:val="24"/>
          <w:szCs w:val="24"/>
        </w:rPr>
        <w:t xml:space="preserve">ustawy </w:t>
      </w:r>
      <w:r w:rsidRPr="009A3C86">
        <w:rPr>
          <w:rFonts w:ascii="Times New Roman" w:eastAsia="Times New Roman" w:hAnsi="Times New Roman"/>
          <w:sz w:val="24"/>
          <w:szCs w:val="24"/>
        </w:rPr>
        <w:t>z dnia 16 listopada 2016 r. o Krajowej Administracji Skarbowe</w:t>
      </w:r>
      <w:r w:rsidR="009B3BC6" w:rsidRPr="009A3C86">
        <w:rPr>
          <w:rFonts w:ascii="Times New Roman" w:eastAsia="Times New Roman" w:hAnsi="Times New Roman"/>
          <w:sz w:val="24"/>
          <w:szCs w:val="24"/>
        </w:rPr>
        <w:t>j.</w:t>
      </w:r>
    </w:p>
    <w:p w:rsidR="004166B8" w:rsidRPr="009A3C86" w:rsidRDefault="004D35CB" w:rsidP="00D72E74">
      <w:pPr>
        <w:tabs>
          <w:tab w:val="num" w:pos="720"/>
        </w:tabs>
        <w:spacing w:before="120" w:after="0" w:line="360" w:lineRule="auto"/>
        <w:jc w:val="both"/>
        <w:outlineLvl w:val="2"/>
        <w:rPr>
          <w:rFonts w:ascii="Times New Roman" w:eastAsia="Times New Roman" w:hAnsi="Times New Roman"/>
          <w:bCs/>
          <w:sz w:val="24"/>
          <w:szCs w:val="24"/>
          <w:lang w:eastAsia="pl-PL"/>
        </w:rPr>
      </w:pPr>
      <w:bookmarkStart w:id="83" w:name="_Toc494363307"/>
      <w:bookmarkStart w:id="84" w:name="_Toc483413676"/>
      <w:r w:rsidRPr="009A3C86">
        <w:rPr>
          <w:rFonts w:ascii="Times New Roman" w:hAnsi="Times New Roman"/>
          <w:b/>
          <w:bCs/>
          <w:sz w:val="24"/>
          <w:szCs w:val="24"/>
        </w:rPr>
        <w:t xml:space="preserve">Rozdział </w:t>
      </w:r>
      <w:r w:rsidR="00C42B00" w:rsidRPr="009A3C86">
        <w:rPr>
          <w:rFonts w:ascii="Times New Roman" w:hAnsi="Times New Roman"/>
          <w:b/>
          <w:bCs/>
          <w:sz w:val="24"/>
          <w:szCs w:val="24"/>
        </w:rPr>
        <w:t>5</w:t>
      </w:r>
      <w:r w:rsidRPr="009A3C86">
        <w:rPr>
          <w:rFonts w:ascii="Times New Roman" w:hAnsi="Times New Roman"/>
          <w:b/>
          <w:bCs/>
          <w:sz w:val="24"/>
          <w:szCs w:val="24"/>
        </w:rPr>
        <w:t xml:space="preserve">. </w:t>
      </w:r>
      <w:bookmarkEnd w:id="83"/>
      <w:bookmarkEnd w:id="84"/>
      <w:r w:rsidR="004166B8" w:rsidRPr="009A3C86">
        <w:rPr>
          <w:rFonts w:ascii="Times New Roman" w:eastAsia="Times New Roman" w:hAnsi="Times New Roman"/>
          <w:b/>
          <w:bCs/>
          <w:sz w:val="24"/>
          <w:szCs w:val="24"/>
          <w:lang w:eastAsia="pl-PL"/>
        </w:rPr>
        <w:t>Współdziałanie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Proponowane zmiany zawierają podstawową regulację programu poprawnego rozliczenia opartego na współpracy (</w:t>
      </w:r>
      <w:r w:rsidRPr="009A3C86">
        <w:rPr>
          <w:rFonts w:ascii="Times New Roman" w:eastAsia="Times New Roman" w:hAnsi="Times New Roman"/>
          <w:i/>
          <w:iCs/>
          <w:sz w:val="24"/>
          <w:szCs w:val="24"/>
          <w:lang w:eastAsia="pl-PL"/>
        </w:rPr>
        <w:t>co-operative compliance</w:t>
      </w:r>
      <w:r w:rsidRPr="009A3C86">
        <w:rPr>
          <w:rFonts w:ascii="Times New Roman" w:eastAsia="Times New Roman" w:hAnsi="Times New Roman"/>
          <w:sz w:val="24"/>
          <w:szCs w:val="24"/>
          <w:lang w:eastAsia="pl-PL"/>
        </w:rPr>
        <w:t xml:space="preserve">), zwanego dalej Programem Współdziałania lub Programem. Zgodnie z ideą Programu Współdziałania, którą jest niepoddana drobiazgowej formalizacji współpraca między podatnikami a Szefem Krajowej Administracji Skarbowej, </w:t>
      </w:r>
      <w:r w:rsidR="00F56574" w:rsidRPr="009A3C86">
        <w:rPr>
          <w:rFonts w:ascii="Times New Roman" w:eastAsia="Times New Roman" w:hAnsi="Times New Roman"/>
          <w:sz w:val="24"/>
          <w:szCs w:val="24"/>
          <w:lang w:eastAsia="pl-PL"/>
        </w:rPr>
        <w:t>o</w:t>
      </w:r>
      <w:r w:rsidRPr="009A3C86">
        <w:rPr>
          <w:rFonts w:ascii="Times New Roman" w:eastAsia="Times New Roman" w:hAnsi="Times New Roman"/>
          <w:sz w:val="24"/>
          <w:szCs w:val="24"/>
          <w:lang w:eastAsia="pl-PL"/>
        </w:rPr>
        <w:t>rdynacja podatkowa będzie zawierać jedynie najważniejsze przepisy, czyli ustanawiać ramy prawne Programu. Jego konkretny kształt zależy natomiast od praktyki wypracowanej przez administrację skarbową.</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Program Współdziałania ma na celu zapewnienie przestrzegania prawa podatkowego poprzez nawiązanie ścisłych relacji między organami podatkowymi a podatnikami. Istotę programów poprawnego rozliczenia opartego na współpracy oddaje hasło wskazane w raporcie OECD z 2013 r. pt. </w:t>
      </w:r>
      <w:r w:rsidRPr="009A3C86">
        <w:rPr>
          <w:rFonts w:ascii="Times New Roman" w:eastAsia="Times New Roman" w:hAnsi="Times New Roman"/>
          <w:i/>
          <w:sz w:val="24"/>
          <w:szCs w:val="24"/>
          <w:lang w:val="en-US" w:eastAsia="pl-PL"/>
        </w:rPr>
        <w:t>Co-operative Compliance: A Framework. From Enhanced Relationship to Co-</w:t>
      </w:r>
      <w:r w:rsidRPr="009A3C86">
        <w:rPr>
          <w:rFonts w:ascii="Times New Roman" w:eastAsia="Times New Roman" w:hAnsi="Times New Roman"/>
          <w:i/>
          <w:sz w:val="24"/>
          <w:szCs w:val="24"/>
          <w:lang w:val="en-US" w:eastAsia="pl-PL"/>
        </w:rPr>
        <w:lastRenderedPageBreak/>
        <w:t>operative Compliance</w:t>
      </w:r>
      <w:r w:rsidRPr="009A3C86">
        <w:rPr>
          <w:rFonts w:ascii="Times New Roman" w:eastAsia="Times New Roman" w:hAnsi="Times New Roman"/>
          <w:sz w:val="24"/>
          <w:szCs w:val="24"/>
          <w:vertAlign w:val="superscript"/>
          <w:lang w:eastAsia="pl-PL"/>
        </w:rPr>
        <w:footnoteReference w:id="535"/>
      </w:r>
      <w:r w:rsidRPr="009A3C86">
        <w:rPr>
          <w:rFonts w:ascii="Times New Roman" w:eastAsia="Times New Roman" w:hAnsi="Times New Roman"/>
          <w:sz w:val="24"/>
          <w:szCs w:val="24"/>
          <w:lang w:val="en-US" w:eastAsia="pl-PL"/>
        </w:rPr>
        <w:t xml:space="preserve">: „przejrzystość w zamian za pewność”. </w:t>
      </w:r>
      <w:r w:rsidRPr="009A3C86">
        <w:rPr>
          <w:rFonts w:ascii="Times New Roman" w:eastAsia="Times New Roman" w:hAnsi="Times New Roman"/>
          <w:sz w:val="24"/>
          <w:szCs w:val="24"/>
          <w:lang w:eastAsia="pl-PL"/>
        </w:rPr>
        <w:t xml:space="preserve">„Przejrzystość” </w:t>
      </w:r>
      <w:r w:rsidRPr="009A3C86">
        <w:rPr>
          <w:rFonts w:ascii="Times New Roman" w:eastAsia="Times New Roman" w:hAnsi="Times New Roman"/>
          <w:bCs/>
          <w:sz w:val="24"/>
          <w:szCs w:val="24"/>
          <w:lang w:eastAsia="pl-PL"/>
        </w:rPr>
        <w:t>–</w:t>
      </w:r>
      <w:r w:rsidRPr="009A3C86">
        <w:rPr>
          <w:rFonts w:ascii="Times New Roman" w:eastAsia="Times New Roman" w:hAnsi="Times New Roman"/>
          <w:sz w:val="24"/>
          <w:szCs w:val="24"/>
          <w:lang w:eastAsia="pl-PL"/>
        </w:rPr>
        <w:t xml:space="preserve"> ponieważ podatnik będący uczestnikiem programu zobowiązuje się do ujawnienia organowi podatkowemu bez zwłoki wszelkich istotnych dla opodatkowania informacji na temat swojej działalności oraz zgłaszania wszelkich materialnych zagadnień podatkowych potencjalnie spornych między nim a organem. „Pewność” – ponieważ organ podatkowy „w czasie rzeczywistym”, tj. również bez zwłoki, udziela – po konsultacji z samym podatnikiem oraz w duchu porozumienia i zrozumienia dla biznesu – odpowiedzi na nurtujące podatnika pytania. „Siedem filarów” programu to: </w:t>
      </w:r>
    </w:p>
    <w:p w:rsidR="004166B8" w:rsidRPr="009A3C86" w:rsidRDefault="004166B8" w:rsidP="004166B8">
      <w:pPr>
        <w:spacing w:after="0" w:line="360" w:lineRule="auto"/>
        <w:ind w:left="426" w:hanging="284"/>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ab/>
        <w:t xml:space="preserve">ze strony organów: 1) zrozumienie oparte na znajomości biznesu, 2) bezstronność, 3) proporcjonalność, 4) otwartość (jawność i przejrzystość) oraz 5) szybkie reagowanie, </w:t>
      </w:r>
    </w:p>
    <w:p w:rsidR="004166B8" w:rsidRPr="009A3C86" w:rsidRDefault="004166B8" w:rsidP="004166B8">
      <w:pPr>
        <w:spacing w:after="0" w:line="360" w:lineRule="auto"/>
        <w:ind w:left="426" w:hanging="284"/>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ab/>
        <w:t>ze strony podatników: 6) jawność i 7) przejrzystość</w:t>
      </w:r>
      <w:r w:rsidRPr="009A3C86">
        <w:rPr>
          <w:rFonts w:ascii="Times New Roman" w:eastAsia="Times New Roman" w:hAnsi="Times New Roman"/>
          <w:sz w:val="24"/>
          <w:szCs w:val="24"/>
          <w:vertAlign w:val="superscript"/>
          <w:lang w:eastAsia="pl-PL"/>
        </w:rPr>
        <w:footnoteReference w:id="536"/>
      </w:r>
      <w:r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Program Współdziałania pozwoli Krajowej Administracji Skarbowej okazać podatnikom większe zaufanie i lepiej alokować swoje zasoby.</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Programy tego rodzaju są maksymalnie odformalizowane co do procedur i oparte na osobistym zobowiązaniu biorących w nim udział osób będących decydentami w podmiocie gospodarczym oraz w organie podatkowym – na porozumieniu między podatnikiem a administracją oraz na dobrej woli i zaufaniu okazywanym przez obie strony w praktyce. Każda ze stron może swobodnie zdecydować o przystąpieniu oraz ewentualnym wystąpieniu z programu. Decydując się na udział w Programie Współdziałania, każda ze stron przyjmie na siebie obowiązki w zakresie przekazywania informacji i sprawowania kontroli nad prawidłowością rozliczenia.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Programy ścisłej współpracy między największymi podatnikami a administracją podatkową (</w:t>
      </w:r>
      <w:r w:rsidRPr="009A3C86">
        <w:rPr>
          <w:rFonts w:ascii="Times New Roman" w:eastAsia="Times New Roman" w:hAnsi="Times New Roman"/>
          <w:i/>
          <w:sz w:val="24"/>
          <w:szCs w:val="24"/>
          <w:lang w:eastAsia="pl-PL"/>
        </w:rPr>
        <w:t>co-operative compliance</w:t>
      </w:r>
      <w:r w:rsidRPr="009A3C86">
        <w:rPr>
          <w:rFonts w:ascii="Times New Roman" w:eastAsia="Times New Roman" w:hAnsi="Times New Roman"/>
          <w:sz w:val="24"/>
          <w:szCs w:val="24"/>
          <w:lang w:eastAsia="pl-PL"/>
        </w:rPr>
        <w:t xml:space="preserve">, początkowo określane zbiorczą nazwą </w:t>
      </w:r>
      <w:r w:rsidRPr="009A3C86">
        <w:rPr>
          <w:rFonts w:ascii="Times New Roman" w:eastAsia="Times New Roman" w:hAnsi="Times New Roman"/>
          <w:i/>
          <w:sz w:val="24"/>
          <w:szCs w:val="24"/>
          <w:lang w:eastAsia="pl-PL"/>
        </w:rPr>
        <w:t>enhanced cooperation</w:t>
      </w:r>
      <w:r w:rsidRPr="009A3C86">
        <w:rPr>
          <w:rFonts w:ascii="Times New Roman" w:eastAsia="Times New Roman" w:hAnsi="Times New Roman"/>
          <w:sz w:val="24"/>
          <w:szCs w:val="24"/>
          <w:lang w:eastAsia="pl-PL"/>
        </w:rPr>
        <w:t>”) zaczęto wprowadzać w pierwszej dekadzie XXI wieku (ok. 2005 r.), początkowo w Holandii</w:t>
      </w:r>
      <w:r w:rsidRPr="009A3C86">
        <w:rPr>
          <w:rFonts w:ascii="Times New Roman" w:eastAsia="Times New Roman" w:hAnsi="Times New Roman"/>
          <w:sz w:val="24"/>
          <w:szCs w:val="24"/>
          <w:vertAlign w:val="superscript"/>
          <w:lang w:eastAsia="pl-PL"/>
        </w:rPr>
        <w:footnoteReference w:id="537"/>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lastRenderedPageBreak/>
        <w:t xml:space="preserve">Irlandii i USA. Obecnie programy </w:t>
      </w:r>
      <w:r w:rsidRPr="009A3C86">
        <w:rPr>
          <w:rFonts w:ascii="Times New Roman" w:eastAsia="Times New Roman" w:hAnsi="Times New Roman"/>
          <w:i/>
          <w:sz w:val="24"/>
          <w:szCs w:val="24"/>
          <w:lang w:eastAsia="pl-PL"/>
        </w:rPr>
        <w:t>co-operative compliance</w:t>
      </w:r>
      <w:r w:rsidRPr="009A3C86">
        <w:rPr>
          <w:rFonts w:ascii="Times New Roman" w:eastAsia="Times New Roman" w:hAnsi="Times New Roman"/>
          <w:sz w:val="24"/>
          <w:szCs w:val="24"/>
          <w:lang w:eastAsia="pl-PL"/>
        </w:rPr>
        <w:t xml:space="preserve"> zostały wprowadzone lub są wprowadzane w kilkudziesięciu państwach</w:t>
      </w:r>
      <w:r w:rsidRPr="009A3C86">
        <w:rPr>
          <w:rFonts w:ascii="Times New Roman" w:eastAsia="Times New Roman" w:hAnsi="Times New Roman"/>
          <w:sz w:val="24"/>
          <w:szCs w:val="24"/>
          <w:vertAlign w:val="superscript"/>
          <w:lang w:eastAsia="pl-PL"/>
        </w:rPr>
        <w:footnoteReference w:id="538"/>
      </w:r>
      <w:r w:rsidRPr="009A3C86">
        <w:rPr>
          <w:rFonts w:ascii="Times New Roman" w:eastAsia="Times New Roman" w:hAnsi="Times New Roman"/>
          <w:sz w:val="24"/>
          <w:szCs w:val="24"/>
          <w:lang w:eastAsia="pl-PL"/>
        </w:rPr>
        <w:t>. Raport OECD z 2013 r. wskazał 24 państwa, w których wdrożono program. Według nowszych danych 85% z 56 państw rozwiniętych i „rynków wschodzących”, które zostały objęte badaniem OECD Forum on Tax Administration, przyjęło specjalny model przestrzegania prawa podatkowego dla największych podatników (</w:t>
      </w:r>
      <w:r w:rsidRPr="009A3C86">
        <w:rPr>
          <w:rFonts w:ascii="Times New Roman" w:eastAsia="Times New Roman" w:hAnsi="Times New Roman"/>
          <w:i/>
          <w:sz w:val="24"/>
          <w:szCs w:val="24"/>
          <w:lang w:eastAsia="pl-PL"/>
        </w:rPr>
        <w:t>large business</w:t>
      </w:r>
      <w:r w:rsidRPr="009A3C86">
        <w:rPr>
          <w:rFonts w:ascii="Times New Roman" w:eastAsia="Times New Roman" w:hAnsi="Times New Roman"/>
          <w:sz w:val="24"/>
          <w:szCs w:val="24"/>
          <w:lang w:eastAsia="pl-PL"/>
        </w:rPr>
        <w:t xml:space="preserve">), a 32 z nich wdrożyły lub planują wdrożyć program </w:t>
      </w:r>
      <w:r w:rsidRPr="009A3C86">
        <w:rPr>
          <w:rFonts w:ascii="Times New Roman" w:eastAsia="Times New Roman" w:hAnsi="Times New Roman"/>
          <w:i/>
          <w:sz w:val="24"/>
          <w:szCs w:val="24"/>
          <w:lang w:eastAsia="pl-PL"/>
        </w:rPr>
        <w:t>co-operative compliance</w:t>
      </w:r>
      <w:r w:rsidRPr="009A3C86">
        <w:rPr>
          <w:rFonts w:ascii="Times New Roman" w:eastAsia="Times New Roman" w:hAnsi="Times New Roman"/>
          <w:sz w:val="24"/>
          <w:szCs w:val="24"/>
          <w:lang w:eastAsia="pl-PL"/>
        </w:rPr>
        <w:t xml:space="preserve"> w ścisłym sensie</w:t>
      </w:r>
      <w:r w:rsidRPr="009A3C86">
        <w:rPr>
          <w:rFonts w:ascii="Times New Roman" w:eastAsia="Times New Roman" w:hAnsi="Times New Roman"/>
          <w:sz w:val="24"/>
          <w:szCs w:val="24"/>
          <w:vertAlign w:val="superscript"/>
          <w:lang w:eastAsia="pl-PL"/>
        </w:rPr>
        <w:footnoteReference w:id="539"/>
      </w:r>
      <w:r w:rsidRPr="009A3C86">
        <w:rPr>
          <w:rFonts w:ascii="Times New Roman" w:eastAsia="Times New Roman" w:hAnsi="Times New Roman"/>
          <w:sz w:val="24"/>
          <w:szCs w:val="24"/>
          <w:lang w:eastAsia="pl-PL"/>
        </w:rPr>
        <w:t>. Programy te są wprowadzane także w państwach takich jak Rosja oraz afrykańskie państwa rozwijające się</w:t>
      </w:r>
      <w:r w:rsidRPr="009A3C86">
        <w:rPr>
          <w:rFonts w:ascii="Times New Roman" w:eastAsia="Times New Roman" w:hAnsi="Times New Roman"/>
          <w:sz w:val="24"/>
          <w:szCs w:val="24"/>
          <w:vertAlign w:val="superscript"/>
          <w:lang w:eastAsia="pl-PL"/>
        </w:rPr>
        <w:footnoteReference w:id="540"/>
      </w:r>
      <w:r w:rsidRPr="009A3C86">
        <w:rPr>
          <w:rFonts w:ascii="Times New Roman" w:eastAsia="Times New Roman" w:hAnsi="Times New Roman"/>
          <w:sz w:val="24"/>
          <w:szCs w:val="24"/>
          <w:lang w:eastAsia="pl-PL"/>
        </w:rPr>
        <w:t>. Są one promowane również w Kodeksie podatnika Unii Europejskiej.</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raportem z OECD z 2013 r.  program co-cooperative compliance stanowi wyraz zmiany nastawienia administracji na całym świecie polegającego na uznaniu, że podatnicy nie tworzą grupy jednorodnej pod względem swojego stosunku do obowiązków podatkowych, w konsekwencji stosowane przez administrację środki powinny być zróżnicowane w zależności od cech podmiotu, do którego są one adresowane. Stąd też podejście organu podatkowego do danego podatnika powinno być uwarunkowane jego przynależnością do określonej kategorii spośród wyróżnionych według kryterium ryzyka niezgodności rozliczenia z prawem. W związku z powyższym nowoczesna administracja podatkowa powinna dostosowywać traktowanie i świadczenie usług do kategorii poszczególnych podatników – w myśl zasady „każdemu według jego potrzeb” – dlatego  inne podejście powinno być stosowane np. wobec osób fizycznych  i inne wobec największych podatników, co ma miejsce np. w Holandii, gdzie pod pojęciem horyzontalnego monitoringu rozumiane są różne rozwiązania dostosowane do możliwości i potrzeb poszczególnych segmentów podatników tj. indywidualna umowa z największymi podatnikami, umowa z pośrednikami w zakresie średnich i małych podmiotów oraz wstępnie wypełnione deklaracje dla osób fizycznych. Takie podejście stanowi przykład tzw. „regulacji responsywnej”, czy też „dostosowanej do zachowania adresata” według koncepcji I. Ayresa i J. Braithwaite’a.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Program Współdziałania jest adresowany wyłącznie do największych podatników, ponieważ z jednej strony podmioty te dysponują zwykle </w:t>
      </w:r>
      <w:r w:rsidR="004C06F1" w:rsidRPr="009A3C86">
        <w:rPr>
          <w:rFonts w:ascii="Times New Roman" w:eastAsia="Times New Roman" w:hAnsi="Times New Roman"/>
          <w:sz w:val="24"/>
          <w:szCs w:val="24"/>
          <w:lang w:eastAsia="pl-PL"/>
        </w:rPr>
        <w:t>skutecznymi procesami i</w:t>
      </w:r>
      <w:r w:rsidRPr="009A3C86">
        <w:rPr>
          <w:rFonts w:ascii="Times New Roman" w:eastAsia="Times New Roman" w:hAnsi="Times New Roman"/>
          <w:sz w:val="24"/>
          <w:szCs w:val="24"/>
          <w:lang w:eastAsia="pl-PL"/>
        </w:rPr>
        <w:t xml:space="preserve"> procedurami  wewnętrznego nadzoru podatkowego, a jeśli ich nie mają, to dysponują odpowiednimi </w:t>
      </w:r>
      <w:r w:rsidRPr="009A3C86">
        <w:rPr>
          <w:rFonts w:ascii="Times New Roman" w:eastAsia="Times New Roman" w:hAnsi="Times New Roman"/>
          <w:sz w:val="24"/>
          <w:szCs w:val="24"/>
          <w:lang w:eastAsia="pl-PL"/>
        </w:rPr>
        <w:lastRenderedPageBreak/>
        <w:t xml:space="preserve">zasobami niezbędnymi do ich wdrożenia i utrzymania, z drugiej strony to właśnie te podmioty mają najbardziej skomplikowane problemy związane z właściwym zastosowaniem przepisów prawa podatkowego, których rozwiązanie wymaga dogłębnego poznania podmiotu, angażując tym samym każdorazowo i długookresowo znaczne zasoby po stronie administracji. Natomiast z uwagi na fakt, iż współpraca w ramach Programu Współdziałania ma charakter stały, to specyfika podmiotu jest znana administracji skarbowej i udzielenie wsparcia podmiotowi w zakresie prawidłowej realizacji obowiązków podatkowych jest możliwe w szybszym terminie i przy zaangażowaniu mniejszych zasobów po stronie administracji.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Optymizm co do pozytywnych efektów możliwych do osiągnięcia dzięki Programowi jest oparty na pozytywnych doświadczeniach z wdrożenia podobnych programów w innych państwach. W oparciu o te doświadczenia można stwierdzić, że wdrożenie programu co-opertive compliance ma kluczowe znaczenie dla skutecznego administrowania podatkami, ponieważ poprawia wydajność, dzięki lepszej alokacji zasobów, a także obniża koszty administrowania przy jednoczesnym zwiększeniu poziomu wypełniania obowiązków podatkowych, pozwalając dodatkowo organom podatkowym okazać podatnikom większe zaufanie. Zaletą Programu Współdziałania jest  również to, że zwiększa on efektywność identyfikacji przypadków niewywiązywania się podatników niebiorących udziału w takim programie</w:t>
      </w:r>
      <w:r w:rsidRPr="009A3C86">
        <w:rPr>
          <w:rFonts w:ascii="Times New Roman" w:eastAsia="Times New Roman" w:hAnsi="Times New Roman"/>
          <w:sz w:val="24"/>
          <w:szCs w:val="24"/>
          <w:vertAlign w:val="superscript"/>
          <w:lang w:eastAsia="pl-PL"/>
        </w:rPr>
        <w:footnoteReference w:id="541"/>
      </w:r>
      <w:r w:rsidR="00891828"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 konsekwencji, w wyniku funkcjonowania Programu wzrasta poprawność realizowania obowiązków podatkowych zarówno wśród podatników objętych Programem, jak i nim nieobjętych. Natomiast po stronie podatników największą korzyścią jest zwiększenie pewności prawa podatkowego i planowania wydatków, co w konserwacji wpływa na minimalizację ryzyka podatkowego. W związku z powyższym w długiej perspektywie czasowej, biorąc pod uwagę korzyści z przewidywalności i stabilności podatkowej, program pozwala optymalizować znacząco koszty dyscypliny podatkowej zarówno przez administrację, jak i przedsiębiorstwo.</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Także w dokumencie programowym „Kierunki działania i rozwoju Krajowej Administracji Skarbowej na lata 2017-2020” w ramach Kierunku II: „Pobór należności podatkowych i niepodatkowych budżetu państwa przez organy podatkowe i celne” jako jedno z działań, które „pomogą zmniejszyć lukę podatkową”, wskazano „wdrożenie mechanizmów współpracy z wybranymi największymi podatnikami w zakresie monitoringu horyzontalnego, czyli skupienie się na dobrych relacjach między organem podatkowym i podatnikiem, które będzie skutkować podpisaniem umowy o prawidłowym wypełnianiu obowiązków podatkowych, a także </w:t>
      </w:r>
      <w:r w:rsidRPr="009A3C86">
        <w:rPr>
          <w:rFonts w:ascii="Times New Roman" w:eastAsia="Times New Roman" w:hAnsi="Times New Roman"/>
          <w:sz w:val="24"/>
          <w:szCs w:val="24"/>
          <w:lang w:eastAsia="pl-PL"/>
        </w:rPr>
        <w:lastRenderedPageBreak/>
        <w:t>wykrywanie ryzyka w oparciu o ramy nadzoru podatkowego (</w:t>
      </w:r>
      <w:r w:rsidRPr="009A3C86">
        <w:rPr>
          <w:rFonts w:ascii="Times New Roman" w:eastAsia="Times New Roman" w:hAnsi="Times New Roman"/>
          <w:i/>
          <w:sz w:val="24"/>
          <w:szCs w:val="24"/>
          <w:lang w:eastAsia="pl-PL"/>
        </w:rPr>
        <w:t>tax control framework</w:t>
      </w:r>
      <w:r w:rsidRPr="009A3C86">
        <w:rPr>
          <w:rFonts w:ascii="Times New Roman" w:eastAsia="Times New Roman" w:hAnsi="Times New Roman"/>
          <w:sz w:val="24"/>
          <w:szCs w:val="24"/>
          <w:lang w:eastAsia="pl-PL"/>
        </w:rPr>
        <w:t>)” (s. 11)</w:t>
      </w:r>
      <w:r w:rsidRPr="009A3C86">
        <w:rPr>
          <w:rFonts w:ascii="Times New Roman" w:eastAsia="Times New Roman" w:hAnsi="Times New Roman"/>
          <w:sz w:val="24"/>
          <w:szCs w:val="24"/>
          <w:vertAlign w:val="superscript"/>
          <w:lang w:eastAsia="pl-PL"/>
        </w:rPr>
        <w:footnoteReference w:id="542"/>
      </w:r>
      <w:r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b/>
          <w:sz w:val="24"/>
          <w:szCs w:val="24"/>
          <w:lang w:eastAsia="pl-PL"/>
        </w:rPr>
      </w:pPr>
      <w:r w:rsidRPr="009A3C86">
        <w:rPr>
          <w:rFonts w:ascii="Times New Roman" w:eastAsia="Times New Roman" w:hAnsi="Times New Roman"/>
          <w:b/>
          <w:sz w:val="24"/>
          <w:szCs w:val="24"/>
          <w:lang w:eastAsia="pl-PL"/>
        </w:rPr>
        <w:t>Oddział 1 „Umowa o współdziałanie”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 dokumentach OECD sugerowane są trzy różne sposoby wdrożenia Programu Współdziałania (</w:t>
      </w:r>
      <w:r w:rsidRPr="009A3C86">
        <w:rPr>
          <w:rFonts w:ascii="Times New Roman" w:eastAsia="Times New Roman" w:hAnsi="Times New Roman"/>
          <w:i/>
          <w:iCs/>
          <w:sz w:val="24"/>
          <w:szCs w:val="24"/>
          <w:lang w:eastAsia="pl-PL"/>
        </w:rPr>
        <w:t>co-operative compliance</w:t>
      </w:r>
      <w:r w:rsidRPr="009A3C86">
        <w:rPr>
          <w:rFonts w:ascii="Times New Roman" w:eastAsia="Times New Roman" w:hAnsi="Times New Roman"/>
          <w:sz w:val="24"/>
          <w:szCs w:val="24"/>
          <w:lang w:eastAsia="pl-PL"/>
        </w:rPr>
        <w:t xml:space="preserve">): </w:t>
      </w:r>
    </w:p>
    <w:p w:rsidR="004166B8" w:rsidRPr="009A3C86" w:rsidRDefault="004166B8" w:rsidP="004166B8">
      <w:pPr>
        <w:spacing w:after="0" w:line="360" w:lineRule="auto"/>
        <w:ind w:left="426" w:hanging="284"/>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ab/>
        <w:t xml:space="preserve">jednostronne oświadczenie lub deklaracja organu administracji; </w:t>
      </w:r>
    </w:p>
    <w:p w:rsidR="004166B8" w:rsidRPr="009A3C86" w:rsidRDefault="004166B8" w:rsidP="004166B8">
      <w:pPr>
        <w:spacing w:after="0" w:line="360" w:lineRule="auto"/>
        <w:ind w:left="426" w:hanging="284"/>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ab/>
        <w:t xml:space="preserve">karta przyjęta wspólnie przez lub w imieniu wszystkich interesariuszy; lub </w:t>
      </w:r>
    </w:p>
    <w:p w:rsidR="004166B8" w:rsidRPr="009A3C86" w:rsidRDefault="004166B8" w:rsidP="004166B8">
      <w:pPr>
        <w:spacing w:after="0" w:line="360" w:lineRule="auto"/>
        <w:ind w:left="426" w:hanging="284"/>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ab/>
        <w:t>formalne lub nieformalne indywidualne porozumienie między organem podatkowym a podatnikiem</w:t>
      </w:r>
      <w:r w:rsidRPr="009A3C86">
        <w:rPr>
          <w:rFonts w:ascii="Times New Roman" w:eastAsia="Times New Roman" w:hAnsi="Times New Roman"/>
          <w:sz w:val="24"/>
          <w:szCs w:val="24"/>
          <w:vertAlign w:val="superscript"/>
          <w:lang w:eastAsia="pl-PL"/>
        </w:rPr>
        <w:footnoteReference w:id="543"/>
      </w:r>
      <w:r w:rsidRPr="009A3C86">
        <w:rPr>
          <w:rFonts w:ascii="Times New Roman" w:eastAsia="Times New Roman" w:hAnsi="Times New Roman"/>
          <w:sz w:val="24"/>
          <w:szCs w:val="24"/>
          <w:lang w:eastAsia="pl-PL"/>
        </w:rPr>
        <w:t xml:space="preserve">. </w:t>
      </w:r>
    </w:p>
    <w:p w:rsidR="004166B8" w:rsidRPr="009A3C86" w:rsidRDefault="004166B8" w:rsidP="004166B8">
      <w:pPr>
        <w:spacing w:before="16" w:after="16"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Na świecie Programy Współdziałania oparte są w większości przypadków na dobrowolnym porozumieniu (umowie) stron (tj. szefa danej administracji i podatnika) niepodlegającemu odrębnej regulacji w przepisach prawa podatkowego. Rozwiązanie takie powoduje pełną dobrowolność stron co do zakresu umów oraz obowiązków i praw stron. Przyjmując na polskim gruncie umowną formę podjęcia współpracy w ramach Programu Współdziałania, w projekcie Ordynacji podatkowej umowie nadano ustawową podstawę prawną, zgodnie z zasadą legalizmu</w:t>
      </w:r>
      <w:r w:rsidRPr="009A3C86">
        <w:rPr>
          <w:rFonts w:ascii="Times New Roman" w:eastAsia="Times New Roman" w:hAnsi="Times New Roman"/>
          <w:sz w:val="24"/>
          <w:szCs w:val="24"/>
          <w:vertAlign w:val="superscript"/>
          <w:lang w:eastAsia="pl-PL"/>
        </w:rPr>
        <w:footnoteReference w:id="544"/>
      </w:r>
      <w:r w:rsidRPr="009A3C86">
        <w:rPr>
          <w:rFonts w:ascii="Times New Roman" w:eastAsia="Times New Roman" w:hAnsi="Times New Roman"/>
          <w:sz w:val="24"/>
          <w:szCs w:val="24"/>
          <w:lang w:eastAsia="pl-PL"/>
        </w:rPr>
        <w:t>. Jednocześnie regulacja ta nie jest szczegółowa. Nadmierna jurydyzacja umowy o współdziałanie podważyłaby naturę stosunku opartego na zaufaniu i jego niesformalizowany oraz elastyczny charakter.</w:t>
      </w:r>
    </w:p>
    <w:p w:rsidR="004166B8" w:rsidRPr="009A3C86" w:rsidRDefault="004166B8" w:rsidP="004166B8">
      <w:pPr>
        <w:spacing w:before="16" w:after="16"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Umowne uregulowanie przedmiotowej współpracy wpisuje się w zasadę dobrowolności, na której opiera się Program Współdziałania. W konsekwencji oznacza to, że każda ze stron może swobodnie zdecydować o przystąpieniu oraz ewentualnym wystąpieniu z programu. W związku z powyższym podatnikom nie będzie przysługiwać uprawnienie do zawarcia umowy, tj. nie będą mogli w oparciu o przepisy prawa domagać się od organu podatkowego jej zawarcia. To, czy organ podatkowy wejdzie w szczególną relację z podatnikiem, czy też nie, pozostawać będzie w sferze władzy dyskrecjonalnej organu. Jednocześnie na zasadach ogólnych – po to, by nie naruszać zaufania podatników do władzy publicznej oraz by zachować zasadę bezstronności i równego traktowania – organ powinien kierować się spójną polityką w zakresie traktowania podatników, także w odniesieniu do decyzji, czy i z kim (z jakim podmiotem) </w:t>
      </w:r>
      <w:r w:rsidRPr="009A3C86">
        <w:rPr>
          <w:rFonts w:ascii="Times New Roman" w:eastAsia="Times New Roman" w:hAnsi="Times New Roman"/>
          <w:sz w:val="24"/>
          <w:szCs w:val="24"/>
          <w:lang w:eastAsia="pl-PL"/>
        </w:rPr>
        <w:lastRenderedPageBreak/>
        <w:t>zostanie zawarta umowa o współdziałanie. Symetrycznie, organ podatkowy nie będzie mógł domagać się od podatnika wstąpienia w tę relację oraz przyjęcia na siebie szczególnych obowiązków z tym związanych. Nie będzie mógł także wywodzić negatywnych dla podatnika konsekwencji z faktu, że ten nie jest zainteresowany zawarciem umowy o współdziałanie.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Umowa o współdziałanie stanowi element Programu Współdziałania, a jej podpisanie jest poprzedzone procesem weryfikacji dojrzałości mechanizmów samokontroli podatkowej wdrożonej przez podatnika oraz poprawności dotychczasowego realizowania obowiązków podatkowych. Weryfikacja jest dokonywana w ramach wstępnego audytu podatkowego realizowanego przez Szefa Krajowej Administracji Skarbowej, który w swej ocenie opiera się między innymi o niezależny audyt funkcji podatkowej wykonany przez doradców podatkowych lub biegłych rewidentów.</w:t>
      </w:r>
      <w:r w:rsidRPr="009A3C86">
        <w:rPr>
          <w:rFonts w:ascii="Times" w:eastAsia="Times New Roman" w:hAnsi="Times"/>
          <w:sz w:val="16"/>
          <w:szCs w:val="16"/>
          <w:lang w:eastAsia="pl-PL"/>
        </w:rPr>
        <w:t xml:space="preserve"> </w:t>
      </w:r>
      <w:r w:rsidRPr="009A3C86">
        <w:rPr>
          <w:rFonts w:ascii="Times New Roman" w:eastAsia="Times New Roman" w:hAnsi="Times New Roman"/>
          <w:sz w:val="24"/>
          <w:szCs w:val="24"/>
          <w:lang w:eastAsia="pl-PL"/>
        </w:rPr>
        <w:t>Niezależny audyt funkcji podatkowej stanowi element ram wewnętrznego nadzoru podatkowego i jest jego obligatoryjnym elementem. Zatem podpisanie umowy o współdziałanie stanowi przystąpienie do Programu Współdziałania i jest równoznaczne z rozpoczęciem pogłębionej współpracy pomiędzy podatnikiem i Krajową Administracją Skarbową mającej na celu podjęcie wspólnego wysiłku dla zapewniania prawidłowości rozliczeń podatkowych. Po podpisaniu umowy Krajowa Administracja Skarbowa staje się kolejną „linią obrony” podatnika przed popełnieniem ewentualnych błędów podatkowych.</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xml:space="preserve">art. </w:t>
      </w:r>
      <w:r w:rsidR="00845652" w:rsidRPr="009A3C86">
        <w:rPr>
          <w:rFonts w:ascii="Times New Roman" w:eastAsia="Times New Roman" w:hAnsi="Times New Roman"/>
          <w:b/>
          <w:sz w:val="24"/>
          <w:szCs w:val="24"/>
          <w:lang w:eastAsia="pl-PL"/>
        </w:rPr>
        <w:t>630</w:t>
      </w:r>
      <w:r w:rsidRPr="009A3C86">
        <w:rPr>
          <w:rFonts w:ascii="Times New Roman" w:eastAsia="Times New Roman" w:hAnsi="Times New Roman"/>
          <w:b/>
          <w:sz w:val="24"/>
          <w:szCs w:val="24"/>
          <w:lang w:eastAsia="pl-PL"/>
        </w:rPr>
        <w:t xml:space="preserve"> § 1 i </w:t>
      </w:r>
      <w:r w:rsidR="00845652" w:rsidRPr="009A3C86">
        <w:rPr>
          <w:rFonts w:ascii="Times New Roman" w:eastAsia="Times New Roman" w:hAnsi="Times New Roman"/>
          <w:b/>
          <w:sz w:val="24"/>
          <w:szCs w:val="24"/>
          <w:lang w:eastAsia="pl-PL"/>
        </w:rPr>
        <w:t>3</w:t>
      </w:r>
      <w:r w:rsidRPr="009A3C86">
        <w:rPr>
          <w:rFonts w:ascii="Times New Roman" w:eastAsia="Times New Roman" w:hAnsi="Times New Roman"/>
          <w:sz w:val="24"/>
          <w:szCs w:val="24"/>
          <w:lang w:eastAsia="pl-PL"/>
        </w:rPr>
        <w:t xml:space="preserve"> umowę o współdziałanie, będącą podstawą relacji, może zawrzeć Szef Krajowej Administracji Skarbowej na wniosek podatnika, mającego istotne znaczenie gospodarcze. Umowa ma charakter dobrowolny, a inicjatywa jej zawarcia może wyjść zarówno od podatnika, jak i od organu podatkowego. W przypadku inicjatywy organu, podatnik musi wyrazić zgodę na rozpoczęcie wstępnego audytu podatkowego, która traktowana jest jako wniosek o podpisanie umowy. Podjęcie inicjatywy ze strony organu podatkowego nie gwarantuje podpisania umowy, ponieważ jej podpisanie jest zależne od </w:t>
      </w:r>
      <w:r w:rsidR="00845652" w:rsidRPr="009A3C86">
        <w:rPr>
          <w:rFonts w:ascii="Times New Roman" w:eastAsia="Times New Roman" w:hAnsi="Times New Roman"/>
          <w:sz w:val="24"/>
          <w:szCs w:val="24"/>
          <w:lang w:eastAsia="pl-PL"/>
        </w:rPr>
        <w:t>uzyskania pozytywnej oceny z  audytu wstępnego (</w:t>
      </w:r>
      <w:r w:rsidRPr="009A3C86">
        <w:rPr>
          <w:rFonts w:ascii="Times New Roman" w:eastAsia="Times New Roman" w:hAnsi="Times New Roman"/>
          <w:b/>
          <w:sz w:val="24"/>
          <w:szCs w:val="24"/>
          <w:lang w:eastAsia="pl-PL"/>
        </w:rPr>
        <w:t xml:space="preserve">art. </w:t>
      </w:r>
      <w:r w:rsidR="00845652" w:rsidRPr="009A3C86">
        <w:rPr>
          <w:rFonts w:ascii="Times New Roman" w:eastAsia="Times New Roman" w:hAnsi="Times New Roman"/>
          <w:b/>
          <w:sz w:val="24"/>
          <w:szCs w:val="24"/>
          <w:lang w:eastAsia="pl-PL"/>
        </w:rPr>
        <w:t>630</w:t>
      </w:r>
      <w:r w:rsidRPr="009A3C86">
        <w:rPr>
          <w:rFonts w:ascii="Times New Roman" w:eastAsia="Times New Roman" w:hAnsi="Times New Roman"/>
          <w:b/>
          <w:sz w:val="24"/>
          <w:szCs w:val="24"/>
          <w:lang w:eastAsia="pl-PL"/>
        </w:rPr>
        <w:t xml:space="preserve"> § 4</w:t>
      </w:r>
      <w:r w:rsidR="00845652"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 xml:space="preserve">. Przepis ten ma na celu zapewnienie podpisania przez Szefa Krajowej Administracji Skarbowej umowy z podmiotami wiarygodnymi, wyrażającymi nie tylko chęć przestrzegania przepisów podatkowych, ale i posiadającymi możliwości prawidłowego wypełniania obowiązków podatkowych. Z drugiej strony przepis ten ma na celu ustalenie jasnych zasad co do warunków, jakie należy spełnić, aby Szef KAS mógł zawrzeć umowę o współdziałanie z danym podatnikiem. Rozwinięcie tych zasad zostało zawarte w oddziale 3 niniejszego rozdziału. Jak wskazano powyżej Program Współdziałania będzie adresowany wyłącznie do największych (pod względem znaczenia ekonomicznego) podatników, ponieważ z jednej strony podmioty te są w stanie zapewnić należyte </w:t>
      </w:r>
      <w:r w:rsidRPr="009A3C86">
        <w:rPr>
          <w:rFonts w:ascii="Times New Roman" w:eastAsia="Times New Roman" w:hAnsi="Times New Roman"/>
          <w:sz w:val="24"/>
          <w:szCs w:val="24"/>
          <w:lang w:eastAsia="pl-PL"/>
        </w:rPr>
        <w:lastRenderedPageBreak/>
        <w:t xml:space="preserve">funkcjonowanie wewnętrznych mechanizmów kontrolnych w zakresie funkcji podatkowej, gdyż albo dysponują już dobrymi procedurami wewnętrznego nadzoru podatkowego, albo jeśli ich nie mają, to dysponują odpowiednimi zasobami osobowymi, technicznymi oraz finansowymi niezbędnymi do ich wdrożenia i utrzymania.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Innym powodem, dla którego Program Współdziałania jest przeznaczony wyłącznie dla największych podatników, jest fakt, że to właśnie te podmioty dokonują najczęściej agresywnej optymalizacji podatkowej, ponieważ ekonomiczna „opłacalność” optymalizacji podatkowej wzrasta wraz z kwotą dochodów, których ma ona dotyczyć. Wynika to przede wszystkim z konieczności poniesienia, często znacznych, kosztów obsługi całego procesu. Na ich poniesienie mogą sobie pozwolić przede wszystkim duże przedsiębiorstwa. Stawia to je tym samym w uprzywilejowanej pozycji w stosunku do pozostałych podatników pod względem możliwości realizowania agresywnej optymalizacji podatkowej. Natomiast Program pozwala na zmniejszenie lub nawet zniwelowanie opłacalności agresywnego planowania podatkowego poprzez zapewnienie gwarancji pewności prawa podatkowego w czasie rzeczywistym, co w długoterminowej perspektywie czasowej może być dla podatnika bardziej opłacalne niż ryzykowny udział w optymalizacji.</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Ponadto należy zauważyć, że konsekwencje błędu podatkowego z uwagi na wysokość zobowiązań podatkowych są najbardziej dotkliwe dla największych podatników, a z drugiej strony strata dla budżetu państwa w przypadku wpłaty należności podatkowej w zaniżonej wysokości jest również najbardziej kosztowna. Dlatego celem Programu jest udzielenie wsparcia największym podatnikom, którzy zainteresowani są prawidłowym realizowaniem obowiązków podatkowych. Program ma przynieść skutek w postaci pewności i stabilności wpływów do budżetu państwa, poprzez zapewnienie terminowej wpłaty należności podatkowych od największych podmiotów w prawidłowej wysokości bez konieczności prowadzenia długotrwałych i kosztownych sporów.</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Należy podkreślić, że efekty prowadzonego we Francji pilotażowego programu współdziałania z podatnikami (pod nazwą Relacja Zaufania), który był otwarty dla wszystkich przedsiębiorców pokazał, że małe i średnie przedsiębiorstwa traciły zainteresowanie współpracą z uwagi na dodatkowe obowiązki zawiązane ze współpracą oraz duże zaangażowanie własnych ograniczonych zasobów. Natomiast duże podmioty czerpały największą korzyść z długoterminowej współpracy z administracją podatkową, bo to właśnie one miały najbardziej złożone problemy prawnopodatkowe. Z punktu widzenia francuskiej administracji podatkowej takie działanie jest bardziej opłacalne w odniesieniu do dużych podmiotów, które angażują najwięcej zasobów.</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 xml:space="preserve">W </w:t>
      </w:r>
      <w:r w:rsidRPr="009A3C86">
        <w:rPr>
          <w:rFonts w:ascii="Times New Roman" w:eastAsia="Times New Roman" w:hAnsi="Times New Roman"/>
          <w:b/>
          <w:sz w:val="24"/>
          <w:szCs w:val="24"/>
          <w:lang w:eastAsia="pl-PL"/>
        </w:rPr>
        <w:t xml:space="preserve">art. </w:t>
      </w:r>
      <w:r w:rsidR="006E2123" w:rsidRPr="009A3C86">
        <w:rPr>
          <w:rFonts w:ascii="Times New Roman" w:eastAsia="Times New Roman" w:hAnsi="Times New Roman"/>
          <w:b/>
          <w:sz w:val="24"/>
          <w:szCs w:val="24"/>
          <w:lang w:eastAsia="pl-PL"/>
        </w:rPr>
        <w:t>630</w:t>
      </w:r>
      <w:r w:rsidRPr="009A3C86">
        <w:rPr>
          <w:rFonts w:ascii="Times New Roman" w:eastAsia="Times New Roman" w:hAnsi="Times New Roman"/>
          <w:b/>
          <w:sz w:val="24"/>
          <w:szCs w:val="24"/>
          <w:lang w:eastAsia="pl-PL"/>
        </w:rPr>
        <w:t xml:space="preserve"> § </w:t>
      </w:r>
      <w:r w:rsidR="00B30659" w:rsidRPr="009A3C86">
        <w:rPr>
          <w:rFonts w:ascii="Times New Roman" w:eastAsia="Times New Roman" w:hAnsi="Times New Roman"/>
          <w:b/>
          <w:sz w:val="24"/>
          <w:szCs w:val="24"/>
          <w:lang w:eastAsia="pl-PL"/>
        </w:rPr>
        <w:t>3</w:t>
      </w:r>
      <w:r w:rsidRPr="009A3C86">
        <w:rPr>
          <w:rFonts w:ascii="Times New Roman" w:eastAsia="Times New Roman" w:hAnsi="Times New Roman"/>
          <w:sz w:val="24"/>
          <w:szCs w:val="24"/>
          <w:lang w:eastAsia="pl-PL"/>
        </w:rPr>
        <w:t xml:space="preserve"> określono kategorię  podatników, uprawnionych do wystąpienia z wnioskiem o zawarcie umowy o współdziałanie, poprzez odniesienie się do wartości ich przychodu </w:t>
      </w:r>
      <w:r w:rsidR="006E2123" w:rsidRPr="009A3C86">
        <w:rPr>
          <w:rFonts w:ascii="Times New Roman" w:eastAsia="Times New Roman" w:hAnsi="Times New Roman"/>
          <w:sz w:val="24"/>
          <w:szCs w:val="24"/>
          <w:lang w:eastAsia="pl-PL"/>
        </w:rPr>
        <w:t xml:space="preserve">wskazaną w zeznaniu, o którym mowa w art. 27 ust. 1 </w:t>
      </w:r>
      <w:r w:rsidRPr="009A3C86">
        <w:rPr>
          <w:rFonts w:ascii="Times New Roman" w:eastAsia="Times New Roman" w:hAnsi="Times New Roman"/>
          <w:sz w:val="24"/>
          <w:szCs w:val="24"/>
          <w:lang w:eastAsia="pl-PL"/>
        </w:rPr>
        <w:t>ustawy z dnia 15 lutego 1992 r. o podatku dochodowym od osób prawnych, w roku podatkowym poprzedzającym złożenie wniosku. Wartość tych przychodów przekroczyć musi równowartość 50 mln euro. Wskazany próg przychodów jest spójny z progiem wskazanym w art. 27b ust. 2 pkt 2 ustawy o podatku dochodowym od osób prawnych, określającym obowiązek podania do publicznej wiadomości niektórych indywidualnych danych podatników zawartych w zeznaniu rocznym</w:t>
      </w:r>
      <w:r w:rsidR="00B30659"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 xml:space="preserve"> o którym mowa w art. 27 ust. 1 ww. ustawy. W konsekwencji podmioty, których przychód za dany rok podatkowy przekroczył 50 mln euro, jako najbardziej istotne pod względem gospodarczym, z jednej strony zobowiązane są do transparentności w zakresie niektórych danych zawartych w zeznaniu rocznym, a z drugiej strony mają możliwość przystąpienia do Programu Współdziałania opartego m.in. na szeroko rozumianej transparentności idącej poza dotychczasowe obowiązki ustawowe. Podkreślić też należy, że nie tylko próg przychodowy określony dla tych dwóch instytucji jest spójny, ale również cel jaki przyświecał ustawodawcy. Z uzasadnienia do przepisów wdrażających art. 27b ustawy o CIT wynika, że „upublicznienie danych podatkowych największych podmiotów – podatników podatku CIT ma w założeniu pośrednio przyczynić się do zwiększenia skłonności podatników do prawidłowego wypełniania ich zobowiązań podatkowych. Jest to ze swej istoty instrument o „miękkim” charakterze (…)”. Zatem obydwie instytucje zarówno umowa o współdziałanie jak i upublicznianie danych z zeznań mają w sposób nierepresyjny wpływać na największych podatników, aby nie stosowali oni agresywnej optymalizacji. Stąd też zasadnym jest przyjęcie dla obu instytucji tego samego kryterium dla określenia populacji podatników, będących adresatem przepisów.</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Należy również pokreślić, że przyjmując kryterium przychodowe, do grona podatników uprawnionych do wystąpienia z wnioskiem o zawarcie umowy o współdziałanie, przyjęto nie tylko podmioty płacące najwyższe podatki (wysoki przychód nie musi oznaczać konieczności zapłaty wysokich podatków), ale także inne podmioty mające istotny wpływ na gospodarkę lub daną branżę, z uwagi na duże zatrudnienie, produkcję czy sieć kontrahentów generującą wysokie obroty gospodarcze. Odniesienie się w projektowanych przepisach do kwoty przychodów w wysokości przekraczającej (równowartość w złotych) kwotę 50 mln euro jest również spójne z jednym z zawartych w ustawie </w:t>
      </w:r>
      <w:r w:rsidR="004A3CED" w:rsidRPr="009A3C86">
        <w:rPr>
          <w:rFonts w:ascii="Times New Roman" w:eastAsia="Times New Roman" w:hAnsi="Times New Roman"/>
          <w:sz w:val="24"/>
          <w:szCs w:val="24"/>
          <w:lang w:eastAsia="pl-PL"/>
        </w:rPr>
        <w:t xml:space="preserve">z dnia </w:t>
      </w:r>
      <w:r w:rsidR="004A3CED" w:rsidRPr="009A3C86">
        <w:rPr>
          <w:rFonts w:ascii="Times New Roman" w:eastAsia="Times New Roman" w:hAnsi="Times New Roman"/>
          <w:bCs/>
          <w:iCs/>
          <w:sz w:val="24"/>
          <w:szCs w:val="24"/>
          <w:lang w:eastAsia="pl-PL"/>
        </w:rPr>
        <w:t xml:space="preserve">6 marca 2018 r. – Prawo </w:t>
      </w:r>
      <w:r w:rsidR="004A3CED" w:rsidRPr="009A3C86">
        <w:rPr>
          <w:rFonts w:ascii="Times New Roman" w:eastAsia="Times New Roman" w:hAnsi="Times New Roman"/>
          <w:bCs/>
          <w:iCs/>
          <w:sz w:val="24"/>
          <w:szCs w:val="24"/>
          <w:lang w:eastAsia="pl-PL"/>
        </w:rPr>
        <w:lastRenderedPageBreak/>
        <w:t xml:space="preserve">przedsiębiorców </w:t>
      </w:r>
      <w:r w:rsidRPr="009A3C86">
        <w:rPr>
          <w:rFonts w:ascii="Times New Roman" w:eastAsia="Times New Roman" w:hAnsi="Times New Roman"/>
          <w:sz w:val="24"/>
          <w:szCs w:val="24"/>
          <w:lang w:eastAsia="pl-PL"/>
        </w:rPr>
        <w:t>warunków</w:t>
      </w:r>
      <w:r w:rsidRPr="009A3C86">
        <w:rPr>
          <w:rFonts w:ascii="Times New Roman" w:eastAsia="Times New Roman" w:hAnsi="Times New Roman"/>
          <w:sz w:val="24"/>
          <w:szCs w:val="24"/>
          <w:vertAlign w:val="superscript"/>
          <w:lang w:eastAsia="pl-PL"/>
        </w:rPr>
        <w:footnoteReference w:id="545"/>
      </w:r>
      <w:r w:rsidRPr="009A3C86">
        <w:rPr>
          <w:rFonts w:ascii="Times New Roman" w:eastAsia="Times New Roman" w:hAnsi="Times New Roman"/>
          <w:sz w:val="24"/>
          <w:szCs w:val="24"/>
          <w:lang w:eastAsia="pl-PL"/>
        </w:rPr>
        <w:t xml:space="preserve"> uznania przedsiębiorcy za innego niż mikro-, mały lub średni (czyli z tzw. „dużym przedsiębiorcą” – które to pojęcie jednak w samej ustawie nie występuje).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Proponowany próg pozwoli z całej populacji podatników wyłonić te podmioty, których wpływ na gospodarkę i budżet państwa jest istotny z punktu widzenia, zarówno ich pozycji na rynku, jak też z uwagi na ich potencjalny wpływ na dochody budżetu państwa. Jak wynika z posiadanych przez Ministerstwo Finansów danych z zeznań podatkowych, wybrana grupa podatników odpowiada za ponad 50% podatku należnego wykazanego przez wszystkich podatników dokonujących rozliczenia podatku dochodowego od osób prawnych. Warunek dotyczący ww. poziomu przychodów spełnia obecnie ok. 2,5 tys. podatników. Należy też podkreślić, że propozycje zawarte w projekcie dotyczące określonego kręgu podatników objętych proponowanymi przepisami opierają się na obiektywnym kryterium wielkości przychodów, które są powiązane z normami wynikającymi z ustawy </w:t>
      </w:r>
      <w:r w:rsidR="001D4719" w:rsidRPr="009A3C86">
        <w:rPr>
          <w:rFonts w:ascii="Times New Roman" w:eastAsia="Times New Roman" w:hAnsi="Times New Roman"/>
          <w:sz w:val="24"/>
          <w:szCs w:val="24"/>
          <w:lang w:eastAsia="pl-PL"/>
        </w:rPr>
        <w:t>z dnia 6 marca 2018 r. Prawo przedsiębiorców</w:t>
      </w:r>
      <w:r w:rsidRPr="009A3C86">
        <w:rPr>
          <w:rFonts w:ascii="Times New Roman" w:eastAsia="Times New Roman" w:hAnsi="Times New Roman"/>
          <w:sz w:val="24"/>
          <w:szCs w:val="24"/>
          <w:lang w:eastAsia="pl-PL"/>
        </w:rPr>
        <w:t xml:space="preserve">. </w:t>
      </w:r>
      <w:r w:rsidR="004C06F1" w:rsidRPr="009A3C86">
        <w:rPr>
          <w:rFonts w:ascii="Times New Roman" w:eastAsia="Times New Roman" w:hAnsi="Times New Roman"/>
          <w:sz w:val="24"/>
          <w:szCs w:val="24"/>
          <w:lang w:eastAsia="pl-PL"/>
        </w:rPr>
        <w:t>Taka r</w:t>
      </w:r>
      <w:r w:rsidRPr="009A3C86">
        <w:rPr>
          <w:rFonts w:ascii="Times New Roman" w:eastAsia="Times New Roman" w:hAnsi="Times New Roman"/>
          <w:sz w:val="24"/>
          <w:szCs w:val="24"/>
          <w:lang w:eastAsia="pl-PL"/>
        </w:rPr>
        <w:t>egulacj</w:t>
      </w:r>
      <w:r w:rsidR="004C06F1" w:rsidRPr="009A3C86">
        <w:rPr>
          <w:rFonts w:ascii="Times New Roman" w:eastAsia="Times New Roman" w:hAnsi="Times New Roman"/>
          <w:sz w:val="24"/>
          <w:szCs w:val="24"/>
          <w:lang w:eastAsia="pl-PL"/>
        </w:rPr>
        <w:t>a</w:t>
      </w:r>
      <w:r w:rsidRPr="009A3C86">
        <w:rPr>
          <w:rFonts w:ascii="Times New Roman" w:eastAsia="Times New Roman" w:hAnsi="Times New Roman"/>
          <w:sz w:val="24"/>
          <w:szCs w:val="24"/>
          <w:lang w:eastAsia="pl-PL"/>
        </w:rPr>
        <w:t xml:space="preserve"> </w:t>
      </w:r>
      <w:r w:rsidR="004C06F1" w:rsidRPr="009A3C86">
        <w:rPr>
          <w:rFonts w:ascii="Times New Roman" w:eastAsia="Times New Roman" w:hAnsi="Times New Roman"/>
          <w:sz w:val="24"/>
          <w:szCs w:val="24"/>
          <w:lang w:eastAsia="pl-PL"/>
        </w:rPr>
        <w:t>daje</w:t>
      </w:r>
      <w:r w:rsidRPr="009A3C86">
        <w:rPr>
          <w:rFonts w:ascii="Times New Roman" w:eastAsia="Times New Roman" w:hAnsi="Times New Roman"/>
          <w:sz w:val="24"/>
          <w:szCs w:val="24"/>
          <w:lang w:eastAsia="pl-PL"/>
        </w:rPr>
        <w:t xml:space="preserve"> możliwość obiektywnego ustalenia – zarówno przez Szefa Krajowej Administracji Skarbowej, jak i przez samych podatników – grupy podatników, których dotyczą projektowane przepisy.</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w:t>
      </w:r>
      <w:r w:rsidR="00A90DD4" w:rsidRPr="009A3C86">
        <w:rPr>
          <w:rFonts w:ascii="Times New Roman" w:eastAsia="Times New Roman" w:hAnsi="Times New Roman"/>
          <w:sz w:val="24"/>
          <w:szCs w:val="24"/>
          <w:lang w:eastAsia="pl-PL"/>
        </w:rPr>
        <w:t xml:space="preserve">art. 638 </w:t>
      </w:r>
      <w:r w:rsidRPr="009A3C86">
        <w:rPr>
          <w:rFonts w:ascii="Times New Roman" w:eastAsia="Times New Roman" w:hAnsi="Times New Roman"/>
          <w:sz w:val="24"/>
          <w:szCs w:val="24"/>
          <w:lang w:eastAsia="pl-PL"/>
        </w:rPr>
        <w:t xml:space="preserve">§ 1 wskazano również zakres przedmiotowy umowy o współdziałanie, zgodnie z którym jest ona zawierana wyłącznie w zakresie podatków pozostających we właściwości Krajowej Administracji Skarbowej, ponieważ jest ona zawierana z Szefem Krajowej Administracji Skarbowej, który odpowiada za ich pobór w prawidłowej i terminowej wysokości. Umowa nie obejmuje podatków lokalnych będących we właściwości organów samorządowych.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Natomiast w </w:t>
      </w:r>
      <w:r w:rsidR="00891828" w:rsidRPr="009A3C86">
        <w:rPr>
          <w:rFonts w:ascii="Times New Roman" w:eastAsia="Times New Roman" w:hAnsi="Times New Roman"/>
          <w:b/>
          <w:sz w:val="24"/>
          <w:szCs w:val="24"/>
          <w:lang w:eastAsia="pl-PL"/>
        </w:rPr>
        <w:t xml:space="preserve">art. </w:t>
      </w:r>
      <w:r w:rsidR="00B30659" w:rsidRPr="009A3C86">
        <w:rPr>
          <w:rFonts w:ascii="Times New Roman" w:eastAsia="Times New Roman" w:hAnsi="Times New Roman"/>
          <w:b/>
          <w:sz w:val="24"/>
          <w:szCs w:val="24"/>
          <w:lang w:eastAsia="pl-PL"/>
        </w:rPr>
        <w:t>630</w:t>
      </w:r>
      <w:r w:rsidR="00891828"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xml:space="preserve">§ </w:t>
      </w:r>
      <w:r w:rsidR="00B30659" w:rsidRPr="009A3C86">
        <w:rPr>
          <w:rFonts w:ascii="Times New Roman" w:eastAsia="Times New Roman" w:hAnsi="Times New Roman"/>
          <w:b/>
          <w:sz w:val="24"/>
          <w:szCs w:val="24"/>
          <w:lang w:eastAsia="pl-PL"/>
        </w:rPr>
        <w:t>2</w:t>
      </w:r>
      <w:r w:rsidRPr="009A3C86">
        <w:rPr>
          <w:rFonts w:ascii="Times New Roman" w:eastAsia="Times New Roman" w:hAnsi="Times New Roman"/>
          <w:sz w:val="24"/>
          <w:szCs w:val="24"/>
          <w:lang w:eastAsia="pl-PL"/>
        </w:rPr>
        <w:t xml:space="preserve"> wskazano cel umowy o współdziałanie, którym jest zapewnienie przestrzegania przez podatnika prawa podatkowego w warunkach wzajemnego zaufania między organem podatkowym a podatnikiem, przejrzystości i zrozumienia przez organ podatkowy charakteru prowadzonej przez podatnika działalności. </w:t>
      </w:r>
    </w:p>
    <w:p w:rsidR="00DF34F6" w:rsidRPr="009A3C86" w:rsidRDefault="00DF34F6" w:rsidP="00DF34F6">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Przez wzajemne zaufanie należy rozumieć uzasadnione zaufanie, co oznacza , że nie może ono być naiwne, lecz musi być oparte na obiektywnych faktach. Uzasadnione zaufanie po stronie </w:t>
      </w:r>
      <w:r w:rsidRPr="009A3C86">
        <w:rPr>
          <w:rFonts w:ascii="Times New Roman" w:eastAsia="Times New Roman" w:hAnsi="Times New Roman"/>
          <w:sz w:val="24"/>
          <w:szCs w:val="24"/>
          <w:lang w:eastAsia="pl-PL"/>
        </w:rPr>
        <w:lastRenderedPageBreak/>
        <w:t>Krajowej Administracji Skarbowej (dalej także KAS) wnika z faktu wdrożenia przez podatnika mechanizmów samokontroli zapewniających świadomość podejmowanych decyzji w zakresie zarządzania kwestiami podatkowymi w sposób budzący zaufanie organów podatkowych i innych interesariuszy. W konsekwencji, do współpracy w ramach Programu mogą przystąpić podatnicy, u których elementy ładu korporacyjnego, kontroli wewnętrznej, zarządzania ryzykiem gwarantują prawidłowość postępowania w kwestiach podatkowych. Natomiast zaufanie po stronie podatników będzie budowane przez racjonalne, uzasadnione i adekwatne do potrzeb działania KAS podejmowane w ramach Programu.</w:t>
      </w:r>
    </w:p>
    <w:p w:rsidR="00DF34F6" w:rsidRPr="009A3C86" w:rsidRDefault="00DF34F6" w:rsidP="00DF34F6">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Zrozumienie w ramach Programu powinno być obustronne, należy je odnosić do posiadania wiedzy na temat zasad funkcjonowania obu stron oraz ich środowiska. Z jednej strony do uznania przez podatnika wymagań stawianych przez KAS, jako organizacji stojącej na straży przestrzegania przepisów podatkowych, a z drugiej strony do uwzględnienia przez KAS szczególnych uwarunkowań w jakich funkcjonuje podatnik jako podmiot gospodarczy. Zrozumienie oznacza również, że strony świadomie współdziałają we wspólnym interesie, którym rozwój społeczny i gospodarczy kraju i jego obywateli.</w:t>
      </w:r>
    </w:p>
    <w:p w:rsidR="00DF34F6" w:rsidRPr="009A3C86" w:rsidRDefault="00DF34F6" w:rsidP="00DF34F6">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Z kolei poprzez transparentność należy rozumieć gotowość i umiejętność otwarcia się podmiotu aplikującego lub objętego Programem w zakresie przyjętej strategii podatkowej oraz kwestii podatkowych (w tym zdarzeń przyszłych i potencjalnie spornych). W praktyce oznacza to, że podatnik ujawnia KAS bez zwłoki wszelkie istotne dla opodatkowania informacje, a także wskazuje wszelkie trudne zagadnienia podatkowe, których nie jest w stanie rozstrzygnąć we własnym zakresie, oraz zidentyfikowane ryzyka podatkowe, dostarcza też szczerych i rzetelnych odpowiedzi na pytania, z którymi występuje do niego KAS. Natomiast transparentność ze strony KAS to otwartość w zakresie informowania o okolicznościach z jakimi są związane pytania kierowane do podatnika oraz w zakresie wdrażania czynności nadzorczych wobec podatnika.</w:t>
      </w:r>
    </w:p>
    <w:p w:rsidR="00DF34F6" w:rsidRPr="009A3C86" w:rsidRDefault="00DF34F6" w:rsidP="00DF34F6">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Dodatkowo w celu zapewniania transparentności działania Szefa Krajowej Administracji Skarbowej oraz realizacji zasady ogólnej wynikającej z art. 19, zgodnie z którą organy podatkowe działają w sposób budzący zaufanie oraz kierują się zasadami bezstronności i równego traktowania zobowiązanych - odmowa zawarcia umowy o współdziałanie będzie wydawana w formie pisemnej wraz z uzasadnieniem. Przyczyny odmowy powinny być przekazane do wiadomości podatnika, tak aby wiedział z jakiego obiektywnego powodu Szef Krajowej Administracji Skarbowej nie może z nim podpisać umowy o współdziałanie. Władza dyskrecjonalna organu podatkowego w zakresie zwierania umowy o współdziałanie nie oznacza dowolności działania, która w praktyce mogłaby prowadzić do nierównego </w:t>
      </w:r>
      <w:r w:rsidRPr="009A3C86">
        <w:rPr>
          <w:rFonts w:ascii="Times New Roman" w:eastAsia="Times New Roman" w:hAnsi="Times New Roman"/>
          <w:sz w:val="24"/>
          <w:szCs w:val="24"/>
          <w:lang w:eastAsia="pl-PL"/>
        </w:rPr>
        <w:lastRenderedPageBreak/>
        <w:t>traktowania podatników. Działanie Szefa Krajowej Administracji Skarbowej w tym zakresie, choć mieści się w ramach władzy dyskrecjonalnej, nie może być nieracjonalne, stronnicze i nieoparte na obiektywnych przesłankach. Dlatego Szef Krajowej Administracji Skarbowej decydując się na podjęcie lub odmowę podjęcia współpracy powinien kierować się nie tylko spójną polityką w zakresie równego traktowania podatników aplikujących do Programu Współdziałania, ale i przekazywać podatnikom informację zwrotną wskazująca na racjonalne przyczyny podjętej decyzji, które mają zastosowanie do wszystkich podmiotów chcących podpisać umowę o współdziałanie (</w:t>
      </w:r>
      <w:r w:rsidRPr="009A3C86">
        <w:rPr>
          <w:rFonts w:ascii="Times New Roman" w:eastAsia="Times New Roman" w:hAnsi="Times New Roman"/>
          <w:b/>
          <w:sz w:val="24"/>
          <w:szCs w:val="24"/>
          <w:lang w:eastAsia="pl-PL"/>
        </w:rPr>
        <w:t xml:space="preserve">art. </w:t>
      </w:r>
      <w:r w:rsidR="00B30659" w:rsidRPr="009A3C86">
        <w:rPr>
          <w:rFonts w:ascii="Times New Roman" w:eastAsia="Times New Roman" w:hAnsi="Times New Roman"/>
          <w:b/>
          <w:sz w:val="24"/>
          <w:szCs w:val="24"/>
          <w:lang w:eastAsia="pl-PL"/>
        </w:rPr>
        <w:t>630</w:t>
      </w:r>
      <w:r w:rsidRPr="009A3C86">
        <w:rPr>
          <w:rFonts w:ascii="Times New Roman" w:eastAsia="Times New Roman" w:hAnsi="Times New Roman"/>
          <w:b/>
          <w:sz w:val="24"/>
          <w:szCs w:val="24"/>
          <w:lang w:eastAsia="pl-PL"/>
        </w:rPr>
        <w:t xml:space="preserve"> § </w:t>
      </w:r>
      <w:r w:rsidR="00B30659" w:rsidRPr="009A3C86">
        <w:rPr>
          <w:rFonts w:ascii="Times New Roman" w:eastAsia="Times New Roman" w:hAnsi="Times New Roman"/>
          <w:b/>
          <w:sz w:val="24"/>
          <w:szCs w:val="24"/>
          <w:lang w:eastAsia="pl-PL"/>
        </w:rPr>
        <w:t>5</w:t>
      </w:r>
      <w:r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Umowa o współdziałanie zostaje zawarta na czas nieokreślony w formie pisemnej (</w:t>
      </w:r>
      <w:r w:rsidRPr="009A3C86">
        <w:rPr>
          <w:rFonts w:ascii="Times New Roman" w:eastAsia="Times New Roman" w:hAnsi="Times New Roman"/>
          <w:b/>
          <w:sz w:val="24"/>
          <w:szCs w:val="24"/>
          <w:lang w:eastAsia="pl-PL"/>
        </w:rPr>
        <w:t xml:space="preserve">art. </w:t>
      </w:r>
      <w:r w:rsidR="00566D08" w:rsidRPr="009A3C86">
        <w:rPr>
          <w:rFonts w:ascii="Times New Roman" w:eastAsia="Times New Roman" w:hAnsi="Times New Roman"/>
          <w:b/>
          <w:sz w:val="24"/>
          <w:szCs w:val="24"/>
          <w:lang w:eastAsia="pl-PL"/>
        </w:rPr>
        <w:t>631</w:t>
      </w:r>
      <w:r w:rsidR="005649FB" w:rsidRPr="009A3C86">
        <w:rPr>
          <w:rFonts w:ascii="Times New Roman" w:eastAsia="Times New Roman" w:hAnsi="Times New Roman"/>
          <w:b/>
          <w:sz w:val="24"/>
          <w:szCs w:val="24"/>
          <w:lang w:eastAsia="pl-PL"/>
        </w:rPr>
        <w:t xml:space="preserve"> § </w:t>
      </w:r>
      <w:r w:rsidRPr="009A3C86">
        <w:rPr>
          <w:rFonts w:ascii="Times New Roman" w:eastAsia="Times New Roman" w:hAnsi="Times New Roman"/>
          <w:b/>
          <w:sz w:val="24"/>
          <w:szCs w:val="24"/>
          <w:lang w:eastAsia="pl-PL"/>
        </w:rPr>
        <w:t>1</w:t>
      </w:r>
      <w:r w:rsidRPr="009A3C86">
        <w:rPr>
          <w:rFonts w:ascii="Times New Roman" w:eastAsia="Times New Roman" w:hAnsi="Times New Roman"/>
          <w:sz w:val="24"/>
          <w:szCs w:val="24"/>
          <w:lang w:eastAsia="pl-PL"/>
        </w:rPr>
        <w:t>). Daje to możliwość uniknięcia powtarzania wstępnych działań weryfikacyjnych, co nie obciąża stron dodatkowymi kosztami. Ponadto daje podatnikom pewność ciągłości i kontynuacji współpracy z Krajową Administracją Skarbową. Pewność ta ma odbicie w przyjmowanych strategiach działania podatnika. Nieokreślony czas umowy nie wpływa negatywnie na poziom wypełniania obowiązków podatkowych, ale umożliwia Szefowi Krajowej Administracji Skarbowej lepiej zarządzać zasobami.</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Elementy umowy o współdziałanie wymienione zostały w </w:t>
      </w:r>
      <w:r w:rsidRPr="009A3C86">
        <w:rPr>
          <w:rFonts w:ascii="Times New Roman" w:eastAsia="Times New Roman" w:hAnsi="Times New Roman"/>
          <w:b/>
          <w:sz w:val="24"/>
          <w:szCs w:val="24"/>
          <w:lang w:eastAsia="pl-PL"/>
        </w:rPr>
        <w:t xml:space="preserve">art. </w:t>
      </w:r>
      <w:r w:rsidR="00566D08" w:rsidRPr="009A3C86">
        <w:rPr>
          <w:rFonts w:ascii="Times New Roman" w:eastAsia="Times New Roman" w:hAnsi="Times New Roman"/>
          <w:b/>
          <w:sz w:val="24"/>
          <w:szCs w:val="24"/>
          <w:lang w:eastAsia="pl-PL"/>
        </w:rPr>
        <w:t>631</w:t>
      </w:r>
      <w:r w:rsidRPr="009A3C86">
        <w:rPr>
          <w:rFonts w:ascii="Times New Roman" w:eastAsia="Times New Roman" w:hAnsi="Times New Roman"/>
          <w:b/>
          <w:sz w:val="24"/>
          <w:szCs w:val="24"/>
          <w:lang w:eastAsia="pl-PL"/>
        </w:rPr>
        <w:t xml:space="preserve"> § 2</w:t>
      </w:r>
      <w:r w:rsidRPr="009A3C86">
        <w:rPr>
          <w:rFonts w:ascii="Times New Roman" w:eastAsia="Times New Roman" w:hAnsi="Times New Roman"/>
          <w:sz w:val="24"/>
          <w:szCs w:val="24"/>
          <w:lang w:eastAsia="pl-PL"/>
        </w:rPr>
        <w:t>, zgodnie z którym zawiera ona</w:t>
      </w:r>
      <w:r w:rsidR="00566D08" w:rsidRPr="009A3C86">
        <w:rPr>
          <w:rFonts w:ascii="Times New Roman" w:eastAsia="Times New Roman" w:hAnsi="Times New Roman"/>
          <w:sz w:val="24"/>
          <w:szCs w:val="24"/>
          <w:lang w:eastAsia="pl-PL"/>
        </w:rPr>
        <w:t xml:space="preserve"> ustalenia stron niezbędne dla prawidłowej realizacji warunków umowy, w tym szczegółowe określenie praw i obowiązków stron wynikających z zawartej umowy oraz sposób informowania się o osobach upoważnionych do kontaktu między stronami tej umowy. </w:t>
      </w:r>
      <w:r w:rsidRPr="009A3C86">
        <w:rPr>
          <w:rFonts w:ascii="Times New Roman" w:eastAsia="Times New Roman" w:hAnsi="Times New Roman"/>
          <w:sz w:val="24"/>
          <w:szCs w:val="24"/>
          <w:lang w:eastAsia="pl-PL"/>
        </w:rPr>
        <w:t xml:space="preserve"> Ogólny zakres praw i obowiązków wynikających z umowy jest taki sam dla wszystkich podatników, którzy zawrą umowę o współdziałanie. Podobne rozwiązanie przyjęto w Holandii w programie horizontal monitoring</w:t>
      </w:r>
      <w:r w:rsidRPr="009A3C86">
        <w:rPr>
          <w:rFonts w:ascii="Times New Roman" w:eastAsia="Times New Roman" w:hAnsi="Times New Roman"/>
          <w:sz w:val="24"/>
          <w:szCs w:val="24"/>
          <w:vertAlign w:val="superscript"/>
          <w:lang w:eastAsia="pl-PL"/>
        </w:rPr>
        <w:footnoteReference w:id="546"/>
      </w:r>
      <w:r w:rsidRPr="009A3C86">
        <w:rPr>
          <w:rFonts w:ascii="Times New Roman" w:eastAsia="Times New Roman" w:hAnsi="Times New Roman"/>
          <w:sz w:val="24"/>
          <w:szCs w:val="24"/>
          <w:lang w:eastAsia="pl-PL"/>
        </w:rPr>
        <w:t>. Jednocześnie przebieg realizacji umowy będzie zindywidualizowany, m.in. dlatego, że inne i specyficzne dla każdego z podatników mogą być procedury wewnętrznej kontroli poprawności rozliczenia podatkowego.</w:t>
      </w:r>
    </w:p>
    <w:p w:rsidR="006545FA" w:rsidRPr="009A3C86" w:rsidRDefault="004166B8" w:rsidP="006545FA">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dalszej części przepisów wskazano zobowiązania stron umowy o współdziałanie. Przepis </w:t>
      </w:r>
      <w:r w:rsidRPr="009A3C86">
        <w:rPr>
          <w:rFonts w:ascii="Times New Roman" w:eastAsia="Times New Roman" w:hAnsi="Times New Roman"/>
          <w:b/>
          <w:sz w:val="24"/>
          <w:szCs w:val="24"/>
          <w:lang w:eastAsia="pl-PL"/>
        </w:rPr>
        <w:t xml:space="preserve">art. </w:t>
      </w:r>
      <w:r w:rsidR="008720E8" w:rsidRPr="009A3C86">
        <w:rPr>
          <w:rFonts w:ascii="Times New Roman" w:eastAsia="Times New Roman" w:hAnsi="Times New Roman"/>
          <w:b/>
          <w:sz w:val="24"/>
          <w:szCs w:val="24"/>
          <w:lang w:eastAsia="pl-PL"/>
        </w:rPr>
        <w:t>632</w:t>
      </w:r>
      <w:r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sz w:val="24"/>
          <w:szCs w:val="24"/>
          <w:lang w:eastAsia="pl-PL"/>
        </w:rPr>
        <w:t xml:space="preserve">dotyczy zobowiązań podatnika, wskazano w nim cztery ogólne obowiązki, do których stosowania się zobowiązuje podatnik podpisujący umowę o współdziałanie. Pierwszym jest zobowiązanie do dobrowolnego i prawidłowego wypełniania obowiązków wynikających z przepisów prawa podatkowego, który jest spójny z głównym celem podejmowanej w ramach umowy współpracy </w:t>
      </w:r>
      <w:r w:rsidR="006545FA" w:rsidRPr="009A3C86">
        <w:rPr>
          <w:rFonts w:ascii="Times New Roman" w:eastAsia="Times New Roman" w:hAnsi="Times New Roman"/>
          <w:sz w:val="24"/>
          <w:szCs w:val="24"/>
          <w:lang w:eastAsia="pl-PL"/>
        </w:rPr>
        <w:t>i nie jest powieleniem obecnych obowiązków wynikających z przepisów prawa (</w:t>
      </w:r>
      <w:r w:rsidR="006545FA" w:rsidRPr="009A3C86">
        <w:rPr>
          <w:rFonts w:ascii="Times New Roman" w:eastAsia="Times New Roman" w:hAnsi="Times New Roman"/>
          <w:b/>
          <w:sz w:val="24"/>
          <w:szCs w:val="24"/>
          <w:lang w:eastAsia="pl-PL"/>
        </w:rPr>
        <w:t>pkt 1</w:t>
      </w:r>
      <w:r w:rsidR="006545FA" w:rsidRPr="009A3C86">
        <w:rPr>
          <w:rFonts w:ascii="Times New Roman" w:eastAsia="Times New Roman" w:hAnsi="Times New Roman"/>
          <w:sz w:val="24"/>
          <w:szCs w:val="24"/>
          <w:lang w:eastAsia="pl-PL"/>
        </w:rPr>
        <w:t xml:space="preserve">). Nadrzędnym celem przedmiotowej współpracy jest zapewnienie wpłaty podatku od razu w prawidłowej wysokości i w terminie, bez konieczności zastosowania środków </w:t>
      </w:r>
      <w:r w:rsidR="006545FA" w:rsidRPr="009A3C86">
        <w:rPr>
          <w:rFonts w:ascii="Times New Roman" w:eastAsia="Times New Roman" w:hAnsi="Times New Roman"/>
          <w:sz w:val="24"/>
          <w:szCs w:val="24"/>
          <w:lang w:eastAsia="pl-PL"/>
        </w:rPr>
        <w:lastRenderedPageBreak/>
        <w:t>przymusu, którymi dysponuje KAS. Dlatego przez dobrowolną realizację obowiązków podatkowych należy rozumieć, że podatnik będzie starał się je wykonywać bez konieczności  wszczynania postępowania podatkowego czy egzekucyjnego. Dobrowolność wykonywania obowiązków podatkowych oznacza również, że podatnik nie będzie stosował praktyk mających na celu unikanie opodatkowania, w tym nie będzie świadomie i celowo dokonywał agresywnej optymalizacji. W tym celu już na poziomie strategicznym, tj. w strategii podatkowej przyjmie odpowiednie założenia służące zapobieganiu unikania opodatkowania, a także zapewni mechanizmy nadzorcze gwarantujące minimalizację ryzyk podatkowych, tak aby dobrowolnie i prawidłowo realizować obowiązki podatkowe.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Kolejnym obowiązkiem jest posiadanie uzgodnionych z organem podatkowym skutecznych i adekwatnych ram wewnętrznego nadzoru podatkowego, co stanowi zapewnienie, że podatnik ten nadzoruje kwestie podatkowe i ma możliwość prawidłowo wypełniać swoje obowiązki podatkowe</w:t>
      </w:r>
      <w:r w:rsidR="00F451B1" w:rsidRPr="009A3C86">
        <w:rPr>
          <w:rFonts w:ascii="Times New Roman" w:eastAsia="Times New Roman" w:hAnsi="Times New Roman"/>
          <w:sz w:val="24"/>
          <w:szCs w:val="24"/>
          <w:lang w:eastAsia="pl-PL"/>
        </w:rPr>
        <w:t xml:space="preserve"> (</w:t>
      </w:r>
      <w:r w:rsidR="00F451B1" w:rsidRPr="009A3C86">
        <w:rPr>
          <w:rFonts w:ascii="Times New Roman" w:eastAsia="Times New Roman" w:hAnsi="Times New Roman"/>
          <w:b/>
          <w:sz w:val="24"/>
          <w:szCs w:val="24"/>
          <w:lang w:eastAsia="pl-PL"/>
        </w:rPr>
        <w:t>pkt 2</w:t>
      </w:r>
      <w:r w:rsidR="00F451B1"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 Ramy wewnętrznego nadzoru podatkowego są adekwatne, gdy są dostosowane do wielkości i struktury oraz typu działalności podatnika, w tym sektora gospodarczego i skali prowadzonych krajowych i zagranicznych transakcji. Adekwatność ram wewnętrznego nadzoru podatkowego pozwala na zachowanie efektywnej zdolności do ich prawidłowego funkcjonowania. Adekwatne ramy wewnętrznego nadzoru podatkowego mają zapewnić wysoką jakość prowadzonych rejestrów i zapewnić prawidłowy przebieg wdrażania nowych systemów i procesów oraz zmian w elementach istniejących we wdrożonym już środowisku, mających wpływ na działanie funkcji podatkowej poprzez odpowiednie planowanie, szacowanie ryzyka oraz działania w zakresie ich wdrażania i oceny powdrożeniowej.</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Skuteczne ramy wewnętrznego nadzoru podatkowego cechują się: kompleksowością, udokumentowaniem, monitorowaniem i udoskonalaniem, gwarancją pewności, przyjętymi zakresami odpowiedzialności. Przy czym przez kompleksowość ram wewnętrznego nadzoru podatkowego należy rozumieć objęcie nimi całej organizacji i uwzględnienie różnych ról i zakresów odpowiedzialności, co oznacza, że ramy muszą odnosić się do całej funkcji podatkowej, nie tylko wyłącznie do działań departamentu lub działu odpowiedzialnego za kwestie podatkowe. Gwarancja pewności w zakresie ram wewnętrznego nadzoru podatkowego oznacza pewność kontrolowania przez podatnika ryzyka podatkowego i produktów tworzonych w wyniku realizacji obowiązków podatkowych oraz gwarancję sprawowania kontroli nad procesami podatkowymi podmiotu, zapewniając przy tym terminowe identyfikowanie ryzyk oraz terminowe składanie deklaracji podatkowych zawierających prawidłowe dane.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Szczegółowe informacje na temat wymagań w zakresie ram wewnętrznego nadzoru podatkowego oraz ładu podatkowego zostaną opublikowane w formie wytycznych na stronie Ministerstwa Finansów.</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w:t>
      </w:r>
      <w:r w:rsidR="00F451B1" w:rsidRPr="009A3C86">
        <w:rPr>
          <w:rFonts w:ascii="Times New Roman" w:eastAsia="Times New Roman" w:hAnsi="Times New Roman"/>
          <w:b/>
          <w:sz w:val="24"/>
          <w:szCs w:val="24"/>
          <w:lang w:eastAsia="pl-PL"/>
        </w:rPr>
        <w:t xml:space="preserve">art. </w:t>
      </w:r>
      <w:r w:rsidR="008720E8" w:rsidRPr="009A3C86">
        <w:rPr>
          <w:rFonts w:ascii="Times New Roman" w:eastAsia="Times New Roman" w:hAnsi="Times New Roman"/>
          <w:b/>
          <w:sz w:val="24"/>
          <w:szCs w:val="24"/>
          <w:lang w:eastAsia="pl-PL"/>
        </w:rPr>
        <w:t>632</w:t>
      </w:r>
      <w:r w:rsidR="00F451B1"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pkt 3</w:t>
      </w:r>
      <w:r w:rsidRPr="009A3C86">
        <w:rPr>
          <w:rFonts w:ascii="Times New Roman" w:eastAsia="Times New Roman" w:hAnsi="Times New Roman"/>
          <w:sz w:val="24"/>
          <w:szCs w:val="24"/>
          <w:lang w:eastAsia="pl-PL"/>
        </w:rPr>
        <w:t xml:space="preserve"> zawarto promesę zgłaszania Szefowi Krajowej Administracji Skarbowej, bez wcześniejszego wezwania, wszelkich istotnych zagadnień podatkowych, które obiektywnie oceniając mogą stać się źródłem sporu między podatnikiem a organem podatkowym, zgodnie z określonymi w umowie o współdziałanie progami istotności. Natomiast </w:t>
      </w:r>
      <w:r w:rsidR="00F451B1" w:rsidRPr="009A3C86">
        <w:rPr>
          <w:rFonts w:ascii="Times New Roman" w:eastAsia="Times New Roman" w:hAnsi="Times New Roman"/>
          <w:b/>
          <w:sz w:val="24"/>
          <w:szCs w:val="24"/>
          <w:lang w:eastAsia="pl-PL"/>
        </w:rPr>
        <w:t xml:space="preserve">art. </w:t>
      </w:r>
      <w:r w:rsidR="008720E8" w:rsidRPr="009A3C86">
        <w:rPr>
          <w:rFonts w:ascii="Times New Roman" w:eastAsia="Times New Roman" w:hAnsi="Times New Roman"/>
          <w:b/>
          <w:sz w:val="24"/>
          <w:szCs w:val="24"/>
          <w:lang w:eastAsia="pl-PL"/>
        </w:rPr>
        <w:t>632</w:t>
      </w:r>
      <w:r w:rsidR="00F451B1"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pkt 4</w:t>
      </w:r>
      <w:r w:rsidRPr="009A3C86">
        <w:rPr>
          <w:rFonts w:ascii="Times New Roman" w:eastAsia="Times New Roman" w:hAnsi="Times New Roman"/>
          <w:sz w:val="24"/>
          <w:szCs w:val="24"/>
          <w:lang w:eastAsia="pl-PL"/>
        </w:rPr>
        <w:t xml:space="preserve"> obliguje podatnika do niezwłocznego przekazywania Szefowi Krajowej Administracji Skarbowej, bez wezwania, istotnych informacji mogących mieć wpływ na uzyskanie korzyści podatkowej przez podatnika, zgodnie z określonymi w umowie o współdziałanie progami istotności.</w:t>
      </w:r>
    </w:p>
    <w:p w:rsidR="004166B8" w:rsidRPr="009A3C86" w:rsidRDefault="004166B8" w:rsidP="004166B8">
      <w:pPr>
        <w:tabs>
          <w:tab w:val="left" w:pos="426"/>
          <w:tab w:val="left" w:pos="993"/>
        </w:tabs>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Przepis </w:t>
      </w:r>
      <w:r w:rsidRPr="009A3C86">
        <w:rPr>
          <w:rFonts w:ascii="Times New Roman" w:eastAsia="Times New Roman" w:hAnsi="Times New Roman"/>
          <w:b/>
          <w:sz w:val="24"/>
          <w:szCs w:val="24"/>
          <w:lang w:eastAsia="pl-PL"/>
        </w:rPr>
        <w:t xml:space="preserve">art. </w:t>
      </w:r>
      <w:r w:rsidR="008720E8" w:rsidRPr="009A3C86">
        <w:rPr>
          <w:rFonts w:ascii="Times New Roman" w:eastAsia="Times New Roman" w:hAnsi="Times New Roman"/>
          <w:b/>
          <w:sz w:val="24"/>
          <w:szCs w:val="24"/>
          <w:lang w:eastAsia="pl-PL"/>
        </w:rPr>
        <w:t>633</w:t>
      </w:r>
      <w:r w:rsidRPr="009A3C86">
        <w:rPr>
          <w:rFonts w:ascii="Times New Roman" w:eastAsia="Times New Roman" w:hAnsi="Times New Roman"/>
          <w:sz w:val="24"/>
          <w:szCs w:val="24"/>
          <w:lang w:eastAsia="pl-PL"/>
        </w:rPr>
        <w:t xml:space="preserve"> zawiera zobowiązanie Szefa Krajowej Administracji Skarbowej do stosowania zasady proporcjonalności poprzez dostosowanie formy i częstotliwości działań weryfikujących poprawność rozliczenia podatkowego do potrzeb organu podatkowego w danym przypadku. Przepis ten wskazuje na zindywidualizowanie nadzoru nad podatnikiem i jego dostosowanie, nie tylko do dotychczasowej współpracy z organami podatkowymi i stopnia poprawności wypełniania obowiązków podatkowych, ale również do </w:t>
      </w:r>
      <w:r w:rsidR="00A027B9" w:rsidRPr="009A3C86">
        <w:rPr>
          <w:rFonts w:ascii="Times New Roman" w:eastAsia="Times New Roman" w:hAnsi="Times New Roman"/>
          <w:sz w:val="24"/>
          <w:szCs w:val="24"/>
          <w:lang w:eastAsia="pl-PL"/>
        </w:rPr>
        <w:t xml:space="preserve">aktualnego poziomu </w:t>
      </w:r>
      <w:r w:rsidRPr="009A3C86">
        <w:rPr>
          <w:rFonts w:ascii="Times New Roman" w:eastAsia="Times New Roman" w:hAnsi="Times New Roman"/>
          <w:sz w:val="24"/>
          <w:szCs w:val="24"/>
          <w:lang w:eastAsia="pl-PL"/>
        </w:rPr>
        <w:t>skuteczności i adekwatności ram wewnętrznego nadzoru podatkowego. Poziom nadzoru jest również zależny od wdrożonych przez podatnika standardów etyki, które stanowią istotny element kultury organizacyjnej, warunkującej prawidłowe stosowanie w praktyce ustanowionych procedur i procesów wewnętrznego nadzoru podatkowego. Podatnicy, którzy wdrożyli wewnętrzne środki kontroli nad prowadzoną działalnością, będą objęci nadzorem Krajowej Administracji Skarbowej, uzależnionym od jakości tej kontroli, co z jednej strony zmniejszy obciążenie podatnika związane z kontrolami podatkowymi i celno-skarbowymi, z drugiej zaś wpłynie w dalszym okresie na zmniejszenie kosztów zapewniania przez Krajową Administrację Skarbową prawidłowego wypełniania obowiązków podatkowych (</w:t>
      </w:r>
      <w:r w:rsidR="00A46818" w:rsidRPr="009A3C86">
        <w:rPr>
          <w:rFonts w:ascii="Times New Roman" w:eastAsia="Times New Roman" w:hAnsi="Times New Roman"/>
          <w:b/>
          <w:sz w:val="24"/>
          <w:szCs w:val="24"/>
          <w:lang w:eastAsia="pl-PL"/>
        </w:rPr>
        <w:t>art.</w:t>
      </w:r>
      <w:r w:rsidR="00A46818" w:rsidRPr="009A3C86">
        <w:rPr>
          <w:rFonts w:ascii="Times New Roman" w:eastAsia="Times New Roman" w:hAnsi="Times New Roman"/>
          <w:sz w:val="24"/>
          <w:szCs w:val="24"/>
          <w:lang w:eastAsia="pl-PL"/>
        </w:rPr>
        <w:t xml:space="preserve"> </w:t>
      </w:r>
      <w:r w:rsidR="00A027B9" w:rsidRPr="009A3C86">
        <w:rPr>
          <w:rFonts w:ascii="Times New Roman" w:eastAsia="Times New Roman" w:hAnsi="Times New Roman"/>
          <w:b/>
          <w:sz w:val="24"/>
          <w:szCs w:val="24"/>
          <w:lang w:eastAsia="pl-PL"/>
        </w:rPr>
        <w:t>633</w:t>
      </w:r>
      <w:r w:rsidR="00A46818"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pkt 1</w:t>
      </w:r>
      <w:r w:rsidRPr="009A3C86">
        <w:rPr>
          <w:rFonts w:ascii="Times New Roman" w:eastAsia="Times New Roman" w:hAnsi="Times New Roman"/>
          <w:sz w:val="24"/>
          <w:szCs w:val="24"/>
          <w:lang w:eastAsia="pl-PL"/>
        </w:rPr>
        <w:t xml:space="preserve">). </w:t>
      </w:r>
    </w:p>
    <w:p w:rsidR="00A027B9" w:rsidRPr="009A3C86" w:rsidRDefault="004166B8" w:rsidP="00A027B9">
      <w:pPr>
        <w:tabs>
          <w:tab w:val="left" w:pos="426"/>
          <w:tab w:val="left" w:pos="993"/>
        </w:tabs>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Zgodnie z</w:t>
      </w:r>
      <w:r w:rsidRPr="009A3C86">
        <w:rPr>
          <w:rFonts w:ascii="Times New Roman" w:eastAsia="Times New Roman" w:hAnsi="Times New Roman"/>
          <w:b/>
          <w:sz w:val="24"/>
          <w:szCs w:val="24"/>
          <w:lang w:eastAsia="pl-PL"/>
        </w:rPr>
        <w:t xml:space="preserve"> </w:t>
      </w:r>
      <w:r w:rsidR="00A46818" w:rsidRPr="009A3C86">
        <w:rPr>
          <w:rFonts w:ascii="Times New Roman" w:eastAsia="Times New Roman" w:hAnsi="Times New Roman"/>
          <w:b/>
          <w:sz w:val="24"/>
          <w:szCs w:val="24"/>
          <w:lang w:eastAsia="pl-PL"/>
        </w:rPr>
        <w:t xml:space="preserve">art. </w:t>
      </w:r>
      <w:r w:rsidR="00A027B9" w:rsidRPr="009A3C86">
        <w:rPr>
          <w:rFonts w:ascii="Times New Roman" w:eastAsia="Times New Roman" w:hAnsi="Times New Roman"/>
          <w:b/>
          <w:sz w:val="24"/>
          <w:szCs w:val="24"/>
          <w:lang w:eastAsia="pl-PL"/>
        </w:rPr>
        <w:t>633</w:t>
      </w:r>
      <w:r w:rsidR="00A46818"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xml:space="preserve">pkt 2 </w:t>
      </w:r>
      <w:r w:rsidRPr="009A3C86">
        <w:rPr>
          <w:rFonts w:ascii="Times New Roman" w:eastAsia="Times New Roman" w:hAnsi="Times New Roman"/>
          <w:sz w:val="24"/>
          <w:szCs w:val="24"/>
          <w:lang w:eastAsia="pl-PL"/>
        </w:rPr>
        <w:t xml:space="preserve">w celu zapewnienia prawidłowej realizacji zobowiązania Szefa Krajowej Administracji Skarbowej, polegającego na zindywidualizowanym podejściu w zakresie podejmowanych działań weryfikujących poprawność wypełniania obowiązków podatkowych, możliwość wszczynania kontroli celno-skarbowej wobec podatnika, który podpisał umowę o współdziałanie została zastrzeżona wyłącznie dla Szefa Krajowej Administracji Skarbowej, co uniemożliwia innym organom podatkowym podjęcie działań wobec podatnika objętego umową z Szefem Krajowej Administracji Skarbowej. </w:t>
      </w:r>
      <w:r w:rsidR="00A027B9" w:rsidRPr="009A3C86">
        <w:rPr>
          <w:rFonts w:ascii="Times New Roman" w:eastAsia="Times New Roman" w:hAnsi="Times New Roman"/>
          <w:sz w:val="24"/>
          <w:szCs w:val="24"/>
          <w:lang w:eastAsia="pl-PL"/>
        </w:rPr>
        <w:t xml:space="preserve">Jednocześnie ustawa wprowadzająca ordynację podatkową wprowadza w ustawie z dnia 16 listopada 2016 r. </w:t>
      </w:r>
      <w:r w:rsidR="00A027B9" w:rsidRPr="009A3C86">
        <w:rPr>
          <w:rFonts w:ascii="Times New Roman" w:eastAsia="Times New Roman" w:hAnsi="Times New Roman"/>
          <w:sz w:val="24"/>
          <w:szCs w:val="24"/>
          <w:lang w:eastAsia="pl-PL"/>
        </w:rPr>
        <w:lastRenderedPageBreak/>
        <w:t>o Krajowej Administracji Skarbowej w art. 28 ust. 1 pkt 7 wyłączenie możliwości przeprowadzania kontroli podatkowej przez naczelników wyspecjalizowanych urzędów skarbowych wobec podmiotów, które podpisały umowę o współdziałanie. W związku z powyższym wobec podmiotów objętych umową współdziałanie wyłącznie Szef Krajowej Administracji Skarbowej będzie właściwy do przeprowadzania kontroli celno-skarbowej w zakresie podatków objętych umową, natomiast kontroli podatkowej w ogóle nie będzie mógł przeprowadzić żaden organ Krajowej Administracji Skarbowej.</w:t>
      </w:r>
    </w:p>
    <w:p w:rsidR="004166B8" w:rsidRPr="009A3C86" w:rsidRDefault="004166B8" w:rsidP="004166B8">
      <w:pPr>
        <w:tabs>
          <w:tab w:val="left" w:pos="426"/>
          <w:tab w:val="left" w:pos="993"/>
        </w:tabs>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Dodatkowo w </w:t>
      </w:r>
      <w:r w:rsidR="00A46818" w:rsidRPr="009A3C86">
        <w:rPr>
          <w:rFonts w:ascii="Times New Roman" w:eastAsia="Times New Roman" w:hAnsi="Times New Roman"/>
          <w:b/>
          <w:sz w:val="24"/>
          <w:szCs w:val="24"/>
          <w:lang w:eastAsia="pl-PL"/>
        </w:rPr>
        <w:t xml:space="preserve">art. </w:t>
      </w:r>
      <w:r w:rsidR="00A027B9" w:rsidRPr="009A3C86">
        <w:rPr>
          <w:rFonts w:ascii="Times New Roman" w:eastAsia="Times New Roman" w:hAnsi="Times New Roman"/>
          <w:b/>
          <w:sz w:val="24"/>
          <w:szCs w:val="24"/>
          <w:lang w:eastAsia="pl-PL"/>
        </w:rPr>
        <w:t>633</w:t>
      </w:r>
      <w:r w:rsidR="00A46818"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xml:space="preserve">pkt 3 </w:t>
      </w:r>
      <w:r w:rsidRPr="009A3C86">
        <w:rPr>
          <w:rFonts w:ascii="Times New Roman" w:eastAsia="Times New Roman" w:hAnsi="Times New Roman"/>
          <w:sz w:val="24"/>
          <w:szCs w:val="24"/>
          <w:lang w:eastAsia="pl-PL"/>
        </w:rPr>
        <w:t>wskazuje się na konieczność uzyskania zgody Szefa Krajowej Administracji Skarbowej przez organy Krajowej Administracji Skarbowej, które chcą przeprowadzić w zakresie podatków czynności sprawdzające w trybie art. 6</w:t>
      </w:r>
      <w:r w:rsidR="00D80CF1" w:rsidRPr="009A3C86">
        <w:rPr>
          <w:rFonts w:ascii="Times New Roman" w:eastAsia="Times New Roman" w:hAnsi="Times New Roman"/>
          <w:sz w:val="24"/>
          <w:szCs w:val="24"/>
          <w:lang w:eastAsia="pl-PL"/>
        </w:rPr>
        <w:t>68</w:t>
      </w:r>
      <w:r w:rsidRPr="009A3C86">
        <w:rPr>
          <w:rFonts w:ascii="Times New Roman" w:eastAsia="Times New Roman" w:hAnsi="Times New Roman"/>
          <w:sz w:val="24"/>
          <w:szCs w:val="24"/>
          <w:lang w:eastAsia="pl-PL"/>
        </w:rPr>
        <w:t xml:space="preserve"> lub wystąpić do kontrahentów kontrolowanego w trybie art. 79 ustawy o Krajowej Administracji Skarbowej. Ograniczenia wskazane w punkcie 2-3 nie dotyczą obszaru przestrzegania przepisów prawa celnego i innych przepisów związanych z przewozem i wywozem towarów w obrocie między obszarem celnym Unii Europejskiej a państwami trzecimi, w szczególności przepisów dotyczących towarów objętych ograniczeniami lub zakazami.</w:t>
      </w:r>
    </w:p>
    <w:p w:rsidR="004166B8" w:rsidRPr="009A3C86" w:rsidRDefault="004166B8" w:rsidP="004166B8">
      <w:pPr>
        <w:tabs>
          <w:tab w:val="left" w:pos="426"/>
          <w:tab w:val="left" w:pos="993"/>
        </w:tabs>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Rozwiązania te dają z jednej strony podatnikowi gwarancję, że środki nadzoru będą faktycznie dostosowane do skuteczności i adekwatności wdrożonych przez niego ram wewnętrznego nadzoru podatkowego, a z drugiej zaś chronią Szefa Krajowej Administracji Skarbowej przed ewentualnym łamaniem zasad umowy przez inne organy podatkowe. Celem przepisu nie jest wyłączenie podatników, którzy podpisali umowę o współdziałanie, z przeprowadzania wobec nich kontroli podatkowej i celno-skarbowej, lecz zapewnienie możliwości nadzorowania i koordynowania przez Szefa Krajowej Administracji Skarbowej podejmowanych wobec tych podmiotów działań kontrolnych.</w:t>
      </w:r>
    </w:p>
    <w:p w:rsidR="004166B8" w:rsidRPr="009A3C86" w:rsidRDefault="004166B8" w:rsidP="004166B8">
      <w:pPr>
        <w:tabs>
          <w:tab w:val="left" w:pos="426"/>
          <w:tab w:val="left" w:pos="993"/>
        </w:tabs>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xml:space="preserve">art. </w:t>
      </w:r>
      <w:r w:rsidR="00F6204F" w:rsidRPr="009A3C86">
        <w:rPr>
          <w:rFonts w:ascii="Times New Roman" w:eastAsia="Times New Roman" w:hAnsi="Times New Roman"/>
          <w:b/>
          <w:sz w:val="24"/>
          <w:szCs w:val="24"/>
          <w:lang w:eastAsia="pl-PL"/>
        </w:rPr>
        <w:t>634</w:t>
      </w:r>
      <w:r w:rsidRPr="009A3C86">
        <w:rPr>
          <w:rFonts w:ascii="Times New Roman" w:eastAsia="Times New Roman" w:hAnsi="Times New Roman"/>
          <w:sz w:val="24"/>
          <w:szCs w:val="24"/>
          <w:lang w:eastAsia="pl-PL"/>
        </w:rPr>
        <w:t xml:space="preserve"> następca prawny podatnika nie wstępuje w jego prawa i obowiązki wynikające z umowy o współdziałanie. Jest to pochodna osobistego charakteru zobowiązania przyjętego umową oraz dużej wrażliwości ładu podatkowego – który jest warunkiem zawarcia i dobrego funkcjonowania umowy – na zmiany organizacyjne i restrukturyzacyjne, jakim podlega podatnik.</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xml:space="preserve">art. </w:t>
      </w:r>
      <w:r w:rsidR="00F6204F" w:rsidRPr="009A3C86">
        <w:rPr>
          <w:rFonts w:ascii="Times New Roman" w:eastAsia="Times New Roman" w:hAnsi="Times New Roman"/>
          <w:b/>
          <w:sz w:val="24"/>
          <w:szCs w:val="24"/>
          <w:lang w:eastAsia="pl-PL"/>
        </w:rPr>
        <w:t>635</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podatnik może w każdym czasie wypowiedzieć umowę o współdziałanie.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bCs/>
          <w:sz w:val="24"/>
          <w:szCs w:val="24"/>
          <w:lang w:eastAsia="pl-PL"/>
        </w:rPr>
        <w:t xml:space="preserve">Wypowiedzenie umowy o współdziałaniu przez podatnika nie jest obwarowane żadnymi warunkami. Natomiast </w:t>
      </w:r>
      <w:r w:rsidRPr="009A3C86">
        <w:rPr>
          <w:rFonts w:ascii="Times New Roman" w:eastAsia="Times New Roman" w:hAnsi="Times New Roman"/>
          <w:sz w:val="24"/>
          <w:szCs w:val="24"/>
          <w:lang w:eastAsia="pl-PL"/>
        </w:rPr>
        <w:t xml:space="preserve">zgodnie z </w:t>
      </w:r>
      <w:r w:rsidR="009750BC" w:rsidRPr="009A3C86">
        <w:rPr>
          <w:rFonts w:ascii="Times New Roman" w:eastAsia="Times New Roman" w:hAnsi="Times New Roman"/>
          <w:b/>
          <w:sz w:val="24"/>
          <w:szCs w:val="24"/>
          <w:lang w:eastAsia="pl-PL"/>
        </w:rPr>
        <w:t xml:space="preserve">art. </w:t>
      </w:r>
      <w:r w:rsidR="00F6204F" w:rsidRPr="009A3C86">
        <w:rPr>
          <w:rFonts w:ascii="Times New Roman" w:eastAsia="Times New Roman" w:hAnsi="Times New Roman"/>
          <w:b/>
          <w:sz w:val="24"/>
          <w:szCs w:val="24"/>
          <w:lang w:eastAsia="pl-PL"/>
        </w:rPr>
        <w:t>635</w:t>
      </w:r>
      <w:r w:rsidR="009750BC"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bCs/>
          <w:sz w:val="24"/>
          <w:szCs w:val="24"/>
          <w:lang w:eastAsia="pl-PL"/>
        </w:rPr>
        <w:t>§</w:t>
      </w:r>
      <w:r w:rsidR="005649FB" w:rsidRPr="009A3C86">
        <w:rPr>
          <w:rFonts w:ascii="Times New Roman" w:eastAsia="Times New Roman" w:hAnsi="Times New Roman"/>
          <w:b/>
          <w:bCs/>
          <w:sz w:val="24"/>
          <w:szCs w:val="24"/>
          <w:lang w:eastAsia="pl-PL"/>
        </w:rPr>
        <w:t xml:space="preserve"> </w:t>
      </w:r>
      <w:r w:rsidRPr="009A3C86">
        <w:rPr>
          <w:rFonts w:ascii="Times New Roman" w:eastAsia="Times New Roman" w:hAnsi="Times New Roman"/>
          <w:b/>
          <w:bCs/>
          <w:sz w:val="24"/>
          <w:szCs w:val="24"/>
          <w:lang w:eastAsia="pl-PL"/>
        </w:rPr>
        <w:t>2</w:t>
      </w:r>
      <w:r w:rsidRPr="009A3C86">
        <w:rPr>
          <w:rFonts w:ascii="Times New Roman" w:eastAsia="Times New Roman" w:hAnsi="Times New Roman"/>
          <w:bCs/>
          <w:sz w:val="24"/>
          <w:szCs w:val="24"/>
          <w:lang w:eastAsia="pl-PL"/>
        </w:rPr>
        <w:t xml:space="preserve"> wypowiedzenie przez Szefa Krajowej Administracji Skarbowej umowy o współdziałanie zostało uzależnione dwoma warunkami tj. nieprzestrzeganie przez podatnika warunków umowy oraz poważnego lub powtarzającego się </w:t>
      </w:r>
      <w:r w:rsidRPr="009A3C86">
        <w:rPr>
          <w:rFonts w:ascii="Times New Roman" w:eastAsia="Times New Roman" w:hAnsi="Times New Roman"/>
          <w:bCs/>
          <w:sz w:val="24"/>
          <w:szCs w:val="24"/>
          <w:lang w:eastAsia="pl-PL"/>
        </w:rPr>
        <w:lastRenderedPageBreak/>
        <w:t xml:space="preserve">naruszania przepisów prawa podatkowego. Są to ogólne warunki zwiększające bezpieczeństwo podatnika, który podpisał umowę, jasno wskazując jakie zachowania mogą lub powinny spowodować takie wypowiedzenie. </w:t>
      </w:r>
      <w:r w:rsidRPr="009A3C86">
        <w:rPr>
          <w:rFonts w:ascii="Times New Roman" w:eastAsia="Times New Roman" w:hAnsi="Times New Roman"/>
          <w:sz w:val="24"/>
          <w:szCs w:val="24"/>
          <w:lang w:eastAsia="pl-PL"/>
        </w:rPr>
        <w:t xml:space="preserve">W celu zachowania transparentności Szef Krajowej Administracji Skarbowej zobowiązany został do przekazania informacji o przyczynach odstąpienia od kontynuowania umowy wraz z uzasadnieniem. Jest jasne, że podobnie jak przy wyrażeniu zgody na zawarcie umowy, organ podatkowy przy wypowiedzeniu umowy powinien kierować się względami obiektywnymi, dającymi się uzasadnić i zrozumieć, tworzącymi spójną politykę. Wypowiedzenie umowy o współdziałanie przez podatnika nie jest obwarowane żadnymi warunkami. </w:t>
      </w:r>
    </w:p>
    <w:p w:rsidR="00572420" w:rsidRPr="009A3C86" w:rsidRDefault="004166B8" w:rsidP="00572420">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Rozwiązanie umowy o współdziałanie następuje z dniem złożenia w formie pisemnej drugiej stronie oświadczenia o wypowiedzeniu tej umowy</w:t>
      </w:r>
      <w:r w:rsidR="00572420" w:rsidRPr="009A3C86">
        <w:rPr>
          <w:rFonts w:ascii="Times New Roman" w:eastAsia="Times New Roman" w:hAnsi="Times New Roman"/>
          <w:bCs/>
          <w:sz w:val="24"/>
          <w:szCs w:val="24"/>
          <w:lang w:eastAsia="pl-PL"/>
        </w:rPr>
        <w:t>, chyba że z treści tego wypowiedzenia wynika późniejszy termin (</w:t>
      </w:r>
      <w:r w:rsidR="00572420" w:rsidRPr="009A3C86">
        <w:rPr>
          <w:rFonts w:ascii="Times New Roman" w:eastAsia="Times New Roman" w:hAnsi="Times New Roman"/>
          <w:b/>
          <w:bCs/>
          <w:sz w:val="24"/>
          <w:szCs w:val="24"/>
          <w:lang w:eastAsia="pl-PL"/>
        </w:rPr>
        <w:t>art. 635 § 3</w:t>
      </w:r>
      <w:r w:rsidR="00572420" w:rsidRPr="009A3C86">
        <w:rPr>
          <w:rFonts w:ascii="Times New Roman" w:eastAsia="Times New Roman" w:hAnsi="Times New Roman"/>
          <w:bCs/>
          <w:sz w:val="24"/>
          <w:szCs w:val="24"/>
          <w:lang w:eastAsia="pl-PL"/>
        </w:rPr>
        <w:t>). Możliwość wskazania w wypowiedzeniu późniejszego terminu niż data jego złożenia, gwarantuje  obu stronom umowy elastyczność w zakresie określenia daty rozwiązania umowy, umożliwiając np. rozwiązanie umowy z końcem danego okresu rozliczeniowego.</w:t>
      </w:r>
    </w:p>
    <w:p w:rsidR="004166B8" w:rsidRPr="009A3C86" w:rsidRDefault="004166B8" w:rsidP="004166B8">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 xml:space="preserve">W przypadku rozwiązania umowy o współdziałanie dane podatnika są niezwłocznie usuwane z ewidencji, o której mowa w art. </w:t>
      </w:r>
      <w:r w:rsidR="00572420" w:rsidRPr="009A3C86">
        <w:rPr>
          <w:rFonts w:ascii="Times New Roman" w:eastAsia="Times New Roman" w:hAnsi="Times New Roman"/>
          <w:bCs/>
          <w:sz w:val="24"/>
          <w:szCs w:val="24"/>
          <w:lang w:eastAsia="pl-PL"/>
        </w:rPr>
        <w:t>638</w:t>
      </w:r>
      <w:r w:rsidR="005649FB" w:rsidRPr="009A3C86">
        <w:rPr>
          <w:rFonts w:ascii="Times New Roman" w:eastAsia="Times New Roman" w:hAnsi="Times New Roman"/>
          <w:bCs/>
          <w:sz w:val="24"/>
          <w:szCs w:val="24"/>
          <w:lang w:eastAsia="pl-PL"/>
        </w:rPr>
        <w:t xml:space="preserve"> </w:t>
      </w:r>
      <w:r w:rsidRPr="009A3C86">
        <w:rPr>
          <w:rFonts w:ascii="Times New Roman" w:eastAsia="Times New Roman" w:hAnsi="Times New Roman"/>
          <w:bCs/>
          <w:sz w:val="24"/>
          <w:szCs w:val="24"/>
          <w:lang w:eastAsia="pl-PL"/>
        </w:rPr>
        <w:t>(</w:t>
      </w:r>
      <w:r w:rsidR="009750BC" w:rsidRPr="009A3C86">
        <w:rPr>
          <w:rFonts w:ascii="Times New Roman" w:eastAsia="Times New Roman" w:hAnsi="Times New Roman"/>
          <w:b/>
          <w:bCs/>
          <w:sz w:val="24"/>
          <w:szCs w:val="24"/>
          <w:lang w:eastAsia="pl-PL"/>
        </w:rPr>
        <w:t xml:space="preserve">art. </w:t>
      </w:r>
      <w:r w:rsidR="00572420" w:rsidRPr="009A3C86">
        <w:rPr>
          <w:rFonts w:ascii="Times New Roman" w:eastAsia="Times New Roman" w:hAnsi="Times New Roman"/>
          <w:b/>
          <w:bCs/>
          <w:sz w:val="24"/>
          <w:szCs w:val="24"/>
          <w:lang w:eastAsia="pl-PL"/>
        </w:rPr>
        <w:t>635</w:t>
      </w:r>
      <w:r w:rsidR="009750BC" w:rsidRPr="009A3C86">
        <w:rPr>
          <w:rFonts w:ascii="Times New Roman" w:eastAsia="Times New Roman" w:hAnsi="Times New Roman"/>
          <w:b/>
          <w:bCs/>
          <w:sz w:val="24"/>
          <w:szCs w:val="24"/>
          <w:lang w:eastAsia="pl-PL"/>
        </w:rPr>
        <w:t xml:space="preserve"> </w:t>
      </w:r>
      <w:r w:rsidRPr="009A3C86">
        <w:rPr>
          <w:rFonts w:ascii="Times New Roman" w:eastAsia="Times New Roman" w:hAnsi="Times New Roman"/>
          <w:b/>
          <w:bCs/>
          <w:sz w:val="24"/>
          <w:szCs w:val="24"/>
          <w:lang w:eastAsia="pl-PL"/>
        </w:rPr>
        <w:t>§ 4</w:t>
      </w:r>
      <w:r w:rsidRPr="009A3C86">
        <w:rPr>
          <w:rFonts w:ascii="Times New Roman" w:eastAsia="Times New Roman" w:hAnsi="Times New Roman"/>
          <w:bCs/>
          <w:sz w:val="24"/>
          <w:szCs w:val="24"/>
          <w:lang w:eastAsia="pl-PL"/>
        </w:rPr>
        <w:t>)</w:t>
      </w:r>
      <w:r w:rsidR="009750BC" w:rsidRPr="009A3C86">
        <w:rPr>
          <w:rFonts w:ascii="Times New Roman" w:eastAsia="Times New Roman" w:hAnsi="Times New Roman"/>
          <w:bCs/>
          <w:sz w:val="24"/>
          <w:szCs w:val="24"/>
          <w:lang w:eastAsia="pl-PL"/>
        </w:rPr>
        <w:t>.</w:t>
      </w:r>
      <w:r w:rsidRPr="009A3C86">
        <w:rPr>
          <w:rFonts w:ascii="Times New Roman" w:eastAsia="Times New Roman" w:hAnsi="Times New Roman"/>
          <w:bCs/>
          <w:sz w:val="24"/>
          <w:szCs w:val="24"/>
          <w:lang w:eastAsia="pl-PL"/>
        </w:rPr>
        <w:t xml:space="preserve"> </w:t>
      </w:r>
    </w:p>
    <w:p w:rsidR="004166B8" w:rsidRPr="009A3C86" w:rsidRDefault="004166B8" w:rsidP="004166B8">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W przypadku rozwiązania umowy przez Szefa Krajowej Administracji Skarbowej podatnik nie może ponownie ubiegać o zawarcie umowy przez kolejne 2 lata co stanowi negatywną konsekwencję nieprzestrzegania przez tego podatnika zasad umowy lub fakt rażącego lub powtarzającego się naruszenia przepisów prawa podatkowego. Rozwiązanie to  ma przede wszystkim charakter prewencyjny, jego celem jest dodatkowa zachęta do przestrzegania zasad współpracy. Analogiczne rozwiązanie funkcjonuje w ramach programu Upoważnionego  przedsiębiorcy (AEO, w ramach audytu celnego) w zakresie powodów zakończenia współpracy przez Krajową Administrację Skarbową oraz odnośnie ograniczenia czasowego ponownej możliwości przystąpienia do Programu z winy podatnika (</w:t>
      </w:r>
      <w:r w:rsidRPr="009A3C86">
        <w:rPr>
          <w:rFonts w:ascii="Times New Roman" w:eastAsia="Times New Roman" w:hAnsi="Times New Roman"/>
          <w:b/>
          <w:bCs/>
          <w:sz w:val="24"/>
          <w:szCs w:val="24"/>
          <w:lang w:eastAsia="pl-PL"/>
        </w:rPr>
        <w:t xml:space="preserve">art. </w:t>
      </w:r>
      <w:r w:rsidR="00572420" w:rsidRPr="009A3C86">
        <w:rPr>
          <w:rFonts w:ascii="Times New Roman" w:eastAsia="Times New Roman" w:hAnsi="Times New Roman"/>
          <w:b/>
          <w:bCs/>
          <w:sz w:val="24"/>
          <w:szCs w:val="24"/>
          <w:lang w:eastAsia="pl-PL"/>
        </w:rPr>
        <w:t>636</w:t>
      </w:r>
      <w:r w:rsidRPr="009A3C86">
        <w:rPr>
          <w:rFonts w:ascii="Times New Roman" w:eastAsia="Times New Roman" w:hAnsi="Times New Roman"/>
          <w:bCs/>
          <w:sz w:val="24"/>
          <w:szCs w:val="24"/>
          <w:lang w:eastAsia="pl-PL"/>
        </w:rPr>
        <w:t>)</w:t>
      </w:r>
      <w:r w:rsidRPr="009A3C86">
        <w:rPr>
          <w:rFonts w:ascii="Times New Roman" w:eastAsia="Times New Roman" w:hAnsi="Times New Roman"/>
          <w:bCs/>
          <w:sz w:val="24"/>
          <w:szCs w:val="24"/>
          <w:vertAlign w:val="superscript"/>
          <w:lang w:eastAsia="pl-PL"/>
        </w:rPr>
        <w:footnoteReference w:id="547"/>
      </w:r>
      <w:r w:rsidR="005649FB" w:rsidRPr="009A3C86">
        <w:rPr>
          <w:rFonts w:ascii="Times New Roman" w:eastAsia="Times New Roman" w:hAnsi="Times New Roman"/>
          <w:bCs/>
          <w:sz w:val="24"/>
          <w:szCs w:val="24"/>
          <w:lang w:eastAsia="pl-PL"/>
        </w:rPr>
        <w:t>.</w:t>
      </w:r>
    </w:p>
    <w:p w:rsidR="00572420" w:rsidRPr="009A3C86" w:rsidRDefault="004166B8" w:rsidP="00572420">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sz w:val="24"/>
          <w:szCs w:val="24"/>
          <w:lang w:eastAsia="pl-PL"/>
        </w:rPr>
        <w:lastRenderedPageBreak/>
        <w:t xml:space="preserve">Wypowiedzenie umowy skutkuje </w:t>
      </w:r>
      <w:r w:rsidR="00572420" w:rsidRPr="009A3C86">
        <w:rPr>
          <w:rFonts w:ascii="Times New Roman" w:eastAsia="Times New Roman" w:hAnsi="Times New Roman"/>
          <w:sz w:val="24"/>
          <w:szCs w:val="24"/>
          <w:lang w:eastAsia="pl-PL"/>
        </w:rPr>
        <w:t xml:space="preserve">możliwością </w:t>
      </w:r>
      <w:r w:rsidRPr="009A3C86">
        <w:rPr>
          <w:rFonts w:ascii="Times New Roman" w:eastAsia="Times New Roman" w:hAnsi="Times New Roman"/>
          <w:sz w:val="24"/>
          <w:szCs w:val="24"/>
          <w:lang w:eastAsia="pl-PL"/>
        </w:rPr>
        <w:t>rozwiązani</w:t>
      </w:r>
      <w:r w:rsidR="00572420" w:rsidRPr="009A3C86">
        <w:rPr>
          <w:rFonts w:ascii="Times New Roman" w:eastAsia="Times New Roman" w:hAnsi="Times New Roman"/>
          <w:sz w:val="24"/>
          <w:szCs w:val="24"/>
          <w:lang w:eastAsia="pl-PL"/>
        </w:rPr>
        <w:t>a</w:t>
      </w:r>
      <w:r w:rsidRPr="009A3C86">
        <w:rPr>
          <w:rFonts w:ascii="Times New Roman" w:eastAsia="Times New Roman" w:hAnsi="Times New Roman"/>
          <w:sz w:val="24"/>
          <w:szCs w:val="24"/>
          <w:lang w:eastAsia="pl-PL"/>
        </w:rPr>
        <w:t xml:space="preserve"> zawartych po podpisaniu umowy porozumień</w:t>
      </w:r>
      <w:r w:rsidR="00572420" w:rsidRPr="009A3C86">
        <w:rPr>
          <w:rFonts w:ascii="Times New Roman" w:eastAsia="Times New Roman" w:hAnsi="Times New Roman"/>
          <w:sz w:val="24"/>
          <w:szCs w:val="24"/>
          <w:lang w:eastAsia="pl-PL"/>
        </w:rPr>
        <w:t xml:space="preserve"> podatkowych, ponieważ funkcjonowanie niektórych porozumień po rozwiązaniu umowy będzie niecelowe np. porozumienia dotyczące ram wewnętrznego nadzoru podatkowego </w:t>
      </w:r>
      <w:r w:rsidR="00572420" w:rsidRPr="009A3C86">
        <w:rPr>
          <w:rFonts w:ascii="Times New Roman" w:eastAsia="Times New Roman" w:hAnsi="Times New Roman"/>
          <w:bCs/>
          <w:sz w:val="24"/>
          <w:szCs w:val="24"/>
          <w:lang w:eastAsia="pl-PL"/>
        </w:rPr>
        <w:t>(</w:t>
      </w:r>
      <w:r w:rsidR="00572420" w:rsidRPr="009A3C86">
        <w:rPr>
          <w:rFonts w:ascii="Times New Roman" w:eastAsia="Times New Roman" w:hAnsi="Times New Roman"/>
          <w:b/>
          <w:bCs/>
          <w:sz w:val="24"/>
          <w:szCs w:val="24"/>
          <w:lang w:eastAsia="pl-PL"/>
        </w:rPr>
        <w:t xml:space="preserve">art. </w:t>
      </w:r>
      <w:r w:rsidR="00CA7754" w:rsidRPr="009A3C86">
        <w:rPr>
          <w:rFonts w:ascii="Times New Roman" w:eastAsia="Times New Roman" w:hAnsi="Times New Roman"/>
          <w:b/>
          <w:bCs/>
          <w:sz w:val="24"/>
          <w:szCs w:val="24"/>
          <w:lang w:eastAsia="pl-PL"/>
        </w:rPr>
        <w:t>637</w:t>
      </w:r>
      <w:r w:rsidR="00572420" w:rsidRPr="009A3C86">
        <w:rPr>
          <w:rFonts w:ascii="Times New Roman" w:eastAsia="Times New Roman" w:hAnsi="Times New Roman"/>
          <w:bCs/>
          <w:sz w:val="24"/>
          <w:szCs w:val="24"/>
          <w:lang w:eastAsia="pl-PL"/>
        </w:rPr>
        <w:t xml:space="preserve">). </w:t>
      </w:r>
    </w:p>
    <w:p w:rsidR="004750BD" w:rsidRPr="009A3C86" w:rsidRDefault="004750BD" w:rsidP="004750BD">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
          <w:bCs/>
          <w:sz w:val="24"/>
          <w:szCs w:val="24"/>
          <w:lang w:eastAsia="pl-PL"/>
        </w:rPr>
        <w:t>W art. 638</w:t>
      </w:r>
      <w:r w:rsidRPr="009A3C86">
        <w:rPr>
          <w:rFonts w:ascii="Times New Roman" w:eastAsia="Times New Roman" w:hAnsi="Times New Roman"/>
          <w:bCs/>
          <w:sz w:val="24"/>
          <w:szCs w:val="24"/>
          <w:lang w:eastAsia="pl-PL"/>
        </w:rPr>
        <w:t xml:space="preserve"> </w:t>
      </w:r>
      <w:r w:rsidRPr="009A3C86">
        <w:rPr>
          <w:rFonts w:ascii="Times New Roman" w:eastAsia="Times New Roman" w:hAnsi="Times New Roman"/>
          <w:b/>
          <w:bCs/>
          <w:sz w:val="24"/>
          <w:szCs w:val="24"/>
          <w:lang w:eastAsia="pl-PL"/>
        </w:rPr>
        <w:t>§ 1</w:t>
      </w:r>
      <w:r w:rsidRPr="009A3C86">
        <w:rPr>
          <w:rFonts w:ascii="Times New Roman" w:eastAsia="Times New Roman" w:hAnsi="Times New Roman"/>
          <w:bCs/>
          <w:sz w:val="24"/>
          <w:szCs w:val="24"/>
          <w:lang w:eastAsia="pl-PL"/>
        </w:rPr>
        <w:t xml:space="preserve"> zawarto przepis, że Szef Krajowej Administracji Skarbowej prowadzi publicznie dostępną ewidencję podatników, z którymi podpisał umowę o współdziałanie. Przepis ten realizuje zasadę transparentności oraz ma na celu promowanie wśród obywateli i podmiotów gospodarczych podatników wiarygodnych oraz realizujących zasady tzw. społecznej odpowiedzialności biznesu (ang. corporate social responsibility – CSR) w zakresie podatków. Zgodnie z CSR przedsiębiorstwo postrzegane jest jako obywatel, który powinien przyczyniać się pozytywnie poprzez płacone podatki do rozwoju kraju, w którym funkcjonuje oraz do utrzymania stabilnego środowiska gospodarczego wraz z wysoką jakością usług publicznych. W świetle tej koncepcji podatki nie są już postrzegane jako koszty, których należy unikać, ale jako „sprawiedliwy zwrot” części zysku do wspólnot, które pozwoliły na jego wypracowanie. </w:t>
      </w:r>
    </w:p>
    <w:p w:rsidR="004750BD" w:rsidRPr="009A3C86" w:rsidRDefault="004750BD" w:rsidP="004750BD">
      <w:pPr>
        <w:spacing w:after="0" w:line="360" w:lineRule="auto"/>
        <w:jc w:val="both"/>
        <w:rPr>
          <w:rFonts w:ascii="Times New Roman" w:eastAsia="Times New Roman" w:hAnsi="Times New Roman"/>
          <w:bCs/>
          <w:sz w:val="24"/>
          <w:szCs w:val="24"/>
          <w:lang w:eastAsia="pl-PL"/>
        </w:rPr>
      </w:pPr>
      <w:r w:rsidRPr="009A3C86">
        <w:rPr>
          <w:rFonts w:ascii="Times New Roman" w:eastAsia="Times New Roman" w:hAnsi="Times New Roman"/>
          <w:bCs/>
          <w:sz w:val="24"/>
          <w:szCs w:val="24"/>
          <w:lang w:eastAsia="pl-PL"/>
        </w:rPr>
        <w:t>Ewidencja ma zawierać tylko nazwę i numer identyfikacji podatkowej podmiotu oraz datę rozpoczęcia obowiązywania umowy o współdziałanie (</w:t>
      </w:r>
      <w:r w:rsidRPr="009A3C86">
        <w:rPr>
          <w:rFonts w:ascii="Times New Roman" w:eastAsia="Times New Roman" w:hAnsi="Times New Roman"/>
          <w:b/>
          <w:bCs/>
          <w:sz w:val="24"/>
          <w:szCs w:val="24"/>
          <w:lang w:eastAsia="pl-PL"/>
        </w:rPr>
        <w:t>art. 638 § 2</w:t>
      </w:r>
      <w:r w:rsidRPr="009A3C86">
        <w:rPr>
          <w:rFonts w:ascii="Times New Roman" w:eastAsia="Times New Roman" w:hAnsi="Times New Roman"/>
          <w:bCs/>
          <w:sz w:val="24"/>
          <w:szCs w:val="24"/>
          <w:lang w:eastAsia="pl-PL"/>
        </w:rPr>
        <w:t>). Nie będzie zawierała danych podmiotów, z którymi zakończono współpracę, czy to z inicjatywy Krajowej Administracji Skarbowej, czy danego podatnika. Pozwoli to na niestygmatyzowanie podatników, którzy nie będą chcieli kontynuować realizacji umowy o współdziałanie                                 i ewentualny powrót obu stronom do relacji jakie miały miejsce przed podpisaniem umowy                    o współdziałanie. Ewidencję, o której mowa w § 1, udostępnia się w Biuletynie Informacji Publicznej na stronie podmiotowej urzędu obsługującego ministra właściwego do spraw finansów publicznych (</w:t>
      </w:r>
      <w:r w:rsidRPr="009A3C86">
        <w:rPr>
          <w:rFonts w:ascii="Times New Roman" w:eastAsia="Times New Roman" w:hAnsi="Times New Roman"/>
          <w:b/>
          <w:bCs/>
          <w:sz w:val="24"/>
          <w:szCs w:val="24"/>
          <w:lang w:eastAsia="pl-PL"/>
        </w:rPr>
        <w:t>art. 638 § 3</w:t>
      </w:r>
      <w:r w:rsidRPr="009A3C86">
        <w:rPr>
          <w:rFonts w:ascii="Times New Roman" w:eastAsia="Times New Roman" w:hAnsi="Times New Roman"/>
          <w:bCs/>
          <w:sz w:val="24"/>
          <w:szCs w:val="24"/>
          <w:lang w:eastAsia="pl-PL"/>
        </w:rPr>
        <w:t>).</w:t>
      </w:r>
    </w:p>
    <w:p w:rsidR="004166B8" w:rsidRPr="009A3C86" w:rsidRDefault="004166B8" w:rsidP="00D72E74">
      <w:pPr>
        <w:tabs>
          <w:tab w:val="left" w:pos="426"/>
          <w:tab w:val="left" w:pos="993"/>
        </w:tabs>
        <w:spacing w:before="120" w:after="0" w:line="360" w:lineRule="auto"/>
        <w:contextualSpacing/>
        <w:jc w:val="both"/>
        <w:rPr>
          <w:rFonts w:ascii="Times New Roman" w:eastAsia="Times New Roman" w:hAnsi="Times New Roman"/>
          <w:b/>
          <w:sz w:val="24"/>
          <w:szCs w:val="24"/>
          <w:lang w:eastAsia="pl-PL"/>
        </w:rPr>
      </w:pPr>
      <w:r w:rsidRPr="009A3C86">
        <w:rPr>
          <w:rFonts w:ascii="Times New Roman" w:eastAsia="Times New Roman" w:hAnsi="Times New Roman"/>
          <w:b/>
          <w:sz w:val="24"/>
          <w:szCs w:val="24"/>
          <w:lang w:eastAsia="pl-PL"/>
        </w:rPr>
        <w:t>Oddział 2 „Porozumienia</w:t>
      </w:r>
      <w:r w:rsidR="005649FB" w:rsidRPr="009A3C86">
        <w:rPr>
          <w:rFonts w:ascii="Times New Roman" w:eastAsia="Times New Roman" w:hAnsi="Times New Roman"/>
          <w:b/>
          <w:sz w:val="24"/>
          <w:szCs w:val="24"/>
          <w:lang w:eastAsia="pl-PL"/>
        </w:rPr>
        <w:t xml:space="preserve"> podatkowe</w:t>
      </w:r>
      <w:r w:rsidRPr="009A3C86">
        <w:rPr>
          <w:rFonts w:ascii="Times New Roman" w:eastAsia="Times New Roman" w:hAnsi="Times New Roman"/>
          <w:b/>
          <w:sz w:val="24"/>
          <w:szCs w:val="24"/>
          <w:lang w:eastAsia="pl-PL"/>
        </w:rPr>
        <w:t>”</w:t>
      </w:r>
    </w:p>
    <w:p w:rsidR="00510418" w:rsidRPr="009A3C86" w:rsidRDefault="004166B8" w:rsidP="0051041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Fundamentem Programu Współdziałania  jest zagwarantowanie pewności stosowania prawa w zamian za transparentności podmiotu wobec administracji skarbowej.  Zapewnienie gwarancji pewności prawa w polskich realiach społeczno-gospodarczych wymaga stworzenia odpowiednich instrumentów prawnych, dostoswanych do zasad odformalizowanej i dobrowolnej współpracy podejmowanej ex ante. Instrumentem tym mają być dobrowolne porozumienia podatkowe wiążące obie strony i  gwarantujące przestrzeganie przez obie strony ustaleń w zakresie kwestii spornych lub wątpliwych. Udział w Programie nie odbiera podatnikowi możliwości skorzystania z innych instytucji prawa podatkowego, daje tylko możliwość szybszego poznania wiążącego stanowiska KAS i ewentualnego szybszego </w:t>
      </w:r>
      <w:r w:rsidRPr="009A3C86">
        <w:rPr>
          <w:rFonts w:ascii="Times New Roman" w:eastAsia="Times New Roman" w:hAnsi="Times New Roman"/>
          <w:sz w:val="24"/>
          <w:szCs w:val="24"/>
          <w:lang w:eastAsia="pl-PL"/>
        </w:rPr>
        <w:lastRenderedPageBreak/>
        <w:t xml:space="preserve">rozwiązania sporu. Porozumienia otwierałyby podatnikowi drogę do szybszego i uproszczonego załatwienia (bez odwołań i skarg), w sposób wiążący, kwestii spornych lub wątpliwych. </w:t>
      </w:r>
      <w:r w:rsidR="00510418" w:rsidRPr="009A3C86">
        <w:rPr>
          <w:rFonts w:ascii="Times New Roman" w:eastAsia="Times New Roman" w:hAnsi="Times New Roman"/>
          <w:sz w:val="24"/>
          <w:szCs w:val="24"/>
          <w:lang w:eastAsia="pl-PL"/>
        </w:rPr>
        <w:t xml:space="preserve">W przypadku, gdy strony umowy podejmą próbę zawarcia porozumienia, ale nie uda im się dojść do zgodnego stanowiska, wówczas sporne zagadnienie będzie rozwiązywane przy wykorzystaniu innych procedur przewidzianych przez ordynację podatkową. W konsekwencji nie ma potrzeby zagwarantowania podatnikowi możliwości odwołania się, czy złożenia skargi w przypadku odmowy zawarcia przez Szefa KAS porozumienia, ponieważ może on w tej sytuacji użyć standardową procedurę i w jej ramach skorzystać z przysługujących mu środków odwoławczych. Natomiast w przypadku zawarcia porozumienia zapewnienie środków odwoławczych jest nie celowe, ponieważ jest ono </w:t>
      </w:r>
      <w:r w:rsidR="00920245" w:rsidRPr="009A3C86">
        <w:rPr>
          <w:rFonts w:ascii="Times New Roman" w:eastAsia="Times New Roman" w:hAnsi="Times New Roman"/>
          <w:sz w:val="24"/>
          <w:szCs w:val="24"/>
          <w:lang w:eastAsia="pl-PL"/>
        </w:rPr>
        <w:t>zawiera</w:t>
      </w:r>
      <w:r w:rsidR="00510418" w:rsidRPr="009A3C86">
        <w:rPr>
          <w:rFonts w:ascii="Times New Roman" w:eastAsia="Times New Roman" w:hAnsi="Times New Roman"/>
          <w:sz w:val="24"/>
          <w:szCs w:val="24"/>
          <w:lang w:eastAsia="pl-PL"/>
        </w:rPr>
        <w:t>ne jedynie wtedy, gdy podatnik zgadza się ze stanowiskiem Szefa KAS w danej kwestii.</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Możliwość zawierania porozumień podatkowych </w:t>
      </w:r>
      <w:r w:rsidR="00920245" w:rsidRPr="009A3C86">
        <w:rPr>
          <w:rFonts w:ascii="Times New Roman" w:eastAsia="Times New Roman" w:hAnsi="Times New Roman"/>
          <w:sz w:val="24"/>
          <w:szCs w:val="24"/>
          <w:lang w:eastAsia="pl-PL"/>
        </w:rPr>
        <w:t xml:space="preserve">jest uprawnieniem podatnika wynikającym z faktu zawarcia umowy o współdziałanie i </w:t>
      </w:r>
      <w:r w:rsidRPr="009A3C86">
        <w:rPr>
          <w:rFonts w:ascii="Times New Roman" w:eastAsia="Times New Roman" w:hAnsi="Times New Roman"/>
          <w:sz w:val="24"/>
          <w:szCs w:val="24"/>
          <w:lang w:eastAsia="pl-PL"/>
        </w:rPr>
        <w:t xml:space="preserve">stanowi realizację zasad otwartości </w:t>
      </w:r>
      <w:r w:rsidR="00981ECC" w:rsidRPr="009A3C86">
        <w:rPr>
          <w:rFonts w:ascii="Times New Roman" w:eastAsia="Times New Roman" w:hAnsi="Times New Roman"/>
          <w:sz w:val="24"/>
          <w:szCs w:val="24"/>
          <w:lang w:eastAsia="pl-PL"/>
        </w:rPr>
        <w:t>i </w:t>
      </w:r>
      <w:r w:rsidRPr="009A3C86">
        <w:rPr>
          <w:rFonts w:ascii="Times New Roman" w:eastAsia="Times New Roman" w:hAnsi="Times New Roman"/>
          <w:sz w:val="24"/>
          <w:szCs w:val="24"/>
          <w:lang w:eastAsia="pl-PL"/>
        </w:rPr>
        <w:t>szybkiego reagowania. Szef Krajowej Administracji Skarbowej będzie starał się na bieżąco wyrażać swoje stanowisko, w formie porozumienia zawieranego za zgodą obu stron, co do istotnych (materialnych) kwestii podatkowych, co w konsekwencji pozwoli na ograniczenie sporów dotyczących poprawności rozliczenia podatkowego, w tym zwłaszcza takich sporów, które mogłyby wystąpić po dłuższym czasie. Możliwość zajmowania wspólnych wiążących stanowisk, w tym w zakresie kwestii podatkowych zapewniono również w ramach monitoringu horyzontalnego wdrożonego przez Holenderską administrację podatkową.</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w:t>
      </w:r>
      <w:r w:rsidRPr="009A3C86">
        <w:rPr>
          <w:rFonts w:ascii="Times New Roman" w:eastAsia="Times New Roman" w:hAnsi="Times New Roman"/>
          <w:b/>
          <w:sz w:val="24"/>
          <w:szCs w:val="24"/>
          <w:lang w:eastAsia="pl-PL"/>
        </w:rPr>
        <w:t xml:space="preserve">art. </w:t>
      </w:r>
      <w:r w:rsidR="00D33709" w:rsidRPr="009A3C86">
        <w:rPr>
          <w:rFonts w:ascii="Times New Roman" w:eastAsia="Times New Roman" w:hAnsi="Times New Roman"/>
          <w:b/>
          <w:sz w:val="24"/>
          <w:szCs w:val="24"/>
          <w:lang w:eastAsia="pl-PL"/>
        </w:rPr>
        <w:t>639</w:t>
      </w:r>
      <w:r w:rsidRPr="009A3C86">
        <w:rPr>
          <w:rFonts w:ascii="Times New Roman" w:eastAsia="Times New Roman" w:hAnsi="Times New Roman"/>
          <w:sz w:val="24"/>
          <w:szCs w:val="24"/>
          <w:lang w:eastAsia="pl-PL"/>
        </w:rPr>
        <w:t xml:space="preserve"> wskazano na możliwość zawierania przez Szefa Krajowej Administracji Skarbowej porozumień podatkowych wyłącznie w zakresie podatków objętym tą umową.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Przepis przewiduje zawieranie porozumień w następujących sprawach:</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1)</w:t>
      </w:r>
      <w:r w:rsidRPr="009A3C86">
        <w:rPr>
          <w:rFonts w:ascii="Times New Roman" w:eastAsia="Times New Roman" w:hAnsi="Times New Roman"/>
          <w:sz w:val="24"/>
          <w:szCs w:val="24"/>
          <w:lang w:eastAsia="pl-PL"/>
        </w:rPr>
        <w:tab/>
      </w:r>
      <w:r w:rsidR="00D33709" w:rsidRPr="009A3C86">
        <w:rPr>
          <w:rFonts w:ascii="Times New Roman" w:eastAsia="Times New Roman" w:hAnsi="Times New Roman"/>
          <w:sz w:val="24"/>
          <w:szCs w:val="24"/>
          <w:lang w:eastAsia="pl-PL"/>
        </w:rPr>
        <w:t>interpretacji</w:t>
      </w:r>
      <w:r w:rsidRPr="009A3C86">
        <w:rPr>
          <w:rFonts w:ascii="Times New Roman" w:eastAsia="Times New Roman" w:hAnsi="Times New Roman"/>
          <w:sz w:val="24"/>
          <w:szCs w:val="24"/>
          <w:lang w:eastAsia="pl-PL"/>
        </w:rPr>
        <w:t xml:space="preserve"> przepisów prawa podatkowego;</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2)</w:t>
      </w:r>
      <w:r w:rsidRPr="009A3C86">
        <w:rPr>
          <w:rFonts w:ascii="Times New Roman" w:eastAsia="Times New Roman" w:hAnsi="Times New Roman"/>
          <w:sz w:val="24"/>
          <w:szCs w:val="24"/>
          <w:lang w:eastAsia="pl-PL"/>
        </w:rPr>
        <w:tab/>
      </w:r>
      <w:r w:rsidR="00EE037E" w:rsidRPr="009A3C86">
        <w:rPr>
          <w:rFonts w:ascii="Times New Roman" w:eastAsia="Times New Roman" w:hAnsi="Times New Roman"/>
          <w:sz w:val="24"/>
          <w:szCs w:val="24"/>
          <w:lang w:eastAsia="pl-PL"/>
        </w:rPr>
        <w:t>uprzednich porozumień cenowych</w:t>
      </w:r>
      <w:r w:rsidRPr="009A3C86">
        <w:rPr>
          <w:rFonts w:ascii="Times New Roman" w:eastAsia="Times New Roman" w:hAnsi="Times New Roman"/>
          <w:sz w:val="24"/>
          <w:szCs w:val="24"/>
          <w:lang w:eastAsia="pl-PL"/>
        </w:rPr>
        <w:t xml:space="preserv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3)</w:t>
      </w:r>
      <w:r w:rsidRPr="009A3C86">
        <w:rPr>
          <w:rFonts w:ascii="Times New Roman" w:eastAsia="Times New Roman" w:hAnsi="Times New Roman"/>
          <w:sz w:val="24"/>
          <w:szCs w:val="24"/>
          <w:lang w:eastAsia="pl-PL"/>
        </w:rPr>
        <w:tab/>
        <w:t>wyłączenia stosowania art. 3</w:t>
      </w:r>
      <w:r w:rsidR="00533998" w:rsidRPr="009A3C86">
        <w:rPr>
          <w:rFonts w:ascii="Times New Roman" w:eastAsia="Times New Roman" w:hAnsi="Times New Roman"/>
          <w:sz w:val="24"/>
          <w:szCs w:val="24"/>
          <w:lang w:eastAsia="pl-PL"/>
        </w:rPr>
        <w:t>3</w:t>
      </w:r>
      <w:r w:rsidR="00D33709" w:rsidRPr="009A3C86">
        <w:rPr>
          <w:rFonts w:ascii="Times New Roman" w:eastAsia="Times New Roman" w:hAnsi="Times New Roman"/>
          <w:sz w:val="24"/>
          <w:szCs w:val="24"/>
          <w:lang w:eastAsia="pl-PL"/>
        </w:rPr>
        <w:t xml:space="preserve"> § 1</w:t>
      </w:r>
      <w:r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4)</w:t>
      </w:r>
      <w:r w:rsidRPr="009A3C86">
        <w:rPr>
          <w:rFonts w:ascii="Times New Roman" w:eastAsia="Times New Roman" w:hAnsi="Times New Roman"/>
          <w:sz w:val="24"/>
          <w:szCs w:val="24"/>
          <w:lang w:eastAsia="pl-PL"/>
        </w:rPr>
        <w:tab/>
        <w:t>wysokości prognozowanego na następny rok podatkowy zobowiązania podatkowego w podatku dochodowym od osób prawnych;</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5)</w:t>
      </w:r>
      <w:r w:rsidRPr="009A3C86">
        <w:rPr>
          <w:rFonts w:ascii="Times New Roman" w:eastAsia="Times New Roman" w:hAnsi="Times New Roman"/>
          <w:sz w:val="24"/>
          <w:szCs w:val="24"/>
          <w:lang w:eastAsia="pl-PL"/>
        </w:rPr>
        <w:tab/>
        <w:t>innych, niezbędnych dla zapewnienia prawidłowej realizacji umowy o współdziałanie.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Porozumienia podatkowe mają stanowić nową elastyczną formę uzgodnienia z Szefem Krajowej Administracji Skarbowej stanowiska, w związku z tym przy ich zawieraniu nie należy przeprowadzać całej procedury związanej z danym instrumentem prawnym, takim jak interpretacja indywidualna, opinia zabezpieczająca czy uprzednie porozumienie cenowe, lecz włączanie przepisy materialno-prawne związane z charakterem danego porozumienia. Jest to </w:t>
      </w:r>
      <w:r w:rsidRPr="009A3C86">
        <w:rPr>
          <w:rFonts w:ascii="Times New Roman" w:eastAsia="Times New Roman" w:hAnsi="Times New Roman"/>
          <w:sz w:val="24"/>
          <w:szCs w:val="24"/>
          <w:lang w:eastAsia="pl-PL"/>
        </w:rPr>
        <w:lastRenderedPageBreak/>
        <w:t>uwarunkowane nie tylko koniecznością szybkiego działania, tak aby podatnik uzyskał pewność prawa w czasie teraźniejszym, a nie po zdarzeniu czy czynności spornej na gruncie prawa podatkowego, ale także wynika z faktu, że podatnik jest transparent</w:t>
      </w:r>
      <w:r w:rsidR="00981ECC" w:rsidRPr="009A3C86">
        <w:rPr>
          <w:rFonts w:ascii="Times New Roman" w:eastAsia="Times New Roman" w:hAnsi="Times New Roman"/>
          <w:sz w:val="24"/>
          <w:szCs w:val="24"/>
          <w:lang w:eastAsia="pl-PL"/>
        </w:rPr>
        <w:t>n</w:t>
      </w:r>
      <w:r w:rsidRPr="009A3C86">
        <w:rPr>
          <w:rFonts w:ascii="Times New Roman" w:eastAsia="Times New Roman" w:hAnsi="Times New Roman"/>
          <w:sz w:val="24"/>
          <w:szCs w:val="24"/>
          <w:lang w:eastAsia="pl-PL"/>
        </w:rPr>
        <w:t>y wobec Krajowej Administracji Skarbowej. W konsekwencji sam dobrowolnie udostępnia wszelkie informacje i dokumenty niezbędne do szybkiego załatwienia sprawy, zatem nie są potrzebne narzędzia proceduralne zapewniająca organowi podatkowemu możliwość ich pozyskaniach od podatnika. Dodatkowo nie są również potrzebne narzędzia prawne dające podatnikowi gwarancję przestrzegania jego praw, ponieważ organ jest związany umową o współdziałanie i również jest transparent</w:t>
      </w:r>
      <w:r w:rsidR="00981ECC" w:rsidRPr="009A3C86">
        <w:rPr>
          <w:rFonts w:ascii="Times New Roman" w:eastAsia="Times New Roman" w:hAnsi="Times New Roman"/>
          <w:sz w:val="24"/>
          <w:szCs w:val="24"/>
          <w:lang w:eastAsia="pl-PL"/>
        </w:rPr>
        <w:t>n</w:t>
      </w:r>
      <w:r w:rsidRPr="009A3C86">
        <w:rPr>
          <w:rFonts w:ascii="Times New Roman" w:eastAsia="Times New Roman" w:hAnsi="Times New Roman"/>
          <w:sz w:val="24"/>
          <w:szCs w:val="24"/>
          <w:lang w:eastAsia="pl-PL"/>
        </w:rPr>
        <w:t xml:space="preserve">y w podejmowanych działaniach wobec podatnika. Poza tym nie można zapominać, że porozumienia będą miały charakter dobrowolny, dlatego stanowią one wyjątek od zasady dwuinstancyjności. Umowa o współdziałanie wprowadza do polskiego sytemu prawa podatkowego innowacyjną formę relacji z podatnikiem opartą na dobrowolności i współpracy, gdzie nie są potrzebne środki przymusu, ani dodatkowe gwarancje przestrzegania praw obu stron, dlatego nie ma konieczności stosowania standardowych procedur przewidzianych do rozstrzygania różnych kwestii mogących budzić wątpliwości na gruncie prawa podatkowego.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Mając na uwadze powyższe, w zakresie porozumienia mającego charakter opinii zabezpieczającej (w sprawie wyłączenia stosowania art. 3</w:t>
      </w:r>
      <w:r w:rsidR="00533998" w:rsidRPr="009A3C86">
        <w:rPr>
          <w:rFonts w:ascii="Times New Roman" w:eastAsia="Times New Roman" w:hAnsi="Times New Roman"/>
          <w:sz w:val="24"/>
          <w:szCs w:val="24"/>
          <w:lang w:eastAsia="pl-PL"/>
        </w:rPr>
        <w:t>3</w:t>
      </w:r>
      <w:r w:rsidR="00D33709" w:rsidRPr="009A3C86">
        <w:rPr>
          <w:rFonts w:ascii="Times New Roman" w:eastAsia="Times New Roman" w:hAnsi="Times New Roman"/>
          <w:sz w:val="24"/>
          <w:szCs w:val="24"/>
          <w:lang w:eastAsia="pl-PL"/>
        </w:rPr>
        <w:t xml:space="preserve"> § 1</w:t>
      </w:r>
      <w:r w:rsidRPr="009A3C86">
        <w:rPr>
          <w:rFonts w:ascii="Times New Roman" w:eastAsia="Times New Roman" w:hAnsi="Times New Roman"/>
          <w:sz w:val="24"/>
          <w:szCs w:val="24"/>
          <w:lang w:eastAsia="pl-PL"/>
        </w:rPr>
        <w:t xml:space="preserve">) nie ma konieczności odpowiedniego </w:t>
      </w:r>
      <w:r w:rsidR="003F14C9" w:rsidRPr="009A3C86">
        <w:rPr>
          <w:rFonts w:ascii="Times New Roman" w:eastAsia="Times New Roman" w:hAnsi="Times New Roman"/>
          <w:sz w:val="24"/>
          <w:szCs w:val="24"/>
          <w:lang w:eastAsia="pl-PL"/>
        </w:rPr>
        <w:t xml:space="preserve">stosowania </w:t>
      </w:r>
      <w:r w:rsidR="00D33709" w:rsidRPr="009A3C86">
        <w:rPr>
          <w:rFonts w:ascii="Times New Roman" w:eastAsia="Times New Roman" w:hAnsi="Times New Roman"/>
          <w:sz w:val="24"/>
          <w:szCs w:val="24"/>
          <w:lang w:eastAsia="pl-PL"/>
        </w:rPr>
        <w:t xml:space="preserve">wszystkich </w:t>
      </w:r>
      <w:r w:rsidRPr="009A3C86">
        <w:rPr>
          <w:rFonts w:ascii="Times New Roman" w:eastAsia="Times New Roman" w:hAnsi="Times New Roman"/>
          <w:sz w:val="24"/>
          <w:szCs w:val="24"/>
          <w:lang w:eastAsia="pl-PL"/>
        </w:rPr>
        <w:t>przepisów oddziału 2, rozdziału 5 działu VI (opin</w:t>
      </w:r>
      <w:r w:rsidR="00533998" w:rsidRPr="009A3C86">
        <w:rPr>
          <w:rFonts w:ascii="Times New Roman" w:eastAsia="Times New Roman" w:hAnsi="Times New Roman"/>
          <w:sz w:val="24"/>
          <w:szCs w:val="24"/>
          <w:lang w:eastAsia="pl-PL"/>
        </w:rPr>
        <w:t>i</w:t>
      </w:r>
      <w:r w:rsidRPr="009A3C86">
        <w:rPr>
          <w:rFonts w:ascii="Times New Roman" w:eastAsia="Times New Roman" w:hAnsi="Times New Roman"/>
          <w:sz w:val="24"/>
          <w:szCs w:val="24"/>
          <w:lang w:eastAsia="pl-PL"/>
        </w:rPr>
        <w:t xml:space="preserve">a zabezpieczająca) </w:t>
      </w:r>
      <w:r w:rsidR="00D33709" w:rsidRPr="009A3C86">
        <w:rPr>
          <w:rFonts w:ascii="Times New Roman" w:eastAsia="Times New Roman" w:hAnsi="Times New Roman"/>
          <w:sz w:val="24"/>
          <w:szCs w:val="24"/>
          <w:lang w:eastAsia="pl-PL"/>
        </w:rPr>
        <w:t xml:space="preserve">z wyjątkami wskazanymi w art. 640 § 5 </w:t>
      </w:r>
      <w:r w:rsidRPr="009A3C86">
        <w:rPr>
          <w:rFonts w:ascii="Times New Roman" w:eastAsia="Times New Roman" w:hAnsi="Times New Roman"/>
          <w:sz w:val="24"/>
          <w:szCs w:val="24"/>
          <w:lang w:eastAsia="pl-PL"/>
        </w:rPr>
        <w:t xml:space="preserve">– ponieważ informacje i dane potrzebne do wydania opinii będą  dostarczane przez podatnika w ramach współpracy w Programie Współdziałania. Natomiast odpowiednie zastosowanie art. </w:t>
      </w:r>
      <w:r w:rsidR="00D33709" w:rsidRPr="009A3C86">
        <w:rPr>
          <w:rFonts w:ascii="Times New Roman" w:eastAsia="Times New Roman" w:hAnsi="Times New Roman"/>
          <w:sz w:val="24"/>
          <w:szCs w:val="24"/>
          <w:lang w:eastAsia="pl-PL"/>
        </w:rPr>
        <w:t>599</w:t>
      </w:r>
      <w:r w:rsidRPr="009A3C86">
        <w:rPr>
          <w:rFonts w:ascii="Times New Roman" w:eastAsia="Times New Roman" w:hAnsi="Times New Roman"/>
          <w:sz w:val="24"/>
          <w:szCs w:val="24"/>
          <w:lang w:eastAsia="pl-PL"/>
        </w:rPr>
        <w:t xml:space="preserve"> § 3 – na podstawie </w:t>
      </w:r>
      <w:r w:rsidRPr="009A3C86">
        <w:rPr>
          <w:rFonts w:ascii="Times New Roman" w:eastAsia="Times New Roman" w:hAnsi="Times New Roman"/>
          <w:b/>
          <w:sz w:val="24"/>
          <w:szCs w:val="24"/>
          <w:lang w:eastAsia="pl-PL"/>
        </w:rPr>
        <w:t xml:space="preserve">art. </w:t>
      </w:r>
      <w:r w:rsidR="00D33709" w:rsidRPr="009A3C86">
        <w:rPr>
          <w:rFonts w:ascii="Times New Roman" w:eastAsia="Times New Roman" w:hAnsi="Times New Roman"/>
          <w:b/>
          <w:sz w:val="24"/>
          <w:szCs w:val="24"/>
          <w:lang w:eastAsia="pl-PL"/>
        </w:rPr>
        <w:t>641</w:t>
      </w:r>
      <w:r w:rsidRPr="009A3C86">
        <w:rPr>
          <w:rFonts w:ascii="Times New Roman" w:eastAsia="Times New Roman" w:hAnsi="Times New Roman"/>
          <w:b/>
          <w:sz w:val="24"/>
          <w:szCs w:val="24"/>
          <w:lang w:eastAsia="pl-PL"/>
        </w:rPr>
        <w:t xml:space="preserve"> pkt 2</w:t>
      </w:r>
      <w:r w:rsidRPr="009A3C86">
        <w:rPr>
          <w:rFonts w:ascii="Times New Roman" w:eastAsia="Times New Roman" w:hAnsi="Times New Roman"/>
          <w:sz w:val="24"/>
          <w:szCs w:val="24"/>
          <w:lang w:eastAsia="pl-PL"/>
        </w:rPr>
        <w:t>, zapewni w toku zawierania porozumień w zakresie wyłączenia stosowania art. 3</w:t>
      </w:r>
      <w:r w:rsidR="00BD361E" w:rsidRPr="009A3C86">
        <w:rPr>
          <w:rFonts w:ascii="Times New Roman" w:eastAsia="Times New Roman" w:hAnsi="Times New Roman"/>
          <w:sz w:val="24"/>
          <w:szCs w:val="24"/>
          <w:lang w:eastAsia="pl-PL"/>
        </w:rPr>
        <w:t>3</w:t>
      </w:r>
      <w:r w:rsidRPr="009A3C86">
        <w:rPr>
          <w:rFonts w:ascii="Times New Roman" w:eastAsia="Times New Roman" w:hAnsi="Times New Roman"/>
          <w:sz w:val="24"/>
          <w:szCs w:val="24"/>
          <w:lang w:eastAsia="pl-PL"/>
        </w:rPr>
        <w:t xml:space="preserve">, możliwość skorzystania przez Szefa Krajowej Administracji Skarbowej z wiedzy ciała doradczego jakim jest Rada do spraw przeciwdziałania unikaniu opodatkowania. Dodatkowo, w przygotowanym projekcie przepisów w art. </w:t>
      </w:r>
      <w:r w:rsidR="00415745" w:rsidRPr="009A3C86">
        <w:rPr>
          <w:rFonts w:ascii="Times New Roman" w:eastAsia="Times New Roman" w:hAnsi="Times New Roman"/>
          <w:sz w:val="24"/>
          <w:szCs w:val="24"/>
          <w:lang w:eastAsia="pl-PL"/>
        </w:rPr>
        <w:t>36</w:t>
      </w:r>
      <w:r w:rsidRPr="009A3C86">
        <w:rPr>
          <w:rFonts w:ascii="Times New Roman" w:eastAsia="Times New Roman" w:hAnsi="Times New Roman"/>
          <w:sz w:val="24"/>
          <w:szCs w:val="24"/>
          <w:lang w:eastAsia="pl-PL"/>
        </w:rPr>
        <w:t xml:space="preserve"> zostało dodane wyłączenie zastosowania klauzuli ogólnej przeciw unikaniu opodatkowania w przypadku zawarcia porozumienia mającego charakter opinii zabezpieczającej.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Tożsama sytuacja ma miejsce w przypadku wydawania postanowień w sprawach wykładni i stosowania prawa podatkowego, gdzie nie ma potrzeby stosowania odpowiednich przepisów w zakresie interpretacji podatkowej, aby pozyskać od podatnika wiedzę na temat stanu faktycznego będącego przedmiotem oceny w ramach zawieranego porozumienia.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xml:space="preserve">art. </w:t>
      </w:r>
      <w:r w:rsidR="00750FC1" w:rsidRPr="009A3C86">
        <w:rPr>
          <w:rFonts w:ascii="Times New Roman" w:eastAsia="Times New Roman" w:hAnsi="Times New Roman"/>
          <w:b/>
          <w:sz w:val="24"/>
          <w:szCs w:val="24"/>
          <w:lang w:eastAsia="pl-PL"/>
        </w:rPr>
        <w:t>641</w:t>
      </w:r>
      <w:r w:rsidRPr="009A3C86">
        <w:rPr>
          <w:rFonts w:ascii="Times New Roman" w:eastAsia="Times New Roman" w:hAnsi="Times New Roman"/>
          <w:b/>
          <w:sz w:val="24"/>
          <w:szCs w:val="24"/>
          <w:lang w:eastAsia="pl-PL"/>
        </w:rPr>
        <w:t xml:space="preserve"> pkt 1</w:t>
      </w:r>
      <w:r w:rsidRPr="009A3C86">
        <w:rPr>
          <w:rFonts w:ascii="Times New Roman" w:eastAsia="Times New Roman" w:hAnsi="Times New Roman"/>
          <w:sz w:val="24"/>
          <w:szCs w:val="24"/>
          <w:lang w:eastAsia="pl-PL"/>
        </w:rPr>
        <w:t xml:space="preserve"> przed zawarciem porozumienia podatkowego w zakresie </w:t>
      </w:r>
      <w:r w:rsidR="00750FC1" w:rsidRPr="009A3C86">
        <w:rPr>
          <w:rFonts w:ascii="Times New Roman" w:eastAsia="Times New Roman" w:hAnsi="Times New Roman"/>
          <w:sz w:val="24"/>
          <w:szCs w:val="24"/>
          <w:lang w:eastAsia="pl-PL"/>
        </w:rPr>
        <w:t>interpretacji przepisów prawa podatkowego</w:t>
      </w:r>
      <w:r w:rsidR="00750FC1" w:rsidRPr="009A3C86" w:rsidDel="00B1136D">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Szef Krajowej Administracji Skarbowej może za</w:t>
      </w:r>
      <w:r w:rsidR="00981ECC" w:rsidRPr="009A3C86">
        <w:rPr>
          <w:rFonts w:ascii="Times New Roman" w:eastAsia="Times New Roman" w:hAnsi="Times New Roman"/>
          <w:sz w:val="24"/>
          <w:szCs w:val="24"/>
          <w:lang w:eastAsia="pl-PL"/>
        </w:rPr>
        <w:t>s</w:t>
      </w:r>
      <w:r w:rsidRPr="009A3C86">
        <w:rPr>
          <w:rFonts w:ascii="Times New Roman" w:eastAsia="Times New Roman" w:hAnsi="Times New Roman"/>
          <w:sz w:val="24"/>
          <w:szCs w:val="24"/>
          <w:lang w:eastAsia="pl-PL"/>
        </w:rPr>
        <w:t>i</w:t>
      </w:r>
      <w:r w:rsidR="00981ECC" w:rsidRPr="009A3C86">
        <w:rPr>
          <w:rFonts w:ascii="Times New Roman" w:eastAsia="Times New Roman" w:hAnsi="Times New Roman"/>
          <w:sz w:val="24"/>
          <w:szCs w:val="24"/>
          <w:lang w:eastAsia="pl-PL"/>
        </w:rPr>
        <w:t>ę</w:t>
      </w:r>
      <w:r w:rsidRPr="009A3C86">
        <w:rPr>
          <w:rFonts w:ascii="Times New Roman" w:eastAsia="Times New Roman" w:hAnsi="Times New Roman"/>
          <w:sz w:val="24"/>
          <w:szCs w:val="24"/>
          <w:lang w:eastAsia="pl-PL"/>
        </w:rPr>
        <w:t xml:space="preserve">gnąć opinii Dyrektora Krajowej Informacji Skarbowej lub naczelnika urzędu skarbowego właściwego dla </w:t>
      </w:r>
      <w:r w:rsidRPr="009A3C86">
        <w:rPr>
          <w:rFonts w:ascii="Times New Roman" w:eastAsia="Times New Roman" w:hAnsi="Times New Roman"/>
          <w:sz w:val="24"/>
          <w:szCs w:val="24"/>
          <w:lang w:eastAsia="pl-PL"/>
        </w:rPr>
        <w:lastRenderedPageBreak/>
        <w:t>podatnika będącego stroną umowy o współdziałanie</w:t>
      </w:r>
      <w:r w:rsidR="00981ECC"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 xml:space="preserve"> Przepis ma na celu umożliwienie współdziałania Szefa Krajowej Administracji Skarbowej z jednej strony z Krajową Informacją Skarbową, tak aby zagwarantować jednolite stanowisko KAS w stosunku do tych samych zagadnień budzących wątpliwości prawnopodatkowe (a przez to zachowanie zasady równości traktowania wszystkich zobowiązanych), z drugiej z organem podatkowym właściwym dla danego podatnika, posiadającym szczegółową wiedzę na temat dotychczasowych rozliczeń tego podatnika.</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Odrębną kategorią są porozumienia w sprawie </w:t>
      </w:r>
      <w:r w:rsidR="00CA5C01" w:rsidRPr="009A3C86">
        <w:rPr>
          <w:rFonts w:ascii="Times New Roman" w:eastAsia="Times New Roman" w:hAnsi="Times New Roman"/>
          <w:sz w:val="24"/>
          <w:szCs w:val="24"/>
          <w:lang w:eastAsia="pl-PL"/>
        </w:rPr>
        <w:t>uprzednich porozumień cenowych</w:t>
      </w:r>
      <w:r w:rsidRPr="009A3C86">
        <w:rPr>
          <w:rFonts w:ascii="Times New Roman" w:eastAsia="Times New Roman" w:hAnsi="Times New Roman"/>
          <w:sz w:val="24"/>
          <w:szCs w:val="24"/>
          <w:lang w:eastAsia="pl-PL"/>
        </w:rPr>
        <w:t>, w zakresie których odpowiedni</w:t>
      </w:r>
      <w:r w:rsidR="001D5BE6" w:rsidRPr="009A3C86">
        <w:rPr>
          <w:rFonts w:ascii="Times New Roman" w:eastAsia="Times New Roman" w:hAnsi="Times New Roman"/>
          <w:sz w:val="24"/>
          <w:szCs w:val="24"/>
          <w:lang w:eastAsia="pl-PL"/>
        </w:rPr>
        <w:t>e</w:t>
      </w:r>
      <w:r w:rsidRPr="009A3C86">
        <w:rPr>
          <w:rFonts w:ascii="Times New Roman" w:eastAsia="Times New Roman" w:hAnsi="Times New Roman"/>
          <w:sz w:val="24"/>
          <w:szCs w:val="24"/>
          <w:lang w:eastAsia="pl-PL"/>
        </w:rPr>
        <w:t xml:space="preserve"> </w:t>
      </w:r>
      <w:r w:rsidR="001D5BE6" w:rsidRPr="009A3C86">
        <w:rPr>
          <w:rFonts w:ascii="Times New Roman" w:eastAsia="Times New Roman" w:hAnsi="Times New Roman"/>
          <w:sz w:val="24"/>
          <w:szCs w:val="24"/>
          <w:lang w:eastAsia="pl-PL"/>
        </w:rPr>
        <w:t>za</w:t>
      </w:r>
      <w:r w:rsidRPr="009A3C86">
        <w:rPr>
          <w:rFonts w:ascii="Times New Roman" w:eastAsia="Times New Roman" w:hAnsi="Times New Roman"/>
          <w:sz w:val="24"/>
          <w:szCs w:val="24"/>
          <w:lang w:eastAsia="pl-PL"/>
        </w:rPr>
        <w:t xml:space="preserve">stosowanie będą </w:t>
      </w:r>
      <w:r w:rsidR="001D5BE6" w:rsidRPr="009A3C86">
        <w:rPr>
          <w:rFonts w:ascii="Times New Roman" w:eastAsia="Times New Roman" w:hAnsi="Times New Roman"/>
          <w:sz w:val="24"/>
          <w:szCs w:val="24"/>
          <w:lang w:eastAsia="pl-PL"/>
        </w:rPr>
        <w:t xml:space="preserve">mieć przepisy o uprzednich porozumieniach cenowych. </w:t>
      </w:r>
      <w:r w:rsidRPr="009A3C86">
        <w:rPr>
          <w:rFonts w:ascii="Times New Roman" w:eastAsia="Times New Roman" w:hAnsi="Times New Roman"/>
          <w:sz w:val="24"/>
          <w:szCs w:val="24"/>
          <w:lang w:eastAsia="pl-PL"/>
        </w:rPr>
        <w:t>Przy czym wysokość opłaty od porozumienia</w:t>
      </w:r>
      <w:r w:rsidR="00872881" w:rsidRPr="009A3C86">
        <w:rPr>
          <w:rFonts w:ascii="Times New Roman" w:eastAsia="Times New Roman" w:hAnsi="Times New Roman"/>
          <w:sz w:val="24"/>
          <w:szCs w:val="24"/>
          <w:lang w:eastAsia="pl-PL"/>
        </w:rPr>
        <w:t>,</w:t>
      </w:r>
      <w:r w:rsidR="00872881" w:rsidRPr="009A3C86">
        <w:rPr>
          <w:rFonts w:ascii="Times New Roman" w:eastAsiaTheme="minorEastAsia" w:hAnsi="Times New Roman" w:cs="Arial"/>
          <w:sz w:val="24"/>
          <w:szCs w:val="20"/>
          <w:lang w:eastAsia="pl-PL"/>
        </w:rPr>
        <w:t xml:space="preserve"> </w:t>
      </w:r>
      <w:r w:rsidR="00872881" w:rsidRPr="009A3C86">
        <w:rPr>
          <w:rFonts w:ascii="Times New Roman" w:eastAsia="Times New Roman" w:hAnsi="Times New Roman"/>
          <w:sz w:val="24"/>
          <w:szCs w:val="24"/>
          <w:lang w:eastAsia="pl-PL"/>
        </w:rPr>
        <w:t>o którym mowa w art. 639 pkt 2,</w:t>
      </w:r>
      <w:r w:rsidRPr="009A3C86">
        <w:rPr>
          <w:rFonts w:ascii="Times New Roman" w:eastAsia="Times New Roman" w:hAnsi="Times New Roman"/>
          <w:sz w:val="24"/>
          <w:szCs w:val="24"/>
          <w:lang w:eastAsia="pl-PL"/>
        </w:rPr>
        <w:t xml:space="preserve"> wynosi 50% opłaty. Zastosowanie preferencji w zakresie opłaty uzasadnione jest faktem transparentności podatnika, który podpisał umowę o współdziałanie wobec Krajowej Administracji Skarbowej, posiadającej w związku z tym szeroką wiedzę na temat specyfiki danego podmiotu, powiązań jego struktury organizacyjnej i kapitałowej, powiązań strategii podatkowej i gospodarczej, stosowanej polityki rachunkowości oraz polityki cenowej, zawieranych transakcji czy sieci kontrahentów. W konsekwencji oznacza to wykorzystanie mniejszych zasobów do realizacji tej usługi. Dodatkowo dostosowując zakres informacji przekazywanych przez podatnika</w:t>
      </w:r>
      <w:r w:rsidR="002A52EB" w:rsidRPr="009A3C86">
        <w:rPr>
          <w:rFonts w:ascii="Times New Roman" w:eastAsia="Times New Roman" w:hAnsi="Times New Roman"/>
          <w:sz w:val="24"/>
          <w:szCs w:val="24"/>
          <w:lang w:eastAsia="pl-PL"/>
        </w:rPr>
        <w:t xml:space="preserve"> w postępowaniu w sprawie uprzednich porozumień cenowych</w:t>
      </w:r>
      <w:r w:rsidRPr="009A3C86">
        <w:rPr>
          <w:rFonts w:ascii="Times New Roman" w:eastAsia="Times New Roman" w:hAnsi="Times New Roman"/>
          <w:sz w:val="24"/>
          <w:szCs w:val="24"/>
          <w:lang w:eastAsia="pl-PL"/>
        </w:rPr>
        <w:t xml:space="preserve"> do specyfiki współpracy w ramach umowy o współdziałanie, ograniczono zakres dokumentów, które nie zostały uprzednio przekazan</w:t>
      </w:r>
      <w:r w:rsidR="00B67450" w:rsidRPr="009A3C86">
        <w:rPr>
          <w:rFonts w:ascii="Times New Roman" w:eastAsia="Times New Roman" w:hAnsi="Times New Roman"/>
          <w:sz w:val="24"/>
          <w:szCs w:val="24"/>
          <w:lang w:eastAsia="pl-PL"/>
        </w:rPr>
        <w:t>e</w:t>
      </w:r>
      <w:r w:rsidRPr="009A3C86">
        <w:rPr>
          <w:rFonts w:ascii="Times New Roman" w:eastAsia="Times New Roman" w:hAnsi="Times New Roman"/>
          <w:sz w:val="24"/>
          <w:szCs w:val="24"/>
          <w:lang w:eastAsia="pl-PL"/>
        </w:rPr>
        <w:t xml:space="preserve"> Szefowi Krajowej Administracji Skarbowej w ramach umowy o współdziałanie. Co oznacza, że podatnik nie jest zobligowany do przedkładania wszystkich informacji, które w standardowej procedurze </w:t>
      </w:r>
      <w:r w:rsidR="002A52EB" w:rsidRPr="009A3C86">
        <w:rPr>
          <w:rFonts w:ascii="Times New Roman" w:eastAsia="Times New Roman" w:hAnsi="Times New Roman"/>
          <w:sz w:val="24"/>
          <w:szCs w:val="24"/>
          <w:lang w:eastAsia="pl-PL"/>
        </w:rPr>
        <w:t xml:space="preserve">uprzednich porozumieniach cenowych </w:t>
      </w:r>
      <w:r w:rsidRPr="009A3C86">
        <w:rPr>
          <w:rFonts w:ascii="Times New Roman" w:eastAsia="Times New Roman" w:hAnsi="Times New Roman"/>
          <w:sz w:val="24"/>
          <w:szCs w:val="24"/>
          <w:lang w:eastAsia="pl-PL"/>
        </w:rPr>
        <w:t xml:space="preserve">musiałby załączyć do wniosku o wydanie porozumienia na podstawie przepisów </w:t>
      </w:r>
      <w:r w:rsidR="002F7C33" w:rsidRPr="009A3C86">
        <w:rPr>
          <w:rFonts w:ascii="Times New Roman" w:eastAsia="Times New Roman" w:hAnsi="Times New Roman"/>
          <w:sz w:val="24"/>
          <w:szCs w:val="24"/>
          <w:lang w:eastAsia="pl-PL"/>
        </w:rPr>
        <w:t xml:space="preserve">o uprzednich porozumieniach cenowych. </w:t>
      </w:r>
      <w:r w:rsidRPr="009A3C86">
        <w:rPr>
          <w:rFonts w:ascii="Times New Roman" w:eastAsia="Times New Roman" w:hAnsi="Times New Roman"/>
          <w:sz w:val="24"/>
          <w:szCs w:val="24"/>
          <w:lang w:eastAsia="pl-PL"/>
        </w:rPr>
        <w:t xml:space="preserve">W konsekwencji zakres informacji niezbędnych do zawarcia porozumienia w sprawie cen transakcyjnych będzie każdorazowo indywidualnie ustalany z podatnikiem i dostosowany do poziomu wiedzy o podatniku zgromadzonym w trakcie realizacji współpracy w ramach umowy o współdziałanie. Powyższe rozwiązanie jest spójne z art. 25, w myśl którego „organy podatkowe żądają tylko tych informacji, dokumentów i innych dowodów, do których nie mają dostępu, a które mogą mieć wpływ na rozstrzygnięcie sprawy”.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xml:space="preserve">art. </w:t>
      </w:r>
      <w:r w:rsidR="00750FC1" w:rsidRPr="009A3C86">
        <w:rPr>
          <w:rFonts w:ascii="Times New Roman" w:eastAsia="Times New Roman" w:hAnsi="Times New Roman"/>
          <w:b/>
          <w:sz w:val="24"/>
          <w:szCs w:val="24"/>
          <w:lang w:eastAsia="pl-PL"/>
        </w:rPr>
        <w:t>639</w:t>
      </w:r>
      <w:r w:rsidRPr="009A3C86">
        <w:rPr>
          <w:rFonts w:ascii="Times New Roman" w:eastAsia="Times New Roman" w:hAnsi="Times New Roman"/>
          <w:b/>
          <w:sz w:val="24"/>
          <w:szCs w:val="24"/>
          <w:lang w:eastAsia="pl-PL"/>
        </w:rPr>
        <w:t xml:space="preserve"> pkt 4</w:t>
      </w:r>
      <w:r w:rsidRPr="009A3C86">
        <w:rPr>
          <w:rFonts w:ascii="Times New Roman" w:eastAsia="Times New Roman" w:hAnsi="Times New Roman"/>
          <w:sz w:val="24"/>
          <w:szCs w:val="24"/>
          <w:lang w:eastAsia="pl-PL"/>
        </w:rPr>
        <w:t xml:space="preserve"> możliwe jest także zawarcie porozumienia w zakresie  wysokości prognozowanego na następny rok podatkowy zobowiązania podatkowego w podatku dochodowym od osób prawnych w celu ustalenia wysokości zaliczek miesięcznych w uproszczonej formie na podstawie art. 25 ust. 6b ustawy o podatku dochodowym od osób </w:t>
      </w:r>
      <w:r w:rsidRPr="009A3C86">
        <w:rPr>
          <w:rFonts w:ascii="Times New Roman" w:eastAsia="Times New Roman" w:hAnsi="Times New Roman"/>
          <w:sz w:val="24"/>
          <w:szCs w:val="24"/>
          <w:lang w:eastAsia="pl-PL"/>
        </w:rPr>
        <w:lastRenderedPageBreak/>
        <w:t xml:space="preserve">prawnych. Zawieranie porozumień w zakresie nowej formy uproszczonej wpłaty zaliczek CIT, będzie dostępne wyłącznie dla podmiotów, które podpisały umowę o współdziałanie, ponieważ tylko te podmioty będą całkowicie transparentne wobec Krajowej Administracji Skarbowej, także w zakresie planów biznesowych i wynikających z nich prognoz podatkowych (współpraca opiera się na działaniu </w:t>
      </w:r>
      <w:r w:rsidRPr="009A3C86">
        <w:rPr>
          <w:rFonts w:ascii="Times New Roman" w:eastAsia="Times New Roman" w:hAnsi="Times New Roman"/>
          <w:i/>
          <w:sz w:val="24"/>
          <w:szCs w:val="24"/>
          <w:lang w:eastAsia="pl-PL"/>
        </w:rPr>
        <w:t>ex ante</w:t>
      </w:r>
      <w:r w:rsidRPr="009A3C86">
        <w:rPr>
          <w:rFonts w:ascii="Times New Roman" w:eastAsia="Times New Roman" w:hAnsi="Times New Roman"/>
          <w:sz w:val="24"/>
          <w:szCs w:val="24"/>
          <w:lang w:eastAsia="pl-PL"/>
        </w:rPr>
        <w:t xml:space="preserve">). Z drugiej strony wprowadzenie przedmiotowej preferencji dla podmiotów, które podpisały umowę o współdziałanie stanowi wyraz zasady zrozumienia przez Krajową Administrację Skarbową specyfiki danego podmiotu i jego potrzeb biznesowych. Nowa forma uproszczonej zaliczki jest produktem dostosowanym do planów biznesowych podatnika i prognozowanym cash flow, wpisującym się w zasadę proaktywnego działania </w:t>
      </w:r>
      <w:r w:rsidRPr="009A3C86">
        <w:rPr>
          <w:rFonts w:ascii="Times New Roman" w:eastAsia="Times New Roman" w:hAnsi="Times New Roman"/>
          <w:i/>
          <w:sz w:val="24"/>
          <w:szCs w:val="24"/>
          <w:lang w:eastAsia="pl-PL"/>
        </w:rPr>
        <w:t>ex ante</w:t>
      </w:r>
      <w:r w:rsidRPr="009A3C86">
        <w:rPr>
          <w:rFonts w:ascii="Times New Roman" w:eastAsia="Times New Roman" w:hAnsi="Times New Roman"/>
          <w:sz w:val="24"/>
          <w:szCs w:val="24"/>
          <w:lang w:eastAsia="pl-PL"/>
        </w:rPr>
        <w:t xml:space="preserve"> stron umowy o współdziałanie.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b/>
          <w:sz w:val="24"/>
          <w:szCs w:val="24"/>
          <w:lang w:eastAsia="pl-PL"/>
        </w:rPr>
        <w:t xml:space="preserve">Art. </w:t>
      </w:r>
      <w:r w:rsidR="00750FC1" w:rsidRPr="009A3C86">
        <w:rPr>
          <w:rFonts w:ascii="Times New Roman" w:eastAsia="Times New Roman" w:hAnsi="Times New Roman"/>
          <w:b/>
          <w:sz w:val="24"/>
          <w:szCs w:val="24"/>
          <w:lang w:eastAsia="pl-PL"/>
        </w:rPr>
        <w:t>639</w:t>
      </w:r>
      <w:r w:rsidRPr="009A3C86">
        <w:rPr>
          <w:rFonts w:ascii="Times New Roman" w:eastAsia="Times New Roman" w:hAnsi="Times New Roman"/>
          <w:b/>
          <w:sz w:val="24"/>
          <w:szCs w:val="24"/>
          <w:lang w:eastAsia="pl-PL"/>
        </w:rPr>
        <w:t xml:space="preserve"> pkt 5</w:t>
      </w:r>
      <w:r w:rsidRPr="009A3C86">
        <w:rPr>
          <w:rFonts w:ascii="Times New Roman" w:eastAsia="Times New Roman" w:hAnsi="Times New Roman"/>
          <w:sz w:val="24"/>
          <w:szCs w:val="24"/>
          <w:lang w:eastAsia="pl-PL"/>
        </w:rPr>
        <w:t xml:space="preserve"> przewiduje zawieranie porozumień także w innych przypadkach niezbędnych dla prawidłowej realizacji warunków umowy o współdziałanie, np. w zakresie ram wewnętrznego nadzoru podatkowego.</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Szeroki zakres przedmiotowy porozumień zawieranych w ramach realizacji umowy o współdziałanie jest wyjściem naprzeciw potrzebom podatników, którzy w ramach Programu Współdziałania oczekują całościowej usługi, obejmującej różne kwestie związane ze stosowaniem prawa podatkowego.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Dodatkowo, w odniesieniu do wszystkich porozumień, w </w:t>
      </w:r>
      <w:r w:rsidRPr="009A3C86">
        <w:rPr>
          <w:rFonts w:ascii="Times New Roman" w:eastAsia="Times New Roman" w:hAnsi="Times New Roman"/>
          <w:b/>
          <w:sz w:val="24"/>
          <w:szCs w:val="24"/>
          <w:lang w:eastAsia="pl-PL"/>
        </w:rPr>
        <w:t xml:space="preserve">art. </w:t>
      </w:r>
      <w:r w:rsidR="00AE7288" w:rsidRPr="009A3C86">
        <w:rPr>
          <w:rFonts w:ascii="Times New Roman" w:eastAsia="Times New Roman" w:hAnsi="Times New Roman"/>
          <w:b/>
          <w:sz w:val="24"/>
          <w:szCs w:val="24"/>
          <w:lang w:eastAsia="pl-PL"/>
        </w:rPr>
        <w:t>640</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zawarto wyłączenie przedmiotowe, z którego wynika, że porozumienie podatkowe nie może zostać zawarte zakresie czynności i zdarzeń objętych toczącym się postępowaniem podatkowym, kontrolą podatkową, kontrolą celno-skarbową lub postępowaniem przed sądem administracyjnym albo gdy w tym zakresie sprawa została rozstrzygnięta co do jej istoty w decyzji lub postanowieniu organu podatkowego.</w:t>
      </w:r>
    </w:p>
    <w:p w:rsidR="00AE7288" w:rsidRPr="009A3C86" w:rsidRDefault="004166B8" w:rsidP="00AE728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 xml:space="preserve">art. </w:t>
      </w:r>
      <w:r w:rsidR="00AE7288" w:rsidRPr="009A3C86">
        <w:rPr>
          <w:rFonts w:ascii="Times New Roman" w:eastAsia="Times New Roman" w:hAnsi="Times New Roman"/>
          <w:b/>
          <w:sz w:val="24"/>
          <w:szCs w:val="24"/>
          <w:lang w:eastAsia="pl-PL"/>
        </w:rPr>
        <w:t>642</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Podatnik może w każdym czasie wypowiedzieć porozumienie podatkowe. Natomiast w myśl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xml:space="preserve"> Szef Krajowej Administracji Skarbowej może wypowiedzieć porozumienie podatkowe, tylko jeżeli zmaterializują się przesłanki wskazane w tym przepisie</w:t>
      </w:r>
      <w:r w:rsidR="00AE7288" w:rsidRPr="009A3C86">
        <w:rPr>
          <w:rFonts w:ascii="Times New Roman" w:eastAsia="Times New Roman" w:hAnsi="Times New Roman"/>
          <w:sz w:val="24"/>
          <w:szCs w:val="24"/>
          <w:lang w:eastAsia="pl-PL"/>
        </w:rPr>
        <w:t>. Pierwszą przesłanką jest wyjście na jaw istotnych dla sprawy, w której zawarto porozumienie,  nowych okoliczności faktycznych lub nowych dowodów, istniejących w dniu zawarcia tego porozumienia i nieznanych Szefowi Krajowej Administracji Skarbowej</w:t>
      </w:r>
      <w:r w:rsidRPr="009A3C86">
        <w:rPr>
          <w:rFonts w:ascii="Times New Roman" w:eastAsia="Times New Roman" w:hAnsi="Times New Roman"/>
          <w:sz w:val="24"/>
          <w:szCs w:val="24"/>
          <w:lang w:eastAsia="pl-PL"/>
        </w:rPr>
        <w:t xml:space="preserve"> w dniu wydania stanowiska i nieuwzględnion</w:t>
      </w:r>
      <w:r w:rsidR="00AE7288" w:rsidRPr="009A3C86">
        <w:rPr>
          <w:rFonts w:ascii="Times New Roman" w:eastAsia="Times New Roman" w:hAnsi="Times New Roman"/>
          <w:sz w:val="24"/>
          <w:szCs w:val="24"/>
          <w:lang w:eastAsia="pl-PL"/>
        </w:rPr>
        <w:t>ych</w:t>
      </w:r>
      <w:r w:rsidRPr="009A3C86">
        <w:rPr>
          <w:rFonts w:ascii="Times New Roman" w:eastAsia="Times New Roman" w:hAnsi="Times New Roman"/>
          <w:sz w:val="24"/>
          <w:szCs w:val="24"/>
          <w:lang w:eastAsia="pl-PL"/>
        </w:rPr>
        <w:t xml:space="preserve"> w tym porozumieniu</w:t>
      </w:r>
      <w:r w:rsidR="00AE7288"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w:t>
      </w:r>
      <w:r w:rsidRPr="009A3C86">
        <w:rPr>
          <w:rFonts w:ascii="Times New Roman" w:eastAsia="Times New Roman" w:hAnsi="Times New Roman"/>
          <w:b/>
          <w:sz w:val="24"/>
          <w:szCs w:val="24"/>
          <w:lang w:eastAsia="pl-PL"/>
        </w:rPr>
        <w:t>art</w:t>
      </w:r>
      <w:r w:rsidR="00EB022E" w:rsidRPr="009A3C86">
        <w:rPr>
          <w:rFonts w:ascii="Times New Roman" w:eastAsia="Times New Roman" w:hAnsi="Times New Roman"/>
          <w:b/>
          <w:sz w:val="24"/>
          <w:szCs w:val="24"/>
          <w:lang w:eastAsia="pl-PL"/>
        </w:rPr>
        <w:t>. </w:t>
      </w:r>
      <w:r w:rsidR="00AE7288" w:rsidRPr="009A3C86">
        <w:rPr>
          <w:rFonts w:ascii="Times New Roman" w:eastAsia="Times New Roman" w:hAnsi="Times New Roman"/>
          <w:b/>
          <w:sz w:val="24"/>
          <w:szCs w:val="24"/>
          <w:lang w:eastAsia="pl-PL"/>
        </w:rPr>
        <w:t>642</w:t>
      </w:r>
      <w:r w:rsidRPr="009A3C86">
        <w:rPr>
          <w:rFonts w:ascii="Times New Roman" w:eastAsia="Times New Roman" w:hAnsi="Times New Roman"/>
          <w:b/>
          <w:sz w:val="24"/>
          <w:szCs w:val="24"/>
          <w:lang w:eastAsia="pl-PL"/>
        </w:rPr>
        <w:t xml:space="preserve"> § 2 pkt 1</w:t>
      </w:r>
      <w:r w:rsidRPr="009A3C86">
        <w:rPr>
          <w:rFonts w:ascii="Times New Roman" w:eastAsia="Times New Roman" w:hAnsi="Times New Roman"/>
          <w:sz w:val="24"/>
          <w:szCs w:val="24"/>
          <w:lang w:eastAsia="pl-PL"/>
        </w:rPr>
        <w:t xml:space="preserve">). Drugą przyczyną rozwiązania porozumienia jest stwierdzenie jego nieprawidłowości przy uwzględnieniu w szczególności orzecznictwa sądów, Trybunału Konstytucyjnego, Trybunału Sprawiedliwości Unii Europejskiej lub interpretacje ogólne </w:t>
      </w:r>
      <w:r w:rsidR="00A57DCE" w:rsidRPr="009A3C86">
        <w:rPr>
          <w:rFonts w:ascii="Times New Roman" w:eastAsia="Times New Roman" w:hAnsi="Times New Roman"/>
          <w:sz w:val="24"/>
          <w:szCs w:val="24"/>
          <w:lang w:eastAsia="pl-PL"/>
        </w:rPr>
        <w:t>(</w:t>
      </w:r>
      <w:r w:rsidR="00A57DCE" w:rsidRPr="009A3C86">
        <w:rPr>
          <w:rFonts w:ascii="Times New Roman" w:eastAsia="Times New Roman" w:hAnsi="Times New Roman"/>
          <w:b/>
          <w:sz w:val="24"/>
          <w:szCs w:val="24"/>
          <w:lang w:eastAsia="pl-PL"/>
        </w:rPr>
        <w:t>art. </w:t>
      </w:r>
      <w:r w:rsidR="00AE7288" w:rsidRPr="009A3C86">
        <w:rPr>
          <w:rFonts w:ascii="Times New Roman" w:eastAsia="Times New Roman" w:hAnsi="Times New Roman"/>
          <w:b/>
          <w:sz w:val="24"/>
          <w:szCs w:val="24"/>
          <w:lang w:eastAsia="pl-PL"/>
        </w:rPr>
        <w:t>642</w:t>
      </w:r>
      <w:r w:rsidRPr="009A3C86">
        <w:rPr>
          <w:rFonts w:ascii="Times New Roman" w:eastAsia="Times New Roman" w:hAnsi="Times New Roman"/>
          <w:b/>
          <w:sz w:val="24"/>
          <w:szCs w:val="24"/>
          <w:lang w:eastAsia="pl-PL"/>
        </w:rPr>
        <w:t xml:space="preserve"> </w:t>
      </w:r>
      <w:r w:rsidR="00B67450" w:rsidRPr="009A3C86">
        <w:rPr>
          <w:rFonts w:ascii="Times New Roman" w:eastAsia="Times New Roman" w:hAnsi="Times New Roman"/>
          <w:b/>
          <w:sz w:val="24"/>
          <w:szCs w:val="24"/>
          <w:lang w:eastAsia="pl-PL"/>
        </w:rPr>
        <w:t>§ </w:t>
      </w:r>
      <w:r w:rsidRPr="009A3C86">
        <w:rPr>
          <w:rFonts w:ascii="Times New Roman" w:eastAsia="Times New Roman" w:hAnsi="Times New Roman"/>
          <w:b/>
          <w:sz w:val="24"/>
          <w:szCs w:val="24"/>
          <w:lang w:eastAsia="pl-PL"/>
        </w:rPr>
        <w:t>2 pkt</w:t>
      </w:r>
      <w:r w:rsidR="00EB022E" w:rsidRPr="009A3C86">
        <w:rPr>
          <w:rFonts w:ascii="Times New Roman" w:eastAsia="Times New Roman" w:hAnsi="Times New Roman"/>
          <w:b/>
          <w:sz w:val="24"/>
          <w:szCs w:val="24"/>
          <w:lang w:eastAsia="pl-PL"/>
        </w:rPr>
        <w:t xml:space="preserve"> 2</w:t>
      </w:r>
      <w:r w:rsidR="00A57DCE"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 xml:space="preserve">. </w:t>
      </w:r>
      <w:r w:rsidR="00AE7288" w:rsidRPr="009A3C86">
        <w:rPr>
          <w:rFonts w:ascii="Times New Roman" w:eastAsia="Times New Roman" w:hAnsi="Times New Roman"/>
          <w:sz w:val="24"/>
          <w:szCs w:val="24"/>
          <w:lang w:eastAsia="pl-PL"/>
        </w:rPr>
        <w:t>Trzecią przyczyną może być rozwiązanie umowy o współdziałanie, stosowanie do art. 637 (</w:t>
      </w:r>
      <w:r w:rsidR="00AE7288" w:rsidRPr="009A3C86">
        <w:rPr>
          <w:rFonts w:ascii="Times New Roman" w:eastAsia="Times New Roman" w:hAnsi="Times New Roman"/>
          <w:b/>
          <w:sz w:val="24"/>
          <w:szCs w:val="24"/>
          <w:lang w:eastAsia="pl-PL"/>
        </w:rPr>
        <w:t>art. 642 § 2 pkt 3</w:t>
      </w:r>
      <w:r w:rsidR="00AE7288" w:rsidRPr="009A3C86">
        <w:rPr>
          <w:rFonts w:ascii="Times New Roman" w:eastAsia="Times New Roman" w:hAnsi="Times New Roman"/>
          <w:sz w:val="24"/>
          <w:szCs w:val="24"/>
          <w:lang w:eastAsia="pl-PL"/>
        </w:rPr>
        <w:t>).</w:t>
      </w:r>
    </w:p>
    <w:p w:rsidR="004166B8" w:rsidRPr="009A3C86" w:rsidRDefault="004166B8" w:rsidP="00AE728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Rozwiązanie porozumienia przez Szefa KAS musi mieć formę pisemną oraz zawierać uzasadnienie przyczyny rozwiązania. Rozwiązanie następuje z dniem złożenia w formie pisemnej drugiej stronie oświadczenia o wypowiedzeniu tego porozumienia, chyba że podatnik w oświadczeniu o wypowiedzeniu porozumienia wskaże inny termin rozwiązania porozumienia</w:t>
      </w:r>
      <w:r w:rsidR="00180AA1" w:rsidRPr="009A3C86">
        <w:t xml:space="preserve"> </w:t>
      </w:r>
      <w:r w:rsidR="00180AA1" w:rsidRPr="009A3C86">
        <w:rPr>
          <w:rFonts w:ascii="Times New Roman" w:eastAsia="Times New Roman" w:hAnsi="Times New Roman"/>
          <w:sz w:val="24"/>
          <w:szCs w:val="24"/>
          <w:lang w:eastAsia="pl-PL"/>
        </w:rPr>
        <w:t>poprzedzający dzień złożenia oświadczenia</w:t>
      </w:r>
      <w:r w:rsidRPr="009A3C86">
        <w:rPr>
          <w:rFonts w:ascii="Times New Roman" w:eastAsia="Times New Roman" w:hAnsi="Times New Roman"/>
          <w:sz w:val="24"/>
          <w:szCs w:val="24"/>
          <w:lang w:eastAsia="pl-PL"/>
        </w:rPr>
        <w:t xml:space="preserve"> (</w:t>
      </w:r>
      <w:r w:rsidR="00A57DCE" w:rsidRPr="009A3C86">
        <w:rPr>
          <w:rFonts w:ascii="Times New Roman" w:eastAsia="Times New Roman" w:hAnsi="Times New Roman"/>
          <w:b/>
          <w:sz w:val="24"/>
          <w:szCs w:val="24"/>
          <w:lang w:eastAsia="pl-PL"/>
        </w:rPr>
        <w:t>art. </w:t>
      </w:r>
      <w:r w:rsidR="002F0BC3" w:rsidRPr="009A3C86">
        <w:rPr>
          <w:rFonts w:ascii="Times New Roman" w:eastAsia="Times New Roman" w:hAnsi="Times New Roman"/>
          <w:b/>
          <w:sz w:val="24"/>
          <w:szCs w:val="24"/>
          <w:lang w:eastAsia="pl-PL"/>
        </w:rPr>
        <w:t>642</w:t>
      </w:r>
      <w:r w:rsidR="00A57DCE"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3</w:t>
      </w:r>
      <w:r w:rsidRPr="009A3C86">
        <w:rPr>
          <w:rFonts w:ascii="Times New Roman" w:eastAsia="Times New Roman" w:hAnsi="Times New Roman"/>
          <w:sz w:val="24"/>
          <w:szCs w:val="24"/>
          <w:lang w:eastAsia="pl-PL"/>
        </w:rPr>
        <w:t>) – rozwiązanie ma na celu zagwarantowanie w tym zakresie swobody decyzji, co oznacza, że podatnik będzie mógł zadecydować od jakiego terminu porozumienie go nie obowiązuje.</w:t>
      </w:r>
      <w:r w:rsidR="00180AA1" w:rsidRPr="009A3C86">
        <w:t xml:space="preserve"> </w:t>
      </w:r>
      <w:r w:rsidR="00180AA1" w:rsidRPr="009A3C86">
        <w:rPr>
          <w:rFonts w:ascii="Times New Roman" w:eastAsia="Times New Roman" w:hAnsi="Times New Roman"/>
          <w:sz w:val="24"/>
          <w:szCs w:val="24"/>
          <w:lang w:eastAsia="pl-PL"/>
        </w:rPr>
        <w:t>Porozumienia nie można rozwiązać na przyszłość.</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celu ochrony Szefa KAS przed ewentualnym nieuczciwym działaniem w </w:t>
      </w:r>
      <w:r w:rsidRPr="009A3C86">
        <w:rPr>
          <w:rFonts w:ascii="Times New Roman" w:eastAsia="Times New Roman" w:hAnsi="Times New Roman"/>
          <w:b/>
          <w:sz w:val="24"/>
          <w:szCs w:val="24"/>
          <w:lang w:eastAsia="pl-PL"/>
        </w:rPr>
        <w:t>art.</w:t>
      </w:r>
      <w:r w:rsidR="00B67450" w:rsidRPr="009A3C86">
        <w:rPr>
          <w:rFonts w:ascii="Times New Roman" w:eastAsia="Times New Roman" w:hAnsi="Times New Roman"/>
          <w:b/>
          <w:sz w:val="24"/>
          <w:szCs w:val="24"/>
          <w:lang w:eastAsia="pl-PL"/>
        </w:rPr>
        <w:t xml:space="preserve"> </w:t>
      </w:r>
      <w:r w:rsidR="002F0BC3" w:rsidRPr="009A3C86">
        <w:rPr>
          <w:rFonts w:ascii="Times New Roman" w:eastAsia="Times New Roman" w:hAnsi="Times New Roman"/>
          <w:b/>
          <w:sz w:val="24"/>
          <w:szCs w:val="24"/>
          <w:lang w:eastAsia="pl-PL"/>
        </w:rPr>
        <w:t>64</w:t>
      </w:r>
      <w:r w:rsidR="004865CD" w:rsidRPr="009A3C86">
        <w:rPr>
          <w:rFonts w:ascii="Times New Roman" w:eastAsia="Times New Roman" w:hAnsi="Times New Roman"/>
          <w:b/>
          <w:sz w:val="24"/>
          <w:szCs w:val="24"/>
          <w:lang w:eastAsia="pl-PL"/>
        </w:rPr>
        <w:t>2</w:t>
      </w:r>
      <w:r w:rsidRPr="009A3C86">
        <w:rPr>
          <w:rFonts w:ascii="Times New Roman" w:eastAsia="Times New Roman" w:hAnsi="Times New Roman"/>
          <w:b/>
          <w:sz w:val="24"/>
          <w:szCs w:val="24"/>
          <w:lang w:eastAsia="pl-PL"/>
        </w:rPr>
        <w:t xml:space="preserve"> § </w:t>
      </w:r>
      <w:r w:rsidR="004865CD" w:rsidRPr="009A3C86">
        <w:rPr>
          <w:rFonts w:ascii="Times New Roman" w:eastAsia="Times New Roman" w:hAnsi="Times New Roman"/>
          <w:b/>
          <w:sz w:val="24"/>
          <w:szCs w:val="24"/>
          <w:lang w:eastAsia="pl-PL"/>
        </w:rPr>
        <w:t>4</w:t>
      </w:r>
      <w:r w:rsidRPr="009A3C86">
        <w:rPr>
          <w:rFonts w:ascii="Times New Roman" w:eastAsia="Times New Roman" w:hAnsi="Times New Roman"/>
          <w:sz w:val="24"/>
          <w:szCs w:val="24"/>
          <w:lang w:eastAsia="pl-PL"/>
        </w:rPr>
        <w:t xml:space="preserve"> wskazano, że rozwiązanie porozumienia z uwagi na wyjście na jaw nowych okoliczności faktycznych, następuje ze skutkiem od dnia jego zawarcia i nie chroni podatnika, który ukrył fakty istotne dla sprawy. W </w:t>
      </w:r>
      <w:r w:rsidR="004865CD" w:rsidRPr="009A3C86">
        <w:rPr>
          <w:rFonts w:ascii="Times New Roman" w:eastAsia="Times New Roman" w:hAnsi="Times New Roman"/>
          <w:b/>
          <w:sz w:val="24"/>
          <w:szCs w:val="24"/>
          <w:lang w:eastAsia="pl-PL"/>
        </w:rPr>
        <w:t xml:space="preserve">art. 642 </w:t>
      </w:r>
      <w:r w:rsidRPr="009A3C86">
        <w:rPr>
          <w:rFonts w:ascii="Times New Roman" w:eastAsia="Times New Roman" w:hAnsi="Times New Roman"/>
          <w:b/>
          <w:sz w:val="24"/>
          <w:szCs w:val="24"/>
          <w:lang w:eastAsia="pl-PL"/>
        </w:rPr>
        <w:t xml:space="preserve">§ </w:t>
      </w:r>
      <w:r w:rsidR="004865CD" w:rsidRPr="009A3C86">
        <w:rPr>
          <w:rFonts w:ascii="Times New Roman" w:eastAsia="Times New Roman" w:hAnsi="Times New Roman"/>
          <w:b/>
          <w:sz w:val="24"/>
          <w:szCs w:val="24"/>
          <w:lang w:eastAsia="pl-PL"/>
        </w:rPr>
        <w:t>5</w:t>
      </w:r>
      <w:r w:rsidRPr="009A3C86">
        <w:rPr>
          <w:rFonts w:ascii="Times New Roman" w:eastAsia="Times New Roman" w:hAnsi="Times New Roman"/>
          <w:sz w:val="24"/>
          <w:szCs w:val="24"/>
          <w:lang w:eastAsia="pl-PL"/>
        </w:rPr>
        <w:t xml:space="preserve"> ustawodawca zawarł przepisy chroniące podatnika w przypadku rozwiązania porozumienia ze względu na jego nieprawidłowość, o której mowa w art. </w:t>
      </w:r>
      <w:r w:rsidR="004865CD" w:rsidRPr="009A3C86">
        <w:rPr>
          <w:rFonts w:ascii="Times New Roman" w:eastAsia="Times New Roman" w:hAnsi="Times New Roman"/>
          <w:sz w:val="24"/>
          <w:szCs w:val="24"/>
          <w:lang w:eastAsia="pl-PL"/>
        </w:rPr>
        <w:t>642</w:t>
      </w:r>
      <w:r w:rsidRPr="009A3C86">
        <w:rPr>
          <w:rFonts w:ascii="Times New Roman" w:eastAsia="Times New Roman" w:hAnsi="Times New Roman"/>
          <w:sz w:val="24"/>
          <w:szCs w:val="24"/>
          <w:lang w:eastAsia="pl-PL"/>
        </w:rPr>
        <w:t xml:space="preserve"> § </w:t>
      </w:r>
      <w:r w:rsidR="004865CD" w:rsidRPr="009A3C86">
        <w:rPr>
          <w:rFonts w:ascii="Times New Roman" w:eastAsia="Times New Roman" w:hAnsi="Times New Roman"/>
          <w:sz w:val="24"/>
          <w:szCs w:val="24"/>
          <w:lang w:eastAsia="pl-PL"/>
        </w:rPr>
        <w:t xml:space="preserve">1 oraz § </w:t>
      </w:r>
      <w:r w:rsidRPr="009A3C86">
        <w:rPr>
          <w:rFonts w:ascii="Times New Roman" w:eastAsia="Times New Roman" w:hAnsi="Times New Roman"/>
          <w:sz w:val="24"/>
          <w:szCs w:val="24"/>
          <w:lang w:eastAsia="pl-PL"/>
        </w:rPr>
        <w:t>2 pkt 2</w:t>
      </w:r>
      <w:r w:rsidR="004865CD" w:rsidRPr="009A3C86">
        <w:rPr>
          <w:rFonts w:ascii="Times New Roman" w:eastAsia="Times New Roman" w:hAnsi="Times New Roman"/>
          <w:sz w:val="24"/>
          <w:szCs w:val="24"/>
          <w:lang w:eastAsia="pl-PL"/>
        </w:rPr>
        <w:t xml:space="preserve"> i 3</w:t>
      </w:r>
      <w:r w:rsidRPr="009A3C86">
        <w:rPr>
          <w:rFonts w:ascii="Times New Roman" w:eastAsia="Times New Roman" w:hAnsi="Times New Roman"/>
          <w:sz w:val="24"/>
          <w:szCs w:val="24"/>
          <w:lang w:eastAsia="pl-PL"/>
        </w:rPr>
        <w:t>. Zgodnie z tym przepisem porozumienie, w tym przypadku nie może szkodzić podatnikowi i stosuje się odpowiednio przepisy zapewniające ochronę podatnikowi, który zastosował się do interpretacji indywidualnej tj. art. 5</w:t>
      </w:r>
      <w:r w:rsidR="004865CD" w:rsidRPr="009A3C86">
        <w:rPr>
          <w:rFonts w:ascii="Times New Roman" w:eastAsia="Times New Roman" w:hAnsi="Times New Roman"/>
          <w:sz w:val="24"/>
          <w:szCs w:val="24"/>
          <w:lang w:eastAsia="pl-PL"/>
        </w:rPr>
        <w:t>74</w:t>
      </w:r>
      <w:r w:rsidRPr="009A3C86">
        <w:rPr>
          <w:rFonts w:ascii="Times New Roman" w:eastAsia="Times New Roman" w:hAnsi="Times New Roman"/>
          <w:sz w:val="24"/>
          <w:szCs w:val="24"/>
          <w:lang w:eastAsia="pl-PL"/>
        </w:rPr>
        <w:t xml:space="preserve"> § 1-3 (ochrona przed negatywnymi konsekwencjami zastosowania się do interpretacji), art.</w:t>
      </w:r>
      <w:r w:rsidR="00B67450"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5</w:t>
      </w:r>
      <w:r w:rsidR="004865CD" w:rsidRPr="009A3C86">
        <w:rPr>
          <w:rFonts w:ascii="Times New Roman" w:eastAsia="Times New Roman" w:hAnsi="Times New Roman"/>
          <w:sz w:val="24"/>
          <w:szCs w:val="24"/>
          <w:lang w:eastAsia="pl-PL"/>
        </w:rPr>
        <w:t>76</w:t>
      </w:r>
      <w:r w:rsidRPr="009A3C86">
        <w:rPr>
          <w:rFonts w:ascii="Times New Roman" w:eastAsia="Times New Roman" w:hAnsi="Times New Roman"/>
          <w:sz w:val="24"/>
          <w:szCs w:val="24"/>
          <w:lang w:eastAsia="pl-PL"/>
        </w:rPr>
        <w:t xml:space="preserve"> § 1 pkt 1 (zwolnienie z obowiązku zapłaty w zakresie wynikającym ze zdarzenia będącego przedmiotem interpretacji) oraz § 2 i 3 (określenie okresu rozliczeniowego objętego ochroną, określenie podatku objętego zwolnieniem). </w:t>
      </w:r>
    </w:p>
    <w:p w:rsidR="004865CD" w:rsidRPr="009A3C86" w:rsidRDefault="004865CD" w:rsidP="004865CD">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art. 643</w:t>
      </w:r>
      <w:r w:rsidRPr="009A3C86">
        <w:rPr>
          <w:rFonts w:ascii="Times New Roman" w:eastAsia="Times New Roman" w:hAnsi="Times New Roman"/>
          <w:sz w:val="24"/>
          <w:szCs w:val="24"/>
          <w:lang w:eastAsia="pl-PL"/>
        </w:rPr>
        <w:t xml:space="preserve"> w zakresie nieuregulowanym w niniejszym oddziale do porozumień podatkowych przepisy działu III rozdziału 8 stosuje się odpowiednio.</w:t>
      </w:r>
    </w:p>
    <w:p w:rsidR="004166B8" w:rsidRPr="009A3C86" w:rsidRDefault="004166B8" w:rsidP="00D72E74">
      <w:pPr>
        <w:spacing w:before="120" w:after="0" w:line="360" w:lineRule="auto"/>
        <w:jc w:val="both"/>
        <w:rPr>
          <w:rFonts w:ascii="Times New Roman" w:eastAsia="Times New Roman" w:hAnsi="Times New Roman"/>
          <w:b/>
          <w:sz w:val="24"/>
          <w:szCs w:val="24"/>
          <w:lang w:eastAsia="pl-PL"/>
        </w:rPr>
      </w:pPr>
      <w:r w:rsidRPr="009A3C86">
        <w:rPr>
          <w:rFonts w:ascii="Times New Roman" w:eastAsia="Times New Roman" w:hAnsi="Times New Roman"/>
          <w:b/>
          <w:sz w:val="24"/>
          <w:szCs w:val="24"/>
          <w:lang w:eastAsia="pl-PL"/>
        </w:rPr>
        <w:t>Oddział 3 „Audyt podatkowy”</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Oddział 3 wprowadza procedurę audytu podatkowego, który jak wskazano w </w:t>
      </w:r>
      <w:r w:rsidRPr="009A3C86">
        <w:rPr>
          <w:rFonts w:ascii="Times New Roman" w:eastAsia="Times New Roman" w:hAnsi="Times New Roman"/>
          <w:b/>
          <w:sz w:val="24"/>
          <w:szCs w:val="24"/>
          <w:lang w:eastAsia="pl-PL"/>
        </w:rPr>
        <w:t xml:space="preserve">art. </w:t>
      </w:r>
      <w:r w:rsidR="00DB60B4" w:rsidRPr="009A3C86">
        <w:rPr>
          <w:rFonts w:ascii="Times New Roman" w:eastAsia="Times New Roman" w:hAnsi="Times New Roman"/>
          <w:b/>
          <w:sz w:val="24"/>
          <w:szCs w:val="24"/>
          <w:lang w:eastAsia="pl-PL"/>
        </w:rPr>
        <w:t>644</w:t>
      </w:r>
      <w:r w:rsidRPr="009A3C86">
        <w:rPr>
          <w:rFonts w:ascii="Times New Roman" w:eastAsia="Times New Roman" w:hAnsi="Times New Roman"/>
          <w:sz w:val="24"/>
          <w:szCs w:val="24"/>
          <w:lang w:eastAsia="pl-PL"/>
        </w:rPr>
        <w:t xml:space="preserve"> przeprowadzany jest u podatnika przed (audyt wstępny), jak i po podpisaniu umowy o współdziałanie (audyt monitorujący).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Jako organ właściwy dla celów wykonywania audytów podatkowych wskazano Szefa KAS. Procedura ta ma dać podstawę prawną dla działania Szefa Krajowej Administracji Skarbowej w związku z weryfikacją spełniania przez podatnika warunków umowy o współdziałanie.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Audyt podatkowy będzie przeprowadzany w celu z jednej strony sprawdzenia skuteczności i adekwatności wdrożonych przez podatnika ram wewnętrznego nadzoru podatkowego, z drugiej w celu sprawdzenia prawidłowości wypełniania obowiązków podatkowych. Podatnicy, którzy będą chcieli przystąpić do podpisania umowy o współdziałanie będą zobligowani do wdrożenia </w:t>
      </w:r>
      <w:r w:rsidRPr="009A3C86">
        <w:rPr>
          <w:rFonts w:ascii="Times New Roman" w:eastAsia="Times New Roman" w:hAnsi="Times New Roman"/>
          <w:sz w:val="24"/>
          <w:szCs w:val="24"/>
          <w:lang w:eastAsia="pl-PL"/>
        </w:rPr>
        <w:lastRenderedPageBreak/>
        <w:t>skutecznego i adekwatnego systemu zarządzania compliance i ryzykiem podatkowym, który daje gwarancję, że dany podatnik efektywnie zarządza funkcją podatkową i posiada narzędzia nadzoru umożliwiające mu prawidłowe realizowanie obowiązków podatkowych.</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Audyt wstępny, realizowany przed zawarciem umowy o współdziałanie, ma na celu zapewnienie Szefowi Krajowej Administracji Skarbowej możliwość dokonania sprawdzenia rozliczeń podatnika pod względem potencjalnych ryzyk związanych z wypełnianiem obowiązków podatkowych przed podpisaniem umowy o współdziałanie oraz pozwala ustalić, czy podatnik ma nie tylko chęć, ale i możliwość sprawowania skutecznego nadzoru nad funkcją podatkową. Audyt monitorujący ma na celu zapewnienie możliwości sprawowania przez Szefa Krajowej Administracji Skarbowej skutecznego i efektywnego nadzór nad prawidłową realizacją umowy o współdziałanie.</w:t>
      </w:r>
    </w:p>
    <w:p w:rsidR="00DB60B4" w:rsidRPr="009A3C86" w:rsidRDefault="00DB60B4" w:rsidP="009A3C86">
      <w:pPr>
        <w:spacing w:after="12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art. 6</w:t>
      </w:r>
      <w:r w:rsidR="00E1499B" w:rsidRPr="009A3C86">
        <w:rPr>
          <w:rFonts w:ascii="Times New Roman" w:eastAsia="Times New Roman" w:hAnsi="Times New Roman"/>
          <w:b/>
          <w:sz w:val="24"/>
          <w:szCs w:val="24"/>
          <w:lang w:eastAsia="pl-PL"/>
        </w:rPr>
        <w:t>45</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podatnik jest zobowiązany do przekazywania na wniosek Szefa Krajowej Administracji Skarbowej dokumentacji i informacji niezbędnych do przeprowadzenia audytu podatkowego. W celu ochrony tajemnicy przedsiębiorstwa dokumenty i informacje uznane przez Szefa Krajowej Administracji Skarbowej za zawierające tajemnicę przedsiębiorstwa są niszczone w terminie 2 miesięcy od dnia wypowiedzenia umowy o współdziałanie, a w przypadku nie zawarcia umowy o współdziałanie, od dnia zakończenia audytu wstępnego, jeżeli audyt wstępny został zakończony opinią bez zaleceń (</w:t>
      </w:r>
      <w:r w:rsidRPr="009A3C86">
        <w:rPr>
          <w:rFonts w:ascii="Times New Roman" w:eastAsia="Times New Roman" w:hAnsi="Times New Roman"/>
          <w:b/>
          <w:sz w:val="24"/>
          <w:szCs w:val="24"/>
          <w:lang w:eastAsia="pl-PL"/>
        </w:rPr>
        <w:t>art. 6</w:t>
      </w:r>
      <w:r w:rsidR="00E1499B" w:rsidRPr="009A3C86">
        <w:rPr>
          <w:rFonts w:ascii="Times New Roman" w:eastAsia="Times New Roman" w:hAnsi="Times New Roman"/>
          <w:b/>
          <w:sz w:val="24"/>
          <w:szCs w:val="24"/>
          <w:lang w:eastAsia="pl-PL"/>
        </w:rPr>
        <w:t>45</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Dokumenty te i informacje są również niszczone w przypadku niezawarcia umowy o współdziałanie po upływie dwóch miesięcy od zakończenia weryfikacji przez Szefa Krajowej Administracji Skarbowej zastosowania się przez podatnika do wydanych w wyniku audytu podatkowego zaleceń (</w:t>
      </w:r>
      <w:r w:rsidRPr="009A3C86">
        <w:rPr>
          <w:rFonts w:ascii="Times New Roman" w:eastAsia="Times New Roman" w:hAnsi="Times New Roman"/>
          <w:b/>
          <w:sz w:val="24"/>
          <w:szCs w:val="24"/>
          <w:lang w:eastAsia="pl-PL"/>
        </w:rPr>
        <w:t>art. 6</w:t>
      </w:r>
      <w:r w:rsidR="00E1499B" w:rsidRPr="009A3C86">
        <w:rPr>
          <w:rFonts w:ascii="Times New Roman" w:eastAsia="Times New Roman" w:hAnsi="Times New Roman"/>
          <w:b/>
          <w:sz w:val="24"/>
          <w:szCs w:val="24"/>
          <w:lang w:eastAsia="pl-PL"/>
        </w:rPr>
        <w:t>45</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3</w:t>
      </w:r>
      <w:r w:rsidRPr="009A3C86">
        <w:rPr>
          <w:rFonts w:ascii="Times New Roman" w:eastAsia="Times New Roman" w:hAnsi="Times New Roman"/>
          <w:sz w:val="24"/>
          <w:szCs w:val="24"/>
          <w:lang w:eastAsia="pl-PL"/>
        </w:rPr>
        <w:t>). Ma to na celu ochronę wrażliwych danych podatnika dotyczących jego działalności gospodarczej, w tym dotyczących planów i działań realizujących strategię podatnika. Podobne rozwiązanie w zakresie niszczenia dokumentacji (w tym elektronicznej) uzyskanej w wyniku audytu podatkowego przyjęto we Francji, w celu zwiększenia gwarancji bezpieczeństwa pozyskiwanych danych i w konsekwencji w celu zwiększenia zaufania przedsiębiorców uczestniczących w Programie do organów administracji podatkowej.</w:t>
      </w:r>
    </w:p>
    <w:p w:rsidR="00DB60B4" w:rsidRPr="009A3C86" w:rsidRDefault="00DB60B4" w:rsidP="00DB60B4">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Audyt podatkowy realizowany przez Szefa Krajowej Administracji Skarbowej kończy się wydaniem opinii albo zaleceń, wraz z uzasadnieniem, wskazujących, jakie czynności audytowany podatnik powinien podjąć, celem usunięcia stwierdzonych nieprawidłowości (</w:t>
      </w:r>
      <w:r w:rsidRPr="009A3C86">
        <w:rPr>
          <w:rFonts w:ascii="Times New Roman" w:eastAsia="Times New Roman" w:hAnsi="Times New Roman"/>
          <w:b/>
          <w:sz w:val="24"/>
          <w:szCs w:val="24"/>
          <w:lang w:eastAsia="pl-PL"/>
        </w:rPr>
        <w:t xml:space="preserve">art. </w:t>
      </w:r>
      <w:r w:rsidR="00E1499B" w:rsidRPr="009A3C86">
        <w:rPr>
          <w:rFonts w:ascii="Times New Roman" w:eastAsia="Times New Roman" w:hAnsi="Times New Roman"/>
          <w:b/>
          <w:sz w:val="24"/>
          <w:szCs w:val="24"/>
          <w:lang w:eastAsia="pl-PL"/>
        </w:rPr>
        <w:t>646</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Audyt monitorujący po podpisaniu umowy ma charakter ciągły i polega na monitorowaniu przez Szefa Krajowej Administracji Skarbowej prawidłowości wykonywania </w:t>
      </w:r>
      <w:r w:rsidRPr="009A3C86">
        <w:rPr>
          <w:rFonts w:ascii="Times New Roman" w:eastAsia="Times New Roman" w:hAnsi="Times New Roman"/>
          <w:sz w:val="24"/>
          <w:szCs w:val="24"/>
          <w:lang w:eastAsia="pl-PL"/>
        </w:rPr>
        <w:lastRenderedPageBreak/>
        <w:t>przez podatnika obowiązków wynikających z umowy o współdziałanie. Dokumenty te mają być niezwłocznie doręczane podatnikowi (</w:t>
      </w:r>
      <w:r w:rsidRPr="009A3C86">
        <w:rPr>
          <w:rFonts w:ascii="Times New Roman" w:eastAsia="Times New Roman" w:hAnsi="Times New Roman"/>
          <w:b/>
          <w:sz w:val="24"/>
          <w:szCs w:val="24"/>
          <w:lang w:eastAsia="pl-PL"/>
        </w:rPr>
        <w:t xml:space="preserve">art. </w:t>
      </w:r>
      <w:r w:rsidR="00E1499B" w:rsidRPr="009A3C86">
        <w:rPr>
          <w:rFonts w:ascii="Times New Roman" w:eastAsia="Times New Roman" w:hAnsi="Times New Roman"/>
          <w:b/>
          <w:sz w:val="24"/>
          <w:szCs w:val="24"/>
          <w:lang w:eastAsia="pl-PL"/>
        </w:rPr>
        <w:t>646</w:t>
      </w:r>
      <w:r w:rsidRPr="009A3C86">
        <w:rPr>
          <w:rFonts w:ascii="Times New Roman" w:eastAsia="Times New Roman" w:hAnsi="Times New Roman"/>
          <w:b/>
          <w:sz w:val="24"/>
          <w:szCs w:val="24"/>
          <w:lang w:eastAsia="pl-PL"/>
        </w:rPr>
        <w:t xml:space="preserve"> § 3</w:t>
      </w:r>
      <w:r w:rsidRPr="009A3C86">
        <w:rPr>
          <w:rFonts w:ascii="Times New Roman" w:eastAsia="Times New Roman" w:hAnsi="Times New Roman"/>
          <w:sz w:val="24"/>
          <w:szCs w:val="24"/>
          <w:lang w:eastAsia="pl-PL"/>
        </w:rPr>
        <w:t>). Termin i harmonogram realizacji zaleceń audytowych jest uzgadniany przez podatnika z Szefem KAS (</w:t>
      </w:r>
      <w:r w:rsidRPr="009A3C86">
        <w:rPr>
          <w:rFonts w:ascii="Times New Roman" w:eastAsia="Times New Roman" w:hAnsi="Times New Roman"/>
          <w:b/>
          <w:sz w:val="24"/>
          <w:szCs w:val="24"/>
          <w:lang w:eastAsia="pl-PL"/>
        </w:rPr>
        <w:t xml:space="preserve">art. </w:t>
      </w:r>
      <w:r w:rsidR="00E1499B" w:rsidRPr="009A3C86">
        <w:rPr>
          <w:rFonts w:ascii="Times New Roman" w:eastAsia="Times New Roman" w:hAnsi="Times New Roman"/>
          <w:b/>
          <w:sz w:val="24"/>
          <w:szCs w:val="24"/>
          <w:lang w:eastAsia="pl-PL"/>
        </w:rPr>
        <w:t>646</w:t>
      </w:r>
      <w:r w:rsidRPr="009A3C86">
        <w:rPr>
          <w:rFonts w:ascii="Times New Roman" w:eastAsia="Times New Roman" w:hAnsi="Times New Roman"/>
          <w:b/>
          <w:sz w:val="24"/>
          <w:szCs w:val="24"/>
          <w:lang w:eastAsia="pl-PL"/>
        </w:rPr>
        <w:t xml:space="preserve"> § </w:t>
      </w:r>
      <w:r w:rsidR="00E1499B" w:rsidRPr="009A3C86">
        <w:rPr>
          <w:rFonts w:ascii="Times New Roman" w:eastAsia="Times New Roman" w:hAnsi="Times New Roman"/>
          <w:b/>
          <w:sz w:val="24"/>
          <w:szCs w:val="24"/>
          <w:lang w:eastAsia="pl-PL"/>
        </w:rPr>
        <w:t>4</w:t>
      </w:r>
      <w:r w:rsidRPr="009A3C86">
        <w:rPr>
          <w:rFonts w:ascii="Times New Roman" w:eastAsia="Times New Roman" w:hAnsi="Times New Roman"/>
          <w:sz w:val="24"/>
          <w:szCs w:val="24"/>
          <w:lang w:eastAsia="pl-PL"/>
        </w:rPr>
        <w:t>). Pozwala to na dostosowanie tempa przeprowadzenia zalecanych zmian, korekt i udoskonaleń do możliwości danego podmiotu.</w:t>
      </w:r>
    </w:p>
    <w:p w:rsidR="00DB60B4" w:rsidRPr="009A3C86" w:rsidRDefault="00DB60B4" w:rsidP="00DB60B4">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 przypadku zastosowania się przez podatnika do zaleceń audytu wstępnego audyt ten może być wznowiony na okres niezbędny do weryfikacji zastosowania się podatnika do tych zaleceń (</w:t>
      </w:r>
      <w:r w:rsidRPr="009A3C86">
        <w:rPr>
          <w:rFonts w:ascii="Times New Roman" w:eastAsia="Times New Roman" w:hAnsi="Times New Roman"/>
          <w:b/>
          <w:sz w:val="24"/>
          <w:szCs w:val="24"/>
          <w:lang w:eastAsia="pl-PL"/>
        </w:rPr>
        <w:t xml:space="preserve">art. </w:t>
      </w:r>
      <w:r w:rsidR="00E1499B" w:rsidRPr="009A3C86">
        <w:rPr>
          <w:rFonts w:ascii="Times New Roman" w:eastAsia="Times New Roman" w:hAnsi="Times New Roman"/>
          <w:b/>
          <w:sz w:val="24"/>
          <w:szCs w:val="24"/>
          <w:lang w:eastAsia="pl-PL"/>
        </w:rPr>
        <w:t>646</w:t>
      </w:r>
      <w:r w:rsidRPr="009A3C86">
        <w:rPr>
          <w:rFonts w:ascii="Times New Roman" w:eastAsia="Times New Roman" w:hAnsi="Times New Roman"/>
          <w:b/>
          <w:sz w:val="24"/>
          <w:szCs w:val="24"/>
          <w:lang w:eastAsia="pl-PL"/>
        </w:rPr>
        <w:t xml:space="preserve"> § 5</w:t>
      </w:r>
      <w:r w:rsidRPr="009A3C86">
        <w:rPr>
          <w:rFonts w:ascii="Times New Roman" w:eastAsia="Times New Roman" w:hAnsi="Times New Roman"/>
          <w:sz w:val="24"/>
          <w:szCs w:val="24"/>
          <w:lang w:eastAsia="pl-PL"/>
        </w:rPr>
        <w:t xml:space="preserve">). </w:t>
      </w:r>
    </w:p>
    <w:p w:rsidR="00DB60B4" w:rsidRPr="009A3C86" w:rsidRDefault="00DB60B4" w:rsidP="00DB60B4">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Decyzja o przeprowadzeniu audytu wstępnego i jego zakresie należy do Szefa KAS, biorąc pod uwagę ocenę ryzyka podatkowego zidentyfikowanego u podatnika wnioskującego o zawarcie umowy o współdziałanie (</w:t>
      </w:r>
      <w:r w:rsidRPr="009A3C86">
        <w:rPr>
          <w:rFonts w:ascii="Times New Roman" w:eastAsia="Times New Roman" w:hAnsi="Times New Roman"/>
          <w:b/>
          <w:sz w:val="24"/>
          <w:szCs w:val="24"/>
          <w:lang w:eastAsia="pl-PL"/>
        </w:rPr>
        <w:t xml:space="preserve">art. </w:t>
      </w:r>
      <w:r w:rsidR="00E03891" w:rsidRPr="009A3C86">
        <w:rPr>
          <w:rFonts w:ascii="Times New Roman" w:eastAsia="Times New Roman" w:hAnsi="Times New Roman"/>
          <w:b/>
          <w:sz w:val="24"/>
          <w:szCs w:val="24"/>
          <w:lang w:eastAsia="pl-PL"/>
        </w:rPr>
        <w:t>647</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Zatem sam fakt zgłoszenia przez podatnika chęci podpisania umowy o współdziałanie nie jest równoznaczny z obowiązkiem przeprowadzenia wstępnego audytu podatkowego, decyduje o tym wstępna ocena podatnika dokonana przez Szefa KAS w oparciu o ocenę ryzyka podatkowego. Podatnik jest informowany o zakresie audytu wstępnego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natomiast harmonogram działań podejmowanych w jego ramach będzie ustalany przez Szefa Krajowej Administracji Skarbowej z podatnikiem chcącym podpisać umowę o współdziałanie lub podatnikiem objętym już tą umową (</w:t>
      </w:r>
      <w:r w:rsidRPr="009A3C86">
        <w:rPr>
          <w:rFonts w:ascii="Times New Roman" w:eastAsia="Times New Roman" w:hAnsi="Times New Roman"/>
          <w:b/>
          <w:sz w:val="24"/>
          <w:szCs w:val="24"/>
          <w:lang w:eastAsia="pl-PL"/>
        </w:rPr>
        <w:t>§ 3</w:t>
      </w:r>
      <w:r w:rsidRPr="009A3C86">
        <w:rPr>
          <w:rFonts w:ascii="Times New Roman" w:eastAsia="Times New Roman" w:hAnsi="Times New Roman"/>
          <w:sz w:val="24"/>
          <w:szCs w:val="24"/>
          <w:lang w:eastAsia="pl-PL"/>
        </w:rPr>
        <w:t>). Wspólne ustalanie harmonogramu audytu ma pozwolić na dostosowanie się Krajowej Administracji Skarbowej do procesów i cykli działalności podatnika i przeprowadzenie audytu w terminach dogodnych dla obu stron.</w:t>
      </w:r>
    </w:p>
    <w:p w:rsidR="00DB60B4" w:rsidRPr="009A3C86" w:rsidRDefault="00DB60B4" w:rsidP="00DB60B4">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 Konieczność przeprowadzenia tego audytu wstępnego wynika z potrzeby oceny sytuacji podatkowej podatnika objętego umową o współdziałanie. Okres wstępnego audytu podatkowego w zakresie prawidłowości realizacji obowiązków podatkowych został ograniczony do dwóch lat podatkowych licząc od końca roku poprzedzającego rok, w którym podatnik wystąpił z wnioskiem o podpisanie umowy o współdziałanie oraz okres od początku roku podatkowego, w którym podatnik wystąpił z wnioskiem do dnia zakończenia tego audytu (</w:t>
      </w:r>
      <w:r w:rsidRPr="009A3C86">
        <w:rPr>
          <w:rFonts w:ascii="Times New Roman" w:eastAsia="Times New Roman" w:hAnsi="Times New Roman"/>
          <w:b/>
          <w:sz w:val="24"/>
          <w:szCs w:val="24"/>
          <w:lang w:eastAsia="pl-PL"/>
        </w:rPr>
        <w:t>art. 6</w:t>
      </w:r>
      <w:r w:rsidR="00E03891" w:rsidRPr="009A3C86">
        <w:rPr>
          <w:rFonts w:ascii="Times New Roman" w:eastAsia="Times New Roman" w:hAnsi="Times New Roman"/>
          <w:b/>
          <w:sz w:val="24"/>
          <w:szCs w:val="24"/>
          <w:lang w:eastAsia="pl-PL"/>
        </w:rPr>
        <w:t>47</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4</w:t>
      </w:r>
      <w:r w:rsidRPr="009A3C86">
        <w:rPr>
          <w:rFonts w:ascii="Times New Roman" w:eastAsia="Times New Roman" w:hAnsi="Times New Roman"/>
          <w:sz w:val="24"/>
          <w:szCs w:val="24"/>
          <w:lang w:eastAsia="pl-PL"/>
        </w:rPr>
        <w:t xml:space="preserve">). Celem ograniczenia zakresu czasowego audytu jest wzajemne dostosowanie możliwości Krajowej Administracji Skarbowej, przy jej ograniczonych zasobach, oraz niezbędnych działań pozwalających zweryfikować dotychczasowe zachowanie podatnika pod kątem prawidłowości przestrzegania przepisów prawa podatkowego, a także dokonania identyfikacji ryzyk podatkowych występujących w danym podmiocie. Okres dwóch lat podatkowych pozwala na poznanie specyfiki działalności podatnika i właściwą identyfikację ryzyk podatkowych występujących w danym przedsiębiorstwie. Podobne rozwiązanie w zakresie ram czasowych audytu przed podjęciem współpracy zastosowano w ramach czynności </w:t>
      </w:r>
      <w:r w:rsidRPr="009A3C86">
        <w:rPr>
          <w:rFonts w:ascii="Times New Roman" w:eastAsia="Times New Roman" w:hAnsi="Times New Roman"/>
          <w:sz w:val="24"/>
          <w:szCs w:val="24"/>
          <w:lang w:eastAsia="pl-PL"/>
        </w:rPr>
        <w:lastRenderedPageBreak/>
        <w:t>audytowych realizowanych w ramach certyfikacji AEO. Audyt wstępny obejmuje również okres od początku roku podatkowego, w którym podatnik wystąpił z wnioskiem do dnia zakończenia tego audytu. Celem rozszerzenia zakresu temporalnego audytu wstępnego na okres od początku roku podatkowego, w którym podatnik złożył wniosek do dnia zakończenia audytu jest zapewnienie możliwości zbadania również okresów bieżących, jeszcze nie zakończonych. W ten sposób ryzyko powstania nieprawidłowości w okresach poszerzających zawarcie umowy o współdziałanie będzie minimalizowane. Zasadne jest objęcie audytem bieżącego roku podatkowego, a także innych bieżących okresów rozliczeniowych, bo jeżeli umowa o współdziałania zostanie zawarta w trakcie ich trwania to ewentualne błędy podatkowego popełnione przed zwarciem umowy rzutowałyby następnie na poprawność deklaracji złożonej po jej podpisaniu.</w:t>
      </w:r>
    </w:p>
    <w:p w:rsidR="00DB60B4" w:rsidRPr="009A3C86" w:rsidRDefault="00DB60B4" w:rsidP="00DB60B4">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Dodatkowo w </w:t>
      </w:r>
      <w:r w:rsidRPr="009A3C86">
        <w:rPr>
          <w:rFonts w:ascii="Times New Roman" w:eastAsia="Times New Roman" w:hAnsi="Times New Roman"/>
          <w:b/>
          <w:sz w:val="24"/>
          <w:szCs w:val="24"/>
          <w:lang w:eastAsia="pl-PL"/>
        </w:rPr>
        <w:t>art. 6</w:t>
      </w:r>
      <w:r w:rsidR="00E03891" w:rsidRPr="009A3C86">
        <w:rPr>
          <w:rFonts w:ascii="Times New Roman" w:eastAsia="Times New Roman" w:hAnsi="Times New Roman"/>
          <w:b/>
          <w:sz w:val="24"/>
          <w:szCs w:val="24"/>
          <w:lang w:eastAsia="pl-PL"/>
        </w:rPr>
        <w:t>47</w:t>
      </w:r>
      <w:r w:rsidRPr="009A3C86">
        <w:rPr>
          <w:rFonts w:ascii="Times New Roman" w:eastAsia="Times New Roman" w:hAnsi="Times New Roman"/>
          <w:b/>
          <w:sz w:val="24"/>
          <w:szCs w:val="24"/>
          <w:lang w:eastAsia="pl-PL"/>
        </w:rPr>
        <w:t xml:space="preserve"> § 5</w:t>
      </w:r>
      <w:r w:rsidRPr="009A3C86">
        <w:rPr>
          <w:rFonts w:ascii="Times New Roman" w:eastAsia="Times New Roman" w:hAnsi="Times New Roman"/>
          <w:sz w:val="24"/>
          <w:szCs w:val="24"/>
          <w:lang w:eastAsia="pl-PL"/>
        </w:rPr>
        <w:t xml:space="preserve"> uelastyczniono okres objęty weryfikacją w ramach audytu wstępnego w zakresie poprawności wypełniania obowiązków podatkowych wobec następcy prawnego podatnika, który zawarł umowę o współdziałanie, poprzez zagwarantowanie możliwości skrócenia standardowego okresu podlegającego weryfikacji wskazanego w § 4.</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Kolejne przepisy odnoszą się do audytu podatkowego w zakresie prawidłowości wypełniania obowiązków podatkowych. Przede wszystkim przyjęto, że audyt w tym zakresie będzie oparty o analizę ryzyk, co pozwoli na skupieniu się stron na określonych problemach i transakcjach (</w:t>
      </w:r>
      <w:r w:rsidR="006E6566" w:rsidRPr="009A3C86">
        <w:rPr>
          <w:rFonts w:ascii="Times New Roman" w:eastAsia="Times New Roman" w:hAnsi="Times New Roman"/>
          <w:b/>
          <w:sz w:val="24"/>
          <w:szCs w:val="24"/>
          <w:lang w:eastAsia="pl-PL"/>
        </w:rPr>
        <w:t xml:space="preserve">art. </w:t>
      </w:r>
      <w:r w:rsidR="004D2643" w:rsidRPr="009A3C86">
        <w:rPr>
          <w:rFonts w:ascii="Times New Roman" w:eastAsia="Times New Roman" w:hAnsi="Times New Roman"/>
          <w:b/>
          <w:sz w:val="24"/>
          <w:szCs w:val="24"/>
          <w:lang w:eastAsia="pl-PL"/>
        </w:rPr>
        <w:t>648</w:t>
      </w:r>
      <w:r w:rsidRPr="009A3C86">
        <w:rPr>
          <w:rFonts w:ascii="Times New Roman" w:eastAsia="Times New Roman" w:hAnsi="Times New Roman"/>
          <w:sz w:val="24"/>
          <w:szCs w:val="24"/>
          <w:lang w:eastAsia="pl-PL"/>
        </w:rPr>
        <w:t xml:space="preserv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w:t>
      </w:r>
      <w:r w:rsidRPr="009A3C86">
        <w:rPr>
          <w:rFonts w:ascii="Times New Roman" w:eastAsia="Times New Roman" w:hAnsi="Times New Roman"/>
          <w:b/>
          <w:sz w:val="24"/>
          <w:szCs w:val="24"/>
          <w:lang w:eastAsia="pl-PL"/>
        </w:rPr>
        <w:t xml:space="preserve">art. </w:t>
      </w:r>
      <w:r w:rsidR="004D2643" w:rsidRPr="009A3C86">
        <w:rPr>
          <w:rFonts w:ascii="Times New Roman" w:eastAsia="Times New Roman" w:hAnsi="Times New Roman"/>
          <w:b/>
          <w:sz w:val="24"/>
          <w:szCs w:val="24"/>
          <w:lang w:eastAsia="pl-PL"/>
        </w:rPr>
        <w:t>649</w:t>
      </w:r>
      <w:r w:rsidRPr="009A3C86">
        <w:rPr>
          <w:rFonts w:ascii="Times New Roman" w:eastAsia="Times New Roman" w:hAnsi="Times New Roman"/>
          <w:sz w:val="24"/>
          <w:szCs w:val="24"/>
          <w:lang w:eastAsia="pl-PL"/>
        </w:rPr>
        <w:t xml:space="preserve"> określono zakres audytu podatkowego w odniesieniu do ram wewnętrznego nadzoru podatkowego. Wskazano, że audytowi podlegają procedury i procesy związane m.in. z zarządzaniem ryzykiem podatkowym, kontrolą wewnętrzną nad kwestiami podatkowymi, a także mechanizmy zewnętrznego nadzoru podatkowego, w tym niezależny audyt funkcji podatkowej, który pełni rolę audytu podatkowego realizowanego przez doradców podatkowych i biegłych rewidentów.</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Pr="009A3C86">
        <w:rPr>
          <w:rFonts w:ascii="Times New Roman" w:eastAsia="Times New Roman" w:hAnsi="Times New Roman"/>
          <w:b/>
          <w:sz w:val="24"/>
          <w:szCs w:val="24"/>
          <w:lang w:eastAsia="pl-PL"/>
        </w:rPr>
        <w:t>art. 650</w:t>
      </w:r>
      <w:r w:rsidRPr="009A3C86">
        <w:rPr>
          <w:rFonts w:ascii="Times New Roman" w:eastAsia="Times New Roman" w:hAnsi="Times New Roman"/>
          <w:sz w:val="24"/>
          <w:szCs w:val="24"/>
          <w:lang w:eastAsia="pl-PL"/>
        </w:rPr>
        <w:t xml:space="preserve"> w przypadku stwierdzenia w trakcie audytu podatkowego prowadzonego przed podpisaniem umowy o współdziałanie nieprawidłowości w zakresie realizacji przez audytowanego podatnika swych obowiązków podatkowych i złożenia przez tego podatnika deklaracji, korekty deklaracji lub informacji zastępczej usuwającej te nieprawidłowości wprowadzono preferencję w naliczaniu odsetek. Działanie to ma na celu zachęcenie podatników do podpisania umowy oraz pozwala na budowanie pozytywnej relacji bez obciążania podatnika już na początku współpracy karami za pomyłki i nieświadome działanie. Pozwala to również na zmniejszenie kosztów związanych z przystąpieniem do umowy o współdziałanie, które są generowane przez konieczność wdrożenia i utrzymania ram </w:t>
      </w:r>
      <w:r w:rsidRPr="009A3C86">
        <w:rPr>
          <w:rFonts w:ascii="Times New Roman" w:eastAsia="Times New Roman" w:hAnsi="Times New Roman"/>
          <w:sz w:val="24"/>
          <w:szCs w:val="24"/>
          <w:lang w:eastAsia="pl-PL"/>
        </w:rPr>
        <w:lastRenderedPageBreak/>
        <w:t>wewnętrznego nadzoru podatkowego oraz przez ewentualne nieprawidłowości w zakresie rozliczeń podatkowych stwierdzonych w ramach audytu wstępnego. Zmniejszenie odsetek za zwłokę o połowę w przypadku złożenia deklaracji, informacji zastępczej lub skorygowania deklaracji w wyniku audytu wstępnego pozwoli na zmniejszenie ogólnych kosztów przystąpienia do Programu po stronie podatników i zachęci ich do korygowania stwierdzonych nieprawowitości.</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Należy jednak podkreślić, że deklaracja, informacja zastępcza lub korekta musi zostać dokonana w terminie 14 dni od otrzymania zaleceń, a wpłata należnego podatku w ciągu 7 dni od dnia złożenia deklaracji, informacji zastępczej lub korekty deklaracji (</w:t>
      </w:r>
      <w:r w:rsidRPr="009A3C86">
        <w:rPr>
          <w:rFonts w:ascii="Times New Roman" w:eastAsia="Times New Roman" w:hAnsi="Times New Roman"/>
          <w:b/>
          <w:sz w:val="24"/>
          <w:szCs w:val="24"/>
          <w:lang w:eastAsia="pl-PL"/>
        </w:rPr>
        <w:t>art. 650</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1 pkt 1</w:t>
      </w:r>
      <w:r w:rsidRPr="009A3C86">
        <w:rPr>
          <w:rFonts w:ascii="Times New Roman" w:eastAsia="Times New Roman" w:hAnsi="Times New Roman"/>
          <w:sz w:val="24"/>
          <w:szCs w:val="24"/>
          <w:lang w:eastAsia="pl-PL"/>
        </w:rPr>
        <w:t>). Preferencja w zakresie naliczania odsetek za zwłokę nie odnosi się wyłącznie do lat podatkowych objętych audytem wstępnym, ale do wszystkich okresów, nie objętych przedawnieniem na dzień otrzymania zalecenia, jeżeli stwierdzona w wyniku audytu nieprawidłowość występowała również w latach poszerzających audyt podatkowy. Podatnik może skorzystać z preferencji odsetkowej za lata poprzedzające audyt podatkowy wyłącznie w zakresie w jakim koryguje stwierdzone w wyniku audytu nieprawidłowości (</w:t>
      </w:r>
      <w:r w:rsidRPr="009A3C86">
        <w:rPr>
          <w:rFonts w:ascii="Times New Roman" w:eastAsia="Times New Roman" w:hAnsi="Times New Roman"/>
          <w:b/>
          <w:sz w:val="24"/>
          <w:szCs w:val="24"/>
          <w:lang w:eastAsia="pl-PL"/>
        </w:rPr>
        <w:t>art. 650</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xml:space="preserve">). </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 W </w:t>
      </w:r>
      <w:r w:rsidRPr="009A3C86">
        <w:rPr>
          <w:rFonts w:ascii="Times New Roman" w:eastAsia="Times New Roman" w:hAnsi="Times New Roman"/>
          <w:b/>
          <w:sz w:val="24"/>
          <w:szCs w:val="24"/>
          <w:lang w:eastAsia="pl-PL"/>
        </w:rPr>
        <w:t>art. 650</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1 pkt 2</w:t>
      </w:r>
      <w:r w:rsidRPr="009A3C86">
        <w:rPr>
          <w:rFonts w:ascii="Times New Roman" w:eastAsia="Times New Roman" w:hAnsi="Times New Roman"/>
          <w:sz w:val="24"/>
          <w:szCs w:val="24"/>
          <w:lang w:eastAsia="pl-PL"/>
        </w:rPr>
        <w:t xml:space="preserve"> wskazano uprawnienie dotyczące nienaliczania odsetek za zwłokę w przypadku skorygowania nieprawidłowości za okres rozliczeniowy objęty audytem monitorującym, jeżeli podatnik dokona wpłaty zaległości podatkowych w ciągu 7 dni od dnia złożenia korekty, deklaracji lub informacji zastępczej. W przypadku rozwiązania umowy o współdziałanie w trakcie okresu rozliczeniowego, preferencja ma zastosowanie tylko w przypadku powstania nieprawidłowości w okresie trwania umowy o współdziałanie.</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Przyznanie przedmiotowej preferencji wynika z faktu, że po podpisaniu umowy o współdziałaniu, podmiot będzie podlegał stałemu monitoringowi i na bieżąco konsultował z KAS ewentualne wątpliwości prawno-podatkowe, zatem składane przez niego zeznania podatkowe powinny być poprawne. Jednakże nie można wykluczyć z całkowitą pewnością zaistnienia błędu, wynikającego np. z istnienia ryzyka czynnika ludzkiego. Dlatego też należy zminimalizować negatywne konsekwencje finansowe wobec podmiotu, który jest wobec KAS całkowicie transparentny, dając tym samym KAS możliwość zidentyfikowania ewentualnych błędów jeszcze przed złożeniem zeznania. </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Należy podkreślić, że podobne rozwiązanie w zakresie preferencji w naliczaniu odsetek za zwłokę przyjęto we Francji, gdzie po podpisaniu umowy z podatnikiem w przypadku stwierdzenia nieprawidłowości w wyniku audytu podatkowego nie są naliczane odsetki za zwłokę. Odnosi się to do podatników, którzy zastosują się do zaleceń audytu i złożą prawnie skuteczną korektę. </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 xml:space="preserve">Dodatkowo w </w:t>
      </w:r>
      <w:r w:rsidRPr="009A3C86">
        <w:rPr>
          <w:rFonts w:ascii="Times New Roman" w:eastAsia="Times New Roman" w:hAnsi="Times New Roman"/>
          <w:b/>
          <w:sz w:val="24"/>
          <w:szCs w:val="24"/>
          <w:lang w:eastAsia="pl-PL"/>
        </w:rPr>
        <w:t xml:space="preserve">art. </w:t>
      </w:r>
      <w:r w:rsidR="005767D7" w:rsidRPr="009A3C86">
        <w:rPr>
          <w:rFonts w:ascii="Times New Roman" w:eastAsia="Times New Roman" w:hAnsi="Times New Roman"/>
          <w:b/>
          <w:sz w:val="24"/>
          <w:szCs w:val="24"/>
          <w:lang w:eastAsia="pl-PL"/>
        </w:rPr>
        <w:t>650</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3</w:t>
      </w:r>
      <w:r w:rsidRPr="009A3C86">
        <w:rPr>
          <w:rFonts w:ascii="Times New Roman" w:eastAsia="Times New Roman" w:hAnsi="Times New Roman"/>
          <w:sz w:val="24"/>
          <w:szCs w:val="24"/>
          <w:lang w:eastAsia="pl-PL"/>
        </w:rPr>
        <w:t xml:space="preserve"> przewiduje, że w przypadku złożenia zeznania, korekty zeznania, informacji zastępczej, o której mowa w § 1 pkt 2 nie wszczyna się postępowania w sprawach o przestępstwa skarbowe lub wykroczenia skarbowe. Powyższe rozwiązanie spójne jest z wszechstronną transparentnością, do której zobowiązał się podatnik w wyniku podpisania umowy, dzięki czemu KAS będzie mieć dostęp do szeregu informacji, w których posiadanie wszedłby na zasadach ogólnych dopiero na etapie czynności sprawdzających, kontroli czy postępowania podatkowego. W związku z tym KAS często będzie posiadać udokumentowaną informację o popełnieniu przestępstwa lub wykroczenia jeszcze przed złożeniem korekty przez podatnika. Poza tym z uwagi na odformalizowany charakter współpracy, trudno będzie ustalić kiedy złożenie korekty nastąpiłoby z własnej inicjatywy podatnika, a kiedy w wyniku działania KAS. Ponadto należy też podkreślić, że założeniem Programu Współdziałania jest wyjaśnienie kwestii spornych ex ante, jeszcze przed złożeniem zeznania, skoro więc zaistniała konieczność skorygowania deklaracji, to oznacza, że albo zagadnienie sporne było na tyle złożone lub dyskusyjne, że nie udało się go stronom umowy rozstrzygnąć przed złożeniem deklaracji albo obie strony umowy nie wychwyciły błędu w deklaracji przed jej złożeniem. W konsekwencji skoro podatnik składa korektę modyfikując popełniony błąd powstały w wyniku braku możliwości wyjaśnienia kwestii spornej przed złożeniem deklaracji (np. z uwagi na konieczność uruchomienia procedury mediacji) lub obustronnego przeoczenia – zasadnym jest zwolnienie podatnika z odpowiedzialności karnej skarbowej w przypadku złożenia korekty za okres objęty umową o współdziałaniu.</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Odnosząc się do wszystkich wyżej wymienionych preferencji przyznanych podmiotom, które podpisały umowę o współdziałanie, należy podkreślić, że przyznawanie określonych preferencji podatkowych czy też wprowadzanie specjalnych zasad opodatkowania jest rolą ustawodawcy i stanowi przejaw kreowanej przez niego polityki podatkowej. Preferencje te powinny być zgodne z zasadą równości wobec prawa oraz być  aksjologicznie uzasadnione, w szczególności powinny służyć do realizacji celów administracji skarbowej jakim jest zapewnienie prawidłowego realizowania obowiązków podatkowych. Administracja skarbowa może dążyć do osiągniecia tego celu zarówno środkami restrykcyjnymi jaki i zachęcającymi do dobrowolnego wypełniania obowiązków podatkowych. Do nierestrykcyjnych metod odziaływania na podatnika zaliczane są na świcie się m.in. programy cooperative compliance, stanowiące ofertę konkurencyjną wobec agresywnej optymalizacji podatkowej. Zatem proponowane preferencje przewidziane dla podatników, którzy podpisali umowę o współdziałaniu mają m.in. na celu zachęcić podatników do nowej formy współpracy, która ma </w:t>
      </w:r>
      <w:r w:rsidRPr="009A3C86">
        <w:rPr>
          <w:rFonts w:ascii="Times New Roman" w:eastAsia="Times New Roman" w:hAnsi="Times New Roman"/>
          <w:sz w:val="24"/>
          <w:szCs w:val="24"/>
          <w:lang w:eastAsia="pl-PL"/>
        </w:rPr>
        <w:lastRenderedPageBreak/>
        <w:t>celu zapewnienie prawidłowości realizacji obowiązków podatkowych, budowanie zaufania i partnerskich relacji na linii podatnik – administracja skarbowa.</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Jednocześnie należy podkreślić, że preferencje te, nie naruszają zasady równości wobec prawa. Zasada ta zapewnia gwarancje identycznego traktowania wszystkich podatników, ale tylko wówczas gdy znajdują się oni w takiej sytuacji faktycznej. Natomiast podatnicy, którzy się zgłosili (dobrowolnie) do podpisania umowy o współdziałanie zobowiązują się do transparentności idącej daleko poza obowiązki ustawowe, poddają się tym samym o wiele szerszemu nadzorowi niż to ma miejsce obecnie, ponosząc przy tym znaczne nakłady finansowe na wdrożenie oraz utrzymanie systemu zarządzania compliance w obszarze podatków i ryzykiem podatkowym (ram wewnętrznego nadzoru podatkowego), który daje gwarancję, że podatnik efektywnie zarządza funkcją podatkową i jest w stanie prawidłowo realizować obowiązki podatkowe. Wdrożenie oraz utrzymanie tego sytemu wymaga po stronie podatnika zaangażowania znacznych zasobów osobowych i finansowych. W związku z tym, aby zrównoważyć dodatkowe obowiązki oraz nakłady finansowe przewidziano korzyści i ułatwienia prawne, tak aby z punktu widzenia ekonomicznego udział w Programie Współdziałania był dla podatnika atrakcyjny i opłacalny, bo tylko w wtedy Program będzie stanowić przeciwwagę dla agresywnej optymalizacji podatkowej. Przyznając dodatkowe przywileje całej grupie podatników biorących udział w Programie tj. wszystkim podatnikom znajdującym się w takiej samej sytuacji faktycznej (więcej obowiązków, większe nakłady, a</w:t>
      </w:r>
      <w:r w:rsidR="00A91838" w:rsidRPr="009A3C86">
        <w:rPr>
          <w:rFonts w:ascii="Times New Roman" w:eastAsia="Times New Roman" w:hAnsi="Times New Roman"/>
          <w:sz w:val="24"/>
          <w:szCs w:val="24"/>
          <w:lang w:eastAsia="pl-PL"/>
        </w:rPr>
        <w:t> </w:t>
      </w:r>
      <w:r w:rsidRPr="009A3C86">
        <w:rPr>
          <w:rFonts w:ascii="Times New Roman" w:eastAsia="Times New Roman" w:hAnsi="Times New Roman"/>
          <w:sz w:val="24"/>
          <w:szCs w:val="24"/>
          <w:lang w:eastAsia="pl-PL"/>
        </w:rPr>
        <w:t>więc i większe korzyści), nie zostanie naruszona zasada równości prawa. Naruszenie takie miałoby miejsce, gdyby dodatkowe przywileje były skierowane jedynie do części spośród uczestników Programu. Innymi słowy w przypadku przyznania dodatkowych korzyści materialnoprawnych, nie dojdzie tu do nierówności wobec prawa, gdyż przyznanie dodatkowych przywilejów ma na celu jedynie zrównoważenie dodatkowych obowiązków.</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Należy także podkreślić, że z publikacji OECD wynika, że aby Program Współdziałania był skuteczny musi być dostosowany do potrzeb, możliwości i oczekiwań zarówno administracji jak i podatników w danym państwie. Dlatego celem dodatkowych korzyści materialnoprawnych jest dostosowanie Programu Współdziałania do polskich warunków społeczno-gospodarczych, których cechą charakterystyczną jest wręcz znikomy poziom zaufania do administracji skarbowej. W takich warunkach trudno o skuteczne wdrożenie Programu typu Horyzontalny Monitoring (Program Współdziałania), który bazuje na wzajemnym zaufaniu współpracujących stron. W związku z powyższym korzyści są niezbędne, żeby niwelować brak zaufania do administracji skarbowej. W przeciwnym wypadku nie będzie chętnych podmiotów do podjęcia współpracy i w konsekwencji przepisy będą martwe. Dlatego </w:t>
      </w:r>
      <w:r w:rsidRPr="009A3C86">
        <w:rPr>
          <w:rFonts w:ascii="Times New Roman" w:eastAsia="Times New Roman" w:hAnsi="Times New Roman"/>
          <w:sz w:val="24"/>
          <w:szCs w:val="24"/>
          <w:lang w:eastAsia="pl-PL"/>
        </w:rPr>
        <w:lastRenderedPageBreak/>
        <w:t>wdrażając Horyzontalny Monitoring należy zapewnić mechanizmy prawne sprzyjające budowie wzajemnego zaufania, m.in. poprzez zapewnienie maksymalnej gwarancji pewności stosowania prawa podatkowego dla uczestników Programu Współdziałania, a także poprzez przyznanie preferencji zachęcających podatników do otwarcia się na budowę nowej relacji z Krajowa Administracją Skarbową opartej na współpracy i zaufaniu, które jednocześnie równoważyłby wydatki poniesione w związku z przystąpieniem do Programu Współdziałania.</w:t>
      </w:r>
    </w:p>
    <w:p w:rsidR="004D2643" w:rsidRPr="009A3C86" w:rsidRDefault="004D2643" w:rsidP="004D2643">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Doświadczenia innych administracji wskazują na konieczność centralnego prowadzenia działań audytowych. Audyty prowadzone przez jednostki regionalne wydłużały się z uwagi na konieczność konsultowania zgłoszonych wątpliwości podatkowych z administracją centralną, tak aby udzielać jednolitych odpowiedzi. W celu zapewnienia możliwości centralnej realizacji audytu podatkowego przez Szefa Krajowej Administracji Skarbowej zapisano (</w:t>
      </w:r>
      <w:r w:rsidRPr="009A3C86">
        <w:rPr>
          <w:rFonts w:ascii="Times New Roman" w:eastAsia="Times New Roman" w:hAnsi="Times New Roman"/>
          <w:b/>
          <w:sz w:val="24"/>
          <w:szCs w:val="24"/>
          <w:lang w:eastAsia="pl-PL"/>
        </w:rPr>
        <w:t>art.  668 § 1</w:t>
      </w:r>
      <w:r w:rsidRPr="009A3C86">
        <w:rPr>
          <w:rFonts w:ascii="Times New Roman" w:eastAsia="Times New Roman" w:hAnsi="Times New Roman"/>
          <w:sz w:val="24"/>
          <w:szCs w:val="24"/>
          <w:lang w:eastAsia="pl-PL"/>
        </w:rPr>
        <w:t>), że wykonują go pracownicy zatrudnieni w wyodrębnionej w tym celu komórce organizacyjnej urzędu obsługującego Szefa Krajowej Administracji Skarbowej, działające z upoważnienia Szefa Krajowej Administracji Skarbowej. Ze względu na fakt, że złożenie wniosku o podpisanie umowy o współdziałanie jest dobrowolne i nie można określić z góry liczby podmiotów przystępujących do podpisania umowy, a co za tym idzie, nie można precyzyjnie określić zasobów niezbędnych do realizacji tego zadania, wprowadzono zabezpieczenie możliwości zwiększenia zasobów osobowych niezbędnych do przeprowadzenia audytów podatkowych poprzez przepis, że Szef Krajowej Administracji Skarbowej przeprowadzając audyty podatkowe może wspierać się pracownikami jednostek sobie podległych, którzy w razie takich potrzeb będą wraz z osobami zatrudnionymi w wyodrębnionej w tym celu komórce organizacyjnej urzędu obsługującego Szefa Krajowej Administracji Skarbowej prowadzić audyty podatkowe (</w:t>
      </w:r>
      <w:r w:rsidRPr="009A3C86">
        <w:rPr>
          <w:rFonts w:ascii="Times New Roman" w:eastAsia="Times New Roman" w:hAnsi="Times New Roman"/>
          <w:b/>
          <w:sz w:val="24"/>
          <w:szCs w:val="24"/>
          <w:lang w:eastAsia="pl-PL"/>
        </w:rPr>
        <w:t>art. 668 § 2</w:t>
      </w:r>
      <w:r w:rsidRPr="009A3C86">
        <w:rPr>
          <w:rFonts w:ascii="Times New Roman" w:eastAsia="Times New Roman" w:hAnsi="Times New Roman"/>
          <w:sz w:val="24"/>
          <w:szCs w:val="24"/>
          <w:lang w:eastAsia="pl-PL"/>
        </w:rPr>
        <w:t>). Pracownicy będą wykonywać audyt na podstawie upoważnienia Szefa Krajowej Administracji Skarbowej. W celu ochrony informacji pozyskanych w toku współpracy audytu, pracownicy wykonujący czynności w zakresie audytu podatkowego nie mogą uczestniczyć w przeprowadzaniu kontroli podatkowej, kontroli celno-skarbowej oraz postępowania podatkowego wobec podatnika objętego tym audytem przez okres trzech lat od daty jego zakończenia (</w:t>
      </w:r>
      <w:r w:rsidRPr="009A3C86">
        <w:rPr>
          <w:rFonts w:ascii="Times New Roman" w:eastAsia="Times New Roman" w:hAnsi="Times New Roman"/>
          <w:b/>
          <w:sz w:val="24"/>
          <w:szCs w:val="24"/>
          <w:lang w:eastAsia="pl-PL"/>
        </w:rPr>
        <w:t>art.  668 § 3</w:t>
      </w:r>
      <w:r w:rsidRPr="009A3C86">
        <w:rPr>
          <w:rFonts w:ascii="Times New Roman" w:eastAsia="Times New Roman" w:hAnsi="Times New Roman"/>
          <w:sz w:val="24"/>
          <w:szCs w:val="24"/>
          <w:lang w:eastAsia="pl-PL"/>
        </w:rPr>
        <w:t>). Podobne rozwiązanie przyjęto we Francji, gdzie urzędnicy podprowadzający audyt podatkowy nie mogą następnie prowadzić ewentualnej kontroli podatkowej wobec audytowanego podmiotu.</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Niezależny audyt podatkowy to obligatoryjny element ram wewnętrznego nadzoru podatkowego i zgodnie z </w:t>
      </w:r>
      <w:r w:rsidRPr="009A3C86">
        <w:rPr>
          <w:rFonts w:ascii="Times New Roman" w:eastAsia="Times New Roman" w:hAnsi="Times New Roman"/>
          <w:b/>
          <w:sz w:val="24"/>
          <w:szCs w:val="24"/>
          <w:lang w:eastAsia="pl-PL"/>
        </w:rPr>
        <w:t>art. 6</w:t>
      </w:r>
      <w:r w:rsidR="002B0004" w:rsidRPr="009A3C86">
        <w:rPr>
          <w:rFonts w:ascii="Times New Roman" w:eastAsia="Times New Roman" w:hAnsi="Times New Roman"/>
          <w:b/>
          <w:sz w:val="24"/>
          <w:szCs w:val="24"/>
          <w:lang w:eastAsia="pl-PL"/>
        </w:rPr>
        <w:t>58</w:t>
      </w:r>
      <w:r w:rsidRPr="009A3C86">
        <w:rPr>
          <w:rFonts w:ascii="Times New Roman" w:eastAsia="Times New Roman" w:hAnsi="Times New Roman"/>
          <w:sz w:val="24"/>
          <w:szCs w:val="24"/>
          <w:lang w:eastAsia="pl-PL"/>
        </w:rPr>
        <w:t xml:space="preserve"> jest realizowany </w:t>
      </w:r>
      <w:r w:rsidR="00260A38" w:rsidRPr="009A3C86">
        <w:rPr>
          <w:rFonts w:ascii="Times New Roman" w:eastAsia="Times New Roman" w:hAnsi="Times New Roman"/>
          <w:sz w:val="24"/>
          <w:szCs w:val="24"/>
          <w:lang w:eastAsia="pl-PL"/>
        </w:rPr>
        <w:t xml:space="preserve">przez </w:t>
      </w:r>
      <w:r w:rsidRPr="009A3C86">
        <w:rPr>
          <w:rFonts w:ascii="Times New Roman" w:eastAsia="Times New Roman" w:hAnsi="Times New Roman"/>
          <w:sz w:val="24"/>
          <w:szCs w:val="24"/>
          <w:lang w:eastAsia="pl-PL"/>
        </w:rPr>
        <w:t>niezależnego audyt</w:t>
      </w:r>
      <w:r w:rsidR="00260A38" w:rsidRPr="009A3C86">
        <w:rPr>
          <w:rFonts w:ascii="Times New Roman" w:eastAsia="Times New Roman" w:hAnsi="Times New Roman"/>
          <w:sz w:val="24"/>
          <w:szCs w:val="24"/>
          <w:lang w:eastAsia="pl-PL"/>
        </w:rPr>
        <w:t>ora</w:t>
      </w:r>
      <w:r w:rsidRPr="009A3C86">
        <w:rPr>
          <w:rFonts w:ascii="Times New Roman" w:eastAsia="Times New Roman" w:hAnsi="Times New Roman"/>
          <w:sz w:val="24"/>
          <w:szCs w:val="24"/>
          <w:lang w:eastAsia="pl-PL"/>
        </w:rPr>
        <w:t xml:space="preserve"> podatkowego, którym mo</w:t>
      </w:r>
      <w:r w:rsidR="00260A38" w:rsidRPr="009A3C86">
        <w:rPr>
          <w:rFonts w:ascii="Times New Roman" w:eastAsia="Times New Roman" w:hAnsi="Times New Roman"/>
          <w:sz w:val="24"/>
          <w:szCs w:val="24"/>
          <w:lang w:eastAsia="pl-PL"/>
        </w:rPr>
        <w:t>że</w:t>
      </w:r>
      <w:r w:rsidRPr="009A3C86">
        <w:rPr>
          <w:rFonts w:ascii="Times New Roman" w:eastAsia="Times New Roman" w:hAnsi="Times New Roman"/>
          <w:sz w:val="24"/>
          <w:szCs w:val="24"/>
          <w:lang w:eastAsia="pl-PL"/>
        </w:rPr>
        <w:t xml:space="preserve"> być biegł</w:t>
      </w:r>
      <w:r w:rsidR="00260A38" w:rsidRPr="009A3C86">
        <w:rPr>
          <w:rFonts w:ascii="Times New Roman" w:eastAsia="Times New Roman" w:hAnsi="Times New Roman"/>
          <w:sz w:val="24"/>
          <w:szCs w:val="24"/>
          <w:lang w:eastAsia="pl-PL"/>
        </w:rPr>
        <w:t>y</w:t>
      </w:r>
      <w:r w:rsidRPr="009A3C86">
        <w:rPr>
          <w:rFonts w:ascii="Times New Roman" w:eastAsia="Times New Roman" w:hAnsi="Times New Roman"/>
          <w:sz w:val="24"/>
          <w:szCs w:val="24"/>
          <w:lang w:eastAsia="pl-PL"/>
        </w:rPr>
        <w:t xml:space="preserve"> rewident lub doradc</w:t>
      </w:r>
      <w:r w:rsidR="00260A38" w:rsidRPr="009A3C86">
        <w:rPr>
          <w:rFonts w:ascii="Times New Roman" w:eastAsia="Times New Roman" w:hAnsi="Times New Roman"/>
          <w:sz w:val="24"/>
          <w:szCs w:val="24"/>
          <w:lang w:eastAsia="pl-PL"/>
        </w:rPr>
        <w:t>a</w:t>
      </w:r>
      <w:r w:rsidRPr="009A3C86">
        <w:rPr>
          <w:rFonts w:ascii="Times New Roman" w:eastAsia="Times New Roman" w:hAnsi="Times New Roman"/>
          <w:sz w:val="24"/>
          <w:szCs w:val="24"/>
          <w:lang w:eastAsia="pl-PL"/>
        </w:rPr>
        <w:t xml:space="preserve"> podatkow</w:t>
      </w:r>
      <w:r w:rsidR="00260A38" w:rsidRPr="009A3C86">
        <w:rPr>
          <w:rFonts w:ascii="Times New Roman" w:eastAsia="Times New Roman" w:hAnsi="Times New Roman"/>
          <w:sz w:val="24"/>
          <w:szCs w:val="24"/>
          <w:lang w:eastAsia="pl-PL"/>
        </w:rPr>
        <w:t>y</w:t>
      </w:r>
      <w:r w:rsidRPr="009A3C86">
        <w:rPr>
          <w:rFonts w:ascii="Times New Roman" w:eastAsia="Times New Roman" w:hAnsi="Times New Roman"/>
          <w:sz w:val="24"/>
          <w:szCs w:val="24"/>
          <w:lang w:eastAsia="pl-PL"/>
        </w:rPr>
        <w:t xml:space="preserve"> (</w:t>
      </w:r>
      <w:r w:rsidRPr="009A3C86">
        <w:rPr>
          <w:rFonts w:ascii="Times New Roman" w:eastAsia="Times New Roman" w:hAnsi="Times New Roman"/>
          <w:b/>
          <w:sz w:val="24"/>
          <w:szCs w:val="24"/>
          <w:lang w:eastAsia="pl-PL"/>
        </w:rPr>
        <w:t>§ 1</w:t>
      </w:r>
      <w:r w:rsidRPr="009A3C86">
        <w:rPr>
          <w:rFonts w:ascii="Times New Roman" w:eastAsia="Times New Roman" w:hAnsi="Times New Roman"/>
          <w:sz w:val="24"/>
          <w:szCs w:val="24"/>
          <w:lang w:eastAsia="pl-PL"/>
        </w:rPr>
        <w:t xml:space="preserv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W celu zapewnienia niezależności i obiektywności audytu realizowanego przez doradców podatkowych i biegłych rewidentów wprowadzono warunki ograniczające możliwość prowadzenia audytu podatkowego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Ograniczenie grupy niezależnych audytorów podatkowych do doradców podatkowych lub biegłych rewidentów uzasadnione jest posiadaniem przez nich niezbędnej wiedzy i umiejętności do prowadzenia niezależnego audytu funkcji podatkowej, które zapewnią wysoką jakość świadczonej usługi wzmacniając tym samym skuteczność ram wewnętrznego nadzoru podatkowego. Niezależnym audytorem podatkowym nie może być po pierwsze osoba</w:t>
      </w:r>
      <w:r w:rsidR="00631C42" w:rsidRPr="009A3C86">
        <w:rPr>
          <w:rFonts w:ascii="Times New Roman" w:eastAsia="Times New Roman" w:hAnsi="Times New Roman"/>
          <w:sz w:val="24"/>
          <w:szCs w:val="24"/>
          <w:lang w:eastAsia="pl-PL"/>
        </w:rPr>
        <w:t xml:space="preserve"> fizyczna lub prawna</w:t>
      </w:r>
      <w:r w:rsidRPr="009A3C86">
        <w:rPr>
          <w:rFonts w:ascii="Times New Roman" w:eastAsia="Times New Roman" w:hAnsi="Times New Roman"/>
          <w:sz w:val="24"/>
          <w:szCs w:val="24"/>
          <w:lang w:eastAsia="pl-PL"/>
        </w:rPr>
        <w:t xml:space="preserve">, która jest podmiotem krajowym lub podmiotem zagranicznym </w:t>
      </w:r>
      <w:r w:rsidR="00920245" w:rsidRPr="009A3C86">
        <w:rPr>
          <w:rFonts w:ascii="Times New Roman" w:eastAsia="Times New Roman" w:hAnsi="Times New Roman"/>
          <w:sz w:val="24"/>
          <w:szCs w:val="24"/>
          <w:lang w:eastAsia="pl-PL"/>
        </w:rPr>
        <w:t xml:space="preserve">(w rozumieniu art. 13 pkt 10 i 11) </w:t>
      </w:r>
      <w:r w:rsidRPr="009A3C86">
        <w:rPr>
          <w:rFonts w:ascii="Times New Roman" w:eastAsia="Times New Roman" w:hAnsi="Times New Roman"/>
          <w:sz w:val="24"/>
          <w:szCs w:val="24"/>
          <w:lang w:eastAsia="pl-PL"/>
        </w:rPr>
        <w:t xml:space="preserve">wobec podatnika oraz podmiotu realizującego usługi doradztwa podatkowego lub </w:t>
      </w:r>
      <w:r w:rsidR="00631C42" w:rsidRPr="009A3C86">
        <w:rPr>
          <w:rFonts w:ascii="Times New Roman" w:eastAsia="Times New Roman" w:hAnsi="Times New Roman"/>
          <w:sz w:val="24"/>
          <w:szCs w:val="24"/>
          <w:lang w:eastAsia="pl-PL"/>
        </w:rPr>
        <w:t xml:space="preserve">czynności </w:t>
      </w:r>
      <w:r w:rsidRPr="009A3C86">
        <w:rPr>
          <w:rFonts w:ascii="Times New Roman" w:eastAsia="Times New Roman" w:hAnsi="Times New Roman"/>
          <w:sz w:val="24"/>
          <w:szCs w:val="24"/>
          <w:lang w:eastAsia="pl-PL"/>
        </w:rPr>
        <w:t>rewizji finansowej na rzecz tego podatnika w okresie objętym tym audytem oraz w trakcie jego realizacji (</w:t>
      </w:r>
      <w:r w:rsidR="006E6566" w:rsidRPr="009A3C86">
        <w:rPr>
          <w:rFonts w:ascii="Times New Roman" w:eastAsia="Times New Roman" w:hAnsi="Times New Roman"/>
          <w:b/>
          <w:sz w:val="24"/>
          <w:szCs w:val="24"/>
          <w:lang w:eastAsia="pl-PL"/>
        </w:rPr>
        <w:t xml:space="preserve">art. </w:t>
      </w:r>
      <w:r w:rsidR="00631C42" w:rsidRPr="009A3C86">
        <w:rPr>
          <w:rFonts w:ascii="Times New Roman" w:eastAsia="Times New Roman" w:hAnsi="Times New Roman"/>
          <w:b/>
          <w:sz w:val="24"/>
          <w:szCs w:val="24"/>
          <w:lang w:eastAsia="pl-PL"/>
        </w:rPr>
        <w:t>652</w:t>
      </w:r>
      <w:r w:rsidR="006E6566" w:rsidRPr="009A3C86">
        <w:rPr>
          <w:rFonts w:ascii="Times New Roman" w:eastAsia="Times New Roman" w:hAnsi="Times New Roman"/>
          <w:sz w:val="24"/>
          <w:szCs w:val="24"/>
          <w:lang w:eastAsia="pl-PL"/>
        </w:rPr>
        <w:t xml:space="preserve"> </w:t>
      </w:r>
      <w:r w:rsidR="006E6566" w:rsidRPr="009A3C86">
        <w:rPr>
          <w:rFonts w:ascii="Times New Roman" w:eastAsia="Times New Roman" w:hAnsi="Times New Roman"/>
          <w:b/>
          <w:sz w:val="24"/>
          <w:szCs w:val="24"/>
          <w:lang w:eastAsia="pl-PL"/>
        </w:rPr>
        <w:t xml:space="preserve">§ 2 </w:t>
      </w:r>
      <w:r w:rsidRPr="009A3C86">
        <w:rPr>
          <w:rFonts w:ascii="Times New Roman" w:eastAsia="Times New Roman" w:hAnsi="Times New Roman"/>
          <w:b/>
          <w:sz w:val="24"/>
          <w:szCs w:val="24"/>
          <w:lang w:eastAsia="pl-PL"/>
        </w:rPr>
        <w:t xml:space="preserve">pkt </w:t>
      </w:r>
      <w:r w:rsidR="00631C42" w:rsidRPr="009A3C86">
        <w:rPr>
          <w:rFonts w:ascii="Times New Roman" w:eastAsia="Times New Roman" w:hAnsi="Times New Roman"/>
          <w:b/>
          <w:sz w:val="24"/>
          <w:szCs w:val="24"/>
          <w:lang w:eastAsia="pl-PL"/>
        </w:rPr>
        <w:t>2</w:t>
      </w:r>
      <w:r w:rsidRPr="009A3C86">
        <w:rPr>
          <w:rFonts w:ascii="Times New Roman" w:eastAsia="Times New Roman" w:hAnsi="Times New Roman"/>
          <w:sz w:val="24"/>
          <w:szCs w:val="24"/>
          <w:lang w:eastAsia="pl-PL"/>
        </w:rPr>
        <w:t xml:space="preserve">). Po drugie audytorem tym nie może być osoba, która wykonuje na rzecz podatnika usługi w zakresie </w:t>
      </w:r>
      <w:r w:rsidR="00631C42" w:rsidRPr="009A3C86">
        <w:rPr>
          <w:rFonts w:ascii="Times New Roman" w:eastAsia="Times New Roman" w:hAnsi="Times New Roman"/>
          <w:sz w:val="24"/>
          <w:szCs w:val="24"/>
          <w:lang w:eastAsia="pl-PL"/>
        </w:rPr>
        <w:t xml:space="preserve">czynności </w:t>
      </w:r>
      <w:r w:rsidRPr="009A3C86">
        <w:rPr>
          <w:rFonts w:ascii="Times New Roman" w:eastAsia="Times New Roman" w:hAnsi="Times New Roman"/>
          <w:sz w:val="24"/>
          <w:szCs w:val="24"/>
          <w:lang w:eastAsia="pl-PL"/>
        </w:rPr>
        <w:t>rewizji finansowej, doradztwa podatkowego lub prawnego w okresie objętym zewnętrznym audytem podatkowym oraz w trakcie jego realizacji (</w:t>
      </w:r>
      <w:r w:rsidR="006E6566" w:rsidRPr="009A3C86">
        <w:rPr>
          <w:rFonts w:ascii="Times New Roman" w:eastAsia="Times New Roman" w:hAnsi="Times New Roman"/>
          <w:b/>
          <w:sz w:val="24"/>
          <w:szCs w:val="24"/>
          <w:lang w:eastAsia="pl-PL"/>
        </w:rPr>
        <w:t xml:space="preserve">art. </w:t>
      </w:r>
      <w:r w:rsidR="00631C42" w:rsidRPr="009A3C86">
        <w:rPr>
          <w:rFonts w:ascii="Times New Roman" w:eastAsia="Times New Roman" w:hAnsi="Times New Roman"/>
          <w:b/>
          <w:sz w:val="24"/>
          <w:szCs w:val="24"/>
          <w:lang w:eastAsia="pl-PL"/>
        </w:rPr>
        <w:t>652</w:t>
      </w:r>
      <w:r w:rsidR="006E6566" w:rsidRPr="009A3C86">
        <w:rPr>
          <w:rFonts w:ascii="Times New Roman" w:eastAsia="Times New Roman" w:hAnsi="Times New Roman"/>
          <w:sz w:val="24"/>
          <w:szCs w:val="24"/>
          <w:lang w:eastAsia="pl-PL"/>
        </w:rPr>
        <w:t xml:space="preserve"> </w:t>
      </w:r>
      <w:r w:rsidR="006E6566" w:rsidRPr="009A3C86">
        <w:rPr>
          <w:rFonts w:ascii="Times New Roman" w:eastAsia="Times New Roman" w:hAnsi="Times New Roman"/>
          <w:b/>
          <w:sz w:val="24"/>
          <w:szCs w:val="24"/>
          <w:lang w:eastAsia="pl-PL"/>
        </w:rPr>
        <w:t xml:space="preserve">§ 2 </w:t>
      </w:r>
      <w:r w:rsidRPr="009A3C86">
        <w:rPr>
          <w:rFonts w:ascii="Times New Roman" w:eastAsia="Times New Roman" w:hAnsi="Times New Roman"/>
          <w:b/>
          <w:sz w:val="24"/>
          <w:szCs w:val="24"/>
          <w:lang w:eastAsia="pl-PL"/>
        </w:rPr>
        <w:t xml:space="preserve">pkt </w:t>
      </w:r>
      <w:r w:rsidR="00631C42" w:rsidRPr="009A3C86">
        <w:rPr>
          <w:rFonts w:ascii="Times New Roman" w:eastAsia="Times New Roman" w:hAnsi="Times New Roman"/>
          <w:b/>
          <w:sz w:val="24"/>
          <w:szCs w:val="24"/>
          <w:lang w:eastAsia="pl-PL"/>
        </w:rPr>
        <w:t>1</w:t>
      </w:r>
      <w:r w:rsidRPr="009A3C86">
        <w:rPr>
          <w:rFonts w:ascii="Times New Roman" w:eastAsia="Times New Roman" w:hAnsi="Times New Roman"/>
          <w:sz w:val="24"/>
          <w:szCs w:val="24"/>
          <w:lang w:eastAsia="pl-PL"/>
        </w:rPr>
        <w:t>). Po trzecie niezależnym audytorem nie może być również osoba wykonująca usługi np. w ramach samozatrudnienia, na podstawie umowy zlecenia lub o dzieło na rzecz podmiotu, który świadczy na rzecz podatnika usługi zakresie rewizji finansowej, doradztwa podatkowego lub prawnego w okresie objętym zewnętrznym audytem podatkowym oraz w trakcie jego realizacji (</w:t>
      </w:r>
      <w:r w:rsidR="00B873F6" w:rsidRPr="009A3C86">
        <w:rPr>
          <w:rFonts w:ascii="Times New Roman" w:eastAsia="Times New Roman" w:hAnsi="Times New Roman"/>
          <w:b/>
          <w:sz w:val="24"/>
          <w:szCs w:val="24"/>
          <w:lang w:eastAsia="pl-PL"/>
        </w:rPr>
        <w:t xml:space="preserve">art. </w:t>
      </w:r>
      <w:r w:rsidR="00631C42" w:rsidRPr="009A3C86">
        <w:rPr>
          <w:rFonts w:ascii="Times New Roman" w:eastAsia="Times New Roman" w:hAnsi="Times New Roman"/>
          <w:b/>
          <w:sz w:val="24"/>
          <w:szCs w:val="24"/>
          <w:lang w:eastAsia="pl-PL"/>
        </w:rPr>
        <w:t>652</w:t>
      </w:r>
      <w:r w:rsidR="00B873F6" w:rsidRPr="009A3C86">
        <w:rPr>
          <w:rFonts w:ascii="Times New Roman" w:eastAsia="Times New Roman" w:hAnsi="Times New Roman"/>
          <w:sz w:val="24"/>
          <w:szCs w:val="24"/>
          <w:lang w:eastAsia="pl-PL"/>
        </w:rPr>
        <w:t xml:space="preserve"> </w:t>
      </w:r>
      <w:r w:rsidR="00B873F6" w:rsidRPr="009A3C86">
        <w:rPr>
          <w:rFonts w:ascii="Times New Roman" w:eastAsia="Times New Roman" w:hAnsi="Times New Roman"/>
          <w:b/>
          <w:sz w:val="24"/>
          <w:szCs w:val="24"/>
          <w:lang w:eastAsia="pl-PL"/>
        </w:rPr>
        <w:t xml:space="preserve">§ 2 </w:t>
      </w:r>
      <w:r w:rsidRPr="009A3C86">
        <w:rPr>
          <w:rFonts w:ascii="Times New Roman" w:eastAsia="Times New Roman" w:hAnsi="Times New Roman"/>
          <w:b/>
          <w:sz w:val="24"/>
          <w:szCs w:val="24"/>
          <w:lang w:eastAsia="pl-PL"/>
        </w:rPr>
        <w:t>pkt 3</w:t>
      </w:r>
      <w:r w:rsidRPr="009A3C86">
        <w:rPr>
          <w:rFonts w:ascii="Times New Roman" w:eastAsia="Times New Roman" w:hAnsi="Times New Roman"/>
          <w:sz w:val="24"/>
          <w:szCs w:val="24"/>
          <w:lang w:eastAsia="pl-PL"/>
        </w:rPr>
        <w:t>). W ten sposób określono charakter niezależnego audytu funkcji podatkowej realizowanego przez doradców podatkowych lub biegłych rewidentów, jako nieodłączny element ram wewnętrznego nadzoru podatkowego.</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Celem niezależnego audytu funkcji podatkowej, jak wskazano w </w:t>
      </w:r>
      <w:r w:rsidRPr="009A3C86">
        <w:rPr>
          <w:rFonts w:ascii="Times New Roman" w:eastAsia="Times New Roman" w:hAnsi="Times New Roman"/>
          <w:b/>
          <w:sz w:val="24"/>
          <w:szCs w:val="24"/>
          <w:lang w:eastAsia="pl-PL"/>
        </w:rPr>
        <w:t xml:space="preserve">art. </w:t>
      </w:r>
      <w:r w:rsidR="00631C42" w:rsidRPr="009A3C86">
        <w:rPr>
          <w:rFonts w:ascii="Times New Roman" w:eastAsia="Times New Roman" w:hAnsi="Times New Roman"/>
          <w:b/>
          <w:sz w:val="24"/>
          <w:szCs w:val="24"/>
          <w:lang w:eastAsia="pl-PL"/>
        </w:rPr>
        <w:t>653</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jest sprawdzenie przez podmiot niezależny wobec podatnika oraz Krajowej Administracji Skarbowej poziomu dojrzałości podatnika w zakresie zarządzania i nadzoru  nad funkcją podatkową. Jak wskazano jego zakres obejmuje nie tylko sprawdzenie prawidłowości wypełniania obowiązków podatkowych, ale również weryfikację skuteczności i adekwatności wdrożonych przez podatnika zbioru uregulowanych procesów oraz procedur dotyczących zarządzania sposobem wykonywania obowiązków podatkowych.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Zgodnie z </w:t>
      </w:r>
      <w:r w:rsidR="00B873F6" w:rsidRPr="009A3C86">
        <w:rPr>
          <w:rFonts w:ascii="Times New Roman" w:eastAsia="Times New Roman" w:hAnsi="Times New Roman"/>
          <w:b/>
          <w:sz w:val="24"/>
          <w:szCs w:val="24"/>
          <w:lang w:eastAsia="pl-PL"/>
        </w:rPr>
        <w:t xml:space="preserve">art. </w:t>
      </w:r>
      <w:r w:rsidR="00D71295" w:rsidRPr="009A3C86">
        <w:rPr>
          <w:rFonts w:ascii="Times New Roman" w:eastAsia="Times New Roman" w:hAnsi="Times New Roman"/>
          <w:b/>
          <w:sz w:val="24"/>
          <w:szCs w:val="24"/>
          <w:lang w:eastAsia="pl-PL"/>
        </w:rPr>
        <w:t>653</w:t>
      </w:r>
      <w:r w:rsidR="00B873F6"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2</w:t>
      </w:r>
      <w:r w:rsidRPr="009A3C86">
        <w:rPr>
          <w:rFonts w:ascii="Times New Roman" w:eastAsia="Times New Roman" w:hAnsi="Times New Roman"/>
          <w:sz w:val="24"/>
          <w:szCs w:val="24"/>
          <w:lang w:eastAsia="pl-PL"/>
        </w:rPr>
        <w:t xml:space="preserve"> niezależny audyt funkcji podatkowej kończy się</w:t>
      </w:r>
      <w:r w:rsidR="00D71295" w:rsidRPr="009A3C86">
        <w:t xml:space="preserve"> </w:t>
      </w:r>
      <w:r w:rsidR="00D71295" w:rsidRPr="009A3C86">
        <w:rPr>
          <w:rFonts w:ascii="Times New Roman" w:eastAsia="Times New Roman" w:hAnsi="Times New Roman"/>
          <w:sz w:val="24"/>
          <w:szCs w:val="24"/>
          <w:lang w:eastAsia="pl-PL"/>
        </w:rPr>
        <w:t xml:space="preserve">raportem zawierający jego wynik. Raport podpisuje niezależny audytor podatkowy przeprowadzający ten audyt, </w:t>
      </w:r>
      <w:r w:rsidRPr="009A3C86">
        <w:rPr>
          <w:rFonts w:ascii="Times New Roman" w:eastAsia="Times New Roman" w:hAnsi="Times New Roman"/>
          <w:sz w:val="24"/>
          <w:szCs w:val="24"/>
          <w:lang w:eastAsia="pl-PL"/>
        </w:rPr>
        <w:t>co</w:t>
      </w:r>
      <w:r w:rsidR="007D14CB" w:rsidRPr="009A3C86">
        <w:rPr>
          <w:rFonts w:ascii="Times New Roman" w:eastAsia="Times New Roman" w:hAnsi="Times New Roman"/>
          <w:sz w:val="24"/>
          <w:szCs w:val="24"/>
          <w:lang w:eastAsia="pl-PL"/>
        </w:rPr>
        <w:t> </w:t>
      </w:r>
      <w:r w:rsidRPr="009A3C86">
        <w:rPr>
          <w:rFonts w:ascii="Times New Roman" w:eastAsia="Times New Roman" w:hAnsi="Times New Roman"/>
          <w:sz w:val="24"/>
          <w:szCs w:val="24"/>
          <w:lang w:eastAsia="pl-PL"/>
        </w:rPr>
        <w:t>ma stanowić w</w:t>
      </w:r>
      <w:r w:rsidR="007A467C" w:rsidRPr="009A3C86">
        <w:rPr>
          <w:rFonts w:ascii="Times New Roman" w:eastAsia="Times New Roman" w:hAnsi="Times New Roman"/>
          <w:sz w:val="24"/>
          <w:szCs w:val="24"/>
          <w:lang w:eastAsia="pl-PL"/>
        </w:rPr>
        <w:t>y</w:t>
      </w:r>
      <w:r w:rsidRPr="009A3C86">
        <w:rPr>
          <w:rFonts w:ascii="Times New Roman" w:eastAsia="Times New Roman" w:hAnsi="Times New Roman"/>
          <w:sz w:val="24"/>
          <w:szCs w:val="24"/>
          <w:lang w:eastAsia="pl-PL"/>
        </w:rPr>
        <w:t>raz jego odpowiedzialności za rzetelność badania przeprowadzanego w ramach tego audytu. Planowane jest wprowadzenie w odrębnych przepisach odpowiedzialności dyscyplinarnej za niedopełnienie należytej staranności w realizacji przedmiotowego audytu.</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 xml:space="preserve">Niezależny audytor zostaje zobligowany do niezwłocznego przekazania badanemu podatnikowi </w:t>
      </w:r>
      <w:r w:rsidR="007D14CB" w:rsidRPr="009A3C86">
        <w:rPr>
          <w:rFonts w:ascii="Times New Roman" w:eastAsia="Times New Roman" w:hAnsi="Times New Roman"/>
          <w:sz w:val="24"/>
          <w:szCs w:val="24"/>
          <w:lang w:eastAsia="pl-PL"/>
        </w:rPr>
        <w:t>raportu z</w:t>
      </w:r>
      <w:r w:rsidRPr="009A3C86">
        <w:rPr>
          <w:rFonts w:ascii="Times New Roman" w:eastAsia="Times New Roman" w:hAnsi="Times New Roman"/>
          <w:sz w:val="24"/>
          <w:szCs w:val="24"/>
          <w:lang w:eastAsia="pl-PL"/>
        </w:rPr>
        <w:t xml:space="preserve"> audytu wraz z dokumentacją audytu zawierającą przeprowadzone testy i procedury (</w:t>
      </w:r>
      <w:r w:rsidR="00CF21D7" w:rsidRPr="009A3C86">
        <w:rPr>
          <w:rFonts w:ascii="Times New Roman" w:eastAsia="Times New Roman" w:hAnsi="Times New Roman"/>
          <w:b/>
          <w:sz w:val="24"/>
          <w:szCs w:val="24"/>
          <w:lang w:eastAsia="pl-PL"/>
        </w:rPr>
        <w:t xml:space="preserve">art. </w:t>
      </w:r>
      <w:r w:rsidR="007D14CB" w:rsidRPr="009A3C86">
        <w:rPr>
          <w:rFonts w:ascii="Times New Roman" w:eastAsia="Times New Roman" w:hAnsi="Times New Roman"/>
          <w:b/>
          <w:sz w:val="24"/>
          <w:szCs w:val="24"/>
          <w:lang w:eastAsia="pl-PL"/>
        </w:rPr>
        <w:t>653</w:t>
      </w:r>
      <w:r w:rsidR="00CF21D7"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3</w:t>
      </w:r>
      <w:r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celu realizacji audytu podatkowego w </w:t>
      </w:r>
      <w:r w:rsidRPr="009A3C86">
        <w:rPr>
          <w:rFonts w:ascii="Times New Roman" w:eastAsia="Times New Roman" w:hAnsi="Times New Roman"/>
          <w:b/>
          <w:sz w:val="24"/>
          <w:szCs w:val="24"/>
          <w:lang w:eastAsia="pl-PL"/>
        </w:rPr>
        <w:t xml:space="preserve">art. </w:t>
      </w:r>
      <w:r w:rsidR="00DF2AD2" w:rsidRPr="009A3C86">
        <w:rPr>
          <w:rFonts w:ascii="Times New Roman" w:eastAsia="Times New Roman" w:hAnsi="Times New Roman"/>
          <w:b/>
          <w:sz w:val="24"/>
          <w:szCs w:val="24"/>
          <w:lang w:eastAsia="pl-PL"/>
        </w:rPr>
        <w:t>654</w:t>
      </w:r>
      <w:r w:rsidRPr="009A3C86">
        <w:rPr>
          <w:rFonts w:ascii="Times New Roman" w:eastAsia="Times New Roman" w:hAnsi="Times New Roman"/>
          <w:sz w:val="24"/>
          <w:szCs w:val="24"/>
          <w:lang w:eastAsia="pl-PL"/>
        </w:rPr>
        <w:t xml:space="preserve"> zostały zawarte odesłania do odpowiedniego stosowania przepisów dotyczących dowodów.</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W </w:t>
      </w:r>
      <w:r w:rsidRPr="009A3C86">
        <w:rPr>
          <w:rFonts w:ascii="Times New Roman" w:eastAsia="Times New Roman" w:hAnsi="Times New Roman"/>
          <w:b/>
          <w:sz w:val="24"/>
          <w:szCs w:val="24"/>
          <w:lang w:eastAsia="pl-PL"/>
        </w:rPr>
        <w:t>art. 655</w:t>
      </w:r>
      <w:r w:rsidRPr="009A3C86">
        <w:rPr>
          <w:rFonts w:ascii="Times New Roman" w:eastAsia="Times New Roman" w:hAnsi="Times New Roman"/>
          <w:sz w:val="24"/>
          <w:szCs w:val="24"/>
          <w:lang w:eastAsia="pl-PL"/>
        </w:rPr>
        <w:t xml:space="preserve"> zostały zawarte odesłania do odpowiedniego stosowania następujących przepisów Ordynacji podatkowej w celu zawarcia i wykonywania umowy o współdziałanie, porozumień podatkowych oraz audytu podatkowego:</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art. 366-367 regulujące zasady składania wniosków, m.in. z uwagi na fakt, że procedura umowy o współdziałanie jest wszczynana na wniosek podatnika;</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art. 372-373 art. 375-377 regulujące zasady sporządzania protokołów i adnotacji, ponieważ ustalenia ze spotkań z podatnikiem w ramach realizacji umowy o współdziałanie powinny mieć formę pisemną i spełniać określone prawem wymogi;</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 z działu III (Postępowanie podatkowe) następujące rozdziały: </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Rozdziały 3. Doręczenia - m.in. z uwagi na konieczność doręczenia porozumień zawieranych po podpisaniu umowy o współdziałanie oraz oświadczenia o rozwiązaniu umowy o współdziałanie;</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Rozdział 7. Udostępnianie akt – podatnik powinien mieć uprawnienie do wglądu w akta gromadzone w związku z realizacją umowy o współdziałanie;</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Rozdział 11. Mediacja – jedną z zasad współpracy w ramach umowy o współdziałanie jest „zgoda na brak zgody”, zgodnie z którą strony umowy zakładają zdroworozsądkowo, że w toku współpracy mogą się pojawić zagadnienia np. w zakresie wykładni prawa podatkowego, co do których nie uda się wypracować wspólnego stanowiska (sformalizowanego w postaci zawartego porozumienia). Sam fakt zaistnienia sporu nie przekreśla dalszej współpracy w ramach umowy o współdziałanie, aby jednak przyspieszyć możliwość rozstrzygnięcia spornego zagadnienia, przewidziano możliwość zostawania w ramach realizacji umowy o współdziałanie procedury mediacji. </w:t>
      </w:r>
    </w:p>
    <w:p w:rsidR="00DF2AD2" w:rsidRPr="009A3C86" w:rsidRDefault="00DF2AD2" w:rsidP="00DF2AD2">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Jednocześnie należy podkreślić, że zasady ogólne prawa podatkowego wskazane w rozdziale 2 działu I (poza zasadą wskazaną w art. 31, która dotyczy dwuinstancyjności) mają zastosowanie do realizacji współpracy podejmowanej w ramach Programu Współdziałania, w tym zasada pisemności wyrażona w art. 29. Należy też zauważyć, że cel współpracy podejmowanej w ramach umowy o współdziałanie stanowi rozwinięcie i formę realizacji zasady ogólnej wyrażonej w art. 16, zgodnie z którą, organy podatkowe udzielają zobowiązanemu informacji i wspierają go w samodzielnym, prawidłowym i dobrowolnym wykonywaniu jego obowiązków </w:t>
      </w:r>
      <w:r w:rsidRPr="009A3C86">
        <w:rPr>
          <w:rFonts w:ascii="Times New Roman" w:eastAsia="Times New Roman" w:hAnsi="Times New Roman"/>
          <w:sz w:val="24"/>
          <w:szCs w:val="24"/>
          <w:lang w:eastAsia="pl-PL"/>
        </w:rPr>
        <w:lastRenderedPageBreak/>
        <w:t>i korzystaniu z praw wynikających z przepisów prawa podatkowego. Podobnie w przypadku zasady współdziałania podatnika wynikającej w art. 17, zgodnie z którą w zakresie wynikającym z przepisów prawa podatkowego zobowiązany współdziała z organami podatkowymi. Umowa o współdziałaniu stanowi materializację tej zasady w ramach nowej instytucji prawa podatkowego. Program jest także rozwinięciem zasady zaufania wynikającej z art. 19, zgodnie z którym organy podatkowe działają w sposób budzący zaufanie oraz kierują się zasadami bezstronności i równego traktowania zobowiązanych. Swoje działania prowadzą zgodnie z zasadą zaufania do zobowiązanego, zakładając, że działa on uczciwie i zgodnie z prawem.</w:t>
      </w:r>
    </w:p>
    <w:p w:rsidR="004166B8" w:rsidRPr="009A3C86" w:rsidRDefault="004166B8" w:rsidP="00D72E74">
      <w:pPr>
        <w:spacing w:before="120" w:after="0" w:line="360" w:lineRule="auto"/>
        <w:jc w:val="both"/>
        <w:rPr>
          <w:rFonts w:ascii="Times New Roman" w:eastAsia="Times New Roman" w:hAnsi="Times New Roman"/>
          <w:b/>
          <w:sz w:val="24"/>
          <w:szCs w:val="24"/>
          <w:lang w:eastAsia="pl-PL"/>
        </w:rPr>
      </w:pPr>
      <w:r w:rsidRPr="009A3C86">
        <w:rPr>
          <w:rFonts w:ascii="Times New Roman" w:eastAsia="Times New Roman" w:hAnsi="Times New Roman"/>
          <w:b/>
          <w:sz w:val="24"/>
          <w:szCs w:val="24"/>
          <w:lang w:eastAsia="pl-PL"/>
        </w:rPr>
        <w:t xml:space="preserve">Przepisy uzupełniające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Dodatkowo z uwagi na specyfikę danych i informacji przekazywanych przez podatników w ramach realizacji umowy o współdziałanie w przepisach dotyczących tajemnicy skarbowej przewidziano szczególną ochronę prawną informacji zawierających tajemnicę przedsiębiorstwa oraz informacji uzyskanych w związku z zawieraniem </w:t>
      </w:r>
      <w:r w:rsidR="00267490" w:rsidRPr="009A3C86">
        <w:rPr>
          <w:rFonts w:ascii="Times New Roman" w:eastAsia="Times New Roman" w:hAnsi="Times New Roman"/>
          <w:sz w:val="24"/>
          <w:szCs w:val="24"/>
          <w:lang w:eastAsia="pl-PL"/>
        </w:rPr>
        <w:t>uprzednich porozumień cenowych</w:t>
      </w:r>
      <w:r w:rsidRPr="009A3C86">
        <w:rPr>
          <w:rFonts w:ascii="Times New Roman" w:eastAsia="Times New Roman" w:hAnsi="Times New Roman"/>
          <w:sz w:val="24"/>
          <w:szCs w:val="24"/>
          <w:lang w:eastAsia="pl-PL"/>
        </w:rPr>
        <w:t>, o który</w:t>
      </w:r>
      <w:r w:rsidR="00267490" w:rsidRPr="009A3C86">
        <w:rPr>
          <w:rFonts w:ascii="Times New Roman" w:eastAsia="Times New Roman" w:hAnsi="Times New Roman"/>
          <w:sz w:val="24"/>
          <w:szCs w:val="24"/>
          <w:lang w:eastAsia="pl-PL"/>
        </w:rPr>
        <w:t>ch</w:t>
      </w:r>
      <w:r w:rsidRPr="009A3C86">
        <w:rPr>
          <w:rFonts w:ascii="Times New Roman" w:eastAsia="Times New Roman" w:hAnsi="Times New Roman"/>
          <w:sz w:val="24"/>
          <w:szCs w:val="24"/>
          <w:lang w:eastAsia="pl-PL"/>
        </w:rPr>
        <w:t xml:space="preserve"> mowa w art. </w:t>
      </w:r>
      <w:r w:rsidR="00341D93" w:rsidRPr="009A3C86">
        <w:rPr>
          <w:rFonts w:ascii="Times New Roman" w:eastAsia="Times New Roman" w:hAnsi="Times New Roman"/>
          <w:sz w:val="24"/>
          <w:szCs w:val="24"/>
          <w:lang w:eastAsia="pl-PL"/>
        </w:rPr>
        <w:t>639</w:t>
      </w:r>
      <w:r w:rsidRPr="009A3C86">
        <w:rPr>
          <w:rFonts w:ascii="Times New Roman" w:eastAsia="Times New Roman" w:hAnsi="Times New Roman"/>
          <w:sz w:val="24"/>
          <w:szCs w:val="24"/>
          <w:lang w:eastAsia="pl-PL"/>
        </w:rPr>
        <w:t xml:space="preserve"> pkt 2. Szczególna ochrona informacji zawierających tajemnicę przedsiębiorstwa wynika z faktu, że dotyczą one największych podmiotów gospodarczych w Polsce, w związku z tym mają one istotne znaczenie gospodarcze, stąd też ich nieuprawnione ujawnienie może wywołać poważne straty finansowe i w konsekwencji narazić Krajową Administrację Skarbową na roszczenie odszkodowawcze ze strony podmiotu, którego informacje dotyczą. </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Szczególna ochrona prawna ww. informacji została zawarta w następujących przepisach:</w:t>
      </w:r>
    </w:p>
    <w:p w:rsidR="004166B8" w:rsidRPr="009A3C86" w:rsidRDefault="00341D93" w:rsidP="004166B8">
      <w:pPr>
        <w:spacing w:after="0" w:line="413" w:lineRule="exact"/>
        <w:ind w:right="20"/>
        <w:jc w:val="both"/>
        <w:rPr>
          <w:rFonts w:ascii="Times New Roman" w:hAnsi="Times New Roman"/>
          <w:sz w:val="24"/>
          <w:szCs w:val="24"/>
        </w:rPr>
      </w:pPr>
      <w:r w:rsidRPr="009A3C86">
        <w:rPr>
          <w:rFonts w:ascii="Times New Roman" w:hAnsi="Times New Roman"/>
          <w:sz w:val="24"/>
          <w:szCs w:val="24"/>
        </w:rPr>
        <w:t>–</w:t>
      </w:r>
      <w:r w:rsidR="004166B8" w:rsidRPr="009A3C86">
        <w:rPr>
          <w:rFonts w:ascii="Times New Roman" w:hAnsi="Times New Roman"/>
          <w:sz w:val="24"/>
          <w:szCs w:val="24"/>
        </w:rPr>
        <w:t xml:space="preserve"> </w:t>
      </w:r>
      <w:r w:rsidR="004166B8" w:rsidRPr="009A3C86">
        <w:rPr>
          <w:rFonts w:ascii="Times New Roman" w:hAnsi="Times New Roman"/>
          <w:b/>
          <w:sz w:val="24"/>
          <w:szCs w:val="24"/>
        </w:rPr>
        <w:t>art. 10</w:t>
      </w:r>
      <w:r w:rsidR="002B0004" w:rsidRPr="009A3C86">
        <w:rPr>
          <w:rFonts w:ascii="Times New Roman" w:hAnsi="Times New Roman"/>
          <w:b/>
          <w:sz w:val="24"/>
          <w:szCs w:val="24"/>
        </w:rPr>
        <w:t>2</w:t>
      </w:r>
      <w:r w:rsidR="004166B8" w:rsidRPr="009A3C86">
        <w:rPr>
          <w:rFonts w:ascii="Times New Roman" w:hAnsi="Times New Roman"/>
          <w:b/>
          <w:sz w:val="24"/>
          <w:szCs w:val="24"/>
        </w:rPr>
        <w:t xml:space="preserve"> § 3</w:t>
      </w:r>
      <w:r w:rsidR="004166B8" w:rsidRPr="009A3C86">
        <w:rPr>
          <w:rFonts w:ascii="Times New Roman" w:hAnsi="Times New Roman"/>
          <w:sz w:val="24"/>
          <w:szCs w:val="24"/>
        </w:rPr>
        <w:t xml:space="preserve"> </w:t>
      </w:r>
      <w:r w:rsidRPr="009A3C86">
        <w:rPr>
          <w:rFonts w:ascii="Times New Roman" w:hAnsi="Times New Roman"/>
          <w:sz w:val="24"/>
          <w:szCs w:val="24"/>
        </w:rPr>
        <w:t>–</w:t>
      </w:r>
      <w:r w:rsidR="004166B8" w:rsidRPr="009A3C86">
        <w:rPr>
          <w:rFonts w:ascii="Times New Roman" w:hAnsi="Times New Roman"/>
          <w:sz w:val="24"/>
          <w:szCs w:val="24"/>
        </w:rPr>
        <w:t xml:space="preserve"> zapewnia ograniczenie dostępu do ww. informacji do pracowników bezpośrednio zaangażowanych w nadzór i realizację zadań, o których mowa w dziale IV rozdziale </w:t>
      </w:r>
      <w:r w:rsidR="00036576" w:rsidRPr="009A3C86">
        <w:rPr>
          <w:rFonts w:ascii="Times New Roman" w:hAnsi="Times New Roman"/>
          <w:sz w:val="24"/>
          <w:szCs w:val="24"/>
        </w:rPr>
        <w:t>5</w:t>
      </w:r>
      <w:r w:rsidR="004166B8" w:rsidRPr="009A3C86">
        <w:rPr>
          <w:rFonts w:ascii="Times New Roman" w:hAnsi="Times New Roman"/>
          <w:sz w:val="24"/>
          <w:szCs w:val="24"/>
        </w:rPr>
        <w:t xml:space="preserve"> tj. związanych z umową o współdziałanie, porozumieniami podatkowymi i przeprowadzaniem audytu podatkowego</w:t>
      </w:r>
      <w:r w:rsidR="004166B8" w:rsidRPr="009A3C86">
        <w:rPr>
          <w:rFonts w:ascii="Times New Roman" w:hAnsi="Times New Roman"/>
          <w:sz w:val="24"/>
        </w:rPr>
        <w:t>;</w:t>
      </w:r>
    </w:p>
    <w:p w:rsidR="004166B8" w:rsidRPr="009A3C86" w:rsidRDefault="00341D93"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004166B8" w:rsidRPr="009A3C86">
        <w:rPr>
          <w:rFonts w:ascii="Times New Roman" w:eastAsia="Times New Roman" w:hAnsi="Times New Roman"/>
          <w:sz w:val="24"/>
          <w:szCs w:val="24"/>
          <w:lang w:eastAsia="pl-PL"/>
        </w:rPr>
        <w:t xml:space="preserve"> </w:t>
      </w:r>
      <w:r w:rsidR="004166B8" w:rsidRPr="009A3C86">
        <w:rPr>
          <w:rFonts w:ascii="Times New Roman" w:eastAsia="Times New Roman" w:hAnsi="Times New Roman"/>
          <w:b/>
          <w:sz w:val="24"/>
          <w:szCs w:val="24"/>
          <w:lang w:eastAsia="pl-PL"/>
        </w:rPr>
        <w:t>art. 1</w:t>
      </w:r>
      <w:r w:rsidR="0018161E" w:rsidRPr="009A3C86">
        <w:rPr>
          <w:rFonts w:ascii="Times New Roman" w:eastAsia="Times New Roman" w:hAnsi="Times New Roman"/>
          <w:b/>
          <w:sz w:val="24"/>
          <w:szCs w:val="24"/>
          <w:lang w:eastAsia="pl-PL"/>
        </w:rPr>
        <w:t>08</w:t>
      </w:r>
      <w:r w:rsidR="004166B8" w:rsidRPr="009A3C86">
        <w:rPr>
          <w:rFonts w:ascii="Times New Roman" w:eastAsia="Times New Roman" w:hAnsi="Times New Roman"/>
          <w:b/>
          <w:sz w:val="24"/>
          <w:szCs w:val="24"/>
          <w:lang w:eastAsia="pl-PL"/>
        </w:rPr>
        <w:t xml:space="preserve"> § </w:t>
      </w:r>
      <w:r w:rsidR="00920245" w:rsidRPr="009A3C86">
        <w:rPr>
          <w:rFonts w:ascii="Times New Roman" w:eastAsia="Times New Roman" w:hAnsi="Times New Roman"/>
          <w:b/>
          <w:sz w:val="24"/>
          <w:szCs w:val="24"/>
          <w:lang w:eastAsia="pl-PL"/>
        </w:rPr>
        <w:t>2</w:t>
      </w:r>
      <w:r w:rsidR="004166B8" w:rsidRPr="009A3C86">
        <w:rPr>
          <w:rFonts w:ascii="Times New Roman" w:eastAsia="Times New Roman" w:hAnsi="Times New Roman"/>
          <w:sz w:val="24"/>
          <w:szCs w:val="24"/>
          <w:lang w:eastAsia="pl-PL"/>
        </w:rPr>
        <w:t xml:space="preserve"> – zawiera ograniczenie katalogu podmiotów, którym można udostępnić przekazane w ramach Programu Współdziałania informacje, zawierające tajemnice przedsiębiorstwa, bądź zgromadzone w związku z zawieraniem </w:t>
      </w:r>
      <w:r w:rsidR="00267490" w:rsidRPr="009A3C86">
        <w:rPr>
          <w:rFonts w:ascii="Times New Roman" w:eastAsia="Times New Roman" w:hAnsi="Times New Roman"/>
          <w:sz w:val="24"/>
          <w:szCs w:val="24"/>
          <w:lang w:eastAsia="pl-PL"/>
        </w:rPr>
        <w:t>uprzednich porozumień cenowych</w:t>
      </w:r>
      <w:r w:rsidR="004166B8" w:rsidRPr="009A3C86">
        <w:rPr>
          <w:rFonts w:ascii="Times New Roman" w:eastAsia="Times New Roman" w:hAnsi="Times New Roman"/>
          <w:sz w:val="24"/>
          <w:szCs w:val="24"/>
          <w:lang w:eastAsia="pl-PL"/>
        </w:rPr>
        <w:t>, o który</w:t>
      </w:r>
      <w:r w:rsidR="00267490" w:rsidRPr="009A3C86">
        <w:rPr>
          <w:rFonts w:ascii="Times New Roman" w:eastAsia="Times New Roman" w:hAnsi="Times New Roman"/>
          <w:sz w:val="24"/>
          <w:szCs w:val="24"/>
          <w:lang w:eastAsia="pl-PL"/>
        </w:rPr>
        <w:t>ch</w:t>
      </w:r>
      <w:r w:rsidR="004166B8" w:rsidRPr="009A3C86">
        <w:rPr>
          <w:rFonts w:ascii="Times New Roman" w:eastAsia="Times New Roman" w:hAnsi="Times New Roman"/>
          <w:sz w:val="24"/>
          <w:szCs w:val="24"/>
          <w:lang w:eastAsia="pl-PL"/>
        </w:rPr>
        <w:t xml:space="preserve"> mowa w art. </w:t>
      </w:r>
      <w:r w:rsidRPr="009A3C86">
        <w:rPr>
          <w:rFonts w:ascii="Times New Roman" w:eastAsia="Times New Roman" w:hAnsi="Times New Roman"/>
          <w:sz w:val="24"/>
          <w:szCs w:val="24"/>
          <w:lang w:eastAsia="pl-PL"/>
        </w:rPr>
        <w:t>639</w:t>
      </w:r>
      <w:r w:rsidR="004166B8" w:rsidRPr="009A3C86">
        <w:rPr>
          <w:rFonts w:ascii="Times New Roman" w:eastAsia="Times New Roman" w:hAnsi="Times New Roman"/>
          <w:sz w:val="24"/>
          <w:szCs w:val="24"/>
          <w:lang w:eastAsia="pl-PL"/>
        </w:rPr>
        <w:t xml:space="preserve"> pkt 2.</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Katalog podmiotów uprawnionych do żądania przekazania informacji zawierających tajemnice przedsiębiorstwa, z uwagi na ich wartość znaczną ekonomiczną i potencjalny szeroki wpływ na całość gospodarki, został ograniczony wyłącznie do:  </w:t>
      </w:r>
    </w:p>
    <w:p w:rsidR="004166B8" w:rsidRPr="009A3C86" w:rsidRDefault="0024494F"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w:t>
      </w:r>
      <w:r w:rsidR="004166B8" w:rsidRPr="009A3C86">
        <w:rPr>
          <w:rFonts w:ascii="Times New Roman" w:eastAsia="Times New Roman" w:hAnsi="Times New Roman"/>
          <w:sz w:val="24"/>
          <w:szCs w:val="24"/>
          <w:lang w:eastAsia="pl-PL"/>
        </w:rPr>
        <w:t xml:space="preserve"> ministra właściwego do spraw finansów publicznych, Szefa Krajowej Administracji Skarbowej, dyrektora izby administracji skarbowej,</w:t>
      </w:r>
    </w:p>
    <w:p w:rsidR="004166B8" w:rsidRPr="009A3C86" w:rsidRDefault="00A608AC"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004166B8" w:rsidRPr="009A3C86">
        <w:rPr>
          <w:rFonts w:ascii="Times New Roman" w:eastAsia="Times New Roman" w:hAnsi="Times New Roman"/>
          <w:sz w:val="24"/>
          <w:szCs w:val="24"/>
          <w:lang w:eastAsia="pl-PL"/>
        </w:rPr>
        <w:t xml:space="preserve">  Generalnego Inspektora Informacji Finansowej,</w:t>
      </w:r>
    </w:p>
    <w:p w:rsidR="004166B8" w:rsidRPr="009A3C86" w:rsidRDefault="00A608AC"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004166B8" w:rsidRPr="009A3C86">
        <w:rPr>
          <w:rFonts w:ascii="Times New Roman" w:eastAsia="Times New Roman" w:hAnsi="Times New Roman"/>
          <w:sz w:val="24"/>
          <w:szCs w:val="24"/>
          <w:lang w:eastAsia="pl-PL"/>
        </w:rPr>
        <w:t xml:space="preserve"> sądów lub prokuratora, </w:t>
      </w:r>
    </w:p>
    <w:p w:rsidR="004166B8" w:rsidRPr="009A3C86" w:rsidRDefault="00A608AC"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004166B8" w:rsidRPr="009A3C86">
        <w:rPr>
          <w:rFonts w:ascii="Times New Roman" w:eastAsia="Times New Roman" w:hAnsi="Times New Roman"/>
          <w:sz w:val="24"/>
          <w:szCs w:val="24"/>
          <w:lang w:eastAsia="pl-PL"/>
        </w:rPr>
        <w:t xml:space="preserve"> Centralnego Biura Antykorupcyjnego, </w:t>
      </w:r>
    </w:p>
    <w:p w:rsidR="00A608AC" w:rsidRPr="009A3C86" w:rsidRDefault="00A608AC"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t>
      </w:r>
      <w:r w:rsidR="004166B8" w:rsidRPr="009A3C86">
        <w:rPr>
          <w:rFonts w:ascii="Times New Roman" w:eastAsia="Times New Roman" w:hAnsi="Times New Roman"/>
          <w:sz w:val="24"/>
          <w:szCs w:val="24"/>
          <w:lang w:eastAsia="pl-PL"/>
        </w:rPr>
        <w:t xml:space="preserve"> Agencji Wywiadu, Agencji Bezpieczeństwa Wewnętrznego, Centralnemu Biuru Antykorupcyjnemu, Służbie Wywiadu Wojskowego, Służbie Kontrwywiadu Wojskowego, Policji, Żandarmerii Wojskowej, Straży Granicznej, Służbie Więziennej, Służbie Ochrony Państwa i ich posiadającym pisemne upoważnienie funkcjonariuszom lub żołnierzom  wyłącznie zakresie w niezbędnym do przeprowadzenia postępowania sprawdzającego na podstawie przepisów o ochronie informacji niejawnych</w:t>
      </w:r>
      <w:r w:rsidRPr="009A3C86">
        <w:rPr>
          <w:rFonts w:ascii="Times New Roman" w:eastAsia="Times New Roman" w:hAnsi="Times New Roman"/>
          <w:sz w:val="24"/>
          <w:szCs w:val="24"/>
          <w:lang w:eastAsia="pl-PL"/>
        </w:rPr>
        <w:t>,</w:t>
      </w:r>
    </w:p>
    <w:p w:rsidR="00A608AC" w:rsidRPr="009A3C86" w:rsidRDefault="00A608AC" w:rsidP="00A608AC">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Inspektora Nadzoru Wewnętrznego – w zakresie niezbędnym do realizacji zadań określonych w art. 11a ust. 3 pkt 7 ustawy z dnia 21 czerwca 1996 r. o szczególnych formach sprawowania nadzoru przez ministra właściwego do spraw wewnętrznych (Dz. U z 2018 r. poz. 2216 oraz z 2019 r. poz. 15 i 125).</w:t>
      </w:r>
    </w:p>
    <w:p w:rsidR="004166B8" w:rsidRPr="009A3C86" w:rsidRDefault="00C72D16"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b/>
          <w:sz w:val="24"/>
          <w:szCs w:val="24"/>
          <w:lang w:eastAsia="pl-PL"/>
        </w:rPr>
        <w:t>A</w:t>
      </w:r>
      <w:r w:rsidR="004166B8" w:rsidRPr="009A3C86">
        <w:rPr>
          <w:rFonts w:ascii="Times New Roman" w:eastAsia="Times New Roman" w:hAnsi="Times New Roman"/>
          <w:b/>
          <w:sz w:val="24"/>
          <w:szCs w:val="24"/>
          <w:lang w:eastAsia="pl-PL"/>
        </w:rPr>
        <w:t>rt. 1</w:t>
      </w:r>
      <w:r w:rsidR="004704D3" w:rsidRPr="009A3C86">
        <w:rPr>
          <w:rFonts w:ascii="Times New Roman" w:eastAsia="Times New Roman" w:hAnsi="Times New Roman"/>
          <w:b/>
          <w:sz w:val="24"/>
          <w:szCs w:val="24"/>
          <w:lang w:eastAsia="pl-PL"/>
        </w:rPr>
        <w:t>05</w:t>
      </w:r>
      <w:r w:rsidR="004166B8" w:rsidRPr="009A3C86">
        <w:rPr>
          <w:rFonts w:ascii="Times New Roman" w:eastAsia="Times New Roman" w:hAnsi="Times New Roman"/>
          <w:b/>
          <w:sz w:val="24"/>
          <w:szCs w:val="24"/>
          <w:lang w:eastAsia="pl-PL"/>
        </w:rPr>
        <w:t xml:space="preserve"> § 1 pkt 3 i 4</w:t>
      </w:r>
      <w:r w:rsidR="004166B8" w:rsidRPr="009A3C86">
        <w:rPr>
          <w:rFonts w:ascii="Times New Roman" w:eastAsia="Times New Roman" w:hAnsi="Times New Roman"/>
          <w:sz w:val="24"/>
          <w:szCs w:val="24"/>
          <w:lang w:eastAsia="pl-PL"/>
        </w:rPr>
        <w:t xml:space="preserve"> - zapewnia szczególny reżimu przechowywania akt w pomieszczeniach zabezpieczonych zgodnie z przepisami o ochronie informacji niejawnych, a po ich wykorzystaniu wyłączanych z akt sprawy i przechowywanych z zachowaniem zasad określonych dla informacji niejawnych o klauzuli „zastrzeżone”,</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 zasad udostępnienia informacji zawierających </w:t>
      </w:r>
      <w:r w:rsidR="00437128" w:rsidRPr="009A3C86">
        <w:rPr>
          <w:rFonts w:ascii="Times New Roman" w:eastAsia="Times New Roman" w:hAnsi="Times New Roman"/>
          <w:sz w:val="24"/>
          <w:szCs w:val="24"/>
          <w:lang w:eastAsia="pl-PL"/>
        </w:rPr>
        <w:t xml:space="preserve">informacje wymienione w art. </w:t>
      </w:r>
      <w:r w:rsidR="00732096" w:rsidRPr="009A3C86">
        <w:rPr>
          <w:rFonts w:ascii="Times New Roman" w:eastAsia="Times New Roman" w:hAnsi="Times New Roman"/>
          <w:sz w:val="24"/>
          <w:szCs w:val="24"/>
          <w:lang w:eastAsia="pl-PL"/>
        </w:rPr>
        <w:t>402</w:t>
      </w:r>
      <w:r w:rsidR="00437128" w:rsidRPr="009A3C86">
        <w:rPr>
          <w:rFonts w:ascii="Times New Roman" w:eastAsia="Times New Roman" w:hAnsi="Times New Roman"/>
          <w:sz w:val="24"/>
          <w:szCs w:val="24"/>
          <w:lang w:eastAsia="pl-PL"/>
        </w:rPr>
        <w:t xml:space="preserve">, </w:t>
      </w:r>
      <w:r w:rsidRPr="009A3C86">
        <w:rPr>
          <w:rFonts w:ascii="Times New Roman" w:eastAsia="Times New Roman" w:hAnsi="Times New Roman"/>
          <w:sz w:val="24"/>
          <w:szCs w:val="24"/>
          <w:lang w:eastAsia="pl-PL"/>
        </w:rPr>
        <w:t xml:space="preserve">określonych w </w:t>
      </w:r>
      <w:r w:rsidRPr="009A3C86">
        <w:rPr>
          <w:rFonts w:ascii="Times New Roman" w:eastAsia="Times New Roman" w:hAnsi="Times New Roman"/>
          <w:b/>
          <w:sz w:val="24"/>
          <w:szCs w:val="24"/>
          <w:lang w:eastAsia="pl-PL"/>
        </w:rPr>
        <w:t>art. 1</w:t>
      </w:r>
      <w:r w:rsidR="004704D3" w:rsidRPr="009A3C86">
        <w:rPr>
          <w:rFonts w:ascii="Times New Roman" w:eastAsia="Times New Roman" w:hAnsi="Times New Roman"/>
          <w:b/>
          <w:sz w:val="24"/>
          <w:szCs w:val="24"/>
          <w:lang w:eastAsia="pl-PL"/>
        </w:rPr>
        <w:t>06</w:t>
      </w:r>
      <w:r w:rsidRPr="009A3C86">
        <w:rPr>
          <w:rFonts w:ascii="Times New Roman" w:eastAsia="Times New Roman" w:hAnsi="Times New Roman"/>
          <w:b/>
          <w:sz w:val="24"/>
          <w:szCs w:val="24"/>
          <w:lang w:eastAsia="pl-PL"/>
        </w:rPr>
        <w:t xml:space="preserve"> § 1</w:t>
      </w:r>
      <w:r w:rsidRPr="009A3C86">
        <w:rPr>
          <w:rFonts w:ascii="Times New Roman" w:eastAsia="Times New Roman" w:hAnsi="Times New Roman"/>
          <w:sz w:val="24"/>
          <w:szCs w:val="24"/>
          <w:lang w:eastAsia="pl-PL"/>
        </w:rPr>
        <w:t xml:space="preserve"> wyłączono możliwość udostępniania informacji stanowiących tajemnicę przedsiębiorstwa uzyskanych w toku realizacji zadań, o którym których mowa w dziale IV rozdziale </w:t>
      </w:r>
      <w:r w:rsidR="00732096" w:rsidRPr="009A3C86">
        <w:rPr>
          <w:rFonts w:ascii="Times New Roman" w:eastAsia="Times New Roman" w:hAnsi="Times New Roman"/>
          <w:sz w:val="24"/>
          <w:szCs w:val="24"/>
          <w:lang w:eastAsia="pl-PL"/>
        </w:rPr>
        <w:t>5</w:t>
      </w:r>
      <w:r w:rsidRPr="009A3C86">
        <w:rPr>
          <w:rFonts w:ascii="Times New Roman" w:eastAsia="Times New Roman" w:hAnsi="Times New Roman"/>
          <w:sz w:val="24"/>
          <w:szCs w:val="24"/>
          <w:lang w:eastAsia="pl-PL"/>
        </w:rPr>
        <w:t xml:space="preserve"> – sobie wzajemnie przez naczelników urzędów skarbowych, naczelników urzędów celno-skarbowych, dyrektorów izb administracji skarbowej, a także Centralnemu Biuru Antykorupcyjnemu, Policji, Żandarmerii Wojskowej, Agencji Bezpieczeństwa Wewnętrznego i ich posiadającym </w:t>
      </w:r>
      <w:r w:rsidR="00C72D16" w:rsidRPr="009A3C86">
        <w:rPr>
          <w:rFonts w:ascii="Times New Roman" w:eastAsia="Times New Roman" w:hAnsi="Times New Roman"/>
          <w:sz w:val="24"/>
          <w:szCs w:val="24"/>
          <w:lang w:eastAsia="pl-PL"/>
        </w:rPr>
        <w:t xml:space="preserve">pisemne </w:t>
      </w:r>
      <w:r w:rsidRPr="009A3C86">
        <w:rPr>
          <w:rFonts w:ascii="Times New Roman" w:eastAsia="Times New Roman" w:hAnsi="Times New Roman"/>
          <w:sz w:val="24"/>
          <w:szCs w:val="24"/>
          <w:lang w:eastAsia="pl-PL"/>
        </w:rPr>
        <w:t xml:space="preserve">upoważnienie funkcjonariuszom lub żołnierzom, jeżeli jest to konieczne </w:t>
      </w:r>
      <w:r w:rsidR="00C72D16" w:rsidRPr="009A3C86">
        <w:rPr>
          <w:rFonts w:ascii="Times New Roman" w:eastAsia="Times New Roman" w:hAnsi="Times New Roman"/>
          <w:sz w:val="24"/>
          <w:szCs w:val="24"/>
          <w:lang w:eastAsia="pl-PL"/>
        </w:rPr>
        <w:t>do</w:t>
      </w:r>
      <w:r w:rsidRPr="009A3C86">
        <w:rPr>
          <w:rFonts w:ascii="Times New Roman" w:eastAsia="Times New Roman" w:hAnsi="Times New Roman"/>
          <w:sz w:val="24"/>
          <w:szCs w:val="24"/>
          <w:lang w:eastAsia="pl-PL"/>
        </w:rPr>
        <w:t xml:space="preserve"> skutecznego zapobieżenia przestępstwom, ich wykrycia, ustalenia sprawców i uzyskania dowodów albo ujawnienia mienia zagrożonego przepadkiem </w:t>
      </w:r>
      <w:r w:rsidR="009926DC" w:rsidRPr="009A3C86">
        <w:rPr>
          <w:rFonts w:ascii="Times New Roman" w:eastAsia="Times New Roman" w:hAnsi="Times New Roman"/>
          <w:sz w:val="24"/>
          <w:szCs w:val="24"/>
          <w:lang w:eastAsia="pl-PL"/>
        </w:rPr>
        <w:t>(</w:t>
      </w:r>
      <w:r w:rsidR="009926DC" w:rsidRPr="009A3C86">
        <w:rPr>
          <w:rFonts w:ascii="Times New Roman" w:eastAsia="Times New Roman" w:hAnsi="Times New Roman"/>
          <w:b/>
          <w:sz w:val="24"/>
          <w:szCs w:val="24"/>
          <w:lang w:eastAsia="pl-PL"/>
        </w:rPr>
        <w:t>art. 1</w:t>
      </w:r>
      <w:r w:rsidR="004704D3" w:rsidRPr="009A3C86">
        <w:rPr>
          <w:rFonts w:ascii="Times New Roman" w:eastAsia="Times New Roman" w:hAnsi="Times New Roman"/>
          <w:b/>
          <w:sz w:val="24"/>
          <w:szCs w:val="24"/>
          <w:lang w:eastAsia="pl-PL"/>
        </w:rPr>
        <w:t>06</w:t>
      </w:r>
      <w:r w:rsidR="009926DC"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6</w:t>
      </w:r>
      <w:r w:rsidR="009926DC"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w:t>
      </w:r>
    </w:p>
    <w:p w:rsidR="00C72D16" w:rsidRPr="009A3C86" w:rsidRDefault="004166B8" w:rsidP="00C72D16">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Ponadto w </w:t>
      </w:r>
      <w:r w:rsidRPr="009A3C86">
        <w:rPr>
          <w:rFonts w:ascii="Times New Roman" w:eastAsia="Times New Roman" w:hAnsi="Times New Roman"/>
          <w:b/>
          <w:sz w:val="24"/>
          <w:szCs w:val="24"/>
          <w:lang w:eastAsia="pl-PL"/>
        </w:rPr>
        <w:t xml:space="preserve">art. </w:t>
      </w:r>
      <w:r w:rsidR="004704D3" w:rsidRPr="009A3C86">
        <w:rPr>
          <w:rFonts w:ascii="Times New Roman" w:eastAsia="Times New Roman" w:hAnsi="Times New Roman"/>
          <w:b/>
          <w:sz w:val="24"/>
          <w:szCs w:val="24"/>
          <w:lang w:eastAsia="pl-PL"/>
        </w:rPr>
        <w:t>69</w:t>
      </w:r>
      <w:r w:rsidRPr="009A3C86">
        <w:rPr>
          <w:rFonts w:ascii="Times New Roman" w:eastAsia="Times New Roman" w:hAnsi="Times New Roman"/>
          <w:b/>
          <w:sz w:val="24"/>
          <w:szCs w:val="24"/>
          <w:lang w:eastAsia="pl-PL"/>
        </w:rPr>
        <w:t xml:space="preserve"> w § 2 pkt 1</w:t>
      </w:r>
      <w:r w:rsidR="004704D3" w:rsidRPr="009A3C86">
        <w:rPr>
          <w:rFonts w:ascii="Times New Roman" w:eastAsia="Times New Roman" w:hAnsi="Times New Roman"/>
          <w:b/>
          <w:sz w:val="24"/>
          <w:szCs w:val="24"/>
          <w:lang w:eastAsia="pl-PL"/>
        </w:rPr>
        <w:t>0</w:t>
      </w:r>
      <w:r w:rsidRPr="009A3C86">
        <w:rPr>
          <w:rFonts w:ascii="Times New Roman" w:eastAsia="Times New Roman" w:hAnsi="Times New Roman"/>
          <w:sz w:val="24"/>
          <w:szCs w:val="24"/>
          <w:lang w:eastAsia="pl-PL"/>
        </w:rPr>
        <w:t xml:space="preserve"> dodano do katalogu kompetencji przypisanych do Szefa Krajowej Administracji Skarbowej także uprawnienie do realizacji </w:t>
      </w:r>
      <w:r w:rsidR="00C72D16" w:rsidRPr="009A3C86">
        <w:rPr>
          <w:rFonts w:ascii="Times New Roman" w:eastAsia="Times New Roman" w:hAnsi="Times New Roman"/>
          <w:sz w:val="24"/>
          <w:szCs w:val="24"/>
          <w:lang w:eastAsia="pl-PL"/>
        </w:rPr>
        <w:t>zadań wynikających ze współdziałania, o którym mowa w dziale IV rozdziale 5.</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Udział w Programie Współdziałania nie wyklucza korzystania przez podatnika z innych procedur przewidzianych przez prawo podatkowe, w tym z indywidualnej interpretacji </w:t>
      </w:r>
      <w:r w:rsidRPr="009A3C86">
        <w:rPr>
          <w:rFonts w:ascii="Times New Roman" w:eastAsia="Times New Roman" w:hAnsi="Times New Roman"/>
          <w:sz w:val="24"/>
          <w:szCs w:val="24"/>
          <w:lang w:eastAsia="pl-PL"/>
        </w:rPr>
        <w:lastRenderedPageBreak/>
        <w:t xml:space="preserve">podatkowej. W związku z powyższym w </w:t>
      </w:r>
      <w:r w:rsidRPr="009A3C86">
        <w:rPr>
          <w:rFonts w:ascii="Times New Roman" w:eastAsia="Times New Roman" w:hAnsi="Times New Roman"/>
          <w:b/>
          <w:sz w:val="24"/>
          <w:szCs w:val="24"/>
          <w:lang w:eastAsia="pl-PL"/>
        </w:rPr>
        <w:t xml:space="preserve">art. </w:t>
      </w:r>
      <w:r w:rsidR="00347D56" w:rsidRPr="009A3C86">
        <w:rPr>
          <w:rFonts w:ascii="Times New Roman" w:eastAsia="Times New Roman" w:hAnsi="Times New Roman"/>
          <w:b/>
          <w:sz w:val="24"/>
          <w:szCs w:val="24"/>
          <w:lang w:eastAsia="pl-PL"/>
        </w:rPr>
        <w:t>558</w:t>
      </w:r>
      <w:r w:rsidRPr="009A3C86">
        <w:rPr>
          <w:rFonts w:ascii="Times New Roman" w:eastAsia="Times New Roman" w:hAnsi="Times New Roman"/>
          <w:b/>
          <w:sz w:val="24"/>
          <w:szCs w:val="24"/>
          <w:lang w:eastAsia="pl-PL"/>
        </w:rPr>
        <w:t xml:space="preserve"> § </w:t>
      </w:r>
      <w:r w:rsidR="00347D56" w:rsidRPr="009A3C86">
        <w:rPr>
          <w:rFonts w:ascii="Times New Roman" w:eastAsia="Times New Roman" w:hAnsi="Times New Roman"/>
          <w:b/>
          <w:sz w:val="24"/>
          <w:szCs w:val="24"/>
          <w:lang w:eastAsia="pl-PL"/>
        </w:rPr>
        <w:t>10</w:t>
      </w:r>
      <w:r w:rsidRPr="009A3C86">
        <w:rPr>
          <w:rFonts w:ascii="Times New Roman" w:eastAsia="Times New Roman" w:hAnsi="Times New Roman"/>
          <w:sz w:val="24"/>
          <w:szCs w:val="24"/>
          <w:lang w:eastAsia="pl-PL"/>
        </w:rPr>
        <w:t xml:space="preserve"> dodano przepis, że Dyrektor Krajowej Informacji Skarbowej wydaje interpretację </w:t>
      </w:r>
      <w:r w:rsidR="00347D56" w:rsidRPr="009A3C86">
        <w:rPr>
          <w:rFonts w:ascii="Times New Roman" w:eastAsia="Times New Roman" w:hAnsi="Times New Roman"/>
          <w:sz w:val="24"/>
          <w:szCs w:val="24"/>
          <w:lang w:eastAsia="pl-PL"/>
        </w:rPr>
        <w:t xml:space="preserve">indywidualną </w:t>
      </w:r>
      <w:r w:rsidRPr="009A3C86">
        <w:rPr>
          <w:rFonts w:ascii="Times New Roman" w:eastAsia="Times New Roman" w:hAnsi="Times New Roman"/>
          <w:sz w:val="24"/>
          <w:szCs w:val="24"/>
          <w:lang w:eastAsia="pl-PL"/>
        </w:rPr>
        <w:t xml:space="preserve">po zasięgnięciu opinii Szefa Krajowej Administracji Skarbowej, jeżeli </w:t>
      </w:r>
      <w:r w:rsidR="00347D56" w:rsidRPr="009A3C86">
        <w:rPr>
          <w:rFonts w:ascii="Times New Roman" w:eastAsia="Times New Roman" w:hAnsi="Times New Roman"/>
          <w:sz w:val="24"/>
          <w:szCs w:val="24"/>
          <w:lang w:eastAsia="pl-PL"/>
        </w:rPr>
        <w:t xml:space="preserve">umowę o współdziałanie, o której mowa w art. 630, zawarł </w:t>
      </w:r>
      <w:r w:rsidRPr="009A3C86">
        <w:rPr>
          <w:rFonts w:ascii="Times New Roman" w:eastAsia="Times New Roman" w:hAnsi="Times New Roman"/>
          <w:sz w:val="24"/>
          <w:szCs w:val="24"/>
          <w:lang w:eastAsia="pl-PL"/>
        </w:rPr>
        <w:t>wnioskodawca lub</w:t>
      </w:r>
      <w:r w:rsidR="00347D56" w:rsidRPr="009A3C86">
        <w:rPr>
          <w:rFonts w:ascii="Times New Roman" w:eastAsia="Times New Roman" w:hAnsi="Times New Roman"/>
          <w:sz w:val="24"/>
          <w:szCs w:val="24"/>
          <w:lang w:eastAsia="pl-PL"/>
        </w:rPr>
        <w:t>,</w:t>
      </w:r>
      <w:r w:rsidRPr="009A3C86">
        <w:rPr>
          <w:rFonts w:ascii="Times New Roman" w:eastAsia="Times New Roman" w:hAnsi="Times New Roman"/>
          <w:sz w:val="24"/>
          <w:szCs w:val="24"/>
          <w:lang w:eastAsia="pl-PL"/>
        </w:rPr>
        <w:t xml:space="preserve"> </w:t>
      </w:r>
      <w:r w:rsidR="00347D56" w:rsidRPr="009A3C86">
        <w:rPr>
          <w:rFonts w:ascii="Times New Roman" w:eastAsia="Times New Roman" w:hAnsi="Times New Roman"/>
          <w:sz w:val="24"/>
          <w:szCs w:val="24"/>
          <w:lang w:eastAsia="pl-PL"/>
        </w:rPr>
        <w:t xml:space="preserve">w przypadku wspólnego, </w:t>
      </w:r>
      <w:r w:rsidRPr="009A3C86">
        <w:rPr>
          <w:rFonts w:ascii="Times New Roman" w:eastAsia="Times New Roman" w:hAnsi="Times New Roman"/>
          <w:sz w:val="24"/>
          <w:szCs w:val="24"/>
          <w:lang w:eastAsia="pl-PL"/>
        </w:rPr>
        <w:t xml:space="preserve">jeden z wnioskodawców. Przepis ma na celu zapewnienie współdziałania Szefa Krajowej Administracji Skarbowej z Dyrektorem Krajowej Informacji Skarbowej, aby zagwarantować jednolite stanowisko Krajowej Administracji Skarbowej w stosunku do tych samych zagadnień budzących wątpliwości prawno-podatkowe. Z drugiej strony w </w:t>
      </w:r>
      <w:r w:rsidR="009926DC" w:rsidRPr="009A3C86">
        <w:rPr>
          <w:rFonts w:ascii="Times New Roman" w:eastAsia="Times New Roman" w:hAnsi="Times New Roman"/>
          <w:b/>
          <w:sz w:val="24"/>
          <w:szCs w:val="24"/>
          <w:lang w:eastAsia="pl-PL"/>
        </w:rPr>
        <w:t xml:space="preserve">art. </w:t>
      </w:r>
      <w:r w:rsidR="00347D56" w:rsidRPr="009A3C86">
        <w:rPr>
          <w:rFonts w:ascii="Times New Roman" w:eastAsia="Times New Roman" w:hAnsi="Times New Roman"/>
          <w:b/>
          <w:sz w:val="24"/>
          <w:szCs w:val="24"/>
          <w:lang w:eastAsia="pl-PL"/>
        </w:rPr>
        <w:t>558</w:t>
      </w:r>
      <w:r w:rsidR="009926DC" w:rsidRPr="009A3C86">
        <w:rPr>
          <w:rFonts w:ascii="Times New Roman" w:eastAsia="Times New Roman" w:hAnsi="Times New Roman"/>
          <w:b/>
          <w:sz w:val="24"/>
          <w:szCs w:val="24"/>
          <w:lang w:eastAsia="pl-PL"/>
        </w:rPr>
        <w:t xml:space="preserve"> </w:t>
      </w:r>
      <w:r w:rsidRPr="009A3C86">
        <w:rPr>
          <w:rFonts w:ascii="Times New Roman" w:eastAsia="Times New Roman" w:hAnsi="Times New Roman"/>
          <w:b/>
          <w:sz w:val="24"/>
          <w:szCs w:val="24"/>
          <w:lang w:eastAsia="pl-PL"/>
        </w:rPr>
        <w:t xml:space="preserve">§ </w:t>
      </w:r>
      <w:r w:rsidR="00347D56" w:rsidRPr="009A3C86">
        <w:rPr>
          <w:rFonts w:ascii="Times New Roman" w:eastAsia="Times New Roman" w:hAnsi="Times New Roman"/>
          <w:b/>
          <w:sz w:val="24"/>
          <w:szCs w:val="24"/>
          <w:lang w:eastAsia="pl-PL"/>
        </w:rPr>
        <w:t>8</w:t>
      </w:r>
      <w:r w:rsidRPr="009A3C86">
        <w:rPr>
          <w:rFonts w:ascii="Times New Roman" w:eastAsia="Times New Roman" w:hAnsi="Times New Roman"/>
          <w:sz w:val="24"/>
          <w:szCs w:val="24"/>
          <w:lang w:eastAsia="pl-PL"/>
        </w:rPr>
        <w:t xml:space="preserve"> zostało zawarte wyłącznie przedmiotowe w zakresie możliwości wydania interpretacji </w:t>
      </w:r>
      <w:r w:rsidR="00347D56" w:rsidRPr="009A3C86">
        <w:rPr>
          <w:rFonts w:ascii="Times New Roman" w:eastAsia="Times New Roman" w:hAnsi="Times New Roman"/>
          <w:sz w:val="24"/>
          <w:szCs w:val="24"/>
          <w:lang w:eastAsia="pl-PL"/>
        </w:rPr>
        <w:t xml:space="preserve">indywidualnej </w:t>
      </w:r>
      <w:r w:rsidRPr="009A3C86">
        <w:rPr>
          <w:rFonts w:ascii="Times New Roman" w:eastAsia="Times New Roman" w:hAnsi="Times New Roman"/>
          <w:sz w:val="24"/>
          <w:szCs w:val="24"/>
          <w:lang w:eastAsia="pl-PL"/>
        </w:rPr>
        <w:t xml:space="preserve">co do czynności lub zdarzenia objętego porozumieniu podatkowym, o którym mowa </w:t>
      </w:r>
      <w:r w:rsidR="00347D56" w:rsidRPr="009A3C86">
        <w:rPr>
          <w:rFonts w:ascii="Times New Roman" w:eastAsia="Times New Roman" w:hAnsi="Times New Roman"/>
          <w:sz w:val="24"/>
          <w:szCs w:val="24"/>
          <w:lang w:eastAsia="pl-PL"/>
        </w:rPr>
        <w:t>w art. 639</w:t>
      </w:r>
      <w:r w:rsidRPr="009A3C86">
        <w:rPr>
          <w:rFonts w:ascii="Times New Roman" w:eastAsia="Times New Roman" w:hAnsi="Times New Roman"/>
          <w:sz w:val="24"/>
          <w:szCs w:val="24"/>
          <w:lang w:eastAsia="pl-PL"/>
        </w:rPr>
        <w:t>.</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Dodatkowo w celu uniknięcia ponownego rozstrzygania skutków podatkowych danej transakcji przez organy podatkowe decyzji w sprawie skutków podatkowych nie wydaje się, jeżeli transakcja jest przedmiotem porozumienia podatkowego</w:t>
      </w:r>
      <w:r w:rsidR="005F7D30" w:rsidRPr="009A3C86">
        <w:rPr>
          <w:rFonts w:ascii="Times New Roman" w:eastAsia="Times New Roman" w:hAnsi="Times New Roman"/>
          <w:b/>
          <w:sz w:val="24"/>
          <w:szCs w:val="24"/>
          <w:lang w:eastAsia="pl-PL"/>
        </w:rPr>
        <w:t xml:space="preserve"> (art. 581</w:t>
      </w:r>
      <w:r w:rsidR="005F7D30" w:rsidRPr="009A3C86">
        <w:rPr>
          <w:rFonts w:ascii="Times New Roman" w:eastAsia="Times New Roman" w:hAnsi="Times New Roman"/>
          <w:sz w:val="24"/>
          <w:szCs w:val="24"/>
          <w:lang w:eastAsia="pl-PL"/>
        </w:rPr>
        <w:t xml:space="preserve"> </w:t>
      </w:r>
      <w:r w:rsidR="005F7D30" w:rsidRPr="009A3C86">
        <w:rPr>
          <w:rFonts w:ascii="Times New Roman" w:eastAsia="Times New Roman" w:hAnsi="Times New Roman"/>
          <w:b/>
          <w:sz w:val="24"/>
          <w:szCs w:val="24"/>
          <w:lang w:eastAsia="pl-PL"/>
        </w:rPr>
        <w:t>§ 5 pkt 3)</w:t>
      </w:r>
      <w:r w:rsidRPr="009A3C86">
        <w:rPr>
          <w:rFonts w:ascii="Times New Roman" w:eastAsia="Times New Roman" w:hAnsi="Times New Roman"/>
          <w:sz w:val="24"/>
          <w:szCs w:val="24"/>
          <w:lang w:eastAsia="pl-PL"/>
        </w:rPr>
        <w:t>.</w:t>
      </w:r>
    </w:p>
    <w:p w:rsidR="0024494F" w:rsidRPr="009A3C86" w:rsidRDefault="004166B8" w:rsidP="0024494F">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 uwagi na daleko posuniętą transparentność działań i zamierzeń podatnika, który jest stroną umowy o współdziałanie, ograniczeniu w stosunku do niego ulegną obowiązki związane z przekazywaniem informacji podatkowych. W </w:t>
      </w:r>
      <w:r w:rsidRPr="009A3C86">
        <w:rPr>
          <w:rFonts w:ascii="Times New Roman" w:eastAsia="Times New Roman" w:hAnsi="Times New Roman"/>
          <w:b/>
          <w:sz w:val="24"/>
          <w:szCs w:val="24"/>
          <w:lang w:eastAsia="pl-PL"/>
        </w:rPr>
        <w:t xml:space="preserve">art. </w:t>
      </w:r>
      <w:r w:rsidR="001C7DF6" w:rsidRPr="009A3C86">
        <w:rPr>
          <w:rFonts w:ascii="Times New Roman" w:eastAsia="Times New Roman" w:hAnsi="Times New Roman"/>
          <w:b/>
          <w:sz w:val="24"/>
          <w:szCs w:val="24"/>
          <w:lang w:eastAsia="pl-PL"/>
        </w:rPr>
        <w:t>306</w:t>
      </w:r>
      <w:r w:rsidRPr="009A3C86">
        <w:rPr>
          <w:rFonts w:ascii="Times New Roman" w:eastAsia="Times New Roman" w:hAnsi="Times New Roman"/>
          <w:b/>
          <w:sz w:val="24"/>
          <w:szCs w:val="24"/>
          <w:lang w:eastAsia="pl-PL"/>
        </w:rPr>
        <w:t xml:space="preserve"> § 5</w:t>
      </w:r>
      <w:r w:rsidRPr="009A3C86">
        <w:rPr>
          <w:rFonts w:ascii="Times New Roman" w:eastAsia="Times New Roman" w:hAnsi="Times New Roman"/>
          <w:sz w:val="24"/>
          <w:szCs w:val="24"/>
          <w:lang w:eastAsia="pl-PL"/>
        </w:rPr>
        <w:t xml:space="preserve"> </w:t>
      </w:r>
      <w:r w:rsidR="001C7DF6" w:rsidRPr="009A3C86">
        <w:rPr>
          <w:rFonts w:ascii="Times New Roman" w:eastAsia="Times New Roman" w:hAnsi="Times New Roman"/>
          <w:b/>
          <w:sz w:val="24"/>
          <w:szCs w:val="24"/>
          <w:lang w:eastAsia="pl-PL"/>
        </w:rPr>
        <w:t xml:space="preserve">pkt 2 </w:t>
      </w:r>
      <w:r w:rsidRPr="009A3C86">
        <w:rPr>
          <w:rFonts w:ascii="Times New Roman" w:eastAsia="Times New Roman" w:hAnsi="Times New Roman"/>
          <w:sz w:val="24"/>
          <w:szCs w:val="24"/>
          <w:lang w:eastAsia="pl-PL"/>
        </w:rPr>
        <w:t xml:space="preserve">przesądzono, że obowiązek przekazania informacji o schemacie podatkowym nie powstaje, gdy schemat podatkowy, inny niż schemat podatkowy transgraniczny, dotyczy wyłącznie korzystającego, który jest stroną umowy o współdziałanie, </w:t>
      </w:r>
      <w:r w:rsidR="0024494F" w:rsidRPr="009A3C86">
        <w:rPr>
          <w:rFonts w:ascii="Times New Roman" w:eastAsia="Times New Roman" w:hAnsi="Times New Roman"/>
          <w:sz w:val="24"/>
          <w:szCs w:val="24"/>
          <w:lang w:eastAsia="pl-PL"/>
        </w:rPr>
        <w:t>o której mowa w art. 630 § 1, jeżeli w ramach audytu wstępnego, o którym mowa w art. 645, Szef Krajowej Administracji Skarbowej potwierdził wykonywanie przez niego obowiązków, o których mowa w rozdziale dotyczącym informacji o schematach podatkowych.</w:t>
      </w:r>
    </w:p>
    <w:p w:rsidR="004166B8" w:rsidRPr="009A3C86" w:rsidRDefault="004166B8" w:rsidP="004166B8">
      <w:pPr>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Zasadne jest również odwołanie się do wywiązywania się z obowiązków wynikających z umowy o współdziałanie jako przesłanki, która może wskazywać na działanie podatnika w dobrej wierze w przepisach dotyczących dodatkowego zobowiązania podatkowego. O ile bowiem dopuszczalne wydaje się zastosowanie przepisów, z którymi wiąże się ustalenie dodatkowego zobowiązania podatkowego, również do takiego podatnika (działanie to nie ma bowiem charakteru sankcyjnego, a jedynie przywraca „sytuację podatkową” zgodną z celem ustawodawcy), o tyle w przypadku rzetelnego wywiązywania się z obowiązków wynikających z umowy o współdziałanie wątpliwości może budzić adekwatność sankcyjnego domiaru podatkowego. Co do zasady bowiem, podatnik, którego działania i plany są transparentne dla organów KAS pozostaje w dobrej wierze w zakresie, w jakim nie otrzymał od tych organów informacji, że realizacja jego zamierzeń (o których poinformował organy) może wiązać się z zastosowaniem środków takich jak wymienione w art. </w:t>
      </w:r>
      <w:r w:rsidR="0024494F" w:rsidRPr="009A3C86">
        <w:rPr>
          <w:rFonts w:ascii="Times New Roman" w:eastAsia="Times New Roman" w:hAnsi="Times New Roman"/>
          <w:sz w:val="24"/>
          <w:szCs w:val="24"/>
          <w:lang w:eastAsia="pl-PL"/>
        </w:rPr>
        <w:t>143</w:t>
      </w:r>
      <w:r w:rsidRPr="009A3C86">
        <w:rPr>
          <w:rFonts w:ascii="Times New Roman" w:eastAsia="Times New Roman" w:hAnsi="Times New Roman"/>
          <w:sz w:val="24"/>
          <w:szCs w:val="24"/>
          <w:lang w:eastAsia="pl-PL"/>
        </w:rPr>
        <w:t>.</w:t>
      </w:r>
    </w:p>
    <w:p w:rsidR="008579C2" w:rsidRPr="009A3C86" w:rsidRDefault="008579C2" w:rsidP="00D72E74">
      <w:pPr>
        <w:tabs>
          <w:tab w:val="num" w:pos="720"/>
        </w:tabs>
        <w:spacing w:before="120" w:after="0" w:line="360" w:lineRule="auto"/>
        <w:jc w:val="both"/>
        <w:outlineLvl w:val="2"/>
        <w:rPr>
          <w:rFonts w:ascii="Times New Roman" w:hAnsi="Times New Roman"/>
          <w:b/>
          <w:bCs/>
          <w:sz w:val="24"/>
          <w:szCs w:val="24"/>
        </w:rPr>
      </w:pPr>
      <w:bookmarkStart w:id="85" w:name="_Toc494363308"/>
      <w:r w:rsidRPr="009A3C86">
        <w:rPr>
          <w:rFonts w:ascii="Times New Roman" w:hAnsi="Times New Roman"/>
          <w:b/>
          <w:bCs/>
          <w:sz w:val="24"/>
          <w:szCs w:val="24"/>
        </w:rPr>
        <w:lastRenderedPageBreak/>
        <w:t xml:space="preserve">Rozdział </w:t>
      </w:r>
      <w:r w:rsidR="00C42B00" w:rsidRPr="009A3C86">
        <w:rPr>
          <w:rFonts w:ascii="Times New Roman" w:hAnsi="Times New Roman"/>
          <w:b/>
          <w:bCs/>
          <w:sz w:val="24"/>
          <w:szCs w:val="24"/>
        </w:rPr>
        <w:t>6</w:t>
      </w:r>
      <w:r w:rsidRPr="009A3C86">
        <w:rPr>
          <w:rFonts w:ascii="Times New Roman" w:hAnsi="Times New Roman"/>
          <w:b/>
          <w:bCs/>
          <w:sz w:val="24"/>
          <w:szCs w:val="24"/>
        </w:rPr>
        <w:t>. Czynności sprawdzające</w:t>
      </w:r>
      <w:bookmarkEnd w:id="85"/>
    </w:p>
    <w:p w:rsidR="008579C2" w:rsidRPr="009A3C86" w:rsidRDefault="008579C2" w:rsidP="008579C2">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1. </w:t>
      </w:r>
      <w:r w:rsidRPr="009A3C86">
        <w:rPr>
          <w:rFonts w:ascii="Times New Roman" w:hAnsi="Times New Roman"/>
          <w:bCs/>
          <w:sz w:val="24"/>
          <w:szCs w:val="24"/>
        </w:rPr>
        <w:t>Instytucja czynności sprawdzających jest niezbędna ze względu na upowszechnienie w materialnym prawie podatkowym powstawania zobowiązań podatkowych z mocy prawa, a w konsekwencji szerokiego stosowania samoobliczenia tych zobowiązań lub obliczenia ich przez płatników. Konieczne jest zatem wyposażenie organów podatkowych w instrumenty prawne, które pozwolą im na bezkonfliktowe i stosunkowo proste weryfikowanie prawidłowości wywiązywania się z tego obowiązku. Czynności kontrolne powinny być traktowane jako pewnego rodzaju czynności o charakterze kontrolnym, choć o jasno sprecyzowanym i zawężonym względem innych procedur celu</w:t>
      </w:r>
      <w:r w:rsidRPr="009A3C86">
        <w:rPr>
          <w:rFonts w:ascii="Times New Roman" w:hAnsi="Times New Roman"/>
          <w:sz w:val="24"/>
          <w:szCs w:val="24"/>
          <w:vertAlign w:val="superscript"/>
        </w:rPr>
        <w:footnoteReference w:id="548"/>
      </w:r>
      <w:r w:rsidRPr="009A3C86">
        <w:rPr>
          <w:rFonts w:ascii="Times New Roman" w:hAnsi="Times New Roman"/>
          <w:bCs/>
          <w:sz w:val="24"/>
          <w:szCs w:val="24"/>
        </w:rPr>
        <w:t>. Projekt zakłada pozostawienie czynności sprawdzających jako postępowania szczególnego (odrębnego), które będzie prowadzone poza jurysdykcyjnym postępowaniem podatkowym, stanowiący typ postępowania quasi-kontrolnego</w:t>
      </w:r>
      <w:r w:rsidRPr="009A3C86">
        <w:rPr>
          <w:rFonts w:ascii="Times New Roman" w:hAnsi="Times New Roman"/>
          <w:sz w:val="24"/>
          <w:szCs w:val="24"/>
          <w:vertAlign w:val="superscript"/>
        </w:rPr>
        <w:footnoteReference w:id="549"/>
      </w:r>
      <w:r w:rsidRPr="009A3C86">
        <w:rPr>
          <w:rFonts w:ascii="Times New Roman" w:hAnsi="Times New Roman"/>
          <w:bCs/>
          <w:sz w:val="24"/>
          <w:szCs w:val="24"/>
        </w:rPr>
        <w:t>. Należy jednak podkreślić, iż nowe przepisy w zakresie czynności sprawdzających zachowują swoją odrębność w porównaniu do kontroli podatkowej czy postępowania podatkowego</w:t>
      </w:r>
      <w:r w:rsidRPr="009A3C86">
        <w:rPr>
          <w:rFonts w:ascii="Times New Roman" w:hAnsi="Times New Roman"/>
          <w:sz w:val="24"/>
          <w:szCs w:val="24"/>
          <w:vertAlign w:val="superscript"/>
        </w:rPr>
        <w:footnoteReference w:id="550"/>
      </w:r>
      <w:r w:rsidRPr="009A3C86">
        <w:rPr>
          <w:rFonts w:ascii="Times New Roman" w:hAnsi="Times New Roman"/>
          <w:bCs/>
          <w:sz w:val="24"/>
          <w:szCs w:val="24"/>
        </w:rPr>
        <w:t>.</w:t>
      </w:r>
    </w:p>
    <w:p w:rsidR="008579C2" w:rsidRPr="009A3C86" w:rsidRDefault="008579C2" w:rsidP="008579C2">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Celem zaproponowanych przepisów jest z jednej strony zmodyfikowanie obecnych regulacji w zakresie czynności sprawdzających, w szczególności poprzez zwiększenie ich roli w systemie obsługi podatnika, z drugiej natomiast </w:t>
      </w:r>
      <w:r w:rsidRPr="009A3C86">
        <w:rPr>
          <w:rFonts w:ascii="Times New Roman" w:hAnsi="Times New Roman"/>
          <w:bCs/>
          <w:sz w:val="24"/>
          <w:szCs w:val="24"/>
        </w:rPr>
        <w:t xml:space="preserve">gwarancji procesowych w trakcie ich przeprowadzania. </w:t>
      </w:r>
      <w:r w:rsidRPr="009A3C86">
        <w:rPr>
          <w:rFonts w:ascii="Times New Roman" w:hAnsi="Times New Roman"/>
          <w:sz w:val="24"/>
          <w:szCs w:val="24"/>
        </w:rPr>
        <w:t xml:space="preserve">Projektowane zmiany uwzględniają również unifikację struktur administracji podatkowej wprowadzonych ustawą z dnia 16 listopada 2016 r. o Krajowej Administracji Skarbowej.  </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2. Czynności sprawdzające są najprostszą formą kontaktu organu podatkowego z podatnikiem, a jednocześnie najmniej uciążliwą. Określa się je jako wstępną kontrolę o charakterze formalnym</w:t>
      </w:r>
      <w:r w:rsidRPr="009A3C86">
        <w:rPr>
          <w:rFonts w:ascii="Times New Roman" w:hAnsi="Times New Roman"/>
          <w:sz w:val="24"/>
          <w:szCs w:val="24"/>
          <w:vertAlign w:val="superscript"/>
        </w:rPr>
        <w:footnoteReference w:id="551"/>
      </w:r>
      <w:r w:rsidRPr="009A3C86">
        <w:rPr>
          <w:rFonts w:ascii="Times New Roman" w:hAnsi="Times New Roman"/>
          <w:sz w:val="24"/>
          <w:szCs w:val="24"/>
        </w:rPr>
        <w:t>. Podobnie jak w obecnie obowiązujących przepisach czynności sprawdzające zostały uregulowane odrębnie jako postępowanie szczególne o najmniej sformalizowanym charakterze w porównaniu z kontrolą podatkową i postępowaniem jurysdykcyjnym. Jednocześnie należy jednak, co do zasady, wprowadzić p</w:t>
      </w:r>
      <w:r w:rsidRPr="009A3C86">
        <w:rPr>
          <w:rFonts w:ascii="Times New Roman" w:hAnsi="Times New Roman"/>
          <w:bCs/>
          <w:sz w:val="24"/>
          <w:szCs w:val="24"/>
        </w:rPr>
        <w:t>ierwszeństwo prowadzenia przez organ podatkowy czynności sprawdzających, zanim zostanie wszczęta kontrola podatkowa czy postępowanie podatkowe.</w:t>
      </w:r>
      <w:r w:rsidRPr="009A3C86">
        <w:rPr>
          <w:rFonts w:ascii="Times New Roman" w:hAnsi="Times New Roman"/>
          <w:sz w:val="24"/>
          <w:szCs w:val="24"/>
        </w:rPr>
        <w:t xml:space="preserve"> </w:t>
      </w:r>
      <w:r w:rsidRPr="009A3C86">
        <w:rPr>
          <w:rFonts w:ascii="Times New Roman" w:hAnsi="Times New Roman"/>
          <w:bCs/>
          <w:sz w:val="24"/>
          <w:szCs w:val="24"/>
        </w:rPr>
        <w:t xml:space="preserve">Z założenia bowiem czynności sprawdzające mogą prowadzić do zweryfikowania wysokości zobowiązania przez podatnika lub przez organ podatkowy w trybie korekty, a zatem w takim przypadku nie będzie konieczne prowadzenie kontroli podatkowej </w:t>
      </w:r>
      <w:r w:rsidRPr="009A3C86">
        <w:rPr>
          <w:rFonts w:ascii="Times New Roman" w:hAnsi="Times New Roman"/>
          <w:bCs/>
          <w:sz w:val="24"/>
          <w:szCs w:val="24"/>
        </w:rPr>
        <w:lastRenderedPageBreak/>
        <w:t>lub postępowania podatkowego. Reasumując czynności sprawdzające będą dotyczyć przede wszystkim oceny działania zobowiązanych od strony formalnej i nie służą do załatwienia kwestii spornych pomiędzy zobowiązanymi składającymi deklaracje a organami podatkowymi</w:t>
      </w:r>
      <w:r w:rsidRPr="009A3C86">
        <w:rPr>
          <w:rFonts w:ascii="Times New Roman" w:hAnsi="Times New Roman"/>
          <w:sz w:val="24"/>
          <w:szCs w:val="24"/>
          <w:vertAlign w:val="superscript"/>
        </w:rPr>
        <w:footnoteReference w:id="552"/>
      </w:r>
      <w:r w:rsidRPr="009A3C86">
        <w:rPr>
          <w:rFonts w:ascii="Times New Roman" w:hAnsi="Times New Roman"/>
          <w:bCs/>
          <w:sz w:val="24"/>
          <w:szCs w:val="24"/>
        </w:rPr>
        <w:t xml:space="preserve">. </w:t>
      </w:r>
      <w:r w:rsidRPr="009A3C86">
        <w:rPr>
          <w:rFonts w:ascii="Times New Roman" w:hAnsi="Times New Roman"/>
          <w:sz w:val="24"/>
          <w:szCs w:val="24"/>
        </w:rPr>
        <w:t>Zaproponowane regulacje są w dużej mierze odzwierciedleniem przepisów zawartych w dziale V obecnej ordynacji podatkowej Czynności sprawdzające (</w:t>
      </w:r>
      <w:r w:rsidRPr="009A3C86">
        <w:rPr>
          <w:rFonts w:ascii="Times New Roman" w:hAnsi="Times New Roman"/>
          <w:b/>
          <w:sz w:val="24"/>
          <w:szCs w:val="24"/>
        </w:rPr>
        <w:t xml:space="preserve">art. </w:t>
      </w:r>
      <w:r w:rsidR="00711E73" w:rsidRPr="009A3C86">
        <w:rPr>
          <w:rFonts w:ascii="Times New Roman" w:hAnsi="Times New Roman"/>
          <w:b/>
          <w:sz w:val="24"/>
          <w:szCs w:val="24"/>
        </w:rPr>
        <w:t>272</w:t>
      </w:r>
      <w:r w:rsidRPr="009A3C86">
        <w:rPr>
          <w:rFonts w:ascii="Times New Roman" w:hAnsi="Times New Roman"/>
          <w:b/>
          <w:sz w:val="24"/>
          <w:szCs w:val="24"/>
        </w:rPr>
        <w:t xml:space="preserve"> </w:t>
      </w:r>
      <w:r w:rsidR="00636DA9" w:rsidRPr="009A3C86">
        <w:rPr>
          <w:rFonts w:ascii="Times New Roman" w:hAnsi="Times New Roman"/>
          <w:b/>
          <w:sz w:val="24"/>
          <w:szCs w:val="24"/>
        </w:rPr>
        <w:t>–</w:t>
      </w:r>
      <w:r w:rsidRPr="009A3C86">
        <w:rPr>
          <w:rFonts w:ascii="Times New Roman" w:hAnsi="Times New Roman"/>
          <w:b/>
          <w:sz w:val="24"/>
          <w:szCs w:val="24"/>
        </w:rPr>
        <w:t xml:space="preserve"> art. </w:t>
      </w:r>
      <w:r w:rsidR="00711E73" w:rsidRPr="009A3C86">
        <w:rPr>
          <w:rFonts w:ascii="Times New Roman" w:hAnsi="Times New Roman"/>
          <w:b/>
          <w:sz w:val="24"/>
          <w:szCs w:val="24"/>
        </w:rPr>
        <w:t>280</w:t>
      </w:r>
      <w:r w:rsidRPr="009A3C86">
        <w:rPr>
          <w:rFonts w:ascii="Times New Roman" w:hAnsi="Times New Roman"/>
          <w:sz w:val="24"/>
          <w:szCs w:val="24"/>
        </w:rPr>
        <w:t>).</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3. Istota czynności sprawdzających polega na: </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zbadaniu terminowości składania deklaracji podatkowych oraz przyczyn niezłożenia deklaracji, pomimo istnienia obowiązku jej złożenia;</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sprawdzaniu terminowości wpłacania zadeklarowanych podatków, w tym również pobieranych przez płatników oraz inkasentów;</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weryfikacji podstawy opodatkowania oraz stwierdzeniu formalnej i rachunkowej poprawności dokumentów przedstawionych przy składaniu deklaracji lub wpłacaniu podatków;</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 xml:space="preserve">ustaleniu stanu faktycznego w zakresie niezbędnym do stwierdzenia zgodności </w:t>
      </w:r>
      <w:r w:rsidRPr="009A3C86">
        <w:rPr>
          <w:rFonts w:ascii="Times New Roman" w:eastAsia="Times New Roman" w:hAnsi="Times New Roman"/>
          <w:sz w:val="24"/>
          <w:szCs w:val="24"/>
          <w:lang w:eastAsia="pl-PL"/>
        </w:rPr>
        <w:br/>
        <w:t>z przedstawionymi dokumentami;</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weryfikację prawidłowości sporządzenia remanentu towarów handlowych zarządzonego przez naczelnika urzędu skarbowego w trakcie roku,</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weryfikacji poniesionych przez podatnika wydatków i uzyskanych przychodów (dochodów) opodatkowanych lub przychodów (dochodów) nieopodatkowanych w zakresie niezbędnym do ujawnienia podstawy opodatkowania z tytułu przychodów nieznajdujących pokrycia w ujawnionych źródłach lub pochodzących ze źródeł nieujawnionych;</w:t>
      </w:r>
    </w:p>
    <w:p w:rsidR="008579C2" w:rsidRPr="009A3C86" w:rsidRDefault="008579C2" w:rsidP="00D72E74">
      <w:pPr>
        <w:numPr>
          <w:ilvl w:val="0"/>
          <w:numId w:val="32"/>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weryfikacji danych i dokumentów przedstawionych przez podatników dokonujących rejestracji podatkowej.</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Ostatnie dwa punkty zostały dodane do obecnie obowiązującej ordynacji podatkowej w ostatnim czasie i realizują postulaty wyartykułowane w kierunkowych założeniach. </w:t>
      </w:r>
      <w:r w:rsidRPr="009A3C86">
        <w:rPr>
          <w:rFonts w:ascii="Times New Roman" w:hAnsi="Times New Roman"/>
          <w:bCs/>
          <w:sz w:val="24"/>
          <w:szCs w:val="24"/>
        </w:rPr>
        <w:t xml:space="preserve">Niezbędne jest jednak rozszerzenie zakresu przedmiotowego czynności sprawdzających o weryfikację </w:t>
      </w:r>
      <w:r w:rsidRPr="009A3C86">
        <w:rPr>
          <w:rFonts w:ascii="Times New Roman" w:hAnsi="Times New Roman"/>
          <w:sz w:val="24"/>
          <w:szCs w:val="24"/>
        </w:rPr>
        <w:t>wartości rzeczy lub praw majątkowych (</w:t>
      </w:r>
      <w:r w:rsidRPr="009A3C86">
        <w:rPr>
          <w:rFonts w:ascii="Times New Roman" w:hAnsi="Times New Roman"/>
          <w:b/>
          <w:sz w:val="24"/>
          <w:szCs w:val="24"/>
        </w:rPr>
        <w:t xml:space="preserve">art. </w:t>
      </w:r>
      <w:r w:rsidR="006A22B1" w:rsidRPr="009A3C86">
        <w:rPr>
          <w:rFonts w:ascii="Times New Roman" w:hAnsi="Times New Roman"/>
          <w:b/>
          <w:sz w:val="24"/>
          <w:szCs w:val="24"/>
        </w:rPr>
        <w:t>656</w:t>
      </w:r>
      <w:r w:rsidRPr="009A3C86">
        <w:rPr>
          <w:rFonts w:ascii="Times New Roman" w:hAnsi="Times New Roman"/>
          <w:b/>
          <w:sz w:val="24"/>
          <w:szCs w:val="24"/>
        </w:rPr>
        <w:t xml:space="preserve"> § 1 pkt 6</w:t>
      </w:r>
      <w:r w:rsidRPr="009A3C86">
        <w:rPr>
          <w:rFonts w:ascii="Times New Roman" w:hAnsi="Times New Roman"/>
          <w:sz w:val="24"/>
          <w:szCs w:val="24"/>
        </w:rPr>
        <w:t xml:space="preserve">), z tym jednak zastrzeżeniem, iż dokonuje się ich zgodnie z trybem szczególnym uregulowanym w rozdziale </w:t>
      </w:r>
      <w:r w:rsidR="006A22B1" w:rsidRPr="009A3C86">
        <w:rPr>
          <w:rFonts w:ascii="Times New Roman" w:hAnsi="Times New Roman"/>
          <w:sz w:val="24"/>
          <w:szCs w:val="24"/>
        </w:rPr>
        <w:t>8</w:t>
      </w:r>
      <w:r w:rsidRPr="009A3C86">
        <w:rPr>
          <w:rFonts w:ascii="Times New Roman" w:hAnsi="Times New Roman"/>
          <w:sz w:val="24"/>
          <w:szCs w:val="24"/>
        </w:rPr>
        <w:t xml:space="preserve"> działu IV nowej ordynacji podatkowej „Ustalanie wartości rzeczy </w:t>
      </w:r>
      <w:r w:rsidR="006A22B1" w:rsidRPr="009A3C86">
        <w:rPr>
          <w:rFonts w:ascii="Times New Roman" w:hAnsi="Times New Roman"/>
          <w:sz w:val="24"/>
          <w:szCs w:val="24"/>
        </w:rPr>
        <w:t>lub</w:t>
      </w:r>
      <w:r w:rsidRPr="009A3C86">
        <w:rPr>
          <w:rFonts w:ascii="Times New Roman" w:hAnsi="Times New Roman"/>
          <w:sz w:val="24"/>
          <w:szCs w:val="24"/>
        </w:rPr>
        <w:t xml:space="preserve"> praw majątkowych”. W </w:t>
      </w:r>
      <w:r w:rsidRPr="009A3C86">
        <w:rPr>
          <w:rFonts w:ascii="Times New Roman" w:hAnsi="Times New Roman"/>
          <w:b/>
          <w:sz w:val="24"/>
          <w:szCs w:val="24"/>
        </w:rPr>
        <w:t xml:space="preserve">art. </w:t>
      </w:r>
      <w:r w:rsidR="00EE5878" w:rsidRPr="009A3C86">
        <w:rPr>
          <w:rFonts w:ascii="Times New Roman" w:hAnsi="Times New Roman"/>
          <w:b/>
          <w:sz w:val="24"/>
          <w:szCs w:val="24"/>
        </w:rPr>
        <w:t>656</w:t>
      </w:r>
      <w:r w:rsidRPr="009A3C86">
        <w:rPr>
          <w:rFonts w:ascii="Times New Roman" w:hAnsi="Times New Roman"/>
          <w:b/>
          <w:sz w:val="24"/>
          <w:szCs w:val="24"/>
        </w:rPr>
        <w:t xml:space="preserve"> § 2</w:t>
      </w:r>
      <w:r w:rsidRPr="009A3C86">
        <w:rPr>
          <w:rFonts w:ascii="Times New Roman" w:hAnsi="Times New Roman"/>
          <w:sz w:val="24"/>
          <w:szCs w:val="24"/>
        </w:rPr>
        <w:t xml:space="preserve"> </w:t>
      </w:r>
      <w:r w:rsidRPr="009A3C86">
        <w:rPr>
          <w:rFonts w:ascii="Times New Roman" w:hAnsi="Times New Roman"/>
          <w:sz w:val="24"/>
          <w:szCs w:val="24"/>
        </w:rPr>
        <w:lastRenderedPageBreak/>
        <w:t>proponuje się pozostawienie dotychczasowych regulacji w zakresie prowadzenia czynności sprawdzających w zakresie wymiany z państwami członkowskimi Unii Europejskiej informacji o podatku od towarów i usług przez Szefa Krajowej Administracji Skarbowej lub organ wyznaczony przez ministra właściwego do spraw finansów publicznych. W szczególności dotyczy to wykorzystywanych przy wewnątrzwspólnotowej dostawie towarów dokumentów wywozu oraz dokumentów niezbędnych do potwierdzenia identyfikacji zgłoszeń na wniosek podatnika.</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4. Projektowany </w:t>
      </w:r>
      <w:r w:rsidRPr="009A3C86">
        <w:rPr>
          <w:rFonts w:ascii="Times New Roman" w:hAnsi="Times New Roman"/>
          <w:b/>
          <w:sz w:val="24"/>
          <w:szCs w:val="24"/>
        </w:rPr>
        <w:t xml:space="preserve">art. </w:t>
      </w:r>
      <w:r w:rsidR="00EE5878" w:rsidRPr="009A3C86">
        <w:rPr>
          <w:rFonts w:ascii="Times New Roman" w:hAnsi="Times New Roman"/>
          <w:b/>
          <w:sz w:val="24"/>
          <w:szCs w:val="24"/>
        </w:rPr>
        <w:t>657</w:t>
      </w:r>
      <w:r w:rsidRPr="009A3C86">
        <w:rPr>
          <w:rFonts w:ascii="Times New Roman" w:hAnsi="Times New Roman"/>
          <w:sz w:val="24"/>
          <w:szCs w:val="24"/>
        </w:rPr>
        <w:t xml:space="preserve"> jest odpowiednikiem obecnego art. </w:t>
      </w:r>
      <w:r w:rsidR="007A515F" w:rsidRPr="009A3C86">
        <w:rPr>
          <w:rFonts w:ascii="Times New Roman" w:hAnsi="Times New Roman"/>
          <w:sz w:val="24"/>
          <w:szCs w:val="24"/>
        </w:rPr>
        <w:t>274</w:t>
      </w:r>
      <w:r w:rsidRPr="009A3C86">
        <w:rPr>
          <w:rFonts w:ascii="Times New Roman" w:hAnsi="Times New Roman"/>
          <w:sz w:val="24"/>
          <w:szCs w:val="24"/>
        </w:rPr>
        <w:t xml:space="preserve"> ordynacji podatkowej i dotyczy korygowania stwierdzonych w ramach czynności sprawdzających uchybień mniejszej wagi. Celem tej regulacji jest ograniczenie w sprawach niebudzących kontrowersji obowiązku kontaktów zobowiązanego z organami podatkowymi. Tym samym w razie uchybień mniejszej wagi, tj. o skutkach finansowych nieprzekraczających 5</w:t>
      </w:r>
      <w:r w:rsidR="007A515F" w:rsidRPr="009A3C86">
        <w:rPr>
          <w:rFonts w:ascii="Times New Roman" w:hAnsi="Times New Roman"/>
          <w:sz w:val="24"/>
          <w:szCs w:val="24"/>
        </w:rPr>
        <w:t xml:space="preserve"> </w:t>
      </w:r>
      <w:r w:rsidRPr="009A3C86">
        <w:rPr>
          <w:rFonts w:ascii="Times New Roman" w:hAnsi="Times New Roman"/>
          <w:sz w:val="24"/>
          <w:szCs w:val="24"/>
        </w:rPr>
        <w:t>000 zł, organ podatkowy ma możliwość wezwania podatnika do złożenia korekty deklaracji lub sam dokonuje stosownych poprawek lub uzupełnień. Wybór sposobu uzależniony jest od charakteru oraz zakresu zmian. W przypadku dokonania korekty przez organ podatkowy, gdy zobowiązany nie wyrazi sprzeciwu w ciągu 14 dni po otrzymaniu uwierzytelnionej kopii skorygowanej deklaracji wraz z informacją dotyczącą jej skutków finansowych, korekta dokonana przez organ podatkowy wywoła taki sam skutek prawny jak autokorekta deklaracji. Wniesienie sprzeciwu anuluje korektę organu podatkowego. W stosunku do obecnie obowiązujących rozwiązań, dodano przepisy, które umożliwiają zobowiązanym złożenie przed terminem 14 dni złożenie informacji o przyjęciu skorygowanej deklaracji, co umożliwi organom podatkowym rozpoznaniem spray przed tym terminem.</w:t>
      </w:r>
    </w:p>
    <w:p w:rsidR="008579C2" w:rsidRPr="009A3C86" w:rsidRDefault="008579C2" w:rsidP="008579C2">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5. Proponuje się również w </w:t>
      </w:r>
      <w:r w:rsidRPr="009A3C86">
        <w:rPr>
          <w:rFonts w:ascii="Times New Roman" w:hAnsi="Times New Roman"/>
          <w:b/>
          <w:bCs/>
          <w:sz w:val="24"/>
          <w:szCs w:val="24"/>
        </w:rPr>
        <w:t xml:space="preserve">art. </w:t>
      </w:r>
      <w:r w:rsidR="00EE5878" w:rsidRPr="009A3C86">
        <w:rPr>
          <w:rFonts w:ascii="Times New Roman" w:hAnsi="Times New Roman"/>
          <w:b/>
          <w:bCs/>
          <w:sz w:val="24"/>
          <w:szCs w:val="24"/>
        </w:rPr>
        <w:t>657</w:t>
      </w:r>
      <w:r w:rsidRPr="009A3C86">
        <w:rPr>
          <w:rFonts w:ascii="Times New Roman" w:hAnsi="Times New Roman"/>
          <w:b/>
          <w:bCs/>
          <w:sz w:val="24"/>
          <w:szCs w:val="24"/>
        </w:rPr>
        <w:t xml:space="preserve"> </w:t>
      </w:r>
      <w:r w:rsidRPr="009A3C86">
        <w:rPr>
          <w:rFonts w:ascii="Times New Roman" w:hAnsi="Times New Roman"/>
          <w:b/>
          <w:sz w:val="24"/>
          <w:szCs w:val="24"/>
        </w:rPr>
        <w:t>§ 3</w:t>
      </w:r>
      <w:r w:rsidRPr="009A3C86">
        <w:rPr>
          <w:rFonts w:ascii="Times New Roman" w:hAnsi="Times New Roman"/>
          <w:sz w:val="24"/>
          <w:szCs w:val="24"/>
        </w:rPr>
        <w:t xml:space="preserve"> wprowadzenie nowej instytucji </w:t>
      </w:r>
      <w:r w:rsidRPr="009A3C86">
        <w:rPr>
          <w:rFonts w:ascii="Times New Roman" w:hAnsi="Times New Roman"/>
          <w:bCs/>
          <w:sz w:val="24"/>
          <w:szCs w:val="24"/>
        </w:rPr>
        <w:t xml:space="preserve">w ramach czynności sprawdzających, która polega na uproszczonej korekcie deklaracji z urzędu przez organy podatkowe, </w:t>
      </w:r>
      <w:r w:rsidRPr="009A3C86">
        <w:rPr>
          <w:rFonts w:ascii="Times New Roman" w:hAnsi="Times New Roman"/>
          <w:sz w:val="24"/>
          <w:szCs w:val="24"/>
        </w:rPr>
        <w:t xml:space="preserve">jeżeli zmiana wysokości zobowiązania podatkowego, kwoty nadpłaty, kwoty zwrotu podatku lub wysokości straty w wyniku tej korekty nie przekracza </w:t>
      </w:r>
      <w:r w:rsidRPr="009A3C86">
        <w:rPr>
          <w:rFonts w:ascii="Times New Roman" w:hAnsi="Times New Roman"/>
          <w:bCs/>
          <w:sz w:val="24"/>
          <w:szCs w:val="24"/>
        </w:rPr>
        <w:t xml:space="preserve">50 zł. Procedura ta miałaby zastosowanie w przypadku stwierdzenia przez organ podatkowy oczywistych omyłek i błędów rachunkowych oraz wypełnienia deklaracji niezgodnie z ustalonymi wymogami, co nie wymaga jakiegokolwiek udziału podatnika. Większość błędów stwierdzonych w trakcie czynności sprawdzających nie ma wpływu na wysokość zobowiązania podatkowego lub wpływa w stopniu minimalnym. Takie rozwiązanie z jednej strony pozwoli ograniczyć koszty funkcjonowania administracji skarbowej, z drugiej natomiast przyniesie wymierne oszczędności zobowiązanym. Proponowana regulacja ograniczy również obowiązki biurokratyczne organów podatkowych do niezbędnego minimum, ponieważ w tym przypadku </w:t>
      </w:r>
      <w:r w:rsidRPr="009A3C86">
        <w:rPr>
          <w:rFonts w:ascii="Times New Roman" w:hAnsi="Times New Roman"/>
          <w:bCs/>
          <w:sz w:val="24"/>
          <w:szCs w:val="24"/>
        </w:rPr>
        <w:lastRenderedPageBreak/>
        <w:t>jedynie koryguje się deklarację i zawiadamia się o tym fakcie zobowiązanego, bez konieczności doręczenia kserokopii skorygowanej deklaracji. Organ podatkowy zawiadamia podatnika za pomocą środków komunikacji elektronicznej, telefonicznie albo przy użyciu innych środków łączności.</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6. Projektowany przepis </w:t>
      </w:r>
      <w:r w:rsidRPr="009A3C86">
        <w:rPr>
          <w:rFonts w:ascii="Times New Roman" w:hAnsi="Times New Roman"/>
          <w:b/>
          <w:sz w:val="24"/>
          <w:szCs w:val="24"/>
        </w:rPr>
        <w:t xml:space="preserve">art. </w:t>
      </w:r>
      <w:r w:rsidR="003B129E" w:rsidRPr="009A3C86">
        <w:rPr>
          <w:rFonts w:ascii="Times New Roman" w:hAnsi="Times New Roman"/>
          <w:b/>
          <w:sz w:val="24"/>
          <w:szCs w:val="24"/>
        </w:rPr>
        <w:t>658</w:t>
      </w:r>
      <w:r w:rsidRPr="009A3C86">
        <w:rPr>
          <w:rFonts w:ascii="Times New Roman" w:hAnsi="Times New Roman"/>
          <w:b/>
          <w:sz w:val="24"/>
          <w:szCs w:val="24"/>
        </w:rPr>
        <w:t xml:space="preserve"> § 1</w:t>
      </w:r>
      <w:r w:rsidRPr="009A3C86">
        <w:rPr>
          <w:rFonts w:ascii="Times New Roman" w:hAnsi="Times New Roman"/>
          <w:sz w:val="24"/>
          <w:szCs w:val="24"/>
        </w:rPr>
        <w:t xml:space="preserve"> uprawnia natomiast organy podatkowe do żądania wyjaśnień w ramach czynności sprawdzających kwestii związanych z niedopełnieniem obowiązku złożenia deklaracji bez konieczności wszczynania postępowań podatkowych. Fakultatywny charakter tego przepisu oznacza, iż organy podatkowe mają wybór, czy w przypadku, gdy zobowiązany nie składa deklaracji, w pierwszej kolejności wyjaśnić przyczyny takiego stanu, a tym samym umożliwić mu dobrowolne wywiązanie się z obowiązku, czy też skorzystać z władczego środka, tj. wszcząć postępowanie podatkowe i określić zobowiązanie w drodze decyzji. Organ podatkowy będzie mógł również wezwać zobowiązanego jeśli nie dopełni on obowiązku złożenia sprawozdania finansowego.</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Podobnie jak w obecnie obowiązujących przepisach pozostawiono również fakultatywny charakter czynności sprawdzających w przypadku wątpliwości co do poprawności złożonej deklaracji (</w:t>
      </w:r>
      <w:r w:rsidRPr="009A3C86">
        <w:rPr>
          <w:rFonts w:ascii="Times New Roman" w:hAnsi="Times New Roman"/>
          <w:b/>
          <w:sz w:val="24"/>
          <w:szCs w:val="24"/>
        </w:rPr>
        <w:t xml:space="preserve">art. </w:t>
      </w:r>
      <w:r w:rsidR="003B129E" w:rsidRPr="009A3C86">
        <w:rPr>
          <w:rFonts w:ascii="Times New Roman" w:hAnsi="Times New Roman"/>
          <w:b/>
          <w:sz w:val="24"/>
          <w:szCs w:val="24"/>
        </w:rPr>
        <w:t>658</w:t>
      </w:r>
      <w:r w:rsidRPr="009A3C86">
        <w:rPr>
          <w:rFonts w:ascii="Times New Roman" w:hAnsi="Times New Roman"/>
          <w:b/>
          <w:sz w:val="24"/>
          <w:szCs w:val="24"/>
        </w:rPr>
        <w:t xml:space="preserve"> § 2</w:t>
      </w:r>
      <w:r w:rsidRPr="009A3C86">
        <w:rPr>
          <w:rFonts w:ascii="Times New Roman" w:hAnsi="Times New Roman"/>
          <w:sz w:val="24"/>
          <w:szCs w:val="24"/>
        </w:rPr>
        <w:t>). Organ podatkowy może bowiem wezwać składającego deklarację do udzielenia w wyznaczonym terminie niezbędnych wyjaśnień lub uzupełnienia deklaracji. Tym samym możliwe jest złożenie korekty deklaracji nie tylko w przypadku nieprawidłowości, które mają nie tylko charakter formalny, ale również gdy istnieją wątpliwości co do rzetelności wykazanych w niej danych</w:t>
      </w:r>
      <w:r w:rsidRPr="009A3C86">
        <w:rPr>
          <w:rFonts w:ascii="Times New Roman" w:hAnsi="Times New Roman"/>
          <w:sz w:val="24"/>
          <w:szCs w:val="24"/>
          <w:vertAlign w:val="superscript"/>
        </w:rPr>
        <w:footnoteReference w:id="553"/>
      </w:r>
      <w:r w:rsidRPr="009A3C86">
        <w:rPr>
          <w:rFonts w:ascii="Times New Roman" w:hAnsi="Times New Roman"/>
          <w:sz w:val="24"/>
          <w:szCs w:val="24"/>
        </w:rPr>
        <w:t>. W porównaniu do obecnie obowiązujących przepisów, organy podatkowe będą mogły również wezwać do przedłożenia dowodów. Rozszerzenie przepisu o ten element pozwoli organom wyjaśnić wątpliwości bez wszczynania kontroli podatkowej czy postępowania podatkowego, a ustalenie stanu faktycznego jest jednym z celów prowadzonych czynności sprawdzających. Przedłożenie dowodów będzie możliwe jedynie za zgodą zobowiązanego</w:t>
      </w:r>
      <w:r w:rsidR="000905CD" w:rsidRPr="009A3C86">
        <w:rPr>
          <w:rFonts w:ascii="Times New Roman" w:hAnsi="Times New Roman"/>
          <w:sz w:val="24"/>
          <w:szCs w:val="24"/>
        </w:rPr>
        <w:t xml:space="preserve"> (</w:t>
      </w:r>
      <w:r w:rsidR="000905CD" w:rsidRPr="009A3C86">
        <w:rPr>
          <w:rFonts w:ascii="Times New Roman" w:hAnsi="Times New Roman"/>
          <w:b/>
          <w:sz w:val="24"/>
          <w:szCs w:val="24"/>
        </w:rPr>
        <w:t xml:space="preserve">art. </w:t>
      </w:r>
      <w:r w:rsidR="003B129E" w:rsidRPr="009A3C86">
        <w:rPr>
          <w:rFonts w:ascii="Times New Roman" w:hAnsi="Times New Roman"/>
          <w:b/>
          <w:sz w:val="24"/>
          <w:szCs w:val="24"/>
        </w:rPr>
        <w:t>658</w:t>
      </w:r>
      <w:r w:rsidR="000905CD" w:rsidRPr="009A3C86">
        <w:rPr>
          <w:rFonts w:ascii="Times New Roman" w:hAnsi="Times New Roman"/>
          <w:b/>
          <w:sz w:val="24"/>
          <w:szCs w:val="24"/>
        </w:rPr>
        <w:t xml:space="preserve"> § 4</w:t>
      </w:r>
      <w:r w:rsidR="000905CD" w:rsidRPr="009A3C86">
        <w:rPr>
          <w:rFonts w:ascii="Times New Roman" w:hAnsi="Times New Roman"/>
          <w:sz w:val="24"/>
          <w:szCs w:val="24"/>
        </w:rPr>
        <w:t>)</w:t>
      </w:r>
      <w:r w:rsidRPr="009A3C86">
        <w:rPr>
          <w:rFonts w:ascii="Times New Roman" w:hAnsi="Times New Roman"/>
          <w:sz w:val="24"/>
          <w:szCs w:val="24"/>
        </w:rPr>
        <w:t>.</w:t>
      </w:r>
      <w:r w:rsidR="007F6C12" w:rsidRPr="009A3C86">
        <w:rPr>
          <w:rFonts w:ascii="Times New Roman" w:hAnsi="Times New Roman"/>
          <w:sz w:val="24"/>
          <w:szCs w:val="24"/>
        </w:rPr>
        <w:t xml:space="preserve"> W przypadku nieprzedłożenia dowodu w takiej sytuacji organ podatkowy nie będzie mógł wymierzyć zobowiązanemu kary porządkowej.  Kary nie nakłada się bowiem, jeżeli dokonanie czynności jest uzależnione od zgody zobowiązanego (</w:t>
      </w:r>
      <w:r w:rsidR="007F6C12" w:rsidRPr="009A3C86">
        <w:rPr>
          <w:rFonts w:ascii="Times New Roman" w:hAnsi="Times New Roman"/>
          <w:b/>
          <w:sz w:val="24"/>
          <w:szCs w:val="24"/>
        </w:rPr>
        <w:t xml:space="preserve">art. </w:t>
      </w:r>
      <w:r w:rsidR="009D0D2B" w:rsidRPr="009A3C86">
        <w:rPr>
          <w:rFonts w:ascii="Times New Roman" w:hAnsi="Times New Roman"/>
          <w:b/>
          <w:sz w:val="24"/>
          <w:szCs w:val="24"/>
        </w:rPr>
        <w:t>509</w:t>
      </w:r>
      <w:r w:rsidR="007F6C12" w:rsidRPr="009A3C86">
        <w:rPr>
          <w:rFonts w:ascii="Times New Roman" w:hAnsi="Times New Roman"/>
          <w:sz w:val="24"/>
          <w:szCs w:val="24"/>
        </w:rPr>
        <w:t xml:space="preserve"> </w:t>
      </w:r>
      <w:r w:rsidR="007F6C12" w:rsidRPr="009A3C86">
        <w:rPr>
          <w:rFonts w:ascii="Times New Roman" w:hAnsi="Times New Roman"/>
          <w:b/>
          <w:sz w:val="24"/>
          <w:szCs w:val="24"/>
        </w:rPr>
        <w:t>§</w:t>
      </w:r>
      <w:r w:rsidR="00B203E8" w:rsidRPr="009A3C86">
        <w:rPr>
          <w:rFonts w:ascii="Times New Roman" w:hAnsi="Times New Roman"/>
          <w:b/>
          <w:sz w:val="24"/>
          <w:szCs w:val="24"/>
        </w:rPr>
        <w:t> </w:t>
      </w:r>
      <w:r w:rsidR="007F6C12" w:rsidRPr="009A3C86">
        <w:rPr>
          <w:rFonts w:ascii="Times New Roman" w:hAnsi="Times New Roman"/>
          <w:b/>
          <w:sz w:val="24"/>
          <w:szCs w:val="24"/>
        </w:rPr>
        <w:t>5</w:t>
      </w:r>
      <w:r w:rsidR="007F6C12" w:rsidRPr="009A3C86">
        <w:rPr>
          <w:rFonts w:ascii="Times New Roman" w:hAnsi="Times New Roman"/>
          <w:sz w:val="24"/>
          <w:szCs w:val="24"/>
        </w:rPr>
        <w:t xml:space="preserve">). </w:t>
      </w:r>
      <w:r w:rsidR="00455BB2" w:rsidRPr="009A3C86">
        <w:rPr>
          <w:rFonts w:ascii="Times New Roman" w:hAnsi="Times New Roman"/>
          <w:sz w:val="24"/>
          <w:szCs w:val="24"/>
        </w:rPr>
        <w:t xml:space="preserve">Brak zgody, o której może świadczyć np. nieprzedstawienie dowodu nie </w:t>
      </w:r>
      <w:r w:rsidR="000E6EF2" w:rsidRPr="009A3C86">
        <w:rPr>
          <w:rFonts w:ascii="Times New Roman" w:hAnsi="Times New Roman"/>
          <w:sz w:val="24"/>
          <w:szCs w:val="24"/>
        </w:rPr>
        <w:t xml:space="preserve">będzie sankcjonowany nałożeniem kary porządkowej. W takim przypadku, aby uzyskać dowód organ podatkowy będzie wszczynał postępowanie podatkowe.  </w:t>
      </w:r>
      <w:r w:rsidR="00455BB2" w:rsidRPr="009A3C86">
        <w:rPr>
          <w:rFonts w:ascii="Times New Roman" w:hAnsi="Times New Roman"/>
          <w:sz w:val="24"/>
          <w:szCs w:val="24"/>
        </w:rPr>
        <w:t xml:space="preserve">  </w:t>
      </w:r>
    </w:p>
    <w:p w:rsidR="008579C2" w:rsidRPr="009A3C86" w:rsidRDefault="008579C2" w:rsidP="008579C2">
      <w:pPr>
        <w:spacing w:after="0" w:line="360" w:lineRule="auto"/>
        <w:jc w:val="both"/>
        <w:rPr>
          <w:rFonts w:ascii="Times New Roman" w:hAnsi="Times New Roman"/>
          <w:bCs/>
          <w:sz w:val="24"/>
          <w:szCs w:val="24"/>
        </w:rPr>
      </w:pPr>
      <w:r w:rsidRPr="009A3C86">
        <w:rPr>
          <w:rFonts w:ascii="Times New Roman" w:hAnsi="Times New Roman"/>
          <w:sz w:val="24"/>
          <w:szCs w:val="24"/>
        </w:rPr>
        <w:t>Projekt zakłada również możliwość wezwania przez organ podatkowy do złożenia niezbędnych wyjaśnień i przedstawienia dowodów (</w:t>
      </w:r>
      <w:r w:rsidRPr="009A3C86">
        <w:rPr>
          <w:rFonts w:ascii="Times New Roman" w:hAnsi="Times New Roman"/>
          <w:b/>
          <w:sz w:val="24"/>
          <w:szCs w:val="24"/>
        </w:rPr>
        <w:t xml:space="preserve">art. </w:t>
      </w:r>
      <w:r w:rsidR="004930FA" w:rsidRPr="009A3C86">
        <w:rPr>
          <w:rFonts w:ascii="Times New Roman" w:hAnsi="Times New Roman"/>
          <w:b/>
          <w:sz w:val="24"/>
          <w:szCs w:val="24"/>
        </w:rPr>
        <w:t>658</w:t>
      </w:r>
      <w:r w:rsidRPr="009A3C86">
        <w:rPr>
          <w:rFonts w:ascii="Times New Roman" w:hAnsi="Times New Roman"/>
          <w:b/>
          <w:sz w:val="24"/>
          <w:szCs w:val="24"/>
        </w:rPr>
        <w:t xml:space="preserve"> § </w:t>
      </w:r>
      <w:r w:rsidR="000905CD" w:rsidRPr="009A3C86">
        <w:rPr>
          <w:rFonts w:ascii="Times New Roman" w:hAnsi="Times New Roman"/>
          <w:b/>
          <w:sz w:val="24"/>
          <w:szCs w:val="24"/>
        </w:rPr>
        <w:t>3</w:t>
      </w:r>
      <w:r w:rsidRPr="009A3C86">
        <w:rPr>
          <w:rFonts w:ascii="Times New Roman" w:hAnsi="Times New Roman"/>
          <w:sz w:val="24"/>
          <w:szCs w:val="24"/>
        </w:rPr>
        <w:t xml:space="preserve">) w przypadku weryfikacji poniesionych </w:t>
      </w:r>
      <w:r w:rsidRPr="009A3C86">
        <w:rPr>
          <w:rFonts w:ascii="Times New Roman" w:hAnsi="Times New Roman"/>
          <w:sz w:val="24"/>
          <w:szCs w:val="24"/>
        </w:rPr>
        <w:lastRenderedPageBreak/>
        <w:t>przez podatnika wydatków i uzyskanych przychodów</w:t>
      </w:r>
      <w:r w:rsidR="004930FA" w:rsidRPr="009A3C86">
        <w:rPr>
          <w:rFonts w:ascii="Times New Roman" w:hAnsi="Times New Roman"/>
          <w:sz w:val="24"/>
          <w:szCs w:val="24"/>
        </w:rPr>
        <w:t xml:space="preserve"> lub </w:t>
      </w:r>
      <w:r w:rsidRPr="009A3C86">
        <w:rPr>
          <w:rFonts w:ascii="Times New Roman" w:hAnsi="Times New Roman"/>
          <w:sz w:val="24"/>
          <w:szCs w:val="24"/>
        </w:rPr>
        <w:t xml:space="preserve">dochodów opodatkowanych lub przychodów </w:t>
      </w:r>
      <w:r w:rsidR="004930FA" w:rsidRPr="009A3C86">
        <w:rPr>
          <w:rFonts w:ascii="Times New Roman" w:hAnsi="Times New Roman"/>
          <w:sz w:val="24"/>
          <w:szCs w:val="24"/>
        </w:rPr>
        <w:t xml:space="preserve">lub </w:t>
      </w:r>
      <w:r w:rsidRPr="009A3C86">
        <w:rPr>
          <w:rFonts w:ascii="Times New Roman" w:hAnsi="Times New Roman"/>
          <w:sz w:val="24"/>
          <w:szCs w:val="24"/>
        </w:rPr>
        <w:t xml:space="preserve">dochodów nieopodatkowanych </w:t>
      </w:r>
      <w:r w:rsidR="003862BC" w:rsidRPr="009A3C86">
        <w:rPr>
          <w:rFonts w:ascii="Times New Roman" w:hAnsi="Times New Roman"/>
          <w:sz w:val="24"/>
          <w:szCs w:val="24"/>
        </w:rPr>
        <w:t>–</w:t>
      </w:r>
      <w:r w:rsidRPr="009A3C86">
        <w:rPr>
          <w:rFonts w:ascii="Times New Roman" w:hAnsi="Times New Roman"/>
          <w:sz w:val="24"/>
          <w:szCs w:val="24"/>
        </w:rPr>
        <w:t xml:space="preserve"> w zakresie niezbędnym do ujawnienia podstawy opodatkowania z tytułu przychodów nieznajdujących pokrycia w ujawnionych źródłach lub pochodzących ze źródeł nieujawnionych. Powyższe jest niezbędne do sprawnego wyjaśnienia stanu faktycznego bez konieczności wszczynania postępowania podatkowego w tym zakresie. Wielokrotnie bowiem organy podatkowe nie miały możliwości weryfikacji posiadanych informacji bez wszczęcia postępowania podatkowego w tym zakresie. Jednocześnie dodany przepis stanowi podstawę prawną do żądania od podatników przedłożenia stosowych wyjaśnień i dokumentów, czyli konkretną podstawę działań mających urzeczywistnić cel określony w art. </w:t>
      </w:r>
      <w:r w:rsidR="004C3A7E" w:rsidRPr="009A3C86">
        <w:rPr>
          <w:rFonts w:ascii="Times New Roman" w:hAnsi="Times New Roman"/>
          <w:sz w:val="24"/>
          <w:szCs w:val="24"/>
        </w:rPr>
        <w:t>656</w:t>
      </w:r>
      <w:r w:rsidRPr="009A3C86">
        <w:rPr>
          <w:rFonts w:ascii="Times New Roman" w:hAnsi="Times New Roman"/>
          <w:sz w:val="24"/>
          <w:szCs w:val="24"/>
        </w:rPr>
        <w:t>, na której brak zwracano uwagę w literaturze przedmiotu</w:t>
      </w:r>
      <w:r w:rsidRPr="009A3C86">
        <w:rPr>
          <w:rFonts w:ascii="Times New Roman" w:hAnsi="Times New Roman"/>
          <w:sz w:val="24"/>
          <w:szCs w:val="24"/>
          <w:vertAlign w:val="superscript"/>
        </w:rPr>
        <w:footnoteReference w:id="554"/>
      </w:r>
      <w:r w:rsidRPr="009A3C86">
        <w:rPr>
          <w:rFonts w:ascii="Times New Roman" w:hAnsi="Times New Roman"/>
          <w:sz w:val="24"/>
          <w:szCs w:val="24"/>
        </w:rPr>
        <w:t>.</w:t>
      </w:r>
    </w:p>
    <w:p w:rsidR="008579C2" w:rsidRPr="009A3C86" w:rsidRDefault="008579C2" w:rsidP="008579C2">
      <w:pPr>
        <w:spacing w:after="0" w:line="360" w:lineRule="auto"/>
        <w:jc w:val="both"/>
        <w:rPr>
          <w:rFonts w:ascii="Times New Roman" w:hAnsi="Times New Roman"/>
          <w:bCs/>
          <w:sz w:val="24"/>
          <w:szCs w:val="24"/>
        </w:rPr>
      </w:pPr>
      <w:r w:rsidRPr="009A3C86">
        <w:rPr>
          <w:rFonts w:ascii="Times New Roman" w:hAnsi="Times New Roman"/>
          <w:bCs/>
          <w:sz w:val="24"/>
          <w:szCs w:val="24"/>
        </w:rPr>
        <w:t xml:space="preserve">7. Proponowany przepis </w:t>
      </w:r>
      <w:r w:rsidRPr="009A3C86">
        <w:rPr>
          <w:rFonts w:ascii="Times New Roman" w:hAnsi="Times New Roman"/>
          <w:b/>
          <w:bCs/>
          <w:sz w:val="24"/>
          <w:szCs w:val="24"/>
        </w:rPr>
        <w:t xml:space="preserve">art. </w:t>
      </w:r>
      <w:r w:rsidR="004C3A7E" w:rsidRPr="009A3C86">
        <w:rPr>
          <w:rFonts w:ascii="Times New Roman" w:hAnsi="Times New Roman"/>
          <w:b/>
          <w:bCs/>
          <w:sz w:val="24"/>
          <w:szCs w:val="24"/>
        </w:rPr>
        <w:t>659</w:t>
      </w:r>
      <w:r w:rsidRPr="009A3C86">
        <w:rPr>
          <w:rFonts w:ascii="Times New Roman" w:hAnsi="Times New Roman"/>
          <w:bCs/>
          <w:sz w:val="24"/>
          <w:szCs w:val="24"/>
        </w:rPr>
        <w:t xml:space="preserve"> bazuje natomiast na obecnym art. 274b ordynacji podatkowej i jest odzwierciedleniem bogatego orzecznictwa sądów administracyjnych</w:t>
      </w:r>
      <w:r w:rsidRPr="009A3C86">
        <w:rPr>
          <w:rFonts w:ascii="Times New Roman" w:hAnsi="Times New Roman"/>
          <w:sz w:val="24"/>
          <w:szCs w:val="24"/>
          <w:vertAlign w:val="superscript"/>
        </w:rPr>
        <w:footnoteReference w:id="555"/>
      </w:r>
      <w:r w:rsidRPr="009A3C86">
        <w:rPr>
          <w:rFonts w:ascii="Times New Roman" w:hAnsi="Times New Roman"/>
          <w:bCs/>
          <w:sz w:val="24"/>
          <w:szCs w:val="24"/>
        </w:rPr>
        <w:t xml:space="preserve"> oraz poglądów doktryny w zakresie przedłużania terminów zwrotu podatku. Zgodnie z proponowanym przepisem organ podatkowy wskazuje nowy termin przedmiotowego zwrotu w ramach czynności sprawdzających w formie postanowienia, które musi zawierać uzasadnienie faktyczne i prawne, ponieważ rozstrzyga o istocie sprawy, a tym samym podlega zaskarżeniu do wojewódzkiego sądu administracyjnego.</w:t>
      </w:r>
      <w:r w:rsidRPr="009A3C86">
        <w:rPr>
          <w:rFonts w:ascii="Times New Roman" w:hAnsi="Times New Roman"/>
          <w:sz w:val="24"/>
          <w:szCs w:val="24"/>
        </w:rPr>
        <w:t xml:space="preserve"> </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4C3A7E" w:rsidRPr="009A3C86">
        <w:rPr>
          <w:rFonts w:ascii="Times New Roman" w:hAnsi="Times New Roman"/>
          <w:b/>
          <w:sz w:val="24"/>
          <w:szCs w:val="24"/>
        </w:rPr>
        <w:t>660</w:t>
      </w:r>
      <w:r w:rsidRPr="009A3C86">
        <w:rPr>
          <w:rFonts w:ascii="Times New Roman" w:hAnsi="Times New Roman"/>
          <w:sz w:val="24"/>
          <w:szCs w:val="24"/>
        </w:rPr>
        <w:t xml:space="preserve"> zawarto przepisy dotyczące tzw. kontroli krzyżowych, które pozwalają organom podatkowym w związku z prowadzonym postępowaniem podatkowym lub kontrolą podatkową (tylko po wszczęciu tych postępowań) na sprawdzenie prawidłowości i rzetelności dokumentów będących w posiadaniu  jego kontrahentów w zakresie objętym prowadzonym postępowaniem. Zakres podmiotowy kontroli krzyżowej obejmuje również podmioty prowadzące działalność gospodarczą uczestniczące w dostawie tego samego towaru lub świadczeniu tej samej usługi będących zarówno dostawcami, jak i nabywcami biorącymi udział pośrednio lub bezpośrednio w dostawie towaru lub świadczeniu usługi. Jednakże w takim przypadku żądanie może dotyczyć wyłącznie dokumentów związanych z tą dostawą towaru lub tym świadczeniem usługi (</w:t>
      </w:r>
      <w:r w:rsidRPr="009A3C86">
        <w:rPr>
          <w:rFonts w:ascii="Times New Roman" w:hAnsi="Times New Roman"/>
          <w:b/>
          <w:sz w:val="24"/>
          <w:szCs w:val="24"/>
        </w:rPr>
        <w:t xml:space="preserve">art. </w:t>
      </w:r>
      <w:r w:rsidR="004C3A7E" w:rsidRPr="009A3C86">
        <w:rPr>
          <w:rFonts w:ascii="Times New Roman" w:hAnsi="Times New Roman"/>
          <w:b/>
          <w:sz w:val="24"/>
          <w:szCs w:val="24"/>
        </w:rPr>
        <w:t>660</w:t>
      </w:r>
      <w:r w:rsidRPr="009A3C86">
        <w:rPr>
          <w:rFonts w:ascii="Times New Roman" w:hAnsi="Times New Roman"/>
          <w:b/>
          <w:sz w:val="24"/>
          <w:szCs w:val="24"/>
        </w:rPr>
        <w:t xml:space="preserve"> § 4</w:t>
      </w:r>
      <w:r w:rsidRPr="009A3C86">
        <w:rPr>
          <w:rFonts w:ascii="Times New Roman" w:hAnsi="Times New Roman"/>
          <w:sz w:val="24"/>
          <w:szCs w:val="24"/>
        </w:rPr>
        <w:t xml:space="preserve">). W tym zakresie, wzorując się na przepisach ustawy o kontroli skarbowej (zob. dotychczasowy art. 13b ust. 2), z dniem 1.01.2017 r. wprowadzono do dotychczasowego art. 274c ordynacji podatkowej zmiany poprzez dodanie § 1c. Ujednolicono </w:t>
      </w:r>
      <w:r w:rsidRPr="009A3C86">
        <w:rPr>
          <w:rFonts w:ascii="Times New Roman" w:hAnsi="Times New Roman"/>
          <w:sz w:val="24"/>
          <w:szCs w:val="24"/>
        </w:rPr>
        <w:lastRenderedPageBreak/>
        <w:t xml:space="preserve">tym samym zakres podmiotowy kontroli krzyżowej niezależnie od tego, czy podejmowanej w ramach kontroli podatkowej, czy nowej kontroli celno-skarbowej. </w:t>
      </w:r>
      <w:r w:rsidRPr="009A3C86">
        <w:rPr>
          <w:rFonts w:ascii="Times New Roman" w:hAnsi="Times New Roman"/>
          <w:i/>
          <w:sz w:val="24"/>
          <w:szCs w:val="24"/>
        </w:rPr>
        <w:t>De facto</w:t>
      </w:r>
      <w:r w:rsidRPr="009A3C86">
        <w:rPr>
          <w:rFonts w:ascii="Times New Roman" w:hAnsi="Times New Roman"/>
          <w:sz w:val="24"/>
          <w:szCs w:val="24"/>
        </w:rPr>
        <w:t xml:space="preserve"> oznacza to, iż w ramach kontroli krzyżowej podejmowanej na podstawie art. 66</w:t>
      </w:r>
      <w:r w:rsidR="00C606A7" w:rsidRPr="009A3C86">
        <w:rPr>
          <w:rFonts w:ascii="Times New Roman" w:hAnsi="Times New Roman"/>
          <w:sz w:val="24"/>
          <w:szCs w:val="24"/>
        </w:rPr>
        <w:t>4</w:t>
      </w:r>
      <w:r w:rsidRPr="009A3C86">
        <w:rPr>
          <w:rFonts w:ascii="Times New Roman" w:hAnsi="Times New Roman"/>
          <w:sz w:val="24"/>
          <w:szCs w:val="24"/>
        </w:rPr>
        <w:t xml:space="preserve"> przez naczelników urzędów skarbowych mamy do czynienia ze zrównaniem zakresu podmiotowego tych czynności nie tylko na bezpośredniego kontrahenta kontrolowanego, ale również na inne podmioty uczestniczące w łańcuchu dostaw towarów i usług, podobnie jak na gruncie art. 79 ustawy o Krajowej Administracji Skarbowej</w:t>
      </w:r>
      <w:r w:rsidRPr="009A3C86">
        <w:rPr>
          <w:rFonts w:ascii="Times New Roman" w:hAnsi="Times New Roman"/>
          <w:sz w:val="24"/>
          <w:szCs w:val="24"/>
          <w:vertAlign w:val="superscript"/>
        </w:rPr>
        <w:footnoteReference w:id="556"/>
      </w:r>
      <w:r w:rsidRPr="009A3C86">
        <w:rPr>
          <w:rFonts w:ascii="Times New Roman" w:hAnsi="Times New Roman"/>
          <w:sz w:val="24"/>
          <w:szCs w:val="24"/>
        </w:rPr>
        <w:t>.</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Natomiast w przypadku konieczności uzyskania informacji lub dokumentów od podatników niewykonujących działalności gospodarczej organy podatkowe mogą zwrócić się do nich o przedłożenie tych informacji lub dokumentów (</w:t>
      </w:r>
      <w:r w:rsidRPr="009A3C86">
        <w:rPr>
          <w:rFonts w:ascii="Times New Roman" w:hAnsi="Times New Roman"/>
          <w:b/>
          <w:sz w:val="24"/>
          <w:szCs w:val="24"/>
        </w:rPr>
        <w:t xml:space="preserve">art. </w:t>
      </w:r>
      <w:r w:rsidR="004C3A7E" w:rsidRPr="009A3C86">
        <w:rPr>
          <w:rFonts w:ascii="Times New Roman" w:hAnsi="Times New Roman"/>
          <w:b/>
          <w:sz w:val="24"/>
          <w:szCs w:val="24"/>
        </w:rPr>
        <w:t>660</w:t>
      </w:r>
      <w:r w:rsidRPr="009A3C86">
        <w:rPr>
          <w:rFonts w:ascii="Times New Roman" w:hAnsi="Times New Roman"/>
          <w:b/>
          <w:sz w:val="24"/>
          <w:szCs w:val="24"/>
        </w:rPr>
        <w:t xml:space="preserve"> § 6</w:t>
      </w:r>
      <w:r w:rsidRPr="009A3C86">
        <w:rPr>
          <w:rFonts w:ascii="Times New Roman" w:hAnsi="Times New Roman"/>
          <w:sz w:val="24"/>
          <w:szCs w:val="24"/>
        </w:rPr>
        <w:t>).</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8. Proponowany </w:t>
      </w:r>
      <w:r w:rsidRPr="009A3C86">
        <w:rPr>
          <w:rFonts w:ascii="Times New Roman" w:hAnsi="Times New Roman"/>
          <w:b/>
          <w:sz w:val="24"/>
          <w:szCs w:val="24"/>
        </w:rPr>
        <w:t xml:space="preserve">art. </w:t>
      </w:r>
      <w:r w:rsidR="004C3A7E" w:rsidRPr="009A3C86">
        <w:rPr>
          <w:rFonts w:ascii="Times New Roman" w:hAnsi="Times New Roman"/>
          <w:b/>
          <w:sz w:val="24"/>
          <w:szCs w:val="24"/>
        </w:rPr>
        <w:t>661</w:t>
      </w:r>
      <w:r w:rsidRPr="009A3C86">
        <w:rPr>
          <w:rFonts w:ascii="Times New Roman" w:hAnsi="Times New Roman"/>
          <w:sz w:val="24"/>
          <w:szCs w:val="24"/>
        </w:rPr>
        <w:t xml:space="preserve"> umożliwia organom podatkowym ustalanie stanu faktycznego w zakresie niezbędnym do stwierdzenia zgodności z przedstawionymi dokumentami, w przypadku gdy ze złożonej deklaracji wynika, że podatnik skorzystał z przysługujących mu ulg podatkowych. Czynności sprawdzające w tym zakresie mają już charakter merytoryczny, a nie tylko formalno-techniczny, jednakże ustalenia dokonane w ramach tych wstępnych czynności nie zamykają organom podatkowym możliwości weryfikacji ulg w ramach prowadzonego później postępowania podatkowego. Zgodnie z tymi przepisami organy podatkowe mogą żądać od podatnika okazania dokumentów źródłowych lub kserokopii, jednakże żądanie takie może dotyczyć jedynie takich dokumentów, do których posiadania obligują przepisy prawa. Odnośnie do weryfikacji rzetelności deklaracji w zakresie ulg podatkowych, analogicznie jak w obecnych przepisach, organy będą mogły wykorzystywać w ramach czynności sprawdzających nie tylko dokumenty będące w posiadaniu podatnika, ale również uzyskane od banków, zakładów ubezpieczeń, funduszy inwestycyjnych, dobrowolnych funduszy emerytalnych czy spółdzielczych kas oszczędnościowo-kredytowych  (</w:t>
      </w:r>
      <w:r w:rsidRPr="009A3C86">
        <w:rPr>
          <w:rFonts w:ascii="Times New Roman" w:hAnsi="Times New Roman"/>
          <w:b/>
          <w:sz w:val="24"/>
          <w:szCs w:val="24"/>
        </w:rPr>
        <w:t xml:space="preserve">art. </w:t>
      </w:r>
      <w:r w:rsidR="00F11989" w:rsidRPr="009A3C86">
        <w:rPr>
          <w:rFonts w:ascii="Times New Roman" w:hAnsi="Times New Roman"/>
          <w:b/>
          <w:sz w:val="24"/>
          <w:szCs w:val="24"/>
        </w:rPr>
        <w:t>661</w:t>
      </w:r>
      <w:r w:rsidRPr="009A3C86">
        <w:rPr>
          <w:rFonts w:ascii="Times New Roman" w:hAnsi="Times New Roman"/>
          <w:b/>
          <w:sz w:val="24"/>
          <w:szCs w:val="24"/>
        </w:rPr>
        <w:t xml:space="preserve"> § 3 i 4</w:t>
      </w:r>
      <w:r w:rsidRPr="009A3C86">
        <w:rPr>
          <w:rFonts w:ascii="Times New Roman" w:hAnsi="Times New Roman"/>
          <w:sz w:val="24"/>
          <w:szCs w:val="24"/>
        </w:rPr>
        <w:t>).</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t xml:space="preserve">9. Podobnie jak w obecnie obowiązujących przepisach w </w:t>
      </w:r>
      <w:r w:rsidRPr="009A3C86">
        <w:rPr>
          <w:rFonts w:ascii="Times New Roman" w:hAnsi="Times New Roman"/>
          <w:b/>
          <w:sz w:val="24"/>
          <w:szCs w:val="24"/>
        </w:rPr>
        <w:t xml:space="preserve">art. </w:t>
      </w:r>
      <w:r w:rsidR="006855C9" w:rsidRPr="009A3C86">
        <w:rPr>
          <w:rFonts w:ascii="Times New Roman" w:hAnsi="Times New Roman"/>
          <w:b/>
          <w:sz w:val="24"/>
          <w:szCs w:val="24"/>
        </w:rPr>
        <w:t>662</w:t>
      </w:r>
      <w:r w:rsidRPr="009A3C86">
        <w:rPr>
          <w:rFonts w:ascii="Times New Roman" w:hAnsi="Times New Roman"/>
          <w:sz w:val="24"/>
          <w:szCs w:val="24"/>
        </w:rPr>
        <w:t xml:space="preserve"> pozostawiono organom podatkowym uprawnienie do korzystania w ramach czynności sprawdzających ze środków dowodowych w postaci oględzin w celu zweryfikowania stanu faktycznego z danymi wynikającymi z deklaracji. Proponuje się również, aby w przypadku dokonywania oględzin pracownik organu działał w porozumieniu z podatnikiem, w tym przede wszystkim wspólnie ustalał dogodny termin przeprowadzenia takiego dowodu.</w:t>
      </w:r>
    </w:p>
    <w:p w:rsidR="008579C2" w:rsidRPr="009A3C86" w:rsidRDefault="008579C2" w:rsidP="008579C2">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10. W </w:t>
      </w:r>
      <w:r w:rsidRPr="009A3C86">
        <w:rPr>
          <w:rFonts w:ascii="Times New Roman" w:hAnsi="Times New Roman"/>
          <w:b/>
          <w:sz w:val="24"/>
          <w:szCs w:val="24"/>
        </w:rPr>
        <w:t>art. 6</w:t>
      </w:r>
      <w:r w:rsidR="006855C9" w:rsidRPr="009A3C86">
        <w:rPr>
          <w:rFonts w:ascii="Times New Roman" w:hAnsi="Times New Roman"/>
          <w:b/>
          <w:sz w:val="24"/>
          <w:szCs w:val="24"/>
        </w:rPr>
        <w:t>65</w:t>
      </w:r>
      <w:r w:rsidRPr="009A3C86">
        <w:rPr>
          <w:rFonts w:ascii="Times New Roman" w:hAnsi="Times New Roman"/>
          <w:sz w:val="24"/>
          <w:szCs w:val="24"/>
        </w:rPr>
        <w:t xml:space="preserve"> wskazano natomiast, iż w sprawach nieuregulowanych w tym rozdziale będą miały odpowiednio zastosowanie przepisy taksatywnie wymienione w tym przepisie z działu III nowej ordynacji podatkowej, jednakże najistotniejsze znaczenie przy dokonywaniu czynności sprawdzających powinny mieć odpowiednio stosowane zasady ogólne zawarte w dziale I projektowanych przepisów.</w:t>
      </w:r>
    </w:p>
    <w:p w:rsidR="00181896" w:rsidRPr="009A3C86" w:rsidRDefault="00181896" w:rsidP="00D72E74">
      <w:pPr>
        <w:tabs>
          <w:tab w:val="num" w:pos="720"/>
        </w:tabs>
        <w:spacing w:before="120" w:after="0" w:line="360" w:lineRule="auto"/>
        <w:jc w:val="both"/>
        <w:outlineLvl w:val="2"/>
        <w:rPr>
          <w:rFonts w:ascii="Times New Roman" w:hAnsi="Times New Roman"/>
          <w:b/>
          <w:bCs/>
          <w:sz w:val="24"/>
          <w:szCs w:val="24"/>
        </w:rPr>
      </w:pPr>
      <w:bookmarkStart w:id="86" w:name="_Toc494363309"/>
      <w:r w:rsidRPr="009A3C86">
        <w:rPr>
          <w:rFonts w:ascii="Times New Roman" w:hAnsi="Times New Roman"/>
          <w:b/>
          <w:bCs/>
          <w:sz w:val="24"/>
          <w:szCs w:val="24"/>
        </w:rPr>
        <w:t xml:space="preserve">Rozdział </w:t>
      </w:r>
      <w:r w:rsidR="00C42B00" w:rsidRPr="009A3C86">
        <w:rPr>
          <w:rFonts w:ascii="Times New Roman" w:hAnsi="Times New Roman"/>
          <w:b/>
          <w:bCs/>
          <w:sz w:val="24"/>
          <w:szCs w:val="24"/>
        </w:rPr>
        <w:t>7</w:t>
      </w:r>
      <w:r w:rsidRPr="009A3C86">
        <w:rPr>
          <w:rFonts w:ascii="Times New Roman" w:hAnsi="Times New Roman"/>
          <w:b/>
          <w:bCs/>
          <w:sz w:val="24"/>
          <w:szCs w:val="24"/>
        </w:rPr>
        <w:t>. Kontrola podatkowa</w:t>
      </w:r>
      <w:bookmarkEnd w:id="86"/>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1. W zakresie kontroli podatkowej podstawowym celem projektowanych przepisów jest stworzenie ram prawnych, które usprawnią procedurę kontroli podatkowej </w:t>
      </w:r>
      <w:r w:rsidRPr="009A3C86">
        <w:rPr>
          <w:rFonts w:ascii="Times New Roman" w:hAnsi="Times New Roman"/>
          <w:sz w:val="24"/>
          <w:szCs w:val="24"/>
        </w:rPr>
        <w:br/>
        <w:t>z jednoczesnym zagwarantowaniem kontrolowanemu szerokich uprawnień procesowych. Projekt zakłada unormowanie jednolitej, zintegrowanej procedury kontroli podatkowej, która jest jednocześnie odrębną instytucją od postępowania podatkowego. Nie można bowiem zapominać, że działania organów podatkowych podejmowane na podstawie przepisów regulujących postępowanie podatkowe o jurysdykcyjnym charakterze służą załatwianiu spraw podatkowych w formie decyzji podatkowych, w których następuje władcze orzekanie o obowiązkach lub uprawnieniach określonych podmiotów. Kontrola podatkowa jest natomiast wykorzystywana do badania, czy obowiązki wynikające z przepisów prawa podatkowego są realizowane. Z jednej strony ich celem jest więc niedopuszczenie do wszczynania zbędnych postępowań podatkowych, w sytuacji gdy zobowiązani prawidłowo wywiązują się z obowiązków, z drugiej zaś wstępne zbadanie sprawy i zebranie materiału dowodowego, który będzie mógł być wykorzystany w ewentualnym postępowaniu jurysdykcyjnym, w przypadku gdy takie obowiązki nie są respektowane</w:t>
      </w:r>
      <w:r w:rsidRPr="009A3C86">
        <w:rPr>
          <w:rFonts w:ascii="Times New Roman" w:hAnsi="Times New Roman"/>
          <w:sz w:val="24"/>
          <w:szCs w:val="24"/>
          <w:vertAlign w:val="superscript"/>
        </w:rPr>
        <w:footnoteReference w:id="557"/>
      </w:r>
      <w:r w:rsidRPr="009A3C86">
        <w:rPr>
          <w:rFonts w:ascii="Times New Roman" w:hAnsi="Times New Roman"/>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bCs/>
          <w:sz w:val="24"/>
          <w:szCs w:val="24"/>
        </w:rPr>
        <w:t>Warto również zauważyć, iż do systemu prawa podatkowego wprowadzono odrębną regulację w zakresie kontroli dla podatników co do zasady wywiązujących się z obowiązków podatkowych oraz bardziej rygorystyczną procedurę kontroli nakierowaną na zwalczanie</w:t>
      </w:r>
      <w:r w:rsidRPr="009A3C86">
        <w:rPr>
          <w:rFonts w:ascii="Times New Roman" w:hAnsi="Times New Roman"/>
          <w:bCs/>
          <w:iCs/>
          <w:sz w:val="24"/>
          <w:szCs w:val="24"/>
        </w:rPr>
        <w:t xml:space="preserve"> szeroko rozumianej przestępczości skarbowej.</w:t>
      </w:r>
      <w:r w:rsidRPr="009A3C86">
        <w:rPr>
          <w:rFonts w:ascii="Times New Roman" w:hAnsi="Times New Roman"/>
          <w:sz w:val="24"/>
          <w:szCs w:val="24"/>
        </w:rPr>
        <w:t xml:space="preserve"> Istotna jest więc dywersyfikacja procedury kontroli, a kryteria stosowania tych procedur powinny nawiązywać do wagi nieprawidłowości lub stopnia szkodliwości popełnionych przestępstw skarbowych i potrzeby szybkiego zabezpieczenia materiału dowodowego. Powyższe uwarunkowania, mające na celu zwalczanie szarej strefy gospodarczej oraz skuteczne ściganie najpoważniejszych przestępstw o charakterze finansowym, były podstawą do przyznania naczelnikowi urzędu celno-skarbowego określonych w ustawie </w:t>
      </w:r>
      <w:r w:rsidR="007D2FC8" w:rsidRPr="009A3C86">
        <w:rPr>
          <w:rFonts w:ascii="Times New Roman" w:hAnsi="Times New Roman"/>
          <w:sz w:val="24"/>
          <w:szCs w:val="24"/>
        </w:rPr>
        <w:t xml:space="preserve">z dnia 16 listopada 2016 r. </w:t>
      </w:r>
      <w:r w:rsidRPr="009A3C86">
        <w:rPr>
          <w:rFonts w:ascii="Times New Roman" w:hAnsi="Times New Roman"/>
          <w:sz w:val="24"/>
          <w:szCs w:val="24"/>
        </w:rPr>
        <w:t xml:space="preserve">o Krajowej Administracji Skarbowej </w:t>
      </w:r>
      <w:r w:rsidRPr="009A3C86">
        <w:rPr>
          <w:rFonts w:ascii="Times New Roman" w:hAnsi="Times New Roman"/>
          <w:sz w:val="24"/>
          <w:szCs w:val="24"/>
        </w:rPr>
        <w:lastRenderedPageBreak/>
        <w:t xml:space="preserve">szczególnych uprawnień kontrolnych zawartych w normach prawnych regulujących kontrolę celno-skarbową. Kontrola podatkowa prowadzona przez naczelnika urzędu skarbowego z założenia powinna być natomiast </w:t>
      </w:r>
      <w:r w:rsidRPr="009A3C86">
        <w:rPr>
          <w:rFonts w:ascii="Times New Roman" w:hAnsi="Times New Roman"/>
          <w:bCs/>
          <w:iCs/>
          <w:sz w:val="24"/>
          <w:szCs w:val="24"/>
        </w:rPr>
        <w:t>skierowana do podatników wywiązujących się z obowiązków podatkowych. G</w:t>
      </w:r>
      <w:r w:rsidRPr="009A3C86">
        <w:rPr>
          <w:rFonts w:ascii="Times New Roman" w:hAnsi="Times New Roman"/>
          <w:bCs/>
          <w:sz w:val="24"/>
          <w:szCs w:val="24"/>
        </w:rPr>
        <w:t xml:space="preserve">ranica pomiędzy tymi dwoma reżimami kontroli została wprowadzona w ustawie </w:t>
      </w:r>
      <w:r w:rsidRPr="009A3C86">
        <w:rPr>
          <w:rFonts w:ascii="Times New Roman" w:hAnsi="Times New Roman"/>
          <w:sz w:val="24"/>
          <w:szCs w:val="24"/>
        </w:rPr>
        <w:t>o Krajowej Administracji Skarbowej</w:t>
      </w:r>
      <w:r w:rsidRPr="009A3C86">
        <w:rPr>
          <w:rFonts w:ascii="Times New Roman" w:hAnsi="Times New Roman"/>
          <w:bCs/>
          <w:iCs/>
          <w:sz w:val="24"/>
          <w:szCs w:val="24"/>
        </w:rPr>
        <w:t>.</w:t>
      </w:r>
      <w:r w:rsidRPr="009A3C86">
        <w:rPr>
          <w:rFonts w:ascii="Times New Roman" w:hAnsi="Times New Roman"/>
          <w:sz w:val="24"/>
          <w:szCs w:val="24"/>
        </w:rPr>
        <w:t xml:space="preserve">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2. Należy jednak podkreślić, iż pomimo rozróżnienia tych dwóch instytucji nastąpiło w pewnym sensie zbliżenie procedur kontrolnych przestrzegania przepisów prawa podatkowego po wejściu w życie z dniem 1</w:t>
      </w:r>
      <w:r w:rsidR="007D2FC8" w:rsidRPr="009A3C86">
        <w:rPr>
          <w:rFonts w:ascii="Times New Roman" w:hAnsi="Times New Roman"/>
          <w:sz w:val="24"/>
          <w:szCs w:val="24"/>
        </w:rPr>
        <w:t xml:space="preserve"> marca </w:t>
      </w:r>
      <w:r w:rsidRPr="009A3C86">
        <w:rPr>
          <w:rFonts w:ascii="Times New Roman" w:hAnsi="Times New Roman"/>
          <w:sz w:val="24"/>
          <w:szCs w:val="24"/>
        </w:rPr>
        <w:t xml:space="preserve">2017 r. ustawy o Krajowej Administracji Skarbowej. Ustawa ta wprowadziła bowiem kontrolę celno-skarbową, w ramach której istnieje wiele instytucji prawnych podobnych do tych, które obecnie funkcjonują w ramach kontroli podatkowej. W przepisach tych wprowadzono również szerokie odesłanie do odpowiedniego stosowania taksatywnie wymienionych przepisów ordynacji podatkowej. Wyodrębnienie zaostrzonej procedury kontrolnej jest bowiem uzasadnione wobec podmiotów prowadzących działalność gospodarczą, których cechuje wysokie prawdopodobieństwo wystąpienia nieprawidłowości na wielką skalę oraz rozmiar, złożoność </w:t>
      </w:r>
      <w:r w:rsidR="00891828" w:rsidRPr="009A3C86">
        <w:rPr>
          <w:rFonts w:ascii="Times New Roman" w:hAnsi="Times New Roman"/>
          <w:sz w:val="24"/>
          <w:szCs w:val="24"/>
        </w:rPr>
        <w:t>i</w:t>
      </w:r>
      <w:r w:rsidRPr="009A3C86">
        <w:rPr>
          <w:rFonts w:ascii="Times New Roman" w:hAnsi="Times New Roman"/>
          <w:sz w:val="24"/>
          <w:szCs w:val="24"/>
        </w:rPr>
        <w:t xml:space="preserve"> stopień oddziaływania, wpływające na system bezpieczeństwa finansowego państwa (rezygnacja z instytucji uprzedniego zawiadomienia o kontroli, brak właściwości miejscowej, zabezpieczenie dokumentów itp.).</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Zaproponowane rozwiązania legislacyjne w zakresie kontroli podatkowej </w:t>
      </w:r>
      <w:r w:rsidRPr="009A3C86">
        <w:rPr>
          <w:rFonts w:ascii="Times New Roman" w:hAnsi="Times New Roman"/>
          <w:bCs/>
          <w:iCs/>
          <w:sz w:val="24"/>
          <w:szCs w:val="24"/>
        </w:rPr>
        <w:t>kierunkowo opierają się na obecnych przepisach ordynacji podatkowej oraz ustawie z dnia 6 marca 2018 r. – Prawo przedsiębiorców i</w:t>
      </w:r>
      <w:r w:rsidRPr="009A3C86">
        <w:rPr>
          <w:rFonts w:ascii="Times New Roman" w:hAnsi="Times New Roman"/>
          <w:sz w:val="24"/>
          <w:szCs w:val="24"/>
        </w:rPr>
        <w:t xml:space="preserve"> zostały podzielone na cztery oddziały</w:t>
      </w:r>
      <w:r w:rsidRPr="009A3C86">
        <w:rPr>
          <w:rFonts w:ascii="Times New Roman" w:hAnsi="Times New Roman"/>
          <w:bCs/>
          <w:iCs/>
          <w:sz w:val="24"/>
          <w:szCs w:val="24"/>
        </w:rPr>
        <w:t>: przepisy ogólne, wszczęcie kontroli, czynności kontrolne oraz zakończenie i dokumentowanie kontroli podatkowej.</w:t>
      </w:r>
    </w:p>
    <w:p w:rsidR="00181896" w:rsidRPr="009A3C86" w:rsidRDefault="00181896" w:rsidP="00D72E74">
      <w:pPr>
        <w:keepNext/>
        <w:keepLines/>
        <w:spacing w:before="120" w:after="0" w:line="360" w:lineRule="auto"/>
        <w:jc w:val="both"/>
        <w:outlineLvl w:val="3"/>
        <w:rPr>
          <w:rFonts w:ascii="Times New Roman" w:eastAsia="Times New Roman" w:hAnsi="Times New Roman"/>
          <w:b/>
          <w:iCs/>
          <w:sz w:val="24"/>
          <w:szCs w:val="24"/>
        </w:rPr>
      </w:pPr>
      <w:bookmarkStart w:id="87" w:name="_Toc494363310"/>
      <w:r w:rsidRPr="009A3C86">
        <w:rPr>
          <w:rFonts w:ascii="Times New Roman" w:eastAsia="Times New Roman" w:hAnsi="Times New Roman"/>
          <w:b/>
          <w:iCs/>
          <w:sz w:val="24"/>
          <w:szCs w:val="24"/>
        </w:rPr>
        <w:t>Oddział 1. Przepisy ogólne</w:t>
      </w:r>
      <w:bookmarkEnd w:id="87"/>
    </w:p>
    <w:p w:rsidR="00181896" w:rsidRPr="009A3C86" w:rsidRDefault="00181896" w:rsidP="00181896">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1. W nowych regulacjach proponuje się przede wszystkim wyeksponowanie i uzupełnienie celu kontroli podatkowej, który z jednej strony polega na sprawdzeniu przez organ podatkowy wywiązywania się przez kontrolowanych z obowiązków, z drugiej natomiast służy poinformowaniu kontrolowanego o ewentualnie stwierdzonych nieprawidłowościach, tak aby zobowiązany mógł dokonać korekty deklaracji po zakończonej kontroli (</w:t>
      </w:r>
      <w:r w:rsidRPr="009A3C86">
        <w:rPr>
          <w:rFonts w:ascii="Times New Roman" w:hAnsi="Times New Roman"/>
          <w:b/>
          <w:sz w:val="24"/>
          <w:szCs w:val="24"/>
          <w:lang w:eastAsia="pl-PL"/>
        </w:rPr>
        <w:t xml:space="preserve">art. </w:t>
      </w:r>
      <w:r w:rsidR="007D2FC8" w:rsidRPr="009A3C86">
        <w:rPr>
          <w:rFonts w:ascii="Times New Roman" w:hAnsi="Times New Roman"/>
          <w:b/>
          <w:sz w:val="24"/>
          <w:szCs w:val="24"/>
          <w:lang w:eastAsia="pl-PL"/>
        </w:rPr>
        <w:t>666</w:t>
      </w:r>
      <w:r w:rsidRPr="009A3C86">
        <w:rPr>
          <w:rFonts w:ascii="Times New Roman" w:hAnsi="Times New Roman"/>
          <w:b/>
          <w:sz w:val="24"/>
          <w:szCs w:val="24"/>
          <w:lang w:eastAsia="pl-PL"/>
        </w:rPr>
        <w:t xml:space="preserve"> § 2</w:t>
      </w:r>
      <w:r w:rsidRPr="009A3C86">
        <w:rPr>
          <w:rFonts w:ascii="Times New Roman" w:hAnsi="Times New Roman"/>
          <w:sz w:val="24"/>
          <w:szCs w:val="24"/>
          <w:lang w:eastAsia="pl-PL"/>
        </w:rPr>
        <w:t xml:space="preserve">). Celem kontroli jest ustalenie istniejącego stanu faktycznego odnoszącego się do działalności zobowiązanego w zakresie mającym znaczenie dla realizacji obowiązków wynikających z przepisów prawa. Z drugiej strony służy ona określeniu tych obowiązków i jednocześnie praw, które mu przysługują. Kontrola podatkowa nie jest zatem nakierowana na rozstrzygnięcie indywidualnej sprawy podatkowej w drodze decyzji, lecz ma na celu zbadanie stanu faktycznego oraz stwierdzenie, czy rozliczenie podatkowe jest zgodne z przepisami prawa </w:t>
      </w:r>
      <w:r w:rsidRPr="009A3C86">
        <w:rPr>
          <w:rFonts w:ascii="Times New Roman" w:hAnsi="Times New Roman"/>
          <w:sz w:val="24"/>
          <w:szCs w:val="24"/>
          <w:lang w:eastAsia="pl-PL"/>
        </w:rPr>
        <w:lastRenderedPageBreak/>
        <w:t xml:space="preserve">podatkowego. W związku z wprowadzeniem instytucji decyzji cząstkowej, gdzie przedmiotem decyzji może być część zobowiązania podatkowego (art. </w:t>
      </w:r>
      <w:r w:rsidR="007D2FC8" w:rsidRPr="009A3C86">
        <w:rPr>
          <w:rFonts w:ascii="Times New Roman" w:hAnsi="Times New Roman"/>
          <w:sz w:val="24"/>
          <w:szCs w:val="24"/>
          <w:lang w:eastAsia="pl-PL"/>
        </w:rPr>
        <w:t>130</w:t>
      </w:r>
      <w:r w:rsidRPr="009A3C86">
        <w:rPr>
          <w:rFonts w:ascii="Times New Roman" w:hAnsi="Times New Roman"/>
          <w:sz w:val="24"/>
          <w:szCs w:val="24"/>
          <w:lang w:eastAsia="pl-PL"/>
        </w:rPr>
        <w:t xml:space="preserve"> § 5) doprecyzowano również przepisy w zakresie kontroli podatkowej, która może być również prowadzona w części wskazanej w upoważnieniu do kontroli</w:t>
      </w:r>
      <w:r w:rsidR="00E14A91" w:rsidRPr="009A3C86">
        <w:rPr>
          <w:rFonts w:ascii="Times New Roman" w:hAnsi="Times New Roman"/>
          <w:sz w:val="24"/>
          <w:szCs w:val="24"/>
          <w:lang w:eastAsia="pl-PL"/>
        </w:rPr>
        <w:t xml:space="preserve"> (</w:t>
      </w:r>
      <w:r w:rsidR="00E14A91" w:rsidRPr="009A3C86">
        <w:rPr>
          <w:rFonts w:ascii="Times New Roman" w:hAnsi="Times New Roman"/>
          <w:b/>
          <w:sz w:val="24"/>
          <w:szCs w:val="24"/>
          <w:lang w:eastAsia="pl-PL"/>
        </w:rPr>
        <w:t>art. 666 § 3</w:t>
      </w:r>
      <w:r w:rsidR="00E14A91" w:rsidRPr="009A3C86">
        <w:rPr>
          <w:rFonts w:ascii="Times New Roman" w:hAnsi="Times New Roman"/>
          <w:sz w:val="24"/>
          <w:szCs w:val="24"/>
          <w:lang w:eastAsia="pl-PL"/>
        </w:rPr>
        <w:t>)</w:t>
      </w:r>
      <w:r w:rsidRPr="009A3C86">
        <w:rPr>
          <w:rFonts w:ascii="Times New Roman" w:hAnsi="Times New Roman"/>
          <w:sz w:val="24"/>
          <w:szCs w:val="24"/>
          <w:lang w:eastAsia="pl-PL"/>
        </w:rPr>
        <w:t>.</w:t>
      </w:r>
    </w:p>
    <w:p w:rsidR="00181896" w:rsidRPr="009A3C86" w:rsidRDefault="00181896" w:rsidP="00181896">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Zaproponowane przepisy w zakresie kontroli podatkowej obejmują ponadto sprawdzenie stosowania uznanej przez Szefa Krajowej Administracji Skarbowej metody ustalania ceny transakcyjnej między podmiotami powiązanymi (</w:t>
      </w:r>
      <w:r w:rsidRPr="009A3C86">
        <w:rPr>
          <w:rFonts w:ascii="Times New Roman" w:hAnsi="Times New Roman"/>
          <w:b/>
          <w:sz w:val="24"/>
          <w:szCs w:val="24"/>
          <w:lang w:eastAsia="pl-PL"/>
        </w:rPr>
        <w:t xml:space="preserve">art. </w:t>
      </w:r>
      <w:r w:rsidR="007D2FC8" w:rsidRPr="009A3C86">
        <w:rPr>
          <w:rFonts w:ascii="Times New Roman" w:hAnsi="Times New Roman"/>
          <w:b/>
          <w:sz w:val="24"/>
          <w:szCs w:val="24"/>
          <w:lang w:eastAsia="pl-PL"/>
        </w:rPr>
        <w:t>666</w:t>
      </w:r>
      <w:r w:rsidRPr="009A3C86">
        <w:rPr>
          <w:rFonts w:ascii="Times New Roman" w:hAnsi="Times New Roman"/>
          <w:b/>
          <w:sz w:val="24"/>
          <w:szCs w:val="24"/>
          <w:lang w:eastAsia="pl-PL"/>
        </w:rPr>
        <w:t xml:space="preserve"> § </w:t>
      </w:r>
      <w:r w:rsidR="00891828" w:rsidRPr="009A3C86">
        <w:rPr>
          <w:rFonts w:ascii="Times New Roman" w:hAnsi="Times New Roman"/>
          <w:b/>
          <w:sz w:val="24"/>
          <w:szCs w:val="24"/>
          <w:lang w:eastAsia="pl-PL"/>
        </w:rPr>
        <w:t>4</w:t>
      </w:r>
      <w:r w:rsidRPr="009A3C86">
        <w:rPr>
          <w:rFonts w:ascii="Times New Roman" w:hAnsi="Times New Roman"/>
          <w:sz w:val="24"/>
          <w:szCs w:val="24"/>
          <w:lang w:eastAsia="pl-PL"/>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2. Przez ostatnie lata system kontroli w Polsce uległ znacznym przeobrażeniom. Podkreślenia wymaga fakt, iż w projekcie ordynacji podatkowej kontrola podatkowa uregulowana jest przede wszystkim w dziale IV, jednak ważny zakres regulacji jej dotyczący jest obecnie umiejscowiony także w ustawie </w:t>
      </w:r>
      <w:r w:rsidRPr="009A3C86">
        <w:rPr>
          <w:rFonts w:ascii="Times New Roman" w:hAnsi="Times New Roman"/>
          <w:bCs/>
          <w:iCs/>
          <w:sz w:val="24"/>
          <w:szCs w:val="24"/>
        </w:rPr>
        <w:t>z dnia 6 marca 2018 r. – Prawo przedsiębiorców</w:t>
      </w:r>
      <w:r w:rsidRPr="009A3C86">
        <w:rPr>
          <w:rFonts w:ascii="Times New Roman" w:hAnsi="Times New Roman"/>
          <w:sz w:val="24"/>
          <w:szCs w:val="24"/>
        </w:rPr>
        <w:t xml:space="preserve">. Projektowana ustawa zakłada pozostawienie szczególnej ochrony podmiotów prowadzących działalność gospodarczą poprzez pełne stosowanie przepisów rozdziału 5 ustawy z </w:t>
      </w:r>
      <w:r w:rsidRPr="009A3C86">
        <w:rPr>
          <w:rFonts w:ascii="Times New Roman" w:hAnsi="Times New Roman"/>
          <w:bCs/>
          <w:iCs/>
          <w:sz w:val="24"/>
          <w:szCs w:val="24"/>
        </w:rPr>
        <w:t xml:space="preserve">dnia 6 marca 2018 r. – Prawo przedsiębiorców </w:t>
      </w:r>
      <w:r w:rsidRPr="009A3C86">
        <w:rPr>
          <w:rFonts w:ascii="Times New Roman" w:hAnsi="Times New Roman"/>
          <w:sz w:val="24"/>
          <w:szCs w:val="24"/>
        </w:rPr>
        <w:t>(</w:t>
      </w:r>
      <w:r w:rsidRPr="009A3C86">
        <w:rPr>
          <w:rFonts w:ascii="Times New Roman" w:hAnsi="Times New Roman"/>
          <w:b/>
          <w:sz w:val="24"/>
          <w:szCs w:val="24"/>
        </w:rPr>
        <w:t xml:space="preserve">art. </w:t>
      </w:r>
      <w:r w:rsidR="00E14A91" w:rsidRPr="009A3C86">
        <w:rPr>
          <w:rFonts w:ascii="Times New Roman" w:hAnsi="Times New Roman"/>
          <w:b/>
          <w:sz w:val="24"/>
          <w:szCs w:val="24"/>
        </w:rPr>
        <w:t>667</w:t>
      </w:r>
      <w:r w:rsidRPr="009A3C86">
        <w:rPr>
          <w:rFonts w:ascii="Times New Roman" w:hAnsi="Times New Roman"/>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bCs/>
          <w:iCs/>
          <w:sz w:val="24"/>
          <w:szCs w:val="24"/>
        </w:rPr>
        <w:t xml:space="preserve">3. Oprócz rozszerzenia celu kontroli podatkowej wprowadzono również ograniczenia możliwości prowadzenia kontroli podatkowej w tej samej sprawie. W </w:t>
      </w:r>
      <w:r w:rsidRPr="009A3C86">
        <w:rPr>
          <w:rFonts w:ascii="Times New Roman" w:hAnsi="Times New Roman"/>
          <w:b/>
          <w:bCs/>
          <w:iCs/>
          <w:sz w:val="24"/>
          <w:szCs w:val="24"/>
        </w:rPr>
        <w:t xml:space="preserve">art. </w:t>
      </w:r>
      <w:r w:rsidR="00E14A91" w:rsidRPr="009A3C86">
        <w:rPr>
          <w:rFonts w:ascii="Times New Roman" w:hAnsi="Times New Roman"/>
          <w:b/>
          <w:bCs/>
          <w:iCs/>
          <w:sz w:val="24"/>
          <w:szCs w:val="24"/>
        </w:rPr>
        <w:t>668</w:t>
      </w:r>
      <w:r w:rsidRPr="009A3C86">
        <w:rPr>
          <w:rFonts w:ascii="Times New Roman" w:hAnsi="Times New Roman"/>
          <w:b/>
          <w:bCs/>
          <w:iCs/>
          <w:sz w:val="24"/>
          <w:szCs w:val="24"/>
        </w:rPr>
        <w:t xml:space="preserve"> </w:t>
      </w:r>
      <w:r w:rsidRPr="009A3C86">
        <w:rPr>
          <w:rFonts w:ascii="Times New Roman" w:hAnsi="Times New Roman"/>
          <w:b/>
          <w:sz w:val="24"/>
          <w:szCs w:val="24"/>
        </w:rPr>
        <w:t>§ 2</w:t>
      </w:r>
      <w:r w:rsidRPr="009A3C86">
        <w:rPr>
          <w:rFonts w:ascii="Times New Roman" w:hAnsi="Times New Roman"/>
          <w:sz w:val="24"/>
          <w:szCs w:val="24"/>
        </w:rPr>
        <w:t xml:space="preserve"> wskazano jednak sytuację, w których kontrola będzie </w:t>
      </w:r>
      <w:r w:rsidRPr="009A3C86">
        <w:rPr>
          <w:rFonts w:ascii="Times New Roman" w:hAnsi="Times New Roman"/>
          <w:bCs/>
          <w:iCs/>
          <w:sz w:val="24"/>
          <w:szCs w:val="24"/>
        </w:rPr>
        <w:t>możliwa.</w:t>
      </w:r>
      <w:r w:rsidRPr="009A3C86">
        <w:rPr>
          <w:rFonts w:ascii="Times New Roman" w:hAnsi="Times New Roman"/>
          <w:sz w:val="24"/>
          <w:szCs w:val="24"/>
        </w:rPr>
        <w:t xml:space="preserve"> </w:t>
      </w:r>
      <w:r w:rsidRPr="009A3C86">
        <w:rPr>
          <w:rFonts w:ascii="Times New Roman" w:hAnsi="Times New Roman"/>
          <w:bCs/>
          <w:iCs/>
          <w:sz w:val="24"/>
          <w:szCs w:val="24"/>
        </w:rPr>
        <w:t>Dotyczy to przede wszystkim spraw,</w:t>
      </w:r>
      <w:r w:rsidRPr="009A3C86">
        <w:rPr>
          <w:rFonts w:ascii="Times New Roman" w:hAnsi="Times New Roman"/>
          <w:sz w:val="24"/>
          <w:szCs w:val="24"/>
        </w:rPr>
        <w:t xml:space="preserve"> gdy wydanie decyzji podatkowej dopuszcza odstąpienie od zasady trwałości decyzji podatkowych przez zastosowanie instytucji prawnych: wznowienia postępowania, stwierdzenia nieważności decyzji, uchylenia lub zmiany decyzji ostatecznej, wygaśnięcia decyzji. Jeśli właściwy organ podatkowy zamierza w sprawie wszcząć jedno z wymienionych w tych przepisach postępowań, może zostać ono poprzedzone kontrolą podatkową, mimo wcześniejszego określenia lub ustalenia obowiązków w drodze decyzji ostatecznej. W pozostałych przypadkach ponowne prowadzenie kontroli podatkowej będzie niedozwolone, a ewentualne uzupełnienie materiału dowodowego może nastąpić jedynie w ramach postępowania podatkowego. Istotne jest również, iż w przypadku prowadzenia kontroli podatkowej jedynie w zakresie określonych zdarzeń lub transakcji (np. w zakresie dotyczącym decyzji cząstkowych), zakaz ponownej kontroli podatkowej dotyczy jedynie tych zdarzeń i transakcji, które zostały wskazane w upoważnieniu do kontroli. W pozostałym zakresie kontrola taka może być prowadzona.</w:t>
      </w:r>
    </w:p>
    <w:p w:rsidR="00181896" w:rsidRPr="009A3C86" w:rsidRDefault="00181896" w:rsidP="00181896">
      <w:pPr>
        <w:spacing w:after="0" w:line="360" w:lineRule="auto"/>
        <w:jc w:val="both"/>
        <w:rPr>
          <w:rFonts w:ascii="Times New Roman" w:hAnsi="Times New Roman"/>
          <w:bCs/>
          <w:iCs/>
          <w:sz w:val="24"/>
          <w:szCs w:val="24"/>
        </w:rPr>
      </w:pPr>
      <w:r w:rsidRPr="009A3C86">
        <w:rPr>
          <w:rFonts w:ascii="Times New Roman" w:hAnsi="Times New Roman"/>
          <w:sz w:val="24"/>
          <w:szCs w:val="24"/>
        </w:rPr>
        <w:t xml:space="preserve">W porównaniu zatem do obecnie obowiązujących przepisów ograniczono zakres ponownej kontroli podatkowej do trybów nadzwyczajnych, ponieważ w pozostałych przypadkach ustalenie stanu faktycznego oraz stwierdzenie, czy jest on zgodny z przepisami prawa podatkowego, może nastąpić w ramach prowadzonego postępowania podatkowego. Powyższe </w:t>
      </w:r>
      <w:r w:rsidRPr="009A3C86">
        <w:rPr>
          <w:rFonts w:ascii="Times New Roman" w:hAnsi="Times New Roman"/>
          <w:sz w:val="24"/>
          <w:szCs w:val="24"/>
        </w:rPr>
        <w:lastRenderedPageBreak/>
        <w:t>z całą pewnością skróci czas postępowania, co przełoży się na obniżenie kosztów zarówno po stronie administracji, jak i podatnika.</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4. W </w:t>
      </w:r>
      <w:r w:rsidRPr="009A3C86">
        <w:rPr>
          <w:rFonts w:ascii="Times New Roman" w:hAnsi="Times New Roman"/>
          <w:b/>
          <w:sz w:val="24"/>
          <w:szCs w:val="24"/>
        </w:rPr>
        <w:t xml:space="preserve">art. </w:t>
      </w:r>
      <w:r w:rsidR="00B314F8" w:rsidRPr="009A3C86">
        <w:rPr>
          <w:rFonts w:ascii="Times New Roman" w:hAnsi="Times New Roman"/>
          <w:b/>
          <w:sz w:val="24"/>
          <w:szCs w:val="24"/>
        </w:rPr>
        <w:t>669</w:t>
      </w:r>
      <w:r w:rsidRPr="009A3C86">
        <w:rPr>
          <w:rFonts w:ascii="Times New Roman" w:hAnsi="Times New Roman"/>
          <w:b/>
          <w:sz w:val="24"/>
          <w:szCs w:val="24"/>
        </w:rPr>
        <w:t xml:space="preserve"> </w:t>
      </w:r>
      <w:r w:rsidRPr="009A3C86">
        <w:rPr>
          <w:rFonts w:ascii="Times New Roman" w:hAnsi="Times New Roman"/>
          <w:sz w:val="24"/>
          <w:szCs w:val="24"/>
        </w:rPr>
        <w:t>projektu zaproponowano regulacje w zakresie przeprowadzania kontroli jednoczesnych z obc</w:t>
      </w:r>
      <w:r w:rsidR="00B314F8" w:rsidRPr="009A3C86">
        <w:rPr>
          <w:rFonts w:ascii="Times New Roman" w:hAnsi="Times New Roman"/>
          <w:sz w:val="24"/>
          <w:szCs w:val="24"/>
        </w:rPr>
        <w:t>ą</w:t>
      </w:r>
      <w:r w:rsidRPr="009A3C86">
        <w:rPr>
          <w:rFonts w:ascii="Times New Roman" w:hAnsi="Times New Roman"/>
          <w:sz w:val="24"/>
          <w:szCs w:val="24"/>
        </w:rPr>
        <w:t xml:space="preserve"> władz</w:t>
      </w:r>
      <w:r w:rsidR="00B314F8" w:rsidRPr="009A3C86">
        <w:rPr>
          <w:rFonts w:ascii="Times New Roman" w:hAnsi="Times New Roman"/>
          <w:sz w:val="24"/>
          <w:szCs w:val="24"/>
        </w:rPr>
        <w:t>ą</w:t>
      </w:r>
      <w:r w:rsidRPr="009A3C86">
        <w:rPr>
          <w:rFonts w:ascii="Times New Roman" w:hAnsi="Times New Roman"/>
          <w:sz w:val="24"/>
          <w:szCs w:val="24"/>
        </w:rPr>
        <w:t>. W porównaniu do dotychczas obowiązujących przepisów uzupełniono projektowane regulacje o przepisy dotyczące formy przystąpienia do tego rodzaju kontroli. W przypadku gdy obca władza wystąpiła o przeprowadzenie kontroli jednoczesnej, Szef Krajowej Administracji Skarbowej potwierdza przystąpienie do kontroli albo odmawia przeprowadzenia kontroli, uzasadniając przyczynę odmowy, a formą właściwą jest postanowienie.</w:t>
      </w:r>
    </w:p>
    <w:p w:rsidR="00B314F8" w:rsidRPr="009A3C86" w:rsidRDefault="00B314F8" w:rsidP="00B314F8">
      <w:pPr>
        <w:spacing w:after="0" w:line="360" w:lineRule="auto"/>
        <w:jc w:val="both"/>
        <w:rPr>
          <w:rFonts w:ascii="Times New Roman" w:hAnsi="Times New Roman"/>
          <w:sz w:val="24"/>
          <w:szCs w:val="24"/>
        </w:rPr>
      </w:pPr>
      <w:r w:rsidRPr="009A3C86">
        <w:rPr>
          <w:rFonts w:ascii="Times New Roman" w:hAnsi="Times New Roman"/>
          <w:sz w:val="24"/>
          <w:szCs w:val="24"/>
        </w:rPr>
        <w:t xml:space="preserve">5. W </w:t>
      </w:r>
      <w:r w:rsidRPr="009A3C86">
        <w:rPr>
          <w:rFonts w:ascii="Times New Roman" w:hAnsi="Times New Roman"/>
          <w:b/>
          <w:sz w:val="24"/>
          <w:szCs w:val="24"/>
        </w:rPr>
        <w:t>art. 670</w:t>
      </w:r>
      <w:r w:rsidRPr="009A3C86">
        <w:rPr>
          <w:rFonts w:ascii="Times New Roman" w:hAnsi="Times New Roman"/>
          <w:sz w:val="24"/>
          <w:szCs w:val="24"/>
        </w:rPr>
        <w:t xml:space="preserve"> wskazano natomiast, iż w sprawach nieuregulowanych w tym rozdziale będą miały odpowiednio zastosowanie przepisy taksatywnie wymienione oraz niektóre przepisy z działu III nowej ordynacji podatkowej.</w:t>
      </w:r>
    </w:p>
    <w:p w:rsidR="00B314F8" w:rsidRPr="009A3C86" w:rsidRDefault="00B314F8" w:rsidP="00B314F8">
      <w:pPr>
        <w:spacing w:after="0" w:line="360" w:lineRule="auto"/>
        <w:jc w:val="both"/>
        <w:rPr>
          <w:rFonts w:ascii="Times New Roman" w:hAnsi="Times New Roman"/>
          <w:sz w:val="24"/>
          <w:szCs w:val="24"/>
        </w:rPr>
      </w:pPr>
      <w:r w:rsidRPr="009A3C86">
        <w:rPr>
          <w:rFonts w:ascii="Times New Roman" w:hAnsi="Times New Roman"/>
          <w:sz w:val="24"/>
          <w:szCs w:val="24"/>
        </w:rPr>
        <w:t xml:space="preserve">Wskazać należy, że w toku kontroli podatkowej może być zawarta umowa podatkowa, także przy pomocy mediatora. Przepisy o umowie podatkowej i mediacji (rozdziały 10 i 11 działu III) mają odpowiednie zastosowanie w toku kontroli podatkowej. Zakres możliwych ustaleń umownych w toku kontroli nie różni się od możliwego zakresu ustaleń umownych zawieranych w toku innych procedur (np. w postępowaniu podatkowym czy w czynnościach sprawdzających).  </w:t>
      </w:r>
    </w:p>
    <w:p w:rsidR="00181896" w:rsidRPr="009A3C86" w:rsidRDefault="00181896" w:rsidP="00D72E74">
      <w:pPr>
        <w:keepNext/>
        <w:keepLines/>
        <w:spacing w:before="120" w:after="0" w:line="360" w:lineRule="auto"/>
        <w:jc w:val="both"/>
        <w:outlineLvl w:val="3"/>
        <w:rPr>
          <w:rFonts w:ascii="Times New Roman" w:eastAsia="Times New Roman" w:hAnsi="Times New Roman"/>
          <w:b/>
          <w:iCs/>
          <w:sz w:val="24"/>
          <w:szCs w:val="24"/>
        </w:rPr>
      </w:pPr>
      <w:bookmarkStart w:id="88" w:name="_Toc494363311"/>
      <w:r w:rsidRPr="009A3C86">
        <w:rPr>
          <w:rFonts w:ascii="Times New Roman" w:eastAsia="Times New Roman" w:hAnsi="Times New Roman"/>
          <w:b/>
          <w:iCs/>
          <w:sz w:val="24"/>
          <w:szCs w:val="24"/>
        </w:rPr>
        <w:t>Oddział 2. Wszczęcie kontroli</w:t>
      </w:r>
      <w:bookmarkEnd w:id="88"/>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1. Zgodnie z </w:t>
      </w:r>
      <w:r w:rsidRPr="009A3C86">
        <w:rPr>
          <w:rFonts w:ascii="Times New Roman" w:hAnsi="Times New Roman"/>
          <w:b/>
          <w:sz w:val="24"/>
          <w:szCs w:val="24"/>
        </w:rPr>
        <w:t xml:space="preserve">art. </w:t>
      </w:r>
      <w:r w:rsidR="00B314F8" w:rsidRPr="009A3C86">
        <w:rPr>
          <w:rFonts w:ascii="Times New Roman" w:hAnsi="Times New Roman"/>
          <w:b/>
          <w:sz w:val="24"/>
          <w:szCs w:val="24"/>
        </w:rPr>
        <w:t>671</w:t>
      </w:r>
      <w:r w:rsidRPr="009A3C86">
        <w:rPr>
          <w:rFonts w:ascii="Times New Roman" w:hAnsi="Times New Roman"/>
          <w:sz w:val="24"/>
          <w:szCs w:val="24"/>
        </w:rPr>
        <w:t xml:space="preserve"> kontrolę podatkową podejmuje się wyłącznie z urzędu. Wszczęcie kontroli podatkowej na wniosek zobowiązanego jest zatem niedopuszczalne, a ewentualne żądanie takiego podmiotu można traktować jako informację o stanie faktycznym uzasadniającym potrzebę rozważenia zasadności wszczęcia kontroli z urzędu. Zgodnie natomiast z </w:t>
      </w:r>
      <w:r w:rsidRPr="009A3C86">
        <w:rPr>
          <w:rFonts w:ascii="Times New Roman" w:hAnsi="Times New Roman"/>
          <w:b/>
          <w:sz w:val="24"/>
          <w:szCs w:val="24"/>
        </w:rPr>
        <w:t xml:space="preserve">art. </w:t>
      </w:r>
      <w:r w:rsidR="00B314F8" w:rsidRPr="009A3C86">
        <w:rPr>
          <w:rFonts w:ascii="Times New Roman" w:hAnsi="Times New Roman"/>
          <w:b/>
          <w:sz w:val="24"/>
          <w:szCs w:val="24"/>
        </w:rPr>
        <w:t>672</w:t>
      </w:r>
      <w:r w:rsidRPr="009A3C86">
        <w:rPr>
          <w:rFonts w:ascii="Times New Roman" w:hAnsi="Times New Roman"/>
          <w:b/>
          <w:sz w:val="24"/>
          <w:szCs w:val="24"/>
        </w:rPr>
        <w:t xml:space="preserve"> § 1</w:t>
      </w:r>
      <w:r w:rsidRPr="009A3C86">
        <w:rPr>
          <w:rFonts w:ascii="Times New Roman" w:hAnsi="Times New Roman"/>
          <w:sz w:val="24"/>
          <w:szCs w:val="24"/>
        </w:rPr>
        <w:t xml:space="preserve">, tak jak dotychczas, organy podatkowe są zobligowane do zawiadomienia kontrolowanego o zamiarze wszczęcia kontroli podatkowej, z wyjątkiem sytuacji enumeratywnie wskazanych w przepisie art. </w:t>
      </w:r>
      <w:r w:rsidR="00B314F8" w:rsidRPr="009A3C86">
        <w:rPr>
          <w:rFonts w:ascii="Times New Roman" w:hAnsi="Times New Roman"/>
          <w:sz w:val="24"/>
          <w:szCs w:val="24"/>
        </w:rPr>
        <w:t>674</w:t>
      </w:r>
      <w:r w:rsidRPr="009A3C86">
        <w:rPr>
          <w:rFonts w:ascii="Times New Roman" w:hAnsi="Times New Roman"/>
          <w:sz w:val="24"/>
          <w:szCs w:val="24"/>
        </w:rPr>
        <w:t>, które dotyczą sytuacji, gdy zawiadomienie mija się z celem kontroli lub sam kontrolowany posiada już wiedzę o toczącej się kontroli.</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W porównaniu z obowiązującymi przepisami katalog przypadków, kiedy nie zawiadamia się kontrolowanego o zamiarze wszczęcia kontroli podatkowej, został uzupełniony o kontrole dotyczące podatku od nieruchomości, rolnego oraz leśnego, ale jedynie w zakresie sposobu użytkowania przedmiotu opodatkowania, oraz o kontrole dotyczące stwierdzenia nadpłaty. Wcześniejsze zawiadomienie praktycznie uniemożliwia organom podatkowym ustalenie </w:t>
      </w:r>
      <w:r w:rsidRPr="009A3C86">
        <w:rPr>
          <w:rFonts w:ascii="Times New Roman" w:hAnsi="Times New Roman"/>
          <w:sz w:val="24"/>
          <w:szCs w:val="24"/>
        </w:rPr>
        <w:lastRenderedPageBreak/>
        <w:t>faktycznego użytkowania, ponieważ podatnicy mają odpowiedni czas na dostosowanie przedmiotu opodatkowania do pierwotnie złożonej informacji.</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Organ podatkowy nie będzie zawiadamiać o zamiarze wszczęcia kontroli podatkowej także wtedy, jeśli kontrola dotyczy okresu rozliczeniowego, za który podatnik mimo ciążącego na nim obowiązku nie złożył deklaracji. Niezłożenie deklaracji jest poważnym uchybieniem obowiązkom podatkowym. W takim przypadku organ podatkowy powinien mieć możliwość niezapowiedzianego wszczęcia kontroli.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Kontrola podatkowa może być wszczęta nie wcześniej niż po upływie 7 dni od dania doręczenia zawiadomienia, chyba że kontrolowany wyraził zgodę lub wnosił o jej wcześniejsze przeprowadzenie. Zrezygnowano natomiast ze zbędnego, biurokratycznego obowiązku sporządzenia adnotacji z tego faktu. Informacja ta jest bowiem znana zarówno kontrolowanemu, jak i organowi podatkowemu, a jednocześnie jest obowiązkowym elementem protokołu kontroli.</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2. Zwiększenie gwarancji ochrony praw podatników było celem instytucji uprzedzenia o zamiarze przeprowadzenia kontroli wprowadzonej nowelizacją Ordynacji podatkowej z dnia 7</w:t>
      </w:r>
      <w:r w:rsidR="002A20E9" w:rsidRPr="009A3C86">
        <w:rPr>
          <w:rFonts w:ascii="Times New Roman" w:hAnsi="Times New Roman"/>
          <w:sz w:val="24"/>
          <w:szCs w:val="24"/>
        </w:rPr>
        <w:t xml:space="preserve"> listopada </w:t>
      </w:r>
      <w:r w:rsidRPr="009A3C86">
        <w:rPr>
          <w:rFonts w:ascii="Times New Roman" w:hAnsi="Times New Roman"/>
          <w:sz w:val="24"/>
          <w:szCs w:val="24"/>
        </w:rPr>
        <w:t>2008 r. o zmianie ustawy – Ordynacja podatkowa oraz niektórych innych ustaw</w:t>
      </w:r>
      <w:r w:rsidRPr="009A3C86">
        <w:rPr>
          <w:rFonts w:ascii="Times New Roman" w:hAnsi="Times New Roman"/>
          <w:sz w:val="24"/>
          <w:szCs w:val="24"/>
          <w:vertAlign w:val="superscript"/>
        </w:rPr>
        <w:footnoteReference w:id="558"/>
      </w:r>
      <w:r w:rsidRPr="009A3C86">
        <w:rPr>
          <w:rFonts w:ascii="Times New Roman" w:hAnsi="Times New Roman"/>
          <w:sz w:val="24"/>
          <w:szCs w:val="24"/>
        </w:rPr>
        <w:t>, obowiązującej od 1</w:t>
      </w:r>
      <w:r w:rsidR="002A20E9" w:rsidRPr="009A3C86">
        <w:rPr>
          <w:rFonts w:ascii="Times New Roman" w:hAnsi="Times New Roman"/>
          <w:sz w:val="24"/>
          <w:szCs w:val="24"/>
        </w:rPr>
        <w:t xml:space="preserve"> stycznia </w:t>
      </w:r>
      <w:r w:rsidRPr="009A3C86">
        <w:rPr>
          <w:rFonts w:ascii="Times New Roman" w:hAnsi="Times New Roman"/>
          <w:sz w:val="24"/>
          <w:szCs w:val="24"/>
        </w:rPr>
        <w:t>2009 r oraz zmianą ustawy o swobodzie działalności gospodarczej oraz o zmianie niektórych innych ustaw z dnia 19</w:t>
      </w:r>
      <w:r w:rsidR="002A20E9" w:rsidRPr="009A3C86">
        <w:rPr>
          <w:rFonts w:ascii="Times New Roman" w:hAnsi="Times New Roman"/>
          <w:sz w:val="24"/>
          <w:szCs w:val="24"/>
        </w:rPr>
        <w:t xml:space="preserve"> grudnia </w:t>
      </w:r>
      <w:r w:rsidRPr="009A3C86">
        <w:rPr>
          <w:rFonts w:ascii="Times New Roman" w:hAnsi="Times New Roman"/>
          <w:sz w:val="24"/>
          <w:szCs w:val="24"/>
        </w:rPr>
        <w:t>2008 r.</w:t>
      </w:r>
      <w:r w:rsidRPr="009A3C86">
        <w:rPr>
          <w:rFonts w:ascii="Times New Roman" w:hAnsi="Times New Roman"/>
          <w:sz w:val="24"/>
          <w:szCs w:val="24"/>
          <w:vertAlign w:val="superscript"/>
        </w:rPr>
        <w:footnoteReference w:id="559"/>
      </w:r>
      <w:r w:rsidRPr="009A3C86">
        <w:rPr>
          <w:rFonts w:ascii="Times New Roman" w:hAnsi="Times New Roman"/>
          <w:sz w:val="24"/>
          <w:szCs w:val="24"/>
        </w:rPr>
        <w:t>, która weszła w życie 7</w:t>
      </w:r>
      <w:r w:rsidR="002A20E9" w:rsidRPr="009A3C86">
        <w:rPr>
          <w:rFonts w:ascii="Times New Roman" w:hAnsi="Times New Roman"/>
          <w:sz w:val="24"/>
          <w:szCs w:val="24"/>
        </w:rPr>
        <w:t xml:space="preserve"> marca </w:t>
      </w:r>
      <w:r w:rsidRPr="009A3C86">
        <w:rPr>
          <w:rFonts w:ascii="Times New Roman" w:hAnsi="Times New Roman"/>
          <w:sz w:val="24"/>
          <w:szCs w:val="24"/>
        </w:rPr>
        <w:t xml:space="preserve">2009 r. Każda kontrola organów państwa, w tym kontrola podatkowa, winna być prowadzona w sposób budzący do nich zaufanie, co wynika generalnie z zasady demokratycznego państwa prawnego, ujętej w art. 2 Konstytucji RP. Odzwierciedlenie powyższej zasady ma również zastosowanie w toku kontroli podatkowej. Instytucja zawiadamiania ma na celu ochronę podatnika, przede wszystkim prowadzącego działalność gospodarczą, przed jej zdezorganizowaniem, w wyniku niezapowiedzianej kontroli podatkowej. Jednocześnie instytucja ta pozwala sprawnie i szybko przeprowadzić czynności kontrolne, ponieważ kontrolowany dowiaduje się z zawiadomienia o zakresie kontroli, co pozwala mu odpowiednio przygotować wszystkie niezbędne dokumenty i księgi rachunkowe, a niejednokrotnie zapewnić odpowiednie warunki pracy pracownikom organu podatkowego. Z drugiej strony, pozwala mu skorygować deklaracje podatkowe, a jeżeli jest ona zgodna z oczekiwaniami organu podatkowego, w sposób wymierny przyczyni się to do skrócenia czasu ewentualnej kontroli podatkowej. Ponadto funkcjonujący w Polsce </w:t>
      </w:r>
      <w:r w:rsidRPr="009A3C86">
        <w:rPr>
          <w:rFonts w:ascii="Times New Roman" w:hAnsi="Times New Roman"/>
          <w:kern w:val="24"/>
          <w:sz w:val="24"/>
          <w:szCs w:val="24"/>
        </w:rPr>
        <w:t xml:space="preserve">skomplikowany system </w:t>
      </w:r>
      <w:r w:rsidRPr="009A3C86">
        <w:rPr>
          <w:rFonts w:ascii="Times New Roman" w:hAnsi="Times New Roman"/>
          <w:kern w:val="24"/>
          <w:sz w:val="24"/>
          <w:szCs w:val="24"/>
        </w:rPr>
        <w:lastRenderedPageBreak/>
        <w:t xml:space="preserve">podatkowy i konsekwencje prawnofinansowe błędnego zastosowania norm prawnych przez podatników, płatników, czy inkasentów wymagają kompleksowej obsługi swoich spraw w trakcie kontroli przez profesjonalnych pełnomocników, czyli </w:t>
      </w:r>
      <w:r w:rsidRPr="009A3C86">
        <w:rPr>
          <w:rFonts w:ascii="Times New Roman" w:hAnsi="Times New Roman"/>
          <w:sz w:val="24"/>
          <w:szCs w:val="24"/>
        </w:rPr>
        <w:t>osoby kompetentne do reprezentacji i współpracy z kontrolującymi. Uprzedzenie o zamiarze przeprowadzenia kontroli pozwala kontrolowanemu na znalezienie odpowiedniego pełnomocnika do konkretnego zakresu kontroli wskazanemu w upoważnieniu</w:t>
      </w:r>
      <w:r w:rsidRPr="009A3C86">
        <w:rPr>
          <w:rFonts w:ascii="Times New Roman" w:hAnsi="Times New Roman"/>
          <w:sz w:val="24"/>
          <w:szCs w:val="24"/>
          <w:vertAlign w:val="superscript"/>
        </w:rPr>
        <w:footnoteReference w:id="560"/>
      </w:r>
      <w:r w:rsidRPr="009A3C86">
        <w:rPr>
          <w:rFonts w:ascii="Times New Roman" w:hAnsi="Times New Roman"/>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3. W </w:t>
      </w:r>
      <w:r w:rsidRPr="009A3C86">
        <w:rPr>
          <w:rFonts w:ascii="Times New Roman" w:hAnsi="Times New Roman"/>
          <w:b/>
          <w:sz w:val="24"/>
          <w:szCs w:val="24"/>
        </w:rPr>
        <w:t xml:space="preserve">art. </w:t>
      </w:r>
      <w:r w:rsidR="002A20E9" w:rsidRPr="009A3C86">
        <w:rPr>
          <w:rFonts w:ascii="Times New Roman" w:hAnsi="Times New Roman"/>
          <w:b/>
          <w:sz w:val="24"/>
          <w:szCs w:val="24"/>
        </w:rPr>
        <w:t>673</w:t>
      </w:r>
      <w:r w:rsidRPr="009A3C86">
        <w:rPr>
          <w:rFonts w:ascii="Times New Roman" w:hAnsi="Times New Roman"/>
          <w:sz w:val="24"/>
          <w:szCs w:val="24"/>
        </w:rPr>
        <w:t xml:space="preserve"> nowej ordynacji podatkowej zawarto katalog niezbędnych elementów zawiadomienia o zamiarze wszczęcia kontroli podatkowej oraz delegację ustawową dla ministra właściwego do spraw finansów publicznych do określenia w drodze rozporządzenia wzoru takiego zawiadomienia. Oprócz niezbędnych elementów każdego dokumentu urzędowego, czyli oznaczenia organu, daty i miejsca wystawienia, oznaczenia kontrolowanego oraz podpisu osoby upoważnionej, organy podatkowe są zobligowane do wskazania w zawiadomieniu zakresu kontroli oraz szeregu praw podatnika, ale także grożących mu sankcji związanych z kontrolą podatkową. Katalog niezbędnych informacji zawartych w zawiadomieniu uzupełniono o dodatkowe, ale istotne z punktu widzenia kontrowanego pouczenia: o prawie ustanowienia pełnomocnika oraz o sankcjach grożących za utrudnianie kontroli podatkowej (</w:t>
      </w:r>
      <w:r w:rsidRPr="009A3C86">
        <w:rPr>
          <w:rFonts w:ascii="Times New Roman" w:hAnsi="Times New Roman"/>
          <w:b/>
          <w:sz w:val="24"/>
          <w:szCs w:val="24"/>
        </w:rPr>
        <w:t xml:space="preserve">art. </w:t>
      </w:r>
      <w:r w:rsidR="002A20E9" w:rsidRPr="009A3C86">
        <w:rPr>
          <w:rFonts w:ascii="Times New Roman" w:hAnsi="Times New Roman"/>
          <w:b/>
          <w:sz w:val="24"/>
          <w:szCs w:val="24"/>
        </w:rPr>
        <w:t>673</w:t>
      </w:r>
      <w:r w:rsidRPr="009A3C86">
        <w:rPr>
          <w:rFonts w:ascii="Times New Roman" w:hAnsi="Times New Roman"/>
          <w:b/>
          <w:sz w:val="24"/>
          <w:szCs w:val="24"/>
        </w:rPr>
        <w:t xml:space="preserve"> § 1 pkt 6-7</w:t>
      </w:r>
      <w:r w:rsidRPr="009A3C86">
        <w:rPr>
          <w:rFonts w:ascii="Times New Roman" w:hAnsi="Times New Roman"/>
          <w:sz w:val="24"/>
          <w:szCs w:val="24"/>
        </w:rPr>
        <w:t xml:space="preserve">). Ponadto w porównaniu do obecnie obowiązujących przepisów ordynacji podatkowej zrezygnowano z jednej przesłanki wyłączającej obowiązek zawiadomienia o kontroli podatkowej, tj. w przypadku skazania prawomocnym wyrokiem za popełnione przestępstwa skarbowe, przestępstwa przeciwko obrotowi gospodarczemu, przestępstwa z ustawy o rachunkowości oraz wykroczenia polegające na utrudnianiu kontroli. Korzystanie przez organy podatkowe z tego wyłączenia miało miejsce niezmiernie rzadko, a jednocześnie dotyczyłoby podatników, którzy już wcześniej spełniali inną przesłankę, która zwalniała organy podatkowe z obowiązku zawiadomienia go o kontroli.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4. Zgodnie z </w:t>
      </w:r>
      <w:r w:rsidRPr="009A3C86">
        <w:rPr>
          <w:rFonts w:ascii="Times New Roman" w:hAnsi="Times New Roman"/>
          <w:b/>
          <w:sz w:val="24"/>
          <w:szCs w:val="24"/>
        </w:rPr>
        <w:t xml:space="preserve">art. </w:t>
      </w:r>
      <w:r w:rsidR="002A20E9" w:rsidRPr="009A3C86">
        <w:rPr>
          <w:rFonts w:ascii="Times New Roman" w:hAnsi="Times New Roman"/>
          <w:b/>
          <w:sz w:val="24"/>
          <w:szCs w:val="24"/>
        </w:rPr>
        <w:t>675</w:t>
      </w:r>
      <w:r w:rsidRPr="009A3C86">
        <w:rPr>
          <w:rFonts w:ascii="Times New Roman" w:hAnsi="Times New Roman"/>
          <w:b/>
          <w:sz w:val="24"/>
          <w:szCs w:val="24"/>
        </w:rPr>
        <w:t xml:space="preserve"> § 1</w:t>
      </w:r>
      <w:r w:rsidRPr="009A3C86">
        <w:rPr>
          <w:rFonts w:ascii="Times New Roman" w:hAnsi="Times New Roman"/>
          <w:sz w:val="24"/>
          <w:szCs w:val="24"/>
        </w:rPr>
        <w:t xml:space="preserve"> kontrola podatkowa jest prowadzona na podstawie imiennego upoważnienia wydanego przez organ podatkowy, a doręczenie tego upoważnienia wszczyna kontrolę, wskutek której powstają określone uprawnienia oraz obowiązki kontrolującego i kontrolowanego. Wszczęcie kontroli podatkowej następuje zatem z chwilą doręczenia kontrolowanemu lub osobie wyznaczonej do jego reprezentowania, względnie ustanowionemu pełnomocnikowi, imiennego upoważnienia do przeprowadzenia tej kontroli, z jednoczesnym okazaniem legitymacji służbowej. W przypadku kontroli podatkowej prowadzonej przez naczelnika urzędu skarbowego legitymacja ta musi być zgodna ze wzorem określonym w </w:t>
      </w:r>
      <w:r w:rsidRPr="009A3C86">
        <w:rPr>
          <w:rFonts w:ascii="Times New Roman" w:hAnsi="Times New Roman"/>
          <w:sz w:val="24"/>
          <w:szCs w:val="24"/>
        </w:rPr>
        <w:lastRenderedPageBreak/>
        <w:t>rozporządzeniu ministra właściwego do spraw finansów publicznych wydanego na podstawie delegacji ustawowej określonej w art. 3 ustawy o Krajowej Administracji Skarbowej (</w:t>
      </w:r>
      <w:r w:rsidRPr="009A3C86">
        <w:rPr>
          <w:rFonts w:ascii="Times New Roman" w:hAnsi="Times New Roman"/>
          <w:b/>
          <w:sz w:val="24"/>
          <w:szCs w:val="24"/>
        </w:rPr>
        <w:t xml:space="preserve">art. </w:t>
      </w:r>
      <w:r w:rsidR="002A20E9" w:rsidRPr="009A3C86">
        <w:rPr>
          <w:rFonts w:ascii="Times New Roman" w:hAnsi="Times New Roman"/>
          <w:b/>
          <w:sz w:val="24"/>
          <w:szCs w:val="24"/>
        </w:rPr>
        <w:t>676</w:t>
      </w:r>
      <w:r w:rsidRPr="009A3C86">
        <w:rPr>
          <w:rFonts w:ascii="Times New Roman" w:hAnsi="Times New Roman"/>
          <w:b/>
          <w:sz w:val="24"/>
          <w:szCs w:val="24"/>
        </w:rPr>
        <w:t xml:space="preserve"> § 1</w:t>
      </w:r>
      <w:r w:rsidRPr="009A3C86">
        <w:rPr>
          <w:rFonts w:ascii="Times New Roman" w:hAnsi="Times New Roman"/>
          <w:sz w:val="24"/>
          <w:szCs w:val="24"/>
        </w:rPr>
        <w:t xml:space="preserve">).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W przypadku podmiotów będących osobą prawną lub jednostką niemającą osobowości prawnej upoważnienie do kontroli doręcza się członkowi zarządu, wspólnikowi albo innej osobie upoważnionej do reprezentowania kontrolowanego lub prowadzenia jego spraw (</w:t>
      </w:r>
      <w:r w:rsidRPr="009A3C86">
        <w:rPr>
          <w:rFonts w:ascii="Times New Roman" w:hAnsi="Times New Roman"/>
          <w:b/>
          <w:sz w:val="24"/>
          <w:szCs w:val="24"/>
        </w:rPr>
        <w:t xml:space="preserve">art. </w:t>
      </w:r>
      <w:r w:rsidR="00603221" w:rsidRPr="009A3C86">
        <w:rPr>
          <w:rFonts w:ascii="Times New Roman" w:hAnsi="Times New Roman"/>
          <w:b/>
          <w:sz w:val="24"/>
          <w:szCs w:val="24"/>
        </w:rPr>
        <w:t>676</w:t>
      </w:r>
      <w:r w:rsidRPr="009A3C86">
        <w:rPr>
          <w:rFonts w:ascii="Times New Roman" w:hAnsi="Times New Roman"/>
          <w:b/>
          <w:sz w:val="24"/>
          <w:szCs w:val="24"/>
        </w:rPr>
        <w:t xml:space="preserve"> § 3</w:t>
      </w:r>
      <w:r w:rsidRPr="009A3C86">
        <w:rPr>
          <w:rFonts w:ascii="Times New Roman" w:hAnsi="Times New Roman"/>
          <w:sz w:val="24"/>
          <w:szCs w:val="24"/>
        </w:rPr>
        <w:t>). Przepisy powszechnie obowiązujące oraz akty wewnętrzne obowiązujące w danym podmiocie (statut, umowa spółki) decydują o tym, jakie osoby są upoważnione do reprezentowania osoby prawnej lub jednostek niemających osobowości prawnej. Powyższa kwestia powinna być ustalona przed rozpoczęciem kontroli, ponieważ doręczenie i okazanie ww. dokumentów niewłaściwym osobom oznacza, że kontrola podatkowa nie została skutecznie podjęta. Doręczenie kontrolowanemu przedmiotowego upoważnienia stanowi bowiem formalną przesłankę dopuszczalności prowadzenia kontroli podatkowej. Ponadto, jeżeli kontrolowanym jest zakład podmiotu zagranicznego, upoważnienie doręcza się oraz okazuje się legitymację służbową osobie faktycznie kierującej, nadzorującej lub reprezentującej działalność prowadzoną na terytorium Rzeczypospolitej Polskiej (</w:t>
      </w:r>
      <w:r w:rsidRPr="009A3C86">
        <w:rPr>
          <w:rFonts w:ascii="Times New Roman" w:hAnsi="Times New Roman"/>
          <w:b/>
          <w:sz w:val="24"/>
          <w:szCs w:val="24"/>
        </w:rPr>
        <w:t xml:space="preserve">art. </w:t>
      </w:r>
      <w:r w:rsidR="00603221" w:rsidRPr="009A3C86">
        <w:rPr>
          <w:rFonts w:ascii="Times New Roman" w:hAnsi="Times New Roman"/>
          <w:b/>
          <w:sz w:val="24"/>
          <w:szCs w:val="24"/>
        </w:rPr>
        <w:t>676</w:t>
      </w:r>
      <w:r w:rsidRPr="009A3C86">
        <w:rPr>
          <w:rFonts w:ascii="Times New Roman" w:hAnsi="Times New Roman"/>
          <w:b/>
          <w:sz w:val="24"/>
          <w:szCs w:val="24"/>
        </w:rPr>
        <w:t xml:space="preserve"> </w:t>
      </w:r>
      <w:r w:rsidR="00603221" w:rsidRPr="009A3C86">
        <w:rPr>
          <w:rFonts w:ascii="Times New Roman" w:hAnsi="Times New Roman"/>
          <w:b/>
          <w:sz w:val="24"/>
          <w:szCs w:val="24"/>
        </w:rPr>
        <w:t>§ </w:t>
      </w:r>
      <w:r w:rsidRPr="009A3C86">
        <w:rPr>
          <w:rFonts w:ascii="Times New Roman" w:hAnsi="Times New Roman"/>
          <w:b/>
          <w:sz w:val="24"/>
          <w:szCs w:val="24"/>
        </w:rPr>
        <w:t>4</w:t>
      </w:r>
      <w:r w:rsidRPr="009A3C86">
        <w:rPr>
          <w:rFonts w:ascii="Times New Roman" w:hAnsi="Times New Roman"/>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5. Warto również wskazać, iż w kontroli podatkowej będą miały odpowiednie zastosowanie przepisy działu I, w tym rozdziału </w:t>
      </w:r>
      <w:r w:rsidR="00D6561F" w:rsidRPr="009A3C86">
        <w:rPr>
          <w:rFonts w:ascii="Times New Roman" w:hAnsi="Times New Roman"/>
          <w:sz w:val="24"/>
          <w:szCs w:val="24"/>
        </w:rPr>
        <w:t>5</w:t>
      </w:r>
      <w:r w:rsidRPr="009A3C86">
        <w:rPr>
          <w:rFonts w:ascii="Times New Roman" w:hAnsi="Times New Roman"/>
          <w:sz w:val="24"/>
          <w:szCs w:val="24"/>
        </w:rPr>
        <w:t xml:space="preserve"> regulującego instytucję pełnomocnika, co w konsekwencji oznacza, iż w przypadku ustanowienia pełnomocnika ogólnego wszczęcie kontroli powinno nastąpić poprzez doręczenie upoważnienia i okazanie legitymacji służbowej temu pełnomocnikowi. Organ ma zatem obowiązek przed wszczęciem kontroli podatkowej sprawdzić w Centralnym Rejestrze Pełnomocnictw Ogólnych, czy został ustanowiony taki pełnomocnik, ponieważ z jednej strony udzielenie pełnomocnictwa ogólnego pozwala umocowanemu pełnomocnikowi na prowadzenie i działanie w każdej sprawie danego podatnika przed organami podatkowymi, z drugiej natomiast to uniwersalne upoważnienie do reprezentacji przed organami podatkowymi oznacza możliwość wszczęcia m.in. kontroli podatkowej (doręczenie upoważnienia do kontroli podatkowej). W przypadku ustanowienia pełnomocnika szczególnego przez kontrolowanego skuteczne wszczęcie kontroli może nastąpić także przez doręczenie upoważnienia i okazanie odpowiednich dokumentów temu pełnomocnikowi, jeśli jest on obecny w miejscu wszczęcia kontroli.</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6. Jednocześnie </w:t>
      </w:r>
      <w:r w:rsidRPr="009A3C86">
        <w:rPr>
          <w:rFonts w:ascii="Times New Roman" w:hAnsi="Times New Roman"/>
          <w:b/>
          <w:sz w:val="24"/>
          <w:szCs w:val="24"/>
        </w:rPr>
        <w:t xml:space="preserve">art. </w:t>
      </w:r>
      <w:r w:rsidR="00603221" w:rsidRPr="009A3C86">
        <w:rPr>
          <w:rFonts w:ascii="Times New Roman" w:hAnsi="Times New Roman"/>
          <w:b/>
          <w:sz w:val="24"/>
          <w:szCs w:val="24"/>
        </w:rPr>
        <w:t>676</w:t>
      </w:r>
      <w:r w:rsidRPr="009A3C86">
        <w:rPr>
          <w:rFonts w:ascii="Times New Roman" w:hAnsi="Times New Roman"/>
          <w:b/>
          <w:sz w:val="24"/>
          <w:szCs w:val="24"/>
        </w:rPr>
        <w:t xml:space="preserve"> § 2</w:t>
      </w:r>
      <w:r w:rsidRPr="009A3C86">
        <w:rPr>
          <w:rFonts w:ascii="Times New Roman" w:hAnsi="Times New Roman"/>
          <w:sz w:val="24"/>
          <w:szCs w:val="24"/>
        </w:rPr>
        <w:t xml:space="preserve"> projektowanych przepisów wprowadza wymóg ustanowienia pełnomocnika na wypadek nieobecności kontrolowanego (lub osób reprezentujących) w czasie kontroli, jeżeli nie ustanowiono pełnomocnika ogólnego lub szczególnego. Obligatoryjne </w:t>
      </w:r>
      <w:r w:rsidRPr="009A3C86">
        <w:rPr>
          <w:rFonts w:ascii="Times New Roman" w:hAnsi="Times New Roman"/>
          <w:sz w:val="24"/>
          <w:szCs w:val="24"/>
        </w:rPr>
        <w:lastRenderedPageBreak/>
        <w:t>ustanowienie pełnomocnika ma umożliwić dokonywanie czynności kontrolnych przez kontrolujących.</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Nieobecność osób wymienionych powyżej nie ogranicza możliwości wszczęcia kontroli podatkowej, ponieważ zgodnie z </w:t>
      </w:r>
      <w:r w:rsidRPr="009A3C86">
        <w:rPr>
          <w:rFonts w:ascii="Times New Roman" w:hAnsi="Times New Roman"/>
          <w:b/>
          <w:sz w:val="24"/>
          <w:szCs w:val="24"/>
        </w:rPr>
        <w:t xml:space="preserve">art. </w:t>
      </w:r>
      <w:r w:rsidR="00603221" w:rsidRPr="009A3C86">
        <w:rPr>
          <w:rFonts w:ascii="Times New Roman" w:hAnsi="Times New Roman"/>
          <w:b/>
          <w:sz w:val="24"/>
          <w:szCs w:val="24"/>
        </w:rPr>
        <w:t>676</w:t>
      </w:r>
      <w:r w:rsidRPr="009A3C86">
        <w:rPr>
          <w:rFonts w:ascii="Times New Roman" w:hAnsi="Times New Roman"/>
          <w:b/>
          <w:sz w:val="24"/>
          <w:szCs w:val="24"/>
        </w:rPr>
        <w:t xml:space="preserve"> § 5-7</w:t>
      </w:r>
      <w:r w:rsidRPr="009A3C86">
        <w:rPr>
          <w:rFonts w:ascii="Times New Roman" w:hAnsi="Times New Roman"/>
          <w:sz w:val="24"/>
          <w:szCs w:val="24"/>
        </w:rPr>
        <w:t xml:space="preserve"> moment wszczęcia kontroli zostaje jedynie przesunięty w czasie. Organ podatkowy jest bowiem zobligowany wezwać kontrolowanego lub inne osoby wymienione powyżej do stawienia się w miejscu prowadzenia kontroli następnego dnia po upływie 7 dni od dnia doręczenia wezwania, a jeżeli wezwanie okaże się nieskuteczne i wymienione osoby się nie stawią, datą wszczęcia kontroli będzie dzień, w którym upłynie ten termin. W takim przypadku kontrolujący ma obowiązek doręczyć upoważnienie, gdy kontrolowany stawi się w miejscu prowadzenia kontroli. To rozwiązanie ma zapobiec utrudnianiu podjęcia kontroli podatkowej przez celową nieobecność kontrolowanych lub reprezentujących ich osób w miejscu, w którym wszczynana jest kontrola. Pomimo formalnego wszczęcia kontroli podatkowej nieobecność kontrolowanego lub reprezentujących go osób może faktycznie uniemożliwić przeprowadzenie kontroli, a w szczególności, gdy nie jest zapewniony dostęp do dokumentów związanych z przedmiotem kontroli. W porównaniu do obecnie obowiązujących przepisów katalog ten został uzupełniony o sytuację, gdy zakończenie kontroli jest uzależnione od rozstrzygnięć innych organów. W takim przypadku organ podatkowy może w formie postanowienia zawiesić kontrolę do czasu umożliwienia przeprowadzenia czynności kontrolnych (</w:t>
      </w:r>
      <w:r w:rsidRPr="009A3C86">
        <w:rPr>
          <w:rFonts w:ascii="Times New Roman" w:hAnsi="Times New Roman"/>
          <w:b/>
          <w:sz w:val="24"/>
          <w:szCs w:val="24"/>
        </w:rPr>
        <w:t xml:space="preserve">art. </w:t>
      </w:r>
      <w:r w:rsidR="00603221" w:rsidRPr="009A3C86">
        <w:rPr>
          <w:rFonts w:ascii="Times New Roman" w:hAnsi="Times New Roman"/>
          <w:b/>
          <w:sz w:val="24"/>
          <w:szCs w:val="24"/>
        </w:rPr>
        <w:t>676</w:t>
      </w:r>
      <w:r w:rsidRPr="009A3C86">
        <w:rPr>
          <w:rFonts w:ascii="Times New Roman" w:hAnsi="Times New Roman"/>
          <w:b/>
          <w:sz w:val="24"/>
          <w:szCs w:val="24"/>
        </w:rPr>
        <w:t xml:space="preserve"> § 8</w:t>
      </w:r>
      <w:r w:rsidRPr="009A3C86">
        <w:rPr>
          <w:rFonts w:ascii="Times New Roman" w:hAnsi="Times New Roman"/>
          <w:sz w:val="24"/>
          <w:szCs w:val="24"/>
        </w:rPr>
        <w:t>). Przepis ten zawiera koniunkcję pomiędzy nieobecnością podmiotów w nim wymienionych a brakiem możliwości przeprowadzenia czynności kontrolnych, a w szczególności brakiem dostępu do dokumentów związanych z przedmiotem kontroli, co oznacza, że warunkiem zawieszenia kontroli podatkowej jest wystąpienie obu tych przesłanek łącznie. Zawieszenie kontroli jest fakultatywne. Nieobecność osób wymienionych w art.</w:t>
      </w:r>
      <w:r w:rsidRPr="009A3C86">
        <w:rPr>
          <w:rFonts w:ascii="Times New Roman" w:hAnsi="Times New Roman"/>
        </w:rPr>
        <w:t xml:space="preserve"> </w:t>
      </w:r>
      <w:r w:rsidR="00603221" w:rsidRPr="009A3C86">
        <w:rPr>
          <w:rFonts w:ascii="Times New Roman" w:hAnsi="Times New Roman"/>
          <w:sz w:val="24"/>
          <w:szCs w:val="24"/>
        </w:rPr>
        <w:t>676</w:t>
      </w:r>
      <w:r w:rsidRPr="009A3C86">
        <w:rPr>
          <w:rFonts w:ascii="Times New Roman" w:hAnsi="Times New Roman"/>
          <w:sz w:val="24"/>
          <w:szCs w:val="24"/>
        </w:rPr>
        <w:t xml:space="preserve"> § 8 nie powinna wiązać się z obligatoryjnym zawieszeniem kontroli. Nieobecność może mieć charakter krótkotrwały i nie wiązać się opóźnianiem kontroli. W takim przypadku zawieszenie kontroli nie byłoby uzasadnione. Organ ma obowiązek zawiadomić wymienione w przepisie osoby o czynnościach kontrolnych, ale to czy dana czynność będzie przeprowadzona czy nie, powinien decydować kontrolujący.</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Naczelnik urzędu skarbowego będzie również zobligowany do podjęcia z urzędu zawieszonej kontroli podatkowej po otrzymaniu akt kontroli od Szefa KAS w przypadkach określonych w art.</w:t>
      </w:r>
      <w:r w:rsidR="00891828" w:rsidRPr="009A3C86">
        <w:rPr>
          <w:rFonts w:ascii="Times New Roman" w:hAnsi="Times New Roman"/>
          <w:sz w:val="24"/>
          <w:szCs w:val="24"/>
        </w:rPr>
        <w:t xml:space="preserve"> </w:t>
      </w:r>
      <w:r w:rsidR="00082AF2" w:rsidRPr="009A3C86">
        <w:rPr>
          <w:rFonts w:ascii="Times New Roman" w:hAnsi="Times New Roman"/>
          <w:sz w:val="24"/>
          <w:szCs w:val="24"/>
        </w:rPr>
        <w:t>596</w:t>
      </w:r>
      <w:r w:rsidRPr="009A3C86">
        <w:rPr>
          <w:rFonts w:ascii="Times New Roman" w:hAnsi="Times New Roman"/>
          <w:sz w:val="24"/>
          <w:szCs w:val="24"/>
        </w:rPr>
        <w:t xml:space="preserve"> § 2 lub art. </w:t>
      </w:r>
      <w:r w:rsidR="00603221" w:rsidRPr="009A3C86">
        <w:rPr>
          <w:rFonts w:ascii="Times New Roman" w:hAnsi="Times New Roman"/>
          <w:sz w:val="24"/>
          <w:szCs w:val="24"/>
        </w:rPr>
        <w:t>6</w:t>
      </w:r>
      <w:r w:rsidR="00082AF2" w:rsidRPr="009A3C86">
        <w:rPr>
          <w:rFonts w:ascii="Times New Roman" w:hAnsi="Times New Roman"/>
          <w:sz w:val="24"/>
          <w:szCs w:val="24"/>
        </w:rPr>
        <w:t>02</w:t>
      </w:r>
      <w:r w:rsidRPr="009A3C86">
        <w:rPr>
          <w:rFonts w:ascii="Times New Roman" w:hAnsi="Times New Roman"/>
          <w:sz w:val="24"/>
          <w:szCs w:val="24"/>
        </w:rPr>
        <w:t xml:space="preserve"> § 1 i 2.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7. W proponowanych przepisach pozostawiono dotychczasowe regulacje w zakresie trybu uproszczonego wszczęcia kontroli podatkowej, będącego jednocześnie trybem nadzwyczajnym </w:t>
      </w:r>
      <w:r w:rsidRPr="009A3C86">
        <w:rPr>
          <w:rFonts w:ascii="Times New Roman" w:hAnsi="Times New Roman"/>
          <w:sz w:val="24"/>
          <w:szCs w:val="24"/>
        </w:rPr>
        <w:lastRenderedPageBreak/>
        <w:t>(</w:t>
      </w:r>
      <w:r w:rsidRPr="009A3C86">
        <w:rPr>
          <w:rFonts w:ascii="Times New Roman" w:hAnsi="Times New Roman"/>
          <w:b/>
          <w:sz w:val="24"/>
          <w:szCs w:val="24"/>
        </w:rPr>
        <w:t xml:space="preserve">art. </w:t>
      </w:r>
      <w:r w:rsidR="00603221" w:rsidRPr="009A3C86">
        <w:rPr>
          <w:rFonts w:ascii="Times New Roman" w:hAnsi="Times New Roman"/>
          <w:b/>
          <w:sz w:val="24"/>
          <w:szCs w:val="24"/>
        </w:rPr>
        <w:t>678</w:t>
      </w:r>
      <w:r w:rsidRPr="009A3C86">
        <w:rPr>
          <w:rFonts w:ascii="Times New Roman" w:hAnsi="Times New Roman"/>
          <w:sz w:val="24"/>
          <w:szCs w:val="24"/>
        </w:rPr>
        <w:t xml:space="preserve">). W praktyce stosowany jest on w nielicznych przypadkach, jednakże wszczęcie w tym trybie zawsze kończy się ustaleniami organów podatkowych. Wszczęcie kontroli podatkowej w tym trybie uwarunkowane jest jednak szczególnymi przesłankami, o których mowa w </w:t>
      </w:r>
      <w:r w:rsidRPr="009A3C86">
        <w:rPr>
          <w:rFonts w:ascii="Times New Roman" w:hAnsi="Times New Roman"/>
          <w:b/>
          <w:sz w:val="24"/>
          <w:szCs w:val="24"/>
        </w:rPr>
        <w:t xml:space="preserve">art. </w:t>
      </w:r>
      <w:r w:rsidR="00082AF2" w:rsidRPr="009A3C86">
        <w:rPr>
          <w:rFonts w:ascii="Times New Roman" w:hAnsi="Times New Roman"/>
          <w:b/>
          <w:sz w:val="24"/>
          <w:szCs w:val="24"/>
        </w:rPr>
        <w:t>678</w:t>
      </w:r>
      <w:r w:rsidRPr="009A3C86">
        <w:rPr>
          <w:rFonts w:ascii="Times New Roman" w:hAnsi="Times New Roman"/>
          <w:b/>
          <w:sz w:val="24"/>
          <w:szCs w:val="24"/>
        </w:rPr>
        <w:t xml:space="preserve"> § 1</w:t>
      </w:r>
      <w:r w:rsidRPr="009A3C86">
        <w:rPr>
          <w:rFonts w:ascii="Times New Roman" w:hAnsi="Times New Roman"/>
          <w:sz w:val="24"/>
          <w:szCs w:val="24"/>
        </w:rPr>
        <w:t>. Muszą bowiem zaistnieć okoliczności faktyczne uzasadniające niezwłoczne przeprowadzenie kontroli, a jednocześnie czynności kontrolne są niezbędne dla przeciwdziałania popełnieniu przestępstwa skarbowego lub wykroczenia skarbowego lub zabezpieczenia dowodów jego popełnienia.</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Dopiero po spełnieniu powyższych przesłanek, których ocena należy do kontrolujących, wszczęcie kontroli podatkowej może nastąpić po okazaniu legitymacji służbowej, zaś samo upoważnienie do przeprowadzenia kontroli podatkowej doręcza się bez zbędnej zwłoki, gdy osoba ta stawi się w miejscu prowadzenia kontroli lub siedzibie organu, jednak nie później niż w terminie 7 dni roboczych od dnia wszczęcia kontroli W przypadku niespełnienia ww. obowiązku dokumenty z czynności kontrolnych nie będą mogły, zgodnie z </w:t>
      </w:r>
      <w:r w:rsidRPr="009A3C86">
        <w:rPr>
          <w:rFonts w:ascii="Times New Roman" w:hAnsi="Times New Roman"/>
          <w:b/>
          <w:sz w:val="24"/>
          <w:szCs w:val="24"/>
        </w:rPr>
        <w:t xml:space="preserve">art. </w:t>
      </w:r>
      <w:r w:rsidR="00377E0C" w:rsidRPr="009A3C86">
        <w:rPr>
          <w:rFonts w:ascii="Times New Roman" w:hAnsi="Times New Roman"/>
          <w:b/>
          <w:sz w:val="24"/>
          <w:szCs w:val="24"/>
        </w:rPr>
        <w:t>678</w:t>
      </w:r>
      <w:r w:rsidRPr="009A3C86">
        <w:rPr>
          <w:rFonts w:ascii="Times New Roman" w:hAnsi="Times New Roman"/>
          <w:b/>
          <w:sz w:val="24"/>
          <w:szCs w:val="24"/>
        </w:rPr>
        <w:t xml:space="preserve"> § 5</w:t>
      </w:r>
      <w:r w:rsidRPr="009A3C86">
        <w:rPr>
          <w:rFonts w:ascii="Times New Roman" w:hAnsi="Times New Roman"/>
          <w:sz w:val="24"/>
          <w:szCs w:val="24"/>
        </w:rPr>
        <w:t xml:space="preserve">, stanowić dowodu w sprawie, chyba że nie można ustalić danych identyfikujących kontrolowanego.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8. Kolejnym uproszczeniem jest możliwość wszczęcia kontroli podatkowej w tym trybie, czyli poprzez okazanie legitymacji służbowej (</w:t>
      </w:r>
      <w:r w:rsidRPr="009A3C86">
        <w:rPr>
          <w:rFonts w:ascii="Times New Roman" w:hAnsi="Times New Roman"/>
          <w:b/>
          <w:sz w:val="24"/>
          <w:szCs w:val="24"/>
        </w:rPr>
        <w:t xml:space="preserve">art. </w:t>
      </w:r>
      <w:r w:rsidR="00526DE1" w:rsidRPr="009A3C86">
        <w:rPr>
          <w:rFonts w:ascii="Times New Roman" w:hAnsi="Times New Roman"/>
          <w:b/>
          <w:sz w:val="24"/>
          <w:szCs w:val="24"/>
        </w:rPr>
        <w:t>678</w:t>
      </w:r>
      <w:r w:rsidRPr="009A3C86">
        <w:rPr>
          <w:rFonts w:ascii="Times New Roman" w:hAnsi="Times New Roman"/>
          <w:b/>
          <w:sz w:val="24"/>
          <w:szCs w:val="24"/>
        </w:rPr>
        <w:t xml:space="preserve"> § 2</w:t>
      </w:r>
      <w:r w:rsidRPr="009A3C86">
        <w:rPr>
          <w:rFonts w:ascii="Times New Roman" w:hAnsi="Times New Roman"/>
          <w:sz w:val="24"/>
          <w:szCs w:val="24"/>
        </w:rPr>
        <w:t>) pracownikowi kontrolowanego lub innej osobie wykonującej czynności na rzecz kontrolowanego w miejscu wszczęcia kontroli</w:t>
      </w:r>
      <w:r w:rsidRPr="009A3C86">
        <w:rPr>
          <w:rFonts w:ascii="Times New Roman" w:hAnsi="Times New Roman"/>
          <w:sz w:val="24"/>
          <w:szCs w:val="24"/>
          <w:vertAlign w:val="superscript"/>
        </w:rPr>
        <w:footnoteReference w:id="561"/>
      </w:r>
      <w:r w:rsidRPr="009A3C86">
        <w:rPr>
          <w:rFonts w:ascii="Times New Roman" w:hAnsi="Times New Roman"/>
          <w:sz w:val="24"/>
          <w:szCs w:val="24"/>
        </w:rPr>
        <w:t>, ale jedynie w sytuacji, gdy kontrolujący nie zastaną kontrolowanego, reprezentanta kontrolowanego lub pełnomocnika. Również w tym przypadku upoważnienie do przeprowadzenia kontroli podatkowej doręcza się bez zbędnej zwłoki, jednak nie później niż w terminie 7 dni roboczych od dnia wszczęcia kontroli (</w:t>
      </w:r>
      <w:r w:rsidRPr="009A3C86">
        <w:rPr>
          <w:rFonts w:ascii="Times New Roman" w:hAnsi="Times New Roman"/>
          <w:b/>
          <w:sz w:val="24"/>
          <w:szCs w:val="24"/>
        </w:rPr>
        <w:t xml:space="preserve">art. </w:t>
      </w:r>
      <w:r w:rsidR="00526DE1" w:rsidRPr="009A3C86">
        <w:rPr>
          <w:rFonts w:ascii="Times New Roman" w:hAnsi="Times New Roman"/>
          <w:b/>
          <w:sz w:val="24"/>
          <w:szCs w:val="24"/>
        </w:rPr>
        <w:t>678</w:t>
      </w:r>
      <w:r w:rsidRPr="009A3C86">
        <w:rPr>
          <w:rFonts w:ascii="Times New Roman" w:hAnsi="Times New Roman"/>
          <w:b/>
          <w:sz w:val="24"/>
          <w:szCs w:val="24"/>
        </w:rPr>
        <w:t xml:space="preserve"> § 4</w:t>
      </w:r>
      <w:r w:rsidRPr="009A3C86">
        <w:rPr>
          <w:rFonts w:ascii="Times New Roman" w:hAnsi="Times New Roman"/>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W przypadku wszczęcia kontroli podatkowej „na legitymację”, gdy ustanowiono pełnomocnika, upoważnienie do przeprowadzenia kontroli musi być doręczone właśnie jemu, a nie kontrolowanemu, oczywiście nie później niż w terminie 7 dni od dnia wszczęcia kontroli. Proponowany przepis art. </w:t>
      </w:r>
      <w:r w:rsidR="00526DE1" w:rsidRPr="009A3C86">
        <w:rPr>
          <w:rFonts w:ascii="Times New Roman" w:hAnsi="Times New Roman"/>
          <w:sz w:val="24"/>
          <w:szCs w:val="24"/>
        </w:rPr>
        <w:t>678</w:t>
      </w:r>
      <w:r w:rsidRPr="009A3C86">
        <w:rPr>
          <w:rFonts w:ascii="Times New Roman" w:hAnsi="Times New Roman"/>
          <w:sz w:val="24"/>
          <w:szCs w:val="24"/>
        </w:rPr>
        <w:t xml:space="preserve"> § 4 nie daje bowiem możliwości wyboru adresata czynności wszczęcia kontroli podatkowej ze względu na instytucję pełnomocnika ogólnego uregulowanego w dziale I ordynacji podatkowej.</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9. Proponuje się również wprowadzenie instytucji zawieszenia kontroli podatkowej w przypadku braku możliwości ustalenia danych identyfikacyjnych kontrolowanego w okresie 30 dni od dnia wszczęcia kontroli (</w:t>
      </w:r>
      <w:r w:rsidRPr="009A3C86">
        <w:rPr>
          <w:rFonts w:ascii="Times New Roman" w:hAnsi="Times New Roman"/>
          <w:b/>
          <w:sz w:val="24"/>
          <w:szCs w:val="24"/>
        </w:rPr>
        <w:t xml:space="preserve">art. </w:t>
      </w:r>
      <w:r w:rsidR="00526DE1" w:rsidRPr="009A3C86">
        <w:rPr>
          <w:rFonts w:ascii="Times New Roman" w:hAnsi="Times New Roman"/>
          <w:b/>
          <w:sz w:val="24"/>
          <w:szCs w:val="24"/>
        </w:rPr>
        <w:t>678</w:t>
      </w:r>
      <w:r w:rsidRPr="009A3C86">
        <w:rPr>
          <w:rFonts w:ascii="Times New Roman" w:hAnsi="Times New Roman"/>
          <w:b/>
          <w:sz w:val="24"/>
          <w:szCs w:val="24"/>
        </w:rPr>
        <w:t xml:space="preserve"> § 6-10</w:t>
      </w:r>
      <w:r w:rsidRPr="009A3C86">
        <w:rPr>
          <w:rFonts w:ascii="Times New Roman" w:hAnsi="Times New Roman"/>
          <w:sz w:val="24"/>
          <w:szCs w:val="24"/>
        </w:rPr>
        <w:t xml:space="preserve">). Wydaje się, iż instytucja ta będzie stosowana </w:t>
      </w:r>
      <w:r w:rsidRPr="009A3C86">
        <w:rPr>
          <w:rFonts w:ascii="Times New Roman" w:hAnsi="Times New Roman"/>
          <w:sz w:val="24"/>
          <w:szCs w:val="24"/>
        </w:rPr>
        <w:lastRenderedPageBreak/>
        <w:t>niezmiernie rzadko, chyba że kontrolowany będzie unikał kontaktu z kontrolującymi. Reasumując, organ podatkowy w drodze postanowienia może zawiesić kontrolę podatkową jedynie w przypadku nieustalenia danych identyfikacyjnych kontrolowanego i to w ściśle określonym terminie 30 dni od dnia wszczęcia kontroli. Po zawieszeniu kontroli organ podatkowy będzie miał możliwość podjęcia kontroli podatkowej, jeżeli dane identyfikujące kontrolowanego zostaną ustalone (</w:t>
      </w:r>
      <w:r w:rsidRPr="009A3C86">
        <w:rPr>
          <w:rFonts w:ascii="Times New Roman" w:hAnsi="Times New Roman"/>
          <w:b/>
          <w:sz w:val="24"/>
          <w:szCs w:val="24"/>
        </w:rPr>
        <w:t xml:space="preserve">art. </w:t>
      </w:r>
      <w:r w:rsidR="00526DE1" w:rsidRPr="009A3C86">
        <w:rPr>
          <w:rFonts w:ascii="Times New Roman" w:hAnsi="Times New Roman"/>
          <w:b/>
          <w:sz w:val="24"/>
          <w:szCs w:val="24"/>
        </w:rPr>
        <w:t>678</w:t>
      </w:r>
      <w:r w:rsidRPr="009A3C86">
        <w:rPr>
          <w:rFonts w:ascii="Times New Roman" w:hAnsi="Times New Roman"/>
          <w:b/>
          <w:sz w:val="24"/>
          <w:szCs w:val="24"/>
        </w:rPr>
        <w:t xml:space="preserve"> § 7</w:t>
      </w:r>
      <w:r w:rsidRPr="009A3C86">
        <w:rPr>
          <w:rFonts w:ascii="Times New Roman" w:hAnsi="Times New Roman"/>
          <w:sz w:val="24"/>
          <w:szCs w:val="24"/>
        </w:rPr>
        <w:t>), a jeżeli nie zostaną ustalone w ciągu 5 lat od dnia wydania postanowienia o zawieszeniu kontroli podatkowej, zawieszona kontrola podlega umorzeniu (</w:t>
      </w:r>
      <w:r w:rsidRPr="009A3C86">
        <w:rPr>
          <w:rFonts w:ascii="Times New Roman" w:hAnsi="Times New Roman"/>
          <w:b/>
          <w:sz w:val="24"/>
          <w:szCs w:val="24"/>
        </w:rPr>
        <w:t xml:space="preserve">art. </w:t>
      </w:r>
      <w:r w:rsidR="00526DE1" w:rsidRPr="009A3C86">
        <w:rPr>
          <w:rFonts w:ascii="Times New Roman" w:hAnsi="Times New Roman"/>
          <w:b/>
          <w:sz w:val="24"/>
          <w:szCs w:val="24"/>
        </w:rPr>
        <w:t>678</w:t>
      </w:r>
      <w:r w:rsidRPr="009A3C86">
        <w:rPr>
          <w:rFonts w:ascii="Times New Roman" w:hAnsi="Times New Roman"/>
          <w:b/>
          <w:sz w:val="24"/>
          <w:szCs w:val="24"/>
        </w:rPr>
        <w:t xml:space="preserve"> § 8</w:t>
      </w:r>
      <w:r w:rsidRPr="009A3C86">
        <w:rPr>
          <w:rFonts w:ascii="Times New Roman" w:hAnsi="Times New Roman"/>
          <w:sz w:val="24"/>
          <w:szCs w:val="24"/>
        </w:rPr>
        <w:t>).</w:t>
      </w:r>
    </w:p>
    <w:p w:rsidR="00181896" w:rsidRPr="009A3C86" w:rsidRDefault="00181896" w:rsidP="00D72E74">
      <w:pPr>
        <w:keepNext/>
        <w:keepLines/>
        <w:spacing w:before="120" w:after="0" w:line="360" w:lineRule="auto"/>
        <w:jc w:val="both"/>
        <w:outlineLvl w:val="3"/>
        <w:rPr>
          <w:rFonts w:ascii="Times New Roman" w:eastAsia="Times New Roman" w:hAnsi="Times New Roman"/>
          <w:b/>
          <w:iCs/>
          <w:sz w:val="24"/>
          <w:szCs w:val="24"/>
        </w:rPr>
      </w:pPr>
      <w:bookmarkStart w:id="89" w:name="_Toc494363312"/>
      <w:r w:rsidRPr="009A3C86">
        <w:rPr>
          <w:rFonts w:ascii="Times New Roman" w:eastAsia="Times New Roman" w:hAnsi="Times New Roman"/>
          <w:b/>
          <w:iCs/>
          <w:sz w:val="24"/>
          <w:szCs w:val="24"/>
        </w:rPr>
        <w:t>Oddział 3. Czynności kontrolne</w:t>
      </w:r>
      <w:bookmarkEnd w:id="89"/>
    </w:p>
    <w:p w:rsidR="005D4AF2" w:rsidRPr="009A3C86" w:rsidRDefault="00181896" w:rsidP="005D4AF2">
      <w:pPr>
        <w:spacing w:after="0" w:line="360" w:lineRule="auto"/>
        <w:jc w:val="both"/>
        <w:rPr>
          <w:rFonts w:ascii="Times New Roman" w:hAnsi="Times New Roman"/>
          <w:bCs/>
          <w:sz w:val="24"/>
          <w:szCs w:val="24"/>
        </w:rPr>
      </w:pPr>
      <w:r w:rsidRPr="009A3C86">
        <w:rPr>
          <w:rFonts w:ascii="Times New Roman" w:hAnsi="Times New Roman"/>
          <w:sz w:val="24"/>
          <w:szCs w:val="24"/>
        </w:rPr>
        <w:t xml:space="preserve">1. W </w:t>
      </w:r>
      <w:r w:rsidRPr="009A3C86">
        <w:rPr>
          <w:rFonts w:ascii="Times New Roman" w:hAnsi="Times New Roman"/>
          <w:b/>
          <w:sz w:val="24"/>
          <w:szCs w:val="24"/>
        </w:rPr>
        <w:t xml:space="preserve">art. </w:t>
      </w:r>
      <w:r w:rsidR="00526DE1" w:rsidRPr="009A3C86">
        <w:rPr>
          <w:rFonts w:ascii="Times New Roman" w:hAnsi="Times New Roman"/>
          <w:b/>
          <w:sz w:val="24"/>
          <w:szCs w:val="24"/>
        </w:rPr>
        <w:t>681</w:t>
      </w:r>
      <w:r w:rsidRPr="009A3C86">
        <w:rPr>
          <w:rFonts w:ascii="Times New Roman" w:hAnsi="Times New Roman"/>
          <w:sz w:val="24"/>
          <w:szCs w:val="24"/>
        </w:rPr>
        <w:t xml:space="preserve"> proponuje się, aby czynności kontrolne były dokonywane w obecności kontrolowanego, reprezentanta kontrolowanego lub jego pełnomocnika, chyba że sam zrezygnuje z tego prawa, składając odpowiednie oświadczenie na piśmie. </w:t>
      </w:r>
      <w:r w:rsidR="005D4AF2" w:rsidRPr="009A3C86">
        <w:rPr>
          <w:rFonts w:ascii="Times New Roman" w:hAnsi="Times New Roman"/>
          <w:sz w:val="24"/>
          <w:szCs w:val="24"/>
        </w:rPr>
        <w:t xml:space="preserve">W toku kontroli pisma doręcza się pełnomocnikowi tylko </w:t>
      </w:r>
      <w:r w:rsidR="005D4AF2" w:rsidRPr="009A3C86">
        <w:rPr>
          <w:rFonts w:ascii="Times New Roman" w:hAnsi="Times New Roman"/>
          <w:bCs/>
          <w:sz w:val="24"/>
          <w:szCs w:val="24"/>
        </w:rPr>
        <w:t>jeśli jest obecny w miejscu prowadzenia kontroli. W przypadku nieobecności pełnomocnika pisma doręcza się kontrolowanemu, a czynności kontrolnych dokonuje się w obecności kontrolowanego.</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Czynności kontrolne prowadzone będą w siedzibie kontrolowanego, w innym miejscu przechowywania dokumentacji lub w miejscach związanych z prowadzoną przez niego działalnością i w godzinach jej prowadzenia, jednakże w przypadku gdy księgi podatkowe są prowadzone lub przechowywane poza siedzibą kontrolowanego, kontrolowany na żądanie kontrolującego obowiązany jest zapewnić dostęp do ksiąg w swojej siedzibie albo w miejscu ich prowadzenia lub przechowywania, jeżeli udostępnienie ich w siedzibie może w znacznym stopniu utrudnić prowadzenie przez kontrolowanego bieżącej działalności (</w:t>
      </w:r>
      <w:r w:rsidRPr="009A3C86">
        <w:rPr>
          <w:rFonts w:ascii="Times New Roman" w:hAnsi="Times New Roman"/>
          <w:b/>
          <w:sz w:val="24"/>
          <w:szCs w:val="24"/>
        </w:rPr>
        <w:t xml:space="preserve">art. </w:t>
      </w:r>
      <w:r w:rsidR="005D4AF2" w:rsidRPr="009A3C86">
        <w:rPr>
          <w:rFonts w:ascii="Times New Roman" w:hAnsi="Times New Roman"/>
          <w:b/>
          <w:sz w:val="24"/>
          <w:szCs w:val="24"/>
        </w:rPr>
        <w:t>682</w:t>
      </w:r>
      <w:r w:rsidRPr="009A3C86">
        <w:rPr>
          <w:rFonts w:ascii="Times New Roman" w:hAnsi="Times New Roman"/>
          <w:sz w:val="24"/>
          <w:szCs w:val="24"/>
        </w:rPr>
        <w:t xml:space="preserve">).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 xml:space="preserve">art. </w:t>
      </w:r>
      <w:r w:rsidR="00190499" w:rsidRPr="009A3C86">
        <w:rPr>
          <w:rFonts w:ascii="Times New Roman" w:hAnsi="Times New Roman"/>
          <w:b/>
          <w:sz w:val="24"/>
          <w:szCs w:val="24"/>
        </w:rPr>
        <w:t>683</w:t>
      </w:r>
      <w:r w:rsidRPr="009A3C86">
        <w:rPr>
          <w:rFonts w:ascii="Times New Roman" w:hAnsi="Times New Roman"/>
          <w:sz w:val="24"/>
          <w:szCs w:val="24"/>
        </w:rPr>
        <w:t xml:space="preserve"> zaproponowano również, aby za zgodą kontrolowanego kontrola lub poszczególne czynności kontrolne mogły być przeprowadzane również w siedzibie organu podatkowego, jeżeli może to usprawnić prowadzenie kontroli lub kontrolowany zrezygnował z uczestniczenia w czynnościach kontrolnych.</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2. Katalog uprawnień kontrolujących został natomiast zawarty w </w:t>
      </w:r>
      <w:r w:rsidRPr="009A3C86">
        <w:rPr>
          <w:rFonts w:ascii="Times New Roman" w:hAnsi="Times New Roman"/>
          <w:b/>
          <w:sz w:val="24"/>
          <w:szCs w:val="24"/>
        </w:rPr>
        <w:t xml:space="preserve">art. </w:t>
      </w:r>
      <w:r w:rsidR="00AE3826" w:rsidRPr="009A3C86">
        <w:rPr>
          <w:rFonts w:ascii="Times New Roman" w:hAnsi="Times New Roman"/>
          <w:b/>
          <w:sz w:val="24"/>
          <w:szCs w:val="24"/>
        </w:rPr>
        <w:t>684–687</w:t>
      </w:r>
      <w:r w:rsidRPr="009A3C86">
        <w:rPr>
          <w:rFonts w:ascii="Times New Roman" w:hAnsi="Times New Roman"/>
          <w:sz w:val="24"/>
          <w:szCs w:val="24"/>
        </w:rPr>
        <w:t xml:space="preserve">, który w przeciwieństwie do kontroli celno-skarbowej ma charakter otwarty. Tak szeroki zakres uprawnień wynika z konieczności wyposażenia kontrolujących w adekwatne do zakresu ich działania instrumenty. Nie oznacza to jednak, iż pracownicy organów podatkowych prowadzący kontrole podatkowe będą za każdym razem wykorzystywać wszystkie przysługujące uprawnienia, jest to bowiem uzależnione od rodzaju, miejsca oraz zakresu </w:t>
      </w:r>
      <w:r w:rsidRPr="009A3C86">
        <w:rPr>
          <w:rFonts w:ascii="Times New Roman" w:hAnsi="Times New Roman"/>
          <w:sz w:val="24"/>
          <w:szCs w:val="24"/>
        </w:rPr>
        <w:lastRenderedPageBreak/>
        <w:t>wykonywanych zadań. Powinni oni z nich korzystać w sposób, który umożliwi im najskuteczniejszą realizację celu kontroli podatkowej.</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Przepisy </w:t>
      </w:r>
      <w:r w:rsidRPr="009A3C86">
        <w:rPr>
          <w:rFonts w:ascii="Times New Roman" w:hAnsi="Times New Roman"/>
          <w:b/>
          <w:sz w:val="24"/>
          <w:szCs w:val="24"/>
        </w:rPr>
        <w:t xml:space="preserve">art. </w:t>
      </w:r>
      <w:r w:rsidR="00AE3826" w:rsidRPr="009A3C86">
        <w:rPr>
          <w:rFonts w:ascii="Times New Roman" w:hAnsi="Times New Roman"/>
          <w:b/>
          <w:sz w:val="24"/>
          <w:szCs w:val="24"/>
        </w:rPr>
        <w:t>685</w:t>
      </w:r>
      <w:r w:rsidRPr="009A3C86">
        <w:rPr>
          <w:rFonts w:ascii="Times New Roman" w:hAnsi="Times New Roman"/>
          <w:sz w:val="24"/>
          <w:szCs w:val="24"/>
        </w:rPr>
        <w:t xml:space="preserve"> regulują kwestie udzielenia pomocy kontrolującym przez komendanta Policji, Straży Granicznej, straży gminnej </w:t>
      </w:r>
      <w:r w:rsidR="00AE3826" w:rsidRPr="009A3C86">
        <w:rPr>
          <w:rFonts w:ascii="Times New Roman" w:hAnsi="Times New Roman"/>
          <w:sz w:val="24"/>
          <w:szCs w:val="24"/>
        </w:rPr>
        <w:t xml:space="preserve">albo </w:t>
      </w:r>
      <w:r w:rsidRPr="009A3C86">
        <w:rPr>
          <w:rFonts w:ascii="Times New Roman" w:hAnsi="Times New Roman"/>
          <w:sz w:val="24"/>
          <w:szCs w:val="24"/>
        </w:rPr>
        <w:t xml:space="preserve">miejskiej lub organ wojskowy w przypadkach uzasadniających wezwanie pomocy. Kwestie te w obowiązującej ordynacji podatkowej są uregulowane w art. 286a. Przepisy art. </w:t>
      </w:r>
      <w:r w:rsidR="00AE3826" w:rsidRPr="009A3C86">
        <w:rPr>
          <w:rFonts w:ascii="Times New Roman" w:hAnsi="Times New Roman"/>
          <w:sz w:val="24"/>
          <w:szCs w:val="24"/>
        </w:rPr>
        <w:t>685</w:t>
      </w:r>
      <w:r w:rsidRPr="009A3C86">
        <w:rPr>
          <w:rFonts w:ascii="Times New Roman" w:hAnsi="Times New Roman"/>
          <w:sz w:val="24"/>
          <w:szCs w:val="24"/>
        </w:rPr>
        <w:t xml:space="preserve"> stanowią doprecyzowanie aktualnej regulacji. </w:t>
      </w:r>
      <w:r w:rsidR="00AE3826" w:rsidRPr="009A3C86">
        <w:rPr>
          <w:rFonts w:ascii="Times New Roman" w:hAnsi="Times New Roman"/>
          <w:sz w:val="24"/>
          <w:szCs w:val="24"/>
        </w:rPr>
        <w:t>W </w:t>
      </w:r>
      <w:r w:rsidRPr="009A3C86">
        <w:rPr>
          <w:rFonts w:ascii="Times New Roman" w:hAnsi="Times New Roman"/>
          <w:sz w:val="24"/>
          <w:szCs w:val="24"/>
        </w:rPr>
        <w:t xml:space="preserve">projektowanych przepisach określono, że pomoc </w:t>
      </w:r>
      <w:r w:rsidRPr="009A3C86">
        <w:rPr>
          <w:rFonts w:ascii="Times New Roman" w:hAnsi="Times New Roman"/>
          <w:bCs/>
          <w:sz w:val="24"/>
          <w:szCs w:val="24"/>
        </w:rPr>
        <w:t xml:space="preserve">polega na umożliwieniu przeprowadzenia kontroli, w szczególności przez zapewnienie porządku w miejscu jej przeprowadzania oraz osobistego bezpieczeństwa osób obecnych w miejscu przeprowadzania kontroli </w:t>
      </w:r>
      <w:r w:rsidRPr="009A3C86">
        <w:rPr>
          <w:rFonts w:ascii="Times New Roman" w:hAnsi="Times New Roman"/>
          <w:sz w:val="24"/>
          <w:szCs w:val="24"/>
        </w:rPr>
        <w:t>(</w:t>
      </w:r>
      <w:r w:rsidR="00A76682" w:rsidRPr="009A3C86">
        <w:rPr>
          <w:rFonts w:ascii="Times New Roman" w:hAnsi="Times New Roman"/>
          <w:b/>
          <w:sz w:val="24"/>
          <w:szCs w:val="24"/>
        </w:rPr>
        <w:t xml:space="preserve">art. </w:t>
      </w:r>
      <w:r w:rsidR="00AE3826" w:rsidRPr="009A3C86">
        <w:rPr>
          <w:rFonts w:ascii="Times New Roman" w:hAnsi="Times New Roman"/>
          <w:b/>
          <w:sz w:val="24"/>
          <w:szCs w:val="24"/>
        </w:rPr>
        <w:t>685</w:t>
      </w:r>
      <w:r w:rsidR="00A76682" w:rsidRPr="009A3C86">
        <w:rPr>
          <w:rFonts w:ascii="Times New Roman" w:hAnsi="Times New Roman"/>
          <w:sz w:val="24"/>
          <w:szCs w:val="24"/>
        </w:rPr>
        <w:t xml:space="preserve"> </w:t>
      </w:r>
      <w:r w:rsidRPr="009A3C86">
        <w:rPr>
          <w:rFonts w:ascii="Times New Roman" w:hAnsi="Times New Roman"/>
          <w:b/>
          <w:sz w:val="24"/>
          <w:szCs w:val="24"/>
        </w:rPr>
        <w:t xml:space="preserve">§ </w:t>
      </w:r>
      <w:r w:rsidR="00C94453" w:rsidRPr="009A3C86">
        <w:rPr>
          <w:rFonts w:ascii="Times New Roman" w:hAnsi="Times New Roman"/>
          <w:b/>
          <w:sz w:val="24"/>
          <w:szCs w:val="24"/>
        </w:rPr>
        <w:t>6</w:t>
      </w:r>
      <w:r w:rsidRPr="009A3C86">
        <w:rPr>
          <w:rFonts w:ascii="Times New Roman" w:hAnsi="Times New Roman"/>
          <w:sz w:val="24"/>
          <w:szCs w:val="24"/>
        </w:rPr>
        <w:t xml:space="preserve">). Tym samym zrezygnowano ze szczegółowego określenia zakresu obowiązków organów udzielających pomocy w rozporządzeniu, które obowiązuje na podstawie aktualnych przepisów.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Podobne do projektowanego w art. 69</w:t>
      </w:r>
      <w:r w:rsidR="00655A6C" w:rsidRPr="009A3C86">
        <w:rPr>
          <w:rFonts w:ascii="Times New Roman" w:hAnsi="Times New Roman"/>
          <w:sz w:val="24"/>
          <w:szCs w:val="24"/>
        </w:rPr>
        <w:t>2</w:t>
      </w:r>
      <w:r w:rsidRPr="009A3C86">
        <w:rPr>
          <w:rFonts w:ascii="Times New Roman" w:hAnsi="Times New Roman"/>
          <w:sz w:val="24"/>
          <w:szCs w:val="24"/>
        </w:rPr>
        <w:t xml:space="preserve"> uregulowanie zawarte jest w art. 85 ustawy z dnia 10 maja 2018 r.</w:t>
      </w:r>
      <w:r w:rsidRPr="009A3C86">
        <w:rPr>
          <w:rFonts w:ascii="Times New Roman" w:hAnsi="Times New Roman"/>
          <w:i/>
          <w:iCs/>
          <w:sz w:val="24"/>
          <w:szCs w:val="24"/>
        </w:rPr>
        <w:t xml:space="preserve"> </w:t>
      </w:r>
      <w:r w:rsidRPr="009A3C86">
        <w:rPr>
          <w:rFonts w:ascii="Times New Roman" w:hAnsi="Times New Roman"/>
          <w:iCs/>
          <w:sz w:val="24"/>
          <w:szCs w:val="24"/>
        </w:rPr>
        <w:t>o ochronie danych osobowych</w:t>
      </w:r>
      <w:r w:rsidRPr="009A3C86">
        <w:rPr>
          <w:rFonts w:ascii="Times New Roman" w:hAnsi="Times New Roman"/>
          <w:sz w:val="24"/>
          <w:szCs w:val="24"/>
        </w:rPr>
        <w:t xml:space="preserve"> (Dz. U. poz. 1000, z późn. zm.), gdzie określono zasady i tryb udzielania pomocy przez Policję organom, w trakcie przeprowadzania przez nie kontroli w zakresie przestrzegania przepisów o ochronie danych osobowych. </w:t>
      </w:r>
    </w:p>
    <w:p w:rsidR="002A2BD4" w:rsidRPr="009A3C86" w:rsidRDefault="00181896" w:rsidP="002A2BD4">
      <w:pPr>
        <w:spacing w:after="0" w:line="360" w:lineRule="auto"/>
        <w:jc w:val="both"/>
        <w:rPr>
          <w:rFonts w:ascii="Times New Roman" w:hAnsi="Times New Roman"/>
          <w:bCs/>
          <w:sz w:val="24"/>
          <w:szCs w:val="24"/>
        </w:rPr>
      </w:pPr>
      <w:r w:rsidRPr="009A3C86">
        <w:rPr>
          <w:rFonts w:ascii="Times New Roman" w:hAnsi="Times New Roman"/>
          <w:sz w:val="24"/>
          <w:szCs w:val="24"/>
        </w:rPr>
        <w:t>Tak jak w obecnej regulacji określono dwa przypadki, w których kontrolujący może wezwać pomoc. Pierwszy przypadek dotyczy sytuacji, gdy istnieje uzasadnione przypuszczenie, że w toku czynności kontrolnych kontrolujący natrafi na opór, który utrudni lub uniemożliwi mu wykonywanie tych czynności (</w:t>
      </w:r>
      <w:r w:rsidR="00A76682" w:rsidRPr="009A3C86">
        <w:rPr>
          <w:rFonts w:ascii="Times New Roman" w:hAnsi="Times New Roman"/>
          <w:b/>
          <w:sz w:val="24"/>
          <w:szCs w:val="24"/>
        </w:rPr>
        <w:t xml:space="preserve">art. </w:t>
      </w:r>
      <w:r w:rsidR="00AE3826" w:rsidRPr="009A3C86">
        <w:rPr>
          <w:rFonts w:ascii="Times New Roman" w:hAnsi="Times New Roman"/>
          <w:b/>
          <w:sz w:val="24"/>
          <w:szCs w:val="24"/>
        </w:rPr>
        <w:t>685</w:t>
      </w:r>
      <w:r w:rsidR="00A76682" w:rsidRPr="009A3C86">
        <w:rPr>
          <w:rFonts w:ascii="Times New Roman" w:hAnsi="Times New Roman"/>
          <w:sz w:val="24"/>
          <w:szCs w:val="24"/>
        </w:rPr>
        <w:t xml:space="preserve"> </w:t>
      </w:r>
      <w:r w:rsidRPr="009A3C86">
        <w:rPr>
          <w:rFonts w:ascii="Times New Roman" w:hAnsi="Times New Roman"/>
          <w:b/>
          <w:sz w:val="24"/>
          <w:szCs w:val="24"/>
        </w:rPr>
        <w:t>§ 1</w:t>
      </w:r>
      <w:r w:rsidRPr="009A3C86">
        <w:rPr>
          <w:rFonts w:ascii="Times New Roman" w:hAnsi="Times New Roman"/>
          <w:sz w:val="24"/>
          <w:szCs w:val="24"/>
        </w:rPr>
        <w:t>).</w:t>
      </w:r>
      <w:r w:rsidRPr="009A3C86">
        <w:rPr>
          <w:rFonts w:ascii="Times New Roman" w:hAnsi="Times New Roman"/>
          <w:bCs/>
          <w:sz w:val="24"/>
          <w:szCs w:val="24"/>
        </w:rPr>
        <w:t xml:space="preserve"> W tym przypadku kontrolujący występuje do organów, o których mowa w § 1, z pisemnym wnioskiem o udzielenie pomocy co najmniej 7 dni przed terminem przeprowadzenia kontroli (</w:t>
      </w:r>
      <w:r w:rsidR="00A76682" w:rsidRPr="009A3C86">
        <w:rPr>
          <w:rFonts w:ascii="Times New Roman" w:hAnsi="Times New Roman"/>
          <w:b/>
          <w:bCs/>
          <w:sz w:val="24"/>
          <w:szCs w:val="24"/>
        </w:rPr>
        <w:t xml:space="preserve">art. </w:t>
      </w:r>
      <w:r w:rsidR="00AE3826" w:rsidRPr="009A3C86">
        <w:rPr>
          <w:rFonts w:ascii="Times New Roman" w:hAnsi="Times New Roman"/>
          <w:b/>
          <w:bCs/>
          <w:sz w:val="24"/>
          <w:szCs w:val="24"/>
        </w:rPr>
        <w:t>685</w:t>
      </w:r>
      <w:r w:rsidR="00A76682" w:rsidRPr="009A3C86">
        <w:rPr>
          <w:rFonts w:ascii="Times New Roman" w:hAnsi="Times New Roman"/>
          <w:bCs/>
          <w:sz w:val="24"/>
          <w:szCs w:val="24"/>
        </w:rPr>
        <w:t xml:space="preserve"> </w:t>
      </w:r>
      <w:r w:rsidRPr="009A3C86">
        <w:rPr>
          <w:rFonts w:ascii="Times New Roman" w:hAnsi="Times New Roman"/>
          <w:b/>
          <w:bCs/>
          <w:sz w:val="24"/>
          <w:szCs w:val="24"/>
        </w:rPr>
        <w:t>§ 3</w:t>
      </w:r>
      <w:r w:rsidRPr="009A3C86">
        <w:rPr>
          <w:rFonts w:ascii="Times New Roman" w:hAnsi="Times New Roman"/>
          <w:bCs/>
          <w:sz w:val="24"/>
          <w:szCs w:val="24"/>
        </w:rPr>
        <w:t>).</w:t>
      </w:r>
      <w:r w:rsidRPr="009A3C86">
        <w:rPr>
          <w:rFonts w:ascii="Times New Roman" w:hAnsi="Times New Roman"/>
          <w:sz w:val="24"/>
          <w:szCs w:val="24"/>
        </w:rPr>
        <w:t xml:space="preserve"> W § 1 użyto tylko jednego sformułowania - „pomoc</w:t>
      </w:r>
      <w:r w:rsidR="00216DAF">
        <w:rPr>
          <w:rFonts w:ascii="Times New Roman" w:hAnsi="Times New Roman"/>
          <w:sz w:val="24"/>
          <w:szCs w:val="24"/>
        </w:rPr>
        <w:t>”</w:t>
      </w:r>
      <w:r w:rsidRPr="009A3C86">
        <w:rPr>
          <w:rFonts w:ascii="Times New Roman" w:hAnsi="Times New Roman"/>
          <w:sz w:val="24"/>
          <w:szCs w:val="24"/>
        </w:rPr>
        <w:t xml:space="preserve">, rezygnując ze sformułowania „asysta”, występującego w art. 286a § 1 i 2 ordynacji podatkowej, ponieważ ewentualne czynności podejmowane przez Policję, Straż Graniczną, straże miejskie </w:t>
      </w:r>
      <w:r w:rsidR="00AE3826" w:rsidRPr="009A3C86">
        <w:rPr>
          <w:rFonts w:ascii="Times New Roman" w:hAnsi="Times New Roman"/>
          <w:sz w:val="24"/>
          <w:szCs w:val="24"/>
        </w:rPr>
        <w:t xml:space="preserve">albo </w:t>
      </w:r>
      <w:r w:rsidRPr="009A3C86">
        <w:rPr>
          <w:rFonts w:ascii="Times New Roman" w:hAnsi="Times New Roman"/>
          <w:sz w:val="24"/>
          <w:szCs w:val="24"/>
        </w:rPr>
        <w:t>gminne w trakcie przeprowadzania czynności kontrolnych będą takie same w przypadku udzielania „pomocy</w:t>
      </w:r>
      <w:r w:rsidR="00216DAF">
        <w:rPr>
          <w:rFonts w:ascii="Times New Roman" w:hAnsi="Times New Roman"/>
          <w:sz w:val="24"/>
          <w:szCs w:val="24"/>
        </w:rPr>
        <w:t>”</w:t>
      </w:r>
      <w:r w:rsidRPr="009A3C86">
        <w:rPr>
          <w:rFonts w:ascii="Times New Roman" w:hAnsi="Times New Roman"/>
          <w:sz w:val="24"/>
          <w:szCs w:val="24"/>
        </w:rPr>
        <w:t xml:space="preserve"> bądź „asysty</w:t>
      </w:r>
      <w:r w:rsidR="00216DAF">
        <w:rPr>
          <w:rFonts w:ascii="Times New Roman" w:hAnsi="Times New Roman"/>
          <w:sz w:val="24"/>
          <w:szCs w:val="24"/>
        </w:rPr>
        <w:t>”</w:t>
      </w:r>
      <w:r w:rsidRPr="009A3C86">
        <w:rPr>
          <w:rFonts w:ascii="Times New Roman" w:hAnsi="Times New Roman"/>
          <w:sz w:val="24"/>
          <w:szCs w:val="24"/>
        </w:rPr>
        <w:t>. Drugi</w:t>
      </w:r>
      <w:r w:rsidRPr="009A3C86">
        <w:rPr>
          <w:rFonts w:ascii="Times New Roman" w:hAnsi="Times New Roman"/>
          <w:bCs/>
          <w:sz w:val="24"/>
          <w:szCs w:val="24"/>
        </w:rPr>
        <w:t xml:space="preserve"> przypadek dotyczy nagłych sytuacji, w których istnieje poważne zagrożenie dla życia, zdrowia ludzkiego oraz bezpieczeństwa i porządku w miejscu przeprowadzania czynności kontrolnych albo uzasadnione podejrzenie takiego zagrożenia, albo gdy w toku wykonywania czynności kontrolujący natrafił na opór, który utrudnia lub uniemożliwia mu wykonywanie tych czynności. W tych sytuacjach wniosek o udzielenie pomocy może być złożony ustnie bez zachowania terminu określonego w tym przepisie, po okazaniu imiennego upoważnienia do przeprowadzenia kontroli oraz legitymacji służbowej kontrolującego (</w:t>
      </w:r>
      <w:r w:rsidR="00A76682" w:rsidRPr="009A3C86">
        <w:rPr>
          <w:rFonts w:ascii="Times New Roman" w:hAnsi="Times New Roman"/>
          <w:b/>
          <w:bCs/>
          <w:sz w:val="24"/>
          <w:szCs w:val="24"/>
        </w:rPr>
        <w:t xml:space="preserve">art. </w:t>
      </w:r>
      <w:r w:rsidR="00AE3826" w:rsidRPr="009A3C86">
        <w:rPr>
          <w:rFonts w:ascii="Times New Roman" w:hAnsi="Times New Roman"/>
          <w:b/>
          <w:bCs/>
          <w:sz w:val="24"/>
          <w:szCs w:val="24"/>
        </w:rPr>
        <w:t>685</w:t>
      </w:r>
      <w:r w:rsidR="00A76682" w:rsidRPr="009A3C86">
        <w:rPr>
          <w:rFonts w:ascii="Times New Roman" w:hAnsi="Times New Roman"/>
          <w:bCs/>
          <w:sz w:val="24"/>
          <w:szCs w:val="24"/>
        </w:rPr>
        <w:t xml:space="preserve"> </w:t>
      </w:r>
      <w:r w:rsidRPr="009A3C86">
        <w:rPr>
          <w:rFonts w:ascii="Times New Roman" w:hAnsi="Times New Roman"/>
          <w:b/>
          <w:bCs/>
          <w:sz w:val="24"/>
          <w:szCs w:val="24"/>
        </w:rPr>
        <w:t>§ 4</w:t>
      </w:r>
      <w:r w:rsidRPr="009A3C86">
        <w:rPr>
          <w:rFonts w:ascii="Times New Roman" w:hAnsi="Times New Roman"/>
          <w:bCs/>
          <w:sz w:val="24"/>
          <w:szCs w:val="24"/>
        </w:rPr>
        <w:t>). W obu wymienionych wyżej przypadkach (§ 1 i 4)</w:t>
      </w:r>
      <w:r w:rsidRPr="009A3C86">
        <w:rPr>
          <w:rFonts w:ascii="Times New Roman" w:eastAsia="Times New Roman" w:hAnsi="Times New Roman"/>
          <w:sz w:val="24"/>
          <w:szCs w:val="24"/>
          <w:lang w:eastAsia="pl-PL"/>
        </w:rPr>
        <w:t xml:space="preserve"> uprawnione o</w:t>
      </w:r>
      <w:r w:rsidRPr="009A3C86">
        <w:rPr>
          <w:rFonts w:ascii="Times New Roman" w:hAnsi="Times New Roman"/>
          <w:bCs/>
          <w:sz w:val="24"/>
          <w:szCs w:val="24"/>
        </w:rPr>
        <w:t xml:space="preserve">rgany zapewniają pomoc przy </w:t>
      </w:r>
      <w:r w:rsidRPr="009A3C86">
        <w:rPr>
          <w:rFonts w:ascii="Times New Roman" w:hAnsi="Times New Roman"/>
          <w:bCs/>
          <w:sz w:val="24"/>
          <w:szCs w:val="24"/>
        </w:rPr>
        <w:lastRenderedPageBreak/>
        <w:t>przeprowadzeniu kontroli (</w:t>
      </w:r>
      <w:r w:rsidR="00A76682" w:rsidRPr="009A3C86">
        <w:rPr>
          <w:rFonts w:ascii="Times New Roman" w:hAnsi="Times New Roman"/>
          <w:b/>
          <w:bCs/>
          <w:sz w:val="24"/>
          <w:szCs w:val="24"/>
        </w:rPr>
        <w:t xml:space="preserve">art. </w:t>
      </w:r>
      <w:r w:rsidR="00AE3826" w:rsidRPr="009A3C86">
        <w:rPr>
          <w:rFonts w:ascii="Times New Roman" w:hAnsi="Times New Roman"/>
          <w:b/>
          <w:bCs/>
          <w:sz w:val="24"/>
          <w:szCs w:val="24"/>
        </w:rPr>
        <w:t>685</w:t>
      </w:r>
      <w:r w:rsidR="00A76682" w:rsidRPr="009A3C86">
        <w:rPr>
          <w:rFonts w:ascii="Times New Roman" w:hAnsi="Times New Roman"/>
          <w:bCs/>
          <w:sz w:val="24"/>
          <w:szCs w:val="24"/>
        </w:rPr>
        <w:t xml:space="preserve"> </w:t>
      </w:r>
      <w:r w:rsidRPr="009A3C86">
        <w:rPr>
          <w:rFonts w:ascii="Times New Roman" w:hAnsi="Times New Roman"/>
          <w:b/>
          <w:bCs/>
          <w:sz w:val="24"/>
          <w:szCs w:val="24"/>
        </w:rPr>
        <w:t>§ 2</w:t>
      </w:r>
      <w:r w:rsidRPr="009A3C86">
        <w:rPr>
          <w:rFonts w:ascii="Times New Roman" w:hAnsi="Times New Roman"/>
          <w:bCs/>
          <w:sz w:val="24"/>
          <w:szCs w:val="24"/>
        </w:rPr>
        <w:t>).</w:t>
      </w:r>
      <w:r w:rsidR="002A2BD4" w:rsidRPr="009A3C86">
        <w:rPr>
          <w:rFonts w:ascii="Times New Roman" w:hAnsi="Times New Roman"/>
          <w:bCs/>
          <w:sz w:val="24"/>
          <w:szCs w:val="24"/>
        </w:rPr>
        <w:t xml:space="preserve"> Jeśli wniosek o udzielenie pomocy był złożony ustnie kontrolujący przekazuje potwierdzenie wezwania na piśmie, nie później niż w terminie 3 dni od dnia zakończenia czynności kontrolnych (</w:t>
      </w:r>
      <w:r w:rsidR="002A2BD4" w:rsidRPr="009A3C86">
        <w:rPr>
          <w:rFonts w:ascii="Times New Roman" w:hAnsi="Times New Roman"/>
          <w:b/>
          <w:bCs/>
          <w:sz w:val="24"/>
          <w:szCs w:val="24"/>
        </w:rPr>
        <w:t xml:space="preserve">art. </w:t>
      </w:r>
      <w:r w:rsidR="00AE3826" w:rsidRPr="009A3C86">
        <w:rPr>
          <w:rFonts w:ascii="Times New Roman" w:hAnsi="Times New Roman"/>
          <w:b/>
          <w:bCs/>
          <w:sz w:val="24"/>
          <w:szCs w:val="24"/>
        </w:rPr>
        <w:t>685</w:t>
      </w:r>
      <w:r w:rsidR="002A2BD4" w:rsidRPr="009A3C86">
        <w:rPr>
          <w:rFonts w:ascii="Times New Roman" w:hAnsi="Times New Roman"/>
          <w:bCs/>
          <w:sz w:val="24"/>
          <w:szCs w:val="24"/>
        </w:rPr>
        <w:t xml:space="preserve"> </w:t>
      </w:r>
      <w:r w:rsidR="002A2BD4" w:rsidRPr="009A3C86">
        <w:rPr>
          <w:rFonts w:ascii="Times New Roman" w:hAnsi="Times New Roman"/>
          <w:b/>
          <w:bCs/>
          <w:sz w:val="24"/>
          <w:szCs w:val="24"/>
        </w:rPr>
        <w:t>§ 5</w:t>
      </w:r>
      <w:r w:rsidR="002A2BD4" w:rsidRPr="009A3C86">
        <w:rPr>
          <w:rFonts w:ascii="Times New Roman" w:hAnsi="Times New Roman"/>
          <w:bCs/>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W ślad za uprawnieniami kontrolujących w trakcie kontroli podatkowej w </w:t>
      </w:r>
      <w:r w:rsidRPr="009A3C86">
        <w:rPr>
          <w:rFonts w:ascii="Times New Roman" w:hAnsi="Times New Roman"/>
          <w:b/>
          <w:sz w:val="24"/>
          <w:szCs w:val="24"/>
        </w:rPr>
        <w:t xml:space="preserve">art. </w:t>
      </w:r>
      <w:r w:rsidR="00AE3826" w:rsidRPr="009A3C86">
        <w:rPr>
          <w:rFonts w:ascii="Times New Roman" w:hAnsi="Times New Roman"/>
          <w:b/>
          <w:sz w:val="24"/>
          <w:szCs w:val="24"/>
        </w:rPr>
        <w:t>686</w:t>
      </w:r>
      <w:r w:rsidRPr="009A3C86">
        <w:rPr>
          <w:rFonts w:ascii="Times New Roman" w:hAnsi="Times New Roman"/>
          <w:sz w:val="24"/>
          <w:szCs w:val="24"/>
        </w:rPr>
        <w:t xml:space="preserve"> zawarto również podstawowe obowiązki, jakie przepisy ordynacji podatkowej nakładają na kontrolowanego, pracowników oraz osoby z nim współdziałające, podmiot prowadzący albo przechowujący księgi podatkowe lub dokumenty.</w:t>
      </w:r>
    </w:p>
    <w:p w:rsidR="00181896" w:rsidRPr="009A3C86" w:rsidRDefault="00181896" w:rsidP="00D72E74">
      <w:pPr>
        <w:spacing w:before="120" w:after="0" w:line="360" w:lineRule="auto"/>
        <w:jc w:val="both"/>
        <w:rPr>
          <w:rFonts w:ascii="Times New Roman" w:eastAsia="Times New Roman" w:hAnsi="Times New Roman"/>
          <w:b/>
          <w:iCs/>
          <w:sz w:val="24"/>
          <w:szCs w:val="24"/>
        </w:rPr>
      </w:pPr>
      <w:bookmarkStart w:id="90" w:name="_Toc494363313"/>
      <w:r w:rsidRPr="009A3C86">
        <w:rPr>
          <w:rFonts w:ascii="Times New Roman" w:eastAsia="Times New Roman" w:hAnsi="Times New Roman"/>
          <w:b/>
          <w:iCs/>
          <w:sz w:val="24"/>
          <w:szCs w:val="24"/>
        </w:rPr>
        <w:t>Oddział 4. Zakończenie i dokumentowanie kontroli podatkowej</w:t>
      </w:r>
      <w:bookmarkEnd w:id="90"/>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1. Zgodnie z proponowanym </w:t>
      </w:r>
      <w:r w:rsidRPr="009A3C86">
        <w:rPr>
          <w:rFonts w:ascii="Times New Roman" w:hAnsi="Times New Roman"/>
          <w:b/>
          <w:sz w:val="24"/>
          <w:szCs w:val="24"/>
        </w:rPr>
        <w:t xml:space="preserve">art. </w:t>
      </w:r>
      <w:r w:rsidR="009C34A6" w:rsidRPr="009A3C86">
        <w:rPr>
          <w:rFonts w:ascii="Times New Roman" w:hAnsi="Times New Roman"/>
          <w:b/>
          <w:sz w:val="24"/>
          <w:szCs w:val="24"/>
        </w:rPr>
        <w:t>689</w:t>
      </w:r>
      <w:r w:rsidRPr="009A3C86">
        <w:rPr>
          <w:rFonts w:ascii="Times New Roman" w:hAnsi="Times New Roman"/>
          <w:b/>
          <w:sz w:val="24"/>
          <w:szCs w:val="24"/>
        </w:rPr>
        <w:t xml:space="preserve"> § 1</w:t>
      </w:r>
      <w:r w:rsidRPr="009A3C86">
        <w:rPr>
          <w:rFonts w:ascii="Times New Roman" w:hAnsi="Times New Roman"/>
          <w:sz w:val="24"/>
          <w:szCs w:val="24"/>
        </w:rPr>
        <w:t xml:space="preserve"> zakończenie kontroli podatkowej winno nastąpić bez zbędnej zwłoki i nie później niż w terminie wskazanym w upoważnieniu do jej przeprowadzenia. Obowiązuje przy tym zasada szybkości i prostoty postępowania przewidziana w zasadach ogólnych działu I projektowanych przepisów. Kontrolujący jest bowiem zobligowany działać wnikliwie i szybko, posługując się możliwie najprostszymi środkami prowadzącymi do osiągnięcia celu kontroli podatkowej. Ponadto organ podatkowy, udzielając upoważnienia do przeprowadzenia kontroli podatkowej, nie zawsze jest w stanie precyzyjnie przewidzieć, w jakim terminie istnieje możliwość zakończenia kontroli, dlatego w </w:t>
      </w:r>
      <w:r w:rsidRPr="009A3C86">
        <w:rPr>
          <w:rFonts w:ascii="Times New Roman" w:hAnsi="Times New Roman"/>
          <w:b/>
          <w:sz w:val="24"/>
          <w:szCs w:val="24"/>
        </w:rPr>
        <w:t xml:space="preserve">art. </w:t>
      </w:r>
      <w:r w:rsidR="009C34A6" w:rsidRPr="009A3C86">
        <w:rPr>
          <w:rFonts w:ascii="Times New Roman" w:hAnsi="Times New Roman"/>
          <w:b/>
          <w:sz w:val="24"/>
          <w:szCs w:val="24"/>
        </w:rPr>
        <w:t>689</w:t>
      </w:r>
      <w:r w:rsidRPr="009A3C86">
        <w:rPr>
          <w:rFonts w:ascii="Times New Roman" w:hAnsi="Times New Roman"/>
          <w:b/>
          <w:sz w:val="24"/>
          <w:szCs w:val="24"/>
        </w:rPr>
        <w:t xml:space="preserve"> § 2</w:t>
      </w:r>
      <w:r w:rsidRPr="009A3C86">
        <w:rPr>
          <w:rFonts w:ascii="Times New Roman" w:hAnsi="Times New Roman"/>
          <w:sz w:val="24"/>
          <w:szCs w:val="24"/>
        </w:rPr>
        <w:t xml:space="preserve"> proponuje się dopuszczenie przedłużenia terminu zakończenia kontroli podatkowej. Czynności kontrolne dokonywane w trakcie kontroli podatkowej mogą bowiem dotyczyć okoliczności faktycznych o różnym stopniu skomplikowania. Zachowano również zasadę skutków prawnych dotyczących dokumentowania czynności kontrolnych dokonanych po upływie terminu zakończenia kontroli podatkowej, jeżeli nie wyznaczono nowego terminu. Dokumenty takie nie mogą stanowić dowodu w ewentualnym postępowaniu podatkowym (</w:t>
      </w:r>
      <w:r w:rsidRPr="009A3C86">
        <w:rPr>
          <w:rFonts w:ascii="Times New Roman" w:hAnsi="Times New Roman"/>
          <w:b/>
          <w:sz w:val="24"/>
          <w:szCs w:val="24"/>
        </w:rPr>
        <w:t xml:space="preserve">art. </w:t>
      </w:r>
      <w:r w:rsidR="009C34A6" w:rsidRPr="009A3C86">
        <w:rPr>
          <w:rFonts w:ascii="Times New Roman" w:hAnsi="Times New Roman"/>
          <w:b/>
          <w:sz w:val="24"/>
          <w:szCs w:val="24"/>
        </w:rPr>
        <w:t>689</w:t>
      </w:r>
      <w:r w:rsidRPr="009A3C86">
        <w:rPr>
          <w:rFonts w:ascii="Times New Roman" w:hAnsi="Times New Roman"/>
          <w:b/>
          <w:sz w:val="24"/>
          <w:szCs w:val="24"/>
        </w:rPr>
        <w:t xml:space="preserve"> § 3</w:t>
      </w:r>
      <w:r w:rsidRPr="009A3C86">
        <w:rPr>
          <w:rFonts w:ascii="Times New Roman" w:hAnsi="Times New Roman"/>
          <w:sz w:val="24"/>
          <w:szCs w:val="24"/>
        </w:rPr>
        <w:t>).</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 xml:space="preserve">2. Realizacja podstawowej zasady pisemności kontroli podatkowej została zawarta w </w:t>
      </w:r>
      <w:r w:rsidRPr="009A3C86">
        <w:rPr>
          <w:rFonts w:ascii="Times New Roman" w:hAnsi="Times New Roman"/>
          <w:b/>
          <w:sz w:val="24"/>
          <w:szCs w:val="24"/>
        </w:rPr>
        <w:t xml:space="preserve">art. </w:t>
      </w:r>
      <w:r w:rsidR="009C34A6" w:rsidRPr="009A3C86">
        <w:rPr>
          <w:rFonts w:ascii="Times New Roman" w:hAnsi="Times New Roman"/>
          <w:b/>
          <w:sz w:val="24"/>
          <w:szCs w:val="24"/>
        </w:rPr>
        <w:t>690</w:t>
      </w:r>
      <w:r w:rsidRPr="009A3C86">
        <w:rPr>
          <w:rFonts w:ascii="Times New Roman" w:hAnsi="Times New Roman"/>
          <w:sz w:val="24"/>
          <w:szCs w:val="24"/>
        </w:rPr>
        <w:t xml:space="preserve">, nakładającym obowiązek sporządzenia protokołu kontroli, który będzie zawierał  opis stanu faktycznego w zakresie objętym kontrolą oraz ocenę prawną sprawy będącej przedmiotem kontroli podatkowej, a jednocześnie zostanie odzwierciedlony przebieg poszczególnych czynności wykonywanych w jej toku. Dokumentowanie wszystkich przeprowadzonych czynności w ramach prowadzonej kontroli podatkowej zagwarantuje bowiem transparentność podejmowanych działań przez kontrolujących, a jednocześnie będzie stanowiło dowód zaistniałego stanu faktycznego. W postępowaniu podatkowym protokół taki będzie pełnić rolę środka dowodowego, chyba że zostanie zakwestionowany przez kontrolowanego. Skutkiem doręczenia protokołu kontroli podatkowej jest jej zakończenie. </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3. W </w:t>
      </w:r>
      <w:r w:rsidRPr="009A3C86">
        <w:rPr>
          <w:rFonts w:ascii="Times New Roman" w:hAnsi="Times New Roman"/>
          <w:b/>
          <w:sz w:val="24"/>
          <w:szCs w:val="24"/>
        </w:rPr>
        <w:t xml:space="preserve">art. </w:t>
      </w:r>
      <w:r w:rsidR="009C34A6" w:rsidRPr="009A3C86">
        <w:rPr>
          <w:rFonts w:ascii="Times New Roman" w:hAnsi="Times New Roman"/>
          <w:b/>
          <w:sz w:val="24"/>
          <w:szCs w:val="24"/>
        </w:rPr>
        <w:t>693</w:t>
      </w:r>
      <w:r w:rsidRPr="009A3C86">
        <w:rPr>
          <w:rFonts w:ascii="Times New Roman" w:hAnsi="Times New Roman"/>
          <w:sz w:val="24"/>
          <w:szCs w:val="24"/>
        </w:rPr>
        <w:t xml:space="preserve"> proponuje się natomiast, analogicznie jak w obecnie obowiązujących przepisach, pozostawienie instytucji zastrzeżeń do protokołu kontroli podatkowej, która umożliwia kontrolowanemu w terminie 14 dni od dnia doręczenia protokołu żądanie przedstawienia dodatkowych dowodów w zakresie objętym kontrolą. Instytucja ta jest również swoistą prezentacją stanowiska kontrolowanego oraz polemiki z ustaleniami faktycznymi oraz oceną prawną zawartą w tym protokole. Organ podatkowy jest obowiązany rozpatrzyć zastrzeżenia i w terminie 14 dni od dnia ich otrzymania zawiadomić kontrolowanego o sposobie ich załatwienia, wskazując w szczególności, które zastrzeżenia nie zostały uwzględnione, wraz z uzasadnieniem faktycznym i prawnym.</w:t>
      </w:r>
    </w:p>
    <w:p w:rsidR="00181896" w:rsidRPr="009A3C86" w:rsidRDefault="00181896" w:rsidP="00181896">
      <w:pPr>
        <w:spacing w:after="0" w:line="360" w:lineRule="auto"/>
        <w:jc w:val="both"/>
        <w:rPr>
          <w:rFonts w:ascii="Times New Roman" w:hAnsi="Times New Roman"/>
          <w:sz w:val="24"/>
          <w:szCs w:val="24"/>
        </w:rPr>
      </w:pPr>
      <w:r w:rsidRPr="009A3C86">
        <w:rPr>
          <w:rFonts w:ascii="Times New Roman" w:hAnsi="Times New Roman"/>
          <w:sz w:val="24"/>
          <w:szCs w:val="24"/>
        </w:rPr>
        <w:t>4. Na zakończenie warto również wskazać na skutki zakończenia kontroli podatkowej, w tym przede wszystkim:</w:t>
      </w:r>
    </w:p>
    <w:p w:rsidR="00181896" w:rsidRPr="009A3C86" w:rsidRDefault="00181896" w:rsidP="00D72E74">
      <w:pPr>
        <w:numPr>
          <w:ilvl w:val="0"/>
          <w:numId w:val="31"/>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prawo do skorygowania deklaracji,</w:t>
      </w:r>
    </w:p>
    <w:p w:rsidR="00181896" w:rsidRPr="009A3C86" w:rsidRDefault="00181896" w:rsidP="00D72E74">
      <w:pPr>
        <w:numPr>
          <w:ilvl w:val="0"/>
          <w:numId w:val="31"/>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możliwość wszczęcia postępowania podatkowego,</w:t>
      </w:r>
    </w:p>
    <w:p w:rsidR="00181896" w:rsidRPr="009A3C86" w:rsidRDefault="00181896" w:rsidP="00D72E74">
      <w:pPr>
        <w:numPr>
          <w:ilvl w:val="0"/>
          <w:numId w:val="31"/>
        </w:numPr>
        <w:spacing w:after="0" w:line="360" w:lineRule="auto"/>
        <w:contextualSpacing/>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t>obowiązek kontrolowanego zawiadomienia o każdej zmianie swojego adresu dokonanej w ciągu 6 miesięcy od dnia zakończenia kontroli podatkowej, jeżeli w jej toku ujawniono nieprawidłowości.</w:t>
      </w:r>
    </w:p>
    <w:p w:rsidR="006C38A8" w:rsidRPr="009A3C86" w:rsidRDefault="006C38A8" w:rsidP="00D72E74">
      <w:pPr>
        <w:tabs>
          <w:tab w:val="num" w:pos="720"/>
        </w:tabs>
        <w:spacing w:before="120" w:after="0" w:line="360" w:lineRule="auto"/>
        <w:jc w:val="both"/>
        <w:outlineLvl w:val="2"/>
        <w:rPr>
          <w:rFonts w:ascii="Times New Roman" w:hAnsi="Times New Roman"/>
          <w:b/>
          <w:bCs/>
          <w:sz w:val="24"/>
          <w:szCs w:val="24"/>
        </w:rPr>
      </w:pPr>
      <w:bookmarkStart w:id="91" w:name="_Toc494363314"/>
      <w:r w:rsidRPr="009A3C86">
        <w:rPr>
          <w:rFonts w:ascii="Times New Roman" w:hAnsi="Times New Roman"/>
          <w:b/>
          <w:bCs/>
          <w:sz w:val="24"/>
          <w:szCs w:val="24"/>
        </w:rPr>
        <w:t xml:space="preserve">Rozdział </w:t>
      </w:r>
      <w:r w:rsidR="00235DA5" w:rsidRPr="009A3C86">
        <w:rPr>
          <w:rFonts w:ascii="Times New Roman" w:hAnsi="Times New Roman"/>
          <w:b/>
          <w:bCs/>
          <w:sz w:val="24"/>
          <w:szCs w:val="24"/>
        </w:rPr>
        <w:t>8</w:t>
      </w:r>
      <w:r w:rsidRPr="009A3C86">
        <w:rPr>
          <w:rFonts w:ascii="Times New Roman" w:hAnsi="Times New Roman"/>
          <w:b/>
          <w:bCs/>
          <w:sz w:val="24"/>
          <w:szCs w:val="24"/>
        </w:rPr>
        <w:t>. Ustalanie wartości rzeczy lub praw majątkowych</w:t>
      </w:r>
      <w:bookmarkEnd w:id="91"/>
    </w:p>
    <w:p w:rsidR="006C38A8" w:rsidRPr="009A3C86" w:rsidRDefault="006C38A8" w:rsidP="006C38A8">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Na podstawę opodatkowania często istotny wpływ mają zasady ustalania wartości rynkowej rzeczy lub praw majątkowych, które obecnie są odmiennie uregulowane w kilku ustawach podatkowych: w ustawie o podatku od spadków i darowizn</w:t>
      </w:r>
      <w:r w:rsidRPr="009A3C86">
        <w:rPr>
          <w:rFonts w:ascii="Times New Roman" w:eastAsia="Times New Roman" w:hAnsi="Times New Roman"/>
          <w:sz w:val="24"/>
          <w:szCs w:val="24"/>
          <w:vertAlign w:val="superscript"/>
          <w:lang w:val="en-US"/>
        </w:rPr>
        <w:footnoteReference w:id="562"/>
      </w:r>
      <w:r w:rsidRPr="009A3C86">
        <w:rPr>
          <w:rFonts w:ascii="Times New Roman" w:eastAsia="Times New Roman" w:hAnsi="Times New Roman"/>
          <w:sz w:val="24"/>
          <w:szCs w:val="24"/>
        </w:rPr>
        <w:t>, ustawie o podatku akcyzowym</w:t>
      </w:r>
      <w:r w:rsidRPr="009A3C86">
        <w:rPr>
          <w:rFonts w:ascii="Times New Roman" w:eastAsia="Times New Roman" w:hAnsi="Times New Roman"/>
          <w:sz w:val="24"/>
          <w:szCs w:val="24"/>
          <w:vertAlign w:val="superscript"/>
          <w:lang w:val="en-US"/>
        </w:rPr>
        <w:footnoteReference w:id="563"/>
      </w:r>
      <w:r w:rsidRPr="009A3C86">
        <w:rPr>
          <w:rFonts w:ascii="Times New Roman" w:eastAsia="Times New Roman" w:hAnsi="Times New Roman"/>
          <w:sz w:val="24"/>
          <w:szCs w:val="24"/>
        </w:rPr>
        <w:t>, u</w:t>
      </w:r>
      <w:r w:rsidRPr="009A3C86">
        <w:rPr>
          <w:rFonts w:ascii="Times New Roman" w:eastAsia="Times New Roman" w:hAnsi="Times New Roman"/>
          <w:bCs/>
          <w:sz w:val="24"/>
          <w:szCs w:val="24"/>
        </w:rPr>
        <w:t>stawie o zwrocie nadpłaty w podatku akcyzowym zapłaconym z tytułu nabycia wewnątrzwspólnotowego albo importu samochodu osobowego</w:t>
      </w:r>
      <w:r w:rsidRPr="009A3C86">
        <w:rPr>
          <w:rFonts w:ascii="Times New Roman" w:eastAsia="Times New Roman" w:hAnsi="Times New Roman"/>
          <w:sz w:val="24"/>
          <w:szCs w:val="24"/>
          <w:vertAlign w:val="superscript"/>
          <w:lang w:val="en-US"/>
        </w:rPr>
        <w:footnoteReference w:id="564"/>
      </w:r>
      <w:r w:rsidRPr="009A3C86">
        <w:rPr>
          <w:rFonts w:ascii="Times New Roman" w:eastAsia="Times New Roman" w:hAnsi="Times New Roman"/>
          <w:bCs/>
          <w:sz w:val="24"/>
          <w:szCs w:val="24"/>
        </w:rPr>
        <w:t>, u</w:t>
      </w:r>
      <w:r w:rsidRPr="009A3C86">
        <w:rPr>
          <w:rFonts w:ascii="Times New Roman" w:eastAsia="Times New Roman" w:hAnsi="Times New Roman"/>
          <w:sz w:val="24"/>
          <w:szCs w:val="24"/>
        </w:rPr>
        <w:t>stawie o podatku dochodowym od osób fizycznych</w:t>
      </w:r>
      <w:r w:rsidRPr="009A3C86">
        <w:rPr>
          <w:rFonts w:ascii="Times New Roman" w:eastAsia="Times New Roman" w:hAnsi="Times New Roman"/>
          <w:sz w:val="24"/>
          <w:szCs w:val="24"/>
          <w:vertAlign w:val="superscript"/>
          <w:lang w:val="en-US"/>
        </w:rPr>
        <w:footnoteReference w:id="565"/>
      </w:r>
      <w:r w:rsidRPr="009A3C86">
        <w:rPr>
          <w:rFonts w:ascii="Times New Roman" w:eastAsia="Times New Roman" w:hAnsi="Times New Roman"/>
          <w:sz w:val="24"/>
          <w:szCs w:val="24"/>
        </w:rPr>
        <w:t>, u</w:t>
      </w:r>
      <w:r w:rsidRPr="009A3C86">
        <w:rPr>
          <w:rFonts w:ascii="Times New Roman" w:eastAsia="Times New Roman" w:hAnsi="Times New Roman"/>
          <w:bCs/>
          <w:sz w:val="24"/>
          <w:szCs w:val="24"/>
        </w:rPr>
        <w:t>stawie o podatku dochodowym od osób prawnych</w:t>
      </w:r>
      <w:r w:rsidRPr="009A3C86">
        <w:rPr>
          <w:rFonts w:ascii="Times New Roman" w:eastAsia="Times New Roman" w:hAnsi="Times New Roman"/>
          <w:sz w:val="24"/>
          <w:szCs w:val="24"/>
          <w:vertAlign w:val="superscript"/>
          <w:lang w:val="en-US"/>
        </w:rPr>
        <w:footnoteReference w:id="566"/>
      </w:r>
      <w:r w:rsidRPr="009A3C86">
        <w:rPr>
          <w:rFonts w:ascii="Times New Roman" w:eastAsia="Times New Roman" w:hAnsi="Times New Roman"/>
          <w:bCs/>
          <w:sz w:val="24"/>
          <w:szCs w:val="24"/>
        </w:rPr>
        <w:t>,</w:t>
      </w:r>
      <w:r w:rsidRPr="009A3C86">
        <w:rPr>
          <w:rFonts w:ascii="Times New Roman" w:eastAsia="Times New Roman" w:hAnsi="Times New Roman"/>
          <w:sz w:val="24"/>
          <w:szCs w:val="24"/>
        </w:rPr>
        <w:t xml:space="preserve"> ustawie o podatku od towarów i usług</w:t>
      </w:r>
      <w:r w:rsidRPr="009A3C86">
        <w:rPr>
          <w:rFonts w:ascii="Times New Roman" w:eastAsia="Times New Roman" w:hAnsi="Times New Roman"/>
          <w:sz w:val="24"/>
          <w:szCs w:val="24"/>
          <w:vertAlign w:val="superscript"/>
          <w:lang w:val="en-US"/>
        </w:rPr>
        <w:footnoteReference w:id="567"/>
      </w:r>
      <w:r w:rsidRPr="009A3C86">
        <w:rPr>
          <w:rFonts w:ascii="Times New Roman" w:eastAsia="Times New Roman" w:hAnsi="Times New Roman"/>
          <w:sz w:val="24"/>
          <w:szCs w:val="24"/>
        </w:rPr>
        <w:t xml:space="preserve"> czy ustawie o podatku od czynności cywilnoprawnych</w:t>
      </w:r>
      <w:r w:rsidRPr="009A3C86">
        <w:rPr>
          <w:rFonts w:ascii="Times New Roman" w:eastAsia="Times New Roman" w:hAnsi="Times New Roman"/>
          <w:sz w:val="24"/>
          <w:szCs w:val="24"/>
          <w:vertAlign w:val="superscript"/>
        </w:rPr>
        <w:footnoteReference w:id="568"/>
      </w:r>
      <w:r w:rsidRPr="009A3C86">
        <w:rPr>
          <w:rFonts w:ascii="Times New Roman" w:eastAsia="Times New Roman" w:hAnsi="Times New Roman"/>
          <w:sz w:val="24"/>
          <w:szCs w:val="24"/>
        </w:rPr>
        <w:t xml:space="preserve">. Powyższe przepisy przede wszystkim odmiennie regulują samo pojęcie </w:t>
      </w:r>
      <w:r w:rsidRPr="009A3C86">
        <w:rPr>
          <w:rFonts w:ascii="Times New Roman" w:eastAsia="Times New Roman" w:hAnsi="Times New Roman"/>
          <w:sz w:val="24"/>
          <w:szCs w:val="24"/>
        </w:rPr>
        <w:lastRenderedPageBreak/>
        <w:t>„wartości rynkowej”, które w pewnych granicach jest względne, a w konsekwencji może wywoływać wątpliwości i spory w procesie stosowania prawa</w:t>
      </w:r>
      <w:r w:rsidRPr="009A3C86">
        <w:rPr>
          <w:rFonts w:ascii="Times New Roman" w:eastAsia="Times New Roman" w:hAnsi="Times New Roman"/>
          <w:sz w:val="24"/>
          <w:szCs w:val="24"/>
          <w:vertAlign w:val="superscript"/>
          <w:lang w:val="en-US"/>
        </w:rPr>
        <w:footnoteReference w:id="569"/>
      </w:r>
      <w:r w:rsidRPr="009A3C86">
        <w:rPr>
          <w:rFonts w:ascii="Times New Roman" w:eastAsia="Times New Roman" w:hAnsi="Times New Roman"/>
          <w:sz w:val="24"/>
          <w:szCs w:val="24"/>
        </w:rPr>
        <w:t xml:space="preserve">. Mając jednak na uwadze odmienny charakter podstawy opodatkowania, w powyższych przepisach prawa podatkowego nie ujednolicono samej definicji tego pojęcia, jednakże zasadne jest </w:t>
      </w:r>
      <w:r w:rsidRPr="009A3C86">
        <w:rPr>
          <w:rFonts w:ascii="Times New Roman" w:eastAsia="Times New Roman" w:hAnsi="Times New Roman"/>
          <w:bCs/>
          <w:sz w:val="24"/>
          <w:szCs w:val="24"/>
        </w:rPr>
        <w:t xml:space="preserve">uregulowanie procedury </w:t>
      </w:r>
      <w:r w:rsidRPr="009A3C86">
        <w:rPr>
          <w:rFonts w:ascii="Times New Roman" w:eastAsia="Times New Roman" w:hAnsi="Times New Roman"/>
          <w:sz w:val="24"/>
          <w:szCs w:val="24"/>
        </w:rPr>
        <w:t>ustalania wartości rzeczy lub praw majątkowych dla celów podatkowych, mającej zastosowanie, co do zasady, do wszystkich podatków.</w:t>
      </w:r>
    </w:p>
    <w:p w:rsidR="006C38A8" w:rsidRPr="009A3C86" w:rsidRDefault="006C38A8" w:rsidP="006C38A8">
      <w:pPr>
        <w:tabs>
          <w:tab w:val="left" w:pos="500"/>
        </w:tabs>
        <w:autoSpaceDE w:val="0"/>
        <w:autoSpaceDN w:val="0"/>
        <w:adjustRightInd w:val="0"/>
        <w:spacing w:after="0" w:line="360" w:lineRule="auto"/>
        <w:jc w:val="both"/>
        <w:rPr>
          <w:rFonts w:ascii="Times New Roman" w:hAnsi="Times New Roman"/>
          <w:bCs/>
          <w:sz w:val="24"/>
          <w:szCs w:val="24"/>
        </w:rPr>
      </w:pPr>
      <w:r w:rsidRPr="009A3C86">
        <w:rPr>
          <w:rFonts w:ascii="Times New Roman" w:hAnsi="Times New Roman"/>
          <w:sz w:val="24"/>
          <w:szCs w:val="24"/>
        </w:rPr>
        <w:t xml:space="preserve">2. W ramach proponowanej procedury ustalania wartości zasadą będzie określanie jej w pierwszej kolejności przez podatnika. W </w:t>
      </w:r>
      <w:r w:rsidRPr="009A3C86">
        <w:rPr>
          <w:rFonts w:ascii="Times New Roman" w:hAnsi="Times New Roman"/>
          <w:b/>
          <w:sz w:val="24"/>
          <w:szCs w:val="24"/>
        </w:rPr>
        <w:t xml:space="preserve">art. </w:t>
      </w:r>
      <w:r w:rsidR="00235DA5" w:rsidRPr="009A3C86">
        <w:rPr>
          <w:rFonts w:ascii="Times New Roman" w:hAnsi="Times New Roman"/>
          <w:b/>
          <w:sz w:val="24"/>
          <w:szCs w:val="24"/>
        </w:rPr>
        <w:t>696</w:t>
      </w:r>
      <w:r w:rsidRPr="009A3C86">
        <w:rPr>
          <w:rFonts w:ascii="Times New Roman" w:hAnsi="Times New Roman"/>
          <w:b/>
          <w:sz w:val="24"/>
          <w:szCs w:val="24"/>
        </w:rPr>
        <w:t xml:space="preserve"> § 1</w:t>
      </w:r>
      <w:r w:rsidRPr="009A3C86">
        <w:rPr>
          <w:rFonts w:ascii="Times New Roman" w:hAnsi="Times New Roman"/>
          <w:sz w:val="24"/>
          <w:szCs w:val="24"/>
        </w:rPr>
        <w:t xml:space="preserve"> zawarto generalną zasadę, iż organ podatkowy będzie wzywał zobowiązanego do określenia wartości rzeczy lub praw majątkowych, jeżeli mimo ciążącego na nim obowiązku go nie dopełnił. Termin do dokonania tej czynności nie może być jednak krótszy niż 14 dni od dnia doręczenia wezwania. Ta sama zasada dotyczy sytuacji, gdy zdaniem organu wartość ta jest zawyżona lub zaniżona (</w:t>
      </w:r>
      <w:r w:rsidRPr="009A3C86">
        <w:rPr>
          <w:rFonts w:ascii="Times New Roman" w:hAnsi="Times New Roman"/>
          <w:b/>
          <w:sz w:val="24"/>
          <w:szCs w:val="24"/>
        </w:rPr>
        <w:t xml:space="preserve">art. </w:t>
      </w:r>
      <w:r w:rsidR="00235DA5" w:rsidRPr="009A3C86">
        <w:rPr>
          <w:rFonts w:ascii="Times New Roman" w:hAnsi="Times New Roman"/>
          <w:b/>
          <w:sz w:val="24"/>
          <w:szCs w:val="24"/>
        </w:rPr>
        <w:t>696</w:t>
      </w:r>
      <w:r w:rsidRPr="009A3C86">
        <w:rPr>
          <w:rFonts w:ascii="Times New Roman" w:hAnsi="Times New Roman"/>
          <w:b/>
          <w:sz w:val="24"/>
          <w:szCs w:val="24"/>
        </w:rPr>
        <w:t xml:space="preserve"> § 2</w:t>
      </w:r>
      <w:r w:rsidRPr="009A3C86">
        <w:rPr>
          <w:rFonts w:ascii="Times New Roman" w:hAnsi="Times New Roman"/>
          <w:sz w:val="24"/>
          <w:szCs w:val="24"/>
        </w:rPr>
        <w:t xml:space="preserve">). W tym przypadku organ jest jednak zobowiązany do wskazania wartości </w:t>
      </w:r>
      <w:r w:rsidR="00235DA5" w:rsidRPr="009A3C86">
        <w:rPr>
          <w:rFonts w:ascii="Times New Roman" w:hAnsi="Times New Roman"/>
          <w:sz w:val="24"/>
          <w:szCs w:val="24"/>
        </w:rPr>
        <w:t xml:space="preserve">rzeczy lub praw majątkowych </w:t>
      </w:r>
      <w:r w:rsidRPr="009A3C86">
        <w:rPr>
          <w:rFonts w:ascii="Times New Roman" w:hAnsi="Times New Roman"/>
          <w:sz w:val="24"/>
          <w:szCs w:val="24"/>
        </w:rPr>
        <w:t>oraz przesłanek, którymi kierował się przy jej wyliczeniu, a podatnik w odpowiedzi na wezwanie wskazuje przyczyny uzasadniające podanie wartości znacznie odbiegającej od tej wartości (</w:t>
      </w:r>
      <w:r w:rsidRPr="009A3C86">
        <w:rPr>
          <w:rFonts w:ascii="Times New Roman" w:hAnsi="Times New Roman"/>
          <w:b/>
          <w:sz w:val="24"/>
          <w:szCs w:val="24"/>
        </w:rPr>
        <w:t xml:space="preserve">art. </w:t>
      </w:r>
      <w:r w:rsidR="00235DA5" w:rsidRPr="009A3C86">
        <w:rPr>
          <w:rFonts w:ascii="Times New Roman" w:hAnsi="Times New Roman"/>
          <w:b/>
          <w:sz w:val="24"/>
          <w:szCs w:val="24"/>
        </w:rPr>
        <w:t>696</w:t>
      </w:r>
      <w:r w:rsidRPr="009A3C86">
        <w:rPr>
          <w:rFonts w:ascii="Times New Roman" w:hAnsi="Times New Roman"/>
          <w:b/>
          <w:sz w:val="24"/>
          <w:szCs w:val="24"/>
        </w:rPr>
        <w:t xml:space="preserve"> § 3</w:t>
      </w:r>
      <w:r w:rsidRPr="009A3C86">
        <w:rPr>
          <w:rFonts w:ascii="Times New Roman" w:hAnsi="Times New Roman"/>
          <w:sz w:val="24"/>
          <w:szCs w:val="24"/>
        </w:rPr>
        <w:t xml:space="preserve">). W wielu przypadkach wskazanie przesłanek ustalenia wartości </w:t>
      </w:r>
      <w:r w:rsidR="00235DA5" w:rsidRPr="009A3C86">
        <w:rPr>
          <w:rFonts w:ascii="Times New Roman" w:hAnsi="Times New Roman"/>
          <w:sz w:val="24"/>
          <w:szCs w:val="24"/>
        </w:rPr>
        <w:t xml:space="preserve">rzeczy lub praw majątkowych </w:t>
      </w:r>
      <w:r w:rsidRPr="009A3C86">
        <w:rPr>
          <w:rFonts w:ascii="Times New Roman" w:hAnsi="Times New Roman"/>
          <w:sz w:val="24"/>
          <w:szCs w:val="24"/>
        </w:rPr>
        <w:t xml:space="preserve">przez organ podatkowy lub zobowiązanego przyczyni się do pełnego wyjaśnienia stanu faktycznego i uwzględnienia argumentów, które przemawiają za taką, a nie inną wyceną. Konsekwencją powyższego będzie szybkie i koncyliacyjne załatwienie sprawy. </w:t>
      </w:r>
    </w:p>
    <w:p w:rsidR="006C38A8" w:rsidRPr="009A3C86" w:rsidRDefault="006C38A8" w:rsidP="006C38A8">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3. Jeżeli jednak podatnik nie określi wartości rzeczy </w:t>
      </w:r>
      <w:r w:rsidR="00235DA5" w:rsidRPr="009A3C86">
        <w:rPr>
          <w:rFonts w:ascii="Times New Roman" w:hAnsi="Times New Roman"/>
          <w:sz w:val="24"/>
          <w:szCs w:val="24"/>
          <w:lang w:eastAsia="pl-PL"/>
        </w:rPr>
        <w:t xml:space="preserve">lub praw majątkowych </w:t>
      </w:r>
      <w:r w:rsidRPr="009A3C86">
        <w:rPr>
          <w:rFonts w:ascii="Times New Roman" w:hAnsi="Times New Roman"/>
          <w:sz w:val="24"/>
          <w:szCs w:val="24"/>
          <w:lang w:eastAsia="pl-PL"/>
        </w:rPr>
        <w:t>albo wartość określona przez niego nie będzie odpowiadała według wstępnej oceny organu podatkowego wartości rynkowej, organ ten będzie prowadził uproszczoną procedurę mającą na celu ustalenie tej wartości (</w:t>
      </w:r>
      <w:r w:rsidRPr="009A3C86">
        <w:rPr>
          <w:rFonts w:ascii="Times New Roman" w:hAnsi="Times New Roman"/>
          <w:b/>
          <w:sz w:val="24"/>
          <w:szCs w:val="24"/>
          <w:lang w:eastAsia="pl-PL"/>
        </w:rPr>
        <w:t xml:space="preserve">art. </w:t>
      </w:r>
      <w:r w:rsidR="00235DA5" w:rsidRPr="009A3C86">
        <w:rPr>
          <w:rFonts w:ascii="Times New Roman" w:hAnsi="Times New Roman"/>
          <w:b/>
          <w:sz w:val="24"/>
          <w:szCs w:val="24"/>
          <w:lang w:eastAsia="pl-PL"/>
        </w:rPr>
        <w:t>697</w:t>
      </w:r>
      <w:r w:rsidRPr="009A3C86">
        <w:rPr>
          <w:rFonts w:ascii="Times New Roman" w:hAnsi="Times New Roman"/>
          <w:sz w:val="24"/>
          <w:szCs w:val="24"/>
          <w:lang w:eastAsia="pl-PL"/>
        </w:rPr>
        <w:t>). Zaproponowane rozwiązanie określa zarówno zasady przeprowadzenia wstępnej oceny wartości</w:t>
      </w:r>
      <w:r w:rsidR="00576B7F" w:rsidRPr="009A3C86">
        <w:rPr>
          <w:rFonts w:ascii="Times New Roman" w:hAnsi="Times New Roman"/>
          <w:sz w:val="24"/>
          <w:szCs w:val="24"/>
          <w:lang w:eastAsia="pl-PL"/>
        </w:rPr>
        <w:t xml:space="preserve"> rzeczy lub praw majątkowych</w:t>
      </w:r>
      <w:r w:rsidRPr="009A3C86">
        <w:rPr>
          <w:rFonts w:ascii="Times New Roman" w:hAnsi="Times New Roman"/>
          <w:sz w:val="24"/>
          <w:szCs w:val="24"/>
          <w:lang w:eastAsia="pl-PL"/>
        </w:rPr>
        <w:t>, jak również zasady ustalania wartości rynkowej rzeczy</w:t>
      </w:r>
      <w:r w:rsidR="00235DA5" w:rsidRPr="009A3C86">
        <w:rPr>
          <w:rFonts w:ascii="Times New Roman" w:hAnsi="Times New Roman"/>
          <w:sz w:val="24"/>
          <w:szCs w:val="24"/>
          <w:lang w:eastAsia="pl-PL"/>
        </w:rPr>
        <w:t xml:space="preserve"> lub praw majątkowych</w:t>
      </w:r>
      <w:r w:rsidRPr="009A3C86">
        <w:rPr>
          <w:rFonts w:ascii="Times New Roman" w:hAnsi="Times New Roman"/>
          <w:sz w:val="24"/>
          <w:szCs w:val="24"/>
          <w:lang w:eastAsia="pl-PL"/>
        </w:rPr>
        <w:t xml:space="preserve">, w sytuacji gdy do ustalania tej wartości będzie powoływany biegły. W przypadku gdy zobowiązany nie dokonał zmiany wartości </w:t>
      </w:r>
      <w:r w:rsidR="00576B7F" w:rsidRPr="009A3C86">
        <w:rPr>
          <w:rFonts w:ascii="Times New Roman" w:hAnsi="Times New Roman"/>
          <w:sz w:val="24"/>
          <w:szCs w:val="24"/>
          <w:lang w:eastAsia="pl-PL"/>
        </w:rPr>
        <w:t xml:space="preserve">rzeczy lub praw majątkowych </w:t>
      </w:r>
      <w:r w:rsidRPr="009A3C86">
        <w:rPr>
          <w:rFonts w:ascii="Times New Roman" w:hAnsi="Times New Roman"/>
          <w:sz w:val="24"/>
          <w:szCs w:val="24"/>
          <w:lang w:eastAsia="pl-PL"/>
        </w:rPr>
        <w:t>lub podał wartość nieodpowiadającą wartości rynkowej, proponuje się, aby organ podatkowy określi</w:t>
      </w:r>
      <w:r w:rsidR="00794FA2" w:rsidRPr="009A3C86">
        <w:rPr>
          <w:rFonts w:ascii="Times New Roman" w:hAnsi="Times New Roman"/>
          <w:sz w:val="24"/>
          <w:szCs w:val="24"/>
          <w:lang w:eastAsia="pl-PL"/>
        </w:rPr>
        <w:t>ł</w:t>
      </w:r>
      <w:r w:rsidRPr="009A3C86">
        <w:rPr>
          <w:rFonts w:ascii="Times New Roman" w:hAnsi="Times New Roman"/>
          <w:sz w:val="24"/>
          <w:szCs w:val="24"/>
          <w:lang w:eastAsia="pl-PL"/>
        </w:rPr>
        <w:t xml:space="preserve"> wartość rzeczy lub praw majątkowych (</w:t>
      </w:r>
      <w:r w:rsidRPr="009A3C86">
        <w:rPr>
          <w:rFonts w:ascii="Times New Roman" w:hAnsi="Times New Roman"/>
          <w:b/>
          <w:sz w:val="24"/>
          <w:szCs w:val="24"/>
          <w:lang w:eastAsia="pl-PL"/>
        </w:rPr>
        <w:t xml:space="preserve">art. </w:t>
      </w:r>
      <w:r w:rsidR="00235DA5" w:rsidRPr="009A3C86">
        <w:rPr>
          <w:rFonts w:ascii="Times New Roman" w:hAnsi="Times New Roman"/>
          <w:b/>
          <w:sz w:val="24"/>
          <w:szCs w:val="24"/>
          <w:lang w:eastAsia="pl-PL"/>
        </w:rPr>
        <w:t>697</w:t>
      </w:r>
      <w:r w:rsidRPr="009A3C86">
        <w:rPr>
          <w:rFonts w:ascii="Times New Roman" w:hAnsi="Times New Roman"/>
          <w:b/>
          <w:sz w:val="24"/>
          <w:szCs w:val="24"/>
          <w:lang w:eastAsia="pl-PL"/>
        </w:rPr>
        <w:t xml:space="preserve"> § 1</w:t>
      </w:r>
      <w:r w:rsidRPr="009A3C86">
        <w:rPr>
          <w:rFonts w:ascii="Times New Roman" w:hAnsi="Times New Roman"/>
          <w:sz w:val="24"/>
          <w:szCs w:val="24"/>
          <w:lang w:eastAsia="pl-PL"/>
        </w:rPr>
        <w:t>), sporządzając na tę okoliczność adnotację, któr</w:t>
      </w:r>
      <w:r w:rsidR="00862E48" w:rsidRPr="009A3C86">
        <w:rPr>
          <w:rFonts w:ascii="Times New Roman" w:hAnsi="Times New Roman"/>
          <w:sz w:val="24"/>
          <w:szCs w:val="24"/>
          <w:lang w:eastAsia="pl-PL"/>
        </w:rPr>
        <w:t>a</w:t>
      </w:r>
      <w:r w:rsidRPr="009A3C86">
        <w:rPr>
          <w:rFonts w:ascii="Times New Roman" w:hAnsi="Times New Roman"/>
          <w:sz w:val="24"/>
          <w:szCs w:val="24"/>
          <w:lang w:eastAsia="pl-PL"/>
        </w:rPr>
        <w:t xml:space="preserve"> będzie stanowił</w:t>
      </w:r>
      <w:r w:rsidR="00862E48" w:rsidRPr="009A3C86">
        <w:rPr>
          <w:rFonts w:ascii="Times New Roman" w:hAnsi="Times New Roman"/>
          <w:sz w:val="24"/>
          <w:szCs w:val="24"/>
          <w:lang w:eastAsia="pl-PL"/>
        </w:rPr>
        <w:t>a</w:t>
      </w:r>
      <w:r w:rsidRPr="009A3C86">
        <w:rPr>
          <w:rFonts w:ascii="Times New Roman" w:hAnsi="Times New Roman"/>
          <w:sz w:val="24"/>
          <w:szCs w:val="24"/>
          <w:lang w:eastAsia="pl-PL"/>
        </w:rPr>
        <w:t xml:space="preserve"> dowód w ewentualnym postępowaniu podatkowym lub kontroli podatkowej.</w:t>
      </w:r>
    </w:p>
    <w:p w:rsidR="006C38A8" w:rsidRPr="009A3C86" w:rsidRDefault="006C38A8" w:rsidP="006C38A8">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 xml:space="preserve">4. Projekt przewiduje również możliwość powołania przez organ podatkowy biegłego, jeżeli w sprawie wymagane są wiadomości specjalne. Co do zasady koszty takiej opinii ponosi organ podatkowy, chyba że zobowiązany nie określił wartości </w:t>
      </w:r>
      <w:r w:rsidR="00576B7F" w:rsidRPr="009A3C86">
        <w:rPr>
          <w:rFonts w:ascii="Times New Roman" w:eastAsia="Times New Roman" w:hAnsi="Times New Roman"/>
          <w:sz w:val="24"/>
          <w:szCs w:val="24"/>
        </w:rPr>
        <w:t xml:space="preserve">rzeczy lub praw majątkowych </w:t>
      </w:r>
      <w:r w:rsidRPr="009A3C86">
        <w:rPr>
          <w:rFonts w:ascii="Times New Roman" w:eastAsia="Times New Roman" w:hAnsi="Times New Roman"/>
          <w:sz w:val="24"/>
          <w:szCs w:val="24"/>
        </w:rPr>
        <w:t xml:space="preserve">albo nie dokonał zmiany </w:t>
      </w:r>
      <w:r w:rsidR="00794FA2" w:rsidRPr="009A3C86">
        <w:rPr>
          <w:rFonts w:ascii="Times New Roman" w:eastAsia="Times New Roman" w:hAnsi="Times New Roman"/>
          <w:sz w:val="24"/>
          <w:szCs w:val="24"/>
        </w:rPr>
        <w:t xml:space="preserve">tej </w:t>
      </w:r>
      <w:r w:rsidRPr="009A3C86">
        <w:rPr>
          <w:rFonts w:ascii="Times New Roman" w:eastAsia="Times New Roman" w:hAnsi="Times New Roman"/>
          <w:sz w:val="24"/>
          <w:szCs w:val="24"/>
        </w:rPr>
        <w:t xml:space="preserve">wartości w wyznaczonym terminie lub określił </w:t>
      </w:r>
      <w:r w:rsidR="00794FA2" w:rsidRPr="009A3C86">
        <w:rPr>
          <w:rFonts w:ascii="Times New Roman" w:eastAsia="Times New Roman" w:hAnsi="Times New Roman"/>
          <w:sz w:val="24"/>
          <w:szCs w:val="24"/>
        </w:rPr>
        <w:t xml:space="preserve">tę </w:t>
      </w:r>
      <w:r w:rsidRPr="009A3C86">
        <w:rPr>
          <w:rFonts w:ascii="Times New Roman" w:eastAsia="Times New Roman" w:hAnsi="Times New Roman"/>
          <w:sz w:val="24"/>
          <w:szCs w:val="24"/>
        </w:rPr>
        <w:t>wartość odbiegającą co najmniej o 33% od wartości ustalonej w opinii biegłego. W takim przypadku koszty te ponosi zobowiązany. W projekcie proponuje się, aby w sprawie kosztów biegłego organ podatkowy wydał postanowienie, na które służy zażalenie (</w:t>
      </w:r>
      <w:r w:rsidRPr="009A3C86">
        <w:rPr>
          <w:rFonts w:ascii="Times New Roman" w:eastAsia="Times New Roman" w:hAnsi="Times New Roman"/>
          <w:b/>
          <w:sz w:val="24"/>
          <w:szCs w:val="24"/>
        </w:rPr>
        <w:t xml:space="preserve">art. </w:t>
      </w:r>
      <w:r w:rsidR="00235DA5" w:rsidRPr="009A3C86">
        <w:rPr>
          <w:rFonts w:ascii="Times New Roman" w:eastAsia="Times New Roman" w:hAnsi="Times New Roman"/>
          <w:b/>
          <w:sz w:val="24"/>
          <w:szCs w:val="24"/>
        </w:rPr>
        <w:t>698</w:t>
      </w:r>
      <w:r w:rsidRPr="009A3C86">
        <w:rPr>
          <w:rFonts w:ascii="Times New Roman" w:eastAsia="Times New Roman" w:hAnsi="Times New Roman"/>
          <w:b/>
          <w:sz w:val="24"/>
          <w:szCs w:val="24"/>
        </w:rPr>
        <w:t xml:space="preserve"> § 1-3</w:t>
      </w:r>
      <w:r w:rsidRPr="009A3C86">
        <w:rPr>
          <w:rFonts w:ascii="Times New Roman" w:eastAsia="Times New Roman" w:hAnsi="Times New Roman"/>
          <w:sz w:val="24"/>
          <w:szCs w:val="24"/>
        </w:rPr>
        <w:t>).</w:t>
      </w:r>
    </w:p>
    <w:p w:rsidR="002D0DBC" w:rsidRPr="009A3C86" w:rsidRDefault="002D0DBC" w:rsidP="00D72E74">
      <w:pPr>
        <w:widowControl w:val="0"/>
        <w:autoSpaceDE w:val="0"/>
        <w:autoSpaceDN w:val="0"/>
        <w:adjustRightInd w:val="0"/>
        <w:spacing w:before="120" w:after="0" w:line="360" w:lineRule="auto"/>
        <w:jc w:val="both"/>
        <w:rPr>
          <w:rFonts w:ascii="Times New Roman" w:hAnsi="Times New Roman"/>
          <w:b/>
          <w:sz w:val="24"/>
          <w:szCs w:val="24"/>
          <w:lang w:eastAsia="pl-PL"/>
        </w:rPr>
      </w:pPr>
      <w:r w:rsidRPr="009A3C86">
        <w:rPr>
          <w:rFonts w:ascii="Times New Roman" w:hAnsi="Times New Roman"/>
          <w:b/>
          <w:sz w:val="24"/>
          <w:szCs w:val="24"/>
          <w:lang w:eastAsia="pl-PL"/>
        </w:rPr>
        <w:t xml:space="preserve">Rozdział </w:t>
      </w:r>
      <w:r w:rsidR="00F30E47" w:rsidRPr="009A3C86">
        <w:rPr>
          <w:rFonts w:ascii="Times New Roman" w:hAnsi="Times New Roman"/>
          <w:b/>
          <w:sz w:val="24"/>
          <w:szCs w:val="24"/>
          <w:lang w:eastAsia="pl-PL"/>
        </w:rPr>
        <w:t>9</w:t>
      </w:r>
      <w:r w:rsidRPr="009A3C86">
        <w:rPr>
          <w:rFonts w:ascii="Times New Roman" w:hAnsi="Times New Roman"/>
          <w:b/>
          <w:sz w:val="24"/>
          <w:szCs w:val="24"/>
          <w:lang w:eastAsia="pl-PL"/>
        </w:rPr>
        <w:t>. Przeciwdziałanie wykorzystywaniu sektora finansowego do wyłudzeń skarbowych</w:t>
      </w:r>
    </w:p>
    <w:p w:rsidR="002D0DBC" w:rsidRPr="009A3C86" w:rsidRDefault="002D0DBC" w:rsidP="002D0DBC">
      <w:pPr>
        <w:widowControl w:val="0"/>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1. W związku z uchwaleniem ustawy z dnia 24 listopada 2017 r. o zmianie niektórych ustaw w celu przeciwdziałania wykorzystywaniu sektora finansowego do wyłudzeń skarbowych (Dz. U. poz. 2491), na mocy której do Ordynacji podatkowej dodany został dział IIIB, konieczne stało się uzupełnienie projektu nowej Ordynacji podatkowej o zmiany wprowadzone tą ustawą. Przepisy </w:t>
      </w:r>
      <w:r w:rsidR="006B4E66" w:rsidRPr="009A3C86">
        <w:rPr>
          <w:rFonts w:ascii="Times New Roman" w:hAnsi="Times New Roman"/>
          <w:sz w:val="24"/>
          <w:szCs w:val="24"/>
          <w:lang w:eastAsia="pl-PL"/>
        </w:rPr>
        <w:t xml:space="preserve">działu IV </w:t>
      </w:r>
      <w:r w:rsidRPr="009A3C86">
        <w:rPr>
          <w:rFonts w:ascii="Times New Roman" w:hAnsi="Times New Roman"/>
          <w:sz w:val="24"/>
          <w:szCs w:val="24"/>
          <w:lang w:eastAsia="pl-PL"/>
        </w:rPr>
        <w:t xml:space="preserve">rozdziału </w:t>
      </w:r>
      <w:r w:rsidR="009746BB" w:rsidRPr="009A3C86">
        <w:rPr>
          <w:rFonts w:ascii="Times New Roman" w:hAnsi="Times New Roman"/>
          <w:sz w:val="24"/>
          <w:szCs w:val="24"/>
          <w:lang w:eastAsia="pl-PL"/>
        </w:rPr>
        <w:t>9</w:t>
      </w:r>
      <w:r w:rsidRPr="009A3C86">
        <w:rPr>
          <w:rFonts w:ascii="Times New Roman" w:hAnsi="Times New Roman"/>
          <w:sz w:val="24"/>
          <w:szCs w:val="24"/>
          <w:lang w:eastAsia="pl-PL"/>
        </w:rPr>
        <w:t xml:space="preserve"> zostały wprowadzone do projektu nowej Ordynacji podatkowej w takiej postaci w jakiej obowiązują w aktualnej ustawie. </w:t>
      </w:r>
      <w:r w:rsidR="007249EF" w:rsidRPr="009A3C86">
        <w:rPr>
          <w:rFonts w:ascii="Times New Roman" w:hAnsi="Times New Roman"/>
          <w:sz w:val="24"/>
          <w:szCs w:val="24"/>
          <w:lang w:eastAsia="pl-PL"/>
        </w:rPr>
        <w:t xml:space="preserve">Projekt </w:t>
      </w:r>
      <w:r w:rsidRPr="009A3C86">
        <w:rPr>
          <w:rFonts w:ascii="Times New Roman" w:hAnsi="Times New Roman"/>
          <w:sz w:val="24"/>
          <w:szCs w:val="24"/>
          <w:lang w:eastAsia="pl-PL"/>
        </w:rPr>
        <w:t xml:space="preserve">uwzględnia również zmiany wprowadzone </w:t>
      </w:r>
      <w:r w:rsidR="007249EF" w:rsidRPr="009A3C86">
        <w:rPr>
          <w:rFonts w:ascii="Times New Roman" w:hAnsi="Times New Roman"/>
          <w:sz w:val="24"/>
          <w:szCs w:val="24"/>
          <w:lang w:eastAsia="pl-PL"/>
        </w:rPr>
        <w:t xml:space="preserve">do aktualnej ordynacji podatkowej </w:t>
      </w:r>
      <w:r w:rsidRPr="009A3C86">
        <w:rPr>
          <w:rFonts w:ascii="Times New Roman" w:hAnsi="Times New Roman"/>
          <w:sz w:val="24"/>
          <w:szCs w:val="24"/>
          <w:lang w:eastAsia="pl-PL"/>
        </w:rPr>
        <w:t>ustawą z dnia 5 lipca 2018 r. o zmianie ustawy - Ordynacja podatkowa oraz niektórych innych ustaw (Dz. U. poz. 1499).</w:t>
      </w:r>
    </w:p>
    <w:p w:rsidR="002D0DBC" w:rsidRPr="009A3C86" w:rsidRDefault="002D0DBC" w:rsidP="002D0DBC">
      <w:pPr>
        <w:widowControl w:val="0"/>
        <w:autoSpaceDE w:val="0"/>
        <w:autoSpaceDN w:val="0"/>
        <w:adjustRightInd w:val="0"/>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2. </w:t>
      </w:r>
      <w:r w:rsidR="00C8144B" w:rsidRPr="009A3C86">
        <w:rPr>
          <w:rFonts w:ascii="Times New Roman" w:hAnsi="Times New Roman"/>
          <w:sz w:val="24"/>
          <w:szCs w:val="24"/>
          <w:lang w:eastAsia="pl-PL"/>
        </w:rPr>
        <w:t xml:space="preserve">Mając na uwadze, że projektowane przepisy </w:t>
      </w:r>
      <w:r w:rsidRPr="009A3C86">
        <w:rPr>
          <w:rFonts w:ascii="Times New Roman" w:hAnsi="Times New Roman"/>
          <w:sz w:val="24"/>
          <w:szCs w:val="24"/>
          <w:lang w:eastAsia="pl-PL"/>
        </w:rPr>
        <w:t>dotyczą przede wszystkim analizy ryzyka i blokady rachunku</w:t>
      </w:r>
      <w:r w:rsidR="006B4E66" w:rsidRPr="009A3C86">
        <w:rPr>
          <w:rFonts w:ascii="Times New Roman" w:hAnsi="Times New Roman"/>
          <w:sz w:val="24"/>
          <w:szCs w:val="24"/>
          <w:lang w:eastAsia="pl-PL"/>
        </w:rPr>
        <w:t xml:space="preserve"> podmiotu kwalifikowanego</w:t>
      </w:r>
      <w:r w:rsidRPr="009A3C86">
        <w:rPr>
          <w:rFonts w:ascii="Times New Roman" w:hAnsi="Times New Roman"/>
          <w:sz w:val="24"/>
          <w:szCs w:val="24"/>
          <w:lang w:eastAsia="pl-PL"/>
        </w:rPr>
        <w:t xml:space="preserve">, zasadne jest ich umiejscowienie w dziale IV (procedury szczególne) po rozdziałach </w:t>
      </w:r>
      <w:r w:rsidR="00C8144B" w:rsidRPr="009A3C86">
        <w:rPr>
          <w:rFonts w:ascii="Times New Roman" w:hAnsi="Times New Roman"/>
          <w:sz w:val="24"/>
          <w:szCs w:val="24"/>
          <w:lang w:eastAsia="pl-PL"/>
        </w:rPr>
        <w:t>7</w:t>
      </w:r>
      <w:r w:rsidRPr="009A3C86">
        <w:rPr>
          <w:rFonts w:ascii="Times New Roman" w:hAnsi="Times New Roman"/>
          <w:sz w:val="24"/>
          <w:szCs w:val="24"/>
          <w:lang w:eastAsia="pl-PL"/>
        </w:rPr>
        <w:t xml:space="preserve"> (kontrola podatkowa) i </w:t>
      </w:r>
      <w:r w:rsidR="00C8144B" w:rsidRPr="009A3C86">
        <w:rPr>
          <w:rFonts w:ascii="Times New Roman" w:hAnsi="Times New Roman"/>
          <w:sz w:val="24"/>
          <w:szCs w:val="24"/>
          <w:lang w:eastAsia="pl-PL"/>
        </w:rPr>
        <w:t>8</w:t>
      </w:r>
      <w:r w:rsidRPr="009A3C86">
        <w:rPr>
          <w:rFonts w:ascii="Times New Roman" w:hAnsi="Times New Roman"/>
          <w:sz w:val="24"/>
          <w:szCs w:val="24"/>
          <w:lang w:eastAsia="pl-PL"/>
        </w:rPr>
        <w:t xml:space="preserve"> (ustalanie wartości rzeczy lub praw majątkowych) a przed rozdziałem 10 (zabezpieczenie wykonania zobowiązania podatkowego). Szczegółowe uzasadnienie projektowanych przepisów </w:t>
      </w:r>
      <w:r w:rsidR="006B4E66" w:rsidRPr="009A3C86">
        <w:rPr>
          <w:rFonts w:ascii="Times New Roman" w:hAnsi="Times New Roman"/>
          <w:sz w:val="24"/>
          <w:szCs w:val="24"/>
          <w:lang w:eastAsia="pl-PL"/>
        </w:rPr>
        <w:t xml:space="preserve">działu IV </w:t>
      </w:r>
      <w:r w:rsidRPr="009A3C86">
        <w:rPr>
          <w:rFonts w:ascii="Times New Roman" w:hAnsi="Times New Roman"/>
          <w:sz w:val="24"/>
          <w:szCs w:val="24"/>
          <w:lang w:eastAsia="pl-PL"/>
        </w:rPr>
        <w:t xml:space="preserve">rozdziału </w:t>
      </w:r>
      <w:r w:rsidR="00C8144B" w:rsidRPr="009A3C86">
        <w:rPr>
          <w:rFonts w:ascii="Times New Roman" w:hAnsi="Times New Roman"/>
          <w:sz w:val="24"/>
          <w:szCs w:val="24"/>
          <w:lang w:eastAsia="pl-PL"/>
        </w:rPr>
        <w:t>9</w:t>
      </w:r>
      <w:r w:rsidRPr="009A3C86">
        <w:rPr>
          <w:rFonts w:ascii="Times New Roman" w:hAnsi="Times New Roman"/>
          <w:sz w:val="24"/>
          <w:szCs w:val="24"/>
          <w:lang w:eastAsia="pl-PL"/>
        </w:rPr>
        <w:t xml:space="preserve"> projektu nowej Ordynacji podatkowej jest dostępne na stronach </w:t>
      </w:r>
      <w:r w:rsidR="006B4E66" w:rsidRPr="009A3C86">
        <w:rPr>
          <w:rFonts w:ascii="Times New Roman" w:hAnsi="Times New Roman"/>
          <w:sz w:val="24"/>
          <w:szCs w:val="24"/>
          <w:lang w:eastAsia="pl-PL"/>
        </w:rPr>
        <w:t xml:space="preserve">internetowych </w:t>
      </w:r>
      <w:r w:rsidRPr="009A3C86">
        <w:rPr>
          <w:rFonts w:ascii="Times New Roman" w:hAnsi="Times New Roman"/>
          <w:sz w:val="24"/>
          <w:szCs w:val="24"/>
          <w:lang w:eastAsia="pl-PL"/>
        </w:rPr>
        <w:t>Sejmu dotyczących prac nad rządowym projektem ustawy o zmianie niektórych ustaw w celu przeciwdziałania wykorzystywaniu sektora finansowego do wyłudzeń skarbowych (druk sejmowy nr 1880) i rządowym projektem ustawy</w:t>
      </w:r>
      <w:r w:rsidRPr="009A3C86">
        <w:rPr>
          <w:rFonts w:ascii="Times New Roman" w:hAnsi="Times New Roman"/>
        </w:rPr>
        <w:t xml:space="preserve"> </w:t>
      </w:r>
      <w:r w:rsidRPr="009A3C86">
        <w:rPr>
          <w:rFonts w:ascii="Times New Roman" w:hAnsi="Times New Roman"/>
          <w:sz w:val="24"/>
          <w:szCs w:val="24"/>
          <w:lang w:eastAsia="pl-PL"/>
        </w:rPr>
        <w:t>o zmianie ustawy - Ordynacja podatkowa oraz niektórych innych ustaw (druk sejmowy nr 2626).</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lang w:eastAsia="pl-PL"/>
        </w:rPr>
        <w:t xml:space="preserve">3. </w:t>
      </w:r>
      <w:r w:rsidRPr="009A3C86">
        <w:rPr>
          <w:rFonts w:ascii="Times New Roman" w:hAnsi="Times New Roman"/>
          <w:sz w:val="24"/>
          <w:szCs w:val="24"/>
        </w:rPr>
        <w:t>Projekt przewiduje dokonywanie przez Szefa KAS analizy ryzyka wykorzystywania przez podmioty kwalifikowane banków i spółdzielczych kas oszczędnościowo-kredytowych (dalej zwanych SKOK-ami) do popełniania przestępstw skarbowych, w szczególności wyłudzeń VAT przez zorganizowane grupy przestępcze (art. 258 k</w:t>
      </w:r>
      <w:r w:rsidR="009611F2" w:rsidRPr="009A3C86">
        <w:rPr>
          <w:rFonts w:ascii="Times New Roman" w:hAnsi="Times New Roman"/>
          <w:sz w:val="24"/>
          <w:szCs w:val="24"/>
        </w:rPr>
        <w:t>.</w:t>
      </w:r>
      <w:r w:rsidRPr="009A3C86">
        <w:rPr>
          <w:rFonts w:ascii="Times New Roman" w:hAnsi="Times New Roman"/>
          <w:sz w:val="24"/>
          <w:szCs w:val="24"/>
        </w:rPr>
        <w:t>k</w:t>
      </w:r>
      <w:r w:rsidR="009611F2" w:rsidRPr="009A3C86">
        <w:rPr>
          <w:rFonts w:ascii="Times New Roman" w:hAnsi="Times New Roman"/>
          <w:sz w:val="24"/>
          <w:szCs w:val="24"/>
        </w:rPr>
        <w:t>.</w:t>
      </w:r>
      <w:r w:rsidRPr="009A3C86">
        <w:rPr>
          <w:rFonts w:ascii="Times New Roman" w:hAnsi="Times New Roman"/>
          <w:sz w:val="24"/>
          <w:szCs w:val="24"/>
        </w:rPr>
        <w:t xml:space="preserve">) oraz przestępstw z nimi związanych (np. wystawianie pustych faktur). Analiza ryzyka jest dokonywana na podstawie danych posiadanych przez Szefa KAS, w tym wskaźnika ryzyka ustalonego przez izbę </w:t>
      </w:r>
      <w:r w:rsidRPr="009A3C86">
        <w:rPr>
          <w:rFonts w:ascii="Times New Roman" w:hAnsi="Times New Roman"/>
          <w:sz w:val="24"/>
          <w:szCs w:val="24"/>
        </w:rPr>
        <w:lastRenderedPageBreak/>
        <w:t>rozliczeniową,</w:t>
      </w:r>
      <w:r w:rsidRPr="009A3C86" w:rsidDel="005911EB">
        <w:rPr>
          <w:rFonts w:ascii="Times New Roman" w:hAnsi="Times New Roman"/>
          <w:sz w:val="24"/>
          <w:szCs w:val="24"/>
        </w:rPr>
        <w:t xml:space="preserve"> </w:t>
      </w:r>
      <w:r w:rsidRPr="009A3C86">
        <w:rPr>
          <w:rFonts w:ascii="Times New Roman" w:hAnsi="Times New Roman"/>
          <w:sz w:val="24"/>
          <w:szCs w:val="24"/>
        </w:rPr>
        <w:t>informacji o rachunkach podmiotów kwalifikowanych w rozumieniu projektu oraz zestawień transakcji między tymi podmiotami. W celu ustalenia wskaźnika ryzyka wykorzystywania przez podmioty kwalifikowane banków i spółdzielczych kas oszczędnościowo-kredytowych do popełniania przestępstw skarbowych</w:t>
      </w:r>
      <w:r w:rsidRPr="009A3C86" w:rsidDel="0025024B">
        <w:rPr>
          <w:rFonts w:ascii="Times New Roman" w:hAnsi="Times New Roman"/>
          <w:sz w:val="24"/>
          <w:szCs w:val="24"/>
        </w:rPr>
        <w:t xml:space="preserve"> </w:t>
      </w:r>
      <w:r w:rsidRPr="009A3C86">
        <w:rPr>
          <w:rFonts w:ascii="Times New Roman" w:hAnsi="Times New Roman"/>
          <w:sz w:val="24"/>
          <w:szCs w:val="24"/>
        </w:rPr>
        <w:t>izba rozliczeniowa przetwarza w swoim systemie informatycznym powyższe informacje i zestawienia, w tym stanowiące tajemnicę bankową i tajemnicę zawodową SKOK. Dane podmiotów kwalifikowanych są codziennie przesyłane automatycznie i elektronicznie do systemu teleinformatycznego izby rozliczeniowej (dalej: „STIR”) przez podmioty sektora finansowego (banki i spółdzielcze kasy oszczędnościowo-kredytowe). W celu ustalenia wskaźnika izba rozliczeniowa przetwarza także dane zgromadzone w Centralnym Rejestrze Podmiotów - Krajowej Ewidencji Podatników (dalej: „CRP KEP”)</w:t>
      </w:r>
      <w:r w:rsidRPr="009A3C86" w:rsidDel="00843DD7">
        <w:rPr>
          <w:rFonts w:ascii="Times New Roman" w:hAnsi="Times New Roman"/>
          <w:sz w:val="24"/>
          <w:szCs w:val="24"/>
        </w:rPr>
        <w:t xml:space="preserve"> </w:t>
      </w:r>
      <w:r w:rsidRPr="009A3C86">
        <w:rPr>
          <w:rFonts w:ascii="Times New Roman" w:hAnsi="Times New Roman"/>
          <w:sz w:val="24"/>
          <w:szCs w:val="24"/>
        </w:rPr>
        <w:t xml:space="preserve">obejmujące dane z Krajowego Rejestru Sądowego, dane osób fizycznych wpisanych do Centralnej Ewidencji i Informacji o Działalności Gospodarczej oraz dostępne publicznie dane </w:t>
      </w:r>
      <w:r w:rsidRPr="009A3C86">
        <w:rPr>
          <w:rFonts w:ascii="Times New Roman" w:hAnsi="Times New Roman"/>
          <w:bCs/>
          <w:sz w:val="24"/>
          <w:szCs w:val="24"/>
        </w:rPr>
        <w:t xml:space="preserve">z wykazów podmiotów, o których mowa w art. 96b ustawy z dnia 11 marca 2014 r. o podatku od towarów i usług (dane </w:t>
      </w:r>
      <w:r w:rsidRPr="009A3C86">
        <w:rPr>
          <w:rFonts w:ascii="Times New Roman" w:hAnsi="Times New Roman"/>
          <w:sz w:val="24"/>
          <w:szCs w:val="24"/>
        </w:rPr>
        <w:t>o podmiotach, którym naczelnik urzędu skarbowego odmówił rejestracji, podatnikach VAT wykreślonych z rejestru z urzędu oraz przywróconych jako podatnicy VAT). W wyniku przetwarzania danych w STIR jest generowana automatycznie informacja o wskaźniku ryzyka. Rezultat analizy izby rozliczeniowej w postaci wskaźnika ryzyka jest przesyłany do Szefa KAS. W oparciu o informacje z banków i SKOK-ów, wskaźnik ryzyka oraz inne posiadane dane (podatkowe, z Krajowego Rejestru Sądowego, z Centralnej Ewidencji i Informacji o Działalności Gospodarczej) Szef KAS przy pomocy swoich algorytmów i procedur analitycznych dokonuje analizy ryzyka wystąpienia wyłudzenia skarbowego. Niezwłoczna analiza ryzyka Szefa KAS przy pomocy nowoczesnych narzędzi informatycznych umożliwia szybką reakcję organów KAS w przypadku stwierdzenia wykorzystywania rachunku bankowego do dokonywania wyłudzeń skarbowych np. wykreślenie podatnika VAT z rejestru. W celu weryfikacji posiadanych informacji, w szczególności wyników analiz ryzyka, Szef KAS ma uprawnienie do zwrócenia się do banków lub SKOK-ów o przekazanie dodatkowych danych.</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4. W oddziale 3 rozdziału </w:t>
      </w:r>
      <w:r w:rsidR="00C8144B" w:rsidRPr="009A3C86">
        <w:rPr>
          <w:rFonts w:ascii="Times New Roman" w:hAnsi="Times New Roman"/>
          <w:sz w:val="24"/>
          <w:szCs w:val="24"/>
        </w:rPr>
        <w:t>9</w:t>
      </w:r>
      <w:r w:rsidRPr="009A3C86">
        <w:rPr>
          <w:rFonts w:ascii="Times New Roman" w:hAnsi="Times New Roman"/>
          <w:sz w:val="24"/>
          <w:szCs w:val="24"/>
        </w:rPr>
        <w:t xml:space="preserve"> wprowadzono instytucję blokady rachunku podmiotu kwalifikowanego. Według </w:t>
      </w:r>
      <w:r w:rsidR="007A2D0A" w:rsidRPr="009A3C86">
        <w:rPr>
          <w:rFonts w:ascii="Times New Roman" w:hAnsi="Times New Roman"/>
          <w:sz w:val="24"/>
          <w:szCs w:val="24"/>
        </w:rPr>
        <w:t xml:space="preserve">projektowanego </w:t>
      </w:r>
      <w:r w:rsidRPr="009A3C86">
        <w:rPr>
          <w:rFonts w:ascii="Times New Roman" w:hAnsi="Times New Roman"/>
          <w:b/>
          <w:sz w:val="24"/>
          <w:szCs w:val="24"/>
        </w:rPr>
        <w:t xml:space="preserve">art. </w:t>
      </w:r>
      <w:r w:rsidR="00C8144B" w:rsidRPr="009A3C86">
        <w:rPr>
          <w:rFonts w:ascii="Times New Roman" w:hAnsi="Times New Roman"/>
          <w:b/>
          <w:sz w:val="24"/>
          <w:szCs w:val="24"/>
        </w:rPr>
        <w:t>699</w:t>
      </w:r>
      <w:r w:rsidRPr="009A3C86">
        <w:rPr>
          <w:rFonts w:ascii="Times New Roman" w:hAnsi="Times New Roman"/>
          <w:b/>
          <w:sz w:val="24"/>
          <w:szCs w:val="24"/>
        </w:rPr>
        <w:t xml:space="preserve"> pkt 2</w:t>
      </w:r>
      <w:r w:rsidRPr="009A3C86">
        <w:rPr>
          <w:rFonts w:ascii="Times New Roman" w:hAnsi="Times New Roman"/>
          <w:sz w:val="24"/>
          <w:szCs w:val="24"/>
        </w:rPr>
        <w:t xml:space="preserve"> </w:t>
      </w:r>
      <w:r w:rsidR="007A2D0A" w:rsidRPr="009A3C86">
        <w:rPr>
          <w:rFonts w:ascii="Times New Roman" w:hAnsi="Times New Roman"/>
          <w:sz w:val="24"/>
          <w:szCs w:val="24"/>
        </w:rPr>
        <w:t xml:space="preserve">(odpowiednik art. 119zg pkt 2 </w:t>
      </w:r>
      <w:r w:rsidRPr="009A3C86">
        <w:rPr>
          <w:rFonts w:ascii="Times New Roman" w:hAnsi="Times New Roman"/>
          <w:sz w:val="24"/>
          <w:szCs w:val="24"/>
        </w:rPr>
        <w:t>Ordynacji podatkowej</w:t>
      </w:r>
      <w:r w:rsidR="007A2D0A" w:rsidRPr="009A3C86">
        <w:rPr>
          <w:rFonts w:ascii="Times New Roman" w:hAnsi="Times New Roman"/>
          <w:sz w:val="24"/>
          <w:szCs w:val="24"/>
        </w:rPr>
        <w:t>)</w:t>
      </w:r>
      <w:r w:rsidRPr="009A3C86">
        <w:rPr>
          <w:rFonts w:ascii="Times New Roman" w:hAnsi="Times New Roman"/>
          <w:sz w:val="24"/>
          <w:szCs w:val="24"/>
        </w:rPr>
        <w:t xml:space="preserve"> przez blokadę rachunku podmiotu kwalifikowanego należy rozumieć czasowe uniemożliwienie dysponowania i korzystania ze środków pieniężnych zgromadzonych na rachunku podmiotu kwalifikowanego prowadzonym przez bank lub spółdzielczą kasę oszczędnościowo-kredytową. Blokada powoduje niemożność obciążania rachunku, nie ma </w:t>
      </w:r>
      <w:r w:rsidRPr="009A3C86">
        <w:rPr>
          <w:rFonts w:ascii="Times New Roman" w:hAnsi="Times New Roman"/>
          <w:sz w:val="24"/>
          <w:szCs w:val="24"/>
        </w:rPr>
        <w:lastRenderedPageBreak/>
        <w:t xml:space="preserve">natomiast wpływu na jego zasilanie. Blokada rachunku na żądanie Szefa KAS pozwala na zatrzymanie transferu środków pochodzących z wyłudzeń skarbowych. </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5. Potencjalna blokada rachunku jest tylko jednym z elementów systemu analizy ryzyka. Przy czym najistotniejsze jest prewencyjne oddziaływanie tego elementu. Dokonana przez Szefa KAS ocena konkretnego przypadku może doprowadzić do blokady rachunku tylko w przypadku spełnienia ustawowych, merytorycznych przesłanek blokady. Potencjalnie blokada na okres nie przekraczający 72 godzin może nastąpić, jeżeli ogół informacji posiadanych przez Szefa KAS, w szczególności wyniki analizy ryzyka, ale także inne okoliczności znane organom KAS dzięki informacjom podatkowym oraz pracy operacyjnej i analitycznej, wskazują, że podmiot kwalifikowany może wykorzystywać działalność banków lub spółdzielczych kas oszczędnościowo-kredytowych do celów mających związek z wyłudzeniami skarbowymi lub do czynności zmierzających do wyłudzenia skarbowego, a blokada rachunku podmiotu kwalifikowanego jest konieczna, aby temu przeciwdziałać. Jeżeli Szef KAS poweźmie obawę, że istniejące lub mające powstać zobowiązanie podatkowe lub zobowiązanie z tytułu odpowiedzialności podatkowej osób trzecich podmiotu kwalifikowanego-posiadacza rachunku, przekraczające równowartość 10</w:t>
      </w:r>
      <w:r w:rsidR="00C8144B" w:rsidRPr="009A3C86">
        <w:rPr>
          <w:rFonts w:ascii="Times New Roman" w:hAnsi="Times New Roman"/>
          <w:sz w:val="24"/>
          <w:szCs w:val="24"/>
        </w:rPr>
        <w:t xml:space="preserve"> </w:t>
      </w:r>
      <w:r w:rsidRPr="009A3C86">
        <w:rPr>
          <w:rFonts w:ascii="Times New Roman" w:hAnsi="Times New Roman"/>
          <w:sz w:val="24"/>
          <w:szCs w:val="24"/>
        </w:rPr>
        <w:t xml:space="preserve">000 euro, nie zostanie wykonane, może on wydać postanowienie o przedłużeniu terminu blokady rachunku podmiotu kwalifikowanego na czas oznaczony, nie dłuższy niż 3 miesiące. </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Oparcie analityki na nowoczesnych narzędziach informatycznych i prowadzenie analiz przez zespół najlepszych analityków Krajowej Administracji Skarbowej z pewnością przyczyni się do prawidłowego stosowania przepisów o blokadzie rachunku. Regulacje prawne oraz procedury wewnętrzne i zabezpieczenia techniczne znacznie ograniczają krąg osób, które mają dostęp do systemu. Dlatego nie jest możliwe wykorzystanie systemu analizy ryzyka, w tym dokonywanie blokad rachunku niezgodnie z przesłankami i celami określonymi w Ordynacji podatkowej.      </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Blokada rachunku (środków na rachunku) jest instytucją znaną i stosowaną od wielu lat w polskim systemie prawnym. Można tu wymienić </w:t>
      </w:r>
      <w:r w:rsidR="00434978" w:rsidRPr="009A3C86">
        <w:rPr>
          <w:rFonts w:ascii="Times New Roman" w:hAnsi="Times New Roman"/>
          <w:sz w:val="24"/>
          <w:szCs w:val="24"/>
        </w:rPr>
        <w:t xml:space="preserve">m.in. </w:t>
      </w:r>
      <w:r w:rsidRPr="009A3C86">
        <w:rPr>
          <w:rFonts w:ascii="Times New Roman" w:hAnsi="Times New Roman"/>
          <w:sz w:val="24"/>
          <w:szCs w:val="24"/>
        </w:rPr>
        <w:t>następujące regulacje:</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1) ustawę z dnia 1 marca 2018 r. o przeciwdziałaniu praniu pieniędzy oraz finansowaniu terroryzmu</w:t>
      </w:r>
      <w:r w:rsidR="006B4E66" w:rsidRPr="009A3C86">
        <w:rPr>
          <w:rFonts w:ascii="Times New Roman" w:hAnsi="Times New Roman"/>
          <w:sz w:val="24"/>
          <w:szCs w:val="24"/>
        </w:rPr>
        <w:t xml:space="preserve"> </w:t>
      </w:r>
      <w:r w:rsidRPr="009A3C86">
        <w:rPr>
          <w:rFonts w:ascii="Times New Roman" w:hAnsi="Times New Roman"/>
          <w:sz w:val="24"/>
          <w:szCs w:val="24"/>
        </w:rPr>
        <w:t>– blokada rachunku na żądanie Generalnego Inspektora Informacji Finansowej (GIIF); ustawa weszła w życie z dniem 13 lipca 2018 r., do dnia 12 lipca 2018 r. obowiązywała ustawa z dnia 16 listopada 2000 r. o przeciwdziałaniu praniu pieniędzy i finansowaniu terroryzmu</w:t>
      </w:r>
      <w:r w:rsidR="006B4E66" w:rsidRPr="009A3C86">
        <w:rPr>
          <w:rFonts w:ascii="Times New Roman" w:hAnsi="Times New Roman"/>
          <w:sz w:val="24"/>
          <w:szCs w:val="24"/>
        </w:rPr>
        <w:t xml:space="preserve"> </w:t>
      </w:r>
      <w:r w:rsidRPr="009A3C86">
        <w:rPr>
          <w:rFonts w:ascii="Times New Roman" w:hAnsi="Times New Roman"/>
          <w:sz w:val="24"/>
          <w:szCs w:val="24"/>
        </w:rPr>
        <w:t xml:space="preserve">(Dz. U. z 2017 r. poz. 1049), </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2) ustawę z dnia 29 lipca 2005 r. o nadzorze nad rynkiem kapitałowym (Dz. U. z 2018 r. poz. </w:t>
      </w:r>
      <w:r w:rsidR="006B4E66" w:rsidRPr="009A3C86">
        <w:rPr>
          <w:rFonts w:ascii="Times New Roman" w:hAnsi="Times New Roman"/>
          <w:sz w:val="24"/>
          <w:szCs w:val="24"/>
        </w:rPr>
        <w:t>1417 i 2243</w:t>
      </w:r>
      <w:r w:rsidRPr="009A3C86">
        <w:rPr>
          <w:rFonts w:ascii="Times New Roman" w:hAnsi="Times New Roman"/>
          <w:sz w:val="24"/>
          <w:szCs w:val="24"/>
        </w:rPr>
        <w:t>) – blokada rachunku na żądanie Przewodniczącego Komisji Nadzoru Finansowego,</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3) ustawę z dnia 29 sierpnia 1997 r. – Prawo bankowe – samodzielna blokada rachunku przez bank.</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Stosowanie instytucji blokady rachunku w powyższych ustawach nie budzi zastrzeżeń. Najczęściej blokady były stosowane na podstawie ustawy z dnia 16 listopada 2000 r. o przeciwdziałaniu praniu pieniędzy i finansowaniu terroryzmu – 338 blokad rocznie</w:t>
      </w:r>
      <w:r w:rsidRPr="009A3C86">
        <w:rPr>
          <w:rFonts w:ascii="Times New Roman" w:hAnsi="Times New Roman"/>
          <w:sz w:val="24"/>
          <w:szCs w:val="24"/>
          <w:vertAlign w:val="superscript"/>
        </w:rPr>
        <w:footnoteReference w:id="570"/>
      </w:r>
      <w:r w:rsidRPr="009A3C86">
        <w:rPr>
          <w:rFonts w:ascii="Times New Roman" w:hAnsi="Times New Roman"/>
          <w:sz w:val="24"/>
          <w:szCs w:val="24"/>
          <w:vertAlign w:val="superscript"/>
        </w:rPr>
        <w:t>)</w:t>
      </w:r>
      <w:r w:rsidRPr="009A3C86">
        <w:rPr>
          <w:rFonts w:ascii="Times New Roman" w:hAnsi="Times New Roman"/>
          <w:sz w:val="24"/>
          <w:szCs w:val="24"/>
        </w:rPr>
        <w:t xml:space="preserve">.      </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Wprowadzenie potencjalnej możliwości blokady rachunku podmiotu kwalifikowanego było niezbędne dla ochrony interesu publicznego w szczególności ze względu na olbrzymią skalę wyłudzeń podatków, godzącą w interesy finansowe państwa, realizowanie procederu wyłudzeń przez zorganizowane grupy przestępcze oraz niezadawalającą skuteczność dotychczasowych rozwiązań zapobiegających wyłudzeniom (m. in. znaczne opóźnienia w wykrywaniu oszustw). Szczegółowe uzasadnienie wprowadzenia blokady w Ordynacji podatkowej znajduje się w uzasadnieniu projektu ustawy o zmianie niektórych ustaw w celu przeciwdziałania wykorzystywaniu sektora finansowego do wyłudzeń skarbowych (druk sejmowy nr 1880)</w:t>
      </w:r>
      <w:r w:rsidRPr="009A3C86">
        <w:rPr>
          <w:rFonts w:ascii="Times New Roman" w:hAnsi="Times New Roman"/>
          <w:sz w:val="24"/>
          <w:szCs w:val="24"/>
          <w:vertAlign w:val="superscript"/>
        </w:rPr>
        <w:footnoteReference w:id="571"/>
      </w:r>
      <w:r w:rsidRPr="009A3C86">
        <w:rPr>
          <w:rFonts w:ascii="Times New Roman" w:hAnsi="Times New Roman"/>
          <w:sz w:val="24"/>
          <w:szCs w:val="24"/>
          <w:vertAlign w:val="superscript"/>
        </w:rPr>
        <w:t>)</w:t>
      </w:r>
      <w:r w:rsidRPr="009A3C86">
        <w:rPr>
          <w:rFonts w:ascii="Times New Roman" w:hAnsi="Times New Roman"/>
          <w:sz w:val="24"/>
          <w:szCs w:val="24"/>
        </w:rPr>
        <w:t xml:space="preserve">.  </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Blokada rachunku podmiotu kwalifikowanego jest możliwa na 72 godziny z możliwością przedłużenia jej o 3 miesiące, po spełnieniu ustawowych przesłanek określonych odpowiednio w </w:t>
      </w:r>
      <w:r w:rsidR="00F5482C" w:rsidRPr="009A3C86">
        <w:rPr>
          <w:rFonts w:ascii="Times New Roman" w:hAnsi="Times New Roman"/>
          <w:sz w:val="24"/>
          <w:szCs w:val="24"/>
        </w:rPr>
        <w:t xml:space="preserve">projektowanych </w:t>
      </w:r>
      <w:r w:rsidR="00F5482C" w:rsidRPr="009A3C86">
        <w:rPr>
          <w:rFonts w:ascii="Times New Roman" w:hAnsi="Times New Roman"/>
          <w:b/>
          <w:sz w:val="24"/>
          <w:szCs w:val="24"/>
        </w:rPr>
        <w:t xml:space="preserve">art. </w:t>
      </w:r>
      <w:r w:rsidR="00A37814">
        <w:rPr>
          <w:rFonts w:ascii="Times New Roman" w:hAnsi="Times New Roman"/>
          <w:b/>
          <w:sz w:val="24"/>
          <w:szCs w:val="24"/>
        </w:rPr>
        <w:t>716</w:t>
      </w:r>
      <w:r w:rsidR="00F5482C" w:rsidRPr="009A3C86">
        <w:rPr>
          <w:rFonts w:ascii="Times New Roman" w:hAnsi="Times New Roman"/>
          <w:b/>
          <w:sz w:val="24"/>
          <w:szCs w:val="24"/>
        </w:rPr>
        <w:t xml:space="preserve"> § 1</w:t>
      </w:r>
      <w:r w:rsidR="00F5482C" w:rsidRPr="009A3C86">
        <w:rPr>
          <w:rFonts w:ascii="Times New Roman" w:hAnsi="Times New Roman"/>
          <w:sz w:val="24"/>
          <w:szCs w:val="24"/>
        </w:rPr>
        <w:t xml:space="preserve"> i </w:t>
      </w:r>
      <w:r w:rsidR="00F5482C" w:rsidRPr="009A3C86">
        <w:rPr>
          <w:rFonts w:ascii="Times New Roman" w:hAnsi="Times New Roman"/>
          <w:b/>
          <w:sz w:val="24"/>
          <w:szCs w:val="24"/>
        </w:rPr>
        <w:t xml:space="preserve">art. </w:t>
      </w:r>
      <w:r w:rsidR="00A37814">
        <w:rPr>
          <w:rFonts w:ascii="Times New Roman" w:hAnsi="Times New Roman"/>
          <w:b/>
          <w:sz w:val="24"/>
          <w:szCs w:val="24"/>
        </w:rPr>
        <w:t>717</w:t>
      </w:r>
      <w:r w:rsidR="00F5482C" w:rsidRPr="009A3C86">
        <w:rPr>
          <w:rFonts w:ascii="Times New Roman" w:hAnsi="Times New Roman"/>
          <w:b/>
          <w:sz w:val="24"/>
          <w:szCs w:val="24"/>
        </w:rPr>
        <w:t xml:space="preserve"> § 1</w:t>
      </w:r>
      <w:r w:rsidR="00F5482C" w:rsidRPr="009A3C86">
        <w:rPr>
          <w:rFonts w:ascii="Times New Roman" w:hAnsi="Times New Roman"/>
          <w:sz w:val="24"/>
          <w:szCs w:val="24"/>
        </w:rPr>
        <w:t xml:space="preserve"> (aktualne </w:t>
      </w:r>
      <w:r w:rsidRPr="009A3C86">
        <w:rPr>
          <w:rFonts w:ascii="Times New Roman" w:hAnsi="Times New Roman"/>
          <w:sz w:val="24"/>
          <w:szCs w:val="24"/>
        </w:rPr>
        <w:t>art. 119zv § 1 i art. 119zw § 1 Ordynacji podatkowej</w:t>
      </w:r>
      <w:r w:rsidR="00F5482C" w:rsidRPr="009A3C86">
        <w:rPr>
          <w:rFonts w:ascii="Times New Roman" w:hAnsi="Times New Roman"/>
          <w:sz w:val="24"/>
          <w:szCs w:val="24"/>
        </w:rPr>
        <w:t>)</w:t>
      </w:r>
      <w:r w:rsidRPr="009A3C86">
        <w:rPr>
          <w:rFonts w:ascii="Times New Roman" w:hAnsi="Times New Roman"/>
          <w:sz w:val="24"/>
          <w:szCs w:val="24"/>
        </w:rPr>
        <w:t>. Blokada nie dotyczy rachunków bankowych osób fizycznych służących do ich prywatnych rozliczeń. Stosowanie tego środka jest ograniczone tylko do przypadków, w których zabezpieczenie interesów Skarbu Państwa nie jest możliwe przy użyciu środków łagodniejszych, nie ingerujących tak dalece w prawo własności. System został zaprojektowany tak, aby podmioty kwalifikowane prowadzące uczciwie działalność nie odczuły jego istnienia.</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6. Podmiot kwalifikowany ma prawo zaskarżyć postanowienie o przedłużeniu blokady na  czas oznaczony nie dłuższy niż 3 miesiące. Środek zaskarżenia podlega rozpatrzeniu niezwłocznie, nie później jednak niż w terminie 7 dni (</w:t>
      </w:r>
      <w:r w:rsidR="00D7014B" w:rsidRPr="009A3C86">
        <w:rPr>
          <w:rFonts w:ascii="Times New Roman" w:hAnsi="Times New Roman"/>
          <w:sz w:val="24"/>
          <w:szCs w:val="24"/>
        </w:rPr>
        <w:t xml:space="preserve">projektowany </w:t>
      </w:r>
      <w:r w:rsidR="00D7014B" w:rsidRPr="009A3C86">
        <w:rPr>
          <w:rFonts w:ascii="Times New Roman" w:hAnsi="Times New Roman"/>
          <w:b/>
          <w:sz w:val="24"/>
          <w:szCs w:val="24"/>
        </w:rPr>
        <w:t xml:space="preserve">art. </w:t>
      </w:r>
      <w:r w:rsidR="00A37814">
        <w:rPr>
          <w:rFonts w:ascii="Times New Roman" w:hAnsi="Times New Roman"/>
          <w:b/>
          <w:sz w:val="24"/>
          <w:szCs w:val="24"/>
        </w:rPr>
        <w:t>722</w:t>
      </w:r>
      <w:r w:rsidR="00D7014B" w:rsidRPr="009A3C86">
        <w:rPr>
          <w:rFonts w:ascii="Times New Roman" w:hAnsi="Times New Roman"/>
          <w:sz w:val="24"/>
          <w:szCs w:val="24"/>
        </w:rPr>
        <w:t xml:space="preserve">, który jest odpowiednikiem </w:t>
      </w:r>
      <w:r w:rsidRPr="009A3C86">
        <w:rPr>
          <w:rFonts w:ascii="Times New Roman" w:hAnsi="Times New Roman"/>
          <w:sz w:val="24"/>
          <w:szCs w:val="24"/>
        </w:rPr>
        <w:t xml:space="preserve">art. 119zzb § 2 Ordynacji podatkowej). W przypadku wniesienia przez podmiot kwalifikowany skargi do sądu administracyjnego obowiązują skrócone terminy na przekazanie akt i odpowiedzi na skargę (7 dni zamiast standardowych 30 dni) oraz na rozpatrzenie skargi przez </w:t>
      </w:r>
      <w:r w:rsidRPr="009A3C86">
        <w:rPr>
          <w:rFonts w:ascii="Times New Roman" w:hAnsi="Times New Roman"/>
          <w:sz w:val="24"/>
          <w:szCs w:val="24"/>
        </w:rPr>
        <w:lastRenderedPageBreak/>
        <w:t>wojewódzki sąd administracyjny (30 dni). Skrócenie powyższych terminów w stosunku do terminów określonych w ustawie z dnia 30 sierpnia 2002 r. – Prawo o postępowaniu przed sądami administracyjnymi ma zapewnić szybką kontrolę sądową prawidłowości blokady rachunku podmiotu kwalifikowanego.</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7. Podkreślenia wymaga, że zakaz wypłat z rachunku będącego przedmiotem blokady nie ma charakteru bezwzględnego. W przypadkach określonych w </w:t>
      </w:r>
      <w:r w:rsidR="006F70AD" w:rsidRPr="009A3C86">
        <w:rPr>
          <w:rFonts w:ascii="Times New Roman" w:hAnsi="Times New Roman"/>
          <w:sz w:val="24"/>
          <w:szCs w:val="24"/>
        </w:rPr>
        <w:t xml:space="preserve">projektowanych </w:t>
      </w:r>
      <w:r w:rsidRPr="009A3C86">
        <w:rPr>
          <w:rFonts w:ascii="Times New Roman" w:hAnsi="Times New Roman"/>
          <w:b/>
          <w:sz w:val="24"/>
          <w:szCs w:val="24"/>
        </w:rPr>
        <w:t xml:space="preserve">art. </w:t>
      </w:r>
      <w:r w:rsidR="00A37814">
        <w:rPr>
          <w:rFonts w:ascii="Times New Roman" w:hAnsi="Times New Roman"/>
          <w:b/>
          <w:sz w:val="24"/>
          <w:szCs w:val="24"/>
        </w:rPr>
        <w:t>719</w:t>
      </w:r>
      <w:r w:rsidRPr="009A3C86">
        <w:rPr>
          <w:rFonts w:ascii="Times New Roman" w:hAnsi="Times New Roman"/>
          <w:b/>
          <w:sz w:val="24"/>
          <w:szCs w:val="24"/>
        </w:rPr>
        <w:t xml:space="preserve">, art. </w:t>
      </w:r>
      <w:r w:rsidR="00A37814">
        <w:rPr>
          <w:rFonts w:ascii="Times New Roman" w:hAnsi="Times New Roman"/>
          <w:b/>
          <w:sz w:val="24"/>
          <w:szCs w:val="24"/>
        </w:rPr>
        <w:t>720</w:t>
      </w:r>
      <w:r w:rsidRPr="009A3C86">
        <w:rPr>
          <w:rFonts w:ascii="Times New Roman" w:hAnsi="Times New Roman"/>
          <w:sz w:val="24"/>
          <w:szCs w:val="24"/>
        </w:rPr>
        <w:t xml:space="preserve"> i </w:t>
      </w:r>
      <w:r w:rsidRPr="009A3C86">
        <w:rPr>
          <w:rFonts w:ascii="Times New Roman" w:hAnsi="Times New Roman"/>
          <w:b/>
          <w:sz w:val="24"/>
          <w:szCs w:val="24"/>
        </w:rPr>
        <w:t xml:space="preserve">art. </w:t>
      </w:r>
      <w:r w:rsidR="00A37814">
        <w:rPr>
          <w:rFonts w:ascii="Times New Roman" w:hAnsi="Times New Roman"/>
          <w:b/>
          <w:sz w:val="24"/>
          <w:szCs w:val="24"/>
        </w:rPr>
        <w:t>721</w:t>
      </w:r>
      <w:r w:rsidRPr="009A3C86">
        <w:rPr>
          <w:rFonts w:ascii="Times New Roman" w:hAnsi="Times New Roman"/>
          <w:sz w:val="24"/>
          <w:szCs w:val="24"/>
        </w:rPr>
        <w:t xml:space="preserve"> wypłata środków z takiego rachunku jest dopuszczalna np. na zapłatę zobowiązania podatkowego lub zaległości podatkowej wraz z odsetkami za zwłokę. W celu ochrony pracowników podmiotu kwalifikowanego, a także osób, względem których podmiot kwalifikowany ma obowiązek z tytułu alimentów lub renty o charakterze alimentacyjnym, w </w:t>
      </w:r>
      <w:r w:rsidRPr="009A3C86">
        <w:rPr>
          <w:rFonts w:ascii="Times New Roman" w:hAnsi="Times New Roman"/>
          <w:b/>
          <w:sz w:val="24"/>
          <w:szCs w:val="24"/>
        </w:rPr>
        <w:t xml:space="preserve">art. </w:t>
      </w:r>
      <w:r w:rsidR="00A37814">
        <w:rPr>
          <w:rFonts w:ascii="Times New Roman" w:hAnsi="Times New Roman"/>
          <w:b/>
          <w:sz w:val="24"/>
          <w:szCs w:val="24"/>
        </w:rPr>
        <w:t>719</w:t>
      </w:r>
      <w:r w:rsidRPr="009A3C86">
        <w:rPr>
          <w:rFonts w:ascii="Times New Roman" w:hAnsi="Times New Roman"/>
          <w:sz w:val="24"/>
          <w:szCs w:val="24"/>
        </w:rPr>
        <w:t xml:space="preserve"> Ordynacji podatkowej przewidziano, że na wniosek podmiotu kwalifikowanego Szef KAS może wyrazić zgodę na wypłatę środków na te cele. W przypadku innych tytułów, np. umów cywilnoprawnych zawieranych z podwykonawcami, istnieje możliwość zwolnienia środków z zablokowanego rachunku w szczególnie uzasadnionych przypadkach (</w:t>
      </w:r>
      <w:r w:rsidRPr="009A3C86">
        <w:rPr>
          <w:rFonts w:ascii="Times New Roman" w:hAnsi="Times New Roman"/>
          <w:b/>
          <w:sz w:val="24"/>
          <w:szCs w:val="24"/>
        </w:rPr>
        <w:t xml:space="preserve">art. </w:t>
      </w:r>
      <w:r w:rsidR="00A37814">
        <w:rPr>
          <w:rFonts w:ascii="Times New Roman" w:hAnsi="Times New Roman"/>
          <w:b/>
          <w:sz w:val="24"/>
          <w:szCs w:val="24"/>
        </w:rPr>
        <w:t>720</w:t>
      </w:r>
      <w:r w:rsidRPr="009A3C86">
        <w:rPr>
          <w:rFonts w:ascii="Times New Roman" w:hAnsi="Times New Roman"/>
          <w:b/>
          <w:sz w:val="24"/>
          <w:szCs w:val="24"/>
        </w:rPr>
        <w:t xml:space="preserve"> § 1 pkt 2 i § 2 Ordynacji podatkowej</w:t>
      </w:r>
      <w:r w:rsidRPr="009A3C86">
        <w:rPr>
          <w:rFonts w:ascii="Times New Roman" w:hAnsi="Times New Roman"/>
          <w:sz w:val="24"/>
          <w:szCs w:val="24"/>
        </w:rPr>
        <w:t>).</w:t>
      </w:r>
    </w:p>
    <w:p w:rsidR="002D0DBC" w:rsidRPr="009A3C86"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8. Wprowadzenie blokady rachunku podmiotu kwalifikowanego, w kontekście oznaczonego celu systemu analizy ryzyka, o którym mowa w </w:t>
      </w:r>
      <w:r w:rsidR="006F70AD" w:rsidRPr="009A3C86">
        <w:rPr>
          <w:rFonts w:ascii="Times New Roman" w:hAnsi="Times New Roman"/>
          <w:sz w:val="24"/>
          <w:szCs w:val="24"/>
        </w:rPr>
        <w:t xml:space="preserve">projektowanym </w:t>
      </w:r>
      <w:r w:rsidR="004C2DF4" w:rsidRPr="009A3C86">
        <w:rPr>
          <w:rFonts w:ascii="Times New Roman" w:hAnsi="Times New Roman"/>
          <w:sz w:val="24"/>
          <w:szCs w:val="24"/>
        </w:rPr>
        <w:t xml:space="preserve">dziale IV </w:t>
      </w:r>
      <w:r w:rsidR="006F70AD" w:rsidRPr="009A3C86">
        <w:rPr>
          <w:rFonts w:ascii="Times New Roman" w:hAnsi="Times New Roman"/>
          <w:sz w:val="24"/>
          <w:szCs w:val="24"/>
        </w:rPr>
        <w:t>roz</w:t>
      </w:r>
      <w:r w:rsidRPr="009A3C86">
        <w:rPr>
          <w:rFonts w:ascii="Times New Roman" w:hAnsi="Times New Roman"/>
          <w:sz w:val="24"/>
          <w:szCs w:val="24"/>
        </w:rPr>
        <w:t xml:space="preserve">dziale </w:t>
      </w:r>
      <w:r w:rsidR="00BD6E1C" w:rsidRPr="009A3C86">
        <w:rPr>
          <w:rFonts w:ascii="Times New Roman" w:hAnsi="Times New Roman"/>
          <w:sz w:val="24"/>
          <w:szCs w:val="24"/>
        </w:rPr>
        <w:t>9</w:t>
      </w:r>
      <w:r w:rsidRPr="009A3C86">
        <w:rPr>
          <w:rFonts w:ascii="Times New Roman" w:hAnsi="Times New Roman"/>
          <w:sz w:val="24"/>
          <w:szCs w:val="24"/>
        </w:rPr>
        <w:t xml:space="preserve"> nie jest sprzeczne z interesem przedsiębiorców. Przeciwnie, wysoki poziom przestępczości, w szczególności w zakresie podatku VAT, wpływa niekorzystnie na pewność obrotu gospodarczego i powoduje spadek konkurencyjności towarów sprzedawanych przez przedsiębiorców uczciwe płacących podatki. Ograniczenie nadużyć i oszustw podatkowych, w tym w zakresie VAT, przełoży się na poprawę warunków prowadzenia działalności gospodarczej dla wszystkich podatników poprzez przywrócenie uczciwej konkurencji na rynku.</w:t>
      </w:r>
    </w:p>
    <w:p w:rsidR="002D0DBC" w:rsidRDefault="002D0DBC" w:rsidP="002D0DBC">
      <w:pPr>
        <w:spacing w:after="0" w:line="360" w:lineRule="auto"/>
        <w:jc w:val="both"/>
        <w:rPr>
          <w:rFonts w:ascii="Times New Roman" w:hAnsi="Times New Roman"/>
          <w:sz w:val="24"/>
          <w:szCs w:val="24"/>
        </w:rPr>
      </w:pPr>
      <w:r w:rsidRPr="009A3C86">
        <w:rPr>
          <w:rFonts w:ascii="Times New Roman" w:hAnsi="Times New Roman"/>
          <w:sz w:val="24"/>
          <w:szCs w:val="24"/>
        </w:rPr>
        <w:t xml:space="preserve">9. Przepisy dotyczące blokady rachunku podmiotu kwalifikowanego weszły w życie z dniem 30 kwietnia 2018 r. </w:t>
      </w:r>
      <w:r w:rsidR="007A0BC6" w:rsidRPr="009A3C86">
        <w:rPr>
          <w:rFonts w:ascii="Times New Roman" w:hAnsi="Times New Roman"/>
          <w:sz w:val="24"/>
          <w:szCs w:val="24"/>
        </w:rPr>
        <w:t>Do dnia</w:t>
      </w:r>
      <w:r w:rsidRPr="009A3C86">
        <w:rPr>
          <w:rFonts w:ascii="Times New Roman" w:hAnsi="Times New Roman"/>
          <w:sz w:val="24"/>
          <w:szCs w:val="24"/>
        </w:rPr>
        <w:t xml:space="preserve"> </w:t>
      </w:r>
      <w:r w:rsidR="009D3D3F" w:rsidRPr="009A3C86">
        <w:rPr>
          <w:rFonts w:ascii="Times New Roman" w:hAnsi="Times New Roman"/>
          <w:sz w:val="24"/>
          <w:szCs w:val="24"/>
        </w:rPr>
        <w:t>14</w:t>
      </w:r>
      <w:r w:rsidRPr="009A3C86">
        <w:rPr>
          <w:rFonts w:ascii="Times New Roman" w:hAnsi="Times New Roman"/>
          <w:sz w:val="24"/>
          <w:szCs w:val="24"/>
        </w:rPr>
        <w:t xml:space="preserve"> </w:t>
      </w:r>
      <w:r w:rsidR="007A0BC6" w:rsidRPr="009A3C86">
        <w:rPr>
          <w:rFonts w:ascii="Times New Roman" w:hAnsi="Times New Roman"/>
          <w:sz w:val="24"/>
          <w:szCs w:val="24"/>
        </w:rPr>
        <w:t>ma</w:t>
      </w:r>
      <w:r w:rsidR="009D3D3F" w:rsidRPr="009A3C86">
        <w:rPr>
          <w:rFonts w:ascii="Times New Roman" w:hAnsi="Times New Roman"/>
          <w:sz w:val="24"/>
          <w:szCs w:val="24"/>
        </w:rPr>
        <w:t>j</w:t>
      </w:r>
      <w:r w:rsidR="007A0BC6" w:rsidRPr="009A3C86">
        <w:rPr>
          <w:rFonts w:ascii="Times New Roman" w:hAnsi="Times New Roman"/>
          <w:sz w:val="24"/>
          <w:szCs w:val="24"/>
        </w:rPr>
        <w:t>a</w:t>
      </w:r>
      <w:r w:rsidRPr="009A3C86">
        <w:rPr>
          <w:rFonts w:ascii="Times New Roman" w:hAnsi="Times New Roman"/>
          <w:sz w:val="24"/>
          <w:szCs w:val="24"/>
        </w:rPr>
        <w:t xml:space="preserve"> 201</w:t>
      </w:r>
      <w:r w:rsidR="007A0BC6" w:rsidRPr="009A3C86">
        <w:rPr>
          <w:rFonts w:ascii="Times New Roman" w:hAnsi="Times New Roman"/>
          <w:sz w:val="24"/>
          <w:szCs w:val="24"/>
        </w:rPr>
        <w:t>9</w:t>
      </w:r>
      <w:r w:rsidRPr="009A3C86">
        <w:rPr>
          <w:rFonts w:ascii="Times New Roman" w:hAnsi="Times New Roman"/>
          <w:sz w:val="24"/>
          <w:szCs w:val="24"/>
        </w:rPr>
        <w:t xml:space="preserve"> r. </w:t>
      </w:r>
      <w:r w:rsidR="007A0BC6" w:rsidRPr="009A3C86">
        <w:rPr>
          <w:rFonts w:ascii="Times New Roman" w:hAnsi="Times New Roman"/>
          <w:sz w:val="24"/>
          <w:szCs w:val="24"/>
        </w:rPr>
        <w:t xml:space="preserve">Szef KAS zastosował blokadę na </w:t>
      </w:r>
      <w:r w:rsidR="009D3D3F" w:rsidRPr="009A3C86">
        <w:rPr>
          <w:rFonts w:ascii="Times New Roman" w:hAnsi="Times New Roman"/>
          <w:sz w:val="24"/>
          <w:szCs w:val="24"/>
        </w:rPr>
        <w:t>153</w:t>
      </w:r>
      <w:r w:rsidR="007A0BC6" w:rsidRPr="009A3C86">
        <w:rPr>
          <w:rFonts w:ascii="Times New Roman" w:hAnsi="Times New Roman"/>
          <w:sz w:val="24"/>
          <w:szCs w:val="24"/>
        </w:rPr>
        <w:t xml:space="preserve"> rachunkach należących do </w:t>
      </w:r>
      <w:r w:rsidR="009D3D3F" w:rsidRPr="009A3C86">
        <w:rPr>
          <w:rFonts w:ascii="Times New Roman" w:hAnsi="Times New Roman"/>
          <w:sz w:val="24"/>
          <w:szCs w:val="24"/>
        </w:rPr>
        <w:t>51</w:t>
      </w:r>
      <w:r w:rsidR="007A0BC6" w:rsidRPr="009A3C86">
        <w:rPr>
          <w:rFonts w:ascii="Times New Roman" w:hAnsi="Times New Roman"/>
          <w:sz w:val="24"/>
          <w:szCs w:val="24"/>
        </w:rPr>
        <w:t xml:space="preserve"> podmiotów na łączną kwotę p</w:t>
      </w:r>
      <w:r w:rsidR="009D3D3F" w:rsidRPr="009A3C86">
        <w:rPr>
          <w:rFonts w:ascii="Times New Roman" w:hAnsi="Times New Roman"/>
          <w:sz w:val="24"/>
          <w:szCs w:val="24"/>
        </w:rPr>
        <w:t>rawie</w:t>
      </w:r>
      <w:r w:rsidR="007A0BC6" w:rsidRPr="009A3C86">
        <w:rPr>
          <w:rFonts w:ascii="Times New Roman" w:hAnsi="Times New Roman"/>
          <w:sz w:val="24"/>
          <w:szCs w:val="24"/>
        </w:rPr>
        <w:t xml:space="preserve"> </w:t>
      </w:r>
      <w:r w:rsidR="009D3D3F" w:rsidRPr="009A3C86">
        <w:rPr>
          <w:rFonts w:ascii="Times New Roman" w:hAnsi="Times New Roman"/>
          <w:sz w:val="24"/>
          <w:szCs w:val="24"/>
        </w:rPr>
        <w:t>31</w:t>
      </w:r>
      <w:r w:rsidR="007A0BC6" w:rsidRPr="009A3C86">
        <w:rPr>
          <w:rFonts w:ascii="Times New Roman" w:hAnsi="Times New Roman"/>
          <w:sz w:val="24"/>
          <w:szCs w:val="24"/>
        </w:rPr>
        <w:t>,5 mln</w:t>
      </w:r>
      <w:r w:rsidR="00791997" w:rsidRPr="009A3C86">
        <w:rPr>
          <w:rFonts w:ascii="Times New Roman" w:hAnsi="Times New Roman"/>
          <w:sz w:val="24"/>
          <w:szCs w:val="24"/>
        </w:rPr>
        <w:t xml:space="preserve"> zł</w:t>
      </w:r>
      <w:r w:rsidR="007A0BC6" w:rsidRPr="009A3C86">
        <w:rPr>
          <w:rFonts w:ascii="Times New Roman" w:hAnsi="Times New Roman"/>
          <w:sz w:val="24"/>
          <w:szCs w:val="24"/>
        </w:rPr>
        <w:t xml:space="preserve">. </w:t>
      </w:r>
      <w:r w:rsidR="00BD6E1C" w:rsidRPr="009A3C86">
        <w:rPr>
          <w:rFonts w:ascii="Times New Roman" w:hAnsi="Times New Roman"/>
          <w:sz w:val="24"/>
          <w:szCs w:val="24"/>
        </w:rPr>
        <w:t>B</w:t>
      </w:r>
      <w:r w:rsidRPr="009A3C86">
        <w:rPr>
          <w:rFonts w:ascii="Times New Roman" w:hAnsi="Times New Roman"/>
          <w:sz w:val="24"/>
          <w:szCs w:val="24"/>
        </w:rPr>
        <w:t xml:space="preserve">lokady rachunków są dokonywane tylko w przypadkach dostatecznie umotywowanych. W praktyce jest bardzo mało prawdopodobne zablokowanie rachunku normalnie funkcjonującego przedsiębiorcy, który zatrudnia pracowników i posiada aktywa wykorzystywane w działalności, w przeciwieństwie do nieuczciwych przedsiębiorców organizujących lub uczestniczących w karuzelach VAT. W razie ewentualnej pomyłki w stosowaniu przepisów o blokadzie rachunku podmiot kwalifikowany jest uprawniony do wystąpienia do sądu powszechnego o odszkodowanie od Skarbu Państwa.  Należy jednak podnieść, że pomimo stosowania od wielu lat przepisów o </w:t>
      </w:r>
      <w:r w:rsidRPr="009A3C86">
        <w:rPr>
          <w:rFonts w:ascii="Times New Roman" w:hAnsi="Times New Roman"/>
          <w:sz w:val="24"/>
          <w:szCs w:val="24"/>
        </w:rPr>
        <w:lastRenderedPageBreak/>
        <w:t xml:space="preserve">blokadzie rachunków na podstawie innych ustaw  nie miały miejsca przypadki wystąpienia o odszkodowanie posiadaczy zablokowanych rachunków. </w:t>
      </w:r>
    </w:p>
    <w:p w:rsidR="00A37814" w:rsidRPr="00A37814" w:rsidRDefault="00BA4699" w:rsidP="00A37814">
      <w:pPr>
        <w:spacing w:after="0" w:line="360" w:lineRule="auto"/>
        <w:jc w:val="both"/>
        <w:rPr>
          <w:rFonts w:ascii="Times New Roman" w:hAnsi="Times New Roman"/>
          <w:sz w:val="24"/>
          <w:szCs w:val="24"/>
        </w:rPr>
      </w:pPr>
      <w:r>
        <w:rPr>
          <w:rFonts w:ascii="Times New Roman" w:hAnsi="Times New Roman"/>
          <w:sz w:val="24"/>
          <w:szCs w:val="24"/>
        </w:rPr>
        <w:t xml:space="preserve">10. </w:t>
      </w:r>
      <w:r w:rsidR="00A37814" w:rsidRPr="00A37814">
        <w:rPr>
          <w:rFonts w:ascii="Times New Roman" w:hAnsi="Times New Roman"/>
          <w:sz w:val="24"/>
          <w:szCs w:val="24"/>
        </w:rPr>
        <w:t xml:space="preserve">Istotą zmiany w art. </w:t>
      </w:r>
      <w:r w:rsidR="00B654F2">
        <w:rPr>
          <w:rFonts w:ascii="Times New Roman" w:hAnsi="Times New Roman"/>
          <w:sz w:val="24"/>
          <w:szCs w:val="24"/>
        </w:rPr>
        <w:t>715</w:t>
      </w:r>
      <w:r w:rsidR="00A37814" w:rsidRPr="00A37814">
        <w:rPr>
          <w:rFonts w:ascii="Times New Roman" w:hAnsi="Times New Roman"/>
          <w:sz w:val="24"/>
          <w:szCs w:val="24"/>
        </w:rPr>
        <w:t xml:space="preserve"> § 2 </w:t>
      </w:r>
      <w:r w:rsidR="00B654F2">
        <w:rPr>
          <w:rFonts w:ascii="Times New Roman" w:hAnsi="Times New Roman"/>
          <w:sz w:val="24"/>
          <w:szCs w:val="24"/>
        </w:rPr>
        <w:t>projektu</w:t>
      </w:r>
      <w:r w:rsidR="00A37814" w:rsidRPr="00A37814">
        <w:rPr>
          <w:rFonts w:ascii="Times New Roman" w:hAnsi="Times New Roman"/>
          <w:sz w:val="24"/>
          <w:szCs w:val="24"/>
        </w:rPr>
        <w:t xml:space="preserve"> jest umożliwienie przetwarzania przez izbę rozliczeniową danych, o których mowa w § 1 pkt 2 (dane udostępnione z Centralnego Rejestru Podmiotów – Krajowej Ewidencji Podatników, o których mowa w </w:t>
      </w:r>
      <w:r w:rsidR="00B654F2">
        <w:rPr>
          <w:rFonts w:ascii="Times New Roman" w:hAnsi="Times New Roman"/>
          <w:sz w:val="24"/>
          <w:szCs w:val="24"/>
        </w:rPr>
        <w:t xml:space="preserve">aktualnym </w:t>
      </w:r>
      <w:r w:rsidR="00A37814" w:rsidRPr="00A37814">
        <w:rPr>
          <w:rFonts w:ascii="Times New Roman" w:hAnsi="Times New Roman"/>
          <w:sz w:val="24"/>
          <w:szCs w:val="24"/>
        </w:rPr>
        <w:t xml:space="preserve">art. 15 ust. 5 ustawy z dnia 13 października 1995 r. o zasadach ewidencji i identyfikacji podatników i płatników /Dz. U. z 2019 r. poz. 63 i 730/) i art. </w:t>
      </w:r>
      <w:r w:rsidR="00B654F2">
        <w:rPr>
          <w:rFonts w:ascii="Times New Roman" w:hAnsi="Times New Roman"/>
          <w:sz w:val="24"/>
          <w:szCs w:val="24"/>
        </w:rPr>
        <w:t>710</w:t>
      </w:r>
      <w:r w:rsidR="00A37814" w:rsidRPr="00A37814">
        <w:rPr>
          <w:rFonts w:ascii="Times New Roman" w:hAnsi="Times New Roman"/>
          <w:sz w:val="24"/>
          <w:szCs w:val="24"/>
        </w:rPr>
        <w:t xml:space="preserve"> § 1 pkt 1 Ordynacji podatkowej (informacje o rachunkach podmiotów kwalifikowanych prowadzonych i otwieranych przez banki i spółdzielcze kasy oszczędnościowo-kredytowe), w celu stosowania środków bezpieczeństwa finansowego w imieniu i na rzecz banku lub SKOK-u, w związku z powierzeniem, o których mowa w art. 48 ust. 1 ustawy z dnia 1 marca 2018 r. o przeciwdziałaniu praniu pieniędzy oraz finansowaniu terroryzmu. Przepis art. 48 ust. 1 ustawy z dnia 1 marca 2018 r. o przeciwdziałaniu praniu pieniędzy oraz finansowaniu terroryzmu przewiduje powierzenie stosowania środków bezpieczeństwa finansowego innemu podmiotowi działającemu w imieniu i na rzecz instytucji obowiązanej, jeżeli na podstawie pisemnej umowy podmiot, któremu powierzono stosowanie środków bezpieczeństwa finansowego, ma być traktowany jako część instytucji obowiązanej. Powierzenie stosowania środków bezpieczeństwa finansowego na zasadach określonych w ust. 1 nie zwalnia instytucji obowiązanej z odpowiedzialności za zastosowanie środków bezpieczeństwa finansowego. </w:t>
      </w:r>
    </w:p>
    <w:p w:rsidR="00A37814" w:rsidRPr="00A37814" w:rsidRDefault="00A37814" w:rsidP="00A37814">
      <w:pPr>
        <w:spacing w:after="0" w:line="360" w:lineRule="auto"/>
        <w:jc w:val="both"/>
        <w:rPr>
          <w:rFonts w:ascii="Times New Roman" w:hAnsi="Times New Roman"/>
          <w:sz w:val="24"/>
          <w:szCs w:val="24"/>
        </w:rPr>
      </w:pPr>
      <w:r w:rsidRPr="00A37814">
        <w:rPr>
          <w:rFonts w:ascii="Times New Roman" w:hAnsi="Times New Roman"/>
          <w:sz w:val="24"/>
          <w:szCs w:val="24"/>
        </w:rPr>
        <w:t>Proponowane rozwiązanie ma na celu wsparcie  banków i SKOK-ów w prawidłowym wykonywaniu obowiązków wynikających z ustawy z dnia 1 marca 2018 r. o przeciwdziałaniu praniu pieniędzy oraz finansowaniu terroryzmu.</w:t>
      </w:r>
    </w:p>
    <w:p w:rsidR="00A37814" w:rsidRPr="00A37814" w:rsidRDefault="00A37814" w:rsidP="00A37814">
      <w:pPr>
        <w:spacing w:after="0" w:line="360" w:lineRule="auto"/>
        <w:jc w:val="both"/>
        <w:rPr>
          <w:rFonts w:ascii="Times New Roman" w:hAnsi="Times New Roman"/>
          <w:sz w:val="24"/>
          <w:szCs w:val="24"/>
        </w:rPr>
      </w:pPr>
      <w:r w:rsidRPr="00A37814">
        <w:rPr>
          <w:rFonts w:ascii="Times New Roman" w:hAnsi="Times New Roman"/>
          <w:sz w:val="24"/>
          <w:szCs w:val="24"/>
        </w:rPr>
        <w:t>Przepis § 2 nie będzie stosowany do:</w:t>
      </w:r>
    </w:p>
    <w:p w:rsidR="00A37814" w:rsidRPr="00A37814" w:rsidRDefault="00A37814" w:rsidP="00A37814">
      <w:pPr>
        <w:spacing w:after="0" w:line="360" w:lineRule="auto"/>
        <w:jc w:val="both"/>
        <w:rPr>
          <w:rFonts w:ascii="Times New Roman" w:hAnsi="Times New Roman"/>
          <w:sz w:val="24"/>
          <w:szCs w:val="24"/>
        </w:rPr>
      </w:pPr>
      <w:r w:rsidRPr="00A37814">
        <w:rPr>
          <w:rFonts w:ascii="Times New Roman" w:hAnsi="Times New Roman"/>
          <w:sz w:val="24"/>
          <w:szCs w:val="24"/>
        </w:rPr>
        <w:t>1) dokonywania analizy, o której mowa w art. 34 ust. 1 pkt 4 lit. a ustawy z dnia 1 marca 2018 r. o przeciwdziałaniu praniu pieniędzy oraz finansowaniu terroryzmu (tj. w celu analizy transakcji przeprowadzanych w ramach stosunków gospodarczych);</w:t>
      </w:r>
    </w:p>
    <w:p w:rsidR="00A37814" w:rsidRPr="00A37814" w:rsidRDefault="00A37814" w:rsidP="00A37814">
      <w:pPr>
        <w:spacing w:after="0" w:line="360" w:lineRule="auto"/>
        <w:jc w:val="both"/>
        <w:rPr>
          <w:rFonts w:ascii="Times New Roman" w:hAnsi="Times New Roman"/>
          <w:sz w:val="24"/>
          <w:szCs w:val="24"/>
        </w:rPr>
      </w:pPr>
      <w:r w:rsidRPr="00A37814">
        <w:rPr>
          <w:rFonts w:ascii="Times New Roman" w:hAnsi="Times New Roman"/>
          <w:sz w:val="24"/>
          <w:szCs w:val="24"/>
        </w:rPr>
        <w:t xml:space="preserve">2) danych, o których mowa w art. </w:t>
      </w:r>
      <w:r w:rsidR="00B654F2">
        <w:rPr>
          <w:rFonts w:ascii="Times New Roman" w:hAnsi="Times New Roman"/>
          <w:sz w:val="24"/>
          <w:szCs w:val="24"/>
        </w:rPr>
        <w:t>710</w:t>
      </w:r>
      <w:r w:rsidRPr="00A37814">
        <w:rPr>
          <w:rFonts w:ascii="Times New Roman" w:hAnsi="Times New Roman"/>
          <w:sz w:val="24"/>
          <w:szCs w:val="24"/>
        </w:rPr>
        <w:t xml:space="preserve"> § 1 pkt 1 Ordynacji podatkowej, przekazanych izbie rozliczeniowej przez bank lub spółdzielczą kasę oszczędnościowo-kredytową inne niż wskazane w § 2 - w przypadku stosowania środków bezpieczeństwa finansowego wobec klienta banku lub spółdzielczej kasy oszczędnościowo-kredytowej, o których mowa w § 2, przed nawiązaniem stosunków gospodarczych, w tym zawarciem umowy o prowadzenie rachunku, lub przeprowadzeniem transakcji okazjonalnej, w rozumieniu ustawy z dnia 1 marca 2018 r. o przeciwdziałaniu praniu pieniędzy oraz finansowaniu terroryzmu.</w:t>
      </w:r>
    </w:p>
    <w:p w:rsidR="00A37814" w:rsidRPr="00A37814" w:rsidRDefault="00A37814" w:rsidP="00A37814">
      <w:pPr>
        <w:spacing w:after="0" w:line="360" w:lineRule="auto"/>
        <w:jc w:val="both"/>
        <w:rPr>
          <w:rFonts w:ascii="Times New Roman" w:hAnsi="Times New Roman"/>
          <w:sz w:val="24"/>
          <w:szCs w:val="24"/>
        </w:rPr>
      </w:pPr>
    </w:p>
    <w:p w:rsidR="002D0DBC" w:rsidRPr="009A3C86" w:rsidRDefault="002D0DBC" w:rsidP="002D0DBC">
      <w:pPr>
        <w:spacing w:after="0" w:line="360" w:lineRule="auto"/>
        <w:ind w:left="20" w:right="20"/>
        <w:jc w:val="both"/>
        <w:rPr>
          <w:rFonts w:ascii="Times New Roman" w:hAnsi="Times New Roman"/>
          <w:b/>
          <w:sz w:val="24"/>
          <w:szCs w:val="24"/>
          <w:lang w:eastAsia="pl-PL"/>
        </w:rPr>
      </w:pPr>
      <w:r w:rsidRPr="009A3C86">
        <w:rPr>
          <w:rFonts w:ascii="Times New Roman" w:hAnsi="Times New Roman"/>
          <w:b/>
          <w:sz w:val="24"/>
          <w:szCs w:val="24"/>
          <w:lang w:eastAsia="pl-PL"/>
        </w:rPr>
        <w:lastRenderedPageBreak/>
        <w:t xml:space="preserve">Konstytucyjność przepisów rozdziału </w:t>
      </w:r>
      <w:r w:rsidR="00BD6E1C" w:rsidRPr="009A3C86">
        <w:rPr>
          <w:rFonts w:ascii="Times New Roman" w:hAnsi="Times New Roman"/>
          <w:b/>
          <w:sz w:val="24"/>
          <w:szCs w:val="24"/>
          <w:lang w:eastAsia="pl-PL"/>
        </w:rPr>
        <w:t>9</w:t>
      </w:r>
      <w:r w:rsidRPr="009A3C86">
        <w:rPr>
          <w:rFonts w:ascii="Times New Roman" w:hAnsi="Times New Roman"/>
          <w:b/>
          <w:sz w:val="24"/>
          <w:szCs w:val="24"/>
          <w:lang w:eastAsia="pl-PL"/>
        </w:rPr>
        <w:t xml:space="preserve">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Rozdział </w:t>
      </w:r>
      <w:r w:rsidR="00BD6E1C" w:rsidRPr="009A3C86">
        <w:rPr>
          <w:rFonts w:ascii="Times New Roman" w:hAnsi="Times New Roman"/>
          <w:sz w:val="24"/>
          <w:szCs w:val="24"/>
          <w:lang w:eastAsia="pl-PL"/>
        </w:rPr>
        <w:t>9</w:t>
      </w:r>
      <w:r w:rsidRPr="009A3C86">
        <w:rPr>
          <w:rFonts w:ascii="Times New Roman" w:hAnsi="Times New Roman"/>
          <w:sz w:val="24"/>
          <w:szCs w:val="24"/>
          <w:lang w:eastAsia="pl-PL"/>
        </w:rPr>
        <w:t xml:space="preserve"> działu IV zawiera regulacje dotyczące przetwarzania danych o jednostkach, a więc wkracza w obszar, który stanowi materię konstytucyjną. Według projektodawcy projekt spełnia standardy konstytucyjne.</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1. Art. 51 ust. 2 Konstytucji RP nakazuje, aby wykazać niezbędność wprowadzenia regulacji, które pozwalają na uzyskiwanie, gromadzenie i udostępnianie informacji o obywatelach.</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2. Ograniczenia wolności majątkowej powinny być ocenione w świetle art. 31 ust. 3 Konstytucji RP zawierającego ograniczenia w korzystaniu z konstytucyjnych wolności i praw. Zgodnie z art. 31 ust. 3 Konstytucji RP ograniczenia takie mogą być ustanawiane: 1</w:t>
      </w:r>
      <w:r w:rsidR="002B4762" w:rsidRPr="009A3C86">
        <w:rPr>
          <w:rFonts w:ascii="Times New Roman" w:hAnsi="Times New Roman"/>
          <w:sz w:val="24"/>
          <w:szCs w:val="24"/>
          <w:lang w:eastAsia="pl-PL"/>
        </w:rPr>
        <w:t>) </w:t>
      </w:r>
      <w:r w:rsidRPr="009A3C86">
        <w:rPr>
          <w:rFonts w:ascii="Times New Roman" w:hAnsi="Times New Roman"/>
          <w:sz w:val="24"/>
          <w:szCs w:val="24"/>
          <w:lang w:eastAsia="pl-PL"/>
        </w:rPr>
        <w:t xml:space="preserve">tylko w ustawie; 2) tylko wtedy, gdy są konieczne w demokratycznym państwie dla jego bezpieczeństwa lub porządku publicznego, bądź dla ochrony środowiska, zdrowia i moralności publicznej, albo wolności i praw innych osób; 3) nie mogą naruszać istoty wolności i praw (zasada proporcjonalności).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Ad 1. Celem przepisów rozdziału </w:t>
      </w:r>
      <w:r w:rsidR="00BD6E1C" w:rsidRPr="009A3C86">
        <w:rPr>
          <w:rFonts w:ascii="Times New Roman" w:hAnsi="Times New Roman"/>
          <w:sz w:val="24"/>
          <w:szCs w:val="24"/>
          <w:lang w:eastAsia="pl-PL"/>
        </w:rPr>
        <w:t>9</w:t>
      </w:r>
      <w:r w:rsidRPr="009A3C86">
        <w:rPr>
          <w:rFonts w:ascii="Times New Roman" w:hAnsi="Times New Roman"/>
          <w:sz w:val="24"/>
          <w:szCs w:val="24"/>
          <w:lang w:eastAsia="pl-PL"/>
        </w:rPr>
        <w:t xml:space="preserve"> działu IV jest przeciwdziałanie wykorzystywaniu sektora finansowego do celów mających związek z wyłudzeniami skarbowymi, w tym przestępstwami, o których mowa w art. 258 § 1-3, art. 270a § 1 i 2, art. 271a § 1 i 2 oraz art. 277a § 1 Kodeksu karnego.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Definicja wyłudzeń skarbowych jest precyzyjna, ponieważ zawiera enumeratywne wskazanie kilku przestępstw skarbowych, a także zamkniętą listę przestępstw najczęściej związanych z tymi przestępstwami skarbowymi. Nie ma więc wątpliwości, że ustawa może być stosowana tylko do przestępstw skarbowych i przestępstw zawartych w definicji wyłudzeń skarbowych.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Przestępstwa z art. 270a § 1 i 2, art. 271a § 1 i 2 oraz art. 277a § 1 Kodeksu karnego penalizujące czyny polegające m.in. na wystawianiu i posługiwaniu się pustymi fakturami znalazły się w powyższym katalogu, ponieważ przestępstwa te są często popełniane przez osoby, które popełniają przestępstwa podatkowe, polegające w szczególności na wyłudzeniu podatku VAT</w:t>
      </w:r>
      <w:r w:rsidRPr="009A3C86">
        <w:rPr>
          <w:rFonts w:ascii="Times New Roman" w:hAnsi="Times New Roman"/>
          <w:sz w:val="24"/>
          <w:szCs w:val="24"/>
          <w:vertAlign w:val="superscript"/>
          <w:lang w:eastAsia="pl-PL"/>
        </w:rPr>
        <w:footnoteReference w:id="572"/>
      </w:r>
      <w:r w:rsidRPr="009A3C86">
        <w:rPr>
          <w:rFonts w:ascii="Times New Roman" w:hAnsi="Times New Roman"/>
          <w:sz w:val="24"/>
          <w:szCs w:val="24"/>
          <w:lang w:eastAsia="pl-PL"/>
        </w:rPr>
        <w:t xml:space="preserve">. Z danych Najwyższej Izby Kontroli wynika, że systematycznie wzrasta, liczona przede wszystkim kwotowo, wielkość wykrytych przez organy kontroli skarbowej (aktualnie organy Krajowej Administracji Skarbowej) czynności fikcyjnych. W 2013 r. organy </w:t>
      </w:r>
      <w:r w:rsidRPr="009A3C86">
        <w:rPr>
          <w:rFonts w:ascii="Times New Roman" w:hAnsi="Times New Roman"/>
          <w:sz w:val="24"/>
          <w:szCs w:val="24"/>
          <w:lang w:eastAsia="pl-PL"/>
        </w:rPr>
        <w:lastRenderedPageBreak/>
        <w:t>kontroli skarbowej wykryły fikcyjne faktury na kwotę 19,7 mld zł, w 2014 r. na kwotę 33,7 mld zł, a w 2015 r. już na kwotę 81,9 mld zł</w:t>
      </w:r>
      <w:r w:rsidRPr="009A3C86">
        <w:rPr>
          <w:rFonts w:ascii="Times New Roman" w:hAnsi="Times New Roman"/>
          <w:sz w:val="24"/>
          <w:szCs w:val="24"/>
          <w:vertAlign w:val="superscript"/>
          <w:lang w:eastAsia="pl-PL"/>
        </w:rPr>
        <w:footnoteReference w:id="573"/>
      </w:r>
      <w:r w:rsidRPr="009A3C86">
        <w:rPr>
          <w:rFonts w:ascii="Times New Roman" w:hAnsi="Times New Roman"/>
          <w:sz w:val="24"/>
          <w:szCs w:val="24"/>
          <w:lang w:eastAsia="pl-PL"/>
        </w:rPr>
        <w:t xml:space="preserve">.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Przepisy art. 258 § 1-3 </w:t>
      </w:r>
      <w:r w:rsidR="008D0DCE" w:rsidRPr="009A3C86">
        <w:rPr>
          <w:rFonts w:ascii="Times New Roman" w:hAnsi="Times New Roman"/>
          <w:sz w:val="24"/>
          <w:szCs w:val="24"/>
          <w:lang w:eastAsia="pl-PL"/>
        </w:rPr>
        <w:t>Kodeksu karnego</w:t>
      </w:r>
      <w:r w:rsidRPr="009A3C86">
        <w:rPr>
          <w:rFonts w:ascii="Times New Roman" w:hAnsi="Times New Roman"/>
          <w:sz w:val="24"/>
          <w:szCs w:val="24"/>
          <w:lang w:eastAsia="pl-PL"/>
        </w:rPr>
        <w:t xml:space="preserve"> penalizują m. in. udział w grupie przestępczej mającej na celu popełnianie przestępstw i przestępstw skarbowych. Specyfiką przestępstw podatkowych polegających na wyłudzeniu podatku VAT jest działanie sprawców w zorganizowanych grupach przestępczych. To uzasadnia włączenie art. 258 § 1-3 Kodeksu karnego do wymienionego katalogu przestępstw.</w:t>
      </w:r>
    </w:p>
    <w:p w:rsidR="002D0DBC" w:rsidRPr="009A3C86" w:rsidRDefault="00BD6E1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Duża</w:t>
      </w:r>
      <w:r w:rsidR="002D0DBC" w:rsidRPr="009A3C86">
        <w:rPr>
          <w:rFonts w:ascii="Times New Roman" w:hAnsi="Times New Roman"/>
          <w:sz w:val="24"/>
          <w:szCs w:val="24"/>
          <w:lang w:eastAsia="pl-PL"/>
        </w:rPr>
        <w:t xml:space="preserve"> skala przestępstw podatkowych w zakresie podatku VAT, popełnianych przez zorganizowane grupy przestępcze może mieć wpływ na stabilność finansów publicznych, a w konsekwencji na bezpieczeństwo finansowe państwa. Stan taki może się urzeczywistnić w szczególności w przypadku braku zdecydowanych działań ze strony państwa. W licznych artykułach, opracowaniach, wytycznych, raportach i sprawozdaniach, które dotyczą kwestii podatków, przestępczości lub bezpieczeństwa ekonomicznego państwa wskazuje się na zagrożenia związane z wysokim poziomem przestępczości podatkowej</w:t>
      </w:r>
      <w:r w:rsidR="002D0DBC" w:rsidRPr="009A3C86">
        <w:rPr>
          <w:rFonts w:ascii="Times New Roman" w:hAnsi="Times New Roman"/>
          <w:sz w:val="24"/>
          <w:szCs w:val="24"/>
          <w:vertAlign w:val="superscript"/>
          <w:lang w:eastAsia="pl-PL"/>
        </w:rPr>
        <w:footnoteReference w:id="574"/>
      </w:r>
      <w:r w:rsidR="002D0DBC" w:rsidRPr="009A3C86">
        <w:rPr>
          <w:rFonts w:ascii="Times New Roman" w:hAnsi="Times New Roman"/>
          <w:sz w:val="24"/>
          <w:szCs w:val="24"/>
          <w:lang w:eastAsia="pl-PL"/>
        </w:rPr>
        <w:t xml:space="preserve">. </w:t>
      </w:r>
    </w:p>
    <w:p w:rsidR="002D0DBC" w:rsidRPr="009A3C86" w:rsidRDefault="002D0DBC" w:rsidP="002D0DBC">
      <w:pPr>
        <w:spacing w:after="0" w:line="360" w:lineRule="auto"/>
        <w:ind w:left="20" w:right="20"/>
        <w:jc w:val="both"/>
        <w:rPr>
          <w:rFonts w:ascii="Times New Roman" w:hAnsi="Times New Roman"/>
          <w:i/>
          <w:sz w:val="24"/>
          <w:szCs w:val="24"/>
          <w:lang w:eastAsia="pl-PL"/>
        </w:rPr>
      </w:pPr>
      <w:r w:rsidRPr="009A3C86">
        <w:rPr>
          <w:rFonts w:ascii="Times New Roman" w:hAnsi="Times New Roman"/>
          <w:sz w:val="24"/>
          <w:szCs w:val="24"/>
          <w:lang w:eastAsia="pl-PL"/>
        </w:rPr>
        <w:t xml:space="preserve">Przykładowo w Raporcie o stanie bezpieczeństwa w Polsce w 2015 r. wskazuje się: </w:t>
      </w:r>
      <w:r w:rsidRPr="009A3C86">
        <w:rPr>
          <w:rFonts w:ascii="Times New Roman" w:hAnsi="Times New Roman"/>
          <w:i/>
          <w:sz w:val="24"/>
          <w:szCs w:val="24"/>
          <w:lang w:eastAsia="pl-PL"/>
        </w:rPr>
        <w:t xml:space="preserve">„Największą sferą aktywności zorganizowanych grup przestępczych jest przestępczość ekonomiczna, która powoduje najwyższe straty dla budżetu państwa i </w:t>
      </w:r>
      <w:r w:rsidRPr="009A3C86">
        <w:rPr>
          <w:rFonts w:ascii="Times New Roman" w:hAnsi="Times New Roman"/>
          <w:i/>
          <w:sz w:val="24"/>
          <w:szCs w:val="24"/>
          <w:u w:val="single"/>
          <w:lang w:eastAsia="pl-PL"/>
        </w:rPr>
        <w:t xml:space="preserve">godzi w bezpieczeństwo ekonomiczne Polski (podkreślenie MRiF) </w:t>
      </w:r>
      <w:r w:rsidRPr="009A3C86">
        <w:rPr>
          <w:rFonts w:ascii="Times New Roman" w:hAnsi="Times New Roman"/>
          <w:i/>
          <w:sz w:val="24"/>
          <w:szCs w:val="24"/>
          <w:lang w:eastAsia="pl-PL"/>
        </w:rPr>
        <w:t>przez zmniejszenie wpływów, uzyskiwanie nienależnych zwrotów, wyłudzanie dopłat (w tych obszarach szczególnie istotne pozostają zagrożenia przestępczością związaną z podatkiem VAT oraz akcyzą) … .”</w:t>
      </w:r>
      <w:r w:rsidRPr="009A3C86">
        <w:rPr>
          <w:rFonts w:ascii="Times New Roman" w:hAnsi="Times New Roman"/>
          <w:sz w:val="24"/>
          <w:szCs w:val="24"/>
          <w:vertAlign w:val="superscript"/>
          <w:lang w:eastAsia="pl-PL"/>
        </w:rPr>
        <w:footnoteReference w:id="575"/>
      </w:r>
      <w:r w:rsidRPr="009A3C86">
        <w:rPr>
          <w:rFonts w:ascii="Times New Roman" w:hAnsi="Times New Roman"/>
          <w:i/>
          <w:sz w:val="24"/>
          <w:szCs w:val="24"/>
          <w:lang w:eastAsia="pl-PL"/>
        </w:rPr>
        <w:t xml:space="preserve">. </w:t>
      </w:r>
    </w:p>
    <w:p w:rsidR="002D0DBC" w:rsidRPr="009A3C86" w:rsidRDefault="002D0DBC" w:rsidP="002D0DBC">
      <w:pPr>
        <w:spacing w:after="0" w:line="360" w:lineRule="auto"/>
        <w:ind w:left="20" w:right="20"/>
        <w:jc w:val="both"/>
        <w:rPr>
          <w:rFonts w:ascii="Times New Roman" w:hAnsi="Times New Roman"/>
          <w:sz w:val="24"/>
          <w:szCs w:val="24"/>
          <w:u w:val="single"/>
          <w:lang w:eastAsia="pl-PL"/>
        </w:rPr>
      </w:pPr>
      <w:r w:rsidRPr="009A3C86">
        <w:rPr>
          <w:rFonts w:ascii="Times New Roman" w:hAnsi="Times New Roman"/>
          <w:sz w:val="24"/>
          <w:szCs w:val="24"/>
          <w:lang w:eastAsia="pl-PL"/>
        </w:rPr>
        <w:t xml:space="preserve">W wytycznych Prokuratora Generalnego nr 5/17 z dnia 10 sierpnia 2017 r. znak: PK I BP 024.13.2017 w sprawie zasad prowadzenia postępowań przygotowawczych w sprawach o </w:t>
      </w:r>
      <w:r w:rsidRPr="009A3C86">
        <w:rPr>
          <w:rFonts w:ascii="Times New Roman" w:hAnsi="Times New Roman"/>
          <w:sz w:val="24"/>
          <w:szCs w:val="24"/>
          <w:lang w:eastAsia="pl-PL"/>
        </w:rPr>
        <w:lastRenderedPageBreak/>
        <w:t xml:space="preserve">przestępstwa związane z procederem wyłudzania nienależnego zwrotu podatku od towarów i usług (VAT) oraz innych oszukańczych uszczupleń w tym podatku stwierdza się, że przestępstwa i przestępstwa skarbowe, których celem jest wyłudzanie nienależnego zwrotu VAT lub dokonanie innego rodzaju istotnych uszczupleń w tej daninie publicznej są obecnie </w:t>
      </w:r>
      <w:r w:rsidRPr="009A3C86">
        <w:rPr>
          <w:rFonts w:ascii="Times New Roman" w:hAnsi="Times New Roman"/>
          <w:i/>
          <w:sz w:val="24"/>
          <w:szCs w:val="24"/>
          <w:lang w:eastAsia="pl-PL"/>
        </w:rPr>
        <w:t xml:space="preserve">„najgroźniejszą z kategorii przestępstw uderzających w interesy finansowe państwa”. </w:t>
      </w:r>
      <w:r w:rsidRPr="009A3C86">
        <w:rPr>
          <w:rFonts w:ascii="Times New Roman" w:hAnsi="Times New Roman"/>
          <w:sz w:val="24"/>
          <w:szCs w:val="24"/>
          <w:lang w:eastAsia="pl-PL"/>
        </w:rPr>
        <w:t xml:space="preserve">W wytycznych wskazuje się, że przestępstwa  te stanowią </w:t>
      </w:r>
      <w:r w:rsidRPr="009A3C86">
        <w:rPr>
          <w:rFonts w:ascii="Times New Roman" w:hAnsi="Times New Roman"/>
          <w:sz w:val="24"/>
          <w:szCs w:val="24"/>
          <w:u w:val="single"/>
          <w:lang w:eastAsia="pl-PL"/>
        </w:rPr>
        <w:t>istotne zagrożenie dla bezpieczeństwa ekonomicznego państwa</w:t>
      </w:r>
      <w:r w:rsidRPr="009A3C86">
        <w:rPr>
          <w:rFonts w:ascii="Times New Roman" w:hAnsi="Times New Roman"/>
          <w:sz w:val="24"/>
          <w:szCs w:val="24"/>
          <w:u w:val="single"/>
          <w:vertAlign w:val="superscript"/>
          <w:lang w:eastAsia="pl-PL"/>
        </w:rPr>
        <w:footnoteReference w:id="576"/>
      </w:r>
      <w:r w:rsidRPr="009A3C86">
        <w:rPr>
          <w:rFonts w:ascii="Times New Roman" w:hAnsi="Times New Roman"/>
          <w:sz w:val="24"/>
          <w:szCs w:val="24"/>
          <w:u w:val="single"/>
          <w:lang w:eastAsia="pl-PL"/>
        </w:rPr>
        <w:t>.</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W sprawozdaniu</w:t>
      </w:r>
      <w:r w:rsidRPr="009A3C86">
        <w:rPr>
          <w:rFonts w:ascii="Times New Roman" w:hAnsi="Times New Roman"/>
          <w:sz w:val="24"/>
          <w:szCs w:val="24"/>
          <w:u w:val="single"/>
          <w:lang w:eastAsia="pl-PL"/>
        </w:rPr>
        <w:t xml:space="preserve"> </w:t>
      </w:r>
      <w:r w:rsidRPr="009A3C86">
        <w:rPr>
          <w:rFonts w:ascii="Times New Roman" w:hAnsi="Times New Roman"/>
          <w:sz w:val="24"/>
          <w:szCs w:val="24"/>
          <w:lang w:eastAsia="pl-PL"/>
        </w:rPr>
        <w:t xml:space="preserve">Generalnego Inspektora Informacji Finansowej z działalności za rok 2016 sygnalizuje się, że </w:t>
      </w:r>
      <w:r w:rsidRPr="009A3C86">
        <w:rPr>
          <w:rFonts w:ascii="Times New Roman" w:hAnsi="Times New Roman"/>
          <w:i/>
          <w:sz w:val="24"/>
          <w:szCs w:val="24"/>
          <w:lang w:eastAsia="pl-PL"/>
        </w:rPr>
        <w:t xml:space="preserve">„w 2016 r. najwięcej powiadomień w trybie art. 33 ust. 3 ustawy z dnia 16 listopada 2000 r. o przeciwdziałaniu praniu pieniędzy i finansowaniu terroryzmu Generalny Inspektor Informacji Finansowej skierował do organów kontroli skarbowej. Podobnie jak w latach ubiegłych, znacząca większość powiadomień wskazywała na podejrzenie oszustw podatkowych, związanych z podatkiem od towarów i usług. Powiadomienia te odnosiły się do kwestii związanych z zaniżaniem lub nieujawnianiem obrotów wskutek fałszowania lub ukrywania faktur; wyłudzaniem naliczonego podatku VAT; oszustw typu „znikający podatnik”; oszustw karuzelowych.”. </w:t>
      </w:r>
      <w:r w:rsidRPr="009A3C86">
        <w:rPr>
          <w:rFonts w:ascii="Times New Roman" w:hAnsi="Times New Roman"/>
          <w:sz w:val="24"/>
          <w:szCs w:val="24"/>
          <w:lang w:eastAsia="pl-PL"/>
        </w:rPr>
        <w:t>Postępowania kontrolne prowadzone w wyniku tych zawiadomień wielokrotnie wskazywały, że kontrolowane podmioty nie prowadziły rzeczywistej, deklarowanej działalności gospodarczej, były podmiotami wystawiającymi „puste” faktury VAT, które u nabywców służyły do nieuprawnionego zmniejszenia podatku należnego od towarów i usług, co w konsekwencji wpływało na uszczuplenie należności Skarbu Państwa</w:t>
      </w:r>
      <w:r w:rsidRPr="009A3C86">
        <w:rPr>
          <w:rFonts w:ascii="Times New Roman" w:hAnsi="Times New Roman"/>
          <w:i/>
          <w:sz w:val="24"/>
          <w:szCs w:val="24"/>
          <w:vertAlign w:val="superscript"/>
          <w:lang w:eastAsia="pl-PL"/>
        </w:rPr>
        <w:footnoteReference w:id="577"/>
      </w:r>
      <w:r w:rsidRPr="009A3C86">
        <w:rPr>
          <w:rFonts w:ascii="Times New Roman" w:hAnsi="Times New Roman"/>
          <w:i/>
          <w:sz w:val="24"/>
          <w:szCs w:val="24"/>
          <w:lang w:eastAsia="pl-PL"/>
        </w:rPr>
        <w:t xml:space="preserve">. </w:t>
      </w:r>
      <w:r w:rsidRPr="009A3C86">
        <w:rPr>
          <w:rFonts w:ascii="Times New Roman" w:hAnsi="Times New Roman"/>
          <w:sz w:val="24"/>
          <w:szCs w:val="24"/>
          <w:lang w:eastAsia="pl-PL"/>
        </w:rPr>
        <w:t>Ze sprawozdania Generalnego Inspektora Informacji Finansowej wynika także, że przeważająca większość blokad rachunków dokonanych w trybie wymienionej ustawy była związana z podejrzeniem  prania  pieniędzy  pochodzących  z  przestępstw  skarbowych,  a  zwłaszcza nadużyć  w  stosowaniu mechanizmu  podatku  VAT  w  celu  wyłudzenia  zwrotu  czy niezapłacenia należnego podatku</w:t>
      </w:r>
      <w:r w:rsidRPr="009A3C86">
        <w:rPr>
          <w:rFonts w:ascii="Times New Roman" w:hAnsi="Times New Roman"/>
          <w:sz w:val="24"/>
          <w:szCs w:val="24"/>
          <w:vertAlign w:val="superscript"/>
          <w:lang w:eastAsia="pl-PL"/>
        </w:rPr>
        <w:footnoteReference w:id="578"/>
      </w:r>
      <w:r w:rsidRPr="009A3C86">
        <w:rPr>
          <w:rFonts w:ascii="Times New Roman" w:hAnsi="Times New Roman"/>
          <w:sz w:val="24"/>
          <w:szCs w:val="24"/>
          <w:lang w:eastAsia="pl-PL"/>
        </w:rPr>
        <w:t>.</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Najwyższa Izba Kontroli zwraca uwagę, że w 2016 r. nadal dynamicznie rosły zaległości podatkowe, głównie w wyniku zwiększonej wykrywalności oszustw podatkowych, która nie przełożyła się na odzyskiwanie należnych wpływów z tego tytułu. Zaległości podatkowe na koniec 2016 r. wyniosły 76</w:t>
      </w:r>
      <w:r w:rsidR="002B4762"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776,4 mln zł i w porównaniu do stanu na koniec poprzedniego roku wzrosły o 30,2%. Mało skuteczne były postępowania egzekucyjne prowadzone wobec </w:t>
      </w:r>
      <w:r w:rsidRPr="009A3C86">
        <w:rPr>
          <w:rFonts w:ascii="Times New Roman" w:hAnsi="Times New Roman"/>
          <w:sz w:val="24"/>
          <w:szCs w:val="24"/>
          <w:lang w:eastAsia="pl-PL"/>
        </w:rPr>
        <w:lastRenderedPageBreak/>
        <w:t>podmiotów dokonujących oszustw podatkowych, w tym z wykorzystaniem faktur dokumentujących czynności fikcyjne. Z powodu bezskutecznej egzekucji organy egzekucyjne umorzyły postępowania egzekucyjne na kwotę 20,8 mld zł, tj. o 26% wyższą niż w 2015 r.</w:t>
      </w:r>
      <w:r w:rsidRPr="009A3C86">
        <w:rPr>
          <w:rFonts w:ascii="Times New Roman" w:hAnsi="Times New Roman"/>
          <w:sz w:val="24"/>
          <w:szCs w:val="24"/>
          <w:vertAlign w:val="superscript"/>
          <w:lang w:eastAsia="pl-PL"/>
        </w:rPr>
        <w:footnoteReference w:id="579"/>
      </w:r>
      <w:r w:rsidRPr="009A3C86">
        <w:rPr>
          <w:rFonts w:ascii="Times New Roman" w:hAnsi="Times New Roman"/>
          <w:sz w:val="24"/>
          <w:szCs w:val="24"/>
          <w:lang w:eastAsia="pl-PL"/>
        </w:rPr>
        <w:t>.</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Głównym problemem służb zajmujących się ściganiem przestępczości podatkowej, w szczególności w zakresie VAT jest brak szybkiej reakcji na nieprawidłowości w rozliczaniu podatku. Jest to konsekwencja dowiadywania się o tych nieprawidłowościach zbyt późno, najczęściej już po zakończeniu łańcucha transakcji, których celem jest wyłudzenie podatku. Zbyt późne stwierdzanie nieprawidłowości wynika natomiast z braku dostatecznych instrumentów prawnych, w szczególności brak</w:t>
      </w:r>
      <w:r w:rsidR="00F46AB6" w:rsidRPr="009A3C86">
        <w:rPr>
          <w:rFonts w:ascii="Times New Roman" w:hAnsi="Times New Roman"/>
          <w:sz w:val="24"/>
          <w:szCs w:val="24"/>
          <w:lang w:eastAsia="pl-PL"/>
        </w:rPr>
        <w:t>u</w:t>
      </w:r>
      <w:r w:rsidRPr="009A3C86">
        <w:rPr>
          <w:rFonts w:ascii="Times New Roman" w:hAnsi="Times New Roman"/>
          <w:sz w:val="24"/>
          <w:szCs w:val="24"/>
          <w:lang w:eastAsia="pl-PL"/>
        </w:rPr>
        <w:t xml:space="preserve"> dostępu do informacji mających istotne znaczenie dla wykrycia transakcji zmierzających do wyłudzeń. Dlatego skuteczność w odzyskaniu wyłudzonych należności podatkowych można zwiększyć poprzez uzyskiwanie i wykorzystywanie danych i informacji jeszcze na etapie dokonywania pozorowanych transakcji, do czego zmierza proponowana regulacja.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Działania legislacyjne podejmowane w ramach niniejszego projektu bazują na dotychczasowych doświadczeniach organów administracji skarbowej, stanowiąc jednocześnie spełnienie wymienionych rekomendacji NIK.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Z tych wszystkich względów cel i potrzeba przyjęcia ustawy, która przyczyniłaby się choćby do zmniejszenia skali przestępczości podatkowej, muszą być brane pod uwagę przy ocenie niezbędności projektowanej regulacji w kontekście badania jej konstytucyjności na podstawie art. 51 ust. 2 Konstytucji RP.</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Należy zwrócić uwagę w projekcie na istotne podmiotowe ograniczenie. Projekt zakłada przetwarzanie danych dotyczących podmiotów kwalifikowanych w rozumieniu projektowanego art. </w:t>
      </w:r>
      <w:r w:rsidR="005C1F60" w:rsidRPr="009A3C86">
        <w:rPr>
          <w:rFonts w:ascii="Times New Roman" w:hAnsi="Times New Roman"/>
          <w:sz w:val="24"/>
          <w:szCs w:val="24"/>
          <w:lang w:eastAsia="pl-PL"/>
        </w:rPr>
        <w:t>699</w:t>
      </w:r>
      <w:r w:rsidRPr="009A3C86">
        <w:rPr>
          <w:rFonts w:ascii="Times New Roman" w:hAnsi="Times New Roman"/>
          <w:sz w:val="24"/>
          <w:szCs w:val="24"/>
          <w:lang w:eastAsia="pl-PL"/>
        </w:rPr>
        <w:t xml:space="preserve"> pkt </w:t>
      </w:r>
      <w:r w:rsidR="00E329D6" w:rsidRPr="009A3C86">
        <w:rPr>
          <w:rFonts w:ascii="Times New Roman" w:hAnsi="Times New Roman"/>
          <w:sz w:val="24"/>
          <w:szCs w:val="24"/>
          <w:lang w:eastAsia="pl-PL"/>
        </w:rPr>
        <w:t>5</w:t>
      </w:r>
      <w:r w:rsidRPr="009A3C86">
        <w:rPr>
          <w:rFonts w:ascii="Times New Roman" w:hAnsi="Times New Roman"/>
          <w:sz w:val="24"/>
          <w:szCs w:val="24"/>
          <w:lang w:eastAsia="pl-PL"/>
        </w:rPr>
        <w:t xml:space="preserve"> Ordynacji podatkowej, a innych osób tylko wtedy, jeśli ich czynności są związane z działalnością podmiotu kwalifikowanego np. działają w ich imieniu, są beneficjentami rzeczywistymi w rozumieniu przepisów o przeciwdziałaniu praniu pieniędzy oraz finansowaniu terroryzmu lub pełnomocnikami do rachunku. Dane innych podmiotów poza wyżej wymienionymi nie będą przetwarzane w systemach teleinformatycznych izby rozliczeniowej i Szefa KAS, z wyjątkiem osób prawnych i jednostek organizacyjnych nieposiadających osobowości prawnej, o ile posiadają zdolność prawną. Podkreślenia wymaga, że art. 51 ust. 2 Konstytucji RP dotyczy uzyskiwania, gromadzenia i udostępniania informacji o obywatelach, a więc o osobach fizycznych.  Z Konstytucji wynika zatem, że standardy </w:t>
      </w:r>
      <w:r w:rsidRPr="009A3C86">
        <w:rPr>
          <w:rFonts w:ascii="Times New Roman" w:hAnsi="Times New Roman"/>
          <w:sz w:val="24"/>
          <w:szCs w:val="24"/>
          <w:lang w:eastAsia="pl-PL"/>
        </w:rPr>
        <w:lastRenderedPageBreak/>
        <w:t>ochrony podmiotów niebędących osobami fizycznymi w zakresie określonym w tym przepisie nie muszą być tożsame. Analiza ryzyka i ustalanie wskaźnika ryzyka nie będzie dotyczyć osób fizycznych nie mających związku z działalnością gospodarczą lub zarobkową.</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Zgodnie z wyrokiem Trybunału Sprawiedliwości Unii Europejskiej z dnia 21 grudnia 2016 r. w połączonych sprawach C-203/15 Tele2 Sverige AB/Post-och telesyrelsen i C-698/15 Secretary of State for the Home Departament/Tom Watson i in. przepisy krajowe ustanawiające obowiązek indywidualnej retencji danych w celu zwalczania poważnej przestępczości nie są sprzeczne z prawem unijnym, pod warunkiem, że takie zatrzymanie – w zakresie dotyczącym danych podlegających zatrzymaniu, stosowanych środków łączności, zaangażowanych w ten proces podmiotów oraz przyjęty okres przechowywania danych – nie będzie wykraczać poza to, co jest absolutnie konieczne. Wszystkie przyjęte w tym względzie przepisy muszą być jednoznaczne i szczegółowe co do zakresu i sposobu stosowania oraz przewidywać gwarancje wystarczające do tego, by chronić te dane przed ryzykiem ich nadużycia (pkt 109). TSUE nie wyklucza także dostępu do danych dotyczących innych osób niż osoby bezpośrednio zaangażowane w poważne przestępstwa, gdy istnieje obiektywny dowód pozwalający uznać, że dane te mogłyby w konkretnym przypadku rzeczywiście przyczynić się do zwalczania takich działań (pkt 119).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Powołane tezy wyroku TSUE z dnia 21 grudnia 2016 r. są respektowane w przepisach rozdziału </w:t>
      </w:r>
      <w:r w:rsidR="005C1F60" w:rsidRPr="009A3C86">
        <w:rPr>
          <w:rFonts w:ascii="Times New Roman" w:hAnsi="Times New Roman"/>
          <w:sz w:val="24"/>
          <w:szCs w:val="24"/>
          <w:lang w:eastAsia="pl-PL"/>
        </w:rPr>
        <w:t>9</w:t>
      </w:r>
      <w:r w:rsidRPr="009A3C86">
        <w:rPr>
          <w:rFonts w:ascii="Times New Roman" w:hAnsi="Times New Roman"/>
          <w:sz w:val="24"/>
          <w:szCs w:val="24"/>
          <w:lang w:eastAsia="pl-PL"/>
        </w:rPr>
        <w:t xml:space="preserve"> działu IV. Odnosząc się do zakresu danych, jakie są przesyłane do izby rozliczeniowej w celu ustalenia wskaźnika ryzyka należy mieć na uwadze, że dane te, w tym dane objęte tajemnicą bankową w rozumieniu ustawy – Prawo bankowe i tajemnicą zawodową w rozumieniu art. 9e ust. 1  ustawy o spółdzielczych kasach oszczędnościowo-kredytowych są szczegółowo określone w </w:t>
      </w:r>
      <w:r w:rsidRPr="009A3C86">
        <w:rPr>
          <w:rFonts w:ascii="Times New Roman" w:hAnsi="Times New Roman"/>
          <w:b/>
          <w:sz w:val="24"/>
          <w:szCs w:val="24"/>
          <w:lang w:eastAsia="pl-PL"/>
        </w:rPr>
        <w:t>art. </w:t>
      </w:r>
      <w:r w:rsidR="00A37814">
        <w:rPr>
          <w:rFonts w:ascii="Times New Roman" w:hAnsi="Times New Roman"/>
          <w:b/>
          <w:sz w:val="24"/>
          <w:szCs w:val="24"/>
          <w:lang w:eastAsia="pl-PL"/>
        </w:rPr>
        <w:t>712</w:t>
      </w:r>
      <w:r w:rsidRPr="009A3C86">
        <w:rPr>
          <w:rFonts w:ascii="Times New Roman" w:hAnsi="Times New Roman"/>
          <w:b/>
          <w:sz w:val="24"/>
          <w:szCs w:val="24"/>
          <w:lang w:eastAsia="pl-PL"/>
        </w:rPr>
        <w:t xml:space="preserve"> § 1</w:t>
      </w:r>
      <w:r w:rsidR="00066549" w:rsidRPr="009A3C86">
        <w:rPr>
          <w:rFonts w:ascii="Times New Roman" w:hAnsi="Times New Roman"/>
          <w:b/>
          <w:sz w:val="24"/>
          <w:szCs w:val="24"/>
          <w:lang w:eastAsia="pl-PL"/>
        </w:rPr>
        <w:t>-4</w:t>
      </w:r>
      <w:r w:rsidRPr="009A3C86">
        <w:rPr>
          <w:rFonts w:ascii="Times New Roman" w:hAnsi="Times New Roman"/>
          <w:sz w:val="24"/>
          <w:szCs w:val="24"/>
          <w:lang w:eastAsia="pl-PL"/>
        </w:rPr>
        <w:t xml:space="preserve"> Ordynacji podatkowej. Obowiązek przekazywania danych dotyczy co do zasady danych podmiotów kwalifikowanych w rozumieniu </w:t>
      </w:r>
      <w:r w:rsidR="00660662" w:rsidRPr="009A3C86">
        <w:rPr>
          <w:rFonts w:ascii="Times New Roman" w:hAnsi="Times New Roman"/>
          <w:sz w:val="24"/>
          <w:szCs w:val="24"/>
          <w:lang w:eastAsia="pl-PL"/>
        </w:rPr>
        <w:t xml:space="preserve">projektowanego </w:t>
      </w:r>
      <w:r w:rsidRPr="009A3C86">
        <w:rPr>
          <w:rFonts w:ascii="Times New Roman" w:hAnsi="Times New Roman"/>
          <w:sz w:val="24"/>
          <w:szCs w:val="24"/>
          <w:lang w:eastAsia="pl-PL"/>
        </w:rPr>
        <w:t xml:space="preserve">art. </w:t>
      </w:r>
      <w:r w:rsidR="005C1F60" w:rsidRPr="009A3C86">
        <w:rPr>
          <w:rFonts w:ascii="Times New Roman" w:hAnsi="Times New Roman"/>
          <w:sz w:val="24"/>
          <w:szCs w:val="24"/>
          <w:lang w:eastAsia="pl-PL"/>
        </w:rPr>
        <w:t>699</w:t>
      </w:r>
      <w:r w:rsidRPr="009A3C86">
        <w:rPr>
          <w:rFonts w:ascii="Times New Roman" w:hAnsi="Times New Roman"/>
          <w:sz w:val="24"/>
          <w:szCs w:val="24"/>
          <w:lang w:eastAsia="pl-PL"/>
        </w:rPr>
        <w:t xml:space="preserve"> </w:t>
      </w:r>
      <w:r w:rsidR="00660662" w:rsidRPr="009A3C86">
        <w:rPr>
          <w:rFonts w:ascii="Times New Roman" w:hAnsi="Times New Roman"/>
          <w:sz w:val="24"/>
          <w:szCs w:val="24"/>
          <w:lang w:eastAsia="pl-PL"/>
        </w:rPr>
        <w:t>pkt 5</w:t>
      </w:r>
      <w:r w:rsidRPr="009A3C86">
        <w:rPr>
          <w:rFonts w:ascii="Times New Roman" w:hAnsi="Times New Roman"/>
          <w:sz w:val="24"/>
          <w:szCs w:val="24"/>
          <w:lang w:eastAsia="pl-PL"/>
        </w:rPr>
        <w:t xml:space="preserve">, a innych osób tylko wówczas, jeśli ich działania są związane z działaniem podmiotów kwalifikowanych (dane osób uprawnionych do reprezentowania podmiotu kwalifikowanego przedsiębiorcy, pełnomocnika do rachunku i beneficjenta rzeczywistego w rozumieniu przepisów o przeciwdziałaniu praniu pieniędzy oraz finansowaniu terroryzmu). Ponadto obowiązek przekazywania danych dotyczy danych osób prawnych i jednostek organizacyjnych nieposiadających osobowości prawnej, o ile posiadają zdolność prawną. Zaznaczyć należy, że dane identyfikacyjne osób uprawnionych do reprezentowania podmiotów kwalifikowanych są dostępne w publicznych rejestrach zawierających dane przedsiębiorców (KRS, CEiDG). Przetwarzanie danych tych osób nie może więc budzić wątpliwości. Dane identyfikacyjne o pełnomocniku do rachunku i o </w:t>
      </w:r>
      <w:r w:rsidRPr="009A3C86">
        <w:rPr>
          <w:rFonts w:ascii="Times New Roman" w:hAnsi="Times New Roman"/>
          <w:sz w:val="24"/>
          <w:szCs w:val="24"/>
          <w:lang w:eastAsia="pl-PL"/>
        </w:rPr>
        <w:lastRenderedPageBreak/>
        <w:t>beneficjencie rzeczywistym w rozumieniu przepisów o przeciwdziałaniu praniu pieniędzy oraz finansowaniu terroryzmu są natomiast niezbędne do ustalenia osób faktycznie korzystających z rachunków, które są zwykle organizatorami lub uczestnikami wyłudzeń skarbowych. Dostęp do tych danych w sprawach wyłudzeń VAT ma kluczowe znaczenie, ponieważ bardzo często osoba inna niż posiadacz rachunku np. pełnomocnik do rachunku podmiotu kwalifikowanego jest organizatorem lub uczestnikiem przestępczego procederu. W przestępstwach w zakresie VAT poszczególne czynności są dokonywane często przez osoby trzecie, podstawione, niezwiązane bezpośrednio z procederem, a jedynie wykorzystywane do niego na jakimś etapie, świadomie z ich strony lub nieświadomie tzw. słupy. Słupy najczęściej są formalnie posiadaczami rachunków lecz dostęp do rachunków i organizacja procederu często należą do osób, które nie są formalnie związane z podmiotem kwalifikowanym i przez to są trudne do ustalenia. Podkreślenia ponadto wymaga, że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zwana dalej „Dyrektywą 2015/849” przewiduje dla państw członkowskich UE obowiązek gromadzenia w centralnym rejestrze informacji o beneficjentach rzeczywistych podmiotów o charakterze korporacyjnym i innych podmiotów prawnych (art. 30 i 31 Dyrektywy 2015/849). Gromadzenie i przetwarzanie danych o beneficjentach rzeczywistych na podstawie niniejszego projektu wpisuje się więc w system regulacji przedstawionych w dyrektywie 2015/849. W konsekwencji należy uznać, że zakres danych przekazywanych przez banki i spółdzielcze kasy oszczędnościowo-kredytowe jest adekwatny do realizacji celu ustawy.</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Powyższe argumenty pozwalają uznać, że projektowane przepisy w zakresie gromadzenia i przetwarzania danych są niezbędne do realizacji interesu publicznego. Tym samym należy przyjąć, że  projektowana regulacja nie narusza art. 51 ust. 2 Konstytucji RP.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Ad 2. Warunki ograniczenia wolności majątkowej, określone w art. 31 ust. 3 Konstytucji RP (zasada proporcjonalności), należy rozpatrzeć przede wszystkim w odniesieniu do przepisów o blokadzie rachunku podmiotu kwalifikowanego (oddział 3 rozdziału </w:t>
      </w:r>
      <w:r w:rsidR="002B4762" w:rsidRPr="009A3C86">
        <w:rPr>
          <w:rFonts w:ascii="Times New Roman" w:hAnsi="Times New Roman"/>
          <w:sz w:val="24"/>
          <w:szCs w:val="24"/>
          <w:lang w:eastAsia="pl-PL"/>
        </w:rPr>
        <w:t>9</w:t>
      </w:r>
      <w:r w:rsidRPr="009A3C86">
        <w:rPr>
          <w:rFonts w:ascii="Times New Roman" w:hAnsi="Times New Roman"/>
          <w:sz w:val="24"/>
          <w:szCs w:val="24"/>
          <w:lang w:eastAsia="pl-PL"/>
        </w:rPr>
        <w:t xml:space="preserve">). Nie budzi wątpliwości spełnienie wymogu regulacji w ustawie przepisów dotyczących blokady rachunku podmiotu kwalifikowanego. Przepisy te, w tym przesłanki blokady na okres do 72 godzin oraz przedłużenia blokady, są zawarte w ustawie – Ordynacja podatkowa.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Spełniony jest także warunek stanowiący, że ograniczenia konstytucyjnych praw i wolności, a więc także wolności majątkowej mogą być ustanawiane tylko wtedy, gdy są konieczne w </w:t>
      </w:r>
      <w:r w:rsidRPr="009A3C86">
        <w:rPr>
          <w:rFonts w:ascii="Times New Roman" w:hAnsi="Times New Roman"/>
          <w:sz w:val="24"/>
          <w:szCs w:val="24"/>
          <w:lang w:eastAsia="pl-PL"/>
        </w:rPr>
        <w:lastRenderedPageBreak/>
        <w:t>demokratycznym państwie dla jego bezpieczeństwa, porządku publicznego, ochrony środowiska, zdrowia i moralności publicznej, albo wolności i praw innych osób. W orzecznictwie Trybunału Konstytucyjnego wskazuje się, że warunek ten  ustanowione ograniczenia spełniają, jeżeli: 1) wprowadzona regulacja ustawodawcza jest w stanie doprowadzić do zamierzonych przez nią skutków (zasada przydatności), 2) regulacja ta jest niezbędna dla ochrony interesu publicznego, z którym jest powiązana (zasada konieczności), 3) efekty wprowadzonej regulacji pozostają w proporcji do ciężarów nakładanych przez nią na obywatela (zasada proporcjonalności w ścisłym tego słowa znaczeniu)</w:t>
      </w:r>
      <w:r w:rsidRPr="009A3C86">
        <w:rPr>
          <w:rFonts w:ascii="Times New Roman" w:hAnsi="Times New Roman"/>
          <w:sz w:val="24"/>
          <w:szCs w:val="24"/>
          <w:vertAlign w:val="superscript"/>
          <w:lang w:eastAsia="pl-PL"/>
        </w:rPr>
        <w:footnoteReference w:id="580"/>
      </w:r>
      <w:r w:rsidRPr="009A3C86">
        <w:rPr>
          <w:rFonts w:ascii="Times New Roman" w:hAnsi="Times New Roman"/>
          <w:sz w:val="24"/>
          <w:szCs w:val="24"/>
          <w:lang w:eastAsia="pl-PL"/>
        </w:rPr>
        <w:t xml:space="preserve">.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Wprowadzenie potencjalnej możliwości blokady rachunku podmiotu kwalifikowanego ma istotne praktyczne znaczenie. Uniemożliwia bowiem korzystanie ze środków pieniężnych niezbędnych do uwiarygodnienia działalności przestępczej. Poprzez dokonanie blokady rachunku eliminowany jest więc ten element procederu (obrót środkami pieniężnymi), który jest jedną z jego najbardziej charakterystycznych cech. Bez tego elementu pozorowanie działalności jest trudniejsze i tym samym trudniejsze staje się wyłudzenie podatku. Istotne znaczenie ma również szybkość ustanowienia blokady rachunku. Szybkość działania organizatorów wyłudzeń skarbowych wymaga równie szybkiej reakcji organów Krajowej Administracji Skarbowej. Ta szybka reakcja w postaci blokady rachunku powinna być możliwa właśnie na etapie przekazywania środków pieniężnych między posiadaczami rachunków wykorzystywanych do pozorowania działalności gospodarczej, a następnie do wyłudzeń podatku, bo tylko w ten sposób można zatrzymać środki przed ich dalszym transferem przez osoby nieuprawnione. Możliwość blokady rachunku stanowi więc adekwatną reakcję na wyłudzenia skarbowe i przyczyni się do ograniczenia liczby podmiotów pozorujących działalność gospodarczą. Blokady rachunków, a nawet tylko potencjalna możliwość ich dokonania powinny przyczynić się do zahamowania procederu wyłudzeń skarbowych, w szczególności podatku VAT (spełnienie zasady przydatności).</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Powyższe argumenty stanowią także o niezbędności wprowadzenia możliwości blokady rachunku podmiotu kwalifikowanego dla ochrony interesu publicznego. Kolejne istotne argumenty to: 1) olbrzymia skala wyłudzeń podatków, godząca w bezpieczeństwo finansowe państwa (kwoty istotne z punktu widzenia zabezpieczenia społecznego i obronności państwa), 2) realizowanie procederu wyłudzeń przez zorganizowane grupy przestępcze, 3) niezadawalająca skuteczność dotychczasowych rozwiązań zapobiegających wyłudzeniom.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lastRenderedPageBreak/>
        <w:t xml:space="preserve">Wszystkie te argumenty zostały szczegółowo wyżej opisane. Dodatkowo podnieść należy, że wprowadzenie możliwości blokady rachunku podmiotu kwalifikowanego wyeliminuje nieuczciwą konkurencję i tym samym przyczyni się do zwiększenia obrotów przedsiębiorców faktycznie prowadzących działalność gospodarczą.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Przesłanki blokady i jej przedłużenia zostały określone w sposób wyważony. Umożliwiają stosowanie instytucji blokady do różnych stanów faktycznych, jednocześnie uniemożliwiając jej dowolne stosowanie. W każdym przypadku blokady rachunku na okres nie dłuższy niż 72 godziny spełniona musi być przesłanka blokady, tj. stwierdzenie przez Szefa KAS konieczności dokonania blokady, aby przeciwdziałać wykorzystywaniu działalności banków lub spółdzielczych kas oszczędnościowo-kredytowych do celów mających związek z wyłudzeniami skarbowymi lub do czynności zmierzających do wyłudzenia skarbowego (</w:t>
      </w:r>
      <w:r w:rsidR="00660662" w:rsidRPr="009A3C86">
        <w:rPr>
          <w:rFonts w:ascii="Times New Roman" w:hAnsi="Times New Roman"/>
          <w:sz w:val="24"/>
          <w:szCs w:val="24"/>
          <w:lang w:eastAsia="pl-PL"/>
        </w:rPr>
        <w:t xml:space="preserve">projektowany </w:t>
      </w:r>
      <w:r w:rsidRPr="009A3C86">
        <w:rPr>
          <w:rFonts w:ascii="Times New Roman" w:hAnsi="Times New Roman"/>
          <w:sz w:val="24"/>
          <w:szCs w:val="24"/>
          <w:lang w:eastAsia="pl-PL"/>
        </w:rPr>
        <w:t xml:space="preserve">art. </w:t>
      </w:r>
      <w:r w:rsidR="00A37814">
        <w:rPr>
          <w:rFonts w:ascii="Times New Roman" w:hAnsi="Times New Roman"/>
          <w:sz w:val="24"/>
          <w:szCs w:val="24"/>
          <w:lang w:eastAsia="pl-PL"/>
        </w:rPr>
        <w:t>716</w:t>
      </w:r>
      <w:r w:rsidRPr="009A3C86">
        <w:rPr>
          <w:rFonts w:ascii="Times New Roman" w:hAnsi="Times New Roman"/>
          <w:sz w:val="24"/>
          <w:szCs w:val="24"/>
          <w:lang w:eastAsia="pl-PL"/>
        </w:rPr>
        <w:t xml:space="preserve"> § 1 Ordynacji podatkowej)</w:t>
      </w:r>
      <w:r w:rsidRPr="009A3C86">
        <w:rPr>
          <w:rFonts w:ascii="Times New Roman" w:hAnsi="Times New Roman"/>
          <w:bCs/>
          <w:sz w:val="24"/>
          <w:szCs w:val="24"/>
          <w:lang w:eastAsia="pl-PL"/>
        </w:rPr>
        <w:t xml:space="preserve">. Taka konstrukcja przesłanki oznacza, że Szef KAS w każdym jednostkowym przypadku powinien potrafić wykazać konieczność zastosowania blokady w wymienionym celu. Przesłanka ta stanowi realne ograniczenie dla stosowania instytucji blokady. </w:t>
      </w:r>
      <w:r w:rsidRPr="009A3C86">
        <w:rPr>
          <w:rFonts w:ascii="Times New Roman" w:hAnsi="Times New Roman"/>
          <w:sz w:val="24"/>
          <w:szCs w:val="24"/>
          <w:lang w:eastAsia="pl-PL"/>
        </w:rPr>
        <w:t>Ewentualne dokonanie blokady bez zaistnienia przesłanki naraża Skarb Państwa na procesy cywilne i zapłatę odszkodowań (spełnienie zasady konieczności). W przypadku przedłużenia blokady na okres nie dłuższy niż 3 miesiące musi być spełniona przesłanka istnienie uzasadnionej obawy, że podmiot kwalifikowany nie wykona istniejącego lub mającego powstać zobowiązania podatkowego lub zobowiązania z tytułu odpowiedzialności podatkowej osób trzecich. Dodatkowo wprowadzono próg 10</w:t>
      </w:r>
      <w:r w:rsidR="00F30E47" w:rsidRPr="009A3C86">
        <w:rPr>
          <w:rFonts w:ascii="Times New Roman" w:hAnsi="Times New Roman"/>
          <w:sz w:val="24"/>
          <w:szCs w:val="24"/>
          <w:lang w:eastAsia="pl-PL"/>
        </w:rPr>
        <w:t xml:space="preserve"> </w:t>
      </w:r>
      <w:r w:rsidRPr="009A3C86">
        <w:rPr>
          <w:rFonts w:ascii="Times New Roman" w:hAnsi="Times New Roman"/>
          <w:sz w:val="24"/>
          <w:szCs w:val="24"/>
          <w:lang w:eastAsia="pl-PL"/>
        </w:rPr>
        <w:t xml:space="preserve">000 euro odnoszący się do istniejącego lub mającego powstać zobowiązania podatkowego lub zobowiązania z tytułu odpowiedzialności podatkowej osoby trzeciej. Blokada na okres nie dłuższy niż 3 miesiące może być zastosowana dopiero po przekroczeniu tego progu.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W odniesieniu do osób fizycznych, które nie prowadzą działalności zarobkowej lub gospodarczej instytucja blokady nie może być stosowana. Natomiast w odniesieniu do przedsiębiorców i osób prawnych oraz jednostek organizacyjnych, którym ustawa przyznaje zdolność prawną blokada nie będzie stosowana, jeśli nie będzie zachodzić ustawowa przesłanka jej stosowania.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 xml:space="preserve">Blokady na okres do 3 miesięcy będą poddane kontroli sądu administracyjnego. Kontrola sądu administracyjnego jest uzasadniona z uwagi na administracyjny tryb oceny prawidłowości dokonania blokad. Istotne znaczenie dla podmiotu kwalifikowanego w przypadku ewentualnego sporu z Szefem KAS w sprawie zastosowania blokady rachunku jest znaczne skrócenie procedury rozpoznawania zażalenia (7 dni) oraz procedury przed sądem administracyjnym w razie złożenia skargi (7 dni na przekazanie do sądu akt i odpowiedzi na </w:t>
      </w:r>
      <w:r w:rsidRPr="009A3C86">
        <w:rPr>
          <w:rFonts w:ascii="Times New Roman" w:hAnsi="Times New Roman"/>
          <w:sz w:val="24"/>
          <w:szCs w:val="24"/>
          <w:lang w:eastAsia="pl-PL"/>
        </w:rPr>
        <w:lastRenderedPageBreak/>
        <w:t>skargę oraz 30 dni na rozpatrzenie skargi). Powyższe regulacje, umożliwiające wyjaśnienie</w:t>
      </w:r>
      <w:r w:rsidR="00783023" w:rsidRPr="009A3C86">
        <w:rPr>
          <w:rFonts w:ascii="Times New Roman" w:hAnsi="Times New Roman"/>
          <w:sz w:val="24"/>
          <w:szCs w:val="24"/>
          <w:lang w:eastAsia="pl-PL"/>
        </w:rPr>
        <w:t xml:space="preserve"> w stosunkowo krótkim terminie</w:t>
      </w:r>
      <w:r w:rsidRPr="009A3C86">
        <w:rPr>
          <w:rFonts w:ascii="Times New Roman" w:hAnsi="Times New Roman"/>
          <w:sz w:val="24"/>
          <w:szCs w:val="24"/>
          <w:lang w:eastAsia="pl-PL"/>
        </w:rPr>
        <w:t xml:space="preserve"> sytuacji prawnej podmiotu kwalifikowanego, któremu zablokowano rachunek, w stosunkowo krótkim terminie mogą zmniejszyć dolegliwość instytucji blokady. W przypadku ewentualnych pomyłek w zakresie stosowania przepisów o blokadach rachunku podmiotu kwalifikowanego jest uprawniony do wystąpienia do sądu powszechnego o odszkodowanie. </w:t>
      </w:r>
    </w:p>
    <w:p w:rsidR="002D0DBC" w:rsidRPr="009A3C86" w:rsidRDefault="002D0DBC" w:rsidP="002D0DBC">
      <w:pPr>
        <w:spacing w:after="120" w:line="360" w:lineRule="auto"/>
        <w:ind w:left="23" w:right="23"/>
        <w:jc w:val="both"/>
        <w:rPr>
          <w:rFonts w:ascii="Times New Roman" w:hAnsi="Times New Roman"/>
          <w:sz w:val="24"/>
          <w:szCs w:val="24"/>
          <w:lang w:eastAsia="pl-PL"/>
        </w:rPr>
      </w:pPr>
      <w:r w:rsidRPr="009A3C86">
        <w:rPr>
          <w:rFonts w:ascii="Times New Roman" w:hAnsi="Times New Roman"/>
          <w:sz w:val="24"/>
          <w:szCs w:val="24"/>
          <w:lang w:eastAsia="pl-PL"/>
        </w:rPr>
        <w:t xml:space="preserve">Powyższe argumenty pozwalają uznać, że projektowane regulacje są zgodne z zasadą proporcjonalności, o której mowa w art. 31 ust. 3 Konstytucji RP. </w:t>
      </w:r>
    </w:p>
    <w:p w:rsidR="002D0DBC" w:rsidRPr="009A3C86" w:rsidRDefault="002D0DBC" w:rsidP="002D0DBC">
      <w:pPr>
        <w:spacing w:after="0" w:line="360" w:lineRule="auto"/>
        <w:ind w:left="20" w:right="20"/>
        <w:jc w:val="both"/>
        <w:rPr>
          <w:rFonts w:ascii="Times New Roman" w:hAnsi="Times New Roman"/>
          <w:sz w:val="24"/>
          <w:szCs w:val="24"/>
          <w:lang w:eastAsia="pl-PL"/>
        </w:rPr>
      </w:pPr>
      <w:r w:rsidRPr="009A3C86">
        <w:rPr>
          <w:rFonts w:ascii="Times New Roman" w:hAnsi="Times New Roman"/>
          <w:sz w:val="24"/>
          <w:szCs w:val="24"/>
          <w:lang w:eastAsia="pl-PL"/>
        </w:rPr>
        <w:t>W konsekwencji należy uznać, że zachowane regulacje te są zgodne ze standardami konstytucyjnymi określonymi w art. 51 ust. 2 i art. 31 ust. 3 Konstytucji RP.</w:t>
      </w:r>
    </w:p>
    <w:p w:rsidR="00A07B28" w:rsidRPr="009A3C86" w:rsidRDefault="00A07B28"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1</w:t>
      </w:r>
      <w:r w:rsidR="00F30E47" w:rsidRPr="009A3C86">
        <w:rPr>
          <w:rFonts w:ascii="Times New Roman" w:hAnsi="Times New Roman"/>
          <w:b/>
          <w:bCs/>
          <w:sz w:val="24"/>
          <w:szCs w:val="24"/>
        </w:rPr>
        <w:t>0</w:t>
      </w:r>
      <w:r w:rsidRPr="009A3C86">
        <w:rPr>
          <w:rFonts w:ascii="Times New Roman" w:hAnsi="Times New Roman"/>
          <w:b/>
          <w:bCs/>
          <w:sz w:val="24"/>
          <w:szCs w:val="24"/>
        </w:rPr>
        <w:t>. Zabezpieczenie wykonania zobowiązania podatkowego</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1. Proponowane rozwiązania dotyczące zabezpieczenia wykonania zobowiązania podatkowego wzorowane są na obowiązujących przepisach Ordynacji podatkowej. Rozwiązania te zostały sprawdzone w praktyce, a orzecznictwo sądów administracyjnych wyjaśniło nieostre pojęcia użyte w ich treści (np. „uzasadniona obawa niewykonania zobowiązania podatkowego”)</w:t>
      </w:r>
      <w:r w:rsidRPr="009A3C86">
        <w:rPr>
          <w:rFonts w:ascii="Times New Roman" w:hAnsi="Times New Roman"/>
          <w:sz w:val="24"/>
          <w:szCs w:val="24"/>
          <w:vertAlign w:val="superscript"/>
        </w:rPr>
        <w:footnoteReference w:id="581"/>
      </w:r>
      <w:r w:rsidRPr="009A3C86">
        <w:rPr>
          <w:rFonts w:ascii="Times New Roman" w:hAnsi="Times New Roman"/>
          <w:sz w:val="24"/>
          <w:szCs w:val="24"/>
        </w:rPr>
        <w:t>. Zasadnicza zmiana polega na rezygnacji z wygaśnięcia decyzji o zabezpieczeniu (obowiązujący art. 33a o.p.)</w:t>
      </w:r>
      <w:r w:rsidR="002741C2" w:rsidRPr="009A3C86">
        <w:rPr>
          <w:rFonts w:ascii="Times New Roman" w:hAnsi="Times New Roman"/>
          <w:sz w:val="24"/>
          <w:szCs w:val="24"/>
        </w:rPr>
        <w:t>,</w:t>
      </w:r>
      <w:r w:rsidRPr="009A3C86">
        <w:rPr>
          <w:rFonts w:ascii="Times New Roman" w:hAnsi="Times New Roman"/>
          <w:sz w:val="24"/>
          <w:szCs w:val="24"/>
        </w:rPr>
        <w:t xml:space="preserve"> </w:t>
      </w:r>
      <w:r w:rsidR="002741C2" w:rsidRPr="009A3C86">
        <w:rPr>
          <w:rFonts w:ascii="Times New Roman" w:hAnsi="Times New Roman"/>
          <w:sz w:val="24"/>
          <w:szCs w:val="24"/>
        </w:rPr>
        <w:t xml:space="preserve">z wyjątkiem sytuacji określonej w </w:t>
      </w:r>
      <w:r w:rsidR="002741C2" w:rsidRPr="009A3C86">
        <w:rPr>
          <w:rFonts w:ascii="Times New Roman" w:hAnsi="Times New Roman"/>
          <w:b/>
          <w:sz w:val="24"/>
          <w:szCs w:val="24"/>
        </w:rPr>
        <w:t>art</w:t>
      </w:r>
      <w:r w:rsidR="00146DA9" w:rsidRPr="009A3C86">
        <w:rPr>
          <w:rFonts w:ascii="Times New Roman" w:hAnsi="Times New Roman"/>
          <w:b/>
          <w:sz w:val="24"/>
          <w:szCs w:val="24"/>
        </w:rPr>
        <w:t>. </w:t>
      </w:r>
      <w:r w:rsidR="002741C2" w:rsidRPr="009A3C86">
        <w:rPr>
          <w:rFonts w:ascii="Times New Roman" w:hAnsi="Times New Roman"/>
          <w:b/>
          <w:sz w:val="24"/>
          <w:szCs w:val="24"/>
        </w:rPr>
        <w:t>73</w:t>
      </w:r>
      <w:r w:rsidR="00F30E47" w:rsidRPr="009A3C86">
        <w:rPr>
          <w:rFonts w:ascii="Times New Roman" w:hAnsi="Times New Roman"/>
          <w:b/>
          <w:sz w:val="24"/>
          <w:szCs w:val="24"/>
        </w:rPr>
        <w:t>1</w:t>
      </w:r>
      <w:r w:rsidR="002741C2" w:rsidRPr="009A3C86">
        <w:rPr>
          <w:rFonts w:ascii="Times New Roman" w:hAnsi="Times New Roman"/>
          <w:b/>
          <w:sz w:val="24"/>
          <w:szCs w:val="24"/>
        </w:rPr>
        <w:t xml:space="preserve"> § 3,</w:t>
      </w:r>
      <w:r w:rsidR="002741C2" w:rsidRPr="009A3C86">
        <w:rPr>
          <w:rFonts w:ascii="Times New Roman" w:hAnsi="Times New Roman"/>
          <w:sz w:val="24"/>
          <w:szCs w:val="24"/>
        </w:rPr>
        <w:t xml:space="preserve"> </w:t>
      </w:r>
      <w:r w:rsidRPr="009A3C86">
        <w:rPr>
          <w:rFonts w:ascii="Times New Roman" w:hAnsi="Times New Roman"/>
          <w:sz w:val="24"/>
          <w:szCs w:val="24"/>
        </w:rPr>
        <w:t>oraz rozszerzeniu katalogu podmiotowego i przedmiotowego zabezpieczenia. Obecne przepisy przewidują wygaśnięcie decyzji o zabezpieczeniu jako skutek wydania decyzji wymiarowej. Rozwiązania te eliminują możliwość kontroli administracyjnej, a także sądowej, decyzji o zabezpieczeniu. Obecne rozwiązania naruszają zatem prawo do sądowej kontroli działania administracji w zakresie zabezpieczenia, a więc także w zakresie ingerencji w majątek zobowiązanego. Zabezpieczenie nie jest co prawda ingerencją definitywną, ale może wywierać skutki bardzo dotkliwe dla podatnika, szczególnie dla prowadzącego działalność gospodarczą</w:t>
      </w:r>
      <w:r w:rsidRPr="009A3C86">
        <w:rPr>
          <w:rFonts w:ascii="Times New Roman" w:hAnsi="Times New Roman"/>
          <w:sz w:val="24"/>
          <w:szCs w:val="24"/>
          <w:vertAlign w:val="superscript"/>
        </w:rPr>
        <w:footnoteReference w:id="582"/>
      </w:r>
      <w:r w:rsidRPr="009A3C86">
        <w:rPr>
          <w:rFonts w:ascii="Times New Roman" w:hAnsi="Times New Roman"/>
          <w:sz w:val="24"/>
          <w:szCs w:val="24"/>
        </w:rPr>
        <w:t xml:space="preserve">. Rozszerzenie katalogu podmiotowego zabezpieczenia polega na objęciu możliwością ustanowienia zabezpieczenia wszystkich zobowiązanych do zapłaty należności podatkowych (podatnik, płatnik, inkasent, osoba trzecia i następca prawny). Obecne uregulowania dają taką możliwość wobec podatnika, płatnika i inkasenta oraz niektórych kategorii osób trzecich. Jednocześnie porównanie tych kategorii z kręgiem podmiotów, na których majątku można ustanowić hipotekę przymusową lub zastaw skarbowy – a są to sposoby zabezpieczenia zobowiązania podatkowego – potwierdza brak uzasadnienia dla ograniczania kategorii podmiotów podlegających </w:t>
      </w:r>
      <w:r w:rsidRPr="009A3C86">
        <w:rPr>
          <w:rFonts w:ascii="Times New Roman" w:hAnsi="Times New Roman"/>
          <w:sz w:val="24"/>
          <w:szCs w:val="24"/>
        </w:rPr>
        <w:lastRenderedPageBreak/>
        <w:t xml:space="preserve">zabezpieczeniu (tutaj już katalog obejmuje wszystkich potencjalnie zobowiązanych). Enumeratywne wymienienie w projekcie ordynacji podatkowej wszystkich rodzajów decyzji wymiarowych dało możliwość objęcia zabezpieczeniem wszelkich należności wynikających z decyzji wymiarowych. Podobnie jak w przypadku podmiotowego zakresu zabezpieczenia, w przypadku obecnych regulacji katalog decyzji podlegających zabezpieczeniu i katalog decyzji dających podstawę do ustanowienia zastawu skarbowego i hipoteki przymusowej były różne. Projekt ujednolica te katalogi poprzez odwołanie się do zdefiniowanego w słowniczku pojęcia „decyzja wymiarowa”.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Regulacje dotyczące zabezpieczenia wykonania zobowiązania podatkowego zostały w celu zwiększenia przejrzystości regulacji pogrupowane w oddziałach („Zabezpieczenie przymusowe”, „Zabezpieczenie dobrowolne”, „Hipoteka przymusowa”, „Zastaw skarbowy” oraz „Oświadczenie o rzeczach i prawach majątkowych”).</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Zabezpieczenie wykonania decyzji nieostatecznej nakładającej obowiązek podlegający wykonaniu w trybie przepisów o postępowaniu egzekucyjnym w administracji lub wykonanie decyzji o zabezpieczeniu następuje poprzez wykonanie zarządzenia zabezpieczenia lub poprzez przyjęcie zabezpieczenia dobrowolnego (</w:t>
      </w:r>
      <w:r w:rsidRPr="009A3C86">
        <w:rPr>
          <w:rFonts w:ascii="Times New Roman" w:hAnsi="Times New Roman"/>
          <w:b/>
          <w:sz w:val="24"/>
          <w:szCs w:val="24"/>
        </w:rPr>
        <w:t>art. 7</w:t>
      </w:r>
      <w:r w:rsidR="00655A6C" w:rsidRPr="009A3C86">
        <w:rPr>
          <w:rFonts w:ascii="Times New Roman" w:hAnsi="Times New Roman"/>
          <w:b/>
          <w:sz w:val="24"/>
          <w:szCs w:val="24"/>
        </w:rPr>
        <w:t>3</w:t>
      </w:r>
      <w:r w:rsidR="00F30E47" w:rsidRPr="009A3C86">
        <w:rPr>
          <w:rFonts w:ascii="Times New Roman" w:hAnsi="Times New Roman"/>
          <w:b/>
          <w:sz w:val="24"/>
          <w:szCs w:val="24"/>
        </w:rPr>
        <w:t>1</w:t>
      </w:r>
      <w:r w:rsidRPr="009A3C86">
        <w:rPr>
          <w:rFonts w:ascii="Times New Roman" w:hAnsi="Times New Roman"/>
          <w:b/>
          <w:sz w:val="24"/>
          <w:szCs w:val="24"/>
        </w:rPr>
        <w:t xml:space="preserve"> § </w:t>
      </w:r>
      <w:r w:rsidR="00146DA9" w:rsidRPr="009A3C86">
        <w:rPr>
          <w:rFonts w:ascii="Times New Roman" w:hAnsi="Times New Roman"/>
          <w:b/>
          <w:sz w:val="24"/>
          <w:szCs w:val="24"/>
        </w:rPr>
        <w:t>7</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2. Warunkiem dokonania zabezpieczenia wykonania zobowiązania podatkowego jest wystąpienie uzasadnionej obawy niewykonania tego zobowiązania (</w:t>
      </w:r>
      <w:r w:rsidRPr="009A3C86">
        <w:rPr>
          <w:rFonts w:ascii="Times New Roman" w:hAnsi="Times New Roman"/>
          <w:b/>
          <w:sz w:val="24"/>
          <w:szCs w:val="24"/>
        </w:rPr>
        <w:t>art. 7</w:t>
      </w:r>
      <w:r w:rsidR="00655A6C" w:rsidRPr="009A3C86">
        <w:rPr>
          <w:rFonts w:ascii="Times New Roman" w:hAnsi="Times New Roman"/>
          <w:b/>
          <w:sz w:val="24"/>
          <w:szCs w:val="24"/>
        </w:rPr>
        <w:t>3</w:t>
      </w:r>
      <w:r w:rsidR="00F30E47" w:rsidRPr="009A3C86">
        <w:rPr>
          <w:rFonts w:ascii="Times New Roman" w:hAnsi="Times New Roman"/>
          <w:b/>
          <w:sz w:val="24"/>
          <w:szCs w:val="24"/>
        </w:rPr>
        <w:t>1</w:t>
      </w:r>
      <w:r w:rsidRPr="009A3C86">
        <w:rPr>
          <w:rFonts w:ascii="Times New Roman" w:hAnsi="Times New Roman"/>
          <w:b/>
          <w:sz w:val="24"/>
          <w:szCs w:val="24"/>
        </w:rPr>
        <w:t xml:space="preserve"> § 1</w:t>
      </w:r>
      <w:r w:rsidRPr="009A3C86">
        <w:rPr>
          <w:rFonts w:ascii="Times New Roman" w:hAnsi="Times New Roman"/>
          <w:sz w:val="24"/>
          <w:szCs w:val="24"/>
        </w:rPr>
        <w:t>). Przepisy wskazują na przykładowe okoliczności uzasadniające dokonanie zabezpieczenia. Podanie wyczerpującego katalogu jest niemożliwe. Bogate orzecznictwo sądów administracyjnych, wypracowane na podstawie obowiązujących przepisów i wyjaśniające pojęcia nieostre, pozostanie aktualne w odniesieniu do proponowanych rozwiązań.  Zabezpieczenia wykonania można dokonać zarówno przed terminem płatności, jak i po jego upływie, jak również w trakcie postępowania podatkowego (</w:t>
      </w:r>
      <w:r w:rsidR="00F73454" w:rsidRPr="009A3C86">
        <w:rPr>
          <w:rFonts w:ascii="Times New Roman" w:hAnsi="Times New Roman"/>
          <w:sz w:val="24"/>
          <w:szCs w:val="24"/>
        </w:rPr>
        <w:t xml:space="preserve">kontroli podatkowej lub </w:t>
      </w:r>
      <w:r w:rsidRPr="009A3C86">
        <w:rPr>
          <w:rFonts w:ascii="Times New Roman" w:hAnsi="Times New Roman"/>
          <w:sz w:val="24"/>
          <w:szCs w:val="24"/>
        </w:rPr>
        <w:t>kontroli celno–skarbowej) zmierzającego do wydania decyzji wymiarowej (</w:t>
      </w:r>
      <w:r w:rsidRPr="009A3C86">
        <w:rPr>
          <w:rFonts w:ascii="Times New Roman" w:hAnsi="Times New Roman"/>
          <w:b/>
          <w:sz w:val="24"/>
          <w:szCs w:val="24"/>
        </w:rPr>
        <w:t>art. 7</w:t>
      </w:r>
      <w:r w:rsidR="00655A6C" w:rsidRPr="009A3C86">
        <w:rPr>
          <w:rFonts w:ascii="Times New Roman" w:hAnsi="Times New Roman"/>
          <w:b/>
          <w:sz w:val="24"/>
          <w:szCs w:val="24"/>
        </w:rPr>
        <w:t>3</w:t>
      </w:r>
      <w:r w:rsidR="00F30E47" w:rsidRPr="009A3C86">
        <w:rPr>
          <w:rFonts w:ascii="Times New Roman" w:hAnsi="Times New Roman"/>
          <w:b/>
          <w:sz w:val="24"/>
          <w:szCs w:val="24"/>
        </w:rPr>
        <w:t>1</w:t>
      </w:r>
      <w:r w:rsidRPr="009A3C86">
        <w:rPr>
          <w:rFonts w:ascii="Times New Roman" w:hAnsi="Times New Roman"/>
          <w:b/>
          <w:sz w:val="24"/>
          <w:szCs w:val="24"/>
        </w:rPr>
        <w:t xml:space="preserve"> § 2</w:t>
      </w:r>
      <w:r w:rsidRPr="009A3C86">
        <w:rPr>
          <w:rFonts w:ascii="Times New Roman" w:hAnsi="Times New Roman"/>
          <w:sz w:val="24"/>
          <w:szCs w:val="24"/>
        </w:rPr>
        <w:t>). Zabezpieczenie może służyć także wstrzymaniu wykonania decyzji ostatecznej, w przypadku wniesienia skargi do sądu administracyjnego (art. 4</w:t>
      </w:r>
      <w:r w:rsidR="00F30E47" w:rsidRPr="009A3C86">
        <w:rPr>
          <w:rFonts w:ascii="Times New Roman" w:hAnsi="Times New Roman"/>
          <w:sz w:val="24"/>
          <w:szCs w:val="24"/>
        </w:rPr>
        <w:t>81</w:t>
      </w:r>
      <w:r w:rsidRPr="009A3C86">
        <w:rPr>
          <w:rFonts w:ascii="Times New Roman" w:hAnsi="Times New Roman"/>
          <w:sz w:val="24"/>
          <w:szCs w:val="24"/>
        </w:rPr>
        <w:t>).</w:t>
      </w:r>
    </w:p>
    <w:p w:rsidR="002741C2" w:rsidRPr="009A3C86" w:rsidRDefault="00A07B28" w:rsidP="002741C2">
      <w:pPr>
        <w:spacing w:after="0" w:line="360" w:lineRule="auto"/>
        <w:jc w:val="both"/>
        <w:rPr>
          <w:rFonts w:ascii="Times New Roman" w:hAnsi="Times New Roman"/>
          <w:sz w:val="24"/>
          <w:szCs w:val="24"/>
        </w:rPr>
      </w:pPr>
      <w:r w:rsidRPr="009A3C86">
        <w:rPr>
          <w:rFonts w:ascii="Times New Roman" w:hAnsi="Times New Roman"/>
          <w:sz w:val="24"/>
          <w:szCs w:val="24"/>
        </w:rPr>
        <w:t xml:space="preserve">3. </w:t>
      </w:r>
      <w:r w:rsidR="002741C2" w:rsidRPr="009A3C86">
        <w:rPr>
          <w:rFonts w:ascii="Times New Roman" w:hAnsi="Times New Roman"/>
          <w:sz w:val="24"/>
          <w:szCs w:val="24"/>
        </w:rPr>
        <w:t xml:space="preserve">W </w:t>
      </w:r>
      <w:r w:rsidR="002741C2" w:rsidRPr="009A3C86">
        <w:rPr>
          <w:rFonts w:ascii="Times New Roman" w:hAnsi="Times New Roman"/>
          <w:b/>
          <w:sz w:val="24"/>
          <w:szCs w:val="24"/>
        </w:rPr>
        <w:t>art. 7</w:t>
      </w:r>
      <w:r w:rsidR="00F30E47" w:rsidRPr="009A3C86">
        <w:rPr>
          <w:rFonts w:ascii="Times New Roman" w:hAnsi="Times New Roman"/>
          <w:b/>
          <w:sz w:val="24"/>
          <w:szCs w:val="24"/>
        </w:rPr>
        <w:t>3</w:t>
      </w:r>
      <w:r w:rsidR="002741C2" w:rsidRPr="009A3C86">
        <w:rPr>
          <w:rFonts w:ascii="Times New Roman" w:hAnsi="Times New Roman"/>
          <w:b/>
          <w:sz w:val="24"/>
          <w:szCs w:val="24"/>
        </w:rPr>
        <w:t>1 § 2 zdanie drugie</w:t>
      </w:r>
      <w:r w:rsidR="002741C2" w:rsidRPr="009A3C86">
        <w:rPr>
          <w:rFonts w:ascii="Times New Roman" w:hAnsi="Times New Roman"/>
          <w:sz w:val="24"/>
          <w:szCs w:val="24"/>
        </w:rPr>
        <w:t xml:space="preserve"> projektu uregulowano uprawnienie  organów podatkowych do dokonania zabezpieczenia zobowiązań podatkowych oraz środków ograniczających umowne korzyści, związanych z unikaniem opodatkowania. Prognozuje się, że postępowania podatkowe w zakresie stosowania klauzuli przeciwko unikaniu opodatkowania lub środków ograniczających umowne korzyści będą prowadzone przede wszystkim w wyniku przejęcia takich postępowań od naczelników urzędów skarbowych, naczelników urzędów celno-skarbowych oraz organów podatkowych będących jednostkami samorządu terytorialnego. </w:t>
      </w:r>
      <w:r w:rsidR="00A86957" w:rsidRPr="009A3C86">
        <w:rPr>
          <w:rFonts w:ascii="Times New Roman" w:hAnsi="Times New Roman"/>
          <w:sz w:val="24"/>
          <w:szCs w:val="24"/>
        </w:rPr>
        <w:lastRenderedPageBreak/>
        <w:t>M</w:t>
      </w:r>
      <w:r w:rsidR="002741C2" w:rsidRPr="009A3C86">
        <w:rPr>
          <w:rFonts w:ascii="Times New Roman" w:hAnsi="Times New Roman"/>
          <w:sz w:val="24"/>
          <w:szCs w:val="24"/>
        </w:rPr>
        <w:t xml:space="preserve">ożliwe jest także przejęcie </w:t>
      </w:r>
      <w:r w:rsidR="00A86957" w:rsidRPr="009A3C86">
        <w:rPr>
          <w:rFonts w:ascii="Times New Roman" w:hAnsi="Times New Roman"/>
          <w:sz w:val="24"/>
          <w:szCs w:val="24"/>
        </w:rPr>
        <w:t xml:space="preserve">przez Szefa KAS </w:t>
      </w:r>
      <w:r w:rsidR="002741C2" w:rsidRPr="009A3C86">
        <w:rPr>
          <w:rFonts w:ascii="Times New Roman" w:hAnsi="Times New Roman"/>
          <w:sz w:val="24"/>
          <w:szCs w:val="24"/>
        </w:rPr>
        <w:t xml:space="preserve">kontroli podatkowej lub kontroli celno-skarbowej </w:t>
      </w:r>
      <w:r w:rsidR="00A86957" w:rsidRPr="009A3C86">
        <w:rPr>
          <w:rFonts w:ascii="Times New Roman" w:hAnsi="Times New Roman"/>
          <w:sz w:val="24"/>
          <w:szCs w:val="24"/>
        </w:rPr>
        <w:t xml:space="preserve">prowadzonej odpowiednio przez naczelnika urzędu skarbowego albo naczelnika urzędu celno-skarbowego </w:t>
      </w:r>
      <w:r w:rsidR="002741C2" w:rsidRPr="009A3C86">
        <w:rPr>
          <w:rFonts w:ascii="Times New Roman" w:hAnsi="Times New Roman"/>
          <w:sz w:val="24"/>
          <w:szCs w:val="24"/>
        </w:rPr>
        <w:t xml:space="preserve">w celu wszczęcia postępowania podatkowego przez Szefa KAS. Postępowania </w:t>
      </w:r>
      <w:r w:rsidR="00A86957" w:rsidRPr="009A3C86">
        <w:rPr>
          <w:rFonts w:ascii="Times New Roman" w:hAnsi="Times New Roman"/>
          <w:sz w:val="24"/>
          <w:szCs w:val="24"/>
        </w:rPr>
        <w:t xml:space="preserve">podatkowe i kontrole podatkowe lub kontrole celno-skarbowe </w:t>
      </w:r>
      <w:r w:rsidR="007438D3" w:rsidRPr="009A3C86">
        <w:rPr>
          <w:rFonts w:ascii="Times New Roman" w:hAnsi="Times New Roman"/>
          <w:sz w:val="24"/>
          <w:szCs w:val="24"/>
        </w:rPr>
        <w:t xml:space="preserve">prowadzone przez naczelnika urzędu skarbowego i naczelnika urzędu celno-skarbowego </w:t>
      </w:r>
      <w:r w:rsidR="002741C2" w:rsidRPr="009A3C86">
        <w:rPr>
          <w:rFonts w:ascii="Times New Roman" w:hAnsi="Times New Roman"/>
          <w:sz w:val="24"/>
          <w:szCs w:val="24"/>
        </w:rPr>
        <w:t>będą zatem poprzedzały postępowania podatkowe w zakresie stosowania klauzuli przeciwko unikaniu opodatkowania lub środków ograniczających umowne korzyści.</w:t>
      </w:r>
    </w:p>
    <w:p w:rsidR="002741C2" w:rsidRPr="009A3C86" w:rsidRDefault="002741C2" w:rsidP="002741C2">
      <w:pPr>
        <w:spacing w:after="0" w:line="360" w:lineRule="auto"/>
        <w:jc w:val="both"/>
        <w:rPr>
          <w:rFonts w:ascii="Times New Roman" w:hAnsi="Times New Roman"/>
          <w:sz w:val="24"/>
          <w:szCs w:val="24"/>
        </w:rPr>
      </w:pPr>
      <w:r w:rsidRPr="009A3C86">
        <w:rPr>
          <w:rFonts w:ascii="Times New Roman" w:hAnsi="Times New Roman"/>
          <w:sz w:val="24"/>
          <w:szCs w:val="24"/>
        </w:rPr>
        <w:t xml:space="preserve">Projektowany </w:t>
      </w:r>
      <w:r w:rsidRPr="009A3C86">
        <w:rPr>
          <w:rFonts w:ascii="Times New Roman" w:hAnsi="Times New Roman"/>
          <w:b/>
          <w:sz w:val="24"/>
          <w:szCs w:val="24"/>
        </w:rPr>
        <w:t>art. 7</w:t>
      </w:r>
      <w:r w:rsidR="00F30E47" w:rsidRPr="009A3C86">
        <w:rPr>
          <w:rFonts w:ascii="Times New Roman" w:hAnsi="Times New Roman"/>
          <w:b/>
          <w:sz w:val="24"/>
          <w:szCs w:val="24"/>
        </w:rPr>
        <w:t>3</w:t>
      </w:r>
      <w:r w:rsidRPr="009A3C86">
        <w:rPr>
          <w:rFonts w:ascii="Times New Roman" w:hAnsi="Times New Roman"/>
          <w:b/>
          <w:sz w:val="24"/>
          <w:szCs w:val="24"/>
        </w:rPr>
        <w:t>1 § 2 zdanie drugie</w:t>
      </w:r>
      <w:r w:rsidRPr="009A3C86">
        <w:rPr>
          <w:rFonts w:ascii="Times New Roman" w:hAnsi="Times New Roman"/>
          <w:sz w:val="24"/>
          <w:szCs w:val="24"/>
        </w:rPr>
        <w:t xml:space="preserve"> projektu będzie podstawą dla </w:t>
      </w:r>
      <w:r w:rsidR="00896752" w:rsidRPr="009A3C86">
        <w:rPr>
          <w:rFonts w:ascii="Times New Roman" w:hAnsi="Times New Roman"/>
          <w:sz w:val="24"/>
          <w:szCs w:val="24"/>
        </w:rPr>
        <w:t xml:space="preserve">organów podatkowych </w:t>
      </w:r>
      <w:r w:rsidRPr="009A3C86">
        <w:rPr>
          <w:rFonts w:ascii="Times New Roman" w:hAnsi="Times New Roman"/>
          <w:sz w:val="24"/>
          <w:szCs w:val="24"/>
        </w:rPr>
        <w:t>do dokonania zabezpieczenia zobowiązań podatkowych związanych z unikaniem opodatkowania. Brak takiej regulacji oznaczałby bowiem, że podatnicy i płatnicy, do czasu przejęcia postępowania podatkowego przez Szefa KAS, będą mogli wyzbywać się majątku mogącego stanowić podstawę do wykonania zobowiązań podatkowych związanych z unikaniem opodatkowania. Dodatkową zachętę do takich działań może stanowić dla podatników ryzyko ustalenia dodatkowego zobowiązania podatkowego związanego z unikaniem opodatkowania. W tym scenariuszu spodziewane działania mogą polegać na przesuwaniu aktywów z podmiotu zagrożonego otrzymaniem decyzji wydanej na podstawie art. 33 lub umownej klauzuli przeciwko unikaniu opodatkowania do np. powiązanego podmiotu wolnego od takiego ryzyka.</w:t>
      </w:r>
    </w:p>
    <w:p w:rsidR="002741C2" w:rsidRPr="009A3C86" w:rsidRDefault="002741C2" w:rsidP="002741C2">
      <w:pPr>
        <w:spacing w:after="0" w:line="360" w:lineRule="auto"/>
        <w:jc w:val="both"/>
        <w:rPr>
          <w:rFonts w:ascii="Times New Roman" w:hAnsi="Times New Roman"/>
          <w:sz w:val="24"/>
          <w:szCs w:val="24"/>
        </w:rPr>
      </w:pPr>
      <w:r w:rsidRPr="009A3C86">
        <w:rPr>
          <w:rFonts w:ascii="Times New Roman" w:hAnsi="Times New Roman"/>
          <w:sz w:val="24"/>
          <w:szCs w:val="24"/>
        </w:rPr>
        <w:t>Z uwagi na fakt, że w przypadku dokonywania zabezpieczeń zobowiązań podatkowych istotne jest szybkie i efektywne działanie, wskazane jest przyznanie organom podatkowym innym niż Szef KAS stosownego uprawnienia. Podkreślić należy, że choć te organy podatkowe nie mogą stosować klauzuli przeciwko unikaniu opodatkowania lub środków ograniczających umowne korzyści, to przepisy Ordynacji podatkowej nie stoją na przeszkodzie prowadzeniu kontroli podatkowej, kontroli celno-skarbowej lub postępowania podatkowego w kierunku stwierdzenia unikania opodatkowania i przekazania prowadzonego postępowania Szefowi KAS. Istotne jest także to, aby żmudne i kosztowne postępowania podatkowe w zakresie unikania opodatkowania nie były prowadzone wobec podatników, którzy wyzbywają lub wyzbyli się już majątku, co będzie prowadzić do bezskutecznej egzekucji administracyjnej i braku efektu fiskalnego. Dokonanie zabezpieczenia będzie zatem możliwe, przed wszczęciem postępowania w sprawie stosowania art. 3</w:t>
      </w:r>
      <w:r w:rsidR="006A0B46" w:rsidRPr="009A3C86">
        <w:rPr>
          <w:rFonts w:ascii="Times New Roman" w:hAnsi="Times New Roman"/>
          <w:sz w:val="24"/>
          <w:szCs w:val="24"/>
        </w:rPr>
        <w:t>3</w:t>
      </w:r>
      <w:r w:rsidRPr="009A3C86">
        <w:rPr>
          <w:rFonts w:ascii="Times New Roman" w:hAnsi="Times New Roman"/>
          <w:sz w:val="24"/>
          <w:szCs w:val="24"/>
        </w:rPr>
        <w:t xml:space="preserve"> lub umownej klauzuli przeciwko unikaniu opodatkowania, ale po wszczęciu postępowania podatkowego, kontroli podatkowej lub kontroli celno-skarbowej, przez organy podatkowe.</w:t>
      </w:r>
      <w:r w:rsidR="006A0B46" w:rsidRPr="009A3C86">
        <w:rPr>
          <w:rFonts w:ascii="Times New Roman" w:hAnsi="Times New Roman"/>
          <w:sz w:val="24"/>
          <w:szCs w:val="24"/>
        </w:rPr>
        <w:t xml:space="preserve"> </w:t>
      </w:r>
    </w:p>
    <w:p w:rsidR="006A0B46" w:rsidRPr="009A3C86" w:rsidRDefault="006A0B46" w:rsidP="006A0B46">
      <w:pPr>
        <w:spacing w:after="0" w:line="360" w:lineRule="auto"/>
        <w:jc w:val="both"/>
        <w:rPr>
          <w:rFonts w:ascii="Times New Roman" w:hAnsi="Times New Roman"/>
          <w:sz w:val="24"/>
          <w:szCs w:val="24"/>
        </w:rPr>
      </w:pPr>
      <w:r w:rsidRPr="009A3C86">
        <w:rPr>
          <w:rFonts w:ascii="Times New Roman" w:hAnsi="Times New Roman"/>
          <w:sz w:val="24"/>
          <w:szCs w:val="24"/>
        </w:rPr>
        <w:t xml:space="preserve">4. Przepis </w:t>
      </w:r>
      <w:r w:rsidRPr="009A3C86">
        <w:rPr>
          <w:rFonts w:ascii="Times New Roman" w:hAnsi="Times New Roman"/>
          <w:b/>
          <w:sz w:val="24"/>
          <w:szCs w:val="24"/>
        </w:rPr>
        <w:t>§ 3 w art. 73</w:t>
      </w:r>
      <w:r w:rsidR="00E976DF" w:rsidRPr="009A3C86">
        <w:rPr>
          <w:rFonts w:ascii="Times New Roman" w:hAnsi="Times New Roman"/>
          <w:b/>
          <w:sz w:val="24"/>
          <w:szCs w:val="24"/>
        </w:rPr>
        <w:t>1</w:t>
      </w:r>
      <w:r w:rsidRPr="009A3C86">
        <w:rPr>
          <w:rFonts w:ascii="Times New Roman" w:hAnsi="Times New Roman"/>
          <w:sz w:val="24"/>
          <w:szCs w:val="24"/>
        </w:rPr>
        <w:t xml:space="preserve"> przewiduje wygaśnięcie zabezpieczenia zobowiązań podatkowych związanych ze stosowaniem art. 33 lub środków ograniczających umowne korzyści </w:t>
      </w:r>
      <w:r w:rsidRPr="009A3C86">
        <w:rPr>
          <w:rFonts w:ascii="Times New Roman" w:hAnsi="Times New Roman"/>
          <w:sz w:val="24"/>
          <w:szCs w:val="24"/>
        </w:rPr>
        <w:lastRenderedPageBreak/>
        <w:t xml:space="preserve">dokonanego przed wszczęciem postępowania podatkowego na podstawie art. </w:t>
      </w:r>
      <w:r w:rsidR="00E976DF" w:rsidRPr="009A3C86">
        <w:rPr>
          <w:rFonts w:ascii="Times New Roman" w:hAnsi="Times New Roman"/>
          <w:sz w:val="24"/>
          <w:szCs w:val="24"/>
        </w:rPr>
        <w:t>594</w:t>
      </w:r>
      <w:r w:rsidRPr="009A3C86">
        <w:rPr>
          <w:rFonts w:ascii="Times New Roman" w:hAnsi="Times New Roman"/>
          <w:sz w:val="24"/>
          <w:szCs w:val="24"/>
        </w:rPr>
        <w:t xml:space="preserve"> § 1. Wygaśnięcie zabezpieczenia nastąpi z mocy prawa po upływie 6 miesięcy od dokonania zabezpieczenia, jeśli </w:t>
      </w:r>
      <w:r w:rsidR="00FB3D3A" w:rsidRPr="009A3C86">
        <w:rPr>
          <w:rFonts w:ascii="Times New Roman" w:hAnsi="Times New Roman"/>
          <w:sz w:val="24"/>
          <w:szCs w:val="24"/>
        </w:rPr>
        <w:t xml:space="preserve">nie nastąpiła sytuacja określona w pkt 1 lub 2. </w:t>
      </w:r>
      <w:r w:rsidRPr="009A3C86">
        <w:rPr>
          <w:rFonts w:ascii="Times New Roman" w:hAnsi="Times New Roman"/>
          <w:sz w:val="24"/>
          <w:szCs w:val="24"/>
        </w:rPr>
        <w:t xml:space="preserve">Przepis § 3 ma na celu zapobieżenie niewszczynaniu </w:t>
      </w:r>
      <w:r w:rsidR="0066319C" w:rsidRPr="009A3C86">
        <w:rPr>
          <w:rFonts w:ascii="Times New Roman" w:hAnsi="Times New Roman"/>
          <w:sz w:val="24"/>
          <w:szCs w:val="24"/>
        </w:rPr>
        <w:t xml:space="preserve">przez Szefa KAS </w:t>
      </w:r>
      <w:r w:rsidRPr="009A3C86">
        <w:rPr>
          <w:rFonts w:ascii="Times New Roman" w:hAnsi="Times New Roman"/>
          <w:sz w:val="24"/>
          <w:szCs w:val="24"/>
        </w:rPr>
        <w:t>postępowania podatkowego w sprawie, w której ustanowiono zabezpieczenie. Przepis będzie miał zastosowanie niezależnie od przyczyny, z powodu której postępowanie nie zostało wszczęte. Wyłącz</w:t>
      </w:r>
      <w:r w:rsidR="00615680" w:rsidRPr="009A3C86">
        <w:rPr>
          <w:rFonts w:ascii="Times New Roman" w:hAnsi="Times New Roman"/>
          <w:sz w:val="24"/>
          <w:szCs w:val="24"/>
        </w:rPr>
        <w:t>enia</w:t>
      </w:r>
      <w:r w:rsidRPr="009A3C86">
        <w:rPr>
          <w:rFonts w:ascii="Times New Roman" w:hAnsi="Times New Roman"/>
          <w:sz w:val="24"/>
          <w:szCs w:val="24"/>
        </w:rPr>
        <w:t xml:space="preserve"> </w:t>
      </w:r>
      <w:r w:rsidR="00615680" w:rsidRPr="009A3C86">
        <w:rPr>
          <w:rFonts w:ascii="Times New Roman" w:hAnsi="Times New Roman"/>
          <w:sz w:val="24"/>
          <w:szCs w:val="24"/>
        </w:rPr>
        <w:t>wymagają</w:t>
      </w:r>
      <w:r w:rsidRPr="009A3C86">
        <w:rPr>
          <w:rFonts w:ascii="Times New Roman" w:hAnsi="Times New Roman"/>
          <w:sz w:val="24"/>
          <w:szCs w:val="24"/>
        </w:rPr>
        <w:t xml:space="preserve"> sytuacje, w których w ciągu 6 miesięcy od dokonania zabezpieczenia organ podatkowy wszcznie procedurę dotyczącą sprawdzenia tych zobowiązań, tj. kontrolę podatkową, kontrolę celno-skarbową lub postępowanie podatkowe</w:t>
      </w:r>
      <w:r w:rsidR="004530A9" w:rsidRPr="009A3C86">
        <w:rPr>
          <w:rFonts w:ascii="Times New Roman" w:hAnsi="Times New Roman"/>
          <w:sz w:val="24"/>
          <w:szCs w:val="24"/>
        </w:rPr>
        <w:t xml:space="preserve"> (</w:t>
      </w:r>
      <w:r w:rsidR="004530A9" w:rsidRPr="009A3C86">
        <w:rPr>
          <w:rFonts w:ascii="Times New Roman" w:hAnsi="Times New Roman"/>
          <w:b/>
          <w:sz w:val="24"/>
          <w:szCs w:val="24"/>
        </w:rPr>
        <w:t>art. 73</w:t>
      </w:r>
      <w:r w:rsidR="00E976DF" w:rsidRPr="009A3C86">
        <w:rPr>
          <w:rFonts w:ascii="Times New Roman" w:hAnsi="Times New Roman"/>
          <w:b/>
          <w:sz w:val="24"/>
          <w:szCs w:val="24"/>
        </w:rPr>
        <w:t>1</w:t>
      </w:r>
      <w:r w:rsidR="004530A9" w:rsidRPr="009A3C86">
        <w:rPr>
          <w:rFonts w:ascii="Times New Roman" w:hAnsi="Times New Roman"/>
          <w:b/>
          <w:sz w:val="24"/>
          <w:szCs w:val="24"/>
        </w:rPr>
        <w:t xml:space="preserve"> § 3 pkt 1</w:t>
      </w:r>
      <w:r w:rsidR="004530A9" w:rsidRPr="009A3C86">
        <w:rPr>
          <w:rFonts w:ascii="Times New Roman" w:hAnsi="Times New Roman"/>
          <w:sz w:val="24"/>
          <w:szCs w:val="24"/>
        </w:rPr>
        <w:t>)</w:t>
      </w:r>
      <w:r w:rsidRPr="009A3C86">
        <w:rPr>
          <w:rFonts w:ascii="Times New Roman" w:hAnsi="Times New Roman"/>
          <w:sz w:val="24"/>
          <w:szCs w:val="24"/>
        </w:rPr>
        <w:t xml:space="preserve">. </w:t>
      </w:r>
      <w:r w:rsidR="00BC4E1C" w:rsidRPr="009A3C86">
        <w:rPr>
          <w:rFonts w:ascii="Times New Roman" w:hAnsi="Times New Roman"/>
          <w:sz w:val="24"/>
          <w:szCs w:val="24"/>
        </w:rPr>
        <w:t xml:space="preserve">Wyłączenie dotyczy </w:t>
      </w:r>
      <w:r w:rsidR="004530A9" w:rsidRPr="009A3C86">
        <w:rPr>
          <w:rFonts w:ascii="Times New Roman" w:hAnsi="Times New Roman"/>
          <w:sz w:val="24"/>
          <w:szCs w:val="24"/>
        </w:rPr>
        <w:t xml:space="preserve">także </w:t>
      </w:r>
      <w:r w:rsidR="00BC4E1C" w:rsidRPr="009A3C86">
        <w:rPr>
          <w:rFonts w:ascii="Times New Roman" w:hAnsi="Times New Roman"/>
          <w:sz w:val="24"/>
          <w:szCs w:val="24"/>
        </w:rPr>
        <w:t xml:space="preserve">sytuacji, w której </w:t>
      </w:r>
      <w:r w:rsidR="009650E1" w:rsidRPr="009A3C86">
        <w:rPr>
          <w:rFonts w:ascii="Times New Roman" w:hAnsi="Times New Roman"/>
          <w:sz w:val="24"/>
          <w:szCs w:val="24"/>
        </w:rPr>
        <w:t xml:space="preserve">zabezpieczenie nastąpiło w toku </w:t>
      </w:r>
      <w:r w:rsidR="00BC4E1C" w:rsidRPr="009A3C86">
        <w:rPr>
          <w:rFonts w:ascii="Times New Roman" w:hAnsi="Times New Roman"/>
          <w:sz w:val="24"/>
          <w:szCs w:val="24"/>
        </w:rPr>
        <w:t xml:space="preserve">kontroli podatkowej lub kontroli celno-skarbowej </w:t>
      </w:r>
      <w:r w:rsidR="004530A9" w:rsidRPr="009A3C86">
        <w:rPr>
          <w:rFonts w:ascii="Times New Roman" w:hAnsi="Times New Roman"/>
          <w:sz w:val="24"/>
          <w:szCs w:val="24"/>
        </w:rPr>
        <w:t>(</w:t>
      </w:r>
      <w:r w:rsidR="004530A9" w:rsidRPr="009A3C86">
        <w:rPr>
          <w:rFonts w:ascii="Times New Roman" w:hAnsi="Times New Roman"/>
          <w:b/>
          <w:sz w:val="24"/>
          <w:szCs w:val="24"/>
        </w:rPr>
        <w:t>art. 73</w:t>
      </w:r>
      <w:r w:rsidR="00E976DF" w:rsidRPr="009A3C86">
        <w:rPr>
          <w:rFonts w:ascii="Times New Roman" w:hAnsi="Times New Roman"/>
          <w:b/>
          <w:sz w:val="24"/>
          <w:szCs w:val="24"/>
        </w:rPr>
        <w:t>1</w:t>
      </w:r>
      <w:r w:rsidR="004530A9" w:rsidRPr="009A3C86">
        <w:rPr>
          <w:rFonts w:ascii="Times New Roman" w:hAnsi="Times New Roman"/>
          <w:b/>
          <w:sz w:val="24"/>
          <w:szCs w:val="24"/>
        </w:rPr>
        <w:t xml:space="preserve"> § 3 pkt 2</w:t>
      </w:r>
      <w:r w:rsidR="004530A9" w:rsidRPr="009A3C86">
        <w:rPr>
          <w:rFonts w:ascii="Times New Roman" w:hAnsi="Times New Roman"/>
          <w:sz w:val="24"/>
          <w:szCs w:val="24"/>
        </w:rPr>
        <w:t>)</w:t>
      </w:r>
      <w:r w:rsidR="00BC4E1C" w:rsidRPr="009A3C86">
        <w:rPr>
          <w:rFonts w:ascii="Times New Roman" w:hAnsi="Times New Roman"/>
          <w:sz w:val="24"/>
          <w:szCs w:val="24"/>
        </w:rPr>
        <w:t>.</w:t>
      </w:r>
    </w:p>
    <w:p w:rsidR="00A07B28" w:rsidRPr="009A3C86" w:rsidRDefault="002741C2"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5. </w:t>
      </w:r>
      <w:r w:rsidR="00A07B28" w:rsidRPr="009A3C86">
        <w:rPr>
          <w:rFonts w:ascii="Times New Roman" w:hAnsi="Times New Roman"/>
          <w:sz w:val="24"/>
          <w:szCs w:val="24"/>
        </w:rPr>
        <w:t>Zabezpieczenie wykonania zobowiązania podatkowego odbywa się w dwóch etapach: poprzez wydanie i doręczenie decyzji o zabezpieczeniu (pierwszy etap) i realizację tej decyzji w trybie przepisów o postępowaniu egzekucyjnym w administracji (zarządzanie zabezpieczenia) lub przyjęcie zabezpieczenia dobrowolnego (</w:t>
      </w:r>
      <w:r w:rsidR="00A07B28" w:rsidRPr="009A3C86">
        <w:rPr>
          <w:rFonts w:ascii="Times New Roman" w:hAnsi="Times New Roman"/>
          <w:b/>
          <w:sz w:val="24"/>
          <w:szCs w:val="24"/>
        </w:rPr>
        <w:t>art. 7</w:t>
      </w:r>
      <w:r w:rsidR="00E976DF" w:rsidRPr="009A3C86">
        <w:rPr>
          <w:rFonts w:ascii="Times New Roman" w:hAnsi="Times New Roman"/>
          <w:b/>
          <w:sz w:val="24"/>
          <w:szCs w:val="24"/>
        </w:rPr>
        <w:t>33</w:t>
      </w:r>
      <w:r w:rsidR="00A07B28" w:rsidRPr="009A3C86">
        <w:rPr>
          <w:rFonts w:ascii="Times New Roman" w:hAnsi="Times New Roman"/>
          <w:b/>
          <w:sz w:val="24"/>
          <w:szCs w:val="24"/>
        </w:rPr>
        <w:t xml:space="preserve"> § 1</w:t>
      </w:r>
      <w:r w:rsidR="00A07B28" w:rsidRPr="009A3C86">
        <w:rPr>
          <w:rFonts w:ascii="Times New Roman" w:hAnsi="Times New Roman"/>
          <w:sz w:val="24"/>
          <w:szCs w:val="24"/>
        </w:rPr>
        <w:t>). W decyzji o zabezpieczeniu organ uzasadnia przyczynę dokonania zabezpieczenia oraz wskazuje przybliżoną kwotę zobowiązania wraz z odsetkami za zwłokę (</w:t>
      </w:r>
      <w:r w:rsidR="00A07B28" w:rsidRPr="009A3C86">
        <w:rPr>
          <w:rFonts w:ascii="Times New Roman" w:hAnsi="Times New Roman"/>
          <w:b/>
          <w:sz w:val="24"/>
          <w:szCs w:val="24"/>
        </w:rPr>
        <w:t>art. 7</w:t>
      </w:r>
      <w:r w:rsidR="003C354E" w:rsidRPr="009A3C86">
        <w:rPr>
          <w:rFonts w:ascii="Times New Roman" w:hAnsi="Times New Roman"/>
          <w:b/>
          <w:sz w:val="24"/>
          <w:szCs w:val="24"/>
        </w:rPr>
        <w:t>3</w:t>
      </w:r>
      <w:r w:rsidR="00E976DF" w:rsidRPr="009A3C86">
        <w:rPr>
          <w:rFonts w:ascii="Times New Roman" w:hAnsi="Times New Roman"/>
          <w:b/>
          <w:sz w:val="24"/>
          <w:szCs w:val="24"/>
        </w:rPr>
        <w:t>1</w:t>
      </w:r>
      <w:r w:rsidR="00A07B28" w:rsidRPr="009A3C86">
        <w:rPr>
          <w:rFonts w:ascii="Times New Roman" w:hAnsi="Times New Roman"/>
          <w:b/>
          <w:sz w:val="24"/>
          <w:szCs w:val="24"/>
        </w:rPr>
        <w:t xml:space="preserve"> § </w:t>
      </w:r>
      <w:r w:rsidR="006A0B46" w:rsidRPr="009A3C86">
        <w:rPr>
          <w:rFonts w:ascii="Times New Roman" w:hAnsi="Times New Roman"/>
          <w:b/>
          <w:sz w:val="24"/>
          <w:szCs w:val="24"/>
        </w:rPr>
        <w:t>5</w:t>
      </w:r>
      <w:r w:rsidR="00A07B28" w:rsidRPr="009A3C86">
        <w:rPr>
          <w:rFonts w:ascii="Times New Roman" w:hAnsi="Times New Roman"/>
          <w:sz w:val="24"/>
          <w:szCs w:val="24"/>
        </w:rPr>
        <w:t xml:space="preserve">). W związku z rezygnacją z instytucji wygaśnięcia decyzji o zabezpieczeniu wykonania zobowiązania podatkowego </w:t>
      </w:r>
      <w:r w:rsidR="00F23E61" w:rsidRPr="009A3C86">
        <w:rPr>
          <w:rFonts w:ascii="Times New Roman" w:hAnsi="Times New Roman"/>
          <w:sz w:val="24"/>
          <w:szCs w:val="24"/>
        </w:rPr>
        <w:t xml:space="preserve">(z wyjątkiem sytuacji określonej w </w:t>
      </w:r>
      <w:r w:rsidR="00F23E61" w:rsidRPr="009A3C86">
        <w:rPr>
          <w:rFonts w:ascii="Times New Roman" w:hAnsi="Times New Roman"/>
          <w:b/>
          <w:sz w:val="24"/>
          <w:szCs w:val="24"/>
        </w:rPr>
        <w:t xml:space="preserve">art. 731 § 3) </w:t>
      </w:r>
      <w:r w:rsidR="00A07B28" w:rsidRPr="009A3C86">
        <w:rPr>
          <w:rFonts w:ascii="Times New Roman" w:hAnsi="Times New Roman"/>
          <w:sz w:val="24"/>
          <w:szCs w:val="24"/>
        </w:rPr>
        <w:t>wprowadzono normę zakazującą wykonania decyzji o zabezpieczeniu po doręczeniu decyzji wymiarowej. Rozwiązanie to ma na celu eliminację dublowania się tytułów do dokonania zabezpieczenia w przypadku jednego zobowiązania podatkowego (</w:t>
      </w:r>
      <w:r w:rsidR="00A07B28" w:rsidRPr="009A3C86">
        <w:rPr>
          <w:rFonts w:ascii="Times New Roman" w:hAnsi="Times New Roman"/>
          <w:b/>
          <w:sz w:val="24"/>
          <w:szCs w:val="24"/>
        </w:rPr>
        <w:t>art. 7</w:t>
      </w:r>
      <w:r w:rsidR="003C354E" w:rsidRPr="009A3C86">
        <w:rPr>
          <w:rFonts w:ascii="Times New Roman" w:hAnsi="Times New Roman"/>
          <w:b/>
          <w:sz w:val="24"/>
          <w:szCs w:val="24"/>
        </w:rPr>
        <w:t>3</w:t>
      </w:r>
      <w:r w:rsidR="00E976DF" w:rsidRPr="009A3C86">
        <w:rPr>
          <w:rFonts w:ascii="Times New Roman" w:hAnsi="Times New Roman"/>
          <w:b/>
          <w:sz w:val="24"/>
          <w:szCs w:val="24"/>
        </w:rPr>
        <w:t>1</w:t>
      </w:r>
      <w:r w:rsidR="00A07B28" w:rsidRPr="009A3C86">
        <w:rPr>
          <w:rFonts w:ascii="Times New Roman" w:hAnsi="Times New Roman"/>
          <w:b/>
          <w:sz w:val="24"/>
          <w:szCs w:val="24"/>
        </w:rPr>
        <w:t xml:space="preserve"> § </w:t>
      </w:r>
      <w:r w:rsidR="006A0B46" w:rsidRPr="009A3C86">
        <w:rPr>
          <w:rFonts w:ascii="Times New Roman" w:hAnsi="Times New Roman"/>
          <w:b/>
          <w:sz w:val="24"/>
          <w:szCs w:val="24"/>
        </w:rPr>
        <w:t>6</w:t>
      </w:r>
      <w:r w:rsidR="00A07B28" w:rsidRPr="009A3C86">
        <w:rPr>
          <w:rFonts w:ascii="Times New Roman" w:hAnsi="Times New Roman"/>
          <w:sz w:val="24"/>
          <w:szCs w:val="24"/>
        </w:rPr>
        <w:t xml:space="preserve">). </w:t>
      </w:r>
    </w:p>
    <w:p w:rsidR="00A07B28" w:rsidRPr="009A3C86" w:rsidRDefault="006A0B46" w:rsidP="00A07B28">
      <w:pPr>
        <w:spacing w:after="0" w:line="360" w:lineRule="auto"/>
        <w:jc w:val="both"/>
        <w:rPr>
          <w:rFonts w:ascii="Times New Roman" w:hAnsi="Times New Roman"/>
          <w:sz w:val="24"/>
          <w:szCs w:val="24"/>
        </w:rPr>
      </w:pPr>
      <w:r w:rsidRPr="009A3C86">
        <w:rPr>
          <w:rFonts w:ascii="Times New Roman" w:hAnsi="Times New Roman"/>
          <w:sz w:val="24"/>
          <w:szCs w:val="24"/>
        </w:rPr>
        <w:t>6</w:t>
      </w:r>
      <w:r w:rsidR="00A07B28" w:rsidRPr="009A3C86">
        <w:rPr>
          <w:rFonts w:ascii="Times New Roman" w:hAnsi="Times New Roman"/>
          <w:sz w:val="24"/>
          <w:szCs w:val="24"/>
        </w:rPr>
        <w:t>. Decyzja o zabezpieczeniu może zostać również wykonana poprzez przyjęcie przez organ podatkowy dobrowolnego zabezpieczenia w formie wskazanej przez przepisy. Katalog form zabezpieczenia dobrowolnego jest zamknięty (</w:t>
      </w:r>
      <w:r w:rsidR="00A07B28" w:rsidRPr="009A3C86">
        <w:rPr>
          <w:rFonts w:ascii="Times New Roman" w:hAnsi="Times New Roman"/>
          <w:b/>
          <w:sz w:val="24"/>
          <w:szCs w:val="24"/>
        </w:rPr>
        <w:t>art. 7</w:t>
      </w:r>
      <w:r w:rsidR="00E976DF" w:rsidRPr="009A3C86">
        <w:rPr>
          <w:rFonts w:ascii="Times New Roman" w:hAnsi="Times New Roman"/>
          <w:b/>
          <w:sz w:val="24"/>
          <w:szCs w:val="24"/>
        </w:rPr>
        <w:t>33</w:t>
      </w:r>
      <w:r w:rsidR="00A07B28" w:rsidRPr="009A3C86">
        <w:rPr>
          <w:rFonts w:ascii="Times New Roman" w:hAnsi="Times New Roman"/>
          <w:b/>
          <w:sz w:val="24"/>
          <w:szCs w:val="24"/>
        </w:rPr>
        <w:t xml:space="preserve"> § 2</w:t>
      </w:r>
      <w:r w:rsidR="00A07B28" w:rsidRPr="009A3C86">
        <w:rPr>
          <w:rFonts w:ascii="Times New Roman" w:hAnsi="Times New Roman"/>
          <w:sz w:val="24"/>
          <w:szCs w:val="24"/>
        </w:rPr>
        <w:t>). W literaturze podnoszono wątpliwości co do zasadności istnienia dobrowolnego zabezpieczenia wykonania zobowiązania podatkowego</w:t>
      </w:r>
      <w:r w:rsidR="00A07B28" w:rsidRPr="009A3C86">
        <w:rPr>
          <w:rFonts w:ascii="Times New Roman" w:hAnsi="Times New Roman"/>
          <w:sz w:val="24"/>
          <w:szCs w:val="24"/>
          <w:vertAlign w:val="superscript"/>
        </w:rPr>
        <w:footnoteReference w:id="583"/>
      </w:r>
      <w:r w:rsidR="00A07B28" w:rsidRPr="009A3C86">
        <w:rPr>
          <w:rFonts w:ascii="Times New Roman" w:hAnsi="Times New Roman"/>
          <w:sz w:val="24"/>
          <w:szCs w:val="24"/>
        </w:rPr>
        <w:t xml:space="preserve">. Należy jednak brać pod uwagę także te sytuacje, w których dobrowolne zabezpieczenie wykonania zobowiązania podatkowego jest dla podmiotu gospodarczego korzystniejsze niż zapłata podatku. Powodem, dla którego podmiot gospodarczy decyduje się np. na złożenie kwoty należności podatkowej w depozycie organu podatkowego, a nie jej zapłacenie na rachunek organu podatkowego, jest zupełnie odmienny efekt księgowy tych, z </w:t>
      </w:r>
      <w:r w:rsidR="00A07B28" w:rsidRPr="009A3C86">
        <w:rPr>
          <w:rFonts w:ascii="Times New Roman" w:hAnsi="Times New Roman"/>
          <w:sz w:val="24"/>
          <w:szCs w:val="24"/>
        </w:rPr>
        <w:lastRenderedPageBreak/>
        <w:t>pozoru identycznych ekonomicznie, operacji (identycznych, ponieważ prowadzących do pozbawienia władania środkami pieniężnymi). Księgowy efekt depozytu nie skutkuje koniecznością wykazania zmniejszenia majątku podatnika, co jest konsekwencją zapłaty należności. Efekt ten jest szczególnie istotny dla podatników posiadających zobowiązania kredytowe.</w:t>
      </w:r>
    </w:p>
    <w:p w:rsidR="00A07B28" w:rsidRPr="009A3C86" w:rsidRDefault="006A0B46" w:rsidP="00A07B28">
      <w:pPr>
        <w:spacing w:after="0" w:line="360" w:lineRule="auto"/>
        <w:jc w:val="both"/>
        <w:rPr>
          <w:rFonts w:ascii="Times New Roman" w:hAnsi="Times New Roman"/>
          <w:sz w:val="24"/>
          <w:szCs w:val="24"/>
        </w:rPr>
      </w:pPr>
      <w:r w:rsidRPr="009A3C86">
        <w:rPr>
          <w:rFonts w:ascii="Times New Roman" w:hAnsi="Times New Roman"/>
          <w:sz w:val="24"/>
          <w:szCs w:val="24"/>
        </w:rPr>
        <w:t>7</w:t>
      </w:r>
      <w:r w:rsidR="00A07B28" w:rsidRPr="009A3C86">
        <w:rPr>
          <w:rFonts w:ascii="Times New Roman" w:hAnsi="Times New Roman"/>
          <w:sz w:val="24"/>
          <w:szCs w:val="24"/>
        </w:rPr>
        <w:t>. Podobnie jak prawo prywatne, prawo publiczne przyjęło formę zabezpieczenia poprzez ustanowienie hipoteki przymusowej (zabezpieczenie rzeczowe skuteczne wobec każdorazowego właściciela przedmiotu zabezpieczenia). Ordynacja podatkowa w formie katalogu zamkniętego wskazuje składniki majątkowe, na których można ustanowić hipotekę oraz rozstrzygnięcia podatkowe, które stanowią podstawę wpisu hipoteki (</w:t>
      </w:r>
      <w:r w:rsidR="00A07B28" w:rsidRPr="009A3C86">
        <w:rPr>
          <w:rFonts w:ascii="Times New Roman" w:hAnsi="Times New Roman"/>
          <w:b/>
          <w:sz w:val="24"/>
          <w:szCs w:val="24"/>
        </w:rPr>
        <w:t>art. 7</w:t>
      </w:r>
      <w:r w:rsidR="00912BD3" w:rsidRPr="009A3C86">
        <w:rPr>
          <w:rFonts w:ascii="Times New Roman" w:hAnsi="Times New Roman"/>
          <w:b/>
          <w:sz w:val="24"/>
          <w:szCs w:val="24"/>
        </w:rPr>
        <w:t>37</w:t>
      </w:r>
      <w:r w:rsidR="0081039E" w:rsidRPr="009A3C86">
        <w:t>–</w:t>
      </w:r>
      <w:r w:rsidR="00A07B28" w:rsidRPr="009A3C86">
        <w:rPr>
          <w:rFonts w:ascii="Times New Roman" w:hAnsi="Times New Roman"/>
          <w:b/>
          <w:sz w:val="24"/>
          <w:szCs w:val="24"/>
        </w:rPr>
        <w:t>7</w:t>
      </w:r>
      <w:r w:rsidR="00912BD3" w:rsidRPr="009A3C86">
        <w:rPr>
          <w:rFonts w:ascii="Times New Roman" w:hAnsi="Times New Roman"/>
          <w:b/>
          <w:sz w:val="24"/>
          <w:szCs w:val="24"/>
        </w:rPr>
        <w:t>38</w:t>
      </w:r>
      <w:r w:rsidR="00A07B28" w:rsidRPr="009A3C86">
        <w:rPr>
          <w:rFonts w:ascii="Times New Roman" w:hAnsi="Times New Roman"/>
          <w:sz w:val="24"/>
          <w:szCs w:val="24"/>
        </w:rPr>
        <w:t xml:space="preserve">). </w:t>
      </w:r>
    </w:p>
    <w:p w:rsidR="00A07B28" w:rsidRPr="009A3C86" w:rsidRDefault="006A0B46" w:rsidP="00A07B28">
      <w:pPr>
        <w:spacing w:after="0" w:line="360" w:lineRule="auto"/>
        <w:jc w:val="both"/>
        <w:rPr>
          <w:rFonts w:ascii="Times New Roman" w:hAnsi="Times New Roman"/>
          <w:sz w:val="24"/>
          <w:szCs w:val="24"/>
        </w:rPr>
      </w:pPr>
      <w:r w:rsidRPr="009A3C86">
        <w:rPr>
          <w:rFonts w:ascii="Times New Roman" w:hAnsi="Times New Roman"/>
          <w:sz w:val="24"/>
          <w:szCs w:val="24"/>
        </w:rPr>
        <w:t>8</w:t>
      </w:r>
      <w:r w:rsidR="00A07B28" w:rsidRPr="009A3C86">
        <w:rPr>
          <w:rFonts w:ascii="Times New Roman" w:hAnsi="Times New Roman"/>
          <w:sz w:val="24"/>
          <w:szCs w:val="24"/>
        </w:rPr>
        <w:t>. Hipoteka przymusowa (podatkowa) powstaje w ten sam sposób jak hipoteka prywatna poprzez wpis w księdze wieczystej</w:t>
      </w:r>
      <w:r w:rsidR="00912BD3" w:rsidRPr="009A3C86">
        <w:rPr>
          <w:rFonts w:ascii="Times New Roman" w:eastAsiaTheme="minorEastAsia" w:hAnsi="Times New Roman" w:cs="Arial"/>
          <w:sz w:val="24"/>
          <w:szCs w:val="20"/>
          <w:lang w:eastAsia="pl-PL"/>
        </w:rPr>
        <w:t xml:space="preserve"> </w:t>
      </w:r>
      <w:r w:rsidR="00912BD3" w:rsidRPr="009A3C86">
        <w:rPr>
          <w:rFonts w:ascii="Times New Roman" w:hAnsi="Times New Roman"/>
          <w:sz w:val="24"/>
          <w:szCs w:val="24"/>
        </w:rPr>
        <w:t>albo do rejestru okrętowego</w:t>
      </w:r>
      <w:r w:rsidR="00A07B28" w:rsidRPr="009A3C86">
        <w:rPr>
          <w:rFonts w:ascii="Times New Roman" w:hAnsi="Times New Roman"/>
          <w:sz w:val="24"/>
          <w:szCs w:val="24"/>
        </w:rPr>
        <w:t>. Obowiązują te same zasady pierwszeństwa, jak w przypadku zwykłych hipotek: hipoteka, która powstała wcześniej ma pierwszeństwo przed hipoteką powstałą później. Zasada ta nie przewiduje uprzywilejowania hipotek podatkowych.</w:t>
      </w:r>
    </w:p>
    <w:p w:rsidR="00A07B28" w:rsidRPr="009A3C86" w:rsidRDefault="006A0B46" w:rsidP="00A07B28">
      <w:pPr>
        <w:spacing w:after="0" w:line="360" w:lineRule="auto"/>
        <w:jc w:val="both"/>
        <w:rPr>
          <w:rFonts w:ascii="Times New Roman" w:hAnsi="Times New Roman"/>
          <w:sz w:val="24"/>
          <w:szCs w:val="24"/>
        </w:rPr>
      </w:pPr>
      <w:r w:rsidRPr="009A3C86">
        <w:rPr>
          <w:rFonts w:ascii="Times New Roman" w:hAnsi="Times New Roman"/>
          <w:sz w:val="24"/>
          <w:szCs w:val="24"/>
        </w:rPr>
        <w:t>9</w:t>
      </w:r>
      <w:r w:rsidR="00A07B28" w:rsidRPr="009A3C86">
        <w:rPr>
          <w:rFonts w:ascii="Times New Roman" w:hAnsi="Times New Roman"/>
          <w:sz w:val="24"/>
          <w:szCs w:val="24"/>
        </w:rPr>
        <w:t>. Zastaw skarbowy jest zabezpieczeniem rzeczowym na przedmiotach, które nie mogą być przedmiotem hipoteki przymusowej (</w:t>
      </w:r>
      <w:r w:rsidR="00A07B28" w:rsidRPr="009A3C86">
        <w:rPr>
          <w:rFonts w:ascii="Times New Roman" w:hAnsi="Times New Roman"/>
          <w:b/>
          <w:sz w:val="24"/>
          <w:szCs w:val="24"/>
        </w:rPr>
        <w:t>art. 7</w:t>
      </w:r>
      <w:r w:rsidR="003C354E" w:rsidRPr="009A3C86">
        <w:rPr>
          <w:rFonts w:ascii="Times New Roman" w:hAnsi="Times New Roman"/>
          <w:b/>
          <w:sz w:val="24"/>
          <w:szCs w:val="24"/>
        </w:rPr>
        <w:t>4</w:t>
      </w:r>
      <w:r w:rsidR="00912BD3" w:rsidRPr="009A3C86">
        <w:rPr>
          <w:rFonts w:ascii="Times New Roman" w:hAnsi="Times New Roman"/>
          <w:b/>
          <w:sz w:val="24"/>
          <w:szCs w:val="24"/>
        </w:rPr>
        <w:t>1</w:t>
      </w:r>
      <w:r w:rsidR="00A07B28" w:rsidRPr="009A3C86">
        <w:rPr>
          <w:rFonts w:ascii="Times New Roman" w:hAnsi="Times New Roman"/>
          <w:sz w:val="24"/>
          <w:szCs w:val="24"/>
        </w:rPr>
        <w:t>). W projekcie wprowadzono kwotowy próg minimalnej wartości przedmiotu zastawu i zrezygnowano z waloryzowania tej kwoty o wskaźnik wzrostu cen towarów i usług konsumpcyjnych. Waloryzowanie tej kwoty było uzasadnione wysoką stopą inflacji i w obecnej sytuacji straciło swoje uzasadnienie, polegające na urealnianiu tej kwoty. Proponuje się, by kwota minimalnej wartości rzeczy lub praw mogących być przedmiotem zastawu skarbowego wynosiła 15 000 zł.</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Projekt rozszerza katalog przedmiotów mogących być przedmiotem zastawu skarbowego. Przedmiotem zastawu będą mogły być rzeczy ruchome oraz zbywalne prawa majątkowe stanowiące przedmiot współwłasności łącznej wspólników spółki cywilnej lub części ułamkowe rzeczy ruchomych oraz zbywalnych prawach majątkowych stanowiących udział wspólników spółki cywilnej – z tytułu zaległości podatkowych spółki (</w:t>
      </w:r>
      <w:r w:rsidRPr="009A3C86">
        <w:rPr>
          <w:rFonts w:ascii="Times New Roman" w:hAnsi="Times New Roman"/>
          <w:b/>
          <w:sz w:val="24"/>
          <w:szCs w:val="24"/>
        </w:rPr>
        <w:t>art. 7</w:t>
      </w:r>
      <w:r w:rsidR="003C354E" w:rsidRPr="009A3C86">
        <w:rPr>
          <w:rFonts w:ascii="Times New Roman" w:hAnsi="Times New Roman"/>
          <w:b/>
          <w:sz w:val="24"/>
          <w:szCs w:val="24"/>
        </w:rPr>
        <w:t>4</w:t>
      </w:r>
      <w:r w:rsidR="00912BD3" w:rsidRPr="009A3C86">
        <w:rPr>
          <w:rFonts w:ascii="Times New Roman" w:hAnsi="Times New Roman"/>
          <w:b/>
          <w:sz w:val="24"/>
          <w:szCs w:val="24"/>
        </w:rPr>
        <w:t>1</w:t>
      </w:r>
      <w:r w:rsidRPr="009A3C86">
        <w:rPr>
          <w:rFonts w:ascii="Times New Roman" w:hAnsi="Times New Roman"/>
          <w:b/>
          <w:sz w:val="24"/>
          <w:szCs w:val="24"/>
        </w:rPr>
        <w:t xml:space="preserve"> § 1 pkt 2</w:t>
      </w:r>
      <w:r w:rsidRPr="009A3C86">
        <w:rPr>
          <w:rFonts w:ascii="Times New Roman" w:hAnsi="Times New Roman"/>
          <w:sz w:val="24"/>
          <w:szCs w:val="24"/>
        </w:rPr>
        <w:t>). Uzasadnieniem dla tej zmiany jest zrównanie zastawu skarbowego oraz hipoteki przymusowej w zakresie możliwego zabezpieczenia.</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Uregulowanie w projekcie ordynacji podatkowej zasad ustalania wartości rzeczy i praw majątkowych pozwoliło na odniesienie minimalnej kwoty wartości rzeczy (praw) którego mogą być przedmiotem zastawu skarbowego do wartości rynkowej.</w:t>
      </w:r>
    </w:p>
    <w:p w:rsidR="00A07B28" w:rsidRPr="009A3C86" w:rsidRDefault="006A0B46" w:rsidP="00A07B28">
      <w:pPr>
        <w:spacing w:after="0" w:line="360" w:lineRule="auto"/>
        <w:jc w:val="both"/>
        <w:rPr>
          <w:rFonts w:ascii="Times New Roman" w:hAnsi="Times New Roman"/>
          <w:sz w:val="24"/>
          <w:szCs w:val="24"/>
        </w:rPr>
      </w:pPr>
      <w:r w:rsidRPr="009A3C86">
        <w:rPr>
          <w:rFonts w:ascii="Times New Roman" w:hAnsi="Times New Roman"/>
          <w:sz w:val="24"/>
          <w:szCs w:val="24"/>
        </w:rPr>
        <w:t>10</w:t>
      </w:r>
      <w:r w:rsidR="00A07B28" w:rsidRPr="009A3C86">
        <w:rPr>
          <w:rFonts w:ascii="Times New Roman" w:hAnsi="Times New Roman"/>
          <w:sz w:val="24"/>
          <w:szCs w:val="24"/>
        </w:rPr>
        <w:t xml:space="preserve">. Zastaw skarbowy jest wzorowany na zastawie rejestrowym i powstaje w momencie wpisu do rejestru zastawów. Utrzymana zostanie zasada, że istnieje tylko jeden Rejestr Zastawów </w:t>
      </w:r>
      <w:r w:rsidR="00A07B28" w:rsidRPr="009A3C86">
        <w:rPr>
          <w:rFonts w:ascii="Times New Roman" w:hAnsi="Times New Roman"/>
          <w:sz w:val="24"/>
          <w:szCs w:val="24"/>
        </w:rPr>
        <w:lastRenderedPageBreak/>
        <w:t>Skarbowych (</w:t>
      </w:r>
      <w:r w:rsidR="00A07B28" w:rsidRPr="009A3C86">
        <w:rPr>
          <w:rFonts w:ascii="Times New Roman" w:hAnsi="Times New Roman"/>
          <w:b/>
          <w:sz w:val="24"/>
          <w:szCs w:val="24"/>
        </w:rPr>
        <w:t>art. 7</w:t>
      </w:r>
      <w:r w:rsidR="00912BD3" w:rsidRPr="009A3C86">
        <w:rPr>
          <w:rFonts w:ascii="Times New Roman" w:hAnsi="Times New Roman"/>
          <w:b/>
          <w:sz w:val="24"/>
          <w:szCs w:val="24"/>
        </w:rPr>
        <w:t>43</w:t>
      </w:r>
      <w:r w:rsidR="00A07B28" w:rsidRPr="009A3C86">
        <w:rPr>
          <w:rFonts w:ascii="Times New Roman" w:hAnsi="Times New Roman"/>
          <w:b/>
          <w:sz w:val="24"/>
          <w:szCs w:val="24"/>
        </w:rPr>
        <w:t xml:space="preserve"> § 1</w:t>
      </w:r>
      <w:r w:rsidR="00A07B28" w:rsidRPr="009A3C86">
        <w:rPr>
          <w:rFonts w:ascii="Times New Roman" w:hAnsi="Times New Roman"/>
          <w:sz w:val="24"/>
          <w:szCs w:val="24"/>
        </w:rPr>
        <w:t>). Będzie go prowadzić Szef Krajowej Administracji Skarbowej. Wpis do rejestru zastawów będzie obejmował miedzy innymi informacje pozwalające ustalić podmiot zobowiązany oraz uprawniony z tytułu zastawu, datę ustanowienia zastawu, wysokość zobowiązania zabezpieczonego zastawem oraz dane identyfikujące przedmiot zastawu skarbowego (</w:t>
      </w:r>
      <w:r w:rsidR="00A07B28" w:rsidRPr="009A3C86">
        <w:rPr>
          <w:rFonts w:ascii="Times New Roman" w:hAnsi="Times New Roman"/>
          <w:b/>
          <w:sz w:val="24"/>
          <w:szCs w:val="24"/>
        </w:rPr>
        <w:t>art. 7</w:t>
      </w:r>
      <w:r w:rsidR="00912BD3" w:rsidRPr="009A3C86">
        <w:rPr>
          <w:rFonts w:ascii="Times New Roman" w:hAnsi="Times New Roman"/>
          <w:b/>
          <w:sz w:val="24"/>
          <w:szCs w:val="24"/>
        </w:rPr>
        <w:t>43</w:t>
      </w:r>
      <w:r w:rsidR="00A07B28" w:rsidRPr="009A3C86">
        <w:rPr>
          <w:rFonts w:ascii="Times New Roman" w:hAnsi="Times New Roman"/>
          <w:b/>
          <w:sz w:val="24"/>
          <w:szCs w:val="24"/>
        </w:rPr>
        <w:t xml:space="preserve"> § 2</w:t>
      </w:r>
      <w:r w:rsidR="00A07B28" w:rsidRPr="009A3C86">
        <w:rPr>
          <w:rFonts w:ascii="Times New Roman" w:hAnsi="Times New Roman"/>
          <w:sz w:val="24"/>
          <w:szCs w:val="24"/>
        </w:rPr>
        <w:t xml:space="preserve">).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Podstawą wniosku o wpis zastawu będzie doręczona decyzja wymiarowa i decyzje wydane na podstawie art. 7</w:t>
      </w:r>
      <w:r w:rsidR="003C354E" w:rsidRPr="009A3C86">
        <w:rPr>
          <w:rFonts w:ascii="Times New Roman" w:hAnsi="Times New Roman"/>
          <w:sz w:val="24"/>
          <w:szCs w:val="24"/>
        </w:rPr>
        <w:t>3</w:t>
      </w:r>
      <w:r w:rsidR="00912BD3" w:rsidRPr="009A3C86">
        <w:rPr>
          <w:rFonts w:ascii="Times New Roman" w:hAnsi="Times New Roman"/>
          <w:sz w:val="24"/>
          <w:szCs w:val="24"/>
        </w:rPr>
        <w:t>1</w:t>
      </w:r>
      <w:r w:rsidRPr="009A3C86">
        <w:rPr>
          <w:rFonts w:ascii="Times New Roman" w:hAnsi="Times New Roman"/>
          <w:sz w:val="24"/>
          <w:szCs w:val="24"/>
        </w:rPr>
        <w:t xml:space="preserve"> lub 7</w:t>
      </w:r>
      <w:r w:rsidR="00912BD3" w:rsidRPr="009A3C86">
        <w:rPr>
          <w:rFonts w:ascii="Times New Roman" w:hAnsi="Times New Roman"/>
          <w:sz w:val="24"/>
          <w:szCs w:val="24"/>
        </w:rPr>
        <w:t>32</w:t>
      </w:r>
      <w:r w:rsidRPr="009A3C86">
        <w:rPr>
          <w:rFonts w:ascii="Times New Roman" w:hAnsi="Times New Roman"/>
          <w:sz w:val="24"/>
          <w:szCs w:val="24"/>
        </w:rPr>
        <w:t xml:space="preserve"> (</w:t>
      </w:r>
      <w:r w:rsidRPr="009A3C86">
        <w:rPr>
          <w:rFonts w:ascii="Times New Roman" w:hAnsi="Times New Roman"/>
          <w:b/>
          <w:sz w:val="24"/>
          <w:szCs w:val="24"/>
        </w:rPr>
        <w:t>art. 7</w:t>
      </w:r>
      <w:r w:rsidR="00912BD3" w:rsidRPr="009A3C86">
        <w:rPr>
          <w:rFonts w:ascii="Times New Roman" w:hAnsi="Times New Roman"/>
          <w:b/>
          <w:sz w:val="24"/>
          <w:szCs w:val="24"/>
        </w:rPr>
        <w:t>44</w:t>
      </w:r>
      <w:r w:rsidR="00C14A2D" w:rsidRPr="009A3C86">
        <w:rPr>
          <w:rFonts w:ascii="Times New Roman" w:hAnsi="Times New Roman"/>
          <w:sz w:val="24"/>
          <w:szCs w:val="24"/>
        </w:rPr>
        <w:t xml:space="preserve"> </w:t>
      </w:r>
      <w:r w:rsidR="00C14A2D" w:rsidRPr="009A3C86">
        <w:rPr>
          <w:rFonts w:ascii="Times New Roman" w:hAnsi="Times New Roman"/>
          <w:b/>
          <w:sz w:val="24"/>
          <w:szCs w:val="24"/>
        </w:rPr>
        <w:t>§ 1</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1</w:t>
      </w:r>
      <w:r w:rsidR="006A0B46" w:rsidRPr="009A3C86">
        <w:rPr>
          <w:rFonts w:ascii="Times New Roman" w:hAnsi="Times New Roman"/>
          <w:sz w:val="24"/>
          <w:szCs w:val="24"/>
        </w:rPr>
        <w:t>1</w:t>
      </w:r>
      <w:r w:rsidRPr="009A3C86">
        <w:rPr>
          <w:rFonts w:ascii="Times New Roman" w:hAnsi="Times New Roman"/>
          <w:sz w:val="24"/>
          <w:szCs w:val="24"/>
        </w:rPr>
        <w:t>. W celu zapewnienia pewności obrotu gospodarczego zastaw skarbowy będzie powstawał z chwilą wpisu do rejestru zastawów skarbowych, a zobowiązany będzie informowany o dokonaniu wpisu (</w:t>
      </w:r>
      <w:r w:rsidRPr="009A3C86">
        <w:rPr>
          <w:rFonts w:ascii="Times New Roman" w:hAnsi="Times New Roman"/>
          <w:b/>
          <w:sz w:val="24"/>
          <w:szCs w:val="24"/>
        </w:rPr>
        <w:t>art. 7</w:t>
      </w:r>
      <w:r w:rsidR="00912BD3" w:rsidRPr="009A3C86">
        <w:rPr>
          <w:rFonts w:ascii="Times New Roman" w:hAnsi="Times New Roman"/>
          <w:b/>
          <w:sz w:val="24"/>
          <w:szCs w:val="24"/>
        </w:rPr>
        <w:t>45</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Pozostawiono bez zmian podstawową zasadę wynikająca z istoty zastawu skarbowego jako instrumentu zabezpieczającego polegającą na tym, że uprawiony z tytułu zastawu ma pierwszeństwo w zaspokojeniu swojej należności przed wierzycielami osobistymi i to bez względu kto jest aktualnym właścicielem przedmiotu zastawu (</w:t>
      </w:r>
      <w:r w:rsidRPr="009A3C86">
        <w:rPr>
          <w:rFonts w:ascii="Times New Roman" w:hAnsi="Times New Roman"/>
          <w:b/>
          <w:sz w:val="24"/>
          <w:szCs w:val="24"/>
        </w:rPr>
        <w:t>art. 7</w:t>
      </w:r>
      <w:r w:rsidR="00912BD3" w:rsidRPr="009A3C86">
        <w:rPr>
          <w:rFonts w:ascii="Times New Roman" w:hAnsi="Times New Roman"/>
          <w:b/>
          <w:sz w:val="24"/>
          <w:szCs w:val="24"/>
        </w:rPr>
        <w:t>46</w:t>
      </w:r>
      <w:r w:rsidRPr="009A3C86">
        <w:rPr>
          <w:rFonts w:ascii="Times New Roman" w:hAnsi="Times New Roman"/>
          <w:b/>
          <w:sz w:val="24"/>
          <w:szCs w:val="24"/>
        </w:rPr>
        <w:t xml:space="preserve"> § 1</w:t>
      </w:r>
      <w:r w:rsidRPr="009A3C86">
        <w:rPr>
          <w:rFonts w:ascii="Times New Roman" w:hAnsi="Times New Roman"/>
          <w:sz w:val="24"/>
          <w:szCs w:val="24"/>
        </w:rPr>
        <w:t>). O pierwszeństwie zastawów skarbowych decyduje kolejność wpisów, przy czym jeżeli oprócz zastawu skarbowego istnieją inne zastawy wpisane do rejestru prowadzonego na podstawie odrębnych ustaw, to także o pierwszeństwie decyduje kolejność wpisu (</w:t>
      </w:r>
      <w:r w:rsidRPr="009A3C86">
        <w:rPr>
          <w:rFonts w:ascii="Times New Roman" w:hAnsi="Times New Roman"/>
          <w:b/>
          <w:sz w:val="24"/>
          <w:szCs w:val="24"/>
        </w:rPr>
        <w:t>art. 7</w:t>
      </w:r>
      <w:r w:rsidR="00912BD3" w:rsidRPr="009A3C86">
        <w:rPr>
          <w:rFonts w:ascii="Times New Roman" w:hAnsi="Times New Roman"/>
          <w:b/>
          <w:sz w:val="24"/>
          <w:szCs w:val="24"/>
        </w:rPr>
        <w:t>46</w:t>
      </w:r>
      <w:r w:rsidRPr="009A3C86">
        <w:rPr>
          <w:rFonts w:ascii="Times New Roman" w:hAnsi="Times New Roman"/>
          <w:b/>
          <w:sz w:val="24"/>
          <w:szCs w:val="24"/>
        </w:rPr>
        <w:t xml:space="preserve"> § 2 i 3</w:t>
      </w:r>
      <w:r w:rsidRPr="009A3C86">
        <w:rPr>
          <w:rFonts w:ascii="Times New Roman" w:hAnsi="Times New Roman"/>
          <w:sz w:val="24"/>
          <w:szCs w:val="24"/>
        </w:rPr>
        <w:t xml:space="preserve">). Zastaw skarbowy zatem nie wyprzedza zastawów ustanowionych na podstawie innych ustaw, czym realizuję zasadę równego traktowania wierzycieli zobowiązanego, nie uprzywilejowując wierzyciela publicznoprawnego.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1</w:t>
      </w:r>
      <w:r w:rsidR="006A0B46" w:rsidRPr="009A3C86">
        <w:rPr>
          <w:rFonts w:ascii="Times New Roman" w:hAnsi="Times New Roman"/>
          <w:sz w:val="24"/>
          <w:szCs w:val="24"/>
        </w:rPr>
        <w:t>2</w:t>
      </w:r>
      <w:r w:rsidRPr="009A3C86">
        <w:rPr>
          <w:rFonts w:ascii="Times New Roman" w:hAnsi="Times New Roman"/>
          <w:sz w:val="24"/>
          <w:szCs w:val="24"/>
        </w:rPr>
        <w:t>. Wpis zastawu skarbowego następuje na podstawie wniosku organu uprawnionego do występowania w imieniu Skarbu Państwa lub jednostki samorządu terytorialnego (</w:t>
      </w:r>
      <w:r w:rsidRPr="009A3C86">
        <w:rPr>
          <w:rFonts w:ascii="Times New Roman" w:hAnsi="Times New Roman"/>
          <w:b/>
          <w:sz w:val="24"/>
          <w:szCs w:val="24"/>
        </w:rPr>
        <w:t>art. 7</w:t>
      </w:r>
      <w:r w:rsidR="00912BD3" w:rsidRPr="009A3C86">
        <w:rPr>
          <w:rFonts w:ascii="Times New Roman" w:hAnsi="Times New Roman"/>
          <w:b/>
          <w:sz w:val="24"/>
          <w:szCs w:val="24"/>
        </w:rPr>
        <w:t>47</w:t>
      </w:r>
      <w:r w:rsidRPr="009A3C86">
        <w:rPr>
          <w:rFonts w:ascii="Times New Roman" w:hAnsi="Times New Roman"/>
          <w:b/>
          <w:sz w:val="24"/>
          <w:szCs w:val="24"/>
        </w:rPr>
        <w:t xml:space="preserve"> </w:t>
      </w:r>
      <w:r w:rsidR="00912BD3" w:rsidRPr="009A3C86">
        <w:rPr>
          <w:rFonts w:ascii="Times New Roman" w:hAnsi="Times New Roman"/>
          <w:b/>
          <w:sz w:val="24"/>
          <w:szCs w:val="24"/>
        </w:rPr>
        <w:t>§ </w:t>
      </w:r>
      <w:r w:rsidRPr="009A3C86">
        <w:rPr>
          <w:rFonts w:ascii="Times New Roman" w:hAnsi="Times New Roman"/>
          <w:b/>
          <w:sz w:val="24"/>
          <w:szCs w:val="24"/>
        </w:rPr>
        <w:t>1</w:t>
      </w:r>
      <w:r w:rsidRPr="009A3C86">
        <w:rPr>
          <w:rFonts w:ascii="Times New Roman" w:hAnsi="Times New Roman"/>
          <w:sz w:val="24"/>
          <w:szCs w:val="24"/>
        </w:rPr>
        <w:t>). Minister właściwy do spraw finansów publicznych określi</w:t>
      </w:r>
      <w:r w:rsidR="00187A83" w:rsidRPr="009A3C86">
        <w:rPr>
          <w:rFonts w:ascii="Times New Roman" w:hAnsi="Times New Roman"/>
          <w:sz w:val="24"/>
          <w:szCs w:val="24"/>
        </w:rPr>
        <w:t>, w drodze rozporządzenia,</w:t>
      </w:r>
      <w:r w:rsidRPr="009A3C86">
        <w:rPr>
          <w:rFonts w:ascii="Times New Roman" w:hAnsi="Times New Roman"/>
          <w:sz w:val="24"/>
          <w:szCs w:val="24"/>
        </w:rPr>
        <w:t xml:space="preserve"> elektroniczny wz</w:t>
      </w:r>
      <w:r w:rsidR="00187A83" w:rsidRPr="009A3C86">
        <w:rPr>
          <w:rFonts w:ascii="Times New Roman" w:hAnsi="Times New Roman"/>
          <w:sz w:val="24"/>
          <w:szCs w:val="24"/>
        </w:rPr>
        <w:t>o</w:t>
      </w:r>
      <w:r w:rsidRPr="009A3C86">
        <w:rPr>
          <w:rFonts w:ascii="Times New Roman" w:hAnsi="Times New Roman"/>
          <w:sz w:val="24"/>
          <w:szCs w:val="24"/>
        </w:rPr>
        <w:t>r</w:t>
      </w:r>
      <w:r w:rsidR="00187A83" w:rsidRPr="009A3C86">
        <w:rPr>
          <w:rFonts w:ascii="Times New Roman" w:hAnsi="Times New Roman"/>
          <w:sz w:val="24"/>
          <w:szCs w:val="24"/>
        </w:rPr>
        <w:t>y</w:t>
      </w:r>
      <w:r w:rsidRPr="009A3C86">
        <w:rPr>
          <w:rFonts w:ascii="Times New Roman" w:hAnsi="Times New Roman"/>
          <w:sz w:val="24"/>
          <w:szCs w:val="24"/>
        </w:rPr>
        <w:t xml:space="preserve"> wniosk</w:t>
      </w:r>
      <w:r w:rsidR="00187A83" w:rsidRPr="009A3C86">
        <w:rPr>
          <w:rFonts w:ascii="Times New Roman" w:hAnsi="Times New Roman"/>
          <w:sz w:val="24"/>
          <w:szCs w:val="24"/>
        </w:rPr>
        <w:t>ów</w:t>
      </w:r>
      <w:r w:rsidRPr="009A3C86">
        <w:rPr>
          <w:rFonts w:ascii="Times New Roman" w:hAnsi="Times New Roman"/>
          <w:sz w:val="24"/>
          <w:szCs w:val="24"/>
        </w:rPr>
        <w:t xml:space="preserve"> o wpis zastawu skarbowego do rejestru zastawów skarbowych mając na celu uproszczenie wpisu zastawu  skarbowego do rejestru zastawów skarbowych (</w:t>
      </w:r>
      <w:r w:rsidRPr="009A3C86">
        <w:rPr>
          <w:rFonts w:ascii="Times New Roman" w:hAnsi="Times New Roman"/>
          <w:b/>
          <w:sz w:val="24"/>
          <w:szCs w:val="24"/>
        </w:rPr>
        <w:t>art. 7</w:t>
      </w:r>
      <w:r w:rsidR="00187A83" w:rsidRPr="009A3C86">
        <w:rPr>
          <w:rFonts w:ascii="Times New Roman" w:hAnsi="Times New Roman"/>
          <w:b/>
          <w:sz w:val="24"/>
          <w:szCs w:val="24"/>
        </w:rPr>
        <w:t>47</w:t>
      </w:r>
      <w:r w:rsidRPr="009A3C86">
        <w:rPr>
          <w:rFonts w:ascii="Times New Roman" w:hAnsi="Times New Roman"/>
          <w:b/>
          <w:sz w:val="24"/>
          <w:szCs w:val="24"/>
        </w:rPr>
        <w:t xml:space="preserve"> § 3</w:t>
      </w:r>
      <w:r w:rsidRPr="009A3C86">
        <w:rPr>
          <w:rFonts w:ascii="Times New Roman" w:hAnsi="Times New Roman"/>
          <w:sz w:val="24"/>
          <w:szCs w:val="24"/>
        </w:rPr>
        <w:t xml:space="preserve">).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Organ dokonujący wpisu, bada wniosek pod względem formalnym i odmawia dokonania wpisu w przypadku, gdy wniosek nie ma wymaganej treści lub nie zachowano wymaganej formy wniosku lub dane we wniosku nie są zgodne z danymi wymaganymi przez ustawę (</w:t>
      </w:r>
      <w:r w:rsidRPr="009A3C86">
        <w:rPr>
          <w:rFonts w:ascii="Times New Roman" w:hAnsi="Times New Roman"/>
          <w:b/>
          <w:sz w:val="24"/>
          <w:szCs w:val="24"/>
        </w:rPr>
        <w:t>art. 7</w:t>
      </w:r>
      <w:r w:rsidR="00187A83" w:rsidRPr="009A3C86">
        <w:rPr>
          <w:rFonts w:ascii="Times New Roman" w:hAnsi="Times New Roman"/>
          <w:b/>
          <w:sz w:val="24"/>
          <w:szCs w:val="24"/>
        </w:rPr>
        <w:t>48</w:t>
      </w:r>
      <w:r w:rsidRPr="009A3C86">
        <w:rPr>
          <w:rFonts w:ascii="Times New Roman" w:hAnsi="Times New Roman"/>
          <w:b/>
          <w:sz w:val="24"/>
          <w:szCs w:val="24"/>
        </w:rPr>
        <w:t xml:space="preserve"> </w:t>
      </w:r>
      <w:r w:rsidR="00187A83" w:rsidRPr="009A3C86">
        <w:rPr>
          <w:rFonts w:ascii="Times New Roman" w:hAnsi="Times New Roman"/>
          <w:b/>
          <w:sz w:val="24"/>
          <w:szCs w:val="24"/>
        </w:rPr>
        <w:t>§ </w:t>
      </w:r>
      <w:r w:rsidRPr="009A3C86">
        <w:rPr>
          <w:rFonts w:ascii="Times New Roman" w:hAnsi="Times New Roman"/>
          <w:b/>
          <w:sz w:val="24"/>
          <w:szCs w:val="24"/>
        </w:rPr>
        <w:t>1-2</w:t>
      </w:r>
      <w:r w:rsidRPr="009A3C86">
        <w:rPr>
          <w:rFonts w:ascii="Times New Roman" w:hAnsi="Times New Roman"/>
          <w:sz w:val="24"/>
          <w:szCs w:val="24"/>
        </w:rPr>
        <w:t xml:space="preserve">). Organ będzie dokonywał wpisu lub nie dokona tej czynności, informując tylko w formie czynności materialno-technicznej właściwy podmiot publiczny, który złożył wniosek. Działania wewnątrzadministracyjne nie będą przybierały postaci postępowania w sprawie podatkowej.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1</w:t>
      </w:r>
      <w:r w:rsidR="006A0B46" w:rsidRPr="009A3C86">
        <w:rPr>
          <w:rFonts w:ascii="Times New Roman" w:hAnsi="Times New Roman"/>
          <w:sz w:val="24"/>
          <w:szCs w:val="24"/>
        </w:rPr>
        <w:t>3</w:t>
      </w:r>
      <w:r w:rsidRPr="009A3C86">
        <w:rPr>
          <w:rFonts w:ascii="Times New Roman" w:hAnsi="Times New Roman"/>
          <w:sz w:val="24"/>
          <w:szCs w:val="24"/>
        </w:rPr>
        <w:t>. Podmioty zainteresowane nadal będą miały możliwość uzyskania wypisu z rejestru (</w:t>
      </w:r>
      <w:r w:rsidRPr="009A3C86">
        <w:rPr>
          <w:rFonts w:ascii="Times New Roman" w:hAnsi="Times New Roman"/>
          <w:b/>
          <w:sz w:val="24"/>
          <w:szCs w:val="24"/>
        </w:rPr>
        <w:t>art</w:t>
      </w:r>
      <w:r w:rsidR="00847167" w:rsidRPr="009A3C86">
        <w:rPr>
          <w:rFonts w:ascii="Times New Roman" w:hAnsi="Times New Roman"/>
          <w:b/>
          <w:sz w:val="24"/>
          <w:szCs w:val="24"/>
        </w:rPr>
        <w:t>. </w:t>
      </w:r>
      <w:r w:rsidRPr="009A3C86">
        <w:rPr>
          <w:rFonts w:ascii="Times New Roman" w:hAnsi="Times New Roman"/>
          <w:b/>
          <w:sz w:val="24"/>
          <w:szCs w:val="24"/>
        </w:rPr>
        <w:t>7</w:t>
      </w:r>
      <w:r w:rsidR="00187A83" w:rsidRPr="009A3C86">
        <w:rPr>
          <w:rFonts w:ascii="Times New Roman" w:hAnsi="Times New Roman"/>
          <w:b/>
          <w:sz w:val="24"/>
          <w:szCs w:val="24"/>
        </w:rPr>
        <w:t>49</w:t>
      </w:r>
      <w:r w:rsidRPr="009A3C86">
        <w:rPr>
          <w:rFonts w:ascii="Times New Roman" w:hAnsi="Times New Roman"/>
          <w:b/>
          <w:sz w:val="24"/>
          <w:szCs w:val="24"/>
        </w:rPr>
        <w:t xml:space="preserve"> § 1</w:t>
      </w:r>
      <w:r w:rsidRPr="009A3C86">
        <w:rPr>
          <w:rFonts w:ascii="Times New Roman" w:hAnsi="Times New Roman"/>
          <w:sz w:val="24"/>
          <w:szCs w:val="24"/>
        </w:rPr>
        <w:t xml:space="preserve">). Wypis z rejestru zastawów będzie wydawał naczelnik urzędu skarbowego, do którego wpłynął wniosek zainteresowanego. Nie będzie więc to organ, który prowadzi rejestr. Z uwagi na jego elektroniczną postać nie powinno to wywoływać problemów praktycznych. Wypis będzie zawierać informacje w zakresie obciążenia </w:t>
      </w:r>
      <w:r w:rsidR="00187A83" w:rsidRPr="009A3C86">
        <w:rPr>
          <w:rFonts w:ascii="Times New Roman" w:hAnsi="Times New Roman"/>
          <w:sz w:val="24"/>
          <w:szCs w:val="24"/>
        </w:rPr>
        <w:t xml:space="preserve">rzeczy </w:t>
      </w:r>
      <w:r w:rsidRPr="009A3C86">
        <w:rPr>
          <w:rFonts w:ascii="Times New Roman" w:hAnsi="Times New Roman"/>
          <w:sz w:val="24"/>
          <w:szCs w:val="24"/>
        </w:rPr>
        <w:t>ruchom</w:t>
      </w:r>
      <w:r w:rsidR="00187A83" w:rsidRPr="009A3C86">
        <w:rPr>
          <w:rFonts w:ascii="Times New Roman" w:hAnsi="Times New Roman"/>
          <w:sz w:val="24"/>
          <w:szCs w:val="24"/>
        </w:rPr>
        <w:t>ej</w:t>
      </w:r>
      <w:r w:rsidRPr="009A3C86">
        <w:rPr>
          <w:rFonts w:ascii="Times New Roman" w:hAnsi="Times New Roman"/>
          <w:sz w:val="24"/>
          <w:szCs w:val="24"/>
        </w:rPr>
        <w:t xml:space="preserve"> lub zbywalnego prawa majątkowego zastawem skarbowym, inne niż dane podmiotu, którego należność jest zabezpieczana, a także informacje dotyczące wysokości zabezpieczonego zastawem skarbowym zobowiązania podatkowego lub zaległości podatkowej, oznaczenie organu, na wniosek którego wpisano zastaw skarbowy do rejestru zastawów, numer jego wniosku o wpis oraz datę powstania zastawu skarbowego.</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art. 7</w:t>
      </w:r>
      <w:r w:rsidR="00187A83" w:rsidRPr="009A3C86">
        <w:rPr>
          <w:rFonts w:ascii="Times New Roman" w:hAnsi="Times New Roman"/>
          <w:b/>
          <w:sz w:val="24"/>
          <w:szCs w:val="24"/>
        </w:rPr>
        <w:t>49</w:t>
      </w:r>
      <w:r w:rsidRPr="009A3C86">
        <w:rPr>
          <w:rFonts w:ascii="Times New Roman" w:hAnsi="Times New Roman"/>
          <w:b/>
          <w:sz w:val="24"/>
          <w:szCs w:val="24"/>
        </w:rPr>
        <w:t xml:space="preserve"> § 2</w:t>
      </w:r>
      <w:r w:rsidRPr="009A3C86">
        <w:rPr>
          <w:rFonts w:ascii="Times New Roman" w:hAnsi="Times New Roman"/>
          <w:sz w:val="24"/>
          <w:szCs w:val="24"/>
        </w:rPr>
        <w:t xml:space="preserve"> oprócz wypisów naczelnik będzie wydawał zaświadczenia o:</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1) braku wpisu zainteresowanego do rejestru zastawów;</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2) wpisie zainteresowanego do rejestru zastawów jako właściciela obciążonych zastawem skarbowym </w:t>
      </w:r>
      <w:r w:rsidR="00187A83" w:rsidRPr="009A3C86">
        <w:rPr>
          <w:rFonts w:ascii="Times New Roman" w:hAnsi="Times New Roman"/>
          <w:sz w:val="24"/>
          <w:szCs w:val="24"/>
        </w:rPr>
        <w:t xml:space="preserve">rzeczy </w:t>
      </w:r>
      <w:r w:rsidRPr="009A3C86">
        <w:rPr>
          <w:rFonts w:ascii="Times New Roman" w:hAnsi="Times New Roman"/>
          <w:sz w:val="24"/>
          <w:szCs w:val="24"/>
        </w:rPr>
        <w:t>ruchom</w:t>
      </w:r>
      <w:r w:rsidR="00187A83" w:rsidRPr="009A3C86">
        <w:rPr>
          <w:rFonts w:ascii="Times New Roman" w:hAnsi="Times New Roman"/>
          <w:sz w:val="24"/>
          <w:szCs w:val="24"/>
        </w:rPr>
        <w:t>ych</w:t>
      </w:r>
      <w:r w:rsidRPr="009A3C86">
        <w:rPr>
          <w:rFonts w:ascii="Times New Roman" w:hAnsi="Times New Roman"/>
          <w:sz w:val="24"/>
          <w:szCs w:val="24"/>
        </w:rPr>
        <w:t xml:space="preserve"> lub zbywalnego prawa majątkowego wraz z danymi dotyczącymi:</w:t>
      </w:r>
    </w:p>
    <w:p w:rsidR="00A07B28" w:rsidRPr="009A3C86" w:rsidRDefault="00A07B28" w:rsidP="00A07B28">
      <w:pPr>
        <w:spacing w:after="0" w:line="360" w:lineRule="auto"/>
        <w:ind w:firstLine="540"/>
        <w:jc w:val="both"/>
        <w:rPr>
          <w:rFonts w:ascii="Times New Roman" w:hAnsi="Times New Roman"/>
          <w:sz w:val="24"/>
          <w:szCs w:val="24"/>
        </w:rPr>
      </w:pPr>
      <w:r w:rsidRPr="009A3C86">
        <w:rPr>
          <w:rFonts w:ascii="Times New Roman" w:hAnsi="Times New Roman"/>
          <w:sz w:val="24"/>
          <w:szCs w:val="24"/>
        </w:rPr>
        <w:t>a) przedmiotu zastawu skarbowego,</w:t>
      </w:r>
    </w:p>
    <w:p w:rsidR="00A07B28" w:rsidRPr="009A3C86" w:rsidRDefault="00A07B28" w:rsidP="00A07B28">
      <w:pPr>
        <w:spacing w:after="0" w:line="360" w:lineRule="auto"/>
        <w:ind w:firstLine="540"/>
        <w:jc w:val="both"/>
        <w:rPr>
          <w:rFonts w:ascii="Times New Roman" w:hAnsi="Times New Roman"/>
          <w:sz w:val="24"/>
          <w:szCs w:val="24"/>
        </w:rPr>
      </w:pPr>
      <w:r w:rsidRPr="009A3C86">
        <w:rPr>
          <w:rFonts w:ascii="Times New Roman" w:hAnsi="Times New Roman"/>
          <w:sz w:val="24"/>
          <w:szCs w:val="24"/>
        </w:rPr>
        <w:t>b) wysokości zabezpieczonych zastawem skarbowym zobowiązania podatkowego lub zaległości podatkowej,</w:t>
      </w:r>
    </w:p>
    <w:p w:rsidR="00A07B28" w:rsidRPr="009A3C86" w:rsidRDefault="00A07B28" w:rsidP="00A07B28">
      <w:pPr>
        <w:spacing w:after="0" w:line="360" w:lineRule="auto"/>
        <w:ind w:firstLine="540"/>
        <w:jc w:val="both"/>
        <w:rPr>
          <w:rFonts w:ascii="Times New Roman" w:hAnsi="Times New Roman"/>
          <w:sz w:val="24"/>
          <w:szCs w:val="24"/>
        </w:rPr>
      </w:pPr>
      <w:r w:rsidRPr="009A3C86">
        <w:rPr>
          <w:rFonts w:ascii="Times New Roman" w:hAnsi="Times New Roman"/>
          <w:sz w:val="24"/>
          <w:szCs w:val="24"/>
        </w:rPr>
        <w:t>c) organu, na wniosek którego wpisano zastaw skarbowy do rejestru zastawów, i numeru jego wniosku o wpis,</w:t>
      </w:r>
    </w:p>
    <w:p w:rsidR="00A07B28" w:rsidRPr="009A3C86" w:rsidRDefault="00A07B28" w:rsidP="00A07B28">
      <w:pPr>
        <w:spacing w:after="0" w:line="360" w:lineRule="auto"/>
        <w:ind w:firstLine="540"/>
        <w:jc w:val="both"/>
        <w:rPr>
          <w:rFonts w:ascii="Times New Roman" w:hAnsi="Times New Roman"/>
          <w:sz w:val="24"/>
          <w:szCs w:val="24"/>
        </w:rPr>
      </w:pPr>
      <w:r w:rsidRPr="009A3C86">
        <w:rPr>
          <w:rFonts w:ascii="Times New Roman" w:hAnsi="Times New Roman"/>
          <w:sz w:val="24"/>
          <w:szCs w:val="24"/>
        </w:rPr>
        <w:t>d) daty powstania zastawu skarbowego.</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Wypisy z rejestru zastawów i zaświadczenia będą miały moc dokumentów urzędowych</w:t>
      </w:r>
      <w:r w:rsidR="00187A83" w:rsidRPr="009A3C86">
        <w:rPr>
          <w:rFonts w:ascii="Times New Roman" w:hAnsi="Times New Roman"/>
          <w:sz w:val="24"/>
          <w:szCs w:val="24"/>
        </w:rPr>
        <w:t xml:space="preserve"> </w:t>
      </w:r>
      <w:r w:rsidR="00CE6458" w:rsidRPr="009A3C86">
        <w:rPr>
          <w:rFonts w:ascii="Times New Roman" w:hAnsi="Times New Roman"/>
          <w:b/>
          <w:sz w:val="24"/>
          <w:szCs w:val="24"/>
        </w:rPr>
        <w:t>(art. 7</w:t>
      </w:r>
      <w:r w:rsidR="00187A83" w:rsidRPr="009A3C86">
        <w:rPr>
          <w:rFonts w:ascii="Times New Roman" w:hAnsi="Times New Roman"/>
          <w:b/>
          <w:sz w:val="24"/>
          <w:szCs w:val="24"/>
        </w:rPr>
        <w:t>49</w:t>
      </w:r>
      <w:r w:rsidR="00CE6458" w:rsidRPr="009A3C86">
        <w:rPr>
          <w:rFonts w:ascii="Times New Roman" w:hAnsi="Times New Roman"/>
          <w:b/>
          <w:sz w:val="24"/>
          <w:szCs w:val="24"/>
        </w:rPr>
        <w:t xml:space="preserve"> </w:t>
      </w:r>
      <w:r w:rsidR="00187A83" w:rsidRPr="009A3C86">
        <w:rPr>
          <w:rFonts w:ascii="Times New Roman" w:hAnsi="Times New Roman"/>
          <w:b/>
          <w:sz w:val="24"/>
          <w:szCs w:val="24"/>
        </w:rPr>
        <w:t>§ 4)</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Za wydanie wypisu z rejestru zastawów i zaświadczenia będzie pobierana opłata stanowiąca dochód budżetu państwa w wysokości 50 zł. W przypadku nieuiszczenia opłaty wniosek o wydanie wypisu lub zaświadczenia będzie pozostawiony bez rozpatrzenia (</w:t>
      </w:r>
      <w:r w:rsidRPr="009A3C86">
        <w:rPr>
          <w:rFonts w:ascii="Times New Roman" w:hAnsi="Times New Roman"/>
          <w:b/>
          <w:sz w:val="24"/>
          <w:szCs w:val="24"/>
        </w:rPr>
        <w:t>art. 7</w:t>
      </w:r>
      <w:r w:rsidR="00187A83" w:rsidRPr="009A3C86">
        <w:rPr>
          <w:rFonts w:ascii="Times New Roman" w:hAnsi="Times New Roman"/>
          <w:b/>
          <w:sz w:val="24"/>
          <w:szCs w:val="24"/>
        </w:rPr>
        <w:t>49</w:t>
      </w:r>
      <w:r w:rsidRPr="009A3C86">
        <w:rPr>
          <w:rFonts w:ascii="Times New Roman" w:hAnsi="Times New Roman"/>
          <w:b/>
          <w:sz w:val="24"/>
          <w:szCs w:val="24"/>
        </w:rPr>
        <w:t xml:space="preserve"> § 5</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Utrzymana zostanie także mniej sformalizowana możliwość dostępu do rejestru zastawów. Rejestr ten będzie bowiem dostępny w Biuletynie Informacji Publicznej na stronie podmiotowej urzędu obsługującego organ prowadzący ten rejestr (</w:t>
      </w:r>
      <w:r w:rsidRPr="009A3C86">
        <w:rPr>
          <w:rFonts w:ascii="Times New Roman" w:hAnsi="Times New Roman"/>
          <w:b/>
          <w:sz w:val="24"/>
          <w:szCs w:val="24"/>
        </w:rPr>
        <w:t>art. 7</w:t>
      </w:r>
      <w:r w:rsidR="003C354E" w:rsidRPr="009A3C86">
        <w:rPr>
          <w:rFonts w:ascii="Times New Roman" w:hAnsi="Times New Roman"/>
          <w:b/>
          <w:sz w:val="24"/>
          <w:szCs w:val="24"/>
        </w:rPr>
        <w:t>5</w:t>
      </w:r>
      <w:r w:rsidR="00187A83" w:rsidRPr="009A3C86">
        <w:rPr>
          <w:rFonts w:ascii="Times New Roman" w:hAnsi="Times New Roman"/>
          <w:b/>
          <w:sz w:val="24"/>
          <w:szCs w:val="24"/>
        </w:rPr>
        <w:t>0</w:t>
      </w:r>
      <w:r w:rsidRPr="009A3C86">
        <w:rPr>
          <w:rFonts w:ascii="Times New Roman" w:hAnsi="Times New Roman"/>
          <w:sz w:val="24"/>
          <w:szCs w:val="24"/>
        </w:rPr>
        <w:t xml:space="preserve">).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1</w:t>
      </w:r>
      <w:r w:rsidR="006A0B46" w:rsidRPr="009A3C86">
        <w:rPr>
          <w:rFonts w:ascii="Times New Roman" w:hAnsi="Times New Roman"/>
          <w:sz w:val="24"/>
          <w:szCs w:val="24"/>
        </w:rPr>
        <w:t>4</w:t>
      </w:r>
      <w:r w:rsidRPr="009A3C86">
        <w:rPr>
          <w:rFonts w:ascii="Times New Roman" w:hAnsi="Times New Roman"/>
          <w:sz w:val="24"/>
          <w:szCs w:val="24"/>
        </w:rPr>
        <w:t>. Przepisy precyzyjnie wskazują przyczyny wygaśnięcia zastawu skarbowego i określają moment jego wygaśnięcia (</w:t>
      </w:r>
      <w:r w:rsidRPr="009A3C86">
        <w:rPr>
          <w:rFonts w:ascii="Times New Roman" w:hAnsi="Times New Roman"/>
          <w:b/>
          <w:sz w:val="24"/>
          <w:szCs w:val="24"/>
        </w:rPr>
        <w:t>art. 7</w:t>
      </w:r>
      <w:r w:rsidR="00187A83" w:rsidRPr="009A3C86">
        <w:rPr>
          <w:rFonts w:ascii="Times New Roman" w:hAnsi="Times New Roman"/>
          <w:b/>
          <w:sz w:val="24"/>
          <w:szCs w:val="24"/>
        </w:rPr>
        <w:t>52</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art. 7</w:t>
      </w:r>
      <w:r w:rsidR="00187A83" w:rsidRPr="009A3C86">
        <w:rPr>
          <w:rFonts w:ascii="Times New Roman" w:hAnsi="Times New Roman"/>
          <w:b/>
          <w:sz w:val="24"/>
          <w:szCs w:val="24"/>
        </w:rPr>
        <w:t>53</w:t>
      </w:r>
      <w:r w:rsidRPr="009A3C86">
        <w:rPr>
          <w:rFonts w:ascii="Times New Roman" w:hAnsi="Times New Roman"/>
          <w:sz w:val="24"/>
          <w:szCs w:val="24"/>
        </w:rPr>
        <w:t xml:space="preserve"> organ, na wniosek którego ustanowiono zastaw skarbowy, będzie mógł wydać decyzję w sprawie wykreślenia zastawu skarbowego z rejestru zastawów na wniosek:</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1) osoby powołującej się na swoje prawo własności </w:t>
      </w:r>
      <w:r w:rsidR="00187A83" w:rsidRPr="009A3C86">
        <w:rPr>
          <w:rFonts w:ascii="Times New Roman" w:hAnsi="Times New Roman"/>
          <w:sz w:val="24"/>
          <w:szCs w:val="24"/>
        </w:rPr>
        <w:t xml:space="preserve">rzeczy </w:t>
      </w:r>
      <w:r w:rsidRPr="009A3C86">
        <w:rPr>
          <w:rFonts w:ascii="Times New Roman" w:hAnsi="Times New Roman"/>
          <w:sz w:val="24"/>
          <w:szCs w:val="24"/>
        </w:rPr>
        <w:t>ruchom</w:t>
      </w:r>
      <w:r w:rsidR="00187A83" w:rsidRPr="009A3C86">
        <w:rPr>
          <w:rFonts w:ascii="Times New Roman" w:hAnsi="Times New Roman"/>
          <w:sz w:val="24"/>
          <w:szCs w:val="24"/>
        </w:rPr>
        <w:t>ej</w:t>
      </w:r>
      <w:r w:rsidRPr="009A3C86">
        <w:rPr>
          <w:rFonts w:ascii="Times New Roman" w:hAnsi="Times New Roman"/>
          <w:sz w:val="24"/>
          <w:szCs w:val="24"/>
        </w:rPr>
        <w:t xml:space="preserve"> lub zbywalne</w:t>
      </w:r>
      <w:r w:rsidR="00187A83" w:rsidRPr="009A3C86">
        <w:rPr>
          <w:rFonts w:ascii="Times New Roman" w:hAnsi="Times New Roman"/>
          <w:sz w:val="24"/>
          <w:szCs w:val="24"/>
        </w:rPr>
        <w:t>go</w:t>
      </w:r>
      <w:r w:rsidRPr="009A3C86">
        <w:rPr>
          <w:rFonts w:ascii="Times New Roman" w:hAnsi="Times New Roman"/>
          <w:sz w:val="24"/>
          <w:szCs w:val="24"/>
        </w:rPr>
        <w:t xml:space="preserve"> praw</w:t>
      </w:r>
      <w:r w:rsidR="00187A83" w:rsidRPr="009A3C86">
        <w:rPr>
          <w:rFonts w:ascii="Times New Roman" w:hAnsi="Times New Roman"/>
          <w:sz w:val="24"/>
          <w:szCs w:val="24"/>
        </w:rPr>
        <w:t>a</w:t>
      </w:r>
      <w:r w:rsidRPr="009A3C86">
        <w:rPr>
          <w:rFonts w:ascii="Times New Roman" w:hAnsi="Times New Roman"/>
          <w:sz w:val="24"/>
          <w:szCs w:val="24"/>
        </w:rPr>
        <w:t xml:space="preserve"> majątkowe</w:t>
      </w:r>
      <w:r w:rsidR="00187A83" w:rsidRPr="009A3C86">
        <w:rPr>
          <w:rFonts w:ascii="Times New Roman" w:hAnsi="Times New Roman"/>
          <w:sz w:val="24"/>
          <w:szCs w:val="24"/>
        </w:rPr>
        <w:t>go</w:t>
      </w:r>
      <w:r w:rsidRPr="009A3C86">
        <w:rPr>
          <w:rFonts w:ascii="Times New Roman" w:hAnsi="Times New Roman"/>
          <w:sz w:val="24"/>
          <w:szCs w:val="24"/>
        </w:rPr>
        <w:t xml:space="preserve">, jeżeli </w:t>
      </w:r>
      <w:r w:rsidR="00187A83" w:rsidRPr="009A3C86">
        <w:rPr>
          <w:rFonts w:ascii="Times New Roman" w:hAnsi="Times New Roman"/>
          <w:sz w:val="24"/>
          <w:szCs w:val="24"/>
        </w:rPr>
        <w:t xml:space="preserve">rzecz </w:t>
      </w:r>
      <w:r w:rsidRPr="009A3C86">
        <w:rPr>
          <w:rFonts w:ascii="Times New Roman" w:hAnsi="Times New Roman"/>
          <w:sz w:val="24"/>
          <w:szCs w:val="24"/>
        </w:rPr>
        <w:t>ruchom</w:t>
      </w:r>
      <w:r w:rsidR="00187A83" w:rsidRPr="009A3C86">
        <w:rPr>
          <w:rFonts w:ascii="Times New Roman" w:hAnsi="Times New Roman"/>
          <w:sz w:val="24"/>
          <w:szCs w:val="24"/>
        </w:rPr>
        <w:t>a</w:t>
      </w:r>
      <w:r w:rsidRPr="009A3C86">
        <w:rPr>
          <w:rFonts w:ascii="Times New Roman" w:hAnsi="Times New Roman"/>
          <w:sz w:val="24"/>
          <w:szCs w:val="24"/>
        </w:rPr>
        <w:t xml:space="preserve"> lub zbywalne prawo majątkowe obciążone zastawem skarbowym w dniu jego powstania nie stanowiły własności </w:t>
      </w:r>
      <w:r w:rsidR="002B0322" w:rsidRPr="009A3C86">
        <w:rPr>
          <w:rFonts w:ascii="Times New Roman" w:hAnsi="Times New Roman"/>
          <w:sz w:val="24"/>
          <w:szCs w:val="24"/>
        </w:rPr>
        <w:t>zobowiązanego</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2) </w:t>
      </w:r>
      <w:r w:rsidR="002B0322" w:rsidRPr="009A3C86">
        <w:rPr>
          <w:rFonts w:ascii="Times New Roman" w:hAnsi="Times New Roman"/>
          <w:sz w:val="24"/>
          <w:szCs w:val="24"/>
        </w:rPr>
        <w:t xml:space="preserve">zobowiązanemu, </w:t>
      </w:r>
      <w:r w:rsidRPr="009A3C86">
        <w:rPr>
          <w:rFonts w:ascii="Times New Roman" w:hAnsi="Times New Roman"/>
          <w:sz w:val="24"/>
          <w:szCs w:val="24"/>
        </w:rPr>
        <w:t>któr</w:t>
      </w:r>
      <w:r w:rsidR="002B0322" w:rsidRPr="009A3C86">
        <w:rPr>
          <w:rFonts w:ascii="Times New Roman" w:hAnsi="Times New Roman"/>
          <w:sz w:val="24"/>
          <w:szCs w:val="24"/>
        </w:rPr>
        <w:t>emu</w:t>
      </w:r>
      <w:r w:rsidRPr="009A3C86">
        <w:rPr>
          <w:rFonts w:ascii="Times New Roman" w:hAnsi="Times New Roman"/>
          <w:sz w:val="24"/>
          <w:szCs w:val="24"/>
        </w:rPr>
        <w:t xml:space="preserve"> w dniu powstania zastawu skarbowego nie przysługiwało prawo własności obciążonej zastawem skarbowym </w:t>
      </w:r>
      <w:r w:rsidR="002B0322" w:rsidRPr="009A3C86">
        <w:rPr>
          <w:rFonts w:ascii="Times New Roman" w:hAnsi="Times New Roman"/>
          <w:sz w:val="24"/>
          <w:szCs w:val="24"/>
        </w:rPr>
        <w:t xml:space="preserve">rzeczy </w:t>
      </w:r>
      <w:r w:rsidRPr="009A3C86">
        <w:rPr>
          <w:rFonts w:ascii="Times New Roman" w:hAnsi="Times New Roman"/>
          <w:sz w:val="24"/>
          <w:szCs w:val="24"/>
        </w:rPr>
        <w:t>ruchom</w:t>
      </w:r>
      <w:r w:rsidR="002B0322" w:rsidRPr="009A3C86">
        <w:rPr>
          <w:rFonts w:ascii="Times New Roman" w:hAnsi="Times New Roman"/>
          <w:sz w:val="24"/>
          <w:szCs w:val="24"/>
        </w:rPr>
        <w:t>ej</w:t>
      </w:r>
      <w:r w:rsidRPr="009A3C86">
        <w:rPr>
          <w:rFonts w:ascii="Times New Roman" w:hAnsi="Times New Roman"/>
          <w:sz w:val="24"/>
          <w:szCs w:val="24"/>
        </w:rPr>
        <w:t xml:space="preserve"> lub zbywalne</w:t>
      </w:r>
      <w:r w:rsidR="002B0322" w:rsidRPr="009A3C86">
        <w:rPr>
          <w:rFonts w:ascii="Times New Roman" w:hAnsi="Times New Roman"/>
          <w:sz w:val="24"/>
          <w:szCs w:val="24"/>
        </w:rPr>
        <w:t>go</w:t>
      </w:r>
      <w:r w:rsidRPr="009A3C86">
        <w:rPr>
          <w:rFonts w:ascii="Times New Roman" w:hAnsi="Times New Roman"/>
          <w:sz w:val="24"/>
          <w:szCs w:val="24"/>
        </w:rPr>
        <w:t xml:space="preserve"> praw</w:t>
      </w:r>
      <w:r w:rsidR="002B0322" w:rsidRPr="009A3C86">
        <w:rPr>
          <w:rFonts w:ascii="Times New Roman" w:hAnsi="Times New Roman"/>
          <w:sz w:val="24"/>
          <w:szCs w:val="24"/>
        </w:rPr>
        <w:t>a</w:t>
      </w:r>
      <w:r w:rsidRPr="009A3C86">
        <w:rPr>
          <w:rFonts w:ascii="Times New Roman" w:hAnsi="Times New Roman"/>
          <w:sz w:val="24"/>
          <w:szCs w:val="24"/>
        </w:rPr>
        <w:t xml:space="preserve"> majątkowe</w:t>
      </w:r>
      <w:r w:rsidR="002B0322" w:rsidRPr="009A3C86">
        <w:rPr>
          <w:rFonts w:ascii="Times New Roman" w:hAnsi="Times New Roman"/>
          <w:sz w:val="24"/>
          <w:szCs w:val="24"/>
        </w:rPr>
        <w:t>go</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Warto także zauważyć, że sama decyzja o wykreśleniu zastawu niczego jeszcze nie zmieni w sytuacji prawnej właściciela przedmiotu zastawu, gdyż to dopiero wykreślenie spowoduje wygaśnięcie tego ograniczonego prawa rzeczowego. W tym celu rozstrzygnięcie organu musi stać się ostateczne, następnie powinno zostać doręczone również organowi prowadzącemu rejestr zastawów, który z urzędu wykreśli zastaw skarbowy z tego rejestru.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W </w:t>
      </w:r>
      <w:r w:rsidRPr="009A3C86">
        <w:rPr>
          <w:rFonts w:ascii="Times New Roman" w:hAnsi="Times New Roman"/>
          <w:b/>
          <w:sz w:val="24"/>
          <w:szCs w:val="24"/>
        </w:rPr>
        <w:t>art. 7</w:t>
      </w:r>
      <w:r w:rsidR="007905B5" w:rsidRPr="009A3C86">
        <w:rPr>
          <w:rFonts w:ascii="Times New Roman" w:hAnsi="Times New Roman"/>
          <w:b/>
          <w:sz w:val="24"/>
          <w:szCs w:val="24"/>
        </w:rPr>
        <w:t>54</w:t>
      </w:r>
      <w:r w:rsidRPr="009A3C86">
        <w:rPr>
          <w:rFonts w:ascii="Times New Roman" w:hAnsi="Times New Roman"/>
          <w:sz w:val="24"/>
          <w:szCs w:val="24"/>
        </w:rPr>
        <w:t xml:space="preserve"> określono także drugą grupę sytuacji, gdy zastaw skarbowy będzie wykreślany. W tym wypadku wykreślenie będzie następowało na wniosek organu uprawnionego do występowania w imieniu Skarbu Państwa lub jednostki samorządu terytorialnego, który uprzednio złożył wniosek o jego wpis. Organ prowadzący rejestr dokona wykreślenia bez podstawy w postaci decyzji o wykreśleniu. Przepis ten ustanawia trzy przesłanki wykreślenia zastawu skarbowego. Są to:</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1) wygaśnięcie zastawu skarbowego zgodnie z art. 7</w:t>
      </w:r>
      <w:r w:rsidR="007905B5" w:rsidRPr="009A3C86">
        <w:rPr>
          <w:rFonts w:ascii="Times New Roman" w:hAnsi="Times New Roman"/>
          <w:sz w:val="24"/>
          <w:szCs w:val="24"/>
        </w:rPr>
        <w:t>52</w:t>
      </w:r>
      <w:r w:rsidRPr="009A3C86">
        <w:rPr>
          <w:rFonts w:ascii="Times New Roman" w:hAnsi="Times New Roman"/>
          <w:sz w:val="24"/>
          <w:szCs w:val="24"/>
        </w:rPr>
        <w:t xml:space="preserve"> pkt 1 i 2 lit. a (wygaśnięcie zobowiązania podatkowego, sprzedaż przedmiotu zastawu skarbowego w postępowaniu egzekucyjnym</w:t>
      </w:r>
      <w:r w:rsidR="007905B5" w:rsidRPr="009A3C86">
        <w:rPr>
          <w:rFonts w:ascii="Times New Roman" w:hAnsi="Times New Roman"/>
          <w:sz w:val="24"/>
          <w:szCs w:val="24"/>
        </w:rPr>
        <w:t>,</w:t>
      </w:r>
      <w:r w:rsidRPr="009A3C86">
        <w:rPr>
          <w:rFonts w:ascii="Times New Roman" w:hAnsi="Times New Roman"/>
          <w:sz w:val="24"/>
          <w:szCs w:val="24"/>
        </w:rPr>
        <w:t xml:space="preserve"> </w:t>
      </w:r>
      <w:r w:rsidR="00766DDC" w:rsidRPr="009A3C86">
        <w:rPr>
          <w:rFonts w:ascii="Times New Roman" w:hAnsi="Times New Roman"/>
          <w:sz w:val="24"/>
          <w:szCs w:val="24"/>
        </w:rPr>
        <w:t xml:space="preserve">postępowaniu </w:t>
      </w:r>
      <w:r w:rsidRPr="009A3C86">
        <w:rPr>
          <w:rFonts w:ascii="Times New Roman" w:hAnsi="Times New Roman"/>
          <w:sz w:val="24"/>
          <w:szCs w:val="24"/>
        </w:rPr>
        <w:t>upadłościowym</w:t>
      </w:r>
      <w:r w:rsidR="00766DDC" w:rsidRPr="009A3C86">
        <w:rPr>
          <w:rFonts w:ascii="Times New Roman" w:eastAsia="MS Mincho" w:hAnsi="Times New Roman"/>
          <w:sz w:val="24"/>
          <w:szCs w:val="24"/>
          <w:lang w:eastAsia="pl-PL"/>
        </w:rPr>
        <w:t xml:space="preserve"> </w:t>
      </w:r>
      <w:r w:rsidR="00766DDC" w:rsidRPr="009A3C86">
        <w:rPr>
          <w:rFonts w:ascii="Times New Roman" w:hAnsi="Times New Roman"/>
          <w:sz w:val="24"/>
          <w:szCs w:val="24"/>
        </w:rPr>
        <w:t>oraz postępowaniu sanacyjnym, o której mowa w art. 323 ust. 1–4 ustawy z dnia 15 maja 2015 r. – Prawo restrukturyzacyjne</w:t>
      </w:r>
      <w:r w:rsidRPr="009A3C86">
        <w:rPr>
          <w:rFonts w:ascii="Times New Roman" w:hAnsi="Times New Roman"/>
          <w:sz w:val="24"/>
          <w:szCs w:val="24"/>
        </w:rPr>
        <w:t>)</w:t>
      </w:r>
      <w:r w:rsidR="00766DDC"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2) utrata zasadności istnienia zastawu skarbowego, w szczególności znaczne obniżenie wartości przedmiotu tego zastawu;</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3) ustanowienie innego zabezpieczenia zobowiązania podatkowego lub zaległości podatkowej zabezpieczonych uprzednio tym zastawem skarbowym.</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art. 7</w:t>
      </w:r>
      <w:r w:rsidR="007905B5" w:rsidRPr="009A3C86">
        <w:rPr>
          <w:rFonts w:ascii="Times New Roman" w:hAnsi="Times New Roman"/>
          <w:b/>
          <w:sz w:val="24"/>
          <w:szCs w:val="24"/>
        </w:rPr>
        <w:t>54</w:t>
      </w:r>
      <w:r w:rsidRPr="009A3C86">
        <w:rPr>
          <w:rFonts w:ascii="Times New Roman" w:hAnsi="Times New Roman"/>
          <w:b/>
          <w:sz w:val="24"/>
          <w:szCs w:val="24"/>
        </w:rPr>
        <w:t xml:space="preserve"> pkt 2</w:t>
      </w:r>
      <w:r w:rsidRPr="009A3C86">
        <w:rPr>
          <w:rFonts w:ascii="Times New Roman" w:hAnsi="Times New Roman"/>
          <w:sz w:val="24"/>
          <w:szCs w:val="24"/>
        </w:rPr>
        <w:t xml:space="preserve"> pozwala uniknąć utrzymywania zastawów, które nie mają realnego znaczenia. Trzeba pamiętać, że kryterium ustanowienia zastawu jest odpowiednia wartość przedmiotu zastawu w momencie jego ustanawiania, a zwłaszcza w przypadku ruchomości może ona dość szybko się zmniejszać.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Natomiast przepis</w:t>
      </w:r>
      <w:r w:rsidR="007905B5" w:rsidRPr="009A3C86">
        <w:rPr>
          <w:rFonts w:ascii="Times New Roman" w:hAnsi="Times New Roman"/>
          <w:sz w:val="24"/>
          <w:szCs w:val="24"/>
        </w:rPr>
        <w:t>y</w:t>
      </w:r>
      <w:r w:rsidRPr="009A3C86">
        <w:rPr>
          <w:rFonts w:ascii="Times New Roman" w:hAnsi="Times New Roman"/>
          <w:sz w:val="24"/>
          <w:szCs w:val="24"/>
        </w:rPr>
        <w:t xml:space="preserve"> </w:t>
      </w:r>
      <w:r w:rsidRPr="009A3C86">
        <w:rPr>
          <w:rFonts w:ascii="Times New Roman" w:hAnsi="Times New Roman"/>
          <w:b/>
          <w:sz w:val="24"/>
          <w:szCs w:val="24"/>
        </w:rPr>
        <w:t>art. 7</w:t>
      </w:r>
      <w:r w:rsidR="007905B5" w:rsidRPr="009A3C86">
        <w:rPr>
          <w:rFonts w:ascii="Times New Roman" w:hAnsi="Times New Roman"/>
          <w:b/>
          <w:sz w:val="24"/>
          <w:szCs w:val="24"/>
        </w:rPr>
        <w:t>54</w:t>
      </w:r>
      <w:r w:rsidRPr="009A3C86">
        <w:rPr>
          <w:rFonts w:ascii="Times New Roman" w:hAnsi="Times New Roman"/>
          <w:b/>
          <w:sz w:val="24"/>
          <w:szCs w:val="24"/>
        </w:rPr>
        <w:t xml:space="preserve"> pkt 1 i 3</w:t>
      </w:r>
      <w:r w:rsidRPr="009A3C86">
        <w:rPr>
          <w:rFonts w:ascii="Times New Roman" w:hAnsi="Times New Roman"/>
          <w:sz w:val="24"/>
          <w:szCs w:val="24"/>
        </w:rPr>
        <w:t xml:space="preserve"> będ</w:t>
      </w:r>
      <w:r w:rsidR="007905B5" w:rsidRPr="009A3C86">
        <w:rPr>
          <w:rFonts w:ascii="Times New Roman" w:hAnsi="Times New Roman"/>
          <w:sz w:val="24"/>
          <w:szCs w:val="24"/>
        </w:rPr>
        <w:t>ą</w:t>
      </w:r>
      <w:r w:rsidRPr="009A3C86">
        <w:rPr>
          <w:rFonts w:ascii="Times New Roman" w:hAnsi="Times New Roman"/>
          <w:sz w:val="24"/>
          <w:szCs w:val="24"/>
        </w:rPr>
        <w:t xml:space="preserve"> stanowi</w:t>
      </w:r>
      <w:r w:rsidR="007905B5" w:rsidRPr="009A3C86">
        <w:rPr>
          <w:rFonts w:ascii="Times New Roman" w:hAnsi="Times New Roman"/>
          <w:sz w:val="24"/>
          <w:szCs w:val="24"/>
        </w:rPr>
        <w:t>ć</w:t>
      </w:r>
      <w:r w:rsidRPr="009A3C86">
        <w:rPr>
          <w:rFonts w:ascii="Times New Roman" w:hAnsi="Times New Roman"/>
          <w:sz w:val="24"/>
          <w:szCs w:val="24"/>
        </w:rPr>
        <w:t xml:space="preserve"> wyraźną podstawę do działania organu podatkowego polegającego na zastąpieniu zastawu skarbowego inną formą zabezpieczenia lub rezygnacji z istniejącego zastawu. </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1</w:t>
      </w:r>
      <w:r w:rsidR="006A0B46" w:rsidRPr="009A3C86">
        <w:rPr>
          <w:rFonts w:ascii="Times New Roman" w:hAnsi="Times New Roman"/>
          <w:sz w:val="24"/>
          <w:szCs w:val="24"/>
        </w:rPr>
        <w:t>5</w:t>
      </w:r>
      <w:r w:rsidRPr="009A3C86">
        <w:rPr>
          <w:rFonts w:ascii="Times New Roman" w:hAnsi="Times New Roman"/>
          <w:sz w:val="24"/>
          <w:szCs w:val="24"/>
        </w:rPr>
        <w:t>. W celu zwiększenia efektywności ustanowienia zabezpieczenia przewidziana została możliwość wezwania strony do wyjawienia przedmiotów majątkowych, na których można ustanowić zabezpieczenie w postaci hipoteki oraz zastawu (</w:t>
      </w:r>
      <w:r w:rsidRPr="009A3C86">
        <w:rPr>
          <w:rFonts w:ascii="Times New Roman" w:hAnsi="Times New Roman"/>
          <w:b/>
          <w:sz w:val="24"/>
          <w:szCs w:val="24"/>
        </w:rPr>
        <w:t>art. 7</w:t>
      </w:r>
      <w:r w:rsidR="007373F1" w:rsidRPr="009A3C86">
        <w:rPr>
          <w:rFonts w:ascii="Times New Roman" w:hAnsi="Times New Roman"/>
          <w:b/>
          <w:sz w:val="24"/>
          <w:szCs w:val="24"/>
        </w:rPr>
        <w:t>56</w:t>
      </w:r>
      <w:r w:rsidRPr="009A3C86">
        <w:rPr>
          <w:rFonts w:ascii="Times New Roman" w:hAnsi="Times New Roman"/>
          <w:sz w:val="24"/>
          <w:szCs w:val="24"/>
        </w:rPr>
        <w:t>).</w:t>
      </w:r>
    </w:p>
    <w:p w:rsidR="00A07B28" w:rsidRPr="009A3C86" w:rsidRDefault="00A07B28" w:rsidP="00A07B28">
      <w:pPr>
        <w:spacing w:after="0" w:line="360" w:lineRule="auto"/>
        <w:jc w:val="both"/>
        <w:rPr>
          <w:rFonts w:ascii="Times New Roman" w:hAnsi="Times New Roman"/>
          <w:sz w:val="24"/>
          <w:szCs w:val="24"/>
        </w:rPr>
      </w:pPr>
      <w:r w:rsidRPr="009A3C86">
        <w:rPr>
          <w:rFonts w:ascii="Times New Roman" w:hAnsi="Times New Roman"/>
          <w:sz w:val="24"/>
          <w:szCs w:val="24"/>
        </w:rPr>
        <w:t>Do spraw regulowanych tym rozdziałem będą miały zastosowanie odpowiednio przepisy dotyczące postępowania podatkowego (</w:t>
      </w:r>
      <w:r w:rsidRPr="009A3C86">
        <w:rPr>
          <w:rFonts w:ascii="Times New Roman" w:hAnsi="Times New Roman"/>
          <w:b/>
          <w:sz w:val="24"/>
          <w:szCs w:val="24"/>
        </w:rPr>
        <w:t>art. 7</w:t>
      </w:r>
      <w:r w:rsidR="007373F1" w:rsidRPr="009A3C86">
        <w:rPr>
          <w:rFonts w:ascii="Times New Roman" w:hAnsi="Times New Roman"/>
          <w:b/>
          <w:sz w:val="24"/>
          <w:szCs w:val="24"/>
        </w:rPr>
        <w:t>57</w:t>
      </w:r>
      <w:r w:rsidRPr="009A3C86">
        <w:rPr>
          <w:rFonts w:ascii="Times New Roman" w:hAnsi="Times New Roman"/>
          <w:sz w:val="24"/>
          <w:szCs w:val="24"/>
        </w:rPr>
        <w:t>).</w:t>
      </w:r>
    </w:p>
    <w:p w:rsidR="00B2165B" w:rsidRPr="009A3C86" w:rsidRDefault="00B2165B" w:rsidP="00D72E74">
      <w:pPr>
        <w:tabs>
          <w:tab w:val="num" w:pos="720"/>
        </w:tabs>
        <w:spacing w:before="120" w:after="0" w:line="360" w:lineRule="auto"/>
        <w:jc w:val="both"/>
        <w:outlineLvl w:val="2"/>
        <w:rPr>
          <w:rFonts w:ascii="Times New Roman" w:eastAsia="Times New Roman" w:hAnsi="Times New Roman"/>
          <w:b/>
          <w:sz w:val="24"/>
          <w:szCs w:val="24"/>
        </w:rPr>
      </w:pPr>
      <w:bookmarkStart w:id="92" w:name="_Toc494363316"/>
      <w:r w:rsidRPr="009A3C86">
        <w:rPr>
          <w:rFonts w:ascii="Times New Roman" w:eastAsia="Times New Roman" w:hAnsi="Times New Roman"/>
          <w:b/>
          <w:sz w:val="24"/>
          <w:szCs w:val="24"/>
        </w:rPr>
        <w:t>Rozdział 1</w:t>
      </w:r>
      <w:r w:rsidR="00C42B00" w:rsidRPr="009A3C86">
        <w:rPr>
          <w:rFonts w:ascii="Times New Roman" w:eastAsia="Times New Roman" w:hAnsi="Times New Roman"/>
          <w:b/>
          <w:sz w:val="24"/>
          <w:szCs w:val="24"/>
        </w:rPr>
        <w:t>1</w:t>
      </w:r>
      <w:r w:rsidRPr="009A3C86">
        <w:rPr>
          <w:rFonts w:ascii="Times New Roman" w:eastAsia="Times New Roman" w:hAnsi="Times New Roman"/>
          <w:b/>
          <w:sz w:val="24"/>
          <w:szCs w:val="24"/>
        </w:rPr>
        <w:t>. Wydawanie zaświadczeń</w:t>
      </w:r>
      <w:bookmarkEnd w:id="92"/>
    </w:p>
    <w:p w:rsidR="00B2165B" w:rsidRPr="009A3C86" w:rsidRDefault="00B2165B" w:rsidP="00B2165B">
      <w:pPr>
        <w:keepNext/>
        <w:keepLines/>
        <w:spacing w:after="0" w:line="360" w:lineRule="auto"/>
        <w:jc w:val="both"/>
        <w:outlineLvl w:val="3"/>
        <w:rPr>
          <w:rFonts w:ascii="Times New Roman" w:hAnsi="Times New Roman"/>
          <w:b/>
          <w:sz w:val="24"/>
          <w:szCs w:val="24"/>
        </w:rPr>
      </w:pPr>
      <w:bookmarkStart w:id="93" w:name="_Toc494363317"/>
      <w:r w:rsidRPr="009A3C86">
        <w:rPr>
          <w:rFonts w:ascii="Times New Roman" w:hAnsi="Times New Roman"/>
          <w:b/>
          <w:sz w:val="24"/>
          <w:szCs w:val="24"/>
        </w:rPr>
        <w:t>Oddział 1. Przepisy ogólne</w:t>
      </w:r>
      <w:bookmarkEnd w:id="93"/>
      <w:r w:rsidRPr="009A3C86">
        <w:rPr>
          <w:rFonts w:ascii="Times New Roman" w:hAnsi="Times New Roman"/>
          <w:b/>
          <w:sz w:val="24"/>
          <w:szCs w:val="24"/>
        </w:rPr>
        <w:t xml:space="preserve"> </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Uproszczoną formą prowadzenia postępowania jest wydawanie zaświadczeń. Powyższy rozdział otrzymał zmienioną nazwę "Wydawanie zaświadczeń" a nie "Zaświadczenia," jak było w obowiązującej ustawie, gdyż reguluje on postępowanie szczególne jakim jest wydawanie zaświadczeń, a nie tylko sam efekt tego postępowania. W piśmiennictwie trafnie wykazuje się, że pojęcie „zaświadczenie” charakteryzuje się pięcioma przesłankami:</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a) jest to akt przewidziany przepisami prawa;</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b) wydawany jest na żądanie podmiotu, który się o niego ubiega;</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c) podmiot ubiegający się o zaświadczenie musi uprawdopodobnić swój interes prawny w jego uzyskaniu;</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d) zaświadczenie jako akt potwierdza zaistnienie określonych faktów lub stwierdza stan prawny;</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e) zaświadczenie jako akt wydawany jest przez organ podatkowy</w:t>
      </w:r>
      <w:r w:rsidRPr="009A3C86">
        <w:rPr>
          <w:rFonts w:ascii="Times New Roman" w:eastAsia="Times New Roman" w:hAnsi="Times New Roman"/>
          <w:sz w:val="24"/>
          <w:szCs w:val="24"/>
          <w:vertAlign w:val="superscript"/>
        </w:rPr>
        <w:footnoteReference w:id="584"/>
      </w:r>
      <w:r w:rsidRPr="009A3C86">
        <w:rPr>
          <w:rFonts w:ascii="Times New Roman" w:eastAsia="Times New Roman" w:hAnsi="Times New Roman"/>
          <w:sz w:val="24"/>
          <w:szCs w:val="24"/>
        </w:rPr>
        <w:t>.</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Zatem już tylko z uwagi na treść art. </w:t>
      </w:r>
      <w:r w:rsidR="003255D9" w:rsidRPr="009A3C86">
        <w:rPr>
          <w:rFonts w:ascii="Times New Roman" w:eastAsia="Times New Roman" w:hAnsi="Times New Roman"/>
          <w:b/>
          <w:sz w:val="24"/>
          <w:szCs w:val="24"/>
        </w:rPr>
        <w:t>758</w:t>
      </w:r>
      <w:r w:rsidRPr="009A3C86">
        <w:rPr>
          <w:rFonts w:ascii="Times New Roman" w:eastAsia="Times New Roman" w:hAnsi="Times New Roman"/>
          <w:b/>
          <w:sz w:val="24"/>
          <w:szCs w:val="24"/>
        </w:rPr>
        <w:t xml:space="preserve"> § 1</w:t>
      </w:r>
      <w:r w:rsidR="00D40A30" w:rsidRPr="009A3C86">
        <w:rPr>
          <w:rFonts w:ascii="Times New Roman" w:eastAsia="Times New Roman" w:hAnsi="Times New Roman"/>
          <w:b/>
          <w:sz w:val="24"/>
          <w:szCs w:val="24"/>
        </w:rPr>
        <w:t>–</w:t>
      </w:r>
      <w:r w:rsidRPr="009A3C86">
        <w:rPr>
          <w:rFonts w:ascii="Times New Roman" w:eastAsia="Times New Roman" w:hAnsi="Times New Roman"/>
          <w:b/>
          <w:sz w:val="24"/>
          <w:szCs w:val="24"/>
        </w:rPr>
        <w:t>2 i 4</w:t>
      </w:r>
      <w:r w:rsidRPr="009A3C86">
        <w:rPr>
          <w:rFonts w:ascii="Times New Roman" w:eastAsia="Times New Roman" w:hAnsi="Times New Roman"/>
          <w:sz w:val="24"/>
          <w:szCs w:val="24"/>
        </w:rPr>
        <w:t xml:space="preserve"> projektu będącego odpowiednikiem art. 306a § 2-3 o.p. nie można podzielić poglądu, by był to tylko akt o charakterze faktycznym</w:t>
      </w:r>
      <w:r w:rsidRPr="009A3C86">
        <w:rPr>
          <w:rFonts w:ascii="Times New Roman" w:eastAsia="Times New Roman" w:hAnsi="Times New Roman"/>
          <w:sz w:val="24"/>
          <w:szCs w:val="24"/>
          <w:vertAlign w:val="superscript"/>
        </w:rPr>
        <w:footnoteReference w:id="585"/>
      </w:r>
      <w:r w:rsidRPr="009A3C86">
        <w:rPr>
          <w:rFonts w:ascii="Times New Roman" w:eastAsia="Times New Roman" w:hAnsi="Times New Roman"/>
          <w:sz w:val="24"/>
          <w:szCs w:val="24"/>
        </w:rPr>
        <w:t xml:space="preserve">. Za poglądem C. Kosikowskiego, przedstawionym w wyliczeniu, przemawia choćby treść </w:t>
      </w:r>
      <w:r w:rsidRPr="009A3C86">
        <w:rPr>
          <w:rFonts w:ascii="Times New Roman" w:eastAsia="Times New Roman" w:hAnsi="Times New Roman"/>
          <w:b/>
          <w:sz w:val="24"/>
          <w:szCs w:val="24"/>
        </w:rPr>
        <w:t xml:space="preserve">art. </w:t>
      </w:r>
      <w:r w:rsidR="003255D9" w:rsidRPr="009A3C86">
        <w:rPr>
          <w:rFonts w:ascii="Times New Roman" w:eastAsia="Times New Roman" w:hAnsi="Times New Roman"/>
          <w:b/>
          <w:sz w:val="24"/>
          <w:szCs w:val="24"/>
        </w:rPr>
        <w:t>764</w:t>
      </w:r>
      <w:r w:rsidRPr="009A3C86">
        <w:rPr>
          <w:rFonts w:ascii="Times New Roman" w:eastAsia="Times New Roman" w:hAnsi="Times New Roman"/>
          <w:b/>
          <w:sz w:val="24"/>
          <w:szCs w:val="24"/>
        </w:rPr>
        <w:t xml:space="preserve"> § 1 pkt 1</w:t>
      </w:r>
      <w:r w:rsidR="00D40A30" w:rsidRPr="009A3C86">
        <w:rPr>
          <w:rFonts w:ascii="Times New Roman" w:eastAsia="Times New Roman" w:hAnsi="Times New Roman"/>
          <w:b/>
          <w:sz w:val="24"/>
          <w:szCs w:val="24"/>
        </w:rPr>
        <w:t>–</w:t>
      </w:r>
      <w:r w:rsidRPr="009A3C86">
        <w:rPr>
          <w:rFonts w:ascii="Times New Roman" w:eastAsia="Times New Roman" w:hAnsi="Times New Roman"/>
          <w:b/>
          <w:sz w:val="24"/>
          <w:szCs w:val="24"/>
        </w:rPr>
        <w:t>2 i § 2</w:t>
      </w:r>
      <w:r w:rsidRPr="009A3C86">
        <w:rPr>
          <w:rFonts w:ascii="Times New Roman" w:eastAsia="Times New Roman" w:hAnsi="Times New Roman"/>
          <w:sz w:val="24"/>
          <w:szCs w:val="24"/>
        </w:rPr>
        <w:t xml:space="preserve"> w związku z </w:t>
      </w:r>
      <w:r w:rsidRPr="009A3C86">
        <w:rPr>
          <w:rFonts w:ascii="Times New Roman" w:eastAsia="Times New Roman" w:hAnsi="Times New Roman"/>
          <w:b/>
          <w:sz w:val="24"/>
          <w:szCs w:val="24"/>
        </w:rPr>
        <w:t xml:space="preserve">art. </w:t>
      </w:r>
      <w:r w:rsidR="003255D9" w:rsidRPr="009A3C86">
        <w:rPr>
          <w:rFonts w:ascii="Times New Roman" w:eastAsia="Times New Roman" w:hAnsi="Times New Roman"/>
          <w:b/>
          <w:sz w:val="24"/>
          <w:szCs w:val="24"/>
        </w:rPr>
        <w:t>257</w:t>
      </w:r>
      <w:r w:rsidRPr="009A3C86">
        <w:rPr>
          <w:rFonts w:ascii="Times New Roman" w:eastAsia="Times New Roman" w:hAnsi="Times New Roman"/>
          <w:b/>
          <w:sz w:val="24"/>
          <w:szCs w:val="24"/>
        </w:rPr>
        <w:t xml:space="preserve"> § 6</w:t>
      </w:r>
      <w:r w:rsidRPr="009A3C86">
        <w:rPr>
          <w:rFonts w:ascii="Times New Roman" w:eastAsia="Times New Roman" w:hAnsi="Times New Roman"/>
          <w:sz w:val="24"/>
          <w:szCs w:val="24"/>
        </w:rPr>
        <w:t xml:space="preserve"> projektu będących odpowiednikami art. 306g </w:t>
      </w:r>
      <w:r w:rsidR="003255D9" w:rsidRPr="009A3C86">
        <w:rPr>
          <w:rFonts w:ascii="Times New Roman" w:eastAsia="Times New Roman" w:hAnsi="Times New Roman"/>
          <w:sz w:val="24"/>
          <w:szCs w:val="24"/>
        </w:rPr>
        <w:t>§ </w:t>
      </w:r>
      <w:r w:rsidRPr="009A3C86">
        <w:rPr>
          <w:rFonts w:ascii="Times New Roman" w:eastAsia="Times New Roman" w:hAnsi="Times New Roman"/>
          <w:sz w:val="24"/>
          <w:szCs w:val="24"/>
        </w:rPr>
        <w:t>1 pkt 1</w:t>
      </w:r>
      <w:r w:rsidR="00D40A30"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2 w związku z art. 112 § 6 o.p., które w zbliżonej treści obowiązywały od wejścia w życie ustawy – Ordynacja podatkowa. Przepisy te wyraźnie wskazują, że zaświadczenie, o którym mowa w art. </w:t>
      </w:r>
      <w:r w:rsidR="003255D9" w:rsidRPr="009A3C86">
        <w:rPr>
          <w:rFonts w:ascii="Times New Roman" w:eastAsia="Times New Roman" w:hAnsi="Times New Roman"/>
          <w:sz w:val="24"/>
          <w:szCs w:val="24"/>
        </w:rPr>
        <w:t>764</w:t>
      </w:r>
      <w:r w:rsidRPr="009A3C86">
        <w:rPr>
          <w:rFonts w:ascii="Times New Roman" w:eastAsia="Times New Roman" w:hAnsi="Times New Roman"/>
          <w:sz w:val="24"/>
          <w:szCs w:val="24"/>
        </w:rPr>
        <w:t xml:space="preserve"> w związku z art. </w:t>
      </w:r>
      <w:r w:rsidR="003255D9" w:rsidRPr="009A3C86">
        <w:rPr>
          <w:rFonts w:ascii="Times New Roman" w:eastAsia="Times New Roman" w:hAnsi="Times New Roman"/>
          <w:sz w:val="24"/>
          <w:szCs w:val="24"/>
        </w:rPr>
        <w:t>257</w:t>
      </w:r>
      <w:r w:rsidRPr="009A3C86">
        <w:rPr>
          <w:rFonts w:ascii="Times New Roman" w:eastAsia="Times New Roman" w:hAnsi="Times New Roman"/>
          <w:sz w:val="24"/>
          <w:szCs w:val="24"/>
        </w:rPr>
        <w:t xml:space="preserve"> § 6 projektu (art. 306g w związku z art. 112 § 6 o.p.) wywołuje skutki prawne polegające na braku odpowiedzialności podatkowej nabywcy przedsiębiorstwa lub jego zorganizowanej części za te zaległości podatkowe, które nie zostały wykazane w zaświadczeniu. Zatem to nie zaświadczenie, ale przepisy prawa te skutki prawne </w:t>
      </w:r>
      <w:r w:rsidRPr="009A3C86">
        <w:rPr>
          <w:rFonts w:ascii="Times New Roman" w:eastAsia="Times New Roman" w:hAnsi="Times New Roman"/>
          <w:sz w:val="24"/>
          <w:szCs w:val="24"/>
        </w:rPr>
        <w:lastRenderedPageBreak/>
        <w:t>wywołują. Zaświadczenie wywołuje skutki prawne, ale nie rozstrzyga o prawach i obowiązkach podmiotu ubiegającego się o zaświadczenie</w:t>
      </w:r>
      <w:r w:rsidRPr="009A3C86">
        <w:rPr>
          <w:rFonts w:ascii="Times New Roman" w:eastAsia="Times New Roman" w:hAnsi="Times New Roman"/>
          <w:sz w:val="24"/>
          <w:szCs w:val="24"/>
          <w:vertAlign w:val="superscript"/>
        </w:rPr>
        <w:footnoteReference w:id="586"/>
      </w:r>
      <w:r w:rsidRPr="009A3C86">
        <w:rPr>
          <w:rFonts w:ascii="Times New Roman" w:eastAsia="Times New Roman" w:hAnsi="Times New Roman"/>
          <w:sz w:val="24"/>
          <w:szCs w:val="24"/>
        </w:rPr>
        <w:t>. Jest charakterystyczne to, że przepisów art. 306g o.p. i art. 112 § 6 o.p. nie stosuje się do należności z tytułu składek na ubezpieczenia społeczne</w:t>
      </w:r>
      <w:r w:rsidRPr="009A3C86">
        <w:rPr>
          <w:rFonts w:ascii="Times New Roman" w:eastAsia="Times New Roman" w:hAnsi="Times New Roman"/>
          <w:sz w:val="24"/>
          <w:szCs w:val="24"/>
          <w:vertAlign w:val="superscript"/>
        </w:rPr>
        <w:footnoteReference w:id="587"/>
      </w:r>
      <w:r w:rsidRPr="009A3C86">
        <w:rPr>
          <w:rFonts w:ascii="Times New Roman" w:eastAsia="Times New Roman" w:hAnsi="Times New Roman"/>
          <w:sz w:val="24"/>
          <w:szCs w:val="24"/>
        </w:rPr>
        <w:t>, co oznacza, że przedsiębiorcy nie są w tym zakresie objęci ochroną, tak jak podatnicy nabywcy przedsiębiorstwa lub jego zorganizowanej części. To oznacza, że przedsiębiorcy za należności z tytułu składek na ubezpieczenie odpowiadają bez ograniczenia na ogólnych zasadach wskazanych w art. 112 § 1</w:t>
      </w:r>
      <w:r w:rsidR="00D40A30" w:rsidRPr="009A3C86">
        <w:rPr>
          <w:rFonts w:ascii="Times New Roman" w:eastAsia="Times New Roman" w:hAnsi="Times New Roman"/>
          <w:sz w:val="24"/>
          <w:szCs w:val="24"/>
        </w:rPr>
        <w:t>–</w:t>
      </w:r>
      <w:r w:rsidRPr="009A3C86">
        <w:rPr>
          <w:rFonts w:ascii="Times New Roman" w:eastAsia="Times New Roman" w:hAnsi="Times New Roman"/>
          <w:sz w:val="24"/>
          <w:szCs w:val="24"/>
        </w:rPr>
        <w:t>5 o.p.</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Do </w:t>
      </w:r>
      <w:r w:rsidRPr="009A3C86">
        <w:rPr>
          <w:rFonts w:ascii="Times New Roman" w:eastAsia="Times New Roman" w:hAnsi="Times New Roman"/>
          <w:b/>
          <w:sz w:val="24"/>
          <w:szCs w:val="24"/>
        </w:rPr>
        <w:t xml:space="preserve">art. </w:t>
      </w:r>
      <w:r w:rsidR="003255D9" w:rsidRPr="009A3C86">
        <w:rPr>
          <w:rFonts w:ascii="Times New Roman" w:eastAsia="Times New Roman" w:hAnsi="Times New Roman"/>
          <w:b/>
          <w:sz w:val="24"/>
          <w:szCs w:val="24"/>
        </w:rPr>
        <w:t>758</w:t>
      </w:r>
      <w:r w:rsidRPr="009A3C86">
        <w:rPr>
          <w:rFonts w:ascii="Times New Roman" w:eastAsia="Times New Roman" w:hAnsi="Times New Roman"/>
          <w:b/>
          <w:sz w:val="24"/>
          <w:szCs w:val="24"/>
        </w:rPr>
        <w:t xml:space="preserve"> § 1, 2 i 5</w:t>
      </w:r>
      <w:r w:rsidRPr="009A3C86">
        <w:rPr>
          <w:rFonts w:ascii="Times New Roman" w:eastAsia="Times New Roman" w:hAnsi="Times New Roman"/>
          <w:sz w:val="24"/>
          <w:szCs w:val="24"/>
        </w:rPr>
        <w:t xml:space="preserve"> projektu (a także do </w:t>
      </w:r>
      <w:r w:rsidRPr="009A3C86">
        <w:rPr>
          <w:rFonts w:ascii="Times New Roman" w:eastAsia="Times New Roman" w:hAnsi="Times New Roman"/>
          <w:b/>
          <w:sz w:val="24"/>
          <w:szCs w:val="24"/>
        </w:rPr>
        <w:t xml:space="preserve">art. </w:t>
      </w:r>
      <w:r w:rsidR="003255D9" w:rsidRPr="009A3C86">
        <w:rPr>
          <w:rFonts w:ascii="Times New Roman" w:eastAsia="Times New Roman" w:hAnsi="Times New Roman"/>
          <w:b/>
          <w:sz w:val="24"/>
          <w:szCs w:val="24"/>
        </w:rPr>
        <w:t>759</w:t>
      </w:r>
      <w:r w:rsidRPr="009A3C86">
        <w:rPr>
          <w:rFonts w:ascii="Times New Roman" w:eastAsia="Times New Roman" w:hAnsi="Times New Roman"/>
          <w:b/>
          <w:sz w:val="24"/>
          <w:szCs w:val="24"/>
        </w:rPr>
        <w:t xml:space="preserve"> § 2, art. </w:t>
      </w:r>
      <w:r w:rsidR="003255D9" w:rsidRPr="009A3C86">
        <w:rPr>
          <w:rFonts w:ascii="Times New Roman" w:eastAsia="Times New Roman" w:hAnsi="Times New Roman"/>
          <w:b/>
          <w:sz w:val="24"/>
          <w:szCs w:val="24"/>
        </w:rPr>
        <w:t>761</w:t>
      </w:r>
      <w:r w:rsidRPr="009A3C86">
        <w:rPr>
          <w:rFonts w:ascii="Times New Roman" w:eastAsia="Times New Roman" w:hAnsi="Times New Roman"/>
          <w:b/>
          <w:sz w:val="24"/>
          <w:szCs w:val="24"/>
        </w:rPr>
        <w:t xml:space="preserve">, art. </w:t>
      </w:r>
      <w:r w:rsidR="003255D9" w:rsidRPr="009A3C86">
        <w:rPr>
          <w:rFonts w:ascii="Times New Roman" w:eastAsia="Times New Roman" w:hAnsi="Times New Roman"/>
          <w:b/>
          <w:sz w:val="24"/>
          <w:szCs w:val="24"/>
        </w:rPr>
        <w:t>762</w:t>
      </w:r>
      <w:r w:rsidRPr="009A3C86">
        <w:rPr>
          <w:rFonts w:ascii="Times New Roman" w:eastAsia="Times New Roman" w:hAnsi="Times New Roman"/>
          <w:b/>
          <w:sz w:val="24"/>
          <w:szCs w:val="24"/>
        </w:rPr>
        <w:t xml:space="preserve"> § 2, § 4 pkt 1 lit. b i § 5</w:t>
      </w:r>
      <w:r w:rsidRPr="009A3C86">
        <w:rPr>
          <w:rFonts w:ascii="Times New Roman" w:eastAsia="Times New Roman" w:hAnsi="Times New Roman"/>
          <w:sz w:val="24"/>
          <w:szCs w:val="24"/>
        </w:rPr>
        <w:t>) wprowadzono pojęcie zainteresowanego, którym będzie osoba, ubiegająca się o zaświadczenie, a więc mająca interes prawny lub faktyczny w żądaniu wydania zaświadczenia, dotychczas wskazana w art. 306a § 1 i 2 pkt 1 i 2 o.p.</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w:t>
      </w:r>
      <w:r w:rsidRPr="009A3C86">
        <w:rPr>
          <w:rFonts w:ascii="Times New Roman" w:eastAsia="Times New Roman" w:hAnsi="Times New Roman"/>
          <w:b/>
          <w:sz w:val="24"/>
          <w:szCs w:val="24"/>
        </w:rPr>
        <w:t xml:space="preserve">art. </w:t>
      </w:r>
      <w:r w:rsidR="003255D9" w:rsidRPr="009A3C86">
        <w:rPr>
          <w:rFonts w:ascii="Times New Roman" w:eastAsia="Times New Roman" w:hAnsi="Times New Roman"/>
          <w:b/>
          <w:sz w:val="24"/>
          <w:szCs w:val="24"/>
        </w:rPr>
        <w:t>758</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(odpowiednik art. 306ia o.p.) projektu jest rozwiązaniem związanym z </w:t>
      </w:r>
      <w:r w:rsidRPr="009A3C86">
        <w:rPr>
          <w:rFonts w:ascii="Times New Roman" w:eastAsia="Times New Roman" w:hAnsi="Times New Roman"/>
          <w:b/>
          <w:sz w:val="24"/>
          <w:szCs w:val="24"/>
        </w:rPr>
        <w:t>art.</w:t>
      </w:r>
      <w:r w:rsidRPr="009A3C86">
        <w:rPr>
          <w:rFonts w:ascii="Times New Roman" w:eastAsia="Times New Roman" w:hAnsi="Times New Roman"/>
          <w:sz w:val="24"/>
          <w:szCs w:val="24"/>
        </w:rPr>
        <w:t xml:space="preserve"> </w:t>
      </w:r>
      <w:r w:rsidR="003C354E" w:rsidRPr="009A3C86">
        <w:rPr>
          <w:rFonts w:ascii="Times New Roman" w:eastAsia="Times New Roman" w:hAnsi="Times New Roman"/>
          <w:b/>
          <w:sz w:val="24"/>
          <w:szCs w:val="24"/>
        </w:rPr>
        <w:t>99</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projektu (zob. uzasadnienie do tego przepisu) i określa on tryb udostępnienia przez organ podatkowy informacji niestanowiących tajemnicy skarbowej. Kontrahent podatnika powinien wówczas złożyć wniosek o wydanie zaświadczenia w zakresie treści informacji wskazanych w art. </w:t>
      </w:r>
      <w:r w:rsidR="00642DD6" w:rsidRPr="009A3C86">
        <w:rPr>
          <w:rFonts w:ascii="Times New Roman" w:eastAsia="Times New Roman" w:hAnsi="Times New Roman"/>
          <w:sz w:val="24"/>
          <w:szCs w:val="24"/>
        </w:rPr>
        <w:t>99</w:t>
      </w:r>
      <w:r w:rsidRPr="009A3C86">
        <w:rPr>
          <w:rFonts w:ascii="Times New Roman" w:eastAsia="Times New Roman" w:hAnsi="Times New Roman"/>
          <w:sz w:val="24"/>
          <w:szCs w:val="24"/>
        </w:rPr>
        <w:t xml:space="preserve"> § 3 projektu. W </w:t>
      </w:r>
      <w:r w:rsidRPr="009A3C86">
        <w:rPr>
          <w:rFonts w:ascii="Times New Roman" w:eastAsia="Times New Roman" w:hAnsi="Times New Roman"/>
          <w:b/>
          <w:sz w:val="24"/>
          <w:szCs w:val="24"/>
        </w:rPr>
        <w:t xml:space="preserve">art. </w:t>
      </w:r>
      <w:r w:rsidR="003255D9" w:rsidRPr="009A3C86">
        <w:rPr>
          <w:rFonts w:ascii="Times New Roman" w:eastAsia="Times New Roman" w:hAnsi="Times New Roman"/>
          <w:b/>
          <w:sz w:val="24"/>
          <w:szCs w:val="24"/>
        </w:rPr>
        <w:t>758</w:t>
      </w:r>
      <w:r w:rsidRPr="009A3C86">
        <w:rPr>
          <w:rFonts w:ascii="Times New Roman" w:eastAsia="Times New Roman" w:hAnsi="Times New Roman"/>
          <w:b/>
          <w:sz w:val="24"/>
          <w:szCs w:val="24"/>
        </w:rPr>
        <w:t xml:space="preserve"> § 3 zd. </w:t>
      </w:r>
      <w:r w:rsidR="00A94209" w:rsidRPr="009A3C86">
        <w:rPr>
          <w:rFonts w:ascii="Times New Roman" w:eastAsia="Times New Roman" w:hAnsi="Times New Roman"/>
          <w:b/>
          <w:sz w:val="24"/>
          <w:szCs w:val="24"/>
        </w:rPr>
        <w:t>3</w:t>
      </w:r>
      <w:r w:rsidRPr="009A3C86">
        <w:rPr>
          <w:rFonts w:ascii="Times New Roman" w:eastAsia="Times New Roman" w:hAnsi="Times New Roman"/>
          <w:sz w:val="24"/>
          <w:szCs w:val="24"/>
        </w:rPr>
        <w:t xml:space="preserve"> projektu przewidziano obowiązek organu podatkowego wydającego zaświadczenie, na żądanie kontrahenta podatnika, doręczenia podatnikowi uwierzytelnionej kopii uwierzytelnionej kopii zaświadczenia. Jest to przejawem realizacji zasady z art. 19 projektu działania w sposób budzący zaufanie do organów podatkowych. Nie ma przy tym potrzeby doprecyzowywania definicji kontrahenta podatnika. Pojęciem tym posługują się też inne przepisy projektu. Językowe znaczenie tego określenia jest wystarczające do jego zrozumienia. Wedle niego jest to jedna ze stron zawierających umowę</w:t>
      </w:r>
      <w:r w:rsidRPr="009A3C86">
        <w:rPr>
          <w:rFonts w:ascii="Times New Roman" w:eastAsia="Times New Roman" w:hAnsi="Times New Roman"/>
          <w:sz w:val="24"/>
          <w:szCs w:val="24"/>
          <w:vertAlign w:val="superscript"/>
        </w:rPr>
        <w:footnoteReference w:id="588"/>
      </w:r>
      <w:r w:rsidRPr="009A3C86">
        <w:rPr>
          <w:rFonts w:ascii="Times New Roman" w:eastAsia="Times New Roman" w:hAnsi="Times New Roman"/>
          <w:sz w:val="24"/>
          <w:szCs w:val="24"/>
        </w:rPr>
        <w:t xml:space="preserve">, a w rozumieniu uwzględniającym kontekst przepisu oznaczać będzie osobę, która może być stroną zawierającą umowę. Poza tym dla wyjaśnienia tej przesłanki organ podatkowy może wykorzystać przepis art. </w:t>
      </w:r>
      <w:r w:rsidR="00A94209" w:rsidRPr="009A3C86">
        <w:rPr>
          <w:rFonts w:ascii="Times New Roman" w:eastAsia="Times New Roman" w:hAnsi="Times New Roman"/>
          <w:sz w:val="24"/>
          <w:szCs w:val="24"/>
        </w:rPr>
        <w:t>760</w:t>
      </w:r>
      <w:r w:rsidRPr="009A3C86">
        <w:rPr>
          <w:rFonts w:ascii="Times New Roman" w:eastAsia="Times New Roman" w:hAnsi="Times New Roman"/>
          <w:sz w:val="24"/>
          <w:szCs w:val="24"/>
        </w:rPr>
        <w:t xml:space="preserve"> § 2 projektu (art. 306b § 2 o.p.).</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Jest charakterystyczne, że </w:t>
      </w:r>
      <w:r w:rsidRPr="009A3C86">
        <w:rPr>
          <w:rFonts w:ascii="Times New Roman" w:eastAsia="Times New Roman" w:hAnsi="Times New Roman"/>
          <w:b/>
          <w:sz w:val="24"/>
          <w:szCs w:val="24"/>
        </w:rPr>
        <w:t xml:space="preserve">art. </w:t>
      </w:r>
      <w:r w:rsidR="00A94209" w:rsidRPr="009A3C86">
        <w:rPr>
          <w:rFonts w:ascii="Times New Roman" w:eastAsia="Times New Roman" w:hAnsi="Times New Roman"/>
          <w:b/>
          <w:sz w:val="24"/>
          <w:szCs w:val="24"/>
        </w:rPr>
        <w:t>758</w:t>
      </w:r>
      <w:r w:rsidRPr="009A3C86">
        <w:rPr>
          <w:rFonts w:ascii="Times New Roman" w:eastAsia="Times New Roman" w:hAnsi="Times New Roman"/>
          <w:b/>
          <w:sz w:val="24"/>
          <w:szCs w:val="24"/>
        </w:rPr>
        <w:t xml:space="preserve"> § 6 </w:t>
      </w:r>
      <w:r w:rsidRPr="009A3C86">
        <w:rPr>
          <w:rFonts w:ascii="Times New Roman" w:eastAsia="Times New Roman" w:hAnsi="Times New Roman"/>
          <w:sz w:val="24"/>
          <w:szCs w:val="24"/>
        </w:rPr>
        <w:t xml:space="preserve">projektu (art. 306a § 5 o.p.) przewiduje, podobnie jak art. 217 § 3 k.p.a., identyczny termin do wydania zaświadczenia. Z uwagi na konieczność zapewnienia w tym zakresie spójności systemowej należało te rozwiązania utrzymać. Dostrzec </w:t>
      </w:r>
      <w:r w:rsidRPr="009A3C86">
        <w:rPr>
          <w:rFonts w:ascii="Times New Roman" w:eastAsia="Times New Roman" w:hAnsi="Times New Roman"/>
          <w:sz w:val="24"/>
          <w:szCs w:val="24"/>
        </w:rPr>
        <w:lastRenderedPageBreak/>
        <w:t>jednak należy, że w systemie prawa istnieją też rozwiązania odmienne. Zgodnie bowiem z § 4 ust. 1 pkt 1 rozporządzenia Rady Ministrów z dnia 20 marca 2007 r. w sprawie zaświadczeń o pomocy de minimis i pomocy de minimis w rolnictwie lub rybołówstwie</w:t>
      </w:r>
      <w:r w:rsidRPr="009A3C86">
        <w:rPr>
          <w:rFonts w:ascii="Times New Roman" w:eastAsia="Times New Roman" w:hAnsi="Times New Roman"/>
          <w:sz w:val="24"/>
          <w:szCs w:val="24"/>
          <w:vertAlign w:val="superscript"/>
        </w:rPr>
        <w:footnoteReference w:id="589"/>
      </w:r>
      <w:r w:rsidRPr="009A3C86">
        <w:rPr>
          <w:rFonts w:ascii="Times New Roman" w:eastAsia="Times New Roman" w:hAnsi="Times New Roman"/>
          <w:sz w:val="24"/>
          <w:szCs w:val="24"/>
        </w:rPr>
        <w:t>, zaświadczenie o pomocy de minimis i zaświadczenie o pomocy de minimis w rolnictwie lub rybołówstwie wydaje się z urzędu w dniu udzielenia pomocy publicznej będącej pomocą de minimis albo pomocą de minimis w rolnictwie lub rybołówstwie, a w przypadku pomocy:</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1) udzielonej na podstawie decyzji – wraz z tą decyzją w dniu jej wydania;</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w formie ulgi podatkowej udzielonej na podstawie aktu normatywnego bez wymogu wydania decyzji – w terminie 2 miesięcy od dnia udzielenia pomocy publicznej. Przy czym zgodnie z § 4 ust. 2 tego rozporządzenia „beneficjent pomocy może wystąpić o wydanie zaświadczenia o pomocy de minimis albo zaświadczenia o pomocy de minimis w rolnictwie lub rybołówstwie przed upływem terminu, o którym mowa w ust. 1 pkt 2”.</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Oznacza to modyfikację rozwiązań ustawowych tak co do trybu, jak i terminu wydawania zaświadczeń.</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2. Racjonalizacja obowiązku wydawania zaświadczeń polega na przeniesieniu dotychczasowego art. 306d § 3</w:t>
      </w:r>
      <w:r w:rsidR="00AC3233" w:rsidRPr="009A3C86">
        <w:rPr>
          <w:rFonts w:ascii="Times New Roman" w:eastAsia="Times New Roman" w:hAnsi="Times New Roman"/>
          <w:b/>
          <w:sz w:val="24"/>
          <w:szCs w:val="24"/>
        </w:rPr>
        <w:t>–</w:t>
      </w:r>
      <w:r w:rsidRPr="009A3C86">
        <w:rPr>
          <w:rFonts w:ascii="Times New Roman" w:eastAsia="Times New Roman" w:hAnsi="Times New Roman"/>
          <w:sz w:val="24"/>
          <w:szCs w:val="24"/>
        </w:rPr>
        <w:t>5 o.p. do nowego rozdziału o stosowaniu środków komunikacji elektronicznej (</w:t>
      </w:r>
      <w:r w:rsidRPr="009A3C86">
        <w:rPr>
          <w:rFonts w:ascii="Times New Roman" w:eastAsia="Times New Roman" w:hAnsi="Times New Roman"/>
          <w:b/>
          <w:sz w:val="24"/>
          <w:szCs w:val="24"/>
        </w:rPr>
        <w:t>art. 4</w:t>
      </w:r>
      <w:r w:rsidR="00642DD6" w:rsidRPr="009A3C86">
        <w:rPr>
          <w:rFonts w:ascii="Times New Roman" w:eastAsia="Times New Roman" w:hAnsi="Times New Roman"/>
          <w:b/>
          <w:sz w:val="24"/>
          <w:szCs w:val="24"/>
        </w:rPr>
        <w:t>2</w:t>
      </w:r>
      <w:r w:rsidRPr="009A3C86">
        <w:rPr>
          <w:rFonts w:ascii="Times New Roman" w:eastAsia="Times New Roman" w:hAnsi="Times New Roman"/>
          <w:b/>
          <w:sz w:val="24"/>
          <w:szCs w:val="24"/>
        </w:rPr>
        <w:t xml:space="preserve"> § 1</w:t>
      </w:r>
      <w:r w:rsidR="00D40A30" w:rsidRPr="009A3C86">
        <w:rPr>
          <w:rFonts w:ascii="Times New Roman" w:eastAsia="Times New Roman" w:hAnsi="Times New Roman"/>
          <w:b/>
          <w:sz w:val="24"/>
          <w:szCs w:val="24"/>
        </w:rPr>
        <w:t>–</w:t>
      </w:r>
      <w:r w:rsidRPr="009A3C86">
        <w:rPr>
          <w:rFonts w:ascii="Times New Roman" w:eastAsia="Times New Roman" w:hAnsi="Times New Roman"/>
          <w:b/>
          <w:sz w:val="24"/>
          <w:szCs w:val="24"/>
        </w:rPr>
        <w:t>3</w:t>
      </w:r>
      <w:r w:rsidRPr="009A3C86">
        <w:rPr>
          <w:rFonts w:ascii="Times New Roman" w:eastAsia="Times New Roman" w:hAnsi="Times New Roman"/>
          <w:sz w:val="24"/>
          <w:szCs w:val="24"/>
        </w:rPr>
        <w:t xml:space="preserve">), zaś art. 306d § 1 i 2 o.p. do </w:t>
      </w:r>
      <w:r w:rsidRPr="009A3C86">
        <w:rPr>
          <w:rFonts w:ascii="Times New Roman" w:eastAsia="Times New Roman" w:hAnsi="Times New Roman"/>
          <w:b/>
          <w:sz w:val="24"/>
          <w:szCs w:val="24"/>
        </w:rPr>
        <w:t xml:space="preserve">art. </w:t>
      </w:r>
      <w:r w:rsidR="00810008" w:rsidRPr="009A3C86">
        <w:rPr>
          <w:rFonts w:ascii="Times New Roman" w:eastAsia="Times New Roman" w:hAnsi="Times New Roman"/>
          <w:b/>
          <w:sz w:val="24"/>
          <w:szCs w:val="24"/>
        </w:rPr>
        <w:t>380</w:t>
      </w:r>
      <w:r w:rsidRPr="009A3C86">
        <w:rPr>
          <w:rFonts w:ascii="Times New Roman" w:eastAsia="Times New Roman" w:hAnsi="Times New Roman"/>
          <w:b/>
          <w:sz w:val="24"/>
          <w:szCs w:val="24"/>
        </w:rPr>
        <w:t xml:space="preserve"> § 4 i 5</w:t>
      </w:r>
      <w:r w:rsidRPr="009A3C86">
        <w:rPr>
          <w:rFonts w:ascii="Times New Roman" w:eastAsia="Times New Roman" w:hAnsi="Times New Roman"/>
          <w:sz w:val="24"/>
          <w:szCs w:val="24"/>
        </w:rPr>
        <w:t>. Uznać bowiem należy, że te ostatnie przepisy mają charakter przepisów o dowodach. Są one bowiem ściśle związane z postępowaniem dowodowym. Nie jest celowe eliminowanie obowiązku wydawania zaświadczeń w oparciu o dane przybliżone, czy w oparciu o akta prowadzonych a niezakończonych spraw (art. 306f § 2 o.p.), albowiem byłoby to często niekorzystne dla spadkobierców, zapisobierców zwykłych czy zapisobierców windykacyjnych, którzy mają podjąć decyzję co do przyjęcia lub odrzucenia spadku (</w:t>
      </w:r>
      <w:r w:rsidRPr="009A3C86">
        <w:rPr>
          <w:rFonts w:ascii="Times New Roman" w:eastAsia="Times New Roman" w:hAnsi="Times New Roman"/>
          <w:b/>
          <w:sz w:val="24"/>
          <w:szCs w:val="24"/>
        </w:rPr>
        <w:t xml:space="preserve">art. </w:t>
      </w:r>
      <w:r w:rsidR="00810008" w:rsidRPr="009A3C86">
        <w:rPr>
          <w:rFonts w:ascii="Times New Roman" w:eastAsia="Times New Roman" w:hAnsi="Times New Roman"/>
          <w:b/>
          <w:sz w:val="24"/>
          <w:szCs w:val="24"/>
        </w:rPr>
        <w:t>763</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3. Przepisy </w:t>
      </w:r>
      <w:r w:rsidRPr="009A3C86">
        <w:rPr>
          <w:rFonts w:ascii="Times New Roman" w:eastAsia="Times New Roman" w:hAnsi="Times New Roman"/>
          <w:b/>
          <w:sz w:val="24"/>
          <w:szCs w:val="24"/>
        </w:rPr>
        <w:t xml:space="preserve">art. </w:t>
      </w:r>
      <w:r w:rsidR="00810008" w:rsidRPr="009A3C86">
        <w:rPr>
          <w:rFonts w:ascii="Times New Roman" w:eastAsia="Times New Roman" w:hAnsi="Times New Roman"/>
          <w:b/>
          <w:sz w:val="24"/>
          <w:szCs w:val="24"/>
        </w:rPr>
        <w:t>758</w:t>
      </w:r>
      <w:r w:rsidRPr="009A3C86">
        <w:rPr>
          <w:rFonts w:ascii="Times New Roman" w:eastAsia="Times New Roman" w:hAnsi="Times New Roman"/>
          <w:b/>
          <w:sz w:val="24"/>
          <w:szCs w:val="24"/>
        </w:rPr>
        <w:t xml:space="preserve">, </w:t>
      </w:r>
      <w:r w:rsidR="00810008" w:rsidRPr="009A3C86">
        <w:rPr>
          <w:rFonts w:ascii="Times New Roman" w:eastAsia="Times New Roman" w:hAnsi="Times New Roman"/>
          <w:b/>
          <w:sz w:val="24"/>
          <w:szCs w:val="24"/>
        </w:rPr>
        <w:t>760</w:t>
      </w:r>
      <w:r w:rsidRPr="009A3C86">
        <w:rPr>
          <w:rFonts w:ascii="Times New Roman" w:eastAsia="Times New Roman" w:hAnsi="Times New Roman"/>
          <w:b/>
          <w:sz w:val="24"/>
          <w:szCs w:val="24"/>
        </w:rPr>
        <w:t xml:space="preserve">, </w:t>
      </w:r>
      <w:r w:rsidR="00810008" w:rsidRPr="009A3C86">
        <w:rPr>
          <w:rFonts w:ascii="Times New Roman" w:eastAsia="Times New Roman" w:hAnsi="Times New Roman"/>
          <w:b/>
          <w:sz w:val="24"/>
          <w:szCs w:val="24"/>
        </w:rPr>
        <w:t>761</w:t>
      </w:r>
      <w:r w:rsidRPr="009A3C86">
        <w:rPr>
          <w:rFonts w:ascii="Times New Roman" w:eastAsia="Times New Roman" w:hAnsi="Times New Roman"/>
          <w:sz w:val="24"/>
          <w:szCs w:val="24"/>
        </w:rPr>
        <w:t xml:space="preserve"> są odpowiednikami dotychczasowych przepisów art. 306a, 306b, 306c o.p. Na gruncie </w:t>
      </w:r>
      <w:r w:rsidRPr="009A3C86">
        <w:rPr>
          <w:rFonts w:ascii="Times New Roman" w:eastAsia="Times New Roman" w:hAnsi="Times New Roman"/>
          <w:b/>
          <w:sz w:val="24"/>
          <w:szCs w:val="24"/>
        </w:rPr>
        <w:t xml:space="preserve">art. </w:t>
      </w:r>
      <w:r w:rsidR="00810008" w:rsidRPr="009A3C86">
        <w:rPr>
          <w:rFonts w:ascii="Times New Roman" w:eastAsia="Times New Roman" w:hAnsi="Times New Roman"/>
          <w:b/>
          <w:sz w:val="24"/>
          <w:szCs w:val="24"/>
        </w:rPr>
        <w:t>758</w:t>
      </w:r>
      <w:r w:rsidRPr="009A3C86">
        <w:rPr>
          <w:rFonts w:ascii="Times New Roman" w:eastAsia="Times New Roman" w:hAnsi="Times New Roman"/>
          <w:sz w:val="24"/>
          <w:szCs w:val="24"/>
        </w:rPr>
        <w:t xml:space="preserve"> projektu utrzymano, co do zasady, regulację, że zaświadczenie wydaje się na żądanie zainteresowanego. Oznacza to, że „przepisy prawa nie dają podstaw do wystawiania zaświadczeń z urzędu”</w:t>
      </w:r>
      <w:r w:rsidRPr="009A3C86">
        <w:rPr>
          <w:rFonts w:ascii="Times New Roman" w:eastAsia="Times New Roman" w:hAnsi="Times New Roman"/>
          <w:sz w:val="24"/>
          <w:szCs w:val="24"/>
          <w:vertAlign w:val="superscript"/>
        </w:rPr>
        <w:footnoteReference w:id="590"/>
      </w:r>
      <w:r w:rsidRPr="009A3C86">
        <w:rPr>
          <w:rFonts w:ascii="Times New Roman" w:eastAsia="Times New Roman" w:hAnsi="Times New Roman"/>
          <w:sz w:val="24"/>
          <w:szCs w:val="24"/>
        </w:rPr>
        <w:t>.</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4. Do przepisów nowych zaliczyć należy </w:t>
      </w:r>
      <w:r w:rsidRPr="009A3C86">
        <w:rPr>
          <w:rFonts w:ascii="Times New Roman" w:eastAsia="Times New Roman" w:hAnsi="Times New Roman"/>
          <w:b/>
          <w:sz w:val="24"/>
          <w:szCs w:val="24"/>
        </w:rPr>
        <w:t xml:space="preserve">art. </w:t>
      </w:r>
      <w:r w:rsidR="00810008" w:rsidRPr="009A3C86">
        <w:rPr>
          <w:rFonts w:ascii="Times New Roman" w:eastAsia="Times New Roman" w:hAnsi="Times New Roman"/>
          <w:b/>
          <w:sz w:val="24"/>
          <w:szCs w:val="24"/>
        </w:rPr>
        <w:t>759</w:t>
      </w:r>
      <w:r w:rsidRPr="009A3C86">
        <w:rPr>
          <w:rFonts w:ascii="Times New Roman" w:eastAsia="Times New Roman" w:hAnsi="Times New Roman"/>
          <w:sz w:val="24"/>
          <w:szCs w:val="24"/>
        </w:rPr>
        <w:t xml:space="preserve"> dopuszczający możliwość wydawania (z urzędu lub na wniosek) nowego zaświadczenia, o ile rzeczywisty stan faktyczny lub prawny istniejący w dniu wydania zaświadczenia był inny niż przedstawiony w dotychczasowym </w:t>
      </w:r>
      <w:r w:rsidRPr="009A3C86">
        <w:rPr>
          <w:rFonts w:ascii="Times New Roman" w:eastAsia="Times New Roman" w:hAnsi="Times New Roman"/>
          <w:sz w:val="24"/>
          <w:szCs w:val="24"/>
        </w:rPr>
        <w:lastRenderedPageBreak/>
        <w:t xml:space="preserve">zaświadczeniu. Regulacja ta ma w założeniu wyeliminować niedogodności osób ubiegających się o wydanie zaświadczenia, przyspieszyć obieg dokumentów i odbiurokratyzować życie publiczne. Ma ona też na celu realizację zasady określonej w art. 16 projektu, a więc udzielenia zainteresowanemu wsparcia w samodzielnym i prawidłowym oraz dobrowolnym wykonaniu jego praw i obowiązków. </w:t>
      </w:r>
      <w:r w:rsidRPr="009A3C86">
        <w:rPr>
          <w:rFonts w:ascii="Times New Roman" w:eastAsia="Times New Roman" w:hAnsi="Times New Roman"/>
          <w:color w:val="000000"/>
          <w:sz w:val="24"/>
          <w:szCs w:val="24"/>
        </w:rPr>
        <w:t>Dotychczas zainteresowany (osoba mająca interes prawny lub faktyczny, a więc każdy kto z uwagi na swój interes żąda czynności organu podatkowego lub, którego interesu działanie organu podatkowego dotyczy) mógł, w</w:t>
      </w:r>
      <w:r w:rsidRPr="009A3C86">
        <w:rPr>
          <w:rFonts w:ascii="Times New Roman" w:eastAsia="Times New Roman" w:hAnsi="Times New Roman"/>
          <w:sz w:val="24"/>
          <w:szCs w:val="24"/>
        </w:rPr>
        <w:t xml:space="preserve"> przypadku wadliwej treści zaświadczenia, skorzystać z instytucji żądania przeprowadzenia przeciwdowodu, o ile zaświadczenie było mu niezbędne do przedłożenia w prowadzonym postępowaniu, np. innym podatkowym czy administracyjnym, uregulowanej w art. 194 § 3 w związku z art. 188 o.p., art. 76 § 3 w związku z art. 78 § 1 k.p.a., czy nawet z instytucji skargi z art. 227 k.p.a. Projektowany przepis art. </w:t>
      </w:r>
      <w:r w:rsidR="00810008" w:rsidRPr="009A3C86">
        <w:rPr>
          <w:rFonts w:ascii="Times New Roman" w:eastAsia="Times New Roman" w:hAnsi="Times New Roman"/>
          <w:sz w:val="24"/>
          <w:szCs w:val="24"/>
        </w:rPr>
        <w:t>759</w:t>
      </w:r>
      <w:r w:rsidRPr="009A3C86">
        <w:rPr>
          <w:rFonts w:ascii="Times New Roman" w:eastAsia="Times New Roman" w:hAnsi="Times New Roman"/>
          <w:sz w:val="24"/>
          <w:szCs w:val="24"/>
        </w:rPr>
        <w:t xml:space="preserve"> niewątpliwie rozszerzy wachlarz tych uprawnień zainteresowanych. Zainteresowany ubiegający się o zaświadczenie może bowiem wykorzystać nową instytucję z art. 10</w:t>
      </w:r>
      <w:r w:rsidR="00642DD6" w:rsidRPr="009A3C86">
        <w:rPr>
          <w:rFonts w:ascii="Times New Roman" w:eastAsia="Times New Roman" w:hAnsi="Times New Roman"/>
          <w:sz w:val="24"/>
          <w:szCs w:val="24"/>
        </w:rPr>
        <w:t>0</w:t>
      </w:r>
      <w:r w:rsidRPr="009A3C86">
        <w:rPr>
          <w:rFonts w:ascii="Times New Roman" w:eastAsia="Times New Roman" w:hAnsi="Times New Roman"/>
          <w:sz w:val="24"/>
          <w:szCs w:val="24"/>
        </w:rPr>
        <w:t xml:space="preserve"> § 8 projektu, z którego wynika, że „organ podatkowy na wniosek zobowiązanego udostępnia dane, o których mowa w art. </w:t>
      </w:r>
      <w:r w:rsidR="00810008" w:rsidRPr="009A3C86">
        <w:rPr>
          <w:rFonts w:ascii="Times New Roman" w:eastAsia="Times New Roman" w:hAnsi="Times New Roman"/>
          <w:sz w:val="24"/>
          <w:szCs w:val="24"/>
        </w:rPr>
        <w:t>99</w:t>
      </w:r>
      <w:r w:rsidRPr="009A3C86">
        <w:rPr>
          <w:rFonts w:ascii="Times New Roman" w:eastAsia="Times New Roman" w:hAnsi="Times New Roman"/>
          <w:sz w:val="24"/>
          <w:szCs w:val="24"/>
        </w:rPr>
        <w:t xml:space="preserve"> § 1 podmiotom przez nich wskazanym w zakresie określonym we wniosku. Osoby, którym te dane udostępniono obowiązane są w tym zakresie do zachowania tajemnicy skarbowej”. Oznacza to, że w takim przypadku organ podatkowy może dane zaświadczenie przekazać wskazanemu przez tego zainteresowanego podmiotowi, np. bankowi, notariuszowi, innemu organowi podatkowemu itd. także w postaci elektronicznej. Wprowadzenie tej regulacji uzasadnione jest także postulatami organów podatkowych, które nie mają dotychczas skutecznego instrumentu prawnego, mogącego doprowadzić do wyeliminowania z obrotu prawnego wydanego, a błędnego faktycznie zaświadczenia. Wprowadzone w projektowanym art. </w:t>
      </w:r>
      <w:r w:rsidR="00810008" w:rsidRPr="009A3C86">
        <w:rPr>
          <w:rFonts w:ascii="Times New Roman" w:eastAsia="Times New Roman" w:hAnsi="Times New Roman"/>
          <w:sz w:val="24"/>
          <w:szCs w:val="24"/>
        </w:rPr>
        <w:t>759</w:t>
      </w:r>
      <w:r w:rsidRPr="009A3C86">
        <w:rPr>
          <w:rFonts w:ascii="Times New Roman" w:eastAsia="Times New Roman" w:hAnsi="Times New Roman"/>
          <w:sz w:val="24"/>
          <w:szCs w:val="24"/>
        </w:rPr>
        <w:t xml:space="preserve"> rozwiązanie jest trybem quasi nadzwyczajnym funkcjonującym w przepisach prawa, choćby w art. 5 ust. 3a ustawy z dnia 30 kwietnia 2004 r. o postępowaniu w sprawach dotyczących pomocy publicznej</w:t>
      </w:r>
      <w:r w:rsidRPr="009A3C86">
        <w:rPr>
          <w:rFonts w:ascii="Times New Roman" w:eastAsia="Times New Roman" w:hAnsi="Times New Roman"/>
          <w:sz w:val="24"/>
          <w:szCs w:val="24"/>
          <w:vertAlign w:val="superscript"/>
        </w:rPr>
        <w:footnoteReference w:id="591"/>
      </w:r>
      <w:r w:rsidRPr="009A3C86">
        <w:rPr>
          <w:rFonts w:ascii="Times New Roman" w:eastAsia="Times New Roman" w:hAnsi="Times New Roman"/>
          <w:sz w:val="24"/>
          <w:szCs w:val="24"/>
        </w:rPr>
        <w:t>. Zbliżony tryb przewidziany jest także w art. 20 ustawy z dnia 8 lipca 2005 r. o realizacji prawa do rekompensaty z tytułu pozostawienia nieruchomości poza obecnymi granicami Rzeczypospolitej Polskiej</w:t>
      </w:r>
      <w:r w:rsidRPr="009A3C86">
        <w:rPr>
          <w:rFonts w:ascii="Times New Roman" w:eastAsia="Times New Roman" w:hAnsi="Times New Roman"/>
          <w:sz w:val="24"/>
          <w:szCs w:val="24"/>
          <w:vertAlign w:val="superscript"/>
        </w:rPr>
        <w:footnoteReference w:id="592"/>
      </w:r>
      <w:r w:rsidRPr="009A3C86">
        <w:rPr>
          <w:rFonts w:ascii="Times New Roman" w:eastAsia="Times New Roman" w:hAnsi="Times New Roman"/>
          <w:sz w:val="24"/>
          <w:szCs w:val="24"/>
        </w:rPr>
        <w:t xml:space="preserve">. Przepis ten jest także realizacją zasad z art. 19 i 26 projektu. Charakterystyczne jest to, że tryb wydawania zaświadczeń z urzędu, o których mowa w art. </w:t>
      </w:r>
      <w:r w:rsidR="00810008" w:rsidRPr="009A3C86">
        <w:rPr>
          <w:rFonts w:ascii="Times New Roman" w:eastAsia="Times New Roman" w:hAnsi="Times New Roman"/>
          <w:sz w:val="24"/>
          <w:szCs w:val="24"/>
        </w:rPr>
        <w:t>759</w:t>
      </w:r>
      <w:r w:rsidRPr="009A3C86">
        <w:rPr>
          <w:rFonts w:ascii="Times New Roman" w:eastAsia="Times New Roman" w:hAnsi="Times New Roman"/>
          <w:sz w:val="24"/>
          <w:szCs w:val="24"/>
        </w:rPr>
        <w:t xml:space="preserve"> § 1 projektu, jest wyjątkiem od zasady określonej w art. </w:t>
      </w:r>
      <w:r w:rsidR="00810008" w:rsidRPr="009A3C86">
        <w:rPr>
          <w:rFonts w:ascii="Times New Roman" w:eastAsia="Times New Roman" w:hAnsi="Times New Roman"/>
          <w:sz w:val="24"/>
          <w:szCs w:val="24"/>
        </w:rPr>
        <w:t>758</w:t>
      </w:r>
      <w:r w:rsidRPr="009A3C86">
        <w:rPr>
          <w:rFonts w:ascii="Times New Roman" w:eastAsia="Times New Roman" w:hAnsi="Times New Roman"/>
          <w:sz w:val="24"/>
          <w:szCs w:val="24"/>
        </w:rPr>
        <w:t xml:space="preserve"> § 1, który wprost wykazuje, że zaświadczenie wydaje się na </w:t>
      </w:r>
      <w:r w:rsidRPr="009A3C86">
        <w:rPr>
          <w:rFonts w:ascii="Times New Roman" w:eastAsia="Times New Roman" w:hAnsi="Times New Roman"/>
          <w:sz w:val="24"/>
          <w:szCs w:val="24"/>
        </w:rPr>
        <w:lastRenderedPageBreak/>
        <w:t xml:space="preserve">żądanie zainteresowanego ubiegającego się o zaświadczenie a to oznacza, że powinien być rozumiany ściśle. Należy mieć tu na uwadze także to, że zaświadczenie, o którym mowa, wydane z urzędu, jest konsekwencją wcześniejszego zaświadczenia, które zostało wydane na wniosek. W przypadku gdyby zaświadczenie, o którym mowa w art. </w:t>
      </w:r>
      <w:r w:rsidR="00810008" w:rsidRPr="009A3C86">
        <w:rPr>
          <w:rFonts w:ascii="Times New Roman" w:eastAsia="Times New Roman" w:hAnsi="Times New Roman"/>
          <w:sz w:val="24"/>
          <w:szCs w:val="24"/>
        </w:rPr>
        <w:t>758</w:t>
      </w:r>
      <w:r w:rsidRPr="009A3C86">
        <w:rPr>
          <w:rFonts w:ascii="Times New Roman" w:eastAsia="Times New Roman" w:hAnsi="Times New Roman"/>
          <w:sz w:val="24"/>
          <w:szCs w:val="24"/>
        </w:rPr>
        <w:t xml:space="preserve"> § 1 projektu, było wydawane na wniosek zainteresowanego, zastosowanie wprost miałby także art. </w:t>
      </w:r>
      <w:r w:rsidR="00810008" w:rsidRPr="009A3C86">
        <w:rPr>
          <w:rFonts w:ascii="Times New Roman" w:eastAsia="Times New Roman" w:hAnsi="Times New Roman"/>
          <w:sz w:val="24"/>
          <w:szCs w:val="24"/>
        </w:rPr>
        <w:t>758</w:t>
      </w:r>
      <w:r w:rsidRPr="009A3C86">
        <w:rPr>
          <w:rFonts w:ascii="Times New Roman" w:eastAsia="Times New Roman" w:hAnsi="Times New Roman"/>
          <w:sz w:val="24"/>
          <w:szCs w:val="24"/>
        </w:rPr>
        <w:t xml:space="preserve"> § 4 projektu. Jest charakterystyczne, że tego rodzaju rozwiązania nie przewiduje kodeks postępowania administracyjnego. Przepis </w:t>
      </w:r>
      <w:r w:rsidRPr="009A3C86">
        <w:rPr>
          <w:rFonts w:ascii="Times New Roman" w:eastAsia="Times New Roman" w:hAnsi="Times New Roman"/>
          <w:b/>
          <w:sz w:val="24"/>
          <w:szCs w:val="24"/>
        </w:rPr>
        <w:t xml:space="preserve">art. </w:t>
      </w:r>
      <w:r w:rsidR="00403BE7" w:rsidRPr="009A3C86">
        <w:rPr>
          <w:rFonts w:ascii="Times New Roman" w:eastAsia="Times New Roman" w:hAnsi="Times New Roman"/>
          <w:b/>
          <w:sz w:val="24"/>
          <w:szCs w:val="24"/>
        </w:rPr>
        <w:t>760</w:t>
      </w:r>
      <w:r w:rsidRPr="009A3C86">
        <w:rPr>
          <w:rFonts w:ascii="Times New Roman" w:eastAsia="Times New Roman" w:hAnsi="Times New Roman"/>
          <w:sz w:val="24"/>
          <w:szCs w:val="24"/>
        </w:rPr>
        <w:t xml:space="preserve"> wskazuje na istotę postępowania wyjaśniającego, przewidzianego w § 2. Polega ono na „badaniu okoliczności wynikających z posiadanych przez organ ewidencji, rejestrów i innych danych pod kątem możliwości urzędowego stwierdzenia znanych faktów lub stanu prawnego, w zakresie danych, które pozostają w dyspozycji organu mającego wydać zaświadczenie. Oznacza to, że ustalenia czynione przez organ są ograniczone, bowiem organ wydający zaświadczenie nie ma kompetencji do wykorzystywania na potrzeby jego wystawienia danych, które nie znajdują się w jego dyspozycji. Organ podatkowy nie może co do zasady, analizować zmian w stanie prawnym i wyprowadzać z nich stosownych wniosków, ani oceniać wcześniej wydanego zaświadczenia</w:t>
      </w:r>
      <w:r w:rsidRPr="009A3C86">
        <w:rPr>
          <w:rFonts w:ascii="Times New Roman" w:eastAsia="Times New Roman" w:hAnsi="Times New Roman"/>
          <w:sz w:val="24"/>
          <w:szCs w:val="24"/>
          <w:vertAlign w:val="superscript"/>
        </w:rPr>
        <w:footnoteReference w:id="593"/>
      </w:r>
      <w:r w:rsidRPr="009A3C86">
        <w:rPr>
          <w:rFonts w:ascii="Times New Roman" w:eastAsia="Times New Roman" w:hAnsi="Times New Roman"/>
          <w:sz w:val="24"/>
          <w:szCs w:val="24"/>
        </w:rPr>
        <w:t>. Zakresem postępowania wyjaśniającego będzie objęte, jeżeli strona się na niego powołuje, istnienie interesu prawnego. Ma ono więc na celu usunięcie wątpliwości co do znanych, bo istniejących już faktów lub stanu prawnego</w:t>
      </w:r>
      <w:r w:rsidRPr="009A3C86">
        <w:rPr>
          <w:rFonts w:ascii="Times New Roman" w:eastAsia="Times New Roman" w:hAnsi="Times New Roman"/>
          <w:sz w:val="24"/>
          <w:szCs w:val="24"/>
          <w:vertAlign w:val="superscript"/>
        </w:rPr>
        <w:footnoteReference w:id="594"/>
      </w:r>
      <w:r w:rsidRPr="009A3C86">
        <w:rPr>
          <w:rFonts w:ascii="Times New Roman" w:eastAsia="Times New Roman" w:hAnsi="Times New Roman"/>
          <w:sz w:val="24"/>
          <w:szCs w:val="24"/>
        </w:rPr>
        <w:t>. Jeżeli strona w tym postępowaniu wykaże swój interes prawny, to organ podatkowy nie może odmówić wydania zaświadczenia</w:t>
      </w:r>
      <w:r w:rsidRPr="009A3C86">
        <w:rPr>
          <w:rFonts w:ascii="Times New Roman" w:eastAsia="Times New Roman" w:hAnsi="Times New Roman"/>
          <w:sz w:val="24"/>
          <w:szCs w:val="24"/>
          <w:vertAlign w:val="superscript"/>
        </w:rPr>
        <w:footnoteReference w:id="595"/>
      </w:r>
      <w:r w:rsidRPr="009A3C86">
        <w:rPr>
          <w:rFonts w:ascii="Times New Roman" w:eastAsia="Times New Roman" w:hAnsi="Times New Roman"/>
          <w:sz w:val="24"/>
          <w:szCs w:val="24"/>
        </w:rPr>
        <w:t>, Zakres prowadzonego postępowania wyjaśniającego jest wprawdzie w orzecznictwie sądów administracyjnych przedmiotem sporów</w:t>
      </w:r>
      <w:r w:rsidRPr="009A3C86">
        <w:rPr>
          <w:rFonts w:ascii="Times New Roman" w:eastAsia="Times New Roman" w:hAnsi="Times New Roman"/>
          <w:sz w:val="24"/>
          <w:szCs w:val="24"/>
          <w:vertAlign w:val="superscript"/>
        </w:rPr>
        <w:footnoteReference w:id="596"/>
      </w:r>
      <w:r w:rsidRPr="009A3C86">
        <w:rPr>
          <w:rFonts w:ascii="Times New Roman" w:eastAsia="Times New Roman" w:hAnsi="Times New Roman"/>
          <w:sz w:val="24"/>
          <w:szCs w:val="24"/>
        </w:rPr>
        <w:t xml:space="preserve">, to istnienie tej rozbieżności nie oznacza konieczności jej likwidacji w projektowanych przepisach ordynacji podatkowej. Dla jednoznacznego uregulowania tych kwestii spornych przepisowi </w:t>
      </w:r>
      <w:r w:rsidRPr="009A3C86">
        <w:rPr>
          <w:rFonts w:ascii="Times New Roman" w:eastAsia="Times New Roman" w:hAnsi="Times New Roman"/>
          <w:b/>
          <w:sz w:val="24"/>
          <w:szCs w:val="24"/>
        </w:rPr>
        <w:t xml:space="preserve">art. </w:t>
      </w:r>
      <w:r w:rsidR="00403BE7" w:rsidRPr="009A3C86">
        <w:rPr>
          <w:rFonts w:ascii="Times New Roman" w:eastAsia="Times New Roman" w:hAnsi="Times New Roman"/>
          <w:b/>
          <w:sz w:val="24"/>
          <w:szCs w:val="24"/>
        </w:rPr>
        <w:t>760</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projektu nadano odmienną niż dotychczas (art. 306b § 2 o.p.) treść, a mianowicie przedmiotem postępowania zmierzającego do wydania zaświadczenia będą dane pozostające w dyspozycji organu wydającego zaświadczenie</w:t>
      </w:r>
      <w:r w:rsidRPr="009A3C86">
        <w:rPr>
          <w:rFonts w:ascii="Times New Roman" w:eastAsia="Times New Roman" w:hAnsi="Times New Roman"/>
          <w:sz w:val="24"/>
          <w:szCs w:val="24"/>
          <w:vertAlign w:val="superscript"/>
        </w:rPr>
        <w:footnoteReference w:id="597"/>
      </w:r>
      <w:r w:rsidRPr="009A3C86">
        <w:rPr>
          <w:rFonts w:ascii="Times New Roman" w:eastAsia="Times New Roman" w:hAnsi="Times New Roman"/>
          <w:sz w:val="24"/>
          <w:szCs w:val="24"/>
        </w:rPr>
        <w:t xml:space="preserve">. Poza tym zagadnienie to powinno być rozstrzygane w </w:t>
      </w:r>
      <w:r w:rsidRPr="009A3C86">
        <w:rPr>
          <w:rFonts w:ascii="Times New Roman" w:eastAsia="Times New Roman" w:hAnsi="Times New Roman"/>
          <w:sz w:val="24"/>
          <w:szCs w:val="24"/>
        </w:rPr>
        <w:lastRenderedPageBreak/>
        <w:t xml:space="preserve">ramach rozpatrywania konkretnej sprawy. Zapewni to bowiem realizację zasad ogólnych wskazanych w art. 16, art. 22 § 1, art. 24 § 1 projektu. Jeżeli dane niezbędne do wydania zaświadczenia nie znajdują się w dyspozycji organu, który to zaświadczenie ma wydać bądź też, gdy stwierdzony zostanie brak zgodności między treścią żądania a stanem rzeczy wynikającym z ewidencji, rejestrów lub innych danych znajdujących się w jego posiadaniu, organ ten odmawia wydania zaświadczenia, na podstawie art. 306c </w:t>
      </w:r>
      <w:r w:rsidRPr="009A3C86">
        <w:rPr>
          <w:rFonts w:ascii="Times New Roman" w:eastAsia="Times New Roman" w:hAnsi="Times New Roman"/>
          <w:i/>
          <w:iCs/>
          <w:sz w:val="24"/>
          <w:szCs w:val="24"/>
        </w:rPr>
        <w:t xml:space="preserve">in </w:t>
      </w:r>
      <w:r w:rsidRPr="009A3C86">
        <w:rPr>
          <w:rFonts w:ascii="Times New Roman" w:eastAsia="Times New Roman" w:hAnsi="Times New Roman"/>
          <w:sz w:val="24"/>
          <w:szCs w:val="24"/>
        </w:rPr>
        <w:t>fine o.p.”</w:t>
      </w:r>
      <w:r w:rsidRPr="009A3C86">
        <w:rPr>
          <w:rFonts w:ascii="Times New Roman" w:eastAsia="Times New Roman" w:hAnsi="Times New Roman"/>
          <w:sz w:val="24"/>
          <w:szCs w:val="24"/>
          <w:vertAlign w:val="superscript"/>
        </w:rPr>
        <w:footnoteReference w:id="598"/>
      </w:r>
      <w:r w:rsidR="00403BE7"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Osoba ubiegająca się o zaświadczenie może jednak  żądać od tego innego organu, by ten przekazał zaświadczenie temu pierwszemu organowi podatkowemu zgodnie z art. 10</w:t>
      </w:r>
      <w:r w:rsidR="00CA6B81" w:rsidRPr="009A3C86">
        <w:rPr>
          <w:rFonts w:ascii="Times New Roman" w:eastAsia="Times New Roman" w:hAnsi="Times New Roman"/>
          <w:sz w:val="24"/>
          <w:szCs w:val="24"/>
        </w:rPr>
        <w:t>0</w:t>
      </w:r>
      <w:r w:rsidRPr="009A3C86">
        <w:rPr>
          <w:rFonts w:ascii="Times New Roman" w:eastAsia="Times New Roman" w:hAnsi="Times New Roman"/>
          <w:sz w:val="24"/>
          <w:szCs w:val="24"/>
        </w:rPr>
        <w:t xml:space="preserve"> § 8 projektu.</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w:t>
      </w:r>
      <w:r w:rsidRPr="009A3C86">
        <w:rPr>
          <w:rFonts w:ascii="Times New Roman" w:eastAsia="Times New Roman" w:hAnsi="Times New Roman"/>
          <w:b/>
          <w:sz w:val="24"/>
          <w:szCs w:val="24"/>
        </w:rPr>
        <w:t xml:space="preserve">art. </w:t>
      </w:r>
      <w:r w:rsidR="00403BE7" w:rsidRPr="009A3C86">
        <w:rPr>
          <w:rFonts w:ascii="Times New Roman" w:eastAsia="Times New Roman" w:hAnsi="Times New Roman"/>
          <w:b/>
          <w:sz w:val="24"/>
          <w:szCs w:val="24"/>
        </w:rPr>
        <w:t>762</w:t>
      </w:r>
      <w:r w:rsidRPr="009A3C86">
        <w:rPr>
          <w:rFonts w:ascii="Times New Roman" w:eastAsia="Times New Roman" w:hAnsi="Times New Roman"/>
          <w:b/>
          <w:sz w:val="24"/>
          <w:szCs w:val="24"/>
        </w:rPr>
        <w:t xml:space="preserve"> § 6</w:t>
      </w:r>
      <w:r w:rsidRPr="009A3C86">
        <w:rPr>
          <w:rFonts w:ascii="Times New Roman" w:eastAsia="Times New Roman" w:hAnsi="Times New Roman"/>
          <w:sz w:val="24"/>
          <w:szCs w:val="24"/>
        </w:rPr>
        <w:t xml:space="preserve"> jest powtórzeniem art. 306e § 5 o.p. Jest to przepis wprowadzający domniemanie prawne niewzruszalne.</w:t>
      </w:r>
    </w:p>
    <w:p w:rsidR="00B2165B" w:rsidRPr="009A3C86" w:rsidRDefault="00B2165B" w:rsidP="00D72E74">
      <w:pPr>
        <w:keepNext/>
        <w:keepLines/>
        <w:spacing w:before="120" w:after="0" w:line="360" w:lineRule="auto"/>
        <w:jc w:val="both"/>
        <w:outlineLvl w:val="3"/>
        <w:rPr>
          <w:rFonts w:ascii="Times New Roman" w:hAnsi="Times New Roman"/>
          <w:b/>
          <w:sz w:val="24"/>
          <w:szCs w:val="24"/>
        </w:rPr>
      </w:pPr>
      <w:bookmarkStart w:id="94" w:name="_Toc494363318"/>
      <w:r w:rsidRPr="009A3C86">
        <w:rPr>
          <w:rFonts w:ascii="Times New Roman" w:hAnsi="Times New Roman"/>
          <w:b/>
          <w:sz w:val="24"/>
          <w:szCs w:val="24"/>
        </w:rPr>
        <w:t>Oddział 2. Przepisy szczególne o wydawaniu zaświadczeń</w:t>
      </w:r>
      <w:bookmarkEnd w:id="94"/>
      <w:r w:rsidRPr="009A3C86">
        <w:rPr>
          <w:rFonts w:ascii="Times New Roman" w:hAnsi="Times New Roman"/>
          <w:b/>
          <w:sz w:val="24"/>
          <w:szCs w:val="24"/>
        </w:rPr>
        <w:t xml:space="preserve"> </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1. W zakresie przepisów o wydawaniu zaświadczeń jest rzeczą charakterystyczną, że istnieją one także w ustawach podatkowych, np. w art. 18 ust. 2, art. 110 ust. 6, art. 110a ust. 2a ustawy o podatku akcyzowym, czy w art. 127 ust. 11a w związku z ust. 8 pkt 6 ustawy o podatku od towarów i usług, jednakże są to uregulowania szczególne odnoszące się tylko do zagadnień określonych w przepisach tych ustaw. Przepisy ogólne o ich wydawaniu zawarte w ordynacji podatkowej, a więc art. </w:t>
      </w:r>
      <w:r w:rsidR="00D40A30" w:rsidRPr="009A3C86">
        <w:rPr>
          <w:rFonts w:ascii="Times New Roman" w:eastAsia="Times New Roman" w:hAnsi="Times New Roman"/>
          <w:sz w:val="24"/>
          <w:szCs w:val="24"/>
        </w:rPr>
        <w:t>758–761</w:t>
      </w:r>
      <w:r w:rsidRPr="009A3C86">
        <w:rPr>
          <w:rFonts w:ascii="Times New Roman" w:eastAsia="Times New Roman" w:hAnsi="Times New Roman"/>
          <w:sz w:val="24"/>
          <w:szCs w:val="24"/>
        </w:rPr>
        <w:t xml:space="preserve"> będą miały do nich zastosowanie. Z tego też powodu celowe było wyodrębnienie z przepisów o wydawaniu zaświadczeń, przepisów ogólnych art. </w:t>
      </w:r>
      <w:r w:rsidR="00D40A30" w:rsidRPr="009A3C86">
        <w:rPr>
          <w:rFonts w:ascii="Times New Roman" w:eastAsia="Times New Roman" w:hAnsi="Times New Roman"/>
          <w:sz w:val="24"/>
          <w:szCs w:val="24"/>
        </w:rPr>
        <w:t>758–761</w:t>
      </w:r>
      <w:r w:rsidRPr="009A3C86">
        <w:rPr>
          <w:rFonts w:ascii="Times New Roman" w:eastAsia="Times New Roman" w:hAnsi="Times New Roman"/>
          <w:sz w:val="24"/>
          <w:szCs w:val="24"/>
        </w:rPr>
        <w:t xml:space="preserve"> projektu.</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2. Przepisy </w:t>
      </w:r>
      <w:r w:rsidRPr="009A3C86">
        <w:rPr>
          <w:rFonts w:ascii="Times New Roman" w:eastAsia="Times New Roman" w:hAnsi="Times New Roman"/>
          <w:b/>
          <w:sz w:val="24"/>
          <w:szCs w:val="24"/>
        </w:rPr>
        <w:t xml:space="preserve">art. </w:t>
      </w:r>
      <w:r w:rsidR="00D40A30" w:rsidRPr="009A3C86">
        <w:rPr>
          <w:rFonts w:ascii="Times New Roman" w:eastAsia="Times New Roman" w:hAnsi="Times New Roman"/>
          <w:b/>
          <w:sz w:val="24"/>
          <w:szCs w:val="24"/>
        </w:rPr>
        <w:t>762</w:t>
      </w:r>
      <w:r w:rsidRPr="009A3C86">
        <w:rPr>
          <w:rFonts w:ascii="Times New Roman" w:eastAsia="Times New Roman" w:hAnsi="Times New Roman"/>
          <w:b/>
          <w:sz w:val="24"/>
          <w:szCs w:val="24"/>
        </w:rPr>
        <w:t xml:space="preserve">, </w:t>
      </w:r>
      <w:r w:rsidR="00D40A30" w:rsidRPr="009A3C86">
        <w:rPr>
          <w:rFonts w:ascii="Times New Roman" w:eastAsia="Times New Roman" w:hAnsi="Times New Roman"/>
          <w:b/>
          <w:sz w:val="24"/>
          <w:szCs w:val="24"/>
        </w:rPr>
        <w:t>763</w:t>
      </w:r>
      <w:r w:rsidRPr="009A3C86">
        <w:rPr>
          <w:rFonts w:ascii="Times New Roman" w:eastAsia="Times New Roman" w:hAnsi="Times New Roman"/>
          <w:b/>
          <w:sz w:val="24"/>
          <w:szCs w:val="24"/>
        </w:rPr>
        <w:t xml:space="preserve">, </w:t>
      </w:r>
      <w:r w:rsidR="00D40A30" w:rsidRPr="009A3C86">
        <w:rPr>
          <w:rFonts w:ascii="Times New Roman" w:eastAsia="Times New Roman" w:hAnsi="Times New Roman"/>
          <w:b/>
          <w:sz w:val="24"/>
          <w:szCs w:val="24"/>
        </w:rPr>
        <w:t>764</w:t>
      </w:r>
      <w:r w:rsidRPr="009A3C86">
        <w:rPr>
          <w:rFonts w:ascii="Times New Roman" w:eastAsia="Times New Roman" w:hAnsi="Times New Roman"/>
          <w:b/>
          <w:sz w:val="24"/>
          <w:szCs w:val="24"/>
        </w:rPr>
        <w:t xml:space="preserve">, </w:t>
      </w:r>
      <w:r w:rsidR="00D40A30" w:rsidRPr="009A3C86">
        <w:rPr>
          <w:rFonts w:ascii="Times New Roman" w:eastAsia="Times New Roman" w:hAnsi="Times New Roman"/>
          <w:b/>
          <w:sz w:val="24"/>
          <w:szCs w:val="24"/>
        </w:rPr>
        <w:t>765</w:t>
      </w:r>
      <w:r w:rsidRPr="009A3C86">
        <w:rPr>
          <w:rFonts w:ascii="Times New Roman" w:eastAsia="Times New Roman" w:hAnsi="Times New Roman"/>
          <w:b/>
          <w:sz w:val="24"/>
          <w:szCs w:val="24"/>
        </w:rPr>
        <w:t xml:space="preserve">, </w:t>
      </w:r>
      <w:r w:rsidR="00D40A30" w:rsidRPr="009A3C86">
        <w:rPr>
          <w:rFonts w:ascii="Times New Roman" w:eastAsia="Times New Roman" w:hAnsi="Times New Roman"/>
          <w:b/>
          <w:sz w:val="24"/>
          <w:szCs w:val="24"/>
        </w:rPr>
        <w:t>766</w:t>
      </w:r>
      <w:r w:rsidRPr="009A3C86">
        <w:rPr>
          <w:rFonts w:ascii="Times New Roman" w:eastAsia="Times New Roman" w:hAnsi="Times New Roman"/>
          <w:b/>
          <w:sz w:val="24"/>
          <w:szCs w:val="24"/>
        </w:rPr>
        <w:t xml:space="preserve">, </w:t>
      </w:r>
      <w:r w:rsidR="00D40A30" w:rsidRPr="009A3C86">
        <w:rPr>
          <w:rFonts w:ascii="Times New Roman" w:eastAsia="Times New Roman" w:hAnsi="Times New Roman"/>
          <w:b/>
          <w:sz w:val="24"/>
          <w:szCs w:val="24"/>
        </w:rPr>
        <w:t>767</w:t>
      </w:r>
      <w:r w:rsidRPr="009A3C86">
        <w:rPr>
          <w:rFonts w:ascii="Times New Roman" w:eastAsia="Times New Roman" w:hAnsi="Times New Roman"/>
          <w:b/>
          <w:sz w:val="24"/>
          <w:szCs w:val="24"/>
        </w:rPr>
        <w:t xml:space="preserve">, </w:t>
      </w:r>
      <w:r w:rsidR="00D40A30" w:rsidRPr="009A3C86">
        <w:rPr>
          <w:rFonts w:ascii="Times New Roman" w:eastAsia="Times New Roman" w:hAnsi="Times New Roman"/>
          <w:b/>
          <w:sz w:val="24"/>
          <w:szCs w:val="24"/>
        </w:rPr>
        <w:t>768</w:t>
      </w:r>
      <w:r w:rsidRPr="009A3C86">
        <w:rPr>
          <w:rFonts w:ascii="Times New Roman" w:eastAsia="Times New Roman" w:hAnsi="Times New Roman"/>
          <w:b/>
          <w:sz w:val="24"/>
          <w:szCs w:val="24"/>
        </w:rPr>
        <w:t xml:space="preserve">, </w:t>
      </w:r>
      <w:r w:rsidR="006C1690" w:rsidRPr="009A3C86">
        <w:rPr>
          <w:rFonts w:ascii="Times New Roman" w:eastAsia="Times New Roman" w:hAnsi="Times New Roman"/>
          <w:b/>
          <w:sz w:val="24"/>
          <w:szCs w:val="24"/>
        </w:rPr>
        <w:t>771</w:t>
      </w:r>
      <w:r w:rsidRPr="009A3C86">
        <w:rPr>
          <w:rFonts w:ascii="Times New Roman" w:eastAsia="Times New Roman" w:hAnsi="Times New Roman"/>
          <w:b/>
          <w:sz w:val="24"/>
          <w:szCs w:val="24"/>
        </w:rPr>
        <w:t xml:space="preserve">, </w:t>
      </w:r>
      <w:r w:rsidR="006C1690" w:rsidRPr="009A3C86">
        <w:rPr>
          <w:rFonts w:ascii="Times New Roman" w:eastAsia="Times New Roman" w:hAnsi="Times New Roman"/>
          <w:b/>
          <w:sz w:val="24"/>
          <w:szCs w:val="24"/>
        </w:rPr>
        <w:t>art. 770 § 1 i</w:t>
      </w:r>
      <w:r w:rsidRPr="009A3C86">
        <w:rPr>
          <w:rFonts w:ascii="Times New Roman" w:eastAsia="Times New Roman" w:hAnsi="Times New Roman"/>
          <w:b/>
          <w:sz w:val="24"/>
          <w:szCs w:val="24"/>
        </w:rPr>
        <w:t xml:space="preserve"> </w:t>
      </w:r>
      <w:r w:rsidR="006C1690" w:rsidRPr="009A3C86">
        <w:rPr>
          <w:rFonts w:ascii="Times New Roman" w:eastAsia="Times New Roman" w:hAnsi="Times New Roman"/>
          <w:b/>
          <w:sz w:val="24"/>
          <w:szCs w:val="24"/>
        </w:rPr>
        <w:t xml:space="preserve">art. </w:t>
      </w:r>
      <w:r w:rsidR="00CC3DB0" w:rsidRPr="009A3C86">
        <w:rPr>
          <w:rFonts w:ascii="Times New Roman" w:eastAsia="Times New Roman" w:hAnsi="Times New Roman"/>
          <w:b/>
          <w:sz w:val="24"/>
          <w:szCs w:val="24"/>
        </w:rPr>
        <w:t>770 § 2</w:t>
      </w:r>
      <w:r w:rsidRPr="009A3C86">
        <w:rPr>
          <w:rFonts w:ascii="Times New Roman" w:eastAsia="Times New Roman" w:hAnsi="Times New Roman"/>
          <w:sz w:val="24"/>
          <w:szCs w:val="24"/>
        </w:rPr>
        <w:t xml:space="preserve"> są odpowiednikami dotychczasowych art. 306e, 306f, 306g, 306h, 306ha, 306i, 306l, 306k, 306j i 306n o.p. z niezbędnymi dostosowaniami związanymi z wprowadzeniem jako następców prawnych spadkodawcy zapisobierców windykacyjnych w zakresie zapisanego im przedsiębiorstwa (przedsiębiorstw). </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3. W projekcie przepisów o wydawaniu zaświadczeń ujednolicono obowiązek wyrażenia zgody na wydanie zaświadczenia na piśmie (</w:t>
      </w:r>
      <w:r w:rsidRPr="009A3C86">
        <w:rPr>
          <w:rFonts w:ascii="Times New Roman" w:eastAsia="Times New Roman" w:hAnsi="Times New Roman"/>
          <w:b/>
          <w:sz w:val="24"/>
          <w:szCs w:val="24"/>
        </w:rPr>
        <w:t xml:space="preserve">art. </w:t>
      </w:r>
      <w:r w:rsidR="00CC3DB0" w:rsidRPr="009A3C86">
        <w:rPr>
          <w:rFonts w:ascii="Times New Roman" w:eastAsia="Times New Roman" w:hAnsi="Times New Roman"/>
          <w:b/>
          <w:sz w:val="24"/>
          <w:szCs w:val="24"/>
        </w:rPr>
        <w:t>764</w:t>
      </w:r>
      <w:r w:rsidRPr="009A3C86">
        <w:rPr>
          <w:rFonts w:ascii="Times New Roman" w:eastAsia="Times New Roman" w:hAnsi="Times New Roman"/>
          <w:b/>
          <w:sz w:val="24"/>
          <w:szCs w:val="24"/>
        </w:rPr>
        <w:t xml:space="preserve"> § 1 pkt 2, art. </w:t>
      </w:r>
      <w:r w:rsidR="00CC3DB0" w:rsidRPr="009A3C86">
        <w:rPr>
          <w:rFonts w:ascii="Times New Roman" w:eastAsia="Times New Roman" w:hAnsi="Times New Roman"/>
          <w:b/>
          <w:sz w:val="24"/>
          <w:szCs w:val="24"/>
        </w:rPr>
        <w:t>765</w:t>
      </w:r>
      <w:r w:rsidRPr="009A3C86">
        <w:rPr>
          <w:rFonts w:ascii="Times New Roman" w:eastAsia="Times New Roman" w:hAnsi="Times New Roman"/>
          <w:b/>
          <w:sz w:val="24"/>
          <w:szCs w:val="24"/>
        </w:rPr>
        <w:t xml:space="preserve"> § 1 i § 2, art. </w:t>
      </w:r>
      <w:r w:rsidR="00E81CF0" w:rsidRPr="009A3C86">
        <w:rPr>
          <w:rFonts w:ascii="Times New Roman" w:eastAsia="Times New Roman" w:hAnsi="Times New Roman"/>
          <w:b/>
          <w:sz w:val="24"/>
          <w:szCs w:val="24"/>
        </w:rPr>
        <w:t>766</w:t>
      </w:r>
      <w:r w:rsidRPr="009A3C86">
        <w:rPr>
          <w:rFonts w:ascii="Times New Roman" w:eastAsia="Times New Roman" w:hAnsi="Times New Roman"/>
          <w:b/>
          <w:sz w:val="24"/>
          <w:szCs w:val="24"/>
        </w:rPr>
        <w:t xml:space="preserve"> § 1 i 2</w:t>
      </w:r>
      <w:r w:rsidRPr="009A3C86">
        <w:rPr>
          <w:rFonts w:ascii="Times New Roman" w:eastAsia="Times New Roman" w:hAnsi="Times New Roman"/>
          <w:sz w:val="24"/>
          <w:szCs w:val="24"/>
        </w:rPr>
        <w:t>). Obowiązujące obecnie przepisy o pisemności zgody postanawiają w art. 306ha § 1 i 2 o.p. ale już nie w art. 306g § 1 pkt 2, art. 306h § 1 i § 2 o.p. Wprawdzie o pisemnej zgodzie podatnika jest mowa w § 6 rozporządzenia Ministra Finansów z dnia 29 grudnia 2015 r. w sprawie zaświadczeń wydawanych przez organy podatkowe</w:t>
      </w:r>
      <w:r w:rsidRPr="009A3C86">
        <w:rPr>
          <w:rFonts w:ascii="Times New Roman" w:eastAsia="Times New Roman" w:hAnsi="Times New Roman"/>
          <w:sz w:val="24"/>
          <w:szCs w:val="24"/>
          <w:vertAlign w:val="superscript"/>
        </w:rPr>
        <w:footnoteReference w:id="599"/>
      </w:r>
      <w:r w:rsidRPr="009A3C86">
        <w:rPr>
          <w:rFonts w:ascii="Times New Roman" w:eastAsia="Times New Roman" w:hAnsi="Times New Roman"/>
          <w:sz w:val="24"/>
          <w:szCs w:val="24"/>
        </w:rPr>
        <w:t>, to jednak zagadnienie tej formy powinno być jednolicie uregulowane w ustawie – Ordynacja podatkowa.</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4. W projekcie ordynacji podatkowej regulację wydawania zaświadczeń dostosowano do przepisów ustawy z dnia 9 marca 2017 r. o wymianie informacji podatkowych z innymi państwami</w:t>
      </w:r>
      <w:r w:rsidRPr="009A3C86">
        <w:rPr>
          <w:rFonts w:ascii="Times New Roman" w:eastAsia="Times New Roman" w:hAnsi="Times New Roman"/>
          <w:sz w:val="24"/>
          <w:szCs w:val="24"/>
          <w:vertAlign w:val="superscript"/>
        </w:rPr>
        <w:footnoteReference w:id="600"/>
      </w:r>
      <w:r w:rsidRPr="009A3C86">
        <w:rPr>
          <w:rFonts w:ascii="Times New Roman" w:eastAsia="Times New Roman" w:hAnsi="Times New Roman"/>
          <w:sz w:val="24"/>
          <w:szCs w:val="24"/>
        </w:rPr>
        <w:t xml:space="preserve">. Zmiany w tym zakresie polegały na skreśleniu § 6 </w:t>
      </w:r>
      <w:r w:rsidR="009D14E4" w:rsidRPr="009A3C86">
        <w:rPr>
          <w:rFonts w:ascii="Times New Roman" w:eastAsia="Times New Roman" w:hAnsi="Times New Roman"/>
          <w:sz w:val="24"/>
          <w:szCs w:val="24"/>
        </w:rPr>
        <w:t xml:space="preserve">w </w:t>
      </w:r>
      <w:r w:rsidRPr="009A3C86">
        <w:rPr>
          <w:rFonts w:ascii="Times New Roman" w:eastAsia="Times New Roman" w:hAnsi="Times New Roman"/>
          <w:sz w:val="24"/>
          <w:szCs w:val="24"/>
        </w:rPr>
        <w:t xml:space="preserve">art. 306a o.p. i art. 306m o.p., i te projekt uwzględnia, a zmiany dokonane w </w:t>
      </w:r>
      <w:r w:rsidRPr="009A3C86">
        <w:rPr>
          <w:rFonts w:ascii="Times New Roman" w:eastAsia="Times New Roman" w:hAnsi="Times New Roman"/>
          <w:b/>
          <w:sz w:val="24"/>
          <w:szCs w:val="24"/>
        </w:rPr>
        <w:t xml:space="preserve">art. </w:t>
      </w:r>
      <w:r w:rsidR="00E81CF0" w:rsidRPr="009A3C86">
        <w:rPr>
          <w:rFonts w:ascii="Times New Roman" w:eastAsia="Times New Roman" w:hAnsi="Times New Roman"/>
          <w:b/>
          <w:sz w:val="24"/>
          <w:szCs w:val="24"/>
        </w:rPr>
        <w:t>771</w:t>
      </w:r>
      <w:r w:rsidRPr="009A3C86">
        <w:rPr>
          <w:rFonts w:ascii="Times New Roman" w:eastAsia="Times New Roman" w:hAnsi="Times New Roman"/>
          <w:sz w:val="24"/>
          <w:szCs w:val="24"/>
        </w:rPr>
        <w:t xml:space="preserve"> (art. 306k o.p.) i w </w:t>
      </w:r>
      <w:r w:rsidRPr="009A3C86">
        <w:rPr>
          <w:rFonts w:ascii="Times New Roman" w:eastAsia="Times New Roman" w:hAnsi="Times New Roman"/>
          <w:b/>
          <w:sz w:val="24"/>
          <w:szCs w:val="24"/>
        </w:rPr>
        <w:t xml:space="preserve">art. </w:t>
      </w:r>
      <w:r w:rsidR="00E81CF0" w:rsidRPr="009A3C86">
        <w:rPr>
          <w:rFonts w:ascii="Times New Roman" w:eastAsia="Times New Roman" w:hAnsi="Times New Roman"/>
          <w:b/>
          <w:sz w:val="24"/>
          <w:szCs w:val="24"/>
        </w:rPr>
        <w:t xml:space="preserve">770 § 2 </w:t>
      </w:r>
      <w:r w:rsidRPr="009A3C86">
        <w:rPr>
          <w:rFonts w:ascii="Times New Roman" w:eastAsia="Times New Roman" w:hAnsi="Times New Roman"/>
          <w:sz w:val="24"/>
          <w:szCs w:val="24"/>
        </w:rPr>
        <w:t xml:space="preserve"> (art. 306n o.p.) mają charakter dostosowawczy. Natomiast </w:t>
      </w:r>
      <w:r w:rsidRPr="009A3C86">
        <w:rPr>
          <w:rFonts w:ascii="Times New Roman" w:eastAsia="Times New Roman" w:hAnsi="Times New Roman"/>
          <w:b/>
          <w:sz w:val="24"/>
          <w:szCs w:val="24"/>
        </w:rPr>
        <w:t xml:space="preserve">art. </w:t>
      </w:r>
      <w:r w:rsidR="00E81CF0" w:rsidRPr="009A3C86">
        <w:rPr>
          <w:rFonts w:ascii="Times New Roman" w:eastAsia="Times New Roman" w:hAnsi="Times New Roman"/>
          <w:b/>
          <w:sz w:val="24"/>
          <w:szCs w:val="24"/>
        </w:rPr>
        <w:t>770 § 1</w:t>
      </w:r>
      <w:r w:rsidRPr="009A3C86">
        <w:rPr>
          <w:rFonts w:ascii="Times New Roman" w:eastAsia="Times New Roman" w:hAnsi="Times New Roman"/>
          <w:b/>
          <w:sz w:val="24"/>
          <w:szCs w:val="24"/>
        </w:rPr>
        <w:t xml:space="preserve"> pkt 3</w:t>
      </w:r>
      <w:r w:rsidRPr="009A3C86">
        <w:rPr>
          <w:rFonts w:ascii="Times New Roman" w:eastAsia="Times New Roman" w:hAnsi="Times New Roman"/>
          <w:sz w:val="24"/>
          <w:szCs w:val="24"/>
        </w:rPr>
        <w:t xml:space="preserve"> projektu uzupełniono o obowiązek wskazania w rozporządzeniu także organu zobowiązanego do prowadzenia rejestru, czego nie było w obowiązującym art. 306j pkt 3 o.p.</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5. Regulacja zawarta w </w:t>
      </w:r>
      <w:r w:rsidRPr="009A3C86">
        <w:rPr>
          <w:rFonts w:ascii="Times New Roman" w:eastAsia="Times New Roman" w:hAnsi="Times New Roman"/>
          <w:b/>
          <w:sz w:val="24"/>
          <w:szCs w:val="24"/>
        </w:rPr>
        <w:t xml:space="preserve">art. </w:t>
      </w:r>
      <w:r w:rsidR="000457F7" w:rsidRPr="009A3C86">
        <w:rPr>
          <w:rFonts w:ascii="Times New Roman" w:eastAsia="Times New Roman" w:hAnsi="Times New Roman"/>
          <w:b/>
          <w:sz w:val="24"/>
          <w:szCs w:val="24"/>
        </w:rPr>
        <w:t>762</w:t>
      </w:r>
      <w:r w:rsidRPr="009A3C86">
        <w:rPr>
          <w:rFonts w:ascii="Times New Roman" w:eastAsia="Times New Roman" w:hAnsi="Times New Roman"/>
          <w:b/>
          <w:sz w:val="24"/>
          <w:szCs w:val="24"/>
        </w:rPr>
        <w:t xml:space="preserve"> § 3</w:t>
      </w:r>
      <w:r w:rsidRPr="009A3C86">
        <w:rPr>
          <w:rFonts w:ascii="Times New Roman" w:eastAsia="Times New Roman" w:hAnsi="Times New Roman"/>
          <w:sz w:val="24"/>
          <w:szCs w:val="24"/>
        </w:rPr>
        <w:t xml:space="preserve"> polega na tym, że w zaświadczeniu, o którym tu mowa będzie podawana informacja tylko o prowadzeniu postępowania podatkowego albo o zakończeniu postępowania, w sytuacji gdy nie jest możliwe doręczenie decyzji kończącej postępowanie. Informacja o prowadzonym postępowaniu będzie mogła być podawana tylko na żądanie zainteresowanego ubiegającego się o wydanie zaświadczenia, w sytuacji określonej w </w:t>
      </w:r>
      <w:r w:rsidRPr="009A3C86">
        <w:rPr>
          <w:rFonts w:ascii="Times New Roman" w:eastAsia="Times New Roman" w:hAnsi="Times New Roman"/>
          <w:b/>
          <w:sz w:val="24"/>
          <w:szCs w:val="24"/>
        </w:rPr>
        <w:t xml:space="preserve">art. </w:t>
      </w:r>
      <w:r w:rsidR="00D769B9" w:rsidRPr="009A3C86">
        <w:rPr>
          <w:rFonts w:ascii="Times New Roman" w:eastAsia="Times New Roman" w:hAnsi="Times New Roman"/>
          <w:b/>
          <w:sz w:val="24"/>
          <w:szCs w:val="24"/>
        </w:rPr>
        <w:t>762</w:t>
      </w:r>
      <w:r w:rsidRPr="009A3C86">
        <w:rPr>
          <w:rFonts w:ascii="Times New Roman" w:eastAsia="Times New Roman" w:hAnsi="Times New Roman"/>
          <w:b/>
          <w:sz w:val="24"/>
          <w:szCs w:val="24"/>
        </w:rPr>
        <w:t xml:space="preserve"> § 4 pkt 1 lit. a</w:t>
      </w:r>
      <w:r w:rsidRPr="009A3C86">
        <w:rPr>
          <w:rFonts w:ascii="Times New Roman" w:eastAsia="Times New Roman" w:hAnsi="Times New Roman"/>
          <w:sz w:val="24"/>
          <w:szCs w:val="24"/>
        </w:rPr>
        <w:t xml:space="preserve"> projektu. W zaświadczeniu nie mogą być potwierdzone przez organ wszystkie okoliczności wskazywane przez zainteresowanego. Dlatego w celu wyeliminowania okoliczności spornych w </w:t>
      </w:r>
      <w:r w:rsidR="009D14E4" w:rsidRPr="009A3C86">
        <w:rPr>
          <w:rFonts w:ascii="Times New Roman" w:eastAsia="Times New Roman" w:hAnsi="Times New Roman"/>
          <w:b/>
          <w:sz w:val="24"/>
          <w:szCs w:val="24"/>
        </w:rPr>
        <w:t xml:space="preserve">art. </w:t>
      </w:r>
      <w:r w:rsidR="00D769B9" w:rsidRPr="009A3C86">
        <w:rPr>
          <w:rFonts w:ascii="Times New Roman" w:eastAsia="Times New Roman" w:hAnsi="Times New Roman"/>
          <w:b/>
          <w:sz w:val="24"/>
          <w:szCs w:val="24"/>
        </w:rPr>
        <w:t>762</w:t>
      </w:r>
      <w:r w:rsidR="009D14E4" w:rsidRPr="009A3C86">
        <w:rPr>
          <w:rFonts w:ascii="Times New Roman" w:eastAsia="Times New Roman" w:hAnsi="Times New Roman"/>
          <w:b/>
          <w:sz w:val="24"/>
          <w:szCs w:val="24"/>
        </w:rPr>
        <w:t xml:space="preserve"> § 3 </w:t>
      </w:r>
      <w:r w:rsidR="009D14E4" w:rsidRPr="009A3C86">
        <w:rPr>
          <w:rFonts w:ascii="Times New Roman" w:eastAsia="Times New Roman" w:hAnsi="Times New Roman"/>
          <w:sz w:val="24"/>
          <w:szCs w:val="24"/>
        </w:rPr>
        <w:t>projektu (</w:t>
      </w:r>
      <w:r w:rsidRPr="009A3C86">
        <w:rPr>
          <w:rFonts w:ascii="Times New Roman" w:eastAsia="Times New Roman" w:hAnsi="Times New Roman"/>
          <w:sz w:val="24"/>
          <w:szCs w:val="24"/>
        </w:rPr>
        <w:t xml:space="preserve">art. 306e § 3 o.p.) postanawia się, </w:t>
      </w:r>
      <w:r w:rsidR="009D14E4" w:rsidRPr="009A3C86">
        <w:rPr>
          <w:rFonts w:ascii="Times New Roman" w:eastAsia="Times New Roman" w:hAnsi="Times New Roman"/>
          <w:sz w:val="24"/>
          <w:szCs w:val="24"/>
        </w:rPr>
        <w:t>a</w:t>
      </w:r>
      <w:r w:rsidRPr="009A3C86">
        <w:rPr>
          <w:rFonts w:ascii="Times New Roman" w:eastAsia="Times New Roman" w:hAnsi="Times New Roman"/>
          <w:sz w:val="24"/>
          <w:szCs w:val="24"/>
        </w:rPr>
        <w:t xml:space="preserve">by - o ile to jest możliwe przed upływem terminu do wydania zaświadczenia - zakończyć prowadzone postępowania, których przedmiotem jest ustalenie lub określenie wysokości zobowiązań podatkowych i wydać decyzję. Natomiast brak możliwości zakończenia postępowania, o którym mowa w </w:t>
      </w:r>
      <w:r w:rsidRPr="009A3C86">
        <w:rPr>
          <w:rFonts w:ascii="Times New Roman" w:eastAsia="Times New Roman" w:hAnsi="Times New Roman"/>
          <w:b/>
          <w:sz w:val="24"/>
          <w:szCs w:val="24"/>
        </w:rPr>
        <w:t xml:space="preserve">§ 2 i 3 </w:t>
      </w:r>
      <w:r w:rsidR="009D14E4" w:rsidRPr="009A3C86">
        <w:rPr>
          <w:rFonts w:ascii="Times New Roman" w:eastAsia="Times New Roman" w:hAnsi="Times New Roman"/>
          <w:b/>
          <w:sz w:val="24"/>
          <w:szCs w:val="24"/>
        </w:rPr>
        <w:t xml:space="preserve">w art. </w:t>
      </w:r>
      <w:r w:rsidR="00D769B9" w:rsidRPr="009A3C86">
        <w:rPr>
          <w:rFonts w:ascii="Times New Roman" w:eastAsia="Times New Roman" w:hAnsi="Times New Roman"/>
          <w:b/>
          <w:sz w:val="24"/>
          <w:szCs w:val="24"/>
        </w:rPr>
        <w:t>762</w:t>
      </w:r>
      <w:r w:rsidR="009D14E4" w:rsidRPr="009A3C86">
        <w:rPr>
          <w:rFonts w:ascii="Times New Roman" w:eastAsia="Times New Roman" w:hAnsi="Times New Roman"/>
          <w:sz w:val="24"/>
          <w:szCs w:val="24"/>
        </w:rPr>
        <w:t xml:space="preserve"> projektu (</w:t>
      </w:r>
      <w:r w:rsidRPr="009A3C86">
        <w:rPr>
          <w:rFonts w:ascii="Times New Roman" w:eastAsia="Times New Roman" w:hAnsi="Times New Roman"/>
          <w:sz w:val="24"/>
          <w:szCs w:val="24"/>
        </w:rPr>
        <w:t xml:space="preserve">art. 306e </w:t>
      </w:r>
      <w:r w:rsidR="009D14E4" w:rsidRPr="009A3C86">
        <w:rPr>
          <w:rFonts w:ascii="Times New Roman" w:eastAsia="Times New Roman" w:hAnsi="Times New Roman"/>
          <w:sz w:val="24"/>
          <w:szCs w:val="24"/>
        </w:rPr>
        <w:t>§ 2 i 3 o.p.</w:t>
      </w:r>
      <w:r w:rsidRPr="009A3C86">
        <w:rPr>
          <w:rFonts w:ascii="Times New Roman" w:eastAsia="Times New Roman" w:hAnsi="Times New Roman"/>
          <w:sz w:val="24"/>
          <w:szCs w:val="24"/>
        </w:rPr>
        <w:t>), przed upływem terminu do wydania zaświadczenia niezależnie od skutków prawnych tego postępowania i ich wpływu na aktualność zaświadczenia prowadzi do obowiązku wydania zaświadczenia informującego o prowadzonym postępowaniu i jego niezakończeniu. Natomiast wydanie decyzji ustalającej lub określającej wysokość zobowiązania podatkowego, nawet nieostatecznej lub niezaopatrzonej w rygor natychmiastowej wykonalności, nie prowadzi do wydania postanowienia o odmowie wydania zaświadczenia (</w:t>
      </w:r>
      <w:r w:rsidRPr="009A3C86">
        <w:rPr>
          <w:rFonts w:ascii="Times New Roman" w:eastAsia="Times New Roman" w:hAnsi="Times New Roman"/>
          <w:b/>
          <w:sz w:val="24"/>
          <w:szCs w:val="24"/>
        </w:rPr>
        <w:t xml:space="preserve">art. </w:t>
      </w:r>
      <w:r w:rsidR="00D769B9" w:rsidRPr="009A3C86">
        <w:rPr>
          <w:rFonts w:ascii="Times New Roman" w:eastAsia="Times New Roman" w:hAnsi="Times New Roman"/>
          <w:b/>
          <w:sz w:val="24"/>
          <w:szCs w:val="24"/>
        </w:rPr>
        <w:t>761</w:t>
      </w:r>
      <w:r w:rsidRPr="009A3C86">
        <w:rPr>
          <w:rFonts w:ascii="Times New Roman" w:eastAsia="Times New Roman" w:hAnsi="Times New Roman"/>
          <w:sz w:val="24"/>
          <w:szCs w:val="24"/>
        </w:rPr>
        <w:t xml:space="preserve"> projektu, art. 306c o.p.). Organ w takim przypadku nie może stwierdzić, że zaległość podatkowa nie istnieje i zaznaczyć, że prowadzone jest postępowanie podatkowe</w:t>
      </w:r>
      <w:r w:rsidRPr="009A3C86">
        <w:rPr>
          <w:rFonts w:ascii="Times New Roman" w:eastAsia="Times New Roman" w:hAnsi="Times New Roman"/>
          <w:sz w:val="24"/>
          <w:szCs w:val="24"/>
          <w:vertAlign w:val="superscript"/>
        </w:rPr>
        <w:footnoteReference w:id="601"/>
      </w:r>
      <w:r w:rsidRPr="009A3C86">
        <w:rPr>
          <w:rFonts w:ascii="Times New Roman" w:eastAsia="Times New Roman" w:hAnsi="Times New Roman"/>
          <w:sz w:val="24"/>
          <w:szCs w:val="24"/>
        </w:rPr>
        <w:t xml:space="preserve">. W wyroku z dnia 7 lipca 2015 r., II FSK 1547/13 (CBOSA). Naczelny Sąd Administracyjny wyraził bowiem następujący trafny pogląd: „Dwuinstancyjność postępowania podatkowego jest kategorią o charakterze konstrukcyjnym i ustrojowym w polskim modelu administracji publicznej. W art. 306e § 3 o.p. chodzi nie o takie, ustrojowe rozumienie pojęcia </w:t>
      </w:r>
      <w:r w:rsidRPr="009A3C86">
        <w:rPr>
          <w:rFonts w:ascii="Times New Roman" w:eastAsia="Times New Roman" w:hAnsi="Times New Roman"/>
          <w:sz w:val="24"/>
          <w:szCs w:val="24"/>
        </w:rPr>
        <w:lastRenderedPageBreak/>
        <w:t>«postępowanie», lecz o zespół działań procesowych konkretnego organu podatkowego prowadzącego konkretny proces zmierzający do zastosowania w indywidualnej sprawie normy prawa materialnego. W efekcie nie ma sprzeczności pomiędzy odmową wydania postanowienia o niezaleganiu w podatkach w sytuacji, kiedy organ pierwszej instancji zakończył już prowadzone przez siebie postępowanie podatkowe, a art. 306e § 3 o.p., który nie pozwala odmówić wydania zaświadczenia o niezaleganiu w podatkach, jeśli nie można ukończyć postępowania podatkowego w terminie 7 dni od złożenia wniosku o zaświadczenie”. Mieć tu na uwadze należy to, że przecież zainteresowany wnosi o wydanie zaświadczenia o niezaleganiu w podatkach. W takim wypadku wydanie postanowienia o odmowie wydania zaświadczenia jest jak najbardziej trafne.</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Zauważyć tu należy, że zgodnie z art. 18a § 1 u.p.e.a.</w:t>
      </w:r>
      <w:r w:rsidRPr="009A3C86">
        <w:rPr>
          <w:rFonts w:ascii="Times New Roman" w:eastAsia="Times New Roman" w:hAnsi="Times New Roman"/>
          <w:sz w:val="24"/>
          <w:szCs w:val="24"/>
          <w:vertAlign w:val="superscript"/>
        </w:rPr>
        <w:footnoteReference w:id="602"/>
      </w:r>
      <w:r w:rsidRPr="009A3C86">
        <w:rPr>
          <w:rFonts w:ascii="Times New Roman" w:eastAsia="Times New Roman" w:hAnsi="Times New Roman"/>
          <w:sz w:val="24"/>
          <w:szCs w:val="24"/>
        </w:rPr>
        <w:t xml:space="preserve"> zostanie utworzony Rejestr Należności Publicznoprawnych. Zgodnie z art. 18d § 2 u.p.e.a. do rejestru nie będzie się wprowadzać danych dotyczących zobowiązanego i wysokości jego należności pieniężnych</w:t>
      </w:r>
      <w:r w:rsidRPr="009A3C86">
        <w:rPr>
          <w:rFonts w:ascii="Times New Roman" w:eastAsia="Times New Roman" w:hAnsi="Times New Roman"/>
          <w:sz w:val="24"/>
          <w:szCs w:val="24"/>
        </w:rPr>
        <w:br/>
        <w:t xml:space="preserve"> i odsetek (art. 18b § 2 u.p.e.a.) w przypadku wniesienia skargi do sądu administracyjnego na ostateczną decyzję, postanowienie lub inne orzeczenie, o którym mowa w art.</w:t>
      </w:r>
      <w:r w:rsidRPr="009A3C86">
        <w:rPr>
          <w:rFonts w:ascii="Times New Roman" w:eastAsia="Times New Roman" w:hAnsi="Times New Roman"/>
          <w:sz w:val="24"/>
          <w:szCs w:val="24"/>
        </w:rPr>
        <w:br/>
        <w:t xml:space="preserve">18b § 1 pkt 2 </w:t>
      </w:r>
      <w:r w:rsidR="00792FBD" w:rsidRPr="009A3C86">
        <w:rPr>
          <w:rFonts w:ascii="Times New Roman" w:eastAsia="Times New Roman" w:hAnsi="Times New Roman"/>
          <w:sz w:val="24"/>
          <w:szCs w:val="24"/>
        </w:rPr>
        <w:t>u.p.e.a.</w:t>
      </w:r>
      <w:r w:rsidR="00AC7AA0" w:rsidRPr="009A3C86">
        <w:rPr>
          <w:rFonts w:ascii="Times New Roman" w:eastAsia="Times New Roman" w:hAnsi="Times New Roman"/>
          <w:sz w:val="24"/>
          <w:szCs w:val="24"/>
        </w:rPr>
        <w:t>,</w:t>
      </w:r>
      <w:r w:rsidR="00792FBD" w:rsidRPr="009A3C86">
        <w:rPr>
          <w:rFonts w:ascii="Times New Roman" w:eastAsia="Times New Roman" w:hAnsi="Times New Roman"/>
          <w:sz w:val="24"/>
          <w:szCs w:val="24"/>
        </w:rPr>
        <w:t xml:space="preserve"> </w:t>
      </w:r>
      <w:r w:rsidRPr="009A3C86">
        <w:rPr>
          <w:rFonts w:ascii="Times New Roman" w:eastAsia="Times New Roman" w:hAnsi="Times New Roman"/>
          <w:sz w:val="24"/>
          <w:szCs w:val="24"/>
        </w:rPr>
        <w:t>do czasu zakończenia prawomocnym orzeczeniem postępowania sądowoadministracyjnego. Brak wpisu nie oznacza przecież, że w takiej sytuacji nie istnieje zaległość podatkowa. Dlatego sytuacja ta nie mogła być objęta projektowanymi przepisami</w:t>
      </w:r>
      <w:r w:rsidRPr="009A3C86">
        <w:rPr>
          <w:rFonts w:ascii="Times New Roman" w:eastAsia="Times New Roman" w:hAnsi="Times New Roman"/>
          <w:sz w:val="24"/>
          <w:szCs w:val="24"/>
        </w:rPr>
        <w:br/>
        <w:t xml:space="preserve">o wydawaniu zaświadczeń. </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Gdyby w kwestii wydawania zaświadczeń o niezaleganiu w podatkach prawidłowe było traktowanie jako zasady wywiedzionej z art. 306e § 2 i § 3 o.p. (</w:t>
      </w:r>
      <w:r w:rsidRPr="009A3C86">
        <w:rPr>
          <w:rFonts w:ascii="Times New Roman" w:eastAsia="Times New Roman" w:hAnsi="Times New Roman"/>
          <w:b/>
          <w:sz w:val="24"/>
          <w:szCs w:val="24"/>
        </w:rPr>
        <w:t xml:space="preserve">art. </w:t>
      </w:r>
      <w:r w:rsidR="00D769B9" w:rsidRPr="009A3C86">
        <w:rPr>
          <w:rFonts w:ascii="Times New Roman" w:eastAsia="Times New Roman" w:hAnsi="Times New Roman"/>
          <w:b/>
          <w:sz w:val="24"/>
          <w:szCs w:val="24"/>
        </w:rPr>
        <w:t>762</w:t>
      </w:r>
      <w:r w:rsidRPr="009A3C86">
        <w:rPr>
          <w:rFonts w:ascii="Times New Roman" w:eastAsia="Times New Roman" w:hAnsi="Times New Roman"/>
          <w:b/>
          <w:sz w:val="24"/>
          <w:szCs w:val="24"/>
        </w:rPr>
        <w:t xml:space="preserve"> § 2 i 3</w:t>
      </w:r>
      <w:r w:rsidRPr="009A3C86">
        <w:rPr>
          <w:rFonts w:ascii="Times New Roman" w:eastAsia="Times New Roman" w:hAnsi="Times New Roman"/>
          <w:sz w:val="24"/>
          <w:szCs w:val="24"/>
        </w:rPr>
        <w:t xml:space="preserve"> projektu), stanowiska, że dopiero wydanie decyzji ostatecznej wobec wnioskodawcy skutkuje niemożnością wydania mu zaświadczenia o niezaleganiu w podatkach, a wcześniej organ podatkowy zobowiązany jest zaświadczenie takie mu wydać, to zbędne byłoby tworzenie w obrębie regulacji normującej wydawanie zaświadczeń o niezaleganiu w podatkach (art. 306e o.p.) dodatkowego przepisu ustanawiającego taką zasadę dla wskazanego w nim zakresu</w:t>
      </w:r>
      <w:r w:rsidRPr="009A3C86">
        <w:rPr>
          <w:rFonts w:ascii="Times New Roman" w:eastAsia="Times New Roman" w:hAnsi="Times New Roman"/>
          <w:sz w:val="24"/>
          <w:szCs w:val="24"/>
          <w:vertAlign w:val="superscript"/>
        </w:rPr>
        <w:footnoteReference w:id="603"/>
      </w:r>
      <w:r w:rsidRPr="009A3C86">
        <w:rPr>
          <w:rFonts w:ascii="Times New Roman" w:eastAsia="Times New Roman" w:hAnsi="Times New Roman"/>
          <w:sz w:val="24"/>
          <w:szCs w:val="24"/>
        </w:rPr>
        <w:t xml:space="preserve">. W takich przypadkach przecież istnieje zaległość podatkowa (której wprawdzie nie można egzekwować), od której nalicza się odsetki za zwłokę. Warunkiem jest tu jednak doręczenie </w:t>
      </w:r>
      <w:r w:rsidRPr="009A3C86">
        <w:rPr>
          <w:rFonts w:ascii="Times New Roman" w:eastAsia="Times New Roman" w:hAnsi="Times New Roman"/>
          <w:sz w:val="24"/>
          <w:szCs w:val="24"/>
        </w:rPr>
        <w:lastRenderedPageBreak/>
        <w:t xml:space="preserve">decyzji organu podatkowego, gdyż wówczas wchodzi ona do obrotu prawnego (art. </w:t>
      </w:r>
      <w:r w:rsidR="00911400" w:rsidRPr="009A3C86">
        <w:rPr>
          <w:rFonts w:ascii="Times New Roman" w:eastAsia="Times New Roman" w:hAnsi="Times New Roman"/>
          <w:sz w:val="24"/>
          <w:szCs w:val="24"/>
        </w:rPr>
        <w:t>212</w:t>
      </w:r>
      <w:r w:rsidRPr="009A3C86">
        <w:rPr>
          <w:rFonts w:ascii="Times New Roman" w:eastAsia="Times New Roman" w:hAnsi="Times New Roman"/>
          <w:sz w:val="24"/>
          <w:szCs w:val="24"/>
        </w:rPr>
        <w:t xml:space="preserve"> o.p., art. </w:t>
      </w:r>
      <w:r w:rsidR="00D769B9" w:rsidRPr="009A3C86">
        <w:rPr>
          <w:rFonts w:ascii="Times New Roman" w:eastAsia="Times New Roman" w:hAnsi="Times New Roman"/>
          <w:sz w:val="24"/>
          <w:szCs w:val="24"/>
        </w:rPr>
        <w:t>450</w:t>
      </w:r>
      <w:r w:rsidRPr="009A3C86">
        <w:rPr>
          <w:rFonts w:ascii="Times New Roman" w:eastAsia="Times New Roman" w:hAnsi="Times New Roman"/>
          <w:sz w:val="24"/>
          <w:szCs w:val="24"/>
        </w:rPr>
        <w:t xml:space="preserve"> § 1 projektu)</w:t>
      </w:r>
      <w:r w:rsidRPr="009A3C86">
        <w:rPr>
          <w:rFonts w:ascii="Times New Roman" w:eastAsia="Times New Roman" w:hAnsi="Times New Roman"/>
          <w:sz w:val="24"/>
          <w:szCs w:val="24"/>
          <w:vertAlign w:val="superscript"/>
        </w:rPr>
        <w:footnoteReference w:id="604"/>
      </w:r>
      <w:r w:rsidRPr="009A3C86">
        <w:rPr>
          <w:rFonts w:ascii="Times New Roman" w:eastAsia="Times New Roman" w:hAnsi="Times New Roman"/>
          <w:sz w:val="24"/>
          <w:szCs w:val="24"/>
        </w:rPr>
        <w:t>.</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6. Przepisy </w:t>
      </w:r>
      <w:r w:rsidRPr="009A3C86">
        <w:rPr>
          <w:rFonts w:ascii="Times New Roman" w:eastAsia="Times New Roman" w:hAnsi="Times New Roman"/>
          <w:b/>
          <w:sz w:val="24"/>
          <w:szCs w:val="24"/>
        </w:rPr>
        <w:t xml:space="preserve">art. </w:t>
      </w:r>
      <w:r w:rsidR="0092635A" w:rsidRPr="009A3C86">
        <w:rPr>
          <w:rFonts w:ascii="Times New Roman" w:eastAsia="Times New Roman" w:hAnsi="Times New Roman"/>
          <w:b/>
          <w:sz w:val="24"/>
          <w:szCs w:val="24"/>
        </w:rPr>
        <w:t>763</w:t>
      </w:r>
      <w:r w:rsidRPr="009A3C86">
        <w:rPr>
          <w:rFonts w:ascii="Times New Roman" w:eastAsia="Times New Roman" w:hAnsi="Times New Roman"/>
          <w:b/>
          <w:sz w:val="24"/>
          <w:szCs w:val="24"/>
        </w:rPr>
        <w:t xml:space="preserve"> oraz art. </w:t>
      </w:r>
      <w:r w:rsidR="0092635A" w:rsidRPr="009A3C86">
        <w:rPr>
          <w:rFonts w:ascii="Times New Roman" w:eastAsia="Times New Roman" w:hAnsi="Times New Roman"/>
          <w:b/>
          <w:sz w:val="24"/>
          <w:szCs w:val="24"/>
        </w:rPr>
        <w:t>767</w:t>
      </w:r>
      <w:r w:rsidRPr="009A3C86">
        <w:rPr>
          <w:rFonts w:ascii="Times New Roman" w:eastAsia="Times New Roman" w:hAnsi="Times New Roman"/>
          <w:b/>
          <w:sz w:val="24"/>
          <w:szCs w:val="24"/>
        </w:rPr>
        <w:t xml:space="preserve"> § 2</w:t>
      </w:r>
      <w:r w:rsidRPr="009A3C86">
        <w:rPr>
          <w:rFonts w:ascii="Times New Roman" w:eastAsia="Times New Roman" w:hAnsi="Times New Roman"/>
          <w:sz w:val="24"/>
          <w:szCs w:val="24"/>
        </w:rPr>
        <w:t xml:space="preserve"> zostały zmienione w związku z wprowadzeniem do proponowanej ustawy jako kategorii następców prawnych zapisobierców windykacyjnych, którzy zgodnie z art. 981</w:t>
      </w:r>
      <w:r w:rsidRPr="009A3C86">
        <w:rPr>
          <w:rFonts w:ascii="Times New Roman" w:eastAsia="Times New Roman" w:hAnsi="Times New Roman"/>
          <w:sz w:val="24"/>
          <w:szCs w:val="24"/>
          <w:vertAlign w:val="superscript"/>
        </w:rPr>
        <w:t xml:space="preserve">5 </w:t>
      </w:r>
      <w:r w:rsidRPr="009A3C86">
        <w:rPr>
          <w:rFonts w:ascii="Times New Roman" w:eastAsia="Times New Roman" w:hAnsi="Times New Roman"/>
          <w:sz w:val="24"/>
          <w:szCs w:val="24"/>
        </w:rPr>
        <w:t>k.c. mogą zapis windykacyjny przyjąć albo odrzucić.</w:t>
      </w:r>
    </w:p>
    <w:p w:rsidR="00B2165B" w:rsidRPr="009A3C86" w:rsidRDefault="00B2165B"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Przepis </w:t>
      </w:r>
      <w:r w:rsidRPr="009A3C86">
        <w:rPr>
          <w:rFonts w:ascii="Times New Roman" w:eastAsia="Times New Roman" w:hAnsi="Times New Roman"/>
          <w:b/>
          <w:sz w:val="24"/>
          <w:szCs w:val="24"/>
        </w:rPr>
        <w:t xml:space="preserve">art. </w:t>
      </w:r>
      <w:r w:rsidR="0092635A" w:rsidRPr="009A3C86">
        <w:rPr>
          <w:rFonts w:ascii="Times New Roman" w:eastAsia="Times New Roman" w:hAnsi="Times New Roman"/>
          <w:b/>
          <w:sz w:val="24"/>
          <w:szCs w:val="24"/>
        </w:rPr>
        <w:t>763</w:t>
      </w:r>
      <w:r w:rsidRPr="009A3C86">
        <w:rPr>
          <w:rFonts w:ascii="Times New Roman" w:eastAsia="Times New Roman" w:hAnsi="Times New Roman"/>
          <w:b/>
          <w:sz w:val="24"/>
          <w:szCs w:val="24"/>
        </w:rPr>
        <w:t xml:space="preserve"> § 1 i 2</w:t>
      </w:r>
      <w:r w:rsidRPr="009A3C86">
        <w:rPr>
          <w:rFonts w:ascii="Times New Roman" w:eastAsia="Times New Roman" w:hAnsi="Times New Roman"/>
          <w:sz w:val="24"/>
          <w:szCs w:val="24"/>
        </w:rPr>
        <w:t xml:space="preserve"> jest konsekwencją zmiany usytuowania zapisobierców zwykłych jako osób trzecich, a nie następców prawnych. Zaświadczenie zapisobiercy zwykłemu umożliwi podjęcie decyzji co do przyjęcia lub odrzucenia zapisu zwykłego (art. 972 k.c.). Informacja o wysokości zobowiązań podatkowych i innych należności spadkodawcy ma znaczenie dla określonych w tym przepisie podmiotów także i po złożeniu oświadczenia o przyjęciu spadku, mimo że zaświadczenie takie nie wywołuje skutków prawnych takich, jak w przypadku nabywcy przedsiębiorstwa lub jego zorganizowanej części. Przepis </w:t>
      </w:r>
      <w:r w:rsidRPr="009A3C86">
        <w:rPr>
          <w:rFonts w:ascii="Times New Roman" w:eastAsia="Times New Roman" w:hAnsi="Times New Roman"/>
          <w:b/>
          <w:sz w:val="24"/>
          <w:szCs w:val="24"/>
        </w:rPr>
        <w:t xml:space="preserve">art. </w:t>
      </w:r>
      <w:r w:rsidR="0092635A" w:rsidRPr="009A3C86">
        <w:rPr>
          <w:rFonts w:ascii="Times New Roman" w:eastAsia="Times New Roman" w:hAnsi="Times New Roman"/>
          <w:b/>
          <w:sz w:val="24"/>
          <w:szCs w:val="24"/>
        </w:rPr>
        <w:t>767</w:t>
      </w:r>
      <w:r w:rsidRPr="009A3C86">
        <w:rPr>
          <w:rFonts w:ascii="Times New Roman" w:eastAsia="Times New Roman" w:hAnsi="Times New Roman"/>
          <w:b/>
          <w:sz w:val="24"/>
          <w:szCs w:val="24"/>
        </w:rPr>
        <w:t xml:space="preserve"> § 2 projektu</w:t>
      </w:r>
      <w:r w:rsidRPr="009A3C86">
        <w:rPr>
          <w:rFonts w:ascii="Times New Roman" w:eastAsia="Times New Roman" w:hAnsi="Times New Roman"/>
          <w:sz w:val="24"/>
          <w:szCs w:val="24"/>
        </w:rPr>
        <w:t xml:space="preserve"> (art. 306i § 2 o.p.) został w niezbędnym zakresie zmodyfikowany przez wyeliminowanie z jego treści słowa „wyłącznie”, tak by zapewnić zainteresowanym elastyczny zakres żądania co do treści zaświadczenia przewidzianego w tym przepisie. Poza tym, jak się wydaje, określenie „wyłącznie” jest sprzeczne z art. </w:t>
      </w:r>
      <w:r w:rsidR="0092635A" w:rsidRPr="009A3C86">
        <w:rPr>
          <w:rFonts w:ascii="Times New Roman" w:eastAsia="Times New Roman" w:hAnsi="Times New Roman"/>
          <w:sz w:val="24"/>
          <w:szCs w:val="24"/>
        </w:rPr>
        <w:t>758</w:t>
      </w:r>
      <w:r w:rsidRPr="009A3C86">
        <w:rPr>
          <w:rFonts w:ascii="Times New Roman" w:eastAsia="Times New Roman" w:hAnsi="Times New Roman"/>
          <w:sz w:val="24"/>
          <w:szCs w:val="24"/>
        </w:rPr>
        <w:t xml:space="preserve"> § 4 i 5 projektu. Zdarza się bowiem w praktyce, że różne instytucje żądają od podatników, w oparciu o różne przepisy nawet niższego szczebla niż ustawa, zaświadczeń zawierających dane nie tylko o wysokości dochodu czy obrotu. Dlatego umożliwiając im uzyskanie tych szerszych danych zmieniono treść art. 306i § 2 pkt 2 o.p. (</w:t>
      </w:r>
      <w:r w:rsidRPr="009A3C86">
        <w:rPr>
          <w:rFonts w:ascii="Times New Roman" w:eastAsia="Times New Roman" w:hAnsi="Times New Roman"/>
          <w:b/>
          <w:sz w:val="24"/>
          <w:szCs w:val="24"/>
        </w:rPr>
        <w:t xml:space="preserve">art. </w:t>
      </w:r>
      <w:r w:rsidR="0092635A" w:rsidRPr="009A3C86">
        <w:rPr>
          <w:rFonts w:ascii="Times New Roman" w:eastAsia="Times New Roman" w:hAnsi="Times New Roman"/>
          <w:b/>
          <w:sz w:val="24"/>
          <w:szCs w:val="24"/>
        </w:rPr>
        <w:t>767</w:t>
      </w:r>
      <w:r w:rsidRPr="009A3C86">
        <w:rPr>
          <w:rFonts w:ascii="Times New Roman" w:eastAsia="Times New Roman" w:hAnsi="Times New Roman"/>
          <w:b/>
          <w:sz w:val="24"/>
          <w:szCs w:val="24"/>
        </w:rPr>
        <w:t xml:space="preserve"> § 3 pkt 2 </w:t>
      </w:r>
      <w:r w:rsidRPr="009A3C86">
        <w:rPr>
          <w:rFonts w:ascii="Times New Roman" w:eastAsia="Times New Roman" w:hAnsi="Times New Roman"/>
          <w:sz w:val="24"/>
          <w:szCs w:val="24"/>
        </w:rPr>
        <w:t>projektu).</w:t>
      </w:r>
    </w:p>
    <w:p w:rsidR="0092635A" w:rsidRPr="009A3C86" w:rsidRDefault="0092635A" w:rsidP="00B2165B">
      <w:pPr>
        <w:spacing w:after="0"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7. </w:t>
      </w:r>
      <w:r w:rsidR="00E857E2" w:rsidRPr="009A3C86">
        <w:rPr>
          <w:rFonts w:ascii="Times New Roman" w:eastAsia="Times New Roman" w:hAnsi="Times New Roman"/>
          <w:sz w:val="24"/>
          <w:szCs w:val="24"/>
        </w:rPr>
        <w:t xml:space="preserve">Przepisy </w:t>
      </w:r>
      <w:r w:rsidR="00E857E2" w:rsidRPr="009A3C86">
        <w:rPr>
          <w:rFonts w:ascii="Times New Roman" w:eastAsia="Times New Roman" w:hAnsi="Times New Roman"/>
          <w:b/>
          <w:sz w:val="24"/>
          <w:szCs w:val="24"/>
        </w:rPr>
        <w:t>art. 769</w:t>
      </w:r>
      <w:r w:rsidR="00E857E2" w:rsidRPr="009A3C86">
        <w:rPr>
          <w:rFonts w:ascii="Times New Roman" w:eastAsia="Times New Roman" w:hAnsi="Times New Roman"/>
          <w:sz w:val="24"/>
          <w:szCs w:val="24"/>
        </w:rPr>
        <w:t xml:space="preserve"> nakładają na organy podatkowe</w:t>
      </w:r>
      <w:r w:rsidR="00E857E2" w:rsidRPr="009A3C86">
        <w:rPr>
          <w:rFonts w:ascii="Times New Roman" w:eastAsia="Times New Roman" w:hAnsi="Times New Roman"/>
          <w:b/>
          <w:sz w:val="24"/>
          <w:szCs w:val="24"/>
        </w:rPr>
        <w:t xml:space="preserve"> </w:t>
      </w:r>
      <w:r w:rsidR="00E857E2" w:rsidRPr="009A3C86">
        <w:rPr>
          <w:rFonts w:ascii="Times New Roman" w:eastAsia="Times New Roman" w:hAnsi="Times New Roman"/>
          <w:sz w:val="24"/>
          <w:szCs w:val="24"/>
        </w:rPr>
        <w:t>obowiązek prowadzenia rejestru wydanych przez siebie zaświadczeń i ewidencji przekazanych lub otrzymanych informacji w sprawach zaświadczeń</w:t>
      </w:r>
      <w:r w:rsidR="006968E9" w:rsidRPr="009A3C86">
        <w:rPr>
          <w:rFonts w:ascii="Times New Roman" w:eastAsia="Times New Roman" w:hAnsi="Times New Roman"/>
          <w:sz w:val="24"/>
          <w:szCs w:val="24"/>
        </w:rPr>
        <w:t>. Jednocześnie określają dane jakie powinny zawierać rejestr i ewidencja. Przepisy art. 769</w:t>
      </w:r>
      <w:r w:rsidR="006968E9" w:rsidRPr="009A3C86">
        <w:rPr>
          <w:rFonts w:ascii="Times New Roman" w:eastAsia="Times New Roman" w:hAnsi="Times New Roman"/>
          <w:b/>
          <w:sz w:val="24"/>
          <w:szCs w:val="24"/>
        </w:rPr>
        <w:t xml:space="preserve"> </w:t>
      </w:r>
      <w:r w:rsidR="006968E9" w:rsidRPr="009A3C86">
        <w:rPr>
          <w:rFonts w:ascii="Times New Roman" w:eastAsia="Times New Roman" w:hAnsi="Times New Roman"/>
          <w:sz w:val="24"/>
          <w:szCs w:val="24"/>
        </w:rPr>
        <w:t>nie mają odpowiednika w o.p. W aktualnej ustawie o</w:t>
      </w:r>
      <w:r w:rsidR="00D81EF5" w:rsidRPr="009A3C86">
        <w:rPr>
          <w:rFonts w:ascii="Times New Roman" w:eastAsia="Times New Roman" w:hAnsi="Times New Roman"/>
          <w:sz w:val="24"/>
          <w:szCs w:val="24"/>
        </w:rPr>
        <w:t xml:space="preserve">bowiązek </w:t>
      </w:r>
      <w:r w:rsidR="00E857E2" w:rsidRPr="009A3C86">
        <w:rPr>
          <w:rFonts w:ascii="Times New Roman" w:eastAsia="Times New Roman" w:hAnsi="Times New Roman"/>
          <w:sz w:val="24"/>
          <w:szCs w:val="24"/>
        </w:rPr>
        <w:t xml:space="preserve"> </w:t>
      </w:r>
      <w:r w:rsidR="00D81EF5" w:rsidRPr="009A3C86">
        <w:rPr>
          <w:rFonts w:ascii="Times New Roman" w:eastAsia="Times New Roman" w:hAnsi="Times New Roman"/>
          <w:sz w:val="24"/>
          <w:szCs w:val="24"/>
        </w:rPr>
        <w:t xml:space="preserve">prowadzenia wymienionych rejestru i ewidencji wynika z art. 306j pkt 3 i 4 o.p. upoważniającego ministra właściwego do spraw finansów publicznych do określenia, w drodze rozporządzenia, wzoru tego rejestru i tej ewidencji oraz z rozporządzenia wykonawczego. Nowy przepis art. 769 stanowi więc uzupełnienie dotychczasowej regulacji. Odpowiednikiem aktualnego art. 306j pkt 3 i 4 o.p. jest </w:t>
      </w:r>
      <w:r w:rsidR="00E25628" w:rsidRPr="009A3C86">
        <w:rPr>
          <w:rFonts w:ascii="Times New Roman" w:eastAsia="Times New Roman" w:hAnsi="Times New Roman"/>
          <w:b/>
          <w:sz w:val="24"/>
          <w:szCs w:val="24"/>
        </w:rPr>
        <w:t>art. 770 § 1 pkt 3 i 4</w:t>
      </w:r>
      <w:r w:rsidR="00E25628" w:rsidRPr="009A3C86">
        <w:rPr>
          <w:rFonts w:ascii="Times New Roman" w:eastAsia="Times New Roman" w:hAnsi="Times New Roman"/>
          <w:sz w:val="24"/>
          <w:szCs w:val="24"/>
        </w:rPr>
        <w:t xml:space="preserve"> projektu. Przepis art. 770 § 1 pkt 4 został uzupełniony o wytyczne</w:t>
      </w:r>
      <w:r w:rsidR="00B477CB" w:rsidRPr="009A3C86">
        <w:rPr>
          <w:rFonts w:ascii="Times New Roman" w:eastAsia="Times New Roman" w:hAnsi="Times New Roman"/>
          <w:sz w:val="24"/>
          <w:szCs w:val="24"/>
        </w:rPr>
        <w:t xml:space="preserve"> dotyczące treści rozporządzenia</w:t>
      </w:r>
      <w:r w:rsidR="00E25628" w:rsidRPr="009A3C86">
        <w:rPr>
          <w:rFonts w:ascii="Times New Roman" w:eastAsia="Times New Roman" w:hAnsi="Times New Roman"/>
          <w:sz w:val="24"/>
          <w:szCs w:val="24"/>
        </w:rPr>
        <w:t xml:space="preserve">, podobnie jak </w:t>
      </w:r>
      <w:r w:rsidR="00E25628" w:rsidRPr="009A3C86">
        <w:rPr>
          <w:rFonts w:ascii="Times New Roman" w:eastAsia="Times New Roman" w:hAnsi="Times New Roman"/>
          <w:b/>
          <w:sz w:val="24"/>
          <w:szCs w:val="24"/>
        </w:rPr>
        <w:t>pkt 5 i 6 oraz § 2</w:t>
      </w:r>
      <w:r w:rsidR="00E25628" w:rsidRPr="009A3C86">
        <w:rPr>
          <w:rFonts w:ascii="Times New Roman" w:eastAsia="Times New Roman" w:hAnsi="Times New Roman"/>
          <w:sz w:val="24"/>
          <w:szCs w:val="24"/>
        </w:rPr>
        <w:t xml:space="preserve">.   </w:t>
      </w:r>
      <w:r w:rsidR="00D81EF5" w:rsidRPr="009A3C86">
        <w:rPr>
          <w:rFonts w:ascii="Times New Roman" w:eastAsia="Times New Roman" w:hAnsi="Times New Roman"/>
          <w:sz w:val="24"/>
          <w:szCs w:val="24"/>
        </w:rPr>
        <w:t xml:space="preserve">   </w:t>
      </w:r>
    </w:p>
    <w:p w:rsidR="00B2165B" w:rsidRPr="009A3C86" w:rsidRDefault="00B2165B"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1</w:t>
      </w:r>
      <w:r w:rsidR="00C42B00" w:rsidRPr="009A3C86">
        <w:rPr>
          <w:rFonts w:ascii="Times New Roman" w:hAnsi="Times New Roman"/>
          <w:b/>
          <w:bCs/>
          <w:sz w:val="24"/>
          <w:szCs w:val="24"/>
        </w:rPr>
        <w:t>2</w:t>
      </w:r>
      <w:r w:rsidRPr="009A3C86">
        <w:rPr>
          <w:rFonts w:ascii="Times New Roman" w:hAnsi="Times New Roman"/>
          <w:b/>
          <w:bCs/>
          <w:sz w:val="24"/>
          <w:szCs w:val="24"/>
        </w:rPr>
        <w:t>. Odtwarzanie akt</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1. Zasadne jest uregulowanie w nowej ordynacji podatkowej postępowania w razie zaginięcia lub zniszczenia akt. Rozwiązania dotyczące postępowania w razie zaginięcia lub zniszczenia akt przewiduje w szczególności procedura cywilna, karna oraz sądowoadministracyjna. Zauważyć jednak należy, że regulacji takich nie ma w kodeksie postępowania administracyjnego ani też w ordynacji podatkowej. W doktrynie zwrócono uwagę na problem, według jakich przepisów organ administracyjny mógłby dokonywać odtworzenia akt administracyjnych właśnie ze względu na brak uregulowania tej materii w przepisach procedury administracyjnej. Wskazano również na dopuszczalne stosowanie analogii w zakresie trybu odtwarzania akt administracyjnych i stosowania zasad przewidzianych w procedurze cywilnej lub w procedurze sądowoadministracyjnej</w:t>
      </w:r>
      <w:r w:rsidRPr="009A3C86">
        <w:rPr>
          <w:rFonts w:ascii="Times New Roman" w:hAnsi="Times New Roman"/>
          <w:sz w:val="24"/>
          <w:szCs w:val="24"/>
          <w:vertAlign w:val="superscript"/>
        </w:rPr>
        <w:footnoteReference w:id="605"/>
      </w:r>
      <w:r w:rsidRPr="009A3C86">
        <w:rPr>
          <w:rFonts w:ascii="Times New Roman" w:hAnsi="Times New Roman"/>
          <w:sz w:val="24"/>
          <w:szCs w:val="24"/>
        </w:rPr>
        <w:t>. W celu zapewnienia kompleksowego charakteru regulacji prawnych dotyczących procedury podatkowej uzasadnione było ujęcie tej materii w nowej ordynacji podatkowej.</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2. Zgodnie z </w:t>
      </w:r>
      <w:r w:rsidRPr="009A3C86">
        <w:rPr>
          <w:rFonts w:ascii="Times New Roman" w:hAnsi="Times New Roman"/>
          <w:b/>
          <w:sz w:val="24"/>
          <w:szCs w:val="24"/>
        </w:rPr>
        <w:t xml:space="preserve">art. </w:t>
      </w:r>
      <w:r w:rsidR="00C942CC" w:rsidRPr="009A3C86">
        <w:rPr>
          <w:rFonts w:ascii="Times New Roman" w:hAnsi="Times New Roman"/>
          <w:b/>
          <w:sz w:val="24"/>
          <w:szCs w:val="24"/>
        </w:rPr>
        <w:t>772</w:t>
      </w:r>
      <w:r w:rsidRPr="009A3C86">
        <w:rPr>
          <w:rFonts w:ascii="Times New Roman" w:hAnsi="Times New Roman"/>
          <w:sz w:val="24"/>
          <w:szCs w:val="24"/>
        </w:rPr>
        <w:t xml:space="preserve"> projektu ordynacji podatkowej, który zredagowano w oparciu o art. 288 ustawy z dnia 30 sierpnia 2002 r. - Prawo o postępowaniu przed sądami administracyjnymi</w:t>
      </w:r>
      <w:r w:rsidR="00826ACC" w:rsidRPr="009A3C86">
        <w:rPr>
          <w:rFonts w:ascii="Times New Roman" w:hAnsi="Times New Roman"/>
          <w:sz w:val="24"/>
          <w:szCs w:val="24"/>
        </w:rPr>
        <w:t>,</w:t>
      </w:r>
      <w:r w:rsidRPr="009A3C86">
        <w:rPr>
          <w:rFonts w:ascii="Times New Roman" w:hAnsi="Times New Roman"/>
          <w:sz w:val="24"/>
          <w:szCs w:val="24"/>
        </w:rPr>
        <w:t xml:space="preserve"> </w:t>
      </w:r>
      <w:r w:rsidR="00826ACC" w:rsidRPr="009A3C86">
        <w:rPr>
          <w:rFonts w:ascii="Times New Roman" w:hAnsi="Times New Roman"/>
          <w:sz w:val="24"/>
          <w:szCs w:val="24"/>
        </w:rPr>
        <w:t xml:space="preserve">zwanej </w:t>
      </w:r>
      <w:r w:rsidRPr="009A3C86">
        <w:rPr>
          <w:rFonts w:ascii="Times New Roman" w:hAnsi="Times New Roman"/>
          <w:sz w:val="24"/>
          <w:szCs w:val="24"/>
        </w:rPr>
        <w:t>dalej p.p.s.a., odtworzeniu ulegają akta zaginione lub zniszczone w całości lub w części. Podkreślenia wymaga, że nie ma znaczenia postać tych akt. Tym samym zasadom odtwarzania podlegają zatem akta prowadzone w postaci papierowej i elektronicznej (</w:t>
      </w:r>
      <w:r w:rsidRPr="009A3C86">
        <w:rPr>
          <w:rFonts w:ascii="Times New Roman" w:hAnsi="Times New Roman"/>
          <w:b/>
          <w:sz w:val="24"/>
          <w:szCs w:val="24"/>
        </w:rPr>
        <w:t xml:space="preserve">art. </w:t>
      </w:r>
      <w:r w:rsidR="00C942CC" w:rsidRPr="009A3C86">
        <w:rPr>
          <w:rFonts w:ascii="Times New Roman" w:hAnsi="Times New Roman"/>
          <w:b/>
          <w:sz w:val="24"/>
          <w:szCs w:val="24"/>
        </w:rPr>
        <w:t>772</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W przypadku zakończenia postępowania odtworzeniu podlega decyzja ostateczna lub inny dokument związany z zakończeniem postępowania oraz ta część akt, która jest niezbędna do ustalenia treści tej decyzji lub dokumentu oraz do wszczęcia i prowadzenia postępowania, w szczególności w jednym z trybów nadzwyczajnych albo postępowania przed sądem administracyjnym lub cywilnym (</w:t>
      </w:r>
      <w:r w:rsidRPr="009A3C86">
        <w:rPr>
          <w:rFonts w:ascii="Times New Roman" w:hAnsi="Times New Roman"/>
          <w:b/>
          <w:sz w:val="24"/>
          <w:szCs w:val="24"/>
        </w:rPr>
        <w:t xml:space="preserve">art. </w:t>
      </w:r>
      <w:r w:rsidR="00C942CC" w:rsidRPr="009A3C86">
        <w:rPr>
          <w:rFonts w:ascii="Times New Roman" w:hAnsi="Times New Roman"/>
          <w:b/>
          <w:sz w:val="24"/>
          <w:szCs w:val="24"/>
        </w:rPr>
        <w:t>772</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Przedmiotem odtworzenia mogą być zatem akta sprawy zakończonej, jak i sprawy w toku. Odtworzenie akt może być również dokonywane także w innych celach niż prowadzenie postępowania w jednym z trybów nadzwyczajnych albo postępowania przed sądem administracyjnym lub cywilnym, np. w celu zmiany interpretacji indywidualnej.</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3. Postanowienia </w:t>
      </w:r>
      <w:r w:rsidRPr="009A3C86">
        <w:rPr>
          <w:rFonts w:ascii="Times New Roman" w:hAnsi="Times New Roman"/>
          <w:b/>
          <w:sz w:val="24"/>
          <w:szCs w:val="24"/>
        </w:rPr>
        <w:t xml:space="preserve">art. </w:t>
      </w:r>
      <w:r w:rsidR="00C942CC" w:rsidRPr="009A3C86">
        <w:rPr>
          <w:rFonts w:ascii="Times New Roman" w:hAnsi="Times New Roman"/>
          <w:b/>
          <w:sz w:val="24"/>
          <w:szCs w:val="24"/>
        </w:rPr>
        <w:t>773</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oparto na brzmieniu art. 289 p.p.s.a. Z kolei </w:t>
      </w:r>
      <w:r w:rsidRPr="009A3C86">
        <w:rPr>
          <w:rFonts w:ascii="Times New Roman" w:hAnsi="Times New Roman"/>
          <w:b/>
          <w:sz w:val="24"/>
          <w:szCs w:val="24"/>
        </w:rPr>
        <w:t xml:space="preserve">art. </w:t>
      </w:r>
      <w:r w:rsidR="00C942CC" w:rsidRPr="009A3C86">
        <w:rPr>
          <w:rFonts w:ascii="Times New Roman" w:hAnsi="Times New Roman"/>
          <w:b/>
          <w:sz w:val="24"/>
          <w:szCs w:val="24"/>
        </w:rPr>
        <w:t>773</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zredagowano w oparciu o art. </w:t>
      </w:r>
      <w:r w:rsidR="00A37814">
        <w:rPr>
          <w:rFonts w:ascii="Times New Roman" w:hAnsi="Times New Roman"/>
          <w:sz w:val="24"/>
          <w:szCs w:val="24"/>
        </w:rPr>
        <w:t>719</w:t>
      </w:r>
      <w:r w:rsidRPr="009A3C86">
        <w:rPr>
          <w:rFonts w:ascii="Times New Roman" w:hAnsi="Times New Roman"/>
          <w:sz w:val="24"/>
          <w:szCs w:val="24"/>
        </w:rPr>
        <w:t xml:space="preserve"> § 2 k.p.c. Zgodnie z </w:t>
      </w:r>
      <w:r w:rsidRPr="009A3C86">
        <w:rPr>
          <w:rFonts w:ascii="Times New Roman" w:hAnsi="Times New Roman"/>
          <w:b/>
          <w:sz w:val="24"/>
          <w:szCs w:val="24"/>
        </w:rPr>
        <w:t xml:space="preserve">art. </w:t>
      </w:r>
      <w:r w:rsidR="00C942CC" w:rsidRPr="009A3C86">
        <w:rPr>
          <w:rFonts w:ascii="Times New Roman" w:hAnsi="Times New Roman"/>
          <w:b/>
          <w:sz w:val="24"/>
          <w:szCs w:val="24"/>
        </w:rPr>
        <w:t>773</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organ podatkowy wszczyna postępowanie w sprawie odtworzenia akt z urzędu lub na wniosek zainteresowanego. Do złożenia wniosku uprawiony jest zatem zainteresowany. Może to być przykładowo podatnik, będący stroną postępowania </w:t>
      </w:r>
      <w:r w:rsidRPr="009A3C86">
        <w:rPr>
          <w:rFonts w:ascii="Times New Roman" w:hAnsi="Times New Roman"/>
          <w:sz w:val="24"/>
          <w:szCs w:val="24"/>
        </w:rPr>
        <w:lastRenderedPageBreak/>
        <w:t xml:space="preserve">lub też wnioskodawca, jeżeli odtworzenie akt dotyczy np. akt postępowania w przedmiocie wydania interpretacji indywidualnej. Zgodnie z </w:t>
      </w:r>
      <w:r w:rsidRPr="009A3C86">
        <w:rPr>
          <w:rFonts w:ascii="Times New Roman" w:hAnsi="Times New Roman"/>
          <w:b/>
          <w:sz w:val="24"/>
          <w:szCs w:val="24"/>
        </w:rPr>
        <w:t xml:space="preserve">art. </w:t>
      </w:r>
      <w:r w:rsidR="00C942CC" w:rsidRPr="009A3C86">
        <w:rPr>
          <w:rFonts w:ascii="Times New Roman" w:hAnsi="Times New Roman"/>
          <w:b/>
          <w:sz w:val="24"/>
          <w:szCs w:val="24"/>
        </w:rPr>
        <w:t>773</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wniosek o odtworzenie akt sprawy będącej w toku zgłosić można do dnia zakończenia postępowania, a wniosek o odtworzenie akt sprawy zakończonej - w ciągu lat dziesięciu od jej zakończenia, chyba że okres przechowywania akt przewidziany przepisami o archiwach jest krótszy. Podkreślenia wymaga, że art. </w:t>
      </w:r>
      <w:r w:rsidR="00C942CC" w:rsidRPr="009A3C86">
        <w:rPr>
          <w:rFonts w:ascii="Times New Roman" w:hAnsi="Times New Roman"/>
          <w:sz w:val="24"/>
          <w:szCs w:val="24"/>
        </w:rPr>
        <w:t>773</w:t>
      </w:r>
      <w:r w:rsidRPr="009A3C86">
        <w:rPr>
          <w:rFonts w:ascii="Times New Roman" w:hAnsi="Times New Roman"/>
          <w:sz w:val="24"/>
          <w:szCs w:val="24"/>
        </w:rPr>
        <w:t xml:space="preserve"> § 2 projektu ordynacji podatkowej nie odnosi się do odtworzenia akt przez organ podatkowy z urzędu, ale jedynie do złożenia wniosku przez zainteresowanego wszczynającego to postępowanie.</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4. Z kolei </w:t>
      </w:r>
      <w:r w:rsidRPr="009A3C86">
        <w:rPr>
          <w:rFonts w:ascii="Times New Roman" w:hAnsi="Times New Roman"/>
          <w:b/>
          <w:sz w:val="24"/>
          <w:szCs w:val="24"/>
        </w:rPr>
        <w:t xml:space="preserve">art. </w:t>
      </w:r>
      <w:r w:rsidR="0092496B" w:rsidRPr="009A3C86">
        <w:rPr>
          <w:rFonts w:ascii="Times New Roman" w:hAnsi="Times New Roman"/>
          <w:b/>
          <w:sz w:val="24"/>
          <w:szCs w:val="24"/>
        </w:rPr>
        <w:t>774</w:t>
      </w:r>
      <w:r w:rsidRPr="009A3C86">
        <w:rPr>
          <w:rFonts w:ascii="Times New Roman" w:hAnsi="Times New Roman"/>
          <w:sz w:val="24"/>
          <w:szCs w:val="24"/>
        </w:rPr>
        <w:t xml:space="preserve"> projektu ordynacji podatkowej zredagowano w oparciu o art. 290 p.p.s.a. Zgodnie z </w:t>
      </w:r>
      <w:r w:rsidRPr="009A3C86">
        <w:rPr>
          <w:rFonts w:ascii="Times New Roman" w:hAnsi="Times New Roman"/>
          <w:b/>
          <w:sz w:val="24"/>
          <w:szCs w:val="24"/>
        </w:rPr>
        <w:t xml:space="preserve">art. </w:t>
      </w:r>
      <w:r w:rsidR="0092496B" w:rsidRPr="009A3C86">
        <w:rPr>
          <w:rFonts w:ascii="Times New Roman" w:hAnsi="Times New Roman"/>
          <w:b/>
          <w:sz w:val="24"/>
          <w:szCs w:val="24"/>
        </w:rPr>
        <w:t>774</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do odtworzenia akt w toku postępowania właściwy jest organ podatkowy prowadzący to postępowanie, lub prowadzący ostatnio to postępowanie.  Jeżeli jednak właściwy byłby organ odwoławczy, organ ten przekaże sprawę organowi pierwszej instancji, chyba że chodzi o odtworzenie akt tylko tego organu (</w:t>
      </w:r>
      <w:r w:rsidRPr="009A3C86">
        <w:rPr>
          <w:rFonts w:ascii="Times New Roman" w:hAnsi="Times New Roman"/>
          <w:b/>
          <w:sz w:val="24"/>
          <w:szCs w:val="24"/>
        </w:rPr>
        <w:t xml:space="preserve">art. </w:t>
      </w:r>
      <w:r w:rsidR="00AB61FD" w:rsidRPr="009A3C86">
        <w:rPr>
          <w:rFonts w:ascii="Times New Roman" w:hAnsi="Times New Roman"/>
          <w:b/>
          <w:sz w:val="24"/>
          <w:szCs w:val="24"/>
        </w:rPr>
        <w:t>774</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Natomiast zgodnie z </w:t>
      </w:r>
      <w:r w:rsidRPr="009A3C86">
        <w:rPr>
          <w:rFonts w:ascii="Times New Roman" w:hAnsi="Times New Roman"/>
          <w:b/>
          <w:sz w:val="24"/>
          <w:szCs w:val="24"/>
        </w:rPr>
        <w:t xml:space="preserve">art. </w:t>
      </w:r>
      <w:r w:rsidR="00AB61FD" w:rsidRPr="009A3C86">
        <w:rPr>
          <w:rFonts w:ascii="Times New Roman" w:hAnsi="Times New Roman"/>
          <w:b/>
          <w:sz w:val="24"/>
          <w:szCs w:val="24"/>
        </w:rPr>
        <w:t>774</w:t>
      </w:r>
      <w:r w:rsidRPr="009A3C86">
        <w:rPr>
          <w:rFonts w:ascii="Times New Roman" w:hAnsi="Times New Roman"/>
          <w:b/>
          <w:sz w:val="24"/>
          <w:szCs w:val="24"/>
        </w:rPr>
        <w:t xml:space="preserve"> § 3</w:t>
      </w:r>
      <w:r w:rsidRPr="009A3C86">
        <w:rPr>
          <w:rFonts w:ascii="Times New Roman" w:hAnsi="Times New Roman"/>
          <w:sz w:val="24"/>
          <w:szCs w:val="24"/>
        </w:rPr>
        <w:t xml:space="preserve"> projektu ordynacji podatkowej postępowanie w razie zaginięcia lub zniszczenia akt w sprawie zakończonej, w tym decyzją ostateczną, przeprowadza organ podatkowy pierwszej instancji. Przepis ten określa zatem zasady ustalania właściwości organu podatkowego w sprawie o odtworzenie akt.</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5. Postanowienia </w:t>
      </w:r>
      <w:r w:rsidRPr="009A3C86">
        <w:rPr>
          <w:rFonts w:ascii="Times New Roman" w:hAnsi="Times New Roman"/>
          <w:b/>
          <w:sz w:val="24"/>
          <w:szCs w:val="24"/>
        </w:rPr>
        <w:t xml:space="preserve">art. </w:t>
      </w:r>
      <w:r w:rsidR="00AB61FD" w:rsidRPr="009A3C86">
        <w:rPr>
          <w:rFonts w:ascii="Times New Roman" w:hAnsi="Times New Roman"/>
          <w:b/>
          <w:sz w:val="24"/>
          <w:szCs w:val="24"/>
        </w:rPr>
        <w:t>775</w:t>
      </w:r>
      <w:r w:rsidRPr="009A3C86">
        <w:rPr>
          <w:rFonts w:ascii="Times New Roman" w:hAnsi="Times New Roman"/>
          <w:sz w:val="24"/>
          <w:szCs w:val="24"/>
        </w:rPr>
        <w:t xml:space="preserve"> projektu ordynacji podatkowej są odwzorowaniem art. 291 p.p.s.a. Zgodnie z tym przepisem we wniosku o odtworzenie akt należy określić dokładnie sprawę, dołączyć wszelkie urzędowo poświadczone odpisy dokumentów znajdujące się w posiadaniu zainteresowanego oraz wskazać znane mu miejsca, w których dokumenty lub ich odpisy się znajdują. Przepis ten określa warunki formalne, jakie powinien spełniać wniosek o odtworzenie akt. Z </w:t>
      </w:r>
      <w:r w:rsidRPr="009A3C86">
        <w:rPr>
          <w:rFonts w:ascii="Times New Roman" w:hAnsi="Times New Roman"/>
          <w:b/>
          <w:sz w:val="24"/>
          <w:szCs w:val="24"/>
        </w:rPr>
        <w:t xml:space="preserve">art. </w:t>
      </w:r>
      <w:r w:rsidR="001E06D1" w:rsidRPr="009A3C86">
        <w:rPr>
          <w:rFonts w:ascii="Times New Roman" w:hAnsi="Times New Roman"/>
          <w:b/>
          <w:sz w:val="24"/>
          <w:szCs w:val="24"/>
        </w:rPr>
        <w:t>782</w:t>
      </w:r>
      <w:r w:rsidRPr="009A3C86">
        <w:rPr>
          <w:rFonts w:ascii="Times New Roman" w:hAnsi="Times New Roman"/>
          <w:sz w:val="24"/>
          <w:szCs w:val="24"/>
        </w:rPr>
        <w:t xml:space="preserve"> projektu wynika, że wspomniany wniosek należy traktować tak jak wniosek, o którym mowa w art. 362 § 1 projektu ordynacji podatkowej.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6. Postanowienia </w:t>
      </w:r>
      <w:r w:rsidRPr="009A3C86">
        <w:rPr>
          <w:rFonts w:ascii="Times New Roman" w:hAnsi="Times New Roman"/>
          <w:b/>
          <w:sz w:val="24"/>
          <w:szCs w:val="24"/>
        </w:rPr>
        <w:t xml:space="preserve">art. </w:t>
      </w:r>
      <w:r w:rsidR="001E06D1" w:rsidRPr="009A3C86">
        <w:rPr>
          <w:rFonts w:ascii="Times New Roman" w:hAnsi="Times New Roman"/>
          <w:b/>
          <w:sz w:val="24"/>
          <w:szCs w:val="24"/>
        </w:rPr>
        <w:t>776</w:t>
      </w:r>
      <w:r w:rsidRPr="009A3C86">
        <w:rPr>
          <w:rFonts w:ascii="Times New Roman" w:hAnsi="Times New Roman"/>
          <w:sz w:val="24"/>
          <w:szCs w:val="24"/>
        </w:rPr>
        <w:t xml:space="preserve"> projektu ordynacji podatkowej zredagowano w oparciu o art. 292 p.p.s.a. Zgodnie z </w:t>
      </w:r>
      <w:r w:rsidRPr="009A3C86">
        <w:rPr>
          <w:rFonts w:ascii="Times New Roman" w:hAnsi="Times New Roman"/>
          <w:b/>
          <w:sz w:val="24"/>
          <w:szCs w:val="24"/>
        </w:rPr>
        <w:t xml:space="preserve">art. </w:t>
      </w:r>
      <w:r w:rsidR="001E06D1" w:rsidRPr="009A3C86">
        <w:rPr>
          <w:rFonts w:ascii="Times New Roman" w:hAnsi="Times New Roman"/>
          <w:b/>
          <w:sz w:val="24"/>
          <w:szCs w:val="24"/>
        </w:rPr>
        <w:t>776</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organ podatkowy wzywa osoby, organy administracji publicznej lub instytucje wskazane we wniosku oraz znane temu organowi z urzędu do złożenia w określonym terminie poświadczonych urzędowo odpisów dokumentów będących w ich posiadaniu albo do złożenia oświadczenia, że ich nie posiadają. Jeżeli wezwany nie posiada dokumentu lub odpisu, a był w jego posiadaniu, powinien wyjaśnić, gdzie dokument lub odpis się znajduje (</w:t>
      </w:r>
      <w:r w:rsidRPr="009A3C86">
        <w:rPr>
          <w:rFonts w:ascii="Times New Roman" w:hAnsi="Times New Roman"/>
          <w:b/>
          <w:sz w:val="24"/>
          <w:szCs w:val="24"/>
        </w:rPr>
        <w:t xml:space="preserve">art. </w:t>
      </w:r>
      <w:r w:rsidR="001E06D1" w:rsidRPr="009A3C86">
        <w:rPr>
          <w:rFonts w:ascii="Times New Roman" w:hAnsi="Times New Roman"/>
          <w:b/>
          <w:sz w:val="24"/>
          <w:szCs w:val="24"/>
        </w:rPr>
        <w:t>776</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Do wezwania mają odpowiednie zastosowanie przepisy o wezwaniach określone w art. </w:t>
      </w:r>
      <w:r w:rsidR="001E06D1" w:rsidRPr="009A3C86">
        <w:rPr>
          <w:rFonts w:ascii="Times New Roman" w:hAnsi="Times New Roman"/>
          <w:sz w:val="24"/>
          <w:szCs w:val="24"/>
        </w:rPr>
        <w:t>351</w:t>
      </w:r>
      <w:r w:rsidRPr="009A3C86">
        <w:rPr>
          <w:rFonts w:ascii="Times New Roman" w:hAnsi="Times New Roman"/>
          <w:sz w:val="24"/>
          <w:szCs w:val="24"/>
        </w:rPr>
        <w:t xml:space="preserve"> - </w:t>
      </w:r>
      <w:r w:rsidR="001E06D1" w:rsidRPr="009A3C86">
        <w:rPr>
          <w:rFonts w:ascii="Times New Roman" w:hAnsi="Times New Roman"/>
          <w:sz w:val="24"/>
          <w:szCs w:val="24"/>
        </w:rPr>
        <w:t>356</w:t>
      </w:r>
      <w:r w:rsidRPr="009A3C86">
        <w:rPr>
          <w:rFonts w:ascii="Times New Roman" w:hAnsi="Times New Roman"/>
          <w:sz w:val="24"/>
          <w:szCs w:val="24"/>
        </w:rPr>
        <w:t xml:space="preserve"> projektu ordynacji podatkowej (</w:t>
      </w:r>
      <w:r w:rsidRPr="009A3C86">
        <w:rPr>
          <w:rFonts w:ascii="Times New Roman" w:hAnsi="Times New Roman"/>
          <w:b/>
          <w:sz w:val="24"/>
          <w:szCs w:val="24"/>
        </w:rPr>
        <w:t xml:space="preserve">art. </w:t>
      </w:r>
      <w:r w:rsidR="001E06D1" w:rsidRPr="009A3C86">
        <w:rPr>
          <w:rFonts w:ascii="Times New Roman" w:hAnsi="Times New Roman"/>
          <w:b/>
          <w:sz w:val="24"/>
          <w:szCs w:val="24"/>
        </w:rPr>
        <w:t>782</w:t>
      </w:r>
      <w:r w:rsidRPr="009A3C86">
        <w:rPr>
          <w:rFonts w:ascii="Times New Roman" w:hAnsi="Times New Roman"/>
          <w:sz w:val="24"/>
          <w:szCs w:val="24"/>
        </w:rPr>
        <w:t xml:space="preserve"> projektu).</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7. Postanowienia </w:t>
      </w:r>
      <w:r w:rsidRPr="009A3C86">
        <w:rPr>
          <w:rFonts w:ascii="Times New Roman" w:hAnsi="Times New Roman"/>
          <w:b/>
          <w:sz w:val="24"/>
          <w:szCs w:val="24"/>
        </w:rPr>
        <w:t xml:space="preserve">art. </w:t>
      </w:r>
      <w:r w:rsidR="008020F6" w:rsidRPr="009A3C86">
        <w:rPr>
          <w:rFonts w:ascii="Times New Roman" w:hAnsi="Times New Roman"/>
          <w:b/>
          <w:sz w:val="24"/>
          <w:szCs w:val="24"/>
        </w:rPr>
        <w:t>777</w:t>
      </w:r>
      <w:r w:rsidRPr="009A3C86">
        <w:rPr>
          <w:rFonts w:ascii="Times New Roman" w:hAnsi="Times New Roman"/>
          <w:sz w:val="24"/>
          <w:szCs w:val="24"/>
        </w:rPr>
        <w:t xml:space="preserve"> projektu ordynacji podatkowej są odpowiednikiem obowiązującego art. 294 p.p.s.a. z nieznaczną modyfikacją. Zgodnie z tym przepisem, jeżeli poświadczone urzędowo odpisy zostaną złożone, organ podatkowy dołącza je do akt.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8. Zgodnie z </w:t>
      </w:r>
      <w:r w:rsidRPr="009A3C86">
        <w:rPr>
          <w:rFonts w:ascii="Times New Roman" w:hAnsi="Times New Roman"/>
          <w:b/>
          <w:sz w:val="24"/>
          <w:szCs w:val="24"/>
        </w:rPr>
        <w:t xml:space="preserve">art. </w:t>
      </w:r>
      <w:r w:rsidR="008020F6" w:rsidRPr="009A3C86">
        <w:rPr>
          <w:rFonts w:ascii="Times New Roman" w:hAnsi="Times New Roman"/>
          <w:b/>
          <w:sz w:val="24"/>
          <w:szCs w:val="24"/>
        </w:rPr>
        <w:t>778</w:t>
      </w:r>
      <w:r w:rsidRPr="009A3C86">
        <w:rPr>
          <w:rFonts w:ascii="Times New Roman" w:hAnsi="Times New Roman"/>
          <w:sz w:val="24"/>
          <w:szCs w:val="24"/>
        </w:rPr>
        <w:t xml:space="preserve"> projektu ordynacji podatkowej, jeżeli odtworzenia akt nie można przeprowadzić na zasadach przewidzianych w art. </w:t>
      </w:r>
      <w:r w:rsidR="008020F6" w:rsidRPr="009A3C86">
        <w:rPr>
          <w:rFonts w:ascii="Times New Roman" w:hAnsi="Times New Roman"/>
          <w:sz w:val="24"/>
          <w:szCs w:val="24"/>
        </w:rPr>
        <w:t>772</w:t>
      </w:r>
      <w:r w:rsidRPr="009A3C86">
        <w:rPr>
          <w:rFonts w:ascii="Times New Roman" w:hAnsi="Times New Roman"/>
          <w:sz w:val="24"/>
          <w:szCs w:val="24"/>
        </w:rPr>
        <w:t xml:space="preserve"> - </w:t>
      </w:r>
      <w:r w:rsidR="008020F6" w:rsidRPr="009A3C86">
        <w:rPr>
          <w:rFonts w:ascii="Times New Roman" w:hAnsi="Times New Roman"/>
          <w:sz w:val="24"/>
          <w:szCs w:val="24"/>
        </w:rPr>
        <w:t>777</w:t>
      </w:r>
      <w:r w:rsidRPr="009A3C86">
        <w:rPr>
          <w:rFonts w:ascii="Times New Roman" w:hAnsi="Times New Roman"/>
          <w:sz w:val="24"/>
          <w:szCs w:val="24"/>
        </w:rPr>
        <w:t xml:space="preserve"> projektu ordynacji podatkowej, organ podatkowy wzywa zainteresowanego do złożenia oświadczeń co do treści zaginionych lub zniszczonych pism oraz dowodów na zawarte w nich twierdzenia, nie wyłączając prywatnych odpisów oraz innych pism i notatek, które mogą być pomocne przy odtworzeniu akt. Przepis ten znajdzie zastosowanie, gdy użycie art. </w:t>
      </w:r>
      <w:r w:rsidR="005E05D2" w:rsidRPr="009A3C86">
        <w:rPr>
          <w:rFonts w:ascii="Times New Roman" w:hAnsi="Times New Roman"/>
          <w:sz w:val="24"/>
          <w:szCs w:val="24"/>
        </w:rPr>
        <w:t>772</w:t>
      </w:r>
      <w:r w:rsidRPr="009A3C86">
        <w:rPr>
          <w:rFonts w:ascii="Times New Roman" w:hAnsi="Times New Roman"/>
          <w:sz w:val="24"/>
          <w:szCs w:val="24"/>
        </w:rPr>
        <w:t xml:space="preserve"> – </w:t>
      </w:r>
      <w:r w:rsidR="005E05D2" w:rsidRPr="009A3C86">
        <w:rPr>
          <w:rFonts w:ascii="Times New Roman" w:hAnsi="Times New Roman"/>
          <w:sz w:val="24"/>
          <w:szCs w:val="24"/>
        </w:rPr>
        <w:t>777</w:t>
      </w:r>
      <w:r w:rsidRPr="009A3C86">
        <w:rPr>
          <w:rFonts w:ascii="Times New Roman" w:hAnsi="Times New Roman"/>
          <w:sz w:val="24"/>
          <w:szCs w:val="24"/>
        </w:rPr>
        <w:t xml:space="preserve"> okaże się nieskuteczne. Postanowienia art. </w:t>
      </w:r>
      <w:r w:rsidR="005E05D2" w:rsidRPr="009A3C86">
        <w:rPr>
          <w:rFonts w:ascii="Times New Roman" w:hAnsi="Times New Roman"/>
          <w:sz w:val="24"/>
          <w:szCs w:val="24"/>
        </w:rPr>
        <w:t>778</w:t>
      </w:r>
      <w:r w:rsidRPr="009A3C86">
        <w:rPr>
          <w:rFonts w:ascii="Times New Roman" w:hAnsi="Times New Roman"/>
          <w:sz w:val="24"/>
          <w:szCs w:val="24"/>
        </w:rPr>
        <w:t xml:space="preserve"> projektu ordynacji podatkowej skonstruowano na podstawie art. 295 p.p.s.a.</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9. Zgodnie z </w:t>
      </w:r>
      <w:r w:rsidRPr="009A3C86">
        <w:rPr>
          <w:rFonts w:ascii="Times New Roman" w:hAnsi="Times New Roman"/>
          <w:b/>
          <w:sz w:val="24"/>
          <w:szCs w:val="24"/>
        </w:rPr>
        <w:t xml:space="preserve">art. </w:t>
      </w:r>
      <w:r w:rsidR="00221816" w:rsidRPr="009A3C86">
        <w:rPr>
          <w:rFonts w:ascii="Times New Roman" w:hAnsi="Times New Roman"/>
          <w:b/>
          <w:sz w:val="24"/>
          <w:szCs w:val="24"/>
        </w:rPr>
        <w:t>779</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organ podatkowy przeprowadza z urzędu czynności w celu odtworzenia akt, uwzględniając każdą okoliczność, która może mieć znaczenie dla ustalenia treści zaginionych lub zniszczonych akt. Organ podatkowy bierze w szczególności pod uwagę dokumentację prowadzoną na podstawie przepisów kancelaryjno- archiwalnych. W myśl </w:t>
      </w:r>
      <w:r w:rsidRPr="009A3C86">
        <w:rPr>
          <w:rFonts w:ascii="Times New Roman" w:hAnsi="Times New Roman"/>
          <w:b/>
          <w:sz w:val="24"/>
          <w:szCs w:val="24"/>
        </w:rPr>
        <w:t xml:space="preserve">art. </w:t>
      </w:r>
      <w:r w:rsidR="00221816" w:rsidRPr="009A3C86">
        <w:rPr>
          <w:rFonts w:ascii="Times New Roman" w:hAnsi="Times New Roman"/>
          <w:b/>
          <w:sz w:val="24"/>
          <w:szCs w:val="24"/>
        </w:rPr>
        <w:t>779</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organ podatkowy może też przesłuchać w charakterze świadków: zainteresowanych oraz ich pełnomocników, a także inne osoby, które uczestniczyły w postępowaniu lub które mogą wypowiedzieć się co do treści akt. Przedmiotem postępowania dowodowego nie są w tym wypadku okoliczności związane z twierdzeniami zainteresowanych co do istoty sporu, lecz jedynie takie, które mogą posłużyć do ustalenia treści utraconych dokumentów oraz ustalenia osób, u których znajdują się utracone dokumenty. Określone w tym przepisie postępowanie dowodowe odbywa się przy odpowiednim stosowaniu przepisów działu III projektu ordynacji podatkowej. Umożliwia to art. </w:t>
      </w:r>
      <w:r w:rsidR="00221816" w:rsidRPr="009A3C86">
        <w:rPr>
          <w:rFonts w:ascii="Times New Roman" w:hAnsi="Times New Roman"/>
          <w:sz w:val="24"/>
          <w:szCs w:val="24"/>
        </w:rPr>
        <w:t>782</w:t>
      </w:r>
      <w:r w:rsidRPr="009A3C86">
        <w:rPr>
          <w:rFonts w:ascii="Times New Roman" w:hAnsi="Times New Roman"/>
          <w:sz w:val="24"/>
          <w:szCs w:val="24"/>
        </w:rPr>
        <w:t xml:space="preserve"> projektu ordynacji podatkowej. Postanowienia art. </w:t>
      </w:r>
      <w:r w:rsidR="00221816" w:rsidRPr="009A3C86">
        <w:rPr>
          <w:rFonts w:ascii="Times New Roman" w:hAnsi="Times New Roman"/>
          <w:sz w:val="24"/>
          <w:szCs w:val="24"/>
        </w:rPr>
        <w:t>779</w:t>
      </w:r>
      <w:r w:rsidRPr="009A3C86">
        <w:rPr>
          <w:rFonts w:ascii="Times New Roman" w:hAnsi="Times New Roman"/>
          <w:sz w:val="24"/>
          <w:szCs w:val="24"/>
        </w:rPr>
        <w:t xml:space="preserve"> projektu ordynacji podatkowej skonstruowano na podstawie art. 296 p.p.s.a.</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10. Przepis </w:t>
      </w:r>
      <w:r w:rsidRPr="009A3C86">
        <w:rPr>
          <w:rFonts w:ascii="Times New Roman" w:hAnsi="Times New Roman"/>
          <w:b/>
          <w:sz w:val="24"/>
          <w:szCs w:val="24"/>
        </w:rPr>
        <w:t xml:space="preserve">art. </w:t>
      </w:r>
      <w:r w:rsidR="00221816" w:rsidRPr="009A3C86">
        <w:rPr>
          <w:rFonts w:ascii="Times New Roman" w:hAnsi="Times New Roman"/>
          <w:b/>
          <w:sz w:val="24"/>
          <w:szCs w:val="24"/>
        </w:rPr>
        <w:t>780</w:t>
      </w:r>
      <w:r w:rsidRPr="009A3C86">
        <w:rPr>
          <w:rFonts w:ascii="Times New Roman" w:hAnsi="Times New Roman"/>
          <w:sz w:val="24"/>
          <w:szCs w:val="24"/>
        </w:rPr>
        <w:t xml:space="preserve"> projektu ordynacji jest zmodyfikowanym odpowiednikiem art. 297 p.p.s.a. Zgodnie z tym przepisem po przeprowadzeniu postępowania, o którym mowa w art. </w:t>
      </w:r>
      <w:r w:rsidR="00221816" w:rsidRPr="009A3C86">
        <w:rPr>
          <w:rFonts w:ascii="Times New Roman" w:hAnsi="Times New Roman"/>
          <w:sz w:val="24"/>
          <w:szCs w:val="24"/>
        </w:rPr>
        <w:t>778</w:t>
      </w:r>
      <w:r w:rsidRPr="009A3C86">
        <w:rPr>
          <w:rFonts w:ascii="Times New Roman" w:hAnsi="Times New Roman"/>
          <w:sz w:val="24"/>
          <w:szCs w:val="24"/>
        </w:rPr>
        <w:t xml:space="preserve"> i art. </w:t>
      </w:r>
      <w:r w:rsidR="00221816" w:rsidRPr="009A3C86">
        <w:rPr>
          <w:rFonts w:ascii="Times New Roman" w:hAnsi="Times New Roman"/>
          <w:sz w:val="24"/>
          <w:szCs w:val="24"/>
        </w:rPr>
        <w:t>779</w:t>
      </w:r>
      <w:r w:rsidRPr="009A3C86">
        <w:rPr>
          <w:rFonts w:ascii="Times New Roman" w:hAnsi="Times New Roman"/>
          <w:sz w:val="24"/>
          <w:szCs w:val="24"/>
        </w:rPr>
        <w:t xml:space="preserve">, organ podatkowy w formie postanowienia stwierdza, w jaki sposób i w jakim zakresie zaginione akta mają być odtworzone lub że odtworzenie akt jest niemożliwe. Na postanowienie służy zainteresowanemu zażalenie. Sentencja postanowienia wydanego na podstawie art. </w:t>
      </w:r>
      <w:r w:rsidR="00221816" w:rsidRPr="009A3C86">
        <w:rPr>
          <w:rFonts w:ascii="Times New Roman" w:hAnsi="Times New Roman"/>
          <w:sz w:val="24"/>
          <w:szCs w:val="24"/>
        </w:rPr>
        <w:t>780</w:t>
      </w:r>
      <w:r w:rsidRPr="009A3C86">
        <w:rPr>
          <w:rFonts w:ascii="Times New Roman" w:hAnsi="Times New Roman"/>
          <w:sz w:val="24"/>
          <w:szCs w:val="24"/>
        </w:rPr>
        <w:t xml:space="preserve"> projektu powinna w szczególności określać zakres odtworzenia, stwierdzać, na podstawie jakich dokumentów odtworzono akta lub ich część, wymieniać odtworzone dokumenty.</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11. Postanowienia </w:t>
      </w:r>
      <w:r w:rsidRPr="009A3C86">
        <w:rPr>
          <w:rFonts w:ascii="Times New Roman" w:hAnsi="Times New Roman"/>
          <w:b/>
          <w:sz w:val="24"/>
          <w:szCs w:val="24"/>
        </w:rPr>
        <w:t xml:space="preserve">art. </w:t>
      </w:r>
      <w:r w:rsidR="00221816" w:rsidRPr="009A3C86">
        <w:rPr>
          <w:rFonts w:ascii="Times New Roman" w:hAnsi="Times New Roman"/>
          <w:b/>
          <w:sz w:val="24"/>
          <w:szCs w:val="24"/>
        </w:rPr>
        <w:t>781</w:t>
      </w:r>
      <w:r w:rsidRPr="009A3C86">
        <w:rPr>
          <w:rFonts w:ascii="Times New Roman" w:hAnsi="Times New Roman"/>
          <w:sz w:val="24"/>
          <w:szCs w:val="24"/>
        </w:rPr>
        <w:t xml:space="preserve"> projektu ordynacji podatkowej skonstruowano na podstawie art. 298 p.p.s.a. Zgodnie z </w:t>
      </w:r>
      <w:r w:rsidRPr="009A3C86">
        <w:rPr>
          <w:rFonts w:ascii="Times New Roman" w:hAnsi="Times New Roman"/>
          <w:b/>
          <w:sz w:val="24"/>
          <w:szCs w:val="24"/>
        </w:rPr>
        <w:t xml:space="preserve">art. </w:t>
      </w:r>
      <w:r w:rsidR="00221816" w:rsidRPr="009A3C86">
        <w:rPr>
          <w:rFonts w:ascii="Times New Roman" w:hAnsi="Times New Roman"/>
          <w:b/>
          <w:sz w:val="24"/>
          <w:szCs w:val="24"/>
        </w:rPr>
        <w:t>781</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jeżeli akta nie mogą być </w:t>
      </w:r>
      <w:r w:rsidRPr="009A3C86">
        <w:rPr>
          <w:rFonts w:ascii="Times New Roman" w:hAnsi="Times New Roman"/>
          <w:sz w:val="24"/>
          <w:szCs w:val="24"/>
        </w:rPr>
        <w:lastRenderedPageBreak/>
        <w:t xml:space="preserve">odtworzone lub odtworzone zostały w części niewystarczającej do prowadzenia dalszego postępowania, postępowanie może być wszczęte ponownie, z zastrzeżeniem § 2.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Natomiast zgodnie z </w:t>
      </w:r>
      <w:r w:rsidRPr="009A3C86">
        <w:rPr>
          <w:rFonts w:ascii="Times New Roman" w:hAnsi="Times New Roman"/>
          <w:b/>
          <w:sz w:val="24"/>
          <w:szCs w:val="24"/>
        </w:rPr>
        <w:t xml:space="preserve">art. </w:t>
      </w:r>
      <w:r w:rsidR="00221816" w:rsidRPr="009A3C86">
        <w:rPr>
          <w:rFonts w:ascii="Times New Roman" w:hAnsi="Times New Roman"/>
          <w:b/>
          <w:sz w:val="24"/>
          <w:szCs w:val="24"/>
        </w:rPr>
        <w:t>781</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w pozostałych przypadkach organ podatkowy prowadzi postępowanie w takim stanie, w jakim okaże się to możliwe przy uwzględnieniu akt pozostałych i odtworzonych. Na postanowienie co do prowadzenia dalszego postępowania służy zainteresowanemu zażalenie.</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12. Zgodnie z </w:t>
      </w:r>
      <w:r w:rsidRPr="009A3C86">
        <w:rPr>
          <w:rFonts w:ascii="Times New Roman" w:hAnsi="Times New Roman"/>
          <w:b/>
          <w:sz w:val="24"/>
          <w:szCs w:val="24"/>
        </w:rPr>
        <w:t xml:space="preserve">art. </w:t>
      </w:r>
      <w:r w:rsidR="00221816" w:rsidRPr="009A3C86">
        <w:rPr>
          <w:rFonts w:ascii="Times New Roman" w:hAnsi="Times New Roman"/>
          <w:b/>
          <w:sz w:val="24"/>
          <w:szCs w:val="24"/>
        </w:rPr>
        <w:t>782</w:t>
      </w:r>
      <w:r w:rsidRPr="009A3C86">
        <w:rPr>
          <w:rFonts w:ascii="Times New Roman" w:hAnsi="Times New Roman"/>
          <w:sz w:val="24"/>
          <w:szCs w:val="24"/>
        </w:rPr>
        <w:t xml:space="preserve"> projektu ordynacji podatkowej w sprawach nieuregulowanych w niniejszym rozdziale stosuje się odpowiednio przepisy działu III ordynacji podatkowej, czyli przepisy regulujące przebieg postępowania podatkowego, wśród których znajdują się w szczególności regulacje dotyczące doręczeń, wezwań, zasad przeprowadzania postępowania dowodowego, wydawania postanowień itd. </w:t>
      </w:r>
    </w:p>
    <w:p w:rsidR="00B2165B" w:rsidRPr="009A3C86" w:rsidRDefault="00B2165B" w:rsidP="00D72E74">
      <w:pPr>
        <w:tabs>
          <w:tab w:val="num" w:pos="720"/>
        </w:tabs>
        <w:spacing w:before="120" w:after="0" w:line="360" w:lineRule="auto"/>
        <w:jc w:val="both"/>
        <w:outlineLvl w:val="2"/>
        <w:rPr>
          <w:rFonts w:ascii="Times New Roman" w:hAnsi="Times New Roman"/>
          <w:b/>
          <w:bCs/>
          <w:sz w:val="24"/>
          <w:szCs w:val="24"/>
        </w:rPr>
      </w:pPr>
      <w:r w:rsidRPr="009A3C86">
        <w:rPr>
          <w:rFonts w:ascii="Times New Roman" w:hAnsi="Times New Roman"/>
          <w:b/>
          <w:bCs/>
          <w:sz w:val="24"/>
          <w:szCs w:val="24"/>
        </w:rPr>
        <w:t>Rozdział 1</w:t>
      </w:r>
      <w:r w:rsidR="00C42B00" w:rsidRPr="009A3C86">
        <w:rPr>
          <w:rFonts w:ascii="Times New Roman" w:hAnsi="Times New Roman"/>
          <w:b/>
          <w:bCs/>
          <w:sz w:val="24"/>
          <w:szCs w:val="24"/>
        </w:rPr>
        <w:t>3</w:t>
      </w:r>
      <w:r w:rsidRPr="009A3C86">
        <w:rPr>
          <w:rFonts w:ascii="Times New Roman" w:hAnsi="Times New Roman"/>
          <w:b/>
          <w:bCs/>
          <w:sz w:val="24"/>
          <w:szCs w:val="24"/>
        </w:rPr>
        <w:t>. Udział prokuratora, Rzecznika Praw Obywatelskich oraz Rzecznika Praw Podatnika</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1. W nowej ordynacji podatkowej uregulowano zasady udziału prokuratora, Rzecznika Praw Obywatelskich oraz Rzecznika Praw Podatnika w procedurach podatkowych. Rozwiązania w tym zakresie zasadniczo nie odbiegają od obowiązujących w kodeksie postępowania administracyjnego. Podkreślenia wymaga to, że aktualnie udział prokuratora w postępowaniu podatkowym uregulowany został w dziale IV k.p.a. Zgodnie bowiem z art. 3 § 1 pkt 2 k.p.a. przepisów tej ustawy nie stosuje się do spraw uregulowanych w ordynacji podatkowej z wyjątkami, w tym w szczególności przepisów działu IV, który reguluje udział prokuratora w postępowaniu administracyjnym.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Zauważyć jednak należy, że „własne” uregulowanie udziału prokuratora w procedurach podatkowych uzasadnione jest przede wszystkim tym, że ordynacja podatkowa w przeciwieństwie do kodeksu postępowania administracyjnego, reguluje nie tylko postępowanie jurysdykcyjne (postępowanie podatkowe), ale również inne, tzw. niejurysdykcyjne procedury podatkowe (np. czynności sprawdzające, kontrolę podatkową). W nauce zwrócono uwagę na pewne wątpliwości, jakie pojawiają się na tle interpretacji art. 3 § 1 pkt 2 k.p.a. w związku z udziałem prokuratora w innych niż postępowanie podatkowe procedurach podatkowych, a zwłaszcza w czynnościach sprawdzających i w kontroli podatkowej</w:t>
      </w:r>
      <w:r w:rsidRPr="009A3C86">
        <w:rPr>
          <w:rFonts w:ascii="Times New Roman" w:hAnsi="Times New Roman"/>
          <w:sz w:val="24"/>
          <w:szCs w:val="24"/>
          <w:vertAlign w:val="superscript"/>
        </w:rPr>
        <w:footnoteReference w:id="606"/>
      </w:r>
      <w:r w:rsidRPr="009A3C86">
        <w:rPr>
          <w:rFonts w:ascii="Times New Roman" w:hAnsi="Times New Roman"/>
          <w:sz w:val="24"/>
          <w:szCs w:val="24"/>
        </w:rPr>
        <w:t xml:space="preserve">.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Ponadto należy zwrócić uwagę na to, że uregulowanie w projekcie ordynacji podatkowej zasad udziału prokuratora w procedurach podatkowych zwiększy zakres autonomiczności tych procedur w stosunku do regulacji ujętych w kodeksie postępowania administracyjnego oraz </w:t>
      </w:r>
      <w:r w:rsidRPr="009A3C86">
        <w:rPr>
          <w:rFonts w:ascii="Times New Roman" w:hAnsi="Times New Roman"/>
          <w:sz w:val="24"/>
          <w:szCs w:val="24"/>
        </w:rPr>
        <w:lastRenderedPageBreak/>
        <w:t>przyczyni się do tego, że projekt ordynacji podatkowej w zakresie procesowym będzie aktem kompleksowym. Kwestię tą dostrzeżono również w nauce</w:t>
      </w:r>
      <w:r w:rsidRPr="009A3C86">
        <w:rPr>
          <w:rFonts w:ascii="Times New Roman" w:hAnsi="Times New Roman"/>
          <w:sz w:val="24"/>
          <w:szCs w:val="24"/>
          <w:vertAlign w:val="superscript"/>
        </w:rPr>
        <w:footnoteReference w:id="607"/>
      </w:r>
      <w:r w:rsidRPr="009A3C86">
        <w:rPr>
          <w:rFonts w:ascii="Times New Roman" w:hAnsi="Times New Roman"/>
          <w:sz w:val="24"/>
          <w:szCs w:val="24"/>
        </w:rPr>
        <w:t xml:space="preserve">. </w:t>
      </w:r>
    </w:p>
    <w:p w:rsidR="0092017C"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2. Zgodnie z </w:t>
      </w:r>
      <w:r w:rsidRPr="009A3C86">
        <w:rPr>
          <w:rFonts w:ascii="Times New Roman" w:hAnsi="Times New Roman"/>
          <w:b/>
          <w:sz w:val="24"/>
          <w:szCs w:val="24"/>
        </w:rPr>
        <w:t xml:space="preserve">art. </w:t>
      </w:r>
      <w:r w:rsidR="005D30EB" w:rsidRPr="009A3C86">
        <w:rPr>
          <w:rFonts w:ascii="Times New Roman" w:hAnsi="Times New Roman"/>
          <w:b/>
          <w:sz w:val="24"/>
          <w:szCs w:val="24"/>
        </w:rPr>
        <w:t>783</w:t>
      </w:r>
      <w:r w:rsidRPr="009A3C86">
        <w:rPr>
          <w:rFonts w:ascii="Times New Roman" w:hAnsi="Times New Roman"/>
          <w:sz w:val="24"/>
          <w:szCs w:val="24"/>
        </w:rPr>
        <w:t xml:space="preserve"> </w:t>
      </w:r>
      <w:r w:rsidR="006C266C" w:rsidRPr="009A3C86">
        <w:rPr>
          <w:rFonts w:ascii="Times New Roman" w:hAnsi="Times New Roman"/>
          <w:sz w:val="24"/>
          <w:szCs w:val="24"/>
        </w:rPr>
        <w:t xml:space="preserve">§ 1 </w:t>
      </w:r>
      <w:r w:rsidRPr="009A3C86">
        <w:rPr>
          <w:rFonts w:ascii="Times New Roman" w:hAnsi="Times New Roman"/>
          <w:sz w:val="24"/>
          <w:szCs w:val="24"/>
        </w:rPr>
        <w:t xml:space="preserve">projektu ordynacji podatkowej prokurator może zwrócić się do właściwego organu podatkowego o wszczęcie postępowania w celu usunięcia stanu niezgodnego z prawem. Przepis ten skonstruowano opierając się na art. 182 k.p.a. Niemniej jednak, mając na uwadze systematykę projektu ordynacji podatkowej, inne będzie oddziaływanie tej regulacji. Prawo do zwrócenia się do właściwego organu podatkowego o wszczęcie postępowania oznacza w istocie procesowe prawo prokuratora do żądania wszczęcia postępowania. Zauważyć jednak należy, że w projektowanym art. </w:t>
      </w:r>
      <w:r w:rsidR="00360343" w:rsidRPr="009A3C86">
        <w:rPr>
          <w:rFonts w:ascii="Times New Roman" w:hAnsi="Times New Roman"/>
          <w:sz w:val="24"/>
          <w:szCs w:val="24"/>
        </w:rPr>
        <w:t>783</w:t>
      </w:r>
      <w:r w:rsidRPr="009A3C86">
        <w:rPr>
          <w:rFonts w:ascii="Times New Roman" w:hAnsi="Times New Roman"/>
          <w:sz w:val="24"/>
          <w:szCs w:val="24"/>
        </w:rPr>
        <w:t xml:space="preserve"> nie sprecyzowano, o jaki rodzaj postępowania chodzi, natomiast w projekcie ordynacji podatkowej zawarto katalog odrębnych postępowań, w tym np. kontrolę podatkową. Przyjąć zatem należy, że prokurator może żądać wszczęcia każdego z tych postępowań, zarówno gdy postępowanie może być wszczęte z urzędu, jak i wówczas, gdy przepis prawa wymaga wniosku uprawnionego podmiotu, jeżeli tylko wiąże się to z celem usunięcia stanu niezgodnego z prawem.</w:t>
      </w:r>
    </w:p>
    <w:p w:rsidR="00B2165B" w:rsidRPr="009A3C86" w:rsidRDefault="007337C8"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w:t>
      </w:r>
      <w:r w:rsidR="00360343" w:rsidRPr="009A3C86">
        <w:rPr>
          <w:rFonts w:ascii="Times New Roman" w:hAnsi="Times New Roman"/>
          <w:b/>
          <w:sz w:val="24"/>
          <w:szCs w:val="24"/>
        </w:rPr>
        <w:t>783</w:t>
      </w:r>
      <w:r w:rsidRPr="009A3C86">
        <w:rPr>
          <w:rFonts w:ascii="Times New Roman" w:hAnsi="Times New Roman"/>
          <w:b/>
          <w:sz w:val="24"/>
          <w:szCs w:val="24"/>
        </w:rPr>
        <w:t xml:space="preserve"> § 2</w:t>
      </w:r>
      <w:r w:rsidRPr="009A3C86">
        <w:rPr>
          <w:rFonts w:ascii="Times New Roman" w:hAnsi="Times New Roman"/>
          <w:sz w:val="24"/>
          <w:szCs w:val="24"/>
        </w:rPr>
        <w:t xml:space="preserve"> projektu, Rzecznik Praw Podatnika może zwrócić się o wszczęcie postępowania podatkowego, jeżeli uzyskał na to zgodę podatnika.</w:t>
      </w:r>
      <w:r w:rsidR="00B2165B" w:rsidRPr="009A3C86">
        <w:rPr>
          <w:rFonts w:ascii="Times New Roman" w:hAnsi="Times New Roman"/>
          <w:sz w:val="24"/>
          <w:szCs w:val="24"/>
        </w:rPr>
        <w:t xml:space="preserve"> </w:t>
      </w:r>
      <w:r w:rsidR="00DD7652" w:rsidRPr="009A3C86">
        <w:rPr>
          <w:rFonts w:ascii="Times New Roman" w:hAnsi="Times New Roman"/>
          <w:sz w:val="24"/>
          <w:szCs w:val="24"/>
        </w:rPr>
        <w:t>Takie</w:t>
      </w:r>
      <w:r w:rsidR="00711EFE" w:rsidRPr="009A3C86">
        <w:rPr>
          <w:rFonts w:ascii="Times New Roman" w:hAnsi="Times New Roman"/>
          <w:sz w:val="24"/>
          <w:szCs w:val="24"/>
        </w:rPr>
        <w:t xml:space="preserve"> uprawnienie Rzecznika Praw Podatnika wynika z projektu ustawy o Rzeczniku Praw Podatnika.</w:t>
      </w:r>
      <w:r w:rsidR="00127ADA" w:rsidRPr="009A3C86">
        <w:rPr>
          <w:rFonts w:ascii="Times New Roman" w:hAnsi="Times New Roman"/>
          <w:sz w:val="24"/>
          <w:szCs w:val="24"/>
        </w:rPr>
        <w:t xml:space="preserve"> </w:t>
      </w:r>
      <w:r w:rsidR="0082447E" w:rsidRPr="009A3C86">
        <w:rPr>
          <w:rFonts w:ascii="Times New Roman" w:hAnsi="Times New Roman"/>
          <w:sz w:val="24"/>
          <w:szCs w:val="24"/>
        </w:rPr>
        <w:t xml:space="preserve">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3. Przepisy </w:t>
      </w:r>
      <w:r w:rsidRPr="009A3C86">
        <w:rPr>
          <w:rFonts w:ascii="Times New Roman" w:hAnsi="Times New Roman"/>
          <w:b/>
          <w:sz w:val="24"/>
          <w:szCs w:val="24"/>
        </w:rPr>
        <w:t xml:space="preserve">art. </w:t>
      </w:r>
      <w:r w:rsidR="00360343" w:rsidRPr="009A3C86">
        <w:rPr>
          <w:rFonts w:ascii="Times New Roman" w:hAnsi="Times New Roman"/>
          <w:b/>
          <w:sz w:val="24"/>
          <w:szCs w:val="24"/>
        </w:rPr>
        <w:t>784</w:t>
      </w:r>
      <w:r w:rsidRPr="009A3C86">
        <w:rPr>
          <w:rFonts w:ascii="Times New Roman" w:hAnsi="Times New Roman"/>
          <w:sz w:val="24"/>
          <w:szCs w:val="24"/>
        </w:rPr>
        <w:t xml:space="preserve"> projektu ordynacji podatkowej skonstruowano, opierając się na art. 183 k.p.a. Zgodnie z </w:t>
      </w:r>
      <w:r w:rsidRPr="009A3C86">
        <w:rPr>
          <w:rFonts w:ascii="Times New Roman" w:hAnsi="Times New Roman"/>
          <w:b/>
          <w:sz w:val="24"/>
          <w:szCs w:val="24"/>
        </w:rPr>
        <w:t xml:space="preserve">art. </w:t>
      </w:r>
      <w:r w:rsidR="00360343" w:rsidRPr="009A3C86">
        <w:rPr>
          <w:rFonts w:ascii="Times New Roman" w:hAnsi="Times New Roman"/>
          <w:b/>
          <w:sz w:val="24"/>
          <w:szCs w:val="24"/>
        </w:rPr>
        <w:t>784</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prokur</w:t>
      </w:r>
      <w:r w:rsidR="00D15C8A" w:rsidRPr="009A3C86">
        <w:rPr>
          <w:rFonts w:ascii="Times New Roman" w:hAnsi="Times New Roman"/>
          <w:sz w:val="24"/>
          <w:szCs w:val="24"/>
        </w:rPr>
        <w:t>ator</w:t>
      </w:r>
      <w:r w:rsidRPr="009A3C86">
        <w:rPr>
          <w:rFonts w:ascii="Times New Roman" w:hAnsi="Times New Roman"/>
          <w:sz w:val="24"/>
          <w:szCs w:val="24"/>
        </w:rPr>
        <w:t xml:space="preserve"> może brać udział w każdym stadium postępowania w celu zapewnienia, aby postępowanie i rozstrzygnięcie sprawy było zgodne z prawem. Organ podatkowy zawiadamia prokuratora o wszczęciu postępowania oraz o toczącym się postępowaniu w każdym przypadku, gdy uzna udział prokuratora w postępowaniu za potrzebny (</w:t>
      </w:r>
      <w:r w:rsidR="00360343" w:rsidRPr="009A3C86">
        <w:rPr>
          <w:rFonts w:ascii="Times New Roman" w:hAnsi="Times New Roman"/>
          <w:b/>
          <w:sz w:val="24"/>
          <w:szCs w:val="24"/>
        </w:rPr>
        <w:t>784</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Oznacza to, że prokurator może zażądać wszczęcia oraz przystąpić do każdego postępowania uregulowanego w nowej ordynacji podatkowej w każdym jego stadium, nawet jeżeli nie żądał wszczęcia postępowania, nie wniósł odwołania, zażalenia ani sprzeciwu. Prokurator może wziąć udział w tych postępowaniach na dowolnym etapie, tj. od momentu jego wszczęcia do dnia zakończenia, niezależnie od formy prawnej w jakiej zakończenie postępowania następuje.</w:t>
      </w:r>
    </w:p>
    <w:p w:rsidR="00E331BF" w:rsidRPr="009A3C86" w:rsidRDefault="00E331BF"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Rzecznik Praw Podatnika </w:t>
      </w:r>
      <w:r w:rsidR="00F91DC2" w:rsidRPr="009A3C86">
        <w:rPr>
          <w:rFonts w:ascii="Times New Roman" w:hAnsi="Times New Roman"/>
          <w:sz w:val="24"/>
          <w:szCs w:val="24"/>
        </w:rPr>
        <w:t xml:space="preserve">będzie </w:t>
      </w:r>
      <w:r w:rsidRPr="009A3C86">
        <w:rPr>
          <w:rFonts w:ascii="Times New Roman" w:hAnsi="Times New Roman"/>
          <w:sz w:val="24"/>
          <w:szCs w:val="24"/>
        </w:rPr>
        <w:t>m</w:t>
      </w:r>
      <w:r w:rsidR="00F91DC2" w:rsidRPr="009A3C86">
        <w:rPr>
          <w:rFonts w:ascii="Times New Roman" w:hAnsi="Times New Roman"/>
          <w:sz w:val="24"/>
          <w:szCs w:val="24"/>
        </w:rPr>
        <w:t>ógł</w:t>
      </w:r>
      <w:r w:rsidRPr="009A3C86">
        <w:rPr>
          <w:rFonts w:ascii="Times New Roman" w:hAnsi="Times New Roman"/>
          <w:sz w:val="24"/>
          <w:szCs w:val="24"/>
        </w:rPr>
        <w:t xml:space="preserve"> uczestniczyć w postępowaniu przed organem podatkowym, jeżeli uzyskał na to zgodę podatnika</w:t>
      </w:r>
      <w:r w:rsidR="00F91DC2" w:rsidRPr="009A3C86">
        <w:rPr>
          <w:rFonts w:ascii="Times New Roman" w:hAnsi="Times New Roman"/>
          <w:sz w:val="24"/>
          <w:szCs w:val="24"/>
        </w:rPr>
        <w:t>. W takim przypadku znajdzie odpowiednie zastosowanie</w:t>
      </w:r>
      <w:r w:rsidRPr="009A3C86">
        <w:rPr>
          <w:rFonts w:ascii="Times New Roman" w:hAnsi="Times New Roman"/>
          <w:sz w:val="24"/>
          <w:szCs w:val="24"/>
        </w:rPr>
        <w:t xml:space="preserve"> </w:t>
      </w:r>
      <w:r w:rsidR="00F91DC2" w:rsidRPr="009A3C86">
        <w:rPr>
          <w:rFonts w:ascii="Times New Roman" w:hAnsi="Times New Roman"/>
          <w:sz w:val="24"/>
          <w:szCs w:val="24"/>
        </w:rPr>
        <w:t xml:space="preserve">art. </w:t>
      </w:r>
      <w:r w:rsidR="00360343" w:rsidRPr="009A3C86">
        <w:rPr>
          <w:rFonts w:ascii="Times New Roman" w:hAnsi="Times New Roman"/>
          <w:sz w:val="24"/>
          <w:szCs w:val="24"/>
        </w:rPr>
        <w:t>784</w:t>
      </w:r>
      <w:r w:rsidR="00F91DC2" w:rsidRPr="009A3C86">
        <w:rPr>
          <w:rFonts w:ascii="Times New Roman" w:hAnsi="Times New Roman"/>
          <w:sz w:val="24"/>
          <w:szCs w:val="24"/>
        </w:rPr>
        <w:t xml:space="preserve"> </w:t>
      </w:r>
      <w:r w:rsidRPr="009A3C86">
        <w:rPr>
          <w:rFonts w:ascii="Times New Roman" w:hAnsi="Times New Roman"/>
          <w:sz w:val="24"/>
          <w:szCs w:val="24"/>
        </w:rPr>
        <w:t>§ 2</w:t>
      </w:r>
      <w:r w:rsidR="00F91DC2" w:rsidRPr="009A3C86">
        <w:rPr>
          <w:rFonts w:ascii="Times New Roman" w:hAnsi="Times New Roman"/>
          <w:sz w:val="24"/>
          <w:szCs w:val="24"/>
        </w:rPr>
        <w:t xml:space="preserve"> (</w:t>
      </w:r>
      <w:r w:rsidR="00F91DC2" w:rsidRPr="009A3C86">
        <w:rPr>
          <w:rFonts w:ascii="Times New Roman" w:hAnsi="Times New Roman"/>
          <w:b/>
          <w:sz w:val="24"/>
          <w:szCs w:val="24"/>
        </w:rPr>
        <w:t xml:space="preserve">art. </w:t>
      </w:r>
      <w:r w:rsidR="00360343" w:rsidRPr="009A3C86">
        <w:rPr>
          <w:rFonts w:ascii="Times New Roman" w:hAnsi="Times New Roman"/>
          <w:b/>
          <w:sz w:val="24"/>
          <w:szCs w:val="24"/>
        </w:rPr>
        <w:t>784</w:t>
      </w:r>
      <w:r w:rsidR="00F91DC2" w:rsidRPr="009A3C86">
        <w:rPr>
          <w:rFonts w:ascii="Times New Roman" w:hAnsi="Times New Roman"/>
          <w:b/>
          <w:sz w:val="24"/>
          <w:szCs w:val="24"/>
        </w:rPr>
        <w:t xml:space="preserve"> § 3</w:t>
      </w:r>
      <w:r w:rsidR="00F91DC2" w:rsidRPr="009A3C86">
        <w:rPr>
          <w:rFonts w:ascii="Times New Roman" w:hAnsi="Times New Roman"/>
          <w:sz w:val="24"/>
          <w:szCs w:val="24"/>
        </w:rPr>
        <w:t xml:space="preserve"> projektu). </w:t>
      </w:r>
      <w:r w:rsidR="00711EFE" w:rsidRPr="009A3C86">
        <w:rPr>
          <w:rFonts w:ascii="Times New Roman" w:hAnsi="Times New Roman"/>
          <w:sz w:val="24"/>
          <w:szCs w:val="24"/>
        </w:rPr>
        <w:t>Powyższe uprawnienie Rzecznika Praw Podatnika wynika z projektu ustawy o Rzeczniku Praw Podatnika.</w:t>
      </w:r>
      <w:r w:rsidR="003F5CA3" w:rsidRPr="009A3C86">
        <w:rPr>
          <w:rFonts w:ascii="Times New Roman" w:hAnsi="Times New Roman"/>
          <w:sz w:val="24"/>
          <w:szCs w:val="24"/>
        </w:rPr>
        <w:t xml:space="preserve">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 xml:space="preserve">4. Z kolei </w:t>
      </w:r>
      <w:r w:rsidRPr="009A3C86">
        <w:rPr>
          <w:rFonts w:ascii="Times New Roman" w:hAnsi="Times New Roman"/>
          <w:b/>
          <w:sz w:val="24"/>
          <w:szCs w:val="24"/>
        </w:rPr>
        <w:t xml:space="preserve">art. </w:t>
      </w:r>
      <w:r w:rsidR="00360343" w:rsidRPr="009A3C86">
        <w:rPr>
          <w:rFonts w:ascii="Times New Roman" w:hAnsi="Times New Roman"/>
          <w:b/>
          <w:sz w:val="24"/>
          <w:szCs w:val="24"/>
        </w:rPr>
        <w:t>785</w:t>
      </w:r>
      <w:r w:rsidRPr="009A3C86">
        <w:rPr>
          <w:rFonts w:ascii="Times New Roman" w:hAnsi="Times New Roman"/>
          <w:sz w:val="24"/>
          <w:szCs w:val="24"/>
        </w:rPr>
        <w:t xml:space="preserve"> projektu ordynacji podatkowej skonstruowano na podstawie art. 184 k.p.a. Zgodnie z </w:t>
      </w:r>
      <w:r w:rsidRPr="009A3C86">
        <w:rPr>
          <w:rFonts w:ascii="Times New Roman" w:hAnsi="Times New Roman"/>
          <w:b/>
          <w:sz w:val="24"/>
          <w:szCs w:val="24"/>
        </w:rPr>
        <w:t xml:space="preserve">art. </w:t>
      </w:r>
      <w:r w:rsidR="00360343" w:rsidRPr="009A3C86">
        <w:rPr>
          <w:rFonts w:ascii="Times New Roman" w:hAnsi="Times New Roman"/>
          <w:b/>
          <w:sz w:val="24"/>
          <w:szCs w:val="24"/>
        </w:rPr>
        <w:t>785</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prokuratorowi służy prawo wniesienia sprzeciwu od decyzji ostatecznej, jeżeli ustawa lub przepisy szczególne przewidują wznowienie postępowania, stwierdzenie nieważności decyzji albo jej uchylenie lub zmianę. Z przepisu tego wynika, że sprzeciw jest zatem nadzwyczajnym środkiem prawnym służącym, zgodnie z tym przepisem, tylko wobec decyzji ostatecznej. W tym miejscu należy zwrócić uwagę, że za sprawą art. </w:t>
      </w:r>
      <w:r w:rsidR="00325865" w:rsidRPr="009A3C86">
        <w:rPr>
          <w:rFonts w:ascii="Times New Roman" w:hAnsi="Times New Roman"/>
          <w:sz w:val="24"/>
          <w:szCs w:val="24"/>
        </w:rPr>
        <w:t>791</w:t>
      </w:r>
      <w:r w:rsidRPr="009A3C86">
        <w:rPr>
          <w:rFonts w:ascii="Times New Roman" w:hAnsi="Times New Roman"/>
          <w:sz w:val="24"/>
          <w:szCs w:val="24"/>
        </w:rPr>
        <w:t xml:space="preserve"> projektu ordynacji podatkowej przepisy dotyczące sprzeciwu mają odpowiednie zastosowanie do postanowienia, na które przysługuje zażalenie, interpretacji indywidualnej, opinii zabezpieczającej, odmowy wydania opinii zabezpieczającej.</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Prokurator wnosi sprzeciw do organu właściwego do wznowienia postępowania, stwierdzenia nieważności decyzji albo jej uchylenia lub zmiany (</w:t>
      </w:r>
      <w:r w:rsidRPr="009A3C86">
        <w:rPr>
          <w:rFonts w:ascii="Times New Roman" w:hAnsi="Times New Roman"/>
          <w:b/>
          <w:sz w:val="24"/>
          <w:szCs w:val="24"/>
        </w:rPr>
        <w:t xml:space="preserve">art. </w:t>
      </w:r>
      <w:r w:rsidR="00325865" w:rsidRPr="009A3C86">
        <w:rPr>
          <w:rFonts w:ascii="Times New Roman" w:hAnsi="Times New Roman"/>
          <w:b/>
          <w:sz w:val="24"/>
          <w:szCs w:val="24"/>
        </w:rPr>
        <w:t>785</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Sprzeciw od decyzji wydanej przez Szefa Krajowej Administracji Skarbowej wnosi Prokurator Generalny (</w:t>
      </w:r>
      <w:r w:rsidRPr="009A3C86">
        <w:rPr>
          <w:rFonts w:ascii="Times New Roman" w:hAnsi="Times New Roman"/>
          <w:b/>
          <w:sz w:val="24"/>
          <w:szCs w:val="24"/>
        </w:rPr>
        <w:t xml:space="preserve">art. </w:t>
      </w:r>
      <w:r w:rsidR="00325865" w:rsidRPr="009A3C86">
        <w:rPr>
          <w:rFonts w:ascii="Times New Roman" w:hAnsi="Times New Roman"/>
          <w:b/>
          <w:sz w:val="24"/>
          <w:szCs w:val="24"/>
        </w:rPr>
        <w:t>785</w:t>
      </w:r>
      <w:r w:rsidRPr="009A3C86">
        <w:rPr>
          <w:rFonts w:ascii="Times New Roman" w:hAnsi="Times New Roman"/>
          <w:b/>
          <w:sz w:val="24"/>
          <w:szCs w:val="24"/>
        </w:rPr>
        <w:t xml:space="preserve"> § 3</w:t>
      </w:r>
      <w:r w:rsidRPr="009A3C86">
        <w:rPr>
          <w:rFonts w:ascii="Times New Roman" w:hAnsi="Times New Roman"/>
          <w:sz w:val="24"/>
          <w:szCs w:val="24"/>
        </w:rPr>
        <w:t xml:space="preserve"> projektu ordynacji podatkowej). Jeżeli podstawą sprzeciwu jest wystąpienie przesłanki wznowienia postępowania przewidzianej w art. </w:t>
      </w:r>
      <w:r w:rsidR="00325865" w:rsidRPr="009A3C86">
        <w:rPr>
          <w:rFonts w:ascii="Times New Roman" w:hAnsi="Times New Roman"/>
          <w:sz w:val="24"/>
          <w:szCs w:val="24"/>
          <w:lang w:eastAsia="pl-PL"/>
        </w:rPr>
        <w:t>488</w:t>
      </w:r>
      <w:r w:rsidRPr="009A3C86">
        <w:rPr>
          <w:rFonts w:ascii="Times New Roman" w:hAnsi="Times New Roman"/>
          <w:sz w:val="24"/>
          <w:szCs w:val="24"/>
          <w:lang w:eastAsia="pl-PL"/>
        </w:rPr>
        <w:t xml:space="preserve"> </w:t>
      </w:r>
      <w:r w:rsidRPr="009A3C86">
        <w:rPr>
          <w:rFonts w:ascii="Times New Roman" w:hAnsi="Times New Roman"/>
          <w:sz w:val="24"/>
          <w:szCs w:val="24"/>
        </w:rPr>
        <w:t>§ 1 pkt 4, 9, 10, 12</w:t>
      </w:r>
      <w:r w:rsidR="007E3971" w:rsidRPr="009A3C86">
        <w:rPr>
          <w:rFonts w:ascii="Times New Roman" w:hAnsi="Times New Roman"/>
          <w:sz w:val="24"/>
          <w:szCs w:val="24"/>
        </w:rPr>
        <w:t xml:space="preserve"> </w:t>
      </w:r>
      <w:r w:rsidRPr="009A3C86">
        <w:rPr>
          <w:rFonts w:ascii="Times New Roman" w:hAnsi="Times New Roman"/>
          <w:sz w:val="24"/>
          <w:szCs w:val="24"/>
        </w:rPr>
        <w:t xml:space="preserve">i 14 projektu ordynacji podatkowej, wniesienie sprzeciwu wymaga zgody strony (art. </w:t>
      </w:r>
      <w:r w:rsidR="007E3971" w:rsidRPr="009A3C86">
        <w:rPr>
          <w:rFonts w:ascii="Times New Roman" w:hAnsi="Times New Roman"/>
          <w:sz w:val="24"/>
          <w:szCs w:val="24"/>
        </w:rPr>
        <w:t>785</w:t>
      </w:r>
      <w:r w:rsidRPr="009A3C86">
        <w:rPr>
          <w:rFonts w:ascii="Times New Roman" w:hAnsi="Times New Roman"/>
          <w:sz w:val="24"/>
          <w:szCs w:val="24"/>
        </w:rPr>
        <w:t xml:space="preserve"> § 4 projektu ordynacji podatkowej). Podkreślić należy, że zgodnie z art. </w:t>
      </w:r>
      <w:r w:rsidR="007E3971" w:rsidRPr="009A3C86">
        <w:rPr>
          <w:rFonts w:ascii="Times New Roman" w:hAnsi="Times New Roman"/>
          <w:sz w:val="24"/>
          <w:szCs w:val="24"/>
        </w:rPr>
        <w:t>489</w:t>
      </w:r>
      <w:r w:rsidRPr="009A3C86">
        <w:rPr>
          <w:rFonts w:ascii="Times New Roman" w:hAnsi="Times New Roman"/>
          <w:sz w:val="24"/>
          <w:szCs w:val="24"/>
        </w:rPr>
        <w:t xml:space="preserve"> § 2 </w:t>
      </w:r>
      <w:r w:rsidR="00D15C8A" w:rsidRPr="009A3C86">
        <w:rPr>
          <w:rFonts w:ascii="Times New Roman" w:hAnsi="Times New Roman"/>
          <w:sz w:val="24"/>
          <w:szCs w:val="24"/>
        </w:rPr>
        <w:t xml:space="preserve">projektu </w:t>
      </w:r>
      <w:r w:rsidRPr="009A3C86">
        <w:rPr>
          <w:rFonts w:ascii="Times New Roman" w:hAnsi="Times New Roman"/>
          <w:sz w:val="24"/>
          <w:szCs w:val="24"/>
        </w:rPr>
        <w:t xml:space="preserve">wznowienie postępowania z przyczyny wymienionej w art. </w:t>
      </w:r>
      <w:r w:rsidR="007E3971" w:rsidRPr="009A3C86">
        <w:rPr>
          <w:rFonts w:ascii="Times New Roman" w:hAnsi="Times New Roman"/>
          <w:sz w:val="24"/>
          <w:szCs w:val="24"/>
          <w:lang w:eastAsia="pl-PL"/>
        </w:rPr>
        <w:t>488</w:t>
      </w:r>
      <w:r w:rsidRPr="009A3C86">
        <w:rPr>
          <w:rFonts w:ascii="Times New Roman" w:hAnsi="Times New Roman"/>
          <w:sz w:val="24"/>
          <w:szCs w:val="24"/>
        </w:rPr>
        <w:t xml:space="preserve"> § 1 pkt 4, 9, 10, 12 i 14 następuje wyłącznie na wniosek strony. W konsekwencji zagwarantowanie ochrony praw słusznie nabytych wymaga, żeby w przypadku, gdy podstawą sprzeciwu prokuratora było wystąpienie jakiejkolwiek ze wskazanych wyżej przesłanek, wniesienie sprzeciwu </w:t>
      </w:r>
      <w:r w:rsidR="00D15C8A" w:rsidRPr="009A3C86">
        <w:rPr>
          <w:rFonts w:ascii="Times New Roman" w:hAnsi="Times New Roman"/>
          <w:sz w:val="24"/>
          <w:szCs w:val="24"/>
        </w:rPr>
        <w:t xml:space="preserve">było </w:t>
      </w:r>
      <w:r w:rsidRPr="009A3C86">
        <w:rPr>
          <w:rFonts w:ascii="Times New Roman" w:hAnsi="Times New Roman"/>
          <w:sz w:val="24"/>
          <w:szCs w:val="24"/>
        </w:rPr>
        <w:t xml:space="preserve">uzależnione od </w:t>
      </w:r>
      <w:r w:rsidR="00D15C8A" w:rsidRPr="009A3C86">
        <w:rPr>
          <w:rFonts w:ascii="Times New Roman" w:hAnsi="Times New Roman"/>
          <w:sz w:val="24"/>
          <w:szCs w:val="24"/>
        </w:rPr>
        <w:t xml:space="preserve">zgody </w:t>
      </w:r>
      <w:r w:rsidRPr="009A3C86">
        <w:rPr>
          <w:rFonts w:ascii="Times New Roman" w:hAnsi="Times New Roman"/>
          <w:sz w:val="24"/>
          <w:szCs w:val="24"/>
        </w:rPr>
        <w:t>strony.</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5. Przepis </w:t>
      </w:r>
      <w:r w:rsidRPr="009A3C86">
        <w:rPr>
          <w:rFonts w:ascii="Times New Roman" w:hAnsi="Times New Roman"/>
          <w:b/>
          <w:sz w:val="24"/>
          <w:szCs w:val="24"/>
        </w:rPr>
        <w:t xml:space="preserve">art. </w:t>
      </w:r>
      <w:r w:rsidR="007E3971" w:rsidRPr="009A3C86">
        <w:rPr>
          <w:rFonts w:ascii="Times New Roman" w:hAnsi="Times New Roman"/>
          <w:b/>
          <w:sz w:val="24"/>
          <w:szCs w:val="24"/>
        </w:rPr>
        <w:t>786</w:t>
      </w:r>
      <w:r w:rsidRPr="009A3C86">
        <w:rPr>
          <w:rFonts w:ascii="Times New Roman" w:hAnsi="Times New Roman"/>
          <w:sz w:val="24"/>
          <w:szCs w:val="24"/>
        </w:rPr>
        <w:t xml:space="preserve"> projektu ordynacji podatkowej jest oparty na treści art. 185 k.p.a. Zgodnie z </w:t>
      </w:r>
      <w:r w:rsidRPr="009A3C86">
        <w:rPr>
          <w:rFonts w:ascii="Times New Roman" w:hAnsi="Times New Roman"/>
          <w:b/>
          <w:sz w:val="24"/>
          <w:szCs w:val="24"/>
        </w:rPr>
        <w:t xml:space="preserve">art. </w:t>
      </w:r>
      <w:r w:rsidR="007E3971" w:rsidRPr="009A3C86">
        <w:rPr>
          <w:rFonts w:ascii="Times New Roman" w:hAnsi="Times New Roman"/>
          <w:b/>
          <w:sz w:val="24"/>
          <w:szCs w:val="24"/>
        </w:rPr>
        <w:t>786</w:t>
      </w:r>
      <w:r w:rsidRPr="009A3C86">
        <w:rPr>
          <w:rFonts w:ascii="Times New Roman" w:hAnsi="Times New Roman"/>
          <w:b/>
          <w:sz w:val="24"/>
          <w:szCs w:val="24"/>
        </w:rPr>
        <w:t xml:space="preserve"> § 1</w:t>
      </w:r>
      <w:r w:rsidRPr="009A3C86">
        <w:rPr>
          <w:rFonts w:ascii="Times New Roman" w:hAnsi="Times New Roman"/>
          <w:sz w:val="24"/>
          <w:szCs w:val="24"/>
        </w:rPr>
        <w:t xml:space="preserve"> projektu ordynacji podatkowej sprzeciw prokuratora powinien być rozpatrzony i załatwiony w terminie trzydziestu dni od daty jego wniesienia. Natomiast w razie niezałatwienia sprzeciwu w terminie określonym w § 1 mają odpowiednie zastosowanie przepisy art. </w:t>
      </w:r>
      <w:r w:rsidR="007E3971" w:rsidRPr="009A3C86">
        <w:rPr>
          <w:rFonts w:ascii="Times New Roman" w:hAnsi="Times New Roman"/>
          <w:sz w:val="24"/>
          <w:szCs w:val="24"/>
          <w:lang w:eastAsia="pl-PL"/>
        </w:rPr>
        <w:t>326</w:t>
      </w:r>
      <w:r w:rsidRPr="009A3C86">
        <w:rPr>
          <w:rFonts w:ascii="Times New Roman" w:hAnsi="Times New Roman"/>
          <w:sz w:val="24"/>
          <w:szCs w:val="24"/>
          <w:lang w:eastAsia="pl-PL"/>
        </w:rPr>
        <w:t xml:space="preserve"> – </w:t>
      </w:r>
      <w:r w:rsidR="007E3971" w:rsidRPr="009A3C86">
        <w:rPr>
          <w:rFonts w:ascii="Times New Roman" w:hAnsi="Times New Roman"/>
          <w:sz w:val="24"/>
          <w:szCs w:val="24"/>
          <w:lang w:eastAsia="pl-PL"/>
        </w:rPr>
        <w:t>328</w:t>
      </w:r>
      <w:r w:rsidRPr="009A3C86">
        <w:rPr>
          <w:rFonts w:ascii="Times New Roman" w:hAnsi="Times New Roman"/>
          <w:sz w:val="24"/>
          <w:szCs w:val="24"/>
          <w:lang w:eastAsia="pl-PL"/>
        </w:rPr>
        <w:t xml:space="preserve"> i art. </w:t>
      </w:r>
      <w:r w:rsidR="008B0E4F" w:rsidRPr="009A3C86">
        <w:rPr>
          <w:rFonts w:ascii="Times New Roman" w:hAnsi="Times New Roman"/>
          <w:sz w:val="24"/>
          <w:szCs w:val="24"/>
          <w:lang w:eastAsia="pl-PL"/>
        </w:rPr>
        <w:t>330</w:t>
      </w:r>
      <w:r w:rsidRPr="009A3C86">
        <w:rPr>
          <w:rFonts w:ascii="Times New Roman" w:hAnsi="Times New Roman"/>
          <w:sz w:val="24"/>
          <w:szCs w:val="24"/>
          <w:lang w:eastAsia="pl-PL"/>
        </w:rPr>
        <w:t xml:space="preserve"> </w:t>
      </w:r>
      <w:r w:rsidRPr="009A3C86">
        <w:rPr>
          <w:rFonts w:ascii="Times New Roman" w:hAnsi="Times New Roman"/>
          <w:sz w:val="24"/>
          <w:szCs w:val="24"/>
        </w:rPr>
        <w:t>projektu ordynacji podatkowej (</w:t>
      </w:r>
      <w:r w:rsidRPr="009A3C86">
        <w:rPr>
          <w:rFonts w:ascii="Times New Roman" w:hAnsi="Times New Roman"/>
          <w:b/>
          <w:sz w:val="24"/>
          <w:szCs w:val="24"/>
        </w:rPr>
        <w:t xml:space="preserve">art. </w:t>
      </w:r>
      <w:r w:rsidR="007E3971" w:rsidRPr="009A3C86">
        <w:rPr>
          <w:rFonts w:ascii="Times New Roman" w:hAnsi="Times New Roman"/>
          <w:b/>
          <w:sz w:val="24"/>
          <w:szCs w:val="24"/>
        </w:rPr>
        <w:t>786</w:t>
      </w:r>
      <w:r w:rsidRPr="009A3C86">
        <w:rPr>
          <w:rFonts w:ascii="Times New Roman" w:hAnsi="Times New Roman"/>
          <w:b/>
          <w:sz w:val="24"/>
          <w:szCs w:val="24"/>
        </w:rPr>
        <w:t xml:space="preserve"> § 2</w:t>
      </w:r>
      <w:r w:rsidRPr="009A3C86">
        <w:rPr>
          <w:rFonts w:ascii="Times New Roman" w:hAnsi="Times New Roman"/>
          <w:sz w:val="24"/>
          <w:szCs w:val="24"/>
        </w:rPr>
        <w:t xml:space="preserve"> projektu ordynacji podatkowej).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6. Postanowienia </w:t>
      </w:r>
      <w:r w:rsidRPr="009A3C86">
        <w:rPr>
          <w:rFonts w:ascii="Times New Roman" w:hAnsi="Times New Roman"/>
          <w:b/>
          <w:sz w:val="24"/>
          <w:szCs w:val="24"/>
        </w:rPr>
        <w:t xml:space="preserve">art. </w:t>
      </w:r>
      <w:r w:rsidR="008B0E4F" w:rsidRPr="009A3C86">
        <w:rPr>
          <w:rFonts w:ascii="Times New Roman" w:hAnsi="Times New Roman"/>
          <w:b/>
          <w:sz w:val="24"/>
          <w:szCs w:val="24"/>
        </w:rPr>
        <w:t>787</w:t>
      </w:r>
      <w:r w:rsidRPr="009A3C86">
        <w:rPr>
          <w:rFonts w:ascii="Times New Roman" w:hAnsi="Times New Roman"/>
          <w:sz w:val="24"/>
          <w:szCs w:val="24"/>
        </w:rPr>
        <w:t xml:space="preserve"> projektu ordynacji podatkowej skonstruowano, opierając się na art. 186 k.p.a. Zgodnie z tym przepisem w przypadku wniesienia sprzeciwu przez prokuratora właściwy organ podatkowy wszczyna w sprawie postępowanie z urzędu, zawiadamiając o tym strony. Zatem wniesienie sprzeciwu zobowiązuje właściwy organ podatkowy do wszczęcia z urzędu postępowania w celu weryfikacji ostatecznej decyzji lub też innych form działania administracji podatkowej wskazanych w art. </w:t>
      </w:r>
      <w:r w:rsidR="004235A4" w:rsidRPr="009A3C86">
        <w:rPr>
          <w:rFonts w:ascii="Times New Roman" w:hAnsi="Times New Roman"/>
          <w:sz w:val="24"/>
          <w:szCs w:val="24"/>
        </w:rPr>
        <w:t>791</w:t>
      </w:r>
      <w:r w:rsidRPr="009A3C86">
        <w:rPr>
          <w:rFonts w:ascii="Times New Roman" w:hAnsi="Times New Roman"/>
          <w:sz w:val="24"/>
          <w:szCs w:val="24"/>
        </w:rPr>
        <w:t xml:space="preserve"> projektu ordynacji podatkowej i do zawiadomienia o tym stron postępowania lub zainteresowanych. </w:t>
      </w:r>
    </w:p>
    <w:p w:rsidR="00B2165B" w:rsidRPr="009A3C86" w:rsidRDefault="00B2165B" w:rsidP="00B2165B">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9A3C86">
        <w:rPr>
          <w:rFonts w:ascii="Times New Roman" w:eastAsia="Times New Roman" w:hAnsi="Times New Roman"/>
          <w:sz w:val="24"/>
          <w:szCs w:val="24"/>
          <w:lang w:eastAsia="pl-PL"/>
        </w:rPr>
        <w:lastRenderedPageBreak/>
        <w:t xml:space="preserve">7. Postanowienia </w:t>
      </w:r>
      <w:r w:rsidRPr="009A3C86">
        <w:rPr>
          <w:rFonts w:ascii="Times New Roman" w:eastAsia="Times New Roman" w:hAnsi="Times New Roman"/>
          <w:b/>
          <w:sz w:val="24"/>
          <w:szCs w:val="24"/>
          <w:lang w:eastAsia="pl-PL"/>
        </w:rPr>
        <w:t xml:space="preserve">art. </w:t>
      </w:r>
      <w:r w:rsidR="004235A4" w:rsidRPr="009A3C86">
        <w:rPr>
          <w:rFonts w:ascii="Times New Roman" w:eastAsia="Times New Roman" w:hAnsi="Times New Roman"/>
          <w:b/>
          <w:sz w:val="24"/>
          <w:szCs w:val="24"/>
          <w:lang w:eastAsia="pl-PL"/>
        </w:rPr>
        <w:t>788</w:t>
      </w:r>
      <w:r w:rsidRPr="009A3C86">
        <w:rPr>
          <w:rFonts w:ascii="Times New Roman" w:eastAsia="Times New Roman" w:hAnsi="Times New Roman"/>
          <w:sz w:val="24"/>
          <w:szCs w:val="24"/>
          <w:lang w:eastAsia="pl-PL"/>
        </w:rPr>
        <w:t xml:space="preserve"> projektu ordynacji podatkowej skonstruowano, opierając się na art. 187 k.p.a. Zgodnie z tym przepisem w przypadku wniesienia przez prokuratora sprzeciwu organ podatkowy, do którego sprzeciw wniesiono, obowiązany jest niezwłocznie rozpatrzyć, czy zachodzi potrzeba wstrzymania wykonania decyzji do chwili załatwienia sprzeciwu. Wniesienie sprzeciwu nie powoduje bowiem wstrzymania z mocy prawa wykonania zaskarżonej decyzji. Organ podatkowy, do którego wniesiono sprzeciw, jest obowiązany niezwłocznie rozpatrzyć z urzędu potrzebę wstrzymania wykonania takiej decyzji. W projekcie art. </w:t>
      </w:r>
      <w:r w:rsidR="004235A4" w:rsidRPr="009A3C86">
        <w:rPr>
          <w:rFonts w:ascii="Times New Roman" w:eastAsia="Times New Roman" w:hAnsi="Times New Roman"/>
          <w:sz w:val="24"/>
          <w:szCs w:val="24"/>
          <w:lang w:eastAsia="pl-PL"/>
        </w:rPr>
        <w:t>788</w:t>
      </w:r>
      <w:r w:rsidRPr="009A3C86">
        <w:rPr>
          <w:rFonts w:ascii="Times New Roman" w:eastAsia="Times New Roman" w:hAnsi="Times New Roman"/>
          <w:sz w:val="24"/>
          <w:szCs w:val="24"/>
          <w:lang w:eastAsia="pl-PL"/>
        </w:rPr>
        <w:t xml:space="preserve"> dodano dyrektywę uzasadniającą wstrzymanie wykonania decyzji, którą jest prawdopodobieństwo uchylenia, stwierdzenia nieważności lub stwierdzenia bezskuteczności tej decyzji. Przepisy art. </w:t>
      </w:r>
      <w:r w:rsidR="004235A4" w:rsidRPr="009A3C86">
        <w:rPr>
          <w:rFonts w:ascii="Times New Roman" w:eastAsia="Times New Roman" w:hAnsi="Times New Roman"/>
          <w:sz w:val="24"/>
          <w:szCs w:val="24"/>
          <w:lang w:eastAsia="pl-PL"/>
        </w:rPr>
        <w:t>482</w:t>
      </w:r>
      <w:r w:rsidRPr="009A3C86">
        <w:rPr>
          <w:rFonts w:ascii="Times New Roman" w:eastAsia="Times New Roman" w:hAnsi="Times New Roman"/>
          <w:sz w:val="24"/>
          <w:szCs w:val="24"/>
          <w:lang w:eastAsia="pl-PL"/>
        </w:rPr>
        <w:t xml:space="preserve"> i </w:t>
      </w:r>
      <w:r w:rsidR="00150F97" w:rsidRPr="009A3C86">
        <w:rPr>
          <w:rFonts w:ascii="Times New Roman" w:eastAsia="Times New Roman" w:hAnsi="Times New Roman"/>
          <w:sz w:val="24"/>
          <w:szCs w:val="24"/>
          <w:lang w:eastAsia="pl-PL"/>
        </w:rPr>
        <w:t>483</w:t>
      </w:r>
      <w:r w:rsidRPr="009A3C86">
        <w:rPr>
          <w:rFonts w:ascii="Times New Roman" w:eastAsia="Times New Roman" w:hAnsi="Times New Roman"/>
          <w:sz w:val="24"/>
          <w:szCs w:val="24"/>
          <w:lang w:eastAsia="pl-PL"/>
        </w:rPr>
        <w:t xml:space="preserve"> stosuje się odpowiednio, co oznacza, że organ podatkowy, właściwy w sprawie wznowienia postępowania lub stwierdzenia nieważności decyzji, wstrzymuje, w toku tego postępowania, z urzędu lub na wniosek strony wykonanie decyzji ostatecznej, jeżeli zachodzi prawdopodobieństwo uchylenia lub stwierdzenia nieważności decyzji. W sprawie wstrzymania wykonania decyzji wydaje się postanowienie, na które służy zażalenie.</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8. Postanowienia </w:t>
      </w:r>
      <w:r w:rsidRPr="009A3C86">
        <w:rPr>
          <w:rFonts w:ascii="Times New Roman" w:hAnsi="Times New Roman"/>
          <w:b/>
          <w:sz w:val="24"/>
          <w:szCs w:val="24"/>
        </w:rPr>
        <w:t xml:space="preserve">art. </w:t>
      </w:r>
      <w:r w:rsidR="0050399B" w:rsidRPr="009A3C86">
        <w:rPr>
          <w:rFonts w:ascii="Times New Roman" w:hAnsi="Times New Roman"/>
          <w:b/>
          <w:sz w:val="24"/>
          <w:szCs w:val="24"/>
        </w:rPr>
        <w:t>789</w:t>
      </w:r>
      <w:r w:rsidRPr="009A3C86">
        <w:rPr>
          <w:rFonts w:ascii="Times New Roman" w:hAnsi="Times New Roman"/>
          <w:sz w:val="24"/>
          <w:szCs w:val="24"/>
        </w:rPr>
        <w:t xml:space="preserve"> projektu ordynacji podatkowej oparto na art. 188 k.p.a. Zgodnie z tym przepisem prokuratorowi, który bierze udział w postępowaniu w przypadkach określonych w art. </w:t>
      </w:r>
      <w:r w:rsidR="0050399B" w:rsidRPr="009A3C86">
        <w:rPr>
          <w:rFonts w:ascii="Times New Roman" w:hAnsi="Times New Roman"/>
          <w:sz w:val="24"/>
          <w:szCs w:val="24"/>
          <w:lang w:eastAsia="pl-PL"/>
        </w:rPr>
        <w:t>783</w:t>
      </w:r>
      <w:r w:rsidR="00A60CF4" w:rsidRPr="009A3C86">
        <w:rPr>
          <w:rFonts w:ascii="Times New Roman" w:hAnsi="Times New Roman"/>
          <w:sz w:val="24"/>
          <w:szCs w:val="24"/>
          <w:lang w:eastAsia="pl-PL"/>
        </w:rPr>
        <w:t>-</w:t>
      </w:r>
      <w:r w:rsidR="0050399B" w:rsidRPr="009A3C86">
        <w:rPr>
          <w:rFonts w:ascii="Times New Roman" w:hAnsi="Times New Roman"/>
          <w:sz w:val="24"/>
          <w:szCs w:val="24"/>
          <w:lang w:eastAsia="pl-PL"/>
        </w:rPr>
        <w:t>785</w:t>
      </w:r>
      <w:r w:rsidRPr="009A3C86">
        <w:rPr>
          <w:rFonts w:ascii="Times New Roman" w:hAnsi="Times New Roman"/>
          <w:sz w:val="24"/>
          <w:szCs w:val="24"/>
        </w:rPr>
        <w:t xml:space="preserve"> projektu ordynacji podatkowej, przysługują prawa strony. Prokurator uczestniczący w postępowaniu w przypadkach określonych w </w:t>
      </w:r>
      <w:r w:rsidRPr="009A3C86">
        <w:rPr>
          <w:rFonts w:ascii="Times New Roman" w:hAnsi="Times New Roman"/>
          <w:sz w:val="24"/>
          <w:szCs w:val="24"/>
          <w:lang w:eastAsia="pl-PL"/>
        </w:rPr>
        <w:t xml:space="preserve">art. </w:t>
      </w:r>
      <w:r w:rsidR="0050399B" w:rsidRPr="009A3C86">
        <w:rPr>
          <w:rFonts w:ascii="Times New Roman" w:hAnsi="Times New Roman"/>
          <w:sz w:val="24"/>
          <w:szCs w:val="24"/>
          <w:lang w:eastAsia="pl-PL"/>
        </w:rPr>
        <w:t>783</w:t>
      </w:r>
      <w:r w:rsidR="00A60CF4" w:rsidRPr="009A3C86">
        <w:rPr>
          <w:rFonts w:ascii="Times New Roman" w:hAnsi="Times New Roman"/>
          <w:sz w:val="24"/>
          <w:szCs w:val="24"/>
          <w:lang w:eastAsia="pl-PL"/>
        </w:rPr>
        <w:t>-</w:t>
      </w:r>
      <w:r w:rsidR="0050399B" w:rsidRPr="009A3C86">
        <w:rPr>
          <w:rFonts w:ascii="Times New Roman" w:hAnsi="Times New Roman"/>
          <w:sz w:val="24"/>
          <w:szCs w:val="24"/>
          <w:lang w:eastAsia="pl-PL"/>
        </w:rPr>
        <w:t>785</w:t>
      </w:r>
      <w:r w:rsidRPr="009A3C86">
        <w:rPr>
          <w:rFonts w:ascii="Times New Roman" w:hAnsi="Times New Roman"/>
          <w:sz w:val="24"/>
          <w:szCs w:val="24"/>
          <w:lang w:eastAsia="pl-PL"/>
        </w:rPr>
        <w:t xml:space="preserve"> </w:t>
      </w:r>
      <w:r w:rsidRPr="009A3C86">
        <w:rPr>
          <w:rFonts w:ascii="Times New Roman" w:hAnsi="Times New Roman"/>
          <w:sz w:val="24"/>
          <w:szCs w:val="24"/>
        </w:rPr>
        <w:t xml:space="preserve">projektu ordynacji podatkowej nie jest stroną postępowania w rozumieniu art. </w:t>
      </w:r>
      <w:r w:rsidR="0050399B" w:rsidRPr="009A3C86">
        <w:rPr>
          <w:rFonts w:ascii="Times New Roman" w:hAnsi="Times New Roman"/>
          <w:sz w:val="24"/>
          <w:szCs w:val="24"/>
        </w:rPr>
        <w:t>323</w:t>
      </w:r>
      <w:r w:rsidRPr="009A3C86">
        <w:rPr>
          <w:rFonts w:ascii="Times New Roman" w:hAnsi="Times New Roman"/>
          <w:sz w:val="24"/>
          <w:szCs w:val="24"/>
        </w:rPr>
        <w:t xml:space="preserve"> projektu ordynacji podatkowej. Prokuratorowi służą jedynie prawa strony, co oznacza, że może w pełni skorzystać z tych uprawnień, które przepisy projektu przyznają stronie.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9. Przepis </w:t>
      </w:r>
      <w:r w:rsidRPr="009A3C86">
        <w:rPr>
          <w:rFonts w:ascii="Times New Roman" w:hAnsi="Times New Roman"/>
          <w:b/>
          <w:sz w:val="24"/>
          <w:szCs w:val="24"/>
        </w:rPr>
        <w:t xml:space="preserve">art. </w:t>
      </w:r>
      <w:r w:rsidR="00B4686C" w:rsidRPr="009A3C86">
        <w:rPr>
          <w:rFonts w:ascii="Times New Roman" w:hAnsi="Times New Roman"/>
          <w:b/>
          <w:sz w:val="24"/>
          <w:szCs w:val="24"/>
        </w:rPr>
        <w:t>790</w:t>
      </w:r>
      <w:r w:rsidRPr="009A3C86">
        <w:rPr>
          <w:rFonts w:ascii="Times New Roman" w:hAnsi="Times New Roman"/>
          <w:sz w:val="24"/>
          <w:szCs w:val="24"/>
        </w:rPr>
        <w:t xml:space="preserve"> projektu ordynacji podatkowej został oparty na brzmieniu art. 189 k.p.a. Przepis ma charakter normy kolizyjnej i pozwala unikać kwestionowania tego samego rozstrzygnięcia w odrębnych procedurach. Zgodnie z art. </w:t>
      </w:r>
      <w:r w:rsidR="00B4686C" w:rsidRPr="009A3C86">
        <w:rPr>
          <w:rFonts w:ascii="Times New Roman" w:hAnsi="Times New Roman"/>
          <w:sz w:val="24"/>
          <w:szCs w:val="24"/>
        </w:rPr>
        <w:t>790</w:t>
      </w:r>
      <w:r w:rsidRPr="009A3C86">
        <w:rPr>
          <w:rFonts w:ascii="Times New Roman" w:hAnsi="Times New Roman"/>
          <w:sz w:val="24"/>
          <w:szCs w:val="24"/>
        </w:rPr>
        <w:t xml:space="preserve"> projektu ordynacji podatkowej prokurator, który wniósł skargę na decyzję organu podatkowego do sądu administracyjnego, nie może z tych samych przyczyn wnieść sprzeciwu. Zasady i tryb wnoszenia przez prokuratora skargi na decyzję administracyjną określa ustawa </w:t>
      </w:r>
      <w:r w:rsidR="006D6B25" w:rsidRPr="009A3C86">
        <w:rPr>
          <w:rFonts w:ascii="Times New Roman" w:hAnsi="Times New Roman"/>
          <w:sz w:val="24"/>
          <w:szCs w:val="24"/>
        </w:rPr>
        <w:t>–</w:t>
      </w:r>
      <w:r w:rsidRPr="009A3C86">
        <w:rPr>
          <w:rFonts w:ascii="Times New Roman" w:hAnsi="Times New Roman"/>
          <w:sz w:val="24"/>
          <w:szCs w:val="24"/>
        </w:rPr>
        <w:t xml:space="preserve"> Prawo o postępowaniu przed sądami administracyjnymi. Zgodnie z art. 50 § 1 p.p.s.a. prokurator jest uprawniony do wniesienia skargi niezależnie od tego, czy brał udział w postępowaniu, w którym wydano zaskarżoną decyzję. Prokurator może wnieść skargę do sądu administracyjnego nawet wówczas, gdy nie wyczerpano środków zaskarżenia, jeżeli służyły one w postępowaniu przed organem właściwym w sprawie (art. 52 § 1 p.p.s.a.). Nie jest zatem konieczne, aby strona lub prokurator wyczerpali środki zaskarżenia ani aby przynajmniej jeden z tych podmiotów zwrócił się do </w:t>
      </w:r>
      <w:r w:rsidRPr="009A3C86">
        <w:rPr>
          <w:rFonts w:ascii="Times New Roman" w:hAnsi="Times New Roman"/>
          <w:sz w:val="24"/>
          <w:szCs w:val="24"/>
        </w:rPr>
        <w:lastRenderedPageBreak/>
        <w:t xml:space="preserve">organu z wezwaniem do usunięcia naruszenia prawa. Postanowienia art. </w:t>
      </w:r>
      <w:r w:rsidR="001B6EF3" w:rsidRPr="009A3C86">
        <w:rPr>
          <w:rFonts w:ascii="Times New Roman" w:hAnsi="Times New Roman"/>
          <w:sz w:val="24"/>
          <w:szCs w:val="24"/>
        </w:rPr>
        <w:t>790</w:t>
      </w:r>
      <w:r w:rsidRPr="009A3C86">
        <w:rPr>
          <w:rFonts w:ascii="Times New Roman" w:hAnsi="Times New Roman"/>
          <w:sz w:val="24"/>
          <w:szCs w:val="24"/>
        </w:rPr>
        <w:t xml:space="preserve"> projektu ordynacji podatkowej ograniczają prawo prokuratora do wniesienia sprzeciwu w sytuacji, gdy na daną decyzję złożył już wcześniej skargę.</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10. Zgodnie z </w:t>
      </w:r>
      <w:r w:rsidRPr="009A3C86">
        <w:rPr>
          <w:rFonts w:ascii="Times New Roman" w:hAnsi="Times New Roman"/>
          <w:b/>
          <w:sz w:val="24"/>
          <w:szCs w:val="24"/>
        </w:rPr>
        <w:t xml:space="preserve">art. </w:t>
      </w:r>
      <w:r w:rsidR="001B6EF3" w:rsidRPr="009A3C86">
        <w:rPr>
          <w:rFonts w:ascii="Times New Roman" w:hAnsi="Times New Roman"/>
          <w:b/>
          <w:sz w:val="24"/>
          <w:szCs w:val="24"/>
        </w:rPr>
        <w:t>791</w:t>
      </w:r>
      <w:r w:rsidRPr="009A3C86">
        <w:rPr>
          <w:rFonts w:ascii="Times New Roman" w:hAnsi="Times New Roman"/>
          <w:sz w:val="24"/>
          <w:szCs w:val="24"/>
        </w:rPr>
        <w:t xml:space="preserve"> projektu ordynacji podatkowej przepisy art. </w:t>
      </w:r>
      <w:r w:rsidR="001B6EF3" w:rsidRPr="009A3C86">
        <w:rPr>
          <w:rFonts w:ascii="Times New Roman" w:hAnsi="Times New Roman"/>
          <w:sz w:val="24"/>
          <w:szCs w:val="24"/>
          <w:lang w:eastAsia="pl-PL"/>
        </w:rPr>
        <w:t>785</w:t>
      </w:r>
      <w:r w:rsidRPr="009A3C86">
        <w:rPr>
          <w:rFonts w:ascii="Times New Roman" w:hAnsi="Times New Roman"/>
          <w:sz w:val="24"/>
          <w:szCs w:val="24"/>
          <w:lang w:eastAsia="pl-PL"/>
        </w:rPr>
        <w:t>-</w:t>
      </w:r>
      <w:r w:rsidR="001B6EF3" w:rsidRPr="009A3C86">
        <w:rPr>
          <w:rFonts w:ascii="Times New Roman" w:hAnsi="Times New Roman"/>
          <w:sz w:val="24"/>
          <w:szCs w:val="24"/>
          <w:lang w:eastAsia="pl-PL"/>
        </w:rPr>
        <w:t>790</w:t>
      </w:r>
      <w:r w:rsidRPr="009A3C86">
        <w:rPr>
          <w:rFonts w:ascii="Times New Roman" w:hAnsi="Times New Roman"/>
          <w:sz w:val="24"/>
          <w:szCs w:val="24"/>
          <w:lang w:eastAsia="pl-PL"/>
        </w:rPr>
        <w:t xml:space="preserve"> </w:t>
      </w:r>
      <w:r w:rsidRPr="009A3C86">
        <w:rPr>
          <w:rFonts w:ascii="Times New Roman" w:hAnsi="Times New Roman"/>
          <w:sz w:val="24"/>
          <w:szCs w:val="24"/>
        </w:rPr>
        <w:t xml:space="preserve">projektu ordynacji podatkowej mają odpowiednie zastosowanie do postanowienia, na które służy zażalenie, interpretacji indywidualnej, opinii zabezpieczającej, odmowy wydania opinii zabezpieczającej. Przepis ten umożliwia zatem prokuratorowi zwrócenie się do właściwego organu podatkowego o wszczęcie, w celu usunięcia stanu niezgodnego z prawem, postępowań innych niż jurysdykcyjne, a mianowicie postępowań, które kończą się postanowieniem, na które służy zażalenie (np. nadanie rygoru natychmiastowej wykonalności) oraz postępowań w przedmiocie wydania interpretacji indywidualnej (najczęściej będzie to dotyczyło wszczęcia postępowania o zmianę interpretacji indywidualnej) oraz w przedmiocie wydania opinii zabezpieczającej (najczęściej będzie to dotyczyło wszczęcia postępowania w celu zmiany wydanej opinii zabezpieczającej lub odmowy wydania opinii zabezpieczającej). </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Poprzez wykorzystanie konstrukcji odpowiedniego zastosowania przepisów art.</w:t>
      </w:r>
      <w:r w:rsidRPr="009A3C86">
        <w:rPr>
          <w:rFonts w:ascii="Times New Roman" w:hAnsi="Times New Roman"/>
          <w:sz w:val="24"/>
          <w:szCs w:val="24"/>
          <w:lang w:eastAsia="pl-PL"/>
        </w:rPr>
        <w:t xml:space="preserve"> </w:t>
      </w:r>
      <w:r w:rsidR="001B6EF3" w:rsidRPr="009A3C86">
        <w:rPr>
          <w:rFonts w:ascii="Times New Roman" w:hAnsi="Times New Roman"/>
          <w:sz w:val="24"/>
          <w:szCs w:val="24"/>
          <w:lang w:eastAsia="pl-PL"/>
        </w:rPr>
        <w:t>785</w:t>
      </w:r>
      <w:r w:rsidRPr="009A3C86">
        <w:rPr>
          <w:rFonts w:ascii="Times New Roman" w:hAnsi="Times New Roman"/>
          <w:sz w:val="24"/>
          <w:szCs w:val="24"/>
          <w:lang w:eastAsia="pl-PL"/>
        </w:rPr>
        <w:t>-</w:t>
      </w:r>
      <w:r w:rsidR="001B6EF3" w:rsidRPr="009A3C86">
        <w:rPr>
          <w:rFonts w:ascii="Times New Roman" w:hAnsi="Times New Roman"/>
          <w:sz w:val="24"/>
          <w:szCs w:val="24"/>
          <w:lang w:eastAsia="pl-PL"/>
        </w:rPr>
        <w:t>790</w:t>
      </w:r>
      <w:r w:rsidRPr="009A3C86">
        <w:rPr>
          <w:rFonts w:ascii="Times New Roman" w:hAnsi="Times New Roman"/>
          <w:sz w:val="24"/>
          <w:szCs w:val="24"/>
        </w:rPr>
        <w:t xml:space="preserve"> projektu ordynacji podatkowej zagwarantowano „swoiste dopasowanie” norm zawartych w tych przepisach do odrębności wskazanych wyżej postępowań oraz prawnych form działania organów podatkowych. Przykładowo można wskazać, że w przypadku postępowania w przedmiocie wydania interpretacji indywidualnej odpowiednie zastosowanie art. </w:t>
      </w:r>
      <w:r w:rsidR="001B6EF3" w:rsidRPr="009A3C86">
        <w:rPr>
          <w:rFonts w:ascii="Times New Roman" w:hAnsi="Times New Roman"/>
          <w:sz w:val="24"/>
          <w:szCs w:val="24"/>
        </w:rPr>
        <w:t>789</w:t>
      </w:r>
      <w:r w:rsidRPr="009A3C86">
        <w:rPr>
          <w:rFonts w:ascii="Times New Roman" w:hAnsi="Times New Roman"/>
          <w:sz w:val="24"/>
          <w:szCs w:val="24"/>
        </w:rPr>
        <w:t xml:space="preserve"> projektu ordynacji podatkowej oznaczać będzie, że prokuratorowi, który bierze udział w takim postępowaniu przysługują prawa zainteresowanego (wnioskodawcy). Podkreślenia też wymaga, że w odniesieniu do interpretacji indywidualnych oraz opinii zabezpieczających sprzeciw nie jest nadzwyczajnym środkiem prawnym.</w:t>
      </w:r>
    </w:p>
    <w:p w:rsidR="00B2165B" w:rsidRPr="009A3C86" w:rsidRDefault="00B2165B" w:rsidP="00B2165B">
      <w:pPr>
        <w:spacing w:after="0" w:line="360" w:lineRule="auto"/>
        <w:jc w:val="both"/>
        <w:rPr>
          <w:rFonts w:ascii="Times New Roman" w:hAnsi="Times New Roman"/>
          <w:sz w:val="24"/>
          <w:szCs w:val="24"/>
        </w:rPr>
      </w:pPr>
      <w:r w:rsidRPr="009A3C86">
        <w:rPr>
          <w:rFonts w:ascii="Times New Roman" w:hAnsi="Times New Roman"/>
          <w:sz w:val="24"/>
          <w:szCs w:val="24"/>
        </w:rPr>
        <w:t xml:space="preserve">11. Zgodnie z </w:t>
      </w:r>
      <w:r w:rsidRPr="009A3C86">
        <w:rPr>
          <w:rFonts w:ascii="Times New Roman" w:hAnsi="Times New Roman"/>
          <w:b/>
          <w:sz w:val="24"/>
          <w:szCs w:val="24"/>
        </w:rPr>
        <w:t xml:space="preserve">art. </w:t>
      </w:r>
      <w:r w:rsidR="001B6EF3" w:rsidRPr="009A3C86">
        <w:rPr>
          <w:rFonts w:ascii="Times New Roman" w:hAnsi="Times New Roman"/>
          <w:b/>
          <w:sz w:val="24"/>
          <w:szCs w:val="24"/>
        </w:rPr>
        <w:t>792</w:t>
      </w:r>
      <w:r w:rsidRPr="009A3C86">
        <w:rPr>
          <w:rFonts w:ascii="Times New Roman" w:hAnsi="Times New Roman"/>
          <w:sz w:val="24"/>
          <w:szCs w:val="24"/>
        </w:rPr>
        <w:t xml:space="preserve"> </w:t>
      </w:r>
      <w:r w:rsidR="003C2B4B" w:rsidRPr="009A3C86">
        <w:rPr>
          <w:rFonts w:ascii="Times New Roman" w:hAnsi="Times New Roman"/>
          <w:b/>
          <w:sz w:val="24"/>
          <w:szCs w:val="24"/>
        </w:rPr>
        <w:t>§ 1</w:t>
      </w:r>
      <w:r w:rsidR="003C2B4B" w:rsidRPr="009A3C86">
        <w:rPr>
          <w:rFonts w:ascii="Times New Roman" w:hAnsi="Times New Roman"/>
          <w:sz w:val="24"/>
          <w:szCs w:val="24"/>
        </w:rPr>
        <w:t xml:space="preserve"> </w:t>
      </w:r>
      <w:r w:rsidRPr="009A3C86">
        <w:rPr>
          <w:rFonts w:ascii="Times New Roman" w:hAnsi="Times New Roman"/>
          <w:sz w:val="24"/>
          <w:szCs w:val="24"/>
        </w:rPr>
        <w:t xml:space="preserve">projektu ordynacji podatkowej przepisy art. </w:t>
      </w:r>
      <w:r w:rsidR="001B6EF3" w:rsidRPr="009A3C86">
        <w:rPr>
          <w:rFonts w:ascii="Times New Roman" w:hAnsi="Times New Roman"/>
          <w:sz w:val="24"/>
          <w:szCs w:val="24"/>
          <w:lang w:eastAsia="pl-PL"/>
        </w:rPr>
        <w:t>783</w:t>
      </w:r>
      <w:r w:rsidRPr="009A3C86">
        <w:rPr>
          <w:rFonts w:ascii="Times New Roman" w:hAnsi="Times New Roman"/>
          <w:sz w:val="24"/>
          <w:szCs w:val="24"/>
          <w:lang w:eastAsia="pl-PL"/>
        </w:rPr>
        <w:t>-</w:t>
      </w:r>
      <w:r w:rsidR="001B6EF3" w:rsidRPr="009A3C86">
        <w:rPr>
          <w:rFonts w:ascii="Times New Roman" w:hAnsi="Times New Roman"/>
          <w:sz w:val="24"/>
          <w:szCs w:val="24"/>
          <w:lang w:eastAsia="pl-PL"/>
        </w:rPr>
        <w:t>791</w:t>
      </w:r>
      <w:r w:rsidRPr="009A3C86">
        <w:rPr>
          <w:rFonts w:ascii="Times New Roman" w:hAnsi="Times New Roman"/>
          <w:sz w:val="24"/>
          <w:szCs w:val="24"/>
        </w:rPr>
        <w:t xml:space="preserve"> projektu ordynacji podatkowej stosuje się odpowiednio do Rzecznika Praw Obywatelskich</w:t>
      </w:r>
      <w:r w:rsidR="003C2B4B" w:rsidRPr="009A3C86">
        <w:rPr>
          <w:rFonts w:ascii="Times New Roman" w:hAnsi="Times New Roman"/>
          <w:sz w:val="24"/>
          <w:szCs w:val="24"/>
        </w:rPr>
        <w:t>.</w:t>
      </w:r>
      <w:r w:rsidRPr="009A3C86">
        <w:rPr>
          <w:rFonts w:ascii="Times New Roman" w:hAnsi="Times New Roman"/>
          <w:sz w:val="24"/>
          <w:szCs w:val="24"/>
        </w:rPr>
        <w:t xml:space="preserve"> W celu wyeliminowania ewentualnych wątpliwości zasadne było uregulowanie uprawnień Rzecznika Praw Obywatelskich bezpośrednio w nowej ordynacji podatkowej. Niezależnie jednak od powyższego modyfikacji dokonano także w treści art. 14 pkt 6 ustawy o Rzeczniku Praw Obywatelskich. </w:t>
      </w:r>
      <w:r w:rsidR="00A07BFE" w:rsidRPr="009A3C86">
        <w:rPr>
          <w:rFonts w:ascii="Times New Roman" w:hAnsi="Times New Roman"/>
          <w:sz w:val="24"/>
          <w:szCs w:val="24"/>
        </w:rPr>
        <w:t xml:space="preserve">Z kolei </w:t>
      </w:r>
      <w:r w:rsidR="00D4668B" w:rsidRPr="009A3C86">
        <w:rPr>
          <w:rFonts w:ascii="Times New Roman" w:hAnsi="Times New Roman"/>
          <w:sz w:val="24"/>
          <w:szCs w:val="24"/>
        </w:rPr>
        <w:t xml:space="preserve">do Rzecznika Praw Podatnika będą stosowane odpowiednio przepisy art. </w:t>
      </w:r>
      <w:r w:rsidR="001B6EF3" w:rsidRPr="009A3C86">
        <w:rPr>
          <w:rFonts w:ascii="Times New Roman" w:hAnsi="Times New Roman"/>
          <w:sz w:val="24"/>
          <w:szCs w:val="24"/>
        </w:rPr>
        <w:t>785</w:t>
      </w:r>
      <w:r w:rsidR="00D4668B" w:rsidRPr="009A3C86">
        <w:rPr>
          <w:rFonts w:ascii="Times New Roman" w:hAnsi="Times New Roman"/>
          <w:sz w:val="24"/>
          <w:szCs w:val="24"/>
        </w:rPr>
        <w:t>-</w:t>
      </w:r>
      <w:r w:rsidR="001B6EF3" w:rsidRPr="009A3C86">
        <w:rPr>
          <w:rFonts w:ascii="Times New Roman" w:hAnsi="Times New Roman"/>
          <w:sz w:val="24"/>
          <w:szCs w:val="24"/>
        </w:rPr>
        <w:t>791</w:t>
      </w:r>
      <w:r w:rsidR="00D4668B" w:rsidRPr="009A3C86">
        <w:rPr>
          <w:rFonts w:ascii="Times New Roman" w:hAnsi="Times New Roman"/>
          <w:sz w:val="24"/>
          <w:szCs w:val="24"/>
        </w:rPr>
        <w:t xml:space="preserve"> w zakresie</w:t>
      </w:r>
      <w:r w:rsidR="00A11CF0" w:rsidRPr="009A3C86">
        <w:rPr>
          <w:rFonts w:ascii="Times New Roman" w:hAnsi="Times New Roman"/>
          <w:sz w:val="24"/>
          <w:szCs w:val="24"/>
        </w:rPr>
        <w:t>,</w:t>
      </w:r>
      <w:r w:rsidR="00D4668B" w:rsidRPr="009A3C86">
        <w:rPr>
          <w:rFonts w:ascii="Times New Roman" w:hAnsi="Times New Roman"/>
          <w:sz w:val="24"/>
          <w:szCs w:val="24"/>
        </w:rPr>
        <w:t xml:space="preserve"> w jakim uzyskał zgodę podatnika</w:t>
      </w:r>
      <w:r w:rsidR="00A11CF0" w:rsidRPr="009A3C86">
        <w:rPr>
          <w:rFonts w:ascii="Times New Roman" w:hAnsi="Times New Roman"/>
          <w:sz w:val="24"/>
          <w:szCs w:val="24"/>
        </w:rPr>
        <w:t xml:space="preserve"> (</w:t>
      </w:r>
      <w:r w:rsidR="00A11CF0" w:rsidRPr="009A3C86">
        <w:rPr>
          <w:rFonts w:ascii="Times New Roman" w:hAnsi="Times New Roman"/>
          <w:b/>
          <w:sz w:val="24"/>
          <w:szCs w:val="24"/>
        </w:rPr>
        <w:t xml:space="preserve">art. </w:t>
      </w:r>
      <w:r w:rsidR="001B6EF3" w:rsidRPr="009A3C86">
        <w:rPr>
          <w:rFonts w:ascii="Times New Roman" w:hAnsi="Times New Roman"/>
          <w:b/>
          <w:sz w:val="24"/>
          <w:szCs w:val="24"/>
        </w:rPr>
        <w:t>792</w:t>
      </w:r>
      <w:r w:rsidR="00A11CF0" w:rsidRPr="009A3C86">
        <w:rPr>
          <w:rFonts w:ascii="Times New Roman" w:hAnsi="Times New Roman"/>
          <w:b/>
          <w:sz w:val="24"/>
          <w:szCs w:val="24"/>
        </w:rPr>
        <w:t xml:space="preserve"> § 2</w:t>
      </w:r>
      <w:r w:rsidR="00A11CF0" w:rsidRPr="009A3C86">
        <w:rPr>
          <w:rFonts w:ascii="Times New Roman" w:hAnsi="Times New Roman"/>
          <w:sz w:val="24"/>
          <w:szCs w:val="24"/>
        </w:rPr>
        <w:t>).</w:t>
      </w:r>
      <w:r w:rsidR="00A60CF4" w:rsidRPr="009A3C86">
        <w:rPr>
          <w:rFonts w:ascii="Times New Roman" w:hAnsi="Times New Roman"/>
          <w:sz w:val="24"/>
          <w:szCs w:val="24"/>
        </w:rPr>
        <w:t xml:space="preserve"> Zgoda podatnika jest wymagan</w:t>
      </w:r>
      <w:r w:rsidR="00D07A8E" w:rsidRPr="009A3C86">
        <w:rPr>
          <w:rFonts w:ascii="Times New Roman" w:hAnsi="Times New Roman"/>
          <w:sz w:val="24"/>
          <w:szCs w:val="24"/>
        </w:rPr>
        <w:t>a przepisami projektu ustawy o Rzeczniku Praw Podatnika.</w:t>
      </w:r>
      <w:r w:rsidR="00A60CF4" w:rsidRPr="009A3C86">
        <w:rPr>
          <w:rFonts w:ascii="Times New Roman" w:hAnsi="Times New Roman"/>
          <w:sz w:val="24"/>
          <w:szCs w:val="24"/>
        </w:rPr>
        <w:t xml:space="preserve">  </w:t>
      </w:r>
    </w:p>
    <w:p w:rsidR="00B2165B" w:rsidRPr="009A3C86" w:rsidRDefault="00B2165B" w:rsidP="00D72E74">
      <w:pPr>
        <w:tabs>
          <w:tab w:val="num" w:pos="720"/>
        </w:tabs>
        <w:spacing w:before="120" w:after="0" w:line="360" w:lineRule="auto"/>
        <w:jc w:val="both"/>
        <w:outlineLvl w:val="2"/>
        <w:rPr>
          <w:rFonts w:ascii="Times New Roman" w:hAnsi="Times New Roman"/>
          <w:b/>
          <w:bCs/>
          <w:sz w:val="24"/>
          <w:szCs w:val="24"/>
          <w:lang w:eastAsia="pl-PL"/>
        </w:rPr>
      </w:pPr>
      <w:r w:rsidRPr="009A3C86">
        <w:rPr>
          <w:rFonts w:ascii="Times New Roman" w:hAnsi="Times New Roman"/>
          <w:b/>
          <w:bCs/>
          <w:sz w:val="24"/>
          <w:szCs w:val="24"/>
          <w:lang w:eastAsia="pl-PL"/>
        </w:rPr>
        <w:t>Rozdział 1</w:t>
      </w:r>
      <w:r w:rsidR="00C42B00" w:rsidRPr="009A3C86">
        <w:rPr>
          <w:rFonts w:ascii="Times New Roman" w:hAnsi="Times New Roman"/>
          <w:b/>
          <w:bCs/>
          <w:sz w:val="24"/>
          <w:szCs w:val="24"/>
          <w:lang w:eastAsia="pl-PL"/>
        </w:rPr>
        <w:t>4</w:t>
      </w:r>
      <w:r w:rsidRPr="009A3C86">
        <w:rPr>
          <w:rFonts w:ascii="Times New Roman" w:hAnsi="Times New Roman"/>
          <w:b/>
          <w:bCs/>
          <w:sz w:val="24"/>
          <w:szCs w:val="24"/>
          <w:lang w:eastAsia="pl-PL"/>
        </w:rPr>
        <w:t>. Skargi i wnioski</w:t>
      </w:r>
    </w:p>
    <w:p w:rsidR="000A680B" w:rsidRPr="009A3C86" w:rsidRDefault="00B2165B" w:rsidP="00B2165B">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lastRenderedPageBreak/>
        <w:t>1. W projekcie nowej ordynacji podatkowej zaproponowano rozwiązanie, zgodnie z którym do skarg i wniosków składanych do organów podatkowych mają odpowiednie zastosowanie art. 221-256 k.p.a. (</w:t>
      </w:r>
      <w:r w:rsidRPr="009A3C86">
        <w:rPr>
          <w:rFonts w:ascii="Times New Roman" w:hAnsi="Times New Roman"/>
          <w:b/>
          <w:sz w:val="24"/>
          <w:szCs w:val="24"/>
          <w:lang w:eastAsia="pl-PL"/>
        </w:rPr>
        <w:t xml:space="preserve">art. </w:t>
      </w:r>
      <w:r w:rsidR="001B6EF3" w:rsidRPr="009A3C86">
        <w:rPr>
          <w:rFonts w:ascii="Times New Roman" w:hAnsi="Times New Roman"/>
          <w:b/>
          <w:sz w:val="24"/>
          <w:szCs w:val="24"/>
          <w:lang w:eastAsia="pl-PL"/>
        </w:rPr>
        <w:t>793</w:t>
      </w:r>
      <w:r w:rsidRPr="009A3C86">
        <w:rPr>
          <w:rFonts w:ascii="Times New Roman" w:hAnsi="Times New Roman"/>
          <w:sz w:val="24"/>
          <w:szCs w:val="24"/>
          <w:lang w:eastAsia="pl-PL"/>
        </w:rPr>
        <w:t xml:space="preserve"> projektu ordynacji podatkowej). Projekt ordynacji podatkowej nie reguluje we własnym zakresie przepisów w zakresie skarg i wniosków, natomiast w to miejsce wprowadzono regulację wykorzystującą konstrukcję odesłania poprzez odpowiednie zastosowanie przepisów art. 221-256 k.p.a</w:t>
      </w:r>
      <w:r w:rsidR="00A5170F" w:rsidRPr="009A3C86">
        <w:rPr>
          <w:rFonts w:ascii="Times New Roman" w:hAnsi="Times New Roman"/>
          <w:sz w:val="24"/>
          <w:szCs w:val="24"/>
          <w:lang w:eastAsia="pl-PL"/>
        </w:rPr>
        <w:t>.</w:t>
      </w:r>
      <w:r w:rsidRPr="009A3C86">
        <w:rPr>
          <w:rFonts w:ascii="Times New Roman" w:hAnsi="Times New Roman"/>
          <w:sz w:val="24"/>
          <w:szCs w:val="24"/>
          <w:lang w:eastAsia="pl-PL"/>
        </w:rPr>
        <w:t xml:space="preserve"> do składania skarg i wniosków, przyjmowania skarg i wniosków, udziału prasy i organizacji społecznych, a także nadzoru i kontroli nad przyjmowaniem i załatwianiem skarg i wniosków. </w:t>
      </w:r>
    </w:p>
    <w:p w:rsidR="00B2165B" w:rsidRPr="009A3C86" w:rsidRDefault="00B2165B" w:rsidP="00B2165B">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 xml:space="preserve"> Poprzez wprowadzenie wyraźnego odesłania w projekcie ordynacji podatkowej procedura skargowa stanie się ważnym elementem systemu ochrony praw podatnika. </w:t>
      </w:r>
    </w:p>
    <w:p w:rsidR="00B2165B" w:rsidRPr="009A3C86" w:rsidRDefault="00B2165B" w:rsidP="00B2165B">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2. Podkreślenia wymaga, że regulacje zawarte w art. 221-256 k.p.a. stanowią realizację konstytucyjnego prawa wynikającego z art. 63 Konstytucji RP. W myśl tego artykułu: „Każdy ma prawo składać petycje, wnioski i skargi w interesie publicznym, własnym lub innej osoby za jej zgodą do organów władzy publicznej oraz do organizacji i instytucji społecznych w związku z wykonywanymi przez nie zadaniami zleconymi z zakresu administracji publicznej. Tryb rozpatrywania petycji, wniosków i skarg określa ustawa”. Są one jednak obecnie w istocie regulowane dwoma podstawowymi aktami prawnymi. Skargi i wnioski są wnoszone i rozpatrywane na podstawie przepisów działu VIII k.p.a., zaś zasady składania i rozpatrywania petycji określa ustawa z dnia 11 lipca 2014 r. o petycjach (Dz. U. z 201</w:t>
      </w:r>
      <w:r w:rsidR="00A3221E" w:rsidRPr="009A3C86">
        <w:rPr>
          <w:rFonts w:ascii="Times New Roman" w:hAnsi="Times New Roman"/>
          <w:sz w:val="24"/>
          <w:szCs w:val="24"/>
          <w:lang w:eastAsia="pl-PL"/>
        </w:rPr>
        <w:t>8</w:t>
      </w:r>
      <w:r w:rsidRPr="009A3C86">
        <w:rPr>
          <w:rFonts w:ascii="Times New Roman" w:hAnsi="Times New Roman"/>
          <w:sz w:val="24"/>
          <w:szCs w:val="24"/>
          <w:lang w:eastAsia="pl-PL"/>
        </w:rPr>
        <w:t xml:space="preserve"> r. poz. </w:t>
      </w:r>
      <w:r w:rsidR="00A3221E" w:rsidRPr="009A3C86">
        <w:rPr>
          <w:rFonts w:ascii="Times New Roman" w:hAnsi="Times New Roman"/>
          <w:sz w:val="24"/>
          <w:szCs w:val="24"/>
          <w:lang w:eastAsia="pl-PL"/>
        </w:rPr>
        <w:t>870</w:t>
      </w:r>
      <w:r w:rsidRPr="009A3C86">
        <w:rPr>
          <w:rFonts w:ascii="Times New Roman" w:hAnsi="Times New Roman"/>
          <w:sz w:val="24"/>
          <w:szCs w:val="24"/>
          <w:lang w:eastAsia="pl-PL"/>
        </w:rPr>
        <w:t>).</w:t>
      </w:r>
    </w:p>
    <w:p w:rsidR="00DF3E59" w:rsidRPr="009A3C86" w:rsidRDefault="00B2165B" w:rsidP="00D72E74">
      <w:pPr>
        <w:spacing w:after="0" w:line="360" w:lineRule="auto"/>
        <w:jc w:val="both"/>
        <w:rPr>
          <w:rFonts w:ascii="Times New Roman" w:hAnsi="Times New Roman"/>
          <w:sz w:val="24"/>
          <w:szCs w:val="24"/>
          <w:lang w:eastAsia="pl-PL"/>
        </w:rPr>
      </w:pPr>
      <w:r w:rsidRPr="009A3C86">
        <w:rPr>
          <w:rFonts w:ascii="Times New Roman" w:hAnsi="Times New Roman"/>
          <w:sz w:val="24"/>
          <w:szCs w:val="24"/>
          <w:lang w:eastAsia="pl-PL"/>
        </w:rPr>
        <w:t>3. Istotne jest również podkreślenie, że pożądany wydaje się być stan prawny, zgodnie z którym w projektowanej ordynacji podatkowej zawarty byłby przepis wyraźnie odsyłający do odpowiedniego stosowania przepisów k.p.a. w zakresie wniosków i skarg. W ten bowiem sposób konstrukcja projektu ordynacji podatkowej uzyskuje walor przejrzystości oraz kompletności regulacji. Odpowiednie zastosowanie przepisów art. 221-256 k.p.a. zagwarantuje „dopasowanie” norm zawartych w tych przepisach do odrębności spraw podatkowych i wymusi uwzględnienie specyfiki spraw podatkowych oraz organizacji administracji skarbowej. Kwestię tą dostrzeżono również w nauce</w:t>
      </w:r>
      <w:r w:rsidRPr="009A3C86">
        <w:rPr>
          <w:rFonts w:ascii="Times New Roman" w:hAnsi="Times New Roman"/>
          <w:sz w:val="24"/>
          <w:szCs w:val="24"/>
          <w:vertAlign w:val="superscript"/>
          <w:lang w:eastAsia="pl-PL"/>
        </w:rPr>
        <w:footnoteReference w:id="608"/>
      </w:r>
      <w:r w:rsidRPr="009A3C86">
        <w:rPr>
          <w:rFonts w:ascii="Times New Roman" w:hAnsi="Times New Roman"/>
          <w:sz w:val="24"/>
          <w:szCs w:val="24"/>
          <w:lang w:eastAsia="pl-PL"/>
        </w:rPr>
        <w:t>. Nadmienić należy, że proponowana zmiana wiąże się z jednoczesną modyfikacją brzmienia art. 3 § 1 pkt 2 k.p.a., w którym to przepisie w szczególności rozszerzono zakres stosowania przepisów działu VIII k.p.a. również w odniesieniu do spraw uregulowanych w o.p.</w:t>
      </w:r>
    </w:p>
    <w:p w:rsidR="00DF3E59" w:rsidRPr="009A3C86" w:rsidRDefault="00DF3E59" w:rsidP="00DF3E59">
      <w:pPr>
        <w:keepNext/>
        <w:spacing w:after="0" w:line="360" w:lineRule="auto"/>
        <w:jc w:val="both"/>
        <w:rPr>
          <w:rFonts w:ascii="Times New Roman" w:hAnsi="Times New Roman"/>
          <w:b/>
          <w:sz w:val="24"/>
          <w:szCs w:val="24"/>
        </w:rPr>
      </w:pPr>
      <w:r w:rsidRPr="009A3C86">
        <w:rPr>
          <w:rFonts w:ascii="Times New Roman" w:hAnsi="Times New Roman"/>
          <w:b/>
          <w:sz w:val="24"/>
          <w:szCs w:val="24"/>
        </w:rPr>
        <w:lastRenderedPageBreak/>
        <w:t>Dział V. Przepisy karne</w:t>
      </w:r>
    </w:p>
    <w:p w:rsidR="00DF3E59" w:rsidRPr="009A3C86" w:rsidRDefault="00DF3E59" w:rsidP="00DF3E59">
      <w:pPr>
        <w:keepNext/>
        <w:spacing w:after="0" w:line="360" w:lineRule="auto"/>
        <w:jc w:val="both"/>
        <w:rPr>
          <w:rFonts w:ascii="Times New Roman" w:hAnsi="Times New Roman"/>
          <w:sz w:val="24"/>
          <w:szCs w:val="24"/>
        </w:rPr>
      </w:pPr>
      <w:r w:rsidRPr="009A3C86">
        <w:rPr>
          <w:rFonts w:ascii="Times New Roman" w:hAnsi="Times New Roman"/>
          <w:sz w:val="24"/>
          <w:szCs w:val="24"/>
        </w:rPr>
        <w:t xml:space="preserve">Na wypadek niewykonania obowiązków wynikających z przepisów NOP przewidziane zostały sankcje karne. Przepisy karne zostały wprowadzone do projektu w takiej postaci w jakiej obowiązują w dziale VIII obowiązującej Ordynacji podatkowej. </w:t>
      </w:r>
    </w:p>
    <w:p w:rsidR="00DF3E59" w:rsidRPr="009A3C86" w:rsidRDefault="00064655" w:rsidP="00DF3E59">
      <w:pPr>
        <w:spacing w:after="0" w:line="360" w:lineRule="auto"/>
        <w:jc w:val="both"/>
        <w:rPr>
          <w:rFonts w:ascii="Times New Roman" w:hAnsi="Times New Roman"/>
          <w:sz w:val="24"/>
          <w:szCs w:val="24"/>
        </w:rPr>
      </w:pPr>
      <w:r w:rsidRPr="009A3C86">
        <w:rPr>
          <w:rFonts w:ascii="Times New Roman" w:hAnsi="Times New Roman"/>
          <w:sz w:val="24"/>
          <w:szCs w:val="24"/>
        </w:rPr>
        <w:t>Projektowany p</w:t>
      </w:r>
      <w:r w:rsidR="00DF3E59" w:rsidRPr="009A3C86">
        <w:rPr>
          <w:rFonts w:ascii="Times New Roman" w:hAnsi="Times New Roman"/>
          <w:sz w:val="24"/>
          <w:szCs w:val="24"/>
        </w:rPr>
        <w:t xml:space="preserve">rzepis </w:t>
      </w:r>
      <w:r w:rsidRPr="009A3C86">
        <w:rPr>
          <w:rFonts w:ascii="Times New Roman" w:hAnsi="Times New Roman"/>
          <w:b/>
          <w:sz w:val="24"/>
          <w:szCs w:val="24"/>
        </w:rPr>
        <w:t xml:space="preserve">art. </w:t>
      </w:r>
      <w:r w:rsidR="00CE7740" w:rsidRPr="009A3C86">
        <w:rPr>
          <w:rFonts w:ascii="Times New Roman" w:hAnsi="Times New Roman"/>
          <w:b/>
          <w:sz w:val="24"/>
          <w:szCs w:val="24"/>
        </w:rPr>
        <w:t>794</w:t>
      </w:r>
      <w:r w:rsidRPr="009A3C86">
        <w:rPr>
          <w:rFonts w:ascii="Times New Roman" w:hAnsi="Times New Roman"/>
          <w:b/>
          <w:sz w:val="24"/>
          <w:szCs w:val="24"/>
        </w:rPr>
        <w:t xml:space="preserve"> </w:t>
      </w:r>
      <w:r w:rsidR="00DF3E59" w:rsidRPr="009A3C86">
        <w:rPr>
          <w:rFonts w:ascii="Times New Roman" w:hAnsi="Times New Roman"/>
          <w:b/>
          <w:sz w:val="24"/>
          <w:szCs w:val="24"/>
        </w:rPr>
        <w:t>§ 1</w:t>
      </w:r>
      <w:r w:rsidR="00DF3E59" w:rsidRPr="009A3C86">
        <w:rPr>
          <w:rFonts w:ascii="Times New Roman" w:hAnsi="Times New Roman"/>
          <w:sz w:val="24"/>
          <w:szCs w:val="24"/>
        </w:rPr>
        <w:t xml:space="preserve"> penalizuje nieprzekazanie, przekazanie niezgodnych z posiadanymi lub zatajenie prawdziwych:</w:t>
      </w:r>
    </w:p>
    <w:p w:rsidR="00DF3E59" w:rsidRPr="009A3C86" w:rsidRDefault="00DF3E59" w:rsidP="00DF3E59">
      <w:pPr>
        <w:tabs>
          <w:tab w:val="left" w:pos="426"/>
        </w:tabs>
        <w:spacing w:after="0" w:line="360" w:lineRule="auto"/>
        <w:ind w:left="426" w:hanging="426"/>
        <w:jc w:val="both"/>
        <w:rPr>
          <w:rFonts w:ascii="Times New Roman" w:hAnsi="Times New Roman"/>
          <w:sz w:val="24"/>
          <w:szCs w:val="24"/>
          <w:lang w:eastAsia="pl-PL"/>
        </w:rPr>
      </w:pPr>
      <w:r w:rsidRPr="009A3C86">
        <w:rPr>
          <w:rFonts w:ascii="Times New Roman" w:hAnsi="Times New Roman"/>
          <w:sz w:val="24"/>
          <w:szCs w:val="24"/>
          <w:lang w:eastAsia="pl-PL"/>
        </w:rPr>
        <w:t>1)</w:t>
      </w:r>
      <w:r w:rsidRPr="009A3C86">
        <w:rPr>
          <w:rFonts w:ascii="Times New Roman" w:hAnsi="Times New Roman"/>
          <w:sz w:val="24"/>
          <w:szCs w:val="24"/>
          <w:lang w:eastAsia="pl-PL"/>
        </w:rPr>
        <w:tab/>
        <w:t xml:space="preserve">informacji o rachunkach podmiotów kwalifikowanych w rozumieniu art. </w:t>
      </w:r>
      <w:r w:rsidR="00CE7740" w:rsidRPr="009A3C86">
        <w:rPr>
          <w:rFonts w:ascii="Times New Roman" w:hAnsi="Times New Roman"/>
          <w:sz w:val="24"/>
          <w:szCs w:val="24"/>
          <w:lang w:eastAsia="pl-PL"/>
        </w:rPr>
        <w:t>699</w:t>
      </w:r>
      <w:r w:rsidRPr="009A3C86">
        <w:rPr>
          <w:rFonts w:ascii="Times New Roman" w:hAnsi="Times New Roman"/>
          <w:sz w:val="24"/>
          <w:szCs w:val="24"/>
          <w:lang w:eastAsia="pl-PL"/>
        </w:rPr>
        <w:t xml:space="preserve"> pkt </w:t>
      </w:r>
      <w:r w:rsidR="00064655" w:rsidRPr="009A3C86">
        <w:rPr>
          <w:rFonts w:ascii="Times New Roman" w:hAnsi="Times New Roman"/>
          <w:sz w:val="24"/>
          <w:szCs w:val="24"/>
          <w:lang w:eastAsia="pl-PL"/>
        </w:rPr>
        <w:t>6</w:t>
      </w:r>
      <w:r w:rsidRPr="009A3C86">
        <w:rPr>
          <w:rFonts w:ascii="Times New Roman" w:hAnsi="Times New Roman"/>
          <w:sz w:val="24"/>
          <w:szCs w:val="24"/>
          <w:lang w:eastAsia="pl-PL"/>
        </w:rPr>
        <w:t xml:space="preserve"> tej ustawy;</w:t>
      </w:r>
    </w:p>
    <w:p w:rsidR="00DF3E59" w:rsidRPr="009A3C86" w:rsidRDefault="00DF3E59" w:rsidP="00DF3E59">
      <w:pPr>
        <w:tabs>
          <w:tab w:val="left" w:pos="426"/>
        </w:tabs>
        <w:spacing w:after="0" w:line="360" w:lineRule="auto"/>
        <w:ind w:left="426" w:hanging="426"/>
        <w:jc w:val="both"/>
        <w:rPr>
          <w:rFonts w:ascii="Times New Roman" w:hAnsi="Times New Roman"/>
          <w:sz w:val="24"/>
          <w:szCs w:val="24"/>
        </w:rPr>
      </w:pPr>
      <w:r w:rsidRPr="009A3C86">
        <w:rPr>
          <w:rFonts w:ascii="Times New Roman" w:hAnsi="Times New Roman"/>
          <w:sz w:val="24"/>
          <w:szCs w:val="24"/>
          <w:lang w:eastAsia="pl-PL"/>
        </w:rPr>
        <w:t>2)</w:t>
      </w:r>
      <w:r w:rsidRPr="009A3C86">
        <w:rPr>
          <w:rFonts w:ascii="Times New Roman" w:hAnsi="Times New Roman"/>
          <w:sz w:val="24"/>
          <w:szCs w:val="24"/>
          <w:lang w:eastAsia="pl-PL"/>
        </w:rPr>
        <w:tab/>
        <w:t xml:space="preserve">informacji o łącznej kwocie obciążeń oraz łącznej kwocie uznań rachunków podmiotów kwalifikowanych w rozumieniu art. </w:t>
      </w:r>
      <w:r w:rsidR="00CE7740" w:rsidRPr="009A3C86">
        <w:rPr>
          <w:rFonts w:ascii="Times New Roman" w:hAnsi="Times New Roman"/>
          <w:sz w:val="24"/>
          <w:szCs w:val="24"/>
          <w:lang w:eastAsia="pl-PL"/>
        </w:rPr>
        <w:t>699</w:t>
      </w:r>
      <w:r w:rsidRPr="009A3C86">
        <w:rPr>
          <w:rFonts w:ascii="Times New Roman" w:hAnsi="Times New Roman"/>
          <w:sz w:val="24"/>
          <w:szCs w:val="24"/>
          <w:lang w:eastAsia="pl-PL"/>
        </w:rPr>
        <w:t xml:space="preserve"> pkt </w:t>
      </w:r>
      <w:r w:rsidR="00064655" w:rsidRPr="009A3C86">
        <w:rPr>
          <w:rFonts w:ascii="Times New Roman" w:hAnsi="Times New Roman"/>
          <w:sz w:val="24"/>
          <w:szCs w:val="24"/>
          <w:lang w:eastAsia="pl-PL"/>
        </w:rPr>
        <w:t>6</w:t>
      </w:r>
      <w:r w:rsidRPr="009A3C86">
        <w:rPr>
          <w:rFonts w:ascii="Times New Roman" w:hAnsi="Times New Roman"/>
          <w:sz w:val="24"/>
          <w:szCs w:val="24"/>
          <w:lang w:eastAsia="pl-PL"/>
        </w:rPr>
        <w:t xml:space="preserve"> tej ustawy, dotyczących transakcji z osobami fizycznymi niebędącymi podmiotami kwalifikowanymi w rozumieniu art. </w:t>
      </w:r>
      <w:r w:rsidR="00CE7740" w:rsidRPr="009A3C86">
        <w:rPr>
          <w:rFonts w:ascii="Times New Roman" w:hAnsi="Times New Roman"/>
          <w:sz w:val="24"/>
          <w:szCs w:val="24"/>
          <w:lang w:eastAsia="pl-PL"/>
        </w:rPr>
        <w:t>699</w:t>
      </w:r>
      <w:r w:rsidRPr="009A3C86">
        <w:rPr>
          <w:rFonts w:ascii="Times New Roman" w:hAnsi="Times New Roman"/>
          <w:sz w:val="24"/>
          <w:szCs w:val="24"/>
          <w:lang w:eastAsia="pl-PL"/>
        </w:rPr>
        <w:t xml:space="preserve"> pkt </w:t>
      </w:r>
      <w:r w:rsidR="00064655" w:rsidRPr="009A3C86">
        <w:rPr>
          <w:rFonts w:ascii="Times New Roman" w:hAnsi="Times New Roman"/>
          <w:sz w:val="24"/>
          <w:szCs w:val="24"/>
          <w:lang w:eastAsia="pl-PL"/>
        </w:rPr>
        <w:t>5</w:t>
      </w:r>
      <w:r w:rsidRPr="009A3C86">
        <w:rPr>
          <w:rFonts w:ascii="Times New Roman" w:hAnsi="Times New Roman"/>
          <w:sz w:val="24"/>
          <w:szCs w:val="24"/>
          <w:lang w:eastAsia="pl-PL"/>
        </w:rPr>
        <w:t>;</w:t>
      </w:r>
    </w:p>
    <w:p w:rsidR="00DF3E59" w:rsidRPr="009A3C86" w:rsidRDefault="00DF3E59" w:rsidP="00DF3E59">
      <w:pPr>
        <w:tabs>
          <w:tab w:val="left" w:pos="426"/>
        </w:tabs>
        <w:spacing w:after="0" w:line="360" w:lineRule="auto"/>
        <w:ind w:left="426" w:hanging="426"/>
        <w:jc w:val="both"/>
        <w:rPr>
          <w:rFonts w:ascii="Times New Roman" w:hAnsi="Times New Roman"/>
          <w:sz w:val="24"/>
          <w:szCs w:val="24"/>
          <w:lang w:eastAsia="pl-PL"/>
        </w:rPr>
      </w:pPr>
      <w:r w:rsidRPr="009A3C86">
        <w:rPr>
          <w:rFonts w:ascii="Times New Roman" w:hAnsi="Times New Roman"/>
          <w:sz w:val="24"/>
          <w:szCs w:val="24"/>
          <w:lang w:eastAsia="pl-PL"/>
        </w:rPr>
        <w:t>3)</w:t>
      </w:r>
      <w:r w:rsidRPr="009A3C86">
        <w:rPr>
          <w:rFonts w:ascii="Times New Roman" w:hAnsi="Times New Roman"/>
          <w:sz w:val="24"/>
          <w:szCs w:val="24"/>
          <w:lang w:eastAsia="pl-PL"/>
        </w:rPr>
        <w:tab/>
        <w:t xml:space="preserve">dziennych zestawień transakcji dotyczących rachunków podmiotów kwalifikowanych w rozumieniu art. </w:t>
      </w:r>
      <w:r w:rsidR="00CE7740" w:rsidRPr="009A3C86">
        <w:rPr>
          <w:rFonts w:ascii="Times New Roman" w:hAnsi="Times New Roman"/>
          <w:sz w:val="24"/>
          <w:szCs w:val="24"/>
          <w:lang w:eastAsia="pl-PL"/>
        </w:rPr>
        <w:t>699</w:t>
      </w:r>
      <w:r w:rsidRPr="009A3C86">
        <w:rPr>
          <w:rFonts w:ascii="Times New Roman" w:hAnsi="Times New Roman"/>
          <w:sz w:val="24"/>
          <w:szCs w:val="24"/>
          <w:lang w:eastAsia="pl-PL"/>
        </w:rPr>
        <w:t xml:space="preserve"> pkt </w:t>
      </w:r>
      <w:r w:rsidR="00F86D64" w:rsidRPr="009A3C86">
        <w:rPr>
          <w:rFonts w:ascii="Times New Roman" w:hAnsi="Times New Roman"/>
          <w:sz w:val="24"/>
          <w:szCs w:val="24"/>
          <w:lang w:eastAsia="pl-PL"/>
        </w:rPr>
        <w:t>6</w:t>
      </w:r>
      <w:r w:rsidRPr="009A3C86">
        <w:rPr>
          <w:rFonts w:ascii="Times New Roman" w:hAnsi="Times New Roman"/>
          <w:sz w:val="24"/>
          <w:szCs w:val="24"/>
          <w:lang w:eastAsia="pl-PL"/>
        </w:rPr>
        <w:t xml:space="preserve"> tej ustawy w zakresie transakcji innych niż wskazane w pkt 2.</w:t>
      </w:r>
    </w:p>
    <w:p w:rsidR="00DF3E59" w:rsidRPr="009A3C86" w:rsidRDefault="00DF3E59" w:rsidP="00DF3E59">
      <w:pPr>
        <w:spacing w:after="0" w:line="360" w:lineRule="auto"/>
        <w:jc w:val="both"/>
        <w:rPr>
          <w:rFonts w:ascii="Times New Roman" w:hAnsi="Times New Roman"/>
          <w:sz w:val="24"/>
          <w:szCs w:val="24"/>
        </w:rPr>
      </w:pPr>
      <w:r w:rsidRPr="009A3C86">
        <w:rPr>
          <w:rFonts w:ascii="Times New Roman" w:hAnsi="Times New Roman"/>
          <w:sz w:val="24"/>
          <w:szCs w:val="24"/>
          <w:lang w:eastAsia="pl-PL"/>
        </w:rPr>
        <w:t xml:space="preserve">Przepis art. </w:t>
      </w:r>
      <w:r w:rsidR="00111E3F" w:rsidRPr="009A3C86">
        <w:rPr>
          <w:rFonts w:ascii="Times New Roman" w:hAnsi="Times New Roman"/>
          <w:sz w:val="24"/>
          <w:szCs w:val="24"/>
          <w:lang w:eastAsia="pl-PL"/>
        </w:rPr>
        <w:t>794</w:t>
      </w:r>
      <w:r w:rsidRPr="009A3C86">
        <w:rPr>
          <w:rFonts w:ascii="Times New Roman" w:hAnsi="Times New Roman"/>
          <w:sz w:val="24"/>
          <w:szCs w:val="24"/>
          <w:lang w:eastAsia="pl-PL"/>
        </w:rPr>
        <w:t xml:space="preserve"> § 1 Ordynacji podatkowej może być stosowany w odniesieniu do osób, które naruszają </w:t>
      </w:r>
      <w:r w:rsidRPr="009A3C86">
        <w:rPr>
          <w:rFonts w:ascii="Times New Roman" w:hAnsi="Times New Roman"/>
          <w:sz w:val="24"/>
          <w:szCs w:val="24"/>
        </w:rPr>
        <w:t xml:space="preserve">przepisy art. </w:t>
      </w:r>
      <w:r w:rsidR="00111E3F" w:rsidRPr="009A3C86">
        <w:rPr>
          <w:rFonts w:ascii="Times New Roman" w:hAnsi="Times New Roman"/>
          <w:sz w:val="24"/>
          <w:szCs w:val="24"/>
        </w:rPr>
        <w:t>704</w:t>
      </w:r>
      <w:r w:rsidRPr="009A3C86">
        <w:rPr>
          <w:rFonts w:ascii="Times New Roman" w:hAnsi="Times New Roman"/>
          <w:sz w:val="24"/>
          <w:szCs w:val="24"/>
        </w:rPr>
        <w:t xml:space="preserve">, art. </w:t>
      </w:r>
      <w:r w:rsidR="00BA4699">
        <w:rPr>
          <w:rFonts w:ascii="Times New Roman" w:hAnsi="Times New Roman"/>
          <w:sz w:val="24"/>
          <w:szCs w:val="24"/>
        </w:rPr>
        <w:t>710</w:t>
      </w:r>
      <w:r w:rsidRPr="009A3C86">
        <w:rPr>
          <w:rFonts w:ascii="Times New Roman" w:hAnsi="Times New Roman"/>
          <w:sz w:val="24"/>
          <w:szCs w:val="24"/>
        </w:rPr>
        <w:t xml:space="preserve"> i art. </w:t>
      </w:r>
      <w:r w:rsidR="00BA4699">
        <w:rPr>
          <w:rFonts w:ascii="Times New Roman" w:hAnsi="Times New Roman"/>
          <w:sz w:val="24"/>
          <w:szCs w:val="24"/>
        </w:rPr>
        <w:t>711</w:t>
      </w:r>
      <w:r w:rsidRPr="009A3C86">
        <w:rPr>
          <w:rFonts w:ascii="Times New Roman" w:hAnsi="Times New Roman"/>
          <w:sz w:val="24"/>
          <w:szCs w:val="24"/>
        </w:rPr>
        <w:t xml:space="preserve"> Ordynacji podatkowej, działając w imieniu lub w interesie banku w rozumieniu </w:t>
      </w:r>
      <w:r w:rsidR="00356D27" w:rsidRPr="009A3C86">
        <w:rPr>
          <w:rFonts w:ascii="Times New Roman" w:hAnsi="Times New Roman"/>
          <w:sz w:val="24"/>
          <w:szCs w:val="24"/>
        </w:rPr>
        <w:t xml:space="preserve">projektowanego </w:t>
      </w:r>
      <w:r w:rsidRPr="009A3C86">
        <w:rPr>
          <w:rFonts w:ascii="Times New Roman" w:hAnsi="Times New Roman"/>
          <w:sz w:val="24"/>
          <w:szCs w:val="24"/>
        </w:rPr>
        <w:t xml:space="preserve">art. </w:t>
      </w:r>
      <w:r w:rsidR="00111E3F" w:rsidRPr="009A3C86">
        <w:rPr>
          <w:rFonts w:ascii="Times New Roman" w:hAnsi="Times New Roman"/>
          <w:sz w:val="24"/>
          <w:szCs w:val="24"/>
        </w:rPr>
        <w:t>699</w:t>
      </w:r>
      <w:r w:rsidRPr="009A3C86">
        <w:rPr>
          <w:rFonts w:ascii="Times New Roman" w:hAnsi="Times New Roman"/>
          <w:sz w:val="24"/>
          <w:szCs w:val="24"/>
        </w:rPr>
        <w:t xml:space="preserve"> pkt 1, spółdzielczej kasy oszczędnościowo-kredytowej, banku zrzeszającego, Krajowej Spółdzielczej Kasy Oszczędnościowo-Kredytowej lub izby rozliczeniowej w rozumieniu </w:t>
      </w:r>
      <w:r w:rsidR="00356D27" w:rsidRPr="009A3C86">
        <w:rPr>
          <w:rFonts w:ascii="Times New Roman" w:hAnsi="Times New Roman"/>
          <w:sz w:val="24"/>
          <w:szCs w:val="24"/>
        </w:rPr>
        <w:t xml:space="preserve">projektowanego </w:t>
      </w:r>
      <w:r w:rsidRPr="009A3C86">
        <w:rPr>
          <w:rFonts w:ascii="Times New Roman" w:hAnsi="Times New Roman"/>
          <w:sz w:val="24"/>
          <w:szCs w:val="24"/>
        </w:rPr>
        <w:t xml:space="preserve">art. </w:t>
      </w:r>
      <w:r w:rsidR="00111E3F" w:rsidRPr="009A3C86">
        <w:rPr>
          <w:rFonts w:ascii="Times New Roman" w:hAnsi="Times New Roman"/>
          <w:sz w:val="24"/>
          <w:szCs w:val="24"/>
        </w:rPr>
        <w:t>699</w:t>
      </w:r>
      <w:r w:rsidR="00356D27" w:rsidRPr="009A3C86">
        <w:rPr>
          <w:rFonts w:ascii="Times New Roman" w:hAnsi="Times New Roman"/>
          <w:sz w:val="24"/>
          <w:szCs w:val="24"/>
        </w:rPr>
        <w:t xml:space="preserve"> pkt 3</w:t>
      </w:r>
      <w:r w:rsidRPr="009A3C86">
        <w:rPr>
          <w:rFonts w:ascii="Times New Roman" w:hAnsi="Times New Roman"/>
          <w:sz w:val="24"/>
          <w:szCs w:val="24"/>
        </w:rPr>
        <w:t xml:space="preserve">. </w:t>
      </w:r>
    </w:p>
    <w:p w:rsidR="00DF3E59" w:rsidRPr="009A3C86" w:rsidRDefault="002D3689" w:rsidP="00DF3E59">
      <w:pPr>
        <w:spacing w:after="0" w:line="360" w:lineRule="auto"/>
        <w:jc w:val="both"/>
        <w:rPr>
          <w:rFonts w:ascii="Times New Roman" w:hAnsi="Times New Roman"/>
          <w:sz w:val="24"/>
          <w:szCs w:val="24"/>
        </w:rPr>
      </w:pPr>
      <w:r w:rsidRPr="009A3C86">
        <w:rPr>
          <w:rFonts w:ascii="Times New Roman" w:hAnsi="Times New Roman"/>
          <w:sz w:val="24"/>
          <w:szCs w:val="24"/>
        </w:rPr>
        <w:t>Projektowany p</w:t>
      </w:r>
      <w:r w:rsidR="00DF3E59" w:rsidRPr="009A3C86">
        <w:rPr>
          <w:rFonts w:ascii="Times New Roman" w:hAnsi="Times New Roman"/>
          <w:sz w:val="24"/>
          <w:szCs w:val="24"/>
        </w:rPr>
        <w:t xml:space="preserve">rzepis </w:t>
      </w:r>
      <w:r w:rsidR="00DF3E59" w:rsidRPr="009A3C86">
        <w:rPr>
          <w:rFonts w:ascii="Times New Roman" w:hAnsi="Times New Roman"/>
          <w:b/>
          <w:sz w:val="24"/>
          <w:szCs w:val="24"/>
        </w:rPr>
        <w:t xml:space="preserve">art. </w:t>
      </w:r>
      <w:r w:rsidR="00111E3F" w:rsidRPr="009A3C86">
        <w:rPr>
          <w:rFonts w:ascii="Times New Roman" w:hAnsi="Times New Roman"/>
          <w:b/>
          <w:sz w:val="24"/>
          <w:szCs w:val="24"/>
        </w:rPr>
        <w:t>795</w:t>
      </w:r>
      <w:r w:rsidR="00DF3E59" w:rsidRPr="009A3C86">
        <w:rPr>
          <w:rFonts w:ascii="Times New Roman" w:hAnsi="Times New Roman"/>
          <w:b/>
          <w:sz w:val="24"/>
          <w:szCs w:val="24"/>
        </w:rPr>
        <w:t xml:space="preserve"> § 1</w:t>
      </w:r>
      <w:r w:rsidR="00DF3E59" w:rsidRPr="009A3C86">
        <w:rPr>
          <w:rFonts w:ascii="Times New Roman" w:hAnsi="Times New Roman"/>
          <w:sz w:val="24"/>
          <w:szCs w:val="24"/>
        </w:rPr>
        <w:t xml:space="preserve"> </w:t>
      </w:r>
      <w:r w:rsidRPr="009A3C86">
        <w:rPr>
          <w:rFonts w:ascii="Times New Roman" w:hAnsi="Times New Roman"/>
          <w:sz w:val="24"/>
          <w:szCs w:val="24"/>
        </w:rPr>
        <w:t xml:space="preserve">nowej </w:t>
      </w:r>
      <w:r w:rsidR="00DF3E59" w:rsidRPr="009A3C86">
        <w:rPr>
          <w:rFonts w:ascii="Times New Roman" w:hAnsi="Times New Roman"/>
          <w:sz w:val="24"/>
          <w:szCs w:val="24"/>
        </w:rPr>
        <w:t xml:space="preserve">Ordynacji podatkowej penalizuje niedopełnienie obowiązku blokady rachunku podmiotu kwalifikowanego w rozumieniu art. </w:t>
      </w:r>
      <w:r w:rsidR="00111E3F" w:rsidRPr="009A3C86">
        <w:rPr>
          <w:rFonts w:ascii="Times New Roman" w:hAnsi="Times New Roman"/>
          <w:sz w:val="24"/>
          <w:szCs w:val="24"/>
        </w:rPr>
        <w:t>699</w:t>
      </w:r>
      <w:r w:rsidR="00DF3E59" w:rsidRPr="009A3C86">
        <w:rPr>
          <w:rFonts w:ascii="Times New Roman" w:hAnsi="Times New Roman"/>
          <w:sz w:val="24"/>
          <w:szCs w:val="24"/>
        </w:rPr>
        <w:t xml:space="preserve"> pkt 2 tej ustawy oraz niedopełnienie obowiązku przedłużenia, zmiany zakresu lub uchylenia tej blokady. Przepis art. </w:t>
      </w:r>
      <w:r w:rsidR="00DC5D6F" w:rsidRPr="009A3C86">
        <w:rPr>
          <w:rFonts w:ascii="Times New Roman" w:hAnsi="Times New Roman"/>
          <w:sz w:val="24"/>
          <w:szCs w:val="24"/>
        </w:rPr>
        <w:t>795</w:t>
      </w:r>
      <w:r w:rsidR="00DF3E59" w:rsidRPr="009A3C86">
        <w:rPr>
          <w:rFonts w:ascii="Times New Roman" w:hAnsi="Times New Roman"/>
          <w:sz w:val="24"/>
          <w:szCs w:val="24"/>
        </w:rPr>
        <w:t xml:space="preserve"> § 1 Ordynacji podatkowej może być stosowany w odniesieniu do osób działających w imieniu lub w interesie banku w rozumieniu art. </w:t>
      </w:r>
      <w:r w:rsidR="00DC5D6F" w:rsidRPr="009A3C86">
        <w:rPr>
          <w:rFonts w:ascii="Times New Roman" w:hAnsi="Times New Roman"/>
          <w:sz w:val="24"/>
          <w:szCs w:val="24"/>
        </w:rPr>
        <w:t>699</w:t>
      </w:r>
      <w:r w:rsidR="00DF3E59" w:rsidRPr="009A3C86">
        <w:rPr>
          <w:rFonts w:ascii="Times New Roman" w:hAnsi="Times New Roman"/>
          <w:sz w:val="24"/>
          <w:szCs w:val="24"/>
        </w:rPr>
        <w:t xml:space="preserve"> pkt 1 Ordynacji podatkowej lub spółdzielczej kasy oszczędnościowo-kredytowej. </w:t>
      </w:r>
    </w:p>
    <w:p w:rsidR="00DF3E59" w:rsidRPr="009A3C86" w:rsidRDefault="00DF3E59" w:rsidP="00DF3E59">
      <w:pPr>
        <w:spacing w:after="0" w:line="360" w:lineRule="auto"/>
        <w:jc w:val="both"/>
        <w:rPr>
          <w:rFonts w:ascii="Times New Roman" w:hAnsi="Times New Roman"/>
          <w:sz w:val="24"/>
          <w:szCs w:val="24"/>
        </w:rPr>
      </w:pPr>
      <w:r w:rsidRPr="009A3C86">
        <w:rPr>
          <w:rFonts w:ascii="Times New Roman" w:hAnsi="Times New Roman"/>
          <w:sz w:val="24"/>
          <w:szCs w:val="24"/>
        </w:rPr>
        <w:t xml:space="preserve">Przepis </w:t>
      </w:r>
      <w:r w:rsidRPr="009A3C86">
        <w:rPr>
          <w:rFonts w:ascii="Times New Roman" w:hAnsi="Times New Roman"/>
          <w:b/>
          <w:sz w:val="24"/>
          <w:szCs w:val="24"/>
        </w:rPr>
        <w:t xml:space="preserve">art. </w:t>
      </w:r>
      <w:r w:rsidR="00DC5D6F" w:rsidRPr="009A3C86">
        <w:rPr>
          <w:rFonts w:ascii="Times New Roman" w:hAnsi="Times New Roman"/>
          <w:b/>
          <w:sz w:val="24"/>
          <w:szCs w:val="24"/>
        </w:rPr>
        <w:t>796</w:t>
      </w:r>
      <w:r w:rsidRPr="009A3C86">
        <w:rPr>
          <w:rFonts w:ascii="Times New Roman" w:hAnsi="Times New Roman"/>
          <w:b/>
          <w:sz w:val="24"/>
          <w:szCs w:val="24"/>
        </w:rPr>
        <w:t xml:space="preserve"> § 1</w:t>
      </w:r>
      <w:r w:rsidRPr="009A3C86">
        <w:rPr>
          <w:rFonts w:ascii="Times New Roman" w:hAnsi="Times New Roman"/>
          <w:sz w:val="24"/>
          <w:szCs w:val="24"/>
        </w:rPr>
        <w:t xml:space="preserve"> Ordynacji podatkowej penalizuje nieuprawnione ujawnienie lub wykorzystanie:</w:t>
      </w:r>
    </w:p>
    <w:p w:rsidR="00DF3E59" w:rsidRPr="009A3C86" w:rsidRDefault="00DF3E59" w:rsidP="00DF3E59">
      <w:pPr>
        <w:spacing w:after="0" w:line="360" w:lineRule="auto"/>
        <w:ind w:left="406" w:hanging="392"/>
        <w:jc w:val="both"/>
        <w:rPr>
          <w:rFonts w:ascii="Times New Roman" w:hAnsi="Times New Roman"/>
          <w:bCs/>
          <w:sz w:val="24"/>
          <w:szCs w:val="24"/>
          <w:lang w:eastAsia="pl-PL"/>
        </w:rPr>
      </w:pPr>
      <w:r w:rsidRPr="009A3C86">
        <w:rPr>
          <w:rFonts w:ascii="Times New Roman" w:hAnsi="Times New Roman"/>
          <w:bCs/>
          <w:sz w:val="24"/>
          <w:szCs w:val="24"/>
          <w:lang w:eastAsia="pl-PL"/>
        </w:rPr>
        <w:t>1)</w:t>
      </w:r>
      <w:r w:rsidRPr="009A3C86">
        <w:rPr>
          <w:rFonts w:ascii="Times New Roman" w:hAnsi="Times New Roman"/>
          <w:bCs/>
          <w:sz w:val="24"/>
          <w:szCs w:val="24"/>
          <w:lang w:eastAsia="pl-PL"/>
        </w:rPr>
        <w:tab/>
        <w:t xml:space="preserve">algorytmów, o których mowa w art. </w:t>
      </w:r>
      <w:r w:rsidR="00BA4699">
        <w:rPr>
          <w:rFonts w:ascii="Times New Roman" w:hAnsi="Times New Roman"/>
          <w:bCs/>
          <w:sz w:val="24"/>
          <w:szCs w:val="24"/>
          <w:lang w:eastAsia="pl-PL"/>
        </w:rPr>
        <w:t>708</w:t>
      </w:r>
      <w:r w:rsidRPr="009A3C86">
        <w:rPr>
          <w:rFonts w:ascii="Times New Roman" w:hAnsi="Times New Roman"/>
          <w:bCs/>
          <w:sz w:val="24"/>
          <w:szCs w:val="24"/>
          <w:lang w:eastAsia="pl-PL"/>
        </w:rPr>
        <w:t xml:space="preserve"> § 3 tej ustawy;</w:t>
      </w:r>
    </w:p>
    <w:p w:rsidR="00DF3E59" w:rsidRPr="009A3C86" w:rsidRDefault="00DF3E59" w:rsidP="00DF3E59">
      <w:pPr>
        <w:spacing w:after="0" w:line="360" w:lineRule="auto"/>
        <w:ind w:left="406" w:hanging="392"/>
        <w:jc w:val="both"/>
        <w:rPr>
          <w:rFonts w:ascii="Times New Roman" w:hAnsi="Times New Roman"/>
          <w:bCs/>
          <w:sz w:val="24"/>
          <w:szCs w:val="24"/>
          <w:lang w:eastAsia="pl-PL"/>
        </w:rPr>
      </w:pPr>
      <w:r w:rsidRPr="009A3C86">
        <w:rPr>
          <w:rFonts w:ascii="Times New Roman" w:hAnsi="Times New Roman"/>
          <w:bCs/>
          <w:sz w:val="24"/>
          <w:szCs w:val="24"/>
          <w:lang w:eastAsia="pl-PL"/>
        </w:rPr>
        <w:t>2)</w:t>
      </w:r>
      <w:r w:rsidRPr="009A3C86">
        <w:rPr>
          <w:rFonts w:ascii="Times New Roman" w:hAnsi="Times New Roman"/>
          <w:bCs/>
          <w:sz w:val="24"/>
          <w:szCs w:val="24"/>
          <w:lang w:eastAsia="pl-PL"/>
        </w:rPr>
        <w:tab/>
        <w:t>informacji o wskaźniku ryzyka;</w:t>
      </w:r>
    </w:p>
    <w:p w:rsidR="00DF3E59" w:rsidRPr="009A3C86" w:rsidRDefault="00DF3E59" w:rsidP="00DF3E59">
      <w:pPr>
        <w:spacing w:after="0" w:line="360" w:lineRule="auto"/>
        <w:ind w:left="406" w:hanging="392"/>
        <w:jc w:val="both"/>
        <w:rPr>
          <w:rFonts w:ascii="Times New Roman" w:hAnsi="Times New Roman"/>
          <w:bCs/>
          <w:sz w:val="24"/>
          <w:szCs w:val="24"/>
          <w:lang w:eastAsia="pl-PL"/>
        </w:rPr>
      </w:pPr>
      <w:r w:rsidRPr="009A3C86">
        <w:rPr>
          <w:rFonts w:ascii="Times New Roman" w:hAnsi="Times New Roman"/>
          <w:bCs/>
          <w:sz w:val="24"/>
          <w:szCs w:val="24"/>
          <w:lang w:eastAsia="pl-PL"/>
        </w:rPr>
        <w:t>3)</w:t>
      </w:r>
      <w:r w:rsidRPr="009A3C86">
        <w:rPr>
          <w:rFonts w:ascii="Times New Roman" w:hAnsi="Times New Roman"/>
          <w:bCs/>
          <w:sz w:val="24"/>
          <w:szCs w:val="24"/>
          <w:lang w:eastAsia="pl-PL"/>
        </w:rPr>
        <w:tab/>
        <w:t xml:space="preserve">informacji i zestawień, o których mowa w art. </w:t>
      </w:r>
      <w:r w:rsidR="00BA4699">
        <w:rPr>
          <w:rFonts w:ascii="Times New Roman" w:hAnsi="Times New Roman"/>
          <w:bCs/>
          <w:sz w:val="24"/>
          <w:szCs w:val="24"/>
          <w:lang w:eastAsia="pl-PL"/>
        </w:rPr>
        <w:t>710</w:t>
      </w:r>
      <w:r w:rsidR="00D819A6" w:rsidRPr="009A3C86">
        <w:rPr>
          <w:rFonts w:ascii="Times New Roman" w:hAnsi="Times New Roman"/>
          <w:bCs/>
          <w:sz w:val="24"/>
          <w:szCs w:val="24"/>
          <w:lang w:eastAsia="pl-PL"/>
        </w:rPr>
        <w:t xml:space="preserve"> § 1</w:t>
      </w:r>
      <w:r w:rsidRPr="009A3C86">
        <w:rPr>
          <w:rFonts w:ascii="Times New Roman" w:hAnsi="Times New Roman"/>
          <w:bCs/>
          <w:sz w:val="24"/>
          <w:szCs w:val="24"/>
          <w:lang w:eastAsia="pl-PL"/>
        </w:rPr>
        <w:t xml:space="preserve">, art. </w:t>
      </w:r>
      <w:r w:rsidR="00BA4699">
        <w:rPr>
          <w:rFonts w:ascii="Times New Roman" w:hAnsi="Times New Roman"/>
          <w:bCs/>
          <w:sz w:val="24"/>
          <w:szCs w:val="24"/>
          <w:lang w:eastAsia="pl-PL"/>
        </w:rPr>
        <w:t>711</w:t>
      </w:r>
      <w:r w:rsidRPr="009A3C86">
        <w:rPr>
          <w:rFonts w:ascii="Times New Roman" w:hAnsi="Times New Roman"/>
          <w:bCs/>
          <w:sz w:val="24"/>
          <w:szCs w:val="24"/>
          <w:lang w:eastAsia="pl-PL"/>
        </w:rPr>
        <w:t xml:space="preserve"> i art. </w:t>
      </w:r>
      <w:r w:rsidR="00A37814">
        <w:rPr>
          <w:rFonts w:ascii="Times New Roman" w:hAnsi="Times New Roman"/>
          <w:bCs/>
          <w:sz w:val="24"/>
          <w:szCs w:val="24"/>
          <w:lang w:eastAsia="pl-PL"/>
        </w:rPr>
        <w:t>713</w:t>
      </w:r>
      <w:r w:rsidRPr="009A3C86">
        <w:rPr>
          <w:rFonts w:ascii="Times New Roman" w:hAnsi="Times New Roman"/>
          <w:bCs/>
          <w:sz w:val="24"/>
          <w:szCs w:val="24"/>
          <w:lang w:eastAsia="pl-PL"/>
        </w:rPr>
        <w:t xml:space="preserve"> § 1 tej ustawy;</w:t>
      </w:r>
    </w:p>
    <w:p w:rsidR="00DF3E59" w:rsidRPr="009A3C86" w:rsidRDefault="00DF3E59" w:rsidP="00DF3E59">
      <w:pPr>
        <w:spacing w:after="0" w:line="360" w:lineRule="auto"/>
        <w:ind w:left="406" w:hanging="392"/>
        <w:jc w:val="both"/>
        <w:rPr>
          <w:rFonts w:ascii="Times New Roman" w:hAnsi="Times New Roman"/>
          <w:bCs/>
          <w:sz w:val="24"/>
          <w:szCs w:val="24"/>
          <w:lang w:eastAsia="pl-PL"/>
        </w:rPr>
      </w:pPr>
      <w:r w:rsidRPr="009A3C86">
        <w:rPr>
          <w:rFonts w:ascii="Times New Roman" w:hAnsi="Times New Roman"/>
          <w:bCs/>
          <w:sz w:val="24"/>
          <w:szCs w:val="24"/>
          <w:lang w:eastAsia="pl-PL"/>
        </w:rPr>
        <w:t>4)</w:t>
      </w:r>
      <w:r w:rsidRPr="009A3C86">
        <w:rPr>
          <w:rFonts w:ascii="Times New Roman" w:hAnsi="Times New Roman"/>
          <w:bCs/>
          <w:sz w:val="24"/>
          <w:szCs w:val="24"/>
          <w:lang w:eastAsia="pl-PL"/>
        </w:rPr>
        <w:tab/>
        <w:t xml:space="preserve">informacji objętych żądaniami Szefa KAS, o których mowa w art. </w:t>
      </w:r>
      <w:r w:rsidR="00BA4699">
        <w:rPr>
          <w:rFonts w:ascii="Times New Roman" w:hAnsi="Times New Roman"/>
          <w:bCs/>
          <w:sz w:val="24"/>
          <w:szCs w:val="24"/>
          <w:lang w:eastAsia="pl-PL"/>
        </w:rPr>
        <w:t>709</w:t>
      </w:r>
      <w:r w:rsidR="002D3689" w:rsidRPr="009A3C86">
        <w:rPr>
          <w:rFonts w:ascii="Times New Roman" w:hAnsi="Times New Roman"/>
          <w:bCs/>
          <w:sz w:val="24"/>
          <w:szCs w:val="24"/>
          <w:lang w:eastAsia="pl-PL"/>
        </w:rPr>
        <w:t xml:space="preserve"> § </w:t>
      </w:r>
      <w:r w:rsidR="00D819A6" w:rsidRPr="009A3C86">
        <w:rPr>
          <w:rFonts w:ascii="Times New Roman" w:hAnsi="Times New Roman"/>
          <w:bCs/>
          <w:sz w:val="24"/>
          <w:szCs w:val="24"/>
          <w:lang w:eastAsia="pl-PL"/>
        </w:rPr>
        <w:t>10</w:t>
      </w:r>
      <w:r w:rsidRPr="009A3C86">
        <w:rPr>
          <w:rFonts w:ascii="Times New Roman" w:hAnsi="Times New Roman"/>
          <w:bCs/>
          <w:sz w:val="24"/>
          <w:szCs w:val="24"/>
          <w:lang w:eastAsia="pl-PL"/>
        </w:rPr>
        <w:t xml:space="preserve">, art. </w:t>
      </w:r>
      <w:r w:rsidR="00A37814">
        <w:rPr>
          <w:rFonts w:ascii="Times New Roman" w:hAnsi="Times New Roman"/>
          <w:bCs/>
          <w:sz w:val="24"/>
          <w:szCs w:val="24"/>
          <w:lang w:eastAsia="pl-PL"/>
        </w:rPr>
        <w:t>716</w:t>
      </w:r>
      <w:r w:rsidRPr="009A3C86">
        <w:rPr>
          <w:rFonts w:ascii="Times New Roman" w:hAnsi="Times New Roman"/>
          <w:bCs/>
          <w:sz w:val="24"/>
          <w:szCs w:val="24"/>
          <w:lang w:eastAsia="pl-PL"/>
        </w:rPr>
        <w:t xml:space="preserve"> § </w:t>
      </w:r>
      <w:r w:rsidR="00D819A6" w:rsidRPr="009A3C86">
        <w:rPr>
          <w:rFonts w:ascii="Times New Roman" w:hAnsi="Times New Roman"/>
          <w:bCs/>
          <w:sz w:val="24"/>
          <w:szCs w:val="24"/>
          <w:lang w:eastAsia="pl-PL"/>
        </w:rPr>
        <w:t>3</w:t>
      </w:r>
      <w:r w:rsidRPr="009A3C86">
        <w:rPr>
          <w:rFonts w:ascii="Times New Roman" w:hAnsi="Times New Roman"/>
          <w:bCs/>
          <w:sz w:val="24"/>
          <w:szCs w:val="24"/>
          <w:lang w:eastAsia="pl-PL"/>
        </w:rPr>
        <w:t xml:space="preserve">, art. </w:t>
      </w:r>
      <w:r w:rsidR="00A37814">
        <w:rPr>
          <w:rFonts w:ascii="Times New Roman" w:hAnsi="Times New Roman"/>
          <w:bCs/>
          <w:sz w:val="24"/>
          <w:szCs w:val="24"/>
          <w:lang w:eastAsia="pl-PL"/>
        </w:rPr>
        <w:t>717</w:t>
      </w:r>
      <w:r w:rsidRPr="009A3C86">
        <w:rPr>
          <w:rFonts w:ascii="Times New Roman" w:hAnsi="Times New Roman"/>
          <w:bCs/>
          <w:sz w:val="24"/>
          <w:szCs w:val="24"/>
          <w:lang w:eastAsia="pl-PL"/>
        </w:rPr>
        <w:t xml:space="preserve"> § </w:t>
      </w:r>
      <w:r w:rsidR="00D819A6" w:rsidRPr="009A3C86">
        <w:rPr>
          <w:rFonts w:ascii="Times New Roman" w:hAnsi="Times New Roman"/>
          <w:bCs/>
          <w:sz w:val="24"/>
          <w:szCs w:val="24"/>
          <w:lang w:eastAsia="pl-PL"/>
        </w:rPr>
        <w:t>3</w:t>
      </w:r>
      <w:r w:rsidRPr="009A3C86">
        <w:rPr>
          <w:rFonts w:ascii="Times New Roman" w:hAnsi="Times New Roman"/>
          <w:bCs/>
          <w:sz w:val="24"/>
          <w:szCs w:val="24"/>
          <w:lang w:eastAsia="pl-PL"/>
        </w:rPr>
        <w:t xml:space="preserve"> i art. </w:t>
      </w:r>
      <w:r w:rsidR="00A37814">
        <w:rPr>
          <w:rFonts w:ascii="Times New Roman" w:hAnsi="Times New Roman"/>
          <w:bCs/>
          <w:sz w:val="24"/>
          <w:szCs w:val="24"/>
          <w:lang w:eastAsia="pl-PL"/>
        </w:rPr>
        <w:t>720</w:t>
      </w:r>
      <w:r w:rsidRPr="009A3C86">
        <w:rPr>
          <w:rFonts w:ascii="Times New Roman" w:hAnsi="Times New Roman"/>
          <w:bCs/>
          <w:sz w:val="24"/>
          <w:szCs w:val="24"/>
          <w:lang w:eastAsia="pl-PL"/>
        </w:rPr>
        <w:t xml:space="preserve"> § 2 Ordynacji podatkowej. </w:t>
      </w:r>
    </w:p>
    <w:p w:rsidR="00DF3E59" w:rsidRPr="009A3C86" w:rsidRDefault="00DF3E59" w:rsidP="00DF3E59">
      <w:pPr>
        <w:spacing w:after="0" w:line="360" w:lineRule="auto"/>
        <w:jc w:val="both"/>
        <w:rPr>
          <w:rFonts w:ascii="Times New Roman" w:hAnsi="Times New Roman"/>
          <w:sz w:val="24"/>
          <w:szCs w:val="24"/>
        </w:rPr>
      </w:pPr>
      <w:r w:rsidRPr="009A3C86">
        <w:rPr>
          <w:rFonts w:ascii="Times New Roman" w:hAnsi="Times New Roman"/>
          <w:sz w:val="24"/>
          <w:szCs w:val="24"/>
        </w:rPr>
        <w:lastRenderedPageBreak/>
        <w:t>W powyższych przypadkach przewidziano karę pozbawienia wolności do lat 5. Jeśli sprawca wymienionych czynów działał nieumyślnie, podlega karze grzywny (</w:t>
      </w:r>
      <w:r w:rsidRPr="009A3C86">
        <w:rPr>
          <w:rFonts w:ascii="Times New Roman" w:hAnsi="Times New Roman"/>
          <w:b/>
          <w:sz w:val="24"/>
          <w:szCs w:val="24"/>
        </w:rPr>
        <w:t xml:space="preserve">art. </w:t>
      </w:r>
      <w:r w:rsidR="00DC5D6F" w:rsidRPr="009A3C86">
        <w:rPr>
          <w:rFonts w:ascii="Times New Roman" w:hAnsi="Times New Roman"/>
          <w:b/>
          <w:sz w:val="24"/>
          <w:szCs w:val="24"/>
        </w:rPr>
        <w:t>794</w:t>
      </w:r>
      <w:r w:rsidRPr="009A3C86">
        <w:rPr>
          <w:rFonts w:ascii="Times New Roman" w:hAnsi="Times New Roman"/>
          <w:b/>
          <w:sz w:val="24"/>
          <w:szCs w:val="24"/>
        </w:rPr>
        <w:t xml:space="preserve"> § 2, art. </w:t>
      </w:r>
      <w:r w:rsidR="00DC5D6F" w:rsidRPr="009A3C86">
        <w:rPr>
          <w:rFonts w:ascii="Times New Roman" w:hAnsi="Times New Roman"/>
          <w:b/>
          <w:sz w:val="24"/>
          <w:szCs w:val="24"/>
        </w:rPr>
        <w:t>795</w:t>
      </w:r>
      <w:r w:rsidRPr="009A3C86">
        <w:rPr>
          <w:rFonts w:ascii="Times New Roman" w:hAnsi="Times New Roman"/>
          <w:b/>
          <w:sz w:val="24"/>
          <w:szCs w:val="24"/>
        </w:rPr>
        <w:t xml:space="preserve"> </w:t>
      </w:r>
      <w:r w:rsidR="00DC5D6F" w:rsidRPr="009A3C86">
        <w:rPr>
          <w:rFonts w:ascii="Times New Roman" w:hAnsi="Times New Roman"/>
          <w:b/>
          <w:sz w:val="24"/>
          <w:szCs w:val="24"/>
        </w:rPr>
        <w:t>§ </w:t>
      </w:r>
      <w:r w:rsidRPr="009A3C86">
        <w:rPr>
          <w:rFonts w:ascii="Times New Roman" w:hAnsi="Times New Roman"/>
          <w:b/>
          <w:sz w:val="24"/>
          <w:szCs w:val="24"/>
        </w:rPr>
        <w:t>2 i</w:t>
      </w:r>
      <w:r w:rsidR="0049069C" w:rsidRPr="009A3C86">
        <w:rPr>
          <w:rFonts w:ascii="Times New Roman" w:hAnsi="Times New Roman"/>
          <w:b/>
          <w:sz w:val="24"/>
          <w:szCs w:val="24"/>
        </w:rPr>
        <w:t> </w:t>
      </w:r>
      <w:r w:rsidRPr="009A3C86">
        <w:rPr>
          <w:rFonts w:ascii="Times New Roman" w:hAnsi="Times New Roman"/>
          <w:b/>
          <w:sz w:val="24"/>
          <w:szCs w:val="24"/>
        </w:rPr>
        <w:t xml:space="preserve">art. </w:t>
      </w:r>
      <w:r w:rsidR="00DC5D6F" w:rsidRPr="009A3C86">
        <w:rPr>
          <w:rFonts w:ascii="Times New Roman" w:hAnsi="Times New Roman"/>
          <w:b/>
          <w:sz w:val="24"/>
          <w:szCs w:val="24"/>
        </w:rPr>
        <w:t>796</w:t>
      </w:r>
      <w:r w:rsidRPr="009A3C86">
        <w:rPr>
          <w:rFonts w:ascii="Times New Roman" w:hAnsi="Times New Roman"/>
          <w:b/>
          <w:sz w:val="24"/>
          <w:szCs w:val="24"/>
        </w:rPr>
        <w:t xml:space="preserve"> § 2 </w:t>
      </w:r>
      <w:r w:rsidRPr="009A3C86">
        <w:rPr>
          <w:rFonts w:ascii="Times New Roman" w:hAnsi="Times New Roman"/>
          <w:sz w:val="24"/>
          <w:szCs w:val="24"/>
        </w:rPr>
        <w:t>Ordynacji podatkowej).</w:t>
      </w:r>
    </w:p>
    <w:p w:rsidR="00DF3E59" w:rsidRPr="009A3C86" w:rsidRDefault="00DF3E59" w:rsidP="00DF3E59">
      <w:pPr>
        <w:spacing w:after="0" w:line="360" w:lineRule="auto"/>
        <w:jc w:val="both"/>
        <w:rPr>
          <w:rFonts w:ascii="Times New Roman" w:hAnsi="Times New Roman"/>
          <w:sz w:val="24"/>
          <w:szCs w:val="24"/>
        </w:rPr>
      </w:pPr>
      <w:r w:rsidRPr="009A3C86">
        <w:rPr>
          <w:rFonts w:ascii="Times New Roman" w:hAnsi="Times New Roman"/>
          <w:sz w:val="24"/>
          <w:szCs w:val="24"/>
        </w:rPr>
        <w:t xml:space="preserve">Powyższe sankcje karne mają za zadanie nie tylko dać podstawę dla ukarania sprawców działań niezgodnych z ustawą, lecz także prewencyjnie odstraszać od ich podejmowania. Dlatego też górne pułapy kary pozbawienia wolności przewidziano na relatywnie wysokim poziomie. Jednocześnie wysokość sankcji karnych, o których mowa w art. </w:t>
      </w:r>
      <w:r w:rsidR="00DC5D6F" w:rsidRPr="009A3C86">
        <w:rPr>
          <w:rFonts w:ascii="Times New Roman" w:hAnsi="Times New Roman"/>
          <w:sz w:val="24"/>
          <w:szCs w:val="24"/>
        </w:rPr>
        <w:t>794</w:t>
      </w:r>
      <w:r w:rsidRPr="009A3C86">
        <w:rPr>
          <w:rFonts w:ascii="Times New Roman" w:hAnsi="Times New Roman"/>
          <w:sz w:val="24"/>
          <w:szCs w:val="24"/>
        </w:rPr>
        <w:t xml:space="preserve"> § 1, art. </w:t>
      </w:r>
      <w:r w:rsidR="00DC5D6F" w:rsidRPr="009A3C86">
        <w:rPr>
          <w:rFonts w:ascii="Times New Roman" w:hAnsi="Times New Roman"/>
          <w:sz w:val="24"/>
          <w:szCs w:val="24"/>
        </w:rPr>
        <w:t>795</w:t>
      </w:r>
      <w:r w:rsidRPr="009A3C86">
        <w:rPr>
          <w:rFonts w:ascii="Times New Roman" w:hAnsi="Times New Roman"/>
          <w:sz w:val="24"/>
          <w:szCs w:val="24"/>
        </w:rPr>
        <w:t xml:space="preserve"> </w:t>
      </w:r>
      <w:r w:rsidR="00DC5D6F" w:rsidRPr="009A3C86">
        <w:rPr>
          <w:rFonts w:ascii="Times New Roman" w:hAnsi="Times New Roman"/>
          <w:sz w:val="24"/>
          <w:szCs w:val="24"/>
        </w:rPr>
        <w:t>§ </w:t>
      </w:r>
      <w:r w:rsidRPr="009A3C86">
        <w:rPr>
          <w:rFonts w:ascii="Times New Roman" w:hAnsi="Times New Roman"/>
          <w:sz w:val="24"/>
          <w:szCs w:val="24"/>
        </w:rPr>
        <w:t xml:space="preserve">1 i art. </w:t>
      </w:r>
      <w:r w:rsidR="00DC5D6F" w:rsidRPr="009A3C86">
        <w:rPr>
          <w:rFonts w:ascii="Times New Roman" w:hAnsi="Times New Roman"/>
          <w:sz w:val="24"/>
          <w:szCs w:val="24"/>
        </w:rPr>
        <w:t>796</w:t>
      </w:r>
      <w:r w:rsidRPr="009A3C86">
        <w:rPr>
          <w:rFonts w:ascii="Times New Roman" w:hAnsi="Times New Roman"/>
          <w:sz w:val="24"/>
          <w:szCs w:val="24"/>
        </w:rPr>
        <w:t xml:space="preserve"> § 1 Ordynacji podatkowej, jest spójna z wysokością sankcji w przepisie art. </w:t>
      </w:r>
      <w:r w:rsidR="00DC5D6F" w:rsidRPr="009A3C86">
        <w:rPr>
          <w:rFonts w:ascii="Times New Roman" w:hAnsi="Times New Roman"/>
          <w:sz w:val="24"/>
          <w:szCs w:val="24"/>
        </w:rPr>
        <w:t>797</w:t>
      </w:r>
      <w:r w:rsidRPr="009A3C86">
        <w:rPr>
          <w:rFonts w:ascii="Times New Roman" w:hAnsi="Times New Roman"/>
          <w:sz w:val="24"/>
          <w:szCs w:val="24"/>
        </w:rPr>
        <w:t xml:space="preserve"> § 1 Ordynacji podatkowej penalizującym ujawnienie informacji objętych tajemnicą skarbową przez osoby obowiązane do zachowania tej tajemnicy.</w:t>
      </w:r>
    </w:p>
    <w:p w:rsidR="006C38A8" w:rsidRPr="009A3C86" w:rsidRDefault="00DF3E59" w:rsidP="004D35CB">
      <w:pPr>
        <w:tabs>
          <w:tab w:val="num" w:pos="720"/>
        </w:tabs>
        <w:spacing w:after="0" w:line="360" w:lineRule="auto"/>
        <w:jc w:val="both"/>
        <w:outlineLvl w:val="2"/>
        <w:rPr>
          <w:rFonts w:ascii="Times New Roman" w:hAnsi="Times New Roman"/>
          <w:bCs/>
          <w:sz w:val="24"/>
          <w:szCs w:val="24"/>
        </w:rPr>
      </w:pPr>
      <w:r w:rsidRPr="009A3C86">
        <w:rPr>
          <w:rFonts w:ascii="Times New Roman" w:hAnsi="Times New Roman"/>
          <w:sz w:val="24"/>
          <w:szCs w:val="24"/>
        </w:rPr>
        <w:t xml:space="preserve">Z kolei </w:t>
      </w:r>
      <w:r w:rsidRPr="009A3C86">
        <w:rPr>
          <w:rFonts w:ascii="Times New Roman" w:hAnsi="Times New Roman"/>
          <w:b/>
          <w:sz w:val="24"/>
          <w:szCs w:val="24"/>
        </w:rPr>
        <w:t xml:space="preserve">art. </w:t>
      </w:r>
      <w:r w:rsidR="00DC5D6F" w:rsidRPr="009A3C86">
        <w:rPr>
          <w:rFonts w:ascii="Times New Roman" w:hAnsi="Times New Roman"/>
          <w:b/>
          <w:sz w:val="24"/>
          <w:szCs w:val="24"/>
        </w:rPr>
        <w:t>797</w:t>
      </w:r>
      <w:r w:rsidRPr="009A3C86">
        <w:rPr>
          <w:rFonts w:ascii="Times New Roman" w:hAnsi="Times New Roman"/>
          <w:sz w:val="24"/>
          <w:szCs w:val="24"/>
        </w:rPr>
        <w:t xml:space="preserve"> przewiduje sankcję za naruszenie tajemnicy skarbowej. Osoba naruszająca tę tajemnicę podlega karze pozbawienia wolności do lat 5. Przepis ten przewiduje tym kwalifikowany oraz uprzywilejowany tego czynu zabronionego.</w:t>
      </w:r>
    </w:p>
    <w:p w:rsidR="00045CB9" w:rsidRPr="009A3C86" w:rsidRDefault="00045CB9" w:rsidP="00045CB9">
      <w:pPr>
        <w:rPr>
          <w:rFonts w:ascii="Times New Roman" w:eastAsia="Times New Roman" w:hAnsi="Times New Roman"/>
          <w:sz w:val="24"/>
          <w:szCs w:val="24"/>
        </w:rPr>
      </w:pPr>
    </w:p>
    <w:p w:rsidR="0006156D" w:rsidRPr="009A3C86" w:rsidRDefault="0006156D" w:rsidP="00463D52">
      <w:pPr>
        <w:spacing w:line="360" w:lineRule="auto"/>
        <w:jc w:val="both"/>
        <w:rPr>
          <w:rFonts w:ascii="Times New Roman" w:hAnsi="Times New Roman"/>
          <w:sz w:val="24"/>
          <w:szCs w:val="24"/>
        </w:rPr>
      </w:pPr>
      <w:r w:rsidRPr="009A3C86">
        <w:rPr>
          <w:rFonts w:ascii="Times New Roman" w:hAnsi="Times New Roman"/>
          <w:sz w:val="24"/>
          <w:szCs w:val="24"/>
        </w:rPr>
        <w:t xml:space="preserve">Zgodnie z </w:t>
      </w:r>
      <w:r w:rsidRPr="009A3C86">
        <w:rPr>
          <w:rFonts w:ascii="Times New Roman" w:hAnsi="Times New Roman"/>
          <w:b/>
          <w:sz w:val="24"/>
          <w:szCs w:val="24"/>
        </w:rPr>
        <w:t xml:space="preserve">art. </w:t>
      </w:r>
      <w:r w:rsidR="00DC5D6F" w:rsidRPr="009A3C86">
        <w:rPr>
          <w:rFonts w:ascii="Times New Roman" w:hAnsi="Times New Roman"/>
          <w:b/>
          <w:sz w:val="24"/>
          <w:szCs w:val="24"/>
        </w:rPr>
        <w:t>798</w:t>
      </w:r>
      <w:r w:rsidRPr="009A3C86">
        <w:rPr>
          <w:rFonts w:ascii="Times New Roman" w:hAnsi="Times New Roman"/>
          <w:sz w:val="24"/>
          <w:szCs w:val="24"/>
        </w:rPr>
        <w:t xml:space="preserve"> projektu, ustawa wchodzi w życie w terminie i na zasadach określonych </w:t>
      </w:r>
      <w:r w:rsidR="006F4707" w:rsidRPr="009A3C86">
        <w:rPr>
          <w:rFonts w:ascii="Times New Roman" w:hAnsi="Times New Roman"/>
          <w:sz w:val="24"/>
          <w:szCs w:val="24"/>
        </w:rPr>
        <w:br/>
      </w:r>
      <w:r w:rsidRPr="009A3C86">
        <w:rPr>
          <w:rFonts w:ascii="Times New Roman" w:hAnsi="Times New Roman"/>
          <w:sz w:val="24"/>
          <w:szCs w:val="24"/>
        </w:rPr>
        <w:t xml:space="preserve">w ustawie z dnia … - Przepisy wprowadzające ustawę – Ordynacja podatkowa i ustawę </w:t>
      </w:r>
      <w:r w:rsidR="006F4707" w:rsidRPr="009A3C86">
        <w:rPr>
          <w:rFonts w:ascii="Times New Roman" w:hAnsi="Times New Roman"/>
          <w:sz w:val="24"/>
          <w:szCs w:val="24"/>
        </w:rPr>
        <w:br/>
      </w:r>
      <w:r w:rsidRPr="009A3C86">
        <w:rPr>
          <w:rFonts w:ascii="Times New Roman" w:hAnsi="Times New Roman"/>
          <w:sz w:val="24"/>
          <w:szCs w:val="24"/>
        </w:rPr>
        <w:t>o Rzeczniku Praw Podatnika.</w:t>
      </w:r>
    </w:p>
    <w:p w:rsidR="006224B7" w:rsidRPr="009A3C86" w:rsidRDefault="006224B7" w:rsidP="00463D52">
      <w:pPr>
        <w:spacing w:line="360" w:lineRule="auto"/>
        <w:jc w:val="both"/>
        <w:rPr>
          <w:rFonts w:ascii="Times New Roman" w:hAnsi="Times New Roman"/>
          <w:sz w:val="24"/>
          <w:szCs w:val="24"/>
        </w:rPr>
      </w:pPr>
      <w:r w:rsidRPr="009A3C86">
        <w:rPr>
          <w:rFonts w:ascii="Times New Roman" w:hAnsi="Times New Roman"/>
          <w:sz w:val="24"/>
          <w:szCs w:val="24"/>
        </w:rPr>
        <w:t xml:space="preserve">Projektowane </w:t>
      </w:r>
      <w:r w:rsidR="00307DF7" w:rsidRPr="009A3C86">
        <w:rPr>
          <w:rFonts w:ascii="Times New Roman" w:hAnsi="Times New Roman"/>
          <w:sz w:val="24"/>
          <w:szCs w:val="24"/>
        </w:rPr>
        <w:t>przepisy wpłyną pozytywnie na d</w:t>
      </w:r>
      <w:r w:rsidR="002147F8" w:rsidRPr="009A3C86">
        <w:rPr>
          <w:rFonts w:ascii="Times New Roman" w:hAnsi="Times New Roman"/>
          <w:sz w:val="24"/>
          <w:szCs w:val="24"/>
        </w:rPr>
        <w:t>ziałalność mikroprzedsiębiorstw</w:t>
      </w:r>
      <w:r w:rsidR="00307DF7" w:rsidRPr="009A3C86">
        <w:rPr>
          <w:rFonts w:ascii="Times New Roman" w:hAnsi="Times New Roman"/>
          <w:sz w:val="24"/>
          <w:szCs w:val="24"/>
        </w:rPr>
        <w:t xml:space="preserve"> oraz małych </w:t>
      </w:r>
      <w:r w:rsidR="006F4707" w:rsidRPr="009A3C86">
        <w:rPr>
          <w:rFonts w:ascii="Times New Roman" w:hAnsi="Times New Roman"/>
          <w:sz w:val="24"/>
          <w:szCs w:val="24"/>
        </w:rPr>
        <w:br/>
      </w:r>
      <w:r w:rsidR="00307DF7" w:rsidRPr="009A3C86">
        <w:rPr>
          <w:rFonts w:ascii="Times New Roman" w:hAnsi="Times New Roman"/>
          <w:sz w:val="24"/>
          <w:szCs w:val="24"/>
        </w:rPr>
        <w:t>i średnich przedsiębiorstw.</w:t>
      </w:r>
      <w:r w:rsidR="002147F8" w:rsidRPr="009A3C86">
        <w:rPr>
          <w:rFonts w:ascii="Times New Roman" w:hAnsi="Times New Roman"/>
          <w:sz w:val="24"/>
          <w:szCs w:val="24"/>
        </w:rPr>
        <w:t xml:space="preserve"> Poprawa relacji między zobowiązanym a organem podatkowym </w:t>
      </w:r>
      <w:r w:rsidR="006F4707" w:rsidRPr="009A3C86">
        <w:rPr>
          <w:rFonts w:ascii="Times New Roman" w:hAnsi="Times New Roman"/>
          <w:sz w:val="24"/>
          <w:szCs w:val="24"/>
        </w:rPr>
        <w:br/>
      </w:r>
      <w:r w:rsidR="002147F8" w:rsidRPr="009A3C86">
        <w:rPr>
          <w:rFonts w:ascii="Times New Roman" w:hAnsi="Times New Roman"/>
          <w:sz w:val="24"/>
          <w:szCs w:val="24"/>
        </w:rPr>
        <w:t>w konsekwencji spowoduje zwiększenie zaufania podatników do organów podatkowych. Propozycje nowych procedur zmniejszą liczbę kontroli u przedsiębiorców, co pozytywnie wpłynie na ich rozwój.</w:t>
      </w:r>
    </w:p>
    <w:p w:rsidR="008D7F39" w:rsidRPr="009A3C86" w:rsidRDefault="0006156D" w:rsidP="0006156D">
      <w:pPr>
        <w:rPr>
          <w:rFonts w:ascii="Times New Roman" w:hAnsi="Times New Roman"/>
          <w:sz w:val="24"/>
          <w:szCs w:val="24"/>
        </w:rPr>
      </w:pPr>
      <w:r w:rsidRPr="009A3C86">
        <w:rPr>
          <w:rFonts w:ascii="Times New Roman" w:hAnsi="Times New Roman"/>
          <w:sz w:val="24"/>
          <w:szCs w:val="24"/>
        </w:rPr>
        <w:t>Projekt ustawy nie jest sprzeczny z prawem Unii Europejskiej.</w:t>
      </w:r>
    </w:p>
    <w:p w:rsidR="00B5585E" w:rsidRPr="009A3C86" w:rsidRDefault="00B5585E" w:rsidP="00463D52">
      <w:pPr>
        <w:spacing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Projekt ustawy nie podlega przedstawieniu właściwym organom i instytucjom Unii Europejskiej, w tym Europejskiemu Bankowi Centralnemu. </w:t>
      </w:r>
    </w:p>
    <w:p w:rsidR="00B5585E" w:rsidRPr="009A3C86" w:rsidRDefault="00B5585E" w:rsidP="00463D52">
      <w:pPr>
        <w:spacing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 xml:space="preserve">Stosownie do art. 5 ustawy z dnia 7 lipca 2005 r. o działalności lobbingowej w procesie stanowienia prawa (Dz. U. </w:t>
      </w:r>
      <w:r w:rsidR="007C4DC1" w:rsidRPr="009A3C86">
        <w:rPr>
          <w:rFonts w:ascii="Times New Roman" w:eastAsia="Times New Roman" w:hAnsi="Times New Roman"/>
          <w:sz w:val="24"/>
          <w:szCs w:val="24"/>
        </w:rPr>
        <w:t xml:space="preserve">z 2017 r. poz. 248) </w:t>
      </w:r>
      <w:r w:rsidRPr="009A3C86">
        <w:rPr>
          <w:rFonts w:ascii="Times New Roman" w:eastAsia="Times New Roman" w:hAnsi="Times New Roman"/>
          <w:sz w:val="24"/>
          <w:szCs w:val="24"/>
        </w:rPr>
        <w:t xml:space="preserve">oraz </w:t>
      </w:r>
      <w:r w:rsidR="001B7BF5" w:rsidRPr="009A3C86">
        <w:rPr>
          <w:rFonts w:ascii="Times New Roman" w:eastAsia="Times New Roman" w:hAnsi="Times New Roman"/>
          <w:sz w:val="24"/>
          <w:szCs w:val="24"/>
        </w:rPr>
        <w:t>§</w:t>
      </w:r>
      <w:r w:rsidRPr="009A3C86">
        <w:rPr>
          <w:rFonts w:ascii="Times New Roman" w:eastAsia="Times New Roman" w:hAnsi="Times New Roman"/>
          <w:sz w:val="24"/>
          <w:szCs w:val="24"/>
        </w:rPr>
        <w:t xml:space="preserve"> 52 </w:t>
      </w:r>
      <w:r w:rsidR="001B7BF5" w:rsidRPr="009A3C86">
        <w:rPr>
          <w:rFonts w:ascii="Times New Roman" w:eastAsia="Times New Roman" w:hAnsi="Times New Roman"/>
          <w:sz w:val="24"/>
          <w:szCs w:val="24"/>
        </w:rPr>
        <w:t>ust.</w:t>
      </w:r>
      <w:r w:rsidRPr="009A3C86">
        <w:rPr>
          <w:rFonts w:ascii="Times New Roman" w:eastAsia="Times New Roman" w:hAnsi="Times New Roman"/>
          <w:sz w:val="24"/>
          <w:szCs w:val="24"/>
        </w:rPr>
        <w:t xml:space="preserve"> 1 uchwały Nr 190 Rady Ministrów z 29 października 2013 r. – Regulamin pracy Rady Ministrów </w:t>
      </w:r>
      <w:r w:rsidR="007C4DC1" w:rsidRPr="009A3C86">
        <w:rPr>
          <w:rFonts w:ascii="Times New Roman" w:eastAsia="Times New Roman" w:hAnsi="Times New Roman"/>
          <w:sz w:val="24"/>
          <w:szCs w:val="24"/>
        </w:rPr>
        <w:t xml:space="preserve">(M. P. z 2016 r. poz. 1006, z późn. zm.) </w:t>
      </w:r>
      <w:r w:rsidRPr="009A3C86">
        <w:rPr>
          <w:rFonts w:ascii="Times New Roman" w:eastAsia="Times New Roman" w:hAnsi="Times New Roman"/>
          <w:sz w:val="24"/>
          <w:szCs w:val="24"/>
        </w:rPr>
        <w:t>projekt ustawy zosta</w:t>
      </w:r>
      <w:r w:rsidR="007C4DC1" w:rsidRPr="009A3C86">
        <w:rPr>
          <w:rFonts w:ascii="Times New Roman" w:eastAsia="Times New Roman" w:hAnsi="Times New Roman"/>
          <w:sz w:val="24"/>
          <w:szCs w:val="24"/>
        </w:rPr>
        <w:t>ł</w:t>
      </w:r>
      <w:r w:rsidRPr="009A3C86">
        <w:rPr>
          <w:rFonts w:ascii="Times New Roman" w:eastAsia="Times New Roman" w:hAnsi="Times New Roman"/>
          <w:sz w:val="24"/>
          <w:szCs w:val="24"/>
        </w:rPr>
        <w:t xml:space="preserve"> udostępniony w BIP Rządowego Centrum Legislacji, </w:t>
      </w:r>
      <w:r w:rsidR="007C49D1" w:rsidRPr="009A3C86">
        <w:rPr>
          <w:rFonts w:ascii="Times New Roman" w:eastAsia="Times New Roman" w:hAnsi="Times New Roman"/>
          <w:sz w:val="24"/>
          <w:szCs w:val="24"/>
        </w:rPr>
        <w:br/>
      </w:r>
      <w:r w:rsidRPr="009A3C86">
        <w:rPr>
          <w:rFonts w:ascii="Times New Roman" w:eastAsia="Times New Roman" w:hAnsi="Times New Roman"/>
          <w:sz w:val="24"/>
          <w:szCs w:val="24"/>
        </w:rPr>
        <w:t>w serwisie Rządowy Proces Legislacji.</w:t>
      </w:r>
      <w:r w:rsidR="00C22FCC" w:rsidRPr="009A3C86">
        <w:rPr>
          <w:rFonts w:ascii="Times New Roman" w:eastAsia="Times New Roman" w:hAnsi="Times New Roman"/>
          <w:sz w:val="24"/>
          <w:szCs w:val="24"/>
        </w:rPr>
        <w:t xml:space="preserve"> </w:t>
      </w:r>
    </w:p>
    <w:p w:rsidR="00C22FCC" w:rsidRPr="009A3C86" w:rsidRDefault="00C22FCC" w:rsidP="00463D52">
      <w:pPr>
        <w:spacing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lastRenderedPageBreak/>
        <w:t>Do projektu ustawy wpłynęł</w:t>
      </w:r>
      <w:r w:rsidR="00DA0295" w:rsidRPr="009A3C86">
        <w:rPr>
          <w:rFonts w:ascii="Times New Roman" w:eastAsia="Times New Roman" w:hAnsi="Times New Roman"/>
          <w:sz w:val="24"/>
          <w:szCs w:val="24"/>
        </w:rPr>
        <w:t>y</w:t>
      </w:r>
      <w:r w:rsidRPr="009A3C86">
        <w:rPr>
          <w:rFonts w:ascii="Times New Roman" w:eastAsia="Times New Roman" w:hAnsi="Times New Roman"/>
          <w:sz w:val="24"/>
          <w:szCs w:val="24"/>
        </w:rPr>
        <w:t xml:space="preserve"> </w:t>
      </w:r>
      <w:r w:rsidR="00DA0295" w:rsidRPr="009A3C86">
        <w:rPr>
          <w:rFonts w:ascii="Times New Roman" w:eastAsia="Times New Roman" w:hAnsi="Times New Roman"/>
          <w:sz w:val="24"/>
          <w:szCs w:val="24"/>
        </w:rPr>
        <w:t>dwa</w:t>
      </w:r>
      <w:r w:rsidRPr="009A3C86">
        <w:rPr>
          <w:rFonts w:ascii="Times New Roman" w:eastAsia="Times New Roman" w:hAnsi="Times New Roman"/>
          <w:sz w:val="24"/>
          <w:szCs w:val="24"/>
        </w:rPr>
        <w:t xml:space="preserve"> zgłoszeni</w:t>
      </w:r>
      <w:r w:rsidR="00DA0295" w:rsidRPr="009A3C86">
        <w:rPr>
          <w:rFonts w:ascii="Times New Roman" w:eastAsia="Times New Roman" w:hAnsi="Times New Roman"/>
          <w:sz w:val="24"/>
          <w:szCs w:val="24"/>
        </w:rPr>
        <w:t>a</w:t>
      </w:r>
      <w:r w:rsidRPr="009A3C86">
        <w:rPr>
          <w:rFonts w:ascii="Times New Roman" w:eastAsia="Times New Roman" w:hAnsi="Times New Roman"/>
          <w:sz w:val="24"/>
          <w:szCs w:val="24"/>
        </w:rPr>
        <w:t xml:space="preserve"> o zainteresowaniu pracami w trybie przepisów ustawy o działalności lobbingowej w procesie stanowienia prawa</w:t>
      </w:r>
      <w:r w:rsidR="00854AF9" w:rsidRPr="009A3C86">
        <w:rPr>
          <w:rFonts w:ascii="Times New Roman" w:eastAsia="Times New Roman" w:hAnsi="Times New Roman"/>
          <w:sz w:val="24"/>
          <w:szCs w:val="24"/>
        </w:rPr>
        <w:t xml:space="preserve">, które </w:t>
      </w:r>
      <w:r w:rsidRPr="009A3C86">
        <w:rPr>
          <w:rFonts w:ascii="Times New Roman" w:eastAsia="Times New Roman" w:hAnsi="Times New Roman"/>
          <w:sz w:val="24"/>
          <w:szCs w:val="24"/>
        </w:rPr>
        <w:t>został</w:t>
      </w:r>
      <w:r w:rsidR="00854AF9" w:rsidRPr="009A3C86">
        <w:rPr>
          <w:rFonts w:ascii="Times New Roman" w:eastAsia="Times New Roman" w:hAnsi="Times New Roman"/>
          <w:sz w:val="24"/>
          <w:szCs w:val="24"/>
        </w:rPr>
        <w:t>y</w:t>
      </w:r>
      <w:r w:rsidRPr="009A3C86">
        <w:rPr>
          <w:rFonts w:ascii="Times New Roman" w:eastAsia="Times New Roman" w:hAnsi="Times New Roman"/>
          <w:sz w:val="24"/>
          <w:szCs w:val="24"/>
        </w:rPr>
        <w:t xml:space="preserve"> </w:t>
      </w:r>
      <w:r w:rsidR="00854AF9" w:rsidRPr="009A3C86">
        <w:rPr>
          <w:rFonts w:ascii="Times New Roman" w:eastAsia="Times New Roman" w:hAnsi="Times New Roman"/>
          <w:sz w:val="24"/>
          <w:szCs w:val="24"/>
        </w:rPr>
        <w:t>udostępnione</w:t>
      </w:r>
      <w:r w:rsidRPr="009A3C86">
        <w:rPr>
          <w:rFonts w:ascii="Times New Roman" w:eastAsia="Times New Roman" w:hAnsi="Times New Roman"/>
          <w:sz w:val="24"/>
          <w:szCs w:val="24"/>
        </w:rPr>
        <w:t xml:space="preserve"> </w:t>
      </w:r>
      <w:r w:rsidR="00854AF9" w:rsidRPr="009A3C86">
        <w:rPr>
          <w:rFonts w:ascii="Times New Roman" w:eastAsia="Times New Roman" w:hAnsi="Times New Roman"/>
          <w:sz w:val="24"/>
          <w:szCs w:val="24"/>
        </w:rPr>
        <w:t>w Biuletynie Informacji Publicznej</w:t>
      </w:r>
      <w:r w:rsidRPr="009A3C86">
        <w:rPr>
          <w:rFonts w:ascii="Times New Roman" w:eastAsia="Times New Roman" w:hAnsi="Times New Roman"/>
          <w:sz w:val="24"/>
          <w:szCs w:val="24"/>
        </w:rPr>
        <w:t>.</w:t>
      </w:r>
    </w:p>
    <w:p w:rsidR="00B5585E" w:rsidRPr="009A3C86" w:rsidRDefault="00B5585E" w:rsidP="00463D52">
      <w:pPr>
        <w:spacing w:line="360" w:lineRule="auto"/>
        <w:jc w:val="both"/>
        <w:rPr>
          <w:rFonts w:ascii="Times New Roman" w:eastAsia="Times New Roman" w:hAnsi="Times New Roman"/>
          <w:sz w:val="24"/>
          <w:szCs w:val="24"/>
        </w:rPr>
      </w:pPr>
      <w:r w:rsidRPr="009A3C86">
        <w:rPr>
          <w:rFonts w:ascii="Times New Roman" w:eastAsia="Times New Roman" w:hAnsi="Times New Roman"/>
          <w:sz w:val="24"/>
          <w:szCs w:val="24"/>
        </w:rPr>
        <w:t>Zawarte w projekcie ustawy regulacje nie stanowią przepisów technicznych w rozumieniu przepisów rozporządzenia Rady Ministrów z 23 grudnia 2002 r. w sprawie sposobu funkcjonowania krajowego systemu notyfikacji norm aktów prawnych, w związku z tym projekt ustawy nie będzie podlegał notyfikacji.</w:t>
      </w:r>
    </w:p>
    <w:p w:rsidR="00C431C3" w:rsidRPr="00D72E74" w:rsidRDefault="00B5585E" w:rsidP="00216DAF">
      <w:pPr>
        <w:rPr>
          <w:rFonts w:ascii="Times New Roman" w:hAnsi="Times New Roman"/>
        </w:rPr>
      </w:pPr>
      <w:r w:rsidRPr="009A3C86">
        <w:rPr>
          <w:rFonts w:ascii="Times New Roman" w:eastAsia="Times New Roman" w:hAnsi="Times New Roman"/>
          <w:sz w:val="24"/>
          <w:szCs w:val="24"/>
        </w:rPr>
        <w:t>Projekt został wpisany do wykazu prac legislacyjnych i programowyc</w:t>
      </w:r>
      <w:r w:rsidR="00B95C99" w:rsidRPr="009A3C86">
        <w:rPr>
          <w:rFonts w:ascii="Times New Roman" w:eastAsia="Times New Roman" w:hAnsi="Times New Roman"/>
          <w:sz w:val="24"/>
          <w:szCs w:val="24"/>
        </w:rPr>
        <w:t>h Rady Ministrów pod numerem UD</w:t>
      </w:r>
      <w:r w:rsidRPr="009A3C86">
        <w:rPr>
          <w:rFonts w:ascii="Times New Roman" w:eastAsia="Times New Roman" w:hAnsi="Times New Roman"/>
          <w:sz w:val="24"/>
          <w:szCs w:val="24"/>
        </w:rPr>
        <w:t>4</w:t>
      </w:r>
      <w:r w:rsidR="0059065B" w:rsidRPr="009A3C86">
        <w:rPr>
          <w:rFonts w:ascii="Times New Roman" w:eastAsia="Times New Roman" w:hAnsi="Times New Roman"/>
          <w:sz w:val="24"/>
          <w:szCs w:val="24"/>
        </w:rPr>
        <w:t>09</w:t>
      </w:r>
      <w:r w:rsidRPr="009A3C86">
        <w:rPr>
          <w:rFonts w:ascii="Times New Roman" w:eastAsia="Times New Roman" w:hAnsi="Times New Roman"/>
          <w:sz w:val="24"/>
          <w:szCs w:val="24"/>
        </w:rPr>
        <w:t>.</w:t>
      </w:r>
      <w:bookmarkStart w:id="95" w:name="_GoBack"/>
      <w:bookmarkEnd w:id="16"/>
      <w:bookmarkEnd w:id="95"/>
    </w:p>
    <w:sectPr w:rsidR="00C431C3" w:rsidRPr="00D72E74" w:rsidSect="00CE6458">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F19" w:rsidRDefault="004D2F19" w:rsidP="00964C27">
      <w:pPr>
        <w:spacing w:after="0" w:line="240" w:lineRule="auto"/>
      </w:pPr>
      <w:r>
        <w:separator/>
      </w:r>
    </w:p>
  </w:endnote>
  <w:endnote w:type="continuationSeparator" w:id="0">
    <w:p w:rsidR="004D2F19" w:rsidRDefault="004D2F19" w:rsidP="0096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S ??">
    <w:altName w:val="MS Gothic"/>
    <w:panose1 w:val="00000000000000000000"/>
    <w:charset w:val="80"/>
    <w:family w:val="auto"/>
    <w:notTrueType/>
    <w:pitch w:val="variable"/>
    <w:sig w:usb0="00000001" w:usb1="08070000" w:usb2="00000010" w:usb3="00000000" w:csb0="00020000"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MS Mincho">
    <w:altName w:val="Yu Gothic UI"/>
    <w:panose1 w:val="02020609040205080304"/>
    <w:charset w:val="80"/>
    <w:family w:val="modern"/>
    <w:pitch w:val="fixed"/>
    <w:sig w:usb0="E00002FF" w:usb1="6AC7FDFB" w:usb2="00000012" w:usb3="00000000" w:csb0="0002009F" w:csb1="00000000"/>
  </w:font>
  <w:font w:name="Times New Roman,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355094"/>
      <w:docPartObj>
        <w:docPartGallery w:val="Page Numbers (Bottom of Page)"/>
        <w:docPartUnique/>
      </w:docPartObj>
    </w:sdtPr>
    <w:sdtEndPr/>
    <w:sdtContent>
      <w:p w:rsidR="00BA4699" w:rsidRDefault="00BA4699">
        <w:pPr>
          <w:pStyle w:val="Stopka"/>
          <w:jc w:val="center"/>
        </w:pPr>
        <w:r>
          <w:rPr>
            <w:noProof/>
          </w:rPr>
          <w:fldChar w:fldCharType="begin"/>
        </w:r>
        <w:r>
          <w:rPr>
            <w:noProof/>
          </w:rPr>
          <w:instrText>PAGE   \* MERGEFORMAT</w:instrText>
        </w:r>
        <w:r>
          <w:rPr>
            <w:noProof/>
          </w:rPr>
          <w:fldChar w:fldCharType="separate"/>
        </w:r>
        <w:r w:rsidR="00415CF7">
          <w:rPr>
            <w:noProof/>
          </w:rPr>
          <w:t>693</w:t>
        </w:r>
        <w:r>
          <w:rPr>
            <w:noProof/>
          </w:rPr>
          <w:fldChar w:fldCharType="end"/>
        </w:r>
      </w:p>
    </w:sdtContent>
  </w:sdt>
  <w:p w:rsidR="00BA4699" w:rsidRDefault="00BA469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F19" w:rsidRDefault="004D2F19" w:rsidP="00964C27">
      <w:pPr>
        <w:spacing w:after="0" w:line="240" w:lineRule="auto"/>
      </w:pPr>
      <w:r>
        <w:separator/>
      </w:r>
    </w:p>
  </w:footnote>
  <w:footnote w:type="continuationSeparator" w:id="0">
    <w:p w:rsidR="004D2F19" w:rsidRDefault="004D2F19" w:rsidP="00964C27">
      <w:pPr>
        <w:spacing w:after="0" w:line="240" w:lineRule="auto"/>
      </w:pPr>
      <w:r>
        <w:continuationSeparator/>
      </w:r>
    </w:p>
  </w:footnote>
  <w:footnote w:id="1">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W ramach konsultacji resortowych realizowanych od 18 marca 2015 r. do 20 maja 2015 r. zgłoszono 206 uwag.</w:t>
      </w:r>
      <w:r w:rsidRPr="00BF4D71">
        <w:rPr>
          <w:b/>
        </w:rPr>
        <w:t xml:space="preserve"> </w:t>
      </w:r>
      <w:r w:rsidRPr="00BF4D71">
        <w:t>Najwięcej uwag zgłoszono do: przedawnienia zobowiązań, niewładczych form załatwiania spraw podatkowych, postępowania podatkowego i zasad ogólnych prawa podatkowego.</w:t>
      </w:r>
    </w:p>
  </w:footnote>
  <w:footnote w:id="2">
    <w:p w:rsidR="00BA4699" w:rsidRDefault="00BA4699" w:rsidP="00964C27">
      <w:pPr>
        <w:suppressAutoHyphens/>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W konsultacjach międzyresortowych</w:t>
      </w:r>
      <w:r w:rsidRPr="00BF4D71">
        <w:rPr>
          <w:rFonts w:ascii="Times New Roman" w:hAnsi="Times New Roman"/>
          <w:b/>
          <w:sz w:val="20"/>
          <w:szCs w:val="20"/>
        </w:rPr>
        <w:t xml:space="preserve"> (</w:t>
      </w:r>
      <w:r w:rsidRPr="00BF4D71">
        <w:rPr>
          <w:rFonts w:ascii="Times New Roman" w:hAnsi="Times New Roman"/>
          <w:sz w:val="20"/>
          <w:szCs w:val="20"/>
        </w:rPr>
        <w:t>od 21 maja 2015 r. do 22 lipca 2015 r.) uwagi zgłosili: Szef Kancelarii Prezesa Rady Ministrów, Rządowe Centrum Legislacji, Minister Gospodarki, Minister Środowiska, Minister Administracji i Cyfryzacji, Szef Agencji Bezpieczeństwa, Prezes Zakładu Ubezpieczeń Społecznych. Dotyczyły one m.in.</w:t>
      </w:r>
      <w:r w:rsidRPr="00BF4D71">
        <w:rPr>
          <w:rFonts w:ascii="Times New Roman" w:hAnsi="Times New Roman"/>
          <w:b/>
          <w:sz w:val="20"/>
          <w:szCs w:val="20"/>
        </w:rPr>
        <w:t xml:space="preserve">: </w:t>
      </w:r>
      <w:r w:rsidRPr="00BF4D71">
        <w:rPr>
          <w:rFonts w:ascii="Times New Roman" w:hAnsi="Times New Roman"/>
          <w:sz w:val="20"/>
          <w:szCs w:val="20"/>
        </w:rPr>
        <w:t>kontroli podatkowej, komunikacji elektronicznej, niewładczych form działania organów, przedawnienia zobowiązań, ulg uznaniowych, klauzuli przeciwko unikaniu opodatkowania, nadpłaty, zaległości oraz zwrotu podatku.</w:t>
      </w:r>
    </w:p>
  </w:footnote>
  <w:footnote w:id="3">
    <w:p w:rsidR="00BA4699" w:rsidRDefault="00BA4699" w:rsidP="00964C27">
      <w:pPr>
        <w:suppressAutoHyphens/>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Konsultacje społeczne prowadzono w okresie</w:t>
      </w:r>
      <w:r w:rsidRPr="00BF4D71">
        <w:rPr>
          <w:rFonts w:ascii="Times New Roman" w:hAnsi="Times New Roman"/>
          <w:b/>
          <w:sz w:val="20"/>
          <w:szCs w:val="20"/>
        </w:rPr>
        <w:t xml:space="preserve"> </w:t>
      </w:r>
      <w:r w:rsidRPr="00BF4D71">
        <w:rPr>
          <w:rFonts w:ascii="Times New Roman" w:hAnsi="Times New Roman"/>
          <w:sz w:val="20"/>
          <w:szCs w:val="20"/>
        </w:rPr>
        <w:t xml:space="preserve">od 21 maja 2015 r. do 22 lipca 2015 r. Uwagi zgłosili: NSZZ „Solidarność”, Konfederacja Lewiatan, Pracodawcy Rzeczypospolitej Polskiej, Krajowa Rada Radców Prawnych, Związek Banków Polskich, Poczta Polska S.A., Kasa Krajowa SKOK, Prezes Naczelnego Sądu Administracyjnego, Prezes Zarządu Polskiej Izby Ubezpieczeń. Łącznie zgłoszono 65 uwag dotyczących: dodatkowych zmian legislacyjnych, zwiększenia ochrony praw podatnika, </w:t>
      </w:r>
      <w:r w:rsidRPr="00BF4D71">
        <w:rPr>
          <w:rFonts w:ascii="Times New Roman" w:hAnsi="Times New Roman"/>
          <w:i/>
          <w:sz w:val="20"/>
          <w:szCs w:val="20"/>
        </w:rPr>
        <w:t>in dubio pro tributario</w:t>
      </w:r>
      <w:r w:rsidRPr="00BF4D71">
        <w:rPr>
          <w:rFonts w:ascii="Times New Roman" w:hAnsi="Times New Roman"/>
          <w:sz w:val="20"/>
          <w:szCs w:val="20"/>
        </w:rPr>
        <w:t>, indywidualnych interpretacji, mediacji, przedawnienia zobowiązań, nadpłaty i zwrotu podatku, postępowania podatkowego, tajemnicy skarbowej, kontroli podatkowej, czynności sprawdzających, klauzuli przeciwko unikaniu opodatkowania.</w:t>
      </w:r>
    </w:p>
  </w:footnote>
  <w:footnote w:id="4">
    <w:p w:rsidR="00BA4699" w:rsidRDefault="00BA4699" w:rsidP="00964C27">
      <w:pPr>
        <w:suppressAutoHyphens/>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KKOPP wystąpiła w styczniu 2015 r. o opinie dotyczące kierunkowych założeń nowej ordynacji podatkowej do 19 autorytetów z zakresu prawa podatkowego (13 profesorów prawa finansowego i podatkowego, 4 doktorów habilitowanych oraz 2 doktorów). </w:t>
      </w:r>
    </w:p>
  </w:footnote>
  <w:footnote w:id="5">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Szczegółowe wyniki konsultacji są zamieszczone na stronie Biuletynu Informacji Publicznej Rządowego Centrum Legislacji w zakładce Rządowy proces legislacyjny </w:t>
      </w:r>
      <w:hyperlink r:id="rId1" w:anchor="12300341" w:history="1">
        <w:r w:rsidRPr="00BF4D71">
          <w:rPr>
            <w:rStyle w:val="Hipercze"/>
          </w:rPr>
          <w:t>http://legislacja.rcl.gov.pl/projekt/12274851/katalog/12300341#12300341</w:t>
        </w:r>
      </w:hyperlink>
      <w:r w:rsidRPr="00BF4D71">
        <w:t>.</w:t>
      </w:r>
    </w:p>
  </w:footnote>
  <w:footnote w:id="6">
    <w:p w:rsidR="00BA4699" w:rsidRPr="00463D52" w:rsidRDefault="00BA4699" w:rsidP="00964C27">
      <w:pPr>
        <w:pStyle w:val="Tekstprzypisudolnego"/>
        <w:suppressAutoHyphens/>
        <w:spacing w:before="60" w:after="60" w:line="240" w:lineRule="auto"/>
        <w:rPr>
          <w:lang w:val="en-US"/>
        </w:rPr>
      </w:pPr>
      <w:r w:rsidRPr="00BF4D71">
        <w:rPr>
          <w:rStyle w:val="Odwoanieprzypisudolnego"/>
        </w:rPr>
        <w:footnoteRef/>
      </w:r>
      <w:r w:rsidRPr="00BF4D71">
        <w:rPr>
          <w:lang w:val="en-US"/>
        </w:rPr>
        <w:t xml:space="preserve"> J</w:t>
      </w:r>
      <w:r w:rsidRPr="00BF4D71">
        <w:rPr>
          <w:bCs/>
          <w:lang w:val="en-US"/>
        </w:rPr>
        <w:t>. Fehér, G. Hulkó, L. Pardavi, Hungarian Tax Code,</w:t>
      </w:r>
      <w:r w:rsidRPr="00BF4D71">
        <w:rPr>
          <w:lang w:val="en-US"/>
        </w:rPr>
        <w:t xml:space="preserve"> Republic (w:) L. Etel, M. Popławski (ed.), Tax Codes Concepts in the Countries of Central and Eastern Europe. Białystok 2016, s. 87 i nast.</w:t>
      </w:r>
    </w:p>
  </w:footnote>
  <w:footnote w:id="7">
    <w:p w:rsidR="00BA4699" w:rsidRPr="00463D52" w:rsidRDefault="00BA4699" w:rsidP="00964C27">
      <w:pPr>
        <w:pStyle w:val="Tekstprzypisudolnego"/>
        <w:suppressAutoHyphens/>
        <w:spacing w:before="60" w:after="60" w:line="240" w:lineRule="auto"/>
        <w:rPr>
          <w:lang w:val="en-US"/>
        </w:rPr>
      </w:pPr>
      <w:r w:rsidRPr="00BF4D71">
        <w:rPr>
          <w:rStyle w:val="Odwoanieprzypisudolnego"/>
        </w:rPr>
        <w:footnoteRef/>
      </w:r>
      <w:r w:rsidRPr="00BF4D71">
        <w:rPr>
          <w:lang w:val="en-US"/>
        </w:rPr>
        <w:t xml:space="preserve"> </w:t>
      </w:r>
      <w:r w:rsidRPr="00BF4D71">
        <w:rPr>
          <w:bCs/>
          <w:lang w:val="en-US"/>
        </w:rPr>
        <w:t xml:space="preserve">M. Karfíková, </w:t>
      </w:r>
      <w:r w:rsidRPr="00BF4D71">
        <w:rPr>
          <w:lang w:val="en-US"/>
        </w:rPr>
        <w:t xml:space="preserve">Czech Tax Procedure Code (w:) L.Etel, M. Popławski, Tax Codes…, </w:t>
      </w:r>
      <w:r w:rsidRPr="00BF4D71">
        <w:rPr>
          <w:i/>
          <w:lang w:val="en-US"/>
        </w:rPr>
        <w:t>op. cit.</w:t>
      </w:r>
      <w:r w:rsidRPr="00BF4D71">
        <w:rPr>
          <w:lang w:val="en-US"/>
        </w:rPr>
        <w:t xml:space="preserve"> s. 121 i nast., a także </w:t>
      </w:r>
      <w:r w:rsidRPr="00BF4D71">
        <w:rPr>
          <w:bCs/>
          <w:lang w:val="en-US"/>
        </w:rPr>
        <w:t xml:space="preserve">R. Boháč, </w:t>
      </w:r>
      <w:r w:rsidRPr="00BF4D71">
        <w:rPr>
          <w:lang w:val="en-US"/>
        </w:rPr>
        <w:t xml:space="preserve">The Difficulties of Tax Law Codification in the Czech Republic (w:) L. Etel, M. Popławski, Tax Codes…,  </w:t>
      </w:r>
      <w:r w:rsidRPr="00BF4D71">
        <w:rPr>
          <w:i/>
          <w:lang w:val="en-US"/>
        </w:rPr>
        <w:t>op.cit.</w:t>
      </w:r>
      <w:r w:rsidRPr="00BF4D71">
        <w:rPr>
          <w:lang w:val="en-US"/>
        </w:rPr>
        <w:t xml:space="preserve">, s. 109 i nast. </w:t>
      </w:r>
    </w:p>
  </w:footnote>
  <w:footnote w:id="8">
    <w:p w:rsidR="00BA4699" w:rsidRPr="00463D52" w:rsidRDefault="00BA4699" w:rsidP="00964C27">
      <w:pPr>
        <w:suppressAutoHyphens/>
        <w:autoSpaceDE w:val="0"/>
        <w:autoSpaceDN w:val="0"/>
        <w:adjustRightInd w:val="0"/>
        <w:spacing w:before="60" w:after="60" w:line="240" w:lineRule="auto"/>
        <w:jc w:val="both"/>
        <w:rPr>
          <w:lang w:val="en-US"/>
        </w:rPr>
      </w:pPr>
      <w:r w:rsidRPr="00BF4D71">
        <w:rPr>
          <w:rStyle w:val="Odwoanieprzypisudolnego"/>
          <w:sz w:val="20"/>
          <w:szCs w:val="20"/>
        </w:rPr>
        <w:footnoteRef/>
      </w:r>
      <w:r w:rsidRPr="00BF4D71">
        <w:rPr>
          <w:rFonts w:ascii="Times New Roman" w:hAnsi="Times New Roman"/>
          <w:sz w:val="20"/>
          <w:szCs w:val="20"/>
          <w:lang w:val="en-US"/>
        </w:rPr>
        <w:t xml:space="preserve"> </w:t>
      </w:r>
      <w:r w:rsidRPr="00BF4D71">
        <w:rPr>
          <w:rFonts w:ascii="Times New Roman" w:hAnsi="Times New Roman"/>
          <w:bCs/>
          <w:sz w:val="20"/>
          <w:szCs w:val="20"/>
          <w:lang w:val="en-US"/>
        </w:rPr>
        <w:t xml:space="preserve">V. Babčák, </w:t>
      </w:r>
      <w:r w:rsidRPr="00BF4D71">
        <w:rPr>
          <w:rFonts w:ascii="Times New Roman" w:hAnsi="Times New Roman"/>
          <w:sz w:val="20"/>
          <w:szCs w:val="20"/>
          <w:lang w:val="en-US"/>
        </w:rPr>
        <w:t xml:space="preserve">Tax Code in Slovakia (w:) L. Etel, M. Popławski, Tax Codes…, </w:t>
      </w:r>
      <w:r w:rsidRPr="00BF4D71">
        <w:rPr>
          <w:rFonts w:ascii="Times New Roman" w:hAnsi="Times New Roman"/>
          <w:i/>
          <w:sz w:val="20"/>
          <w:szCs w:val="20"/>
          <w:lang w:val="en-US"/>
        </w:rPr>
        <w:t>op.cit.</w:t>
      </w:r>
      <w:r w:rsidRPr="00BF4D71">
        <w:rPr>
          <w:rFonts w:ascii="Times New Roman" w:hAnsi="Times New Roman"/>
          <w:sz w:val="20"/>
          <w:szCs w:val="20"/>
          <w:lang w:val="en-US"/>
        </w:rPr>
        <w:t xml:space="preserve"> s. 51 i nast.</w:t>
      </w:r>
    </w:p>
  </w:footnote>
  <w:footnote w:id="9">
    <w:p w:rsidR="00BA4699" w:rsidRPr="00463D52" w:rsidRDefault="00BA4699" w:rsidP="00964C27">
      <w:pPr>
        <w:suppressAutoHyphens/>
        <w:autoSpaceDE w:val="0"/>
        <w:autoSpaceDN w:val="0"/>
        <w:adjustRightInd w:val="0"/>
        <w:spacing w:before="60" w:after="60" w:line="240" w:lineRule="auto"/>
        <w:jc w:val="both"/>
        <w:rPr>
          <w:lang w:val="en-US"/>
        </w:rPr>
      </w:pPr>
      <w:r w:rsidRPr="00BF4D71">
        <w:rPr>
          <w:rStyle w:val="Odwoanieprzypisudolnego"/>
          <w:sz w:val="20"/>
          <w:szCs w:val="20"/>
        </w:rPr>
        <w:footnoteRef/>
      </w:r>
      <w:r w:rsidRPr="00BF4D71">
        <w:rPr>
          <w:rFonts w:ascii="Times New Roman" w:hAnsi="Times New Roman"/>
          <w:sz w:val="20"/>
          <w:szCs w:val="20"/>
          <w:lang w:val="en-US"/>
        </w:rPr>
        <w:t xml:space="preserve"> </w:t>
      </w:r>
      <w:r w:rsidRPr="00BF4D71">
        <w:rPr>
          <w:rFonts w:ascii="Times New Roman" w:hAnsi="Times New Roman"/>
          <w:bCs/>
          <w:sz w:val="20"/>
          <w:szCs w:val="20"/>
          <w:lang w:val="en-US"/>
        </w:rPr>
        <w:t xml:space="preserve">B. Sudavičius, M. Endrjaitis, </w:t>
      </w:r>
      <w:r w:rsidRPr="00BF4D71">
        <w:rPr>
          <w:rFonts w:ascii="Times New Roman" w:hAnsi="Times New Roman"/>
          <w:sz w:val="20"/>
          <w:szCs w:val="20"/>
          <w:lang w:val="en-US"/>
        </w:rPr>
        <w:t xml:space="preserve">Law on Tax Administration. The Tax Ordinance Act of the Republic of Lithuania (w:) L. Etel, M. Popławski, Tax Codes…, </w:t>
      </w:r>
      <w:r w:rsidRPr="00BF4D71">
        <w:rPr>
          <w:rFonts w:ascii="Times New Roman" w:hAnsi="Times New Roman"/>
          <w:i/>
          <w:sz w:val="20"/>
          <w:szCs w:val="20"/>
          <w:lang w:val="en-US"/>
        </w:rPr>
        <w:t>op.cit.</w:t>
      </w:r>
      <w:r w:rsidRPr="00BF4D71">
        <w:rPr>
          <w:rFonts w:ascii="Times New Roman" w:hAnsi="Times New Roman"/>
          <w:sz w:val="20"/>
          <w:szCs w:val="20"/>
          <w:lang w:val="en-US"/>
        </w:rPr>
        <w:t xml:space="preserve"> s. 51 i nast.</w:t>
      </w:r>
    </w:p>
  </w:footnote>
  <w:footnote w:id="10">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Zob. ustawa z dnia 15 marca 1934 r. - Ordynacja podatkowa (Dz.U. R.P. Nr 39, poz. 346 z późn. zm.).</w:t>
      </w:r>
    </w:p>
  </w:footnote>
  <w:footnote w:id="11">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Wcześniej tego typu akty były przyjęte w Niemczech (1919 r.) i Czechosłowacji (1927 r.).</w:t>
      </w:r>
    </w:p>
  </w:footnote>
  <w:footnote w:id="12">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Dz.U. Nr 27, poz. 173.</w:t>
      </w:r>
    </w:p>
  </w:footnote>
  <w:footnote w:id="13">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Dz.U. z 1963 r. Nr 27, poz. 174.</w:t>
      </w:r>
    </w:p>
  </w:footnote>
  <w:footnote w:id="14">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Dz.U. Nr 32, poz. 140.</w:t>
      </w:r>
    </w:p>
  </w:footnote>
  <w:footnote w:id="15">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Dz.U. Nr 49, poz. 452.</w:t>
      </w:r>
    </w:p>
  </w:footnote>
  <w:footnote w:id="16">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Dz.U. Nr 27, poz. 111.</w:t>
      </w:r>
    </w:p>
  </w:footnote>
  <w:footnote w:id="17">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Dz.U. Nr 83, poz. 930. </w:t>
      </w:r>
    </w:p>
  </w:footnote>
  <w:footnote w:id="18">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Zob. Ordynacja podatkowa. Uzasadnienie rządowe, Bielsko-Biała 1998.</w:t>
      </w:r>
    </w:p>
  </w:footnote>
  <w:footnote w:id="19">
    <w:p w:rsidR="00BA4699" w:rsidRDefault="00BA4699" w:rsidP="00964C27">
      <w:pPr>
        <w:pStyle w:val="Tekstprzypisudolnego"/>
        <w:suppressAutoHyphens/>
        <w:spacing w:before="60" w:after="60" w:line="240" w:lineRule="auto"/>
      </w:pPr>
      <w:r w:rsidRPr="00BF4D71">
        <w:rPr>
          <w:rStyle w:val="Odwoanieprzypisudolnego"/>
        </w:rPr>
        <w:footnoteRef/>
      </w:r>
      <w:r w:rsidRPr="00463D52">
        <w:t xml:space="preserve"> </w:t>
      </w:r>
      <w:r w:rsidRPr="00463D52">
        <w:rPr>
          <w:i/>
        </w:rPr>
        <w:t>Ibidem</w:t>
      </w:r>
      <w:r w:rsidRPr="00463D52">
        <w:t>, s. 117.</w:t>
      </w:r>
    </w:p>
  </w:footnote>
  <w:footnote w:id="20">
    <w:p w:rsidR="00BA4699" w:rsidRDefault="00BA4699" w:rsidP="00964C27">
      <w:pPr>
        <w:pStyle w:val="Tekstprzypisudolnego"/>
        <w:suppressAutoHyphens/>
        <w:spacing w:before="60" w:after="60" w:line="240" w:lineRule="auto"/>
      </w:pPr>
      <w:r w:rsidRPr="00BF4D71">
        <w:rPr>
          <w:rStyle w:val="Odwoanieprzypisudolnego"/>
        </w:rPr>
        <w:footnoteRef/>
      </w:r>
      <w:r w:rsidRPr="00463D52">
        <w:t xml:space="preserve"> </w:t>
      </w:r>
      <w:r w:rsidRPr="00463D52">
        <w:rPr>
          <w:i/>
        </w:rPr>
        <w:t>Ibidem</w:t>
      </w:r>
      <w:r w:rsidRPr="00463D52">
        <w:t>, s. 118.</w:t>
      </w:r>
    </w:p>
  </w:footnote>
  <w:footnote w:id="21">
    <w:p w:rsidR="00BA4699" w:rsidRDefault="00BA4699" w:rsidP="00964C27">
      <w:pPr>
        <w:pStyle w:val="Tekstprzypisudolnego"/>
        <w:suppressAutoHyphens/>
        <w:spacing w:before="60" w:after="60" w:line="240" w:lineRule="auto"/>
      </w:pPr>
      <w:r w:rsidRPr="00BF4D71">
        <w:rPr>
          <w:rStyle w:val="Odwoanieprzypisudolnego"/>
        </w:rPr>
        <w:footnoteRef/>
      </w:r>
      <w:r w:rsidRPr="00463D52">
        <w:t xml:space="preserve"> M.P. Nr 18, poz. 134. </w:t>
      </w:r>
    </w:p>
  </w:footnote>
  <w:footnote w:id="22">
    <w:p w:rsidR="00BA4699" w:rsidRPr="00463D52" w:rsidRDefault="00BA4699" w:rsidP="00964C27">
      <w:pPr>
        <w:pStyle w:val="Tekstprzypisudolnego"/>
        <w:suppressAutoHyphens/>
        <w:spacing w:before="60" w:after="60" w:line="240" w:lineRule="auto"/>
        <w:rPr>
          <w:lang w:val="en-US"/>
        </w:rPr>
      </w:pPr>
      <w:r w:rsidRPr="00BF4D71">
        <w:rPr>
          <w:rStyle w:val="Odwoanieprzypisudolnego"/>
        </w:rPr>
        <w:footnoteRef/>
      </w:r>
      <w:r w:rsidRPr="00BF4D71">
        <w:rPr>
          <w:lang w:val="en-US"/>
        </w:rPr>
        <w:t xml:space="preserve"> V. Thuronyi, </w:t>
      </w:r>
      <w:r w:rsidRPr="00BF4D71">
        <w:rPr>
          <w:i/>
          <w:lang w:val="en-US"/>
        </w:rPr>
        <w:t>Comparative Tax Law</w:t>
      </w:r>
      <w:r w:rsidRPr="00BF4D71">
        <w:rPr>
          <w:rFonts w:eastAsia="SimSun"/>
          <w:lang w:val="en-US"/>
        </w:rPr>
        <w:t>, The Hague 2003,</w:t>
      </w:r>
      <w:r w:rsidRPr="00BF4D71">
        <w:rPr>
          <w:lang w:val="en-US"/>
        </w:rPr>
        <w:t xml:space="preserve"> s. 34.</w:t>
      </w:r>
    </w:p>
  </w:footnote>
  <w:footnote w:id="23">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Proces ten jest  widoczny zwłaszcza w państwach tworzących Wspólnotę Niepodległych Państw. Tam niemal powszechnie zdecydowano się na kompletną kodyfikację prawa podatkowego – zob. D. Szczekin, Nałogowoje prawo gosudarstw - uczastnikow SNG (obszczaja czast), Moskwa 2008, s. 8 i nast. Zob. też postanowienie Międzyparlamentarnego Zespołu Państw-Członków WNP z dnia 9 grudnia 2000 r. – Modelowy kodeks podatkowy dla Państw-Członków WNP. Model ten jest ciągle doskonalony. Ostania modyfikacja miała miejsce 29 listopada 2013 r.</w:t>
      </w:r>
    </w:p>
  </w:footnote>
  <w:footnote w:id="24">
    <w:p w:rsidR="00BA4699" w:rsidRPr="00463D52" w:rsidRDefault="00BA4699" w:rsidP="00964C27">
      <w:pPr>
        <w:pStyle w:val="Tekstprzypisudolnego"/>
        <w:suppressAutoHyphens/>
        <w:spacing w:before="60" w:after="60" w:line="240" w:lineRule="auto"/>
        <w:rPr>
          <w:lang w:val="en-US"/>
        </w:rPr>
      </w:pPr>
      <w:r w:rsidRPr="00BF4D71">
        <w:rPr>
          <w:rStyle w:val="Odwoanieprzypisudolnego"/>
        </w:rPr>
        <w:footnoteRef/>
      </w:r>
      <w:r w:rsidRPr="00BF4D71">
        <w:t xml:space="preserve"> B. Brzeziński, Ordynacja podatkowa – perspektywy zmian, „Prawo i Podatki” 2006, nr 1; B. Brzeziński, Ordynacja podatkowa w świetle kryteriów oceny jakości aktów normatywnych (w:) R. Dowgier (red.), Ordynacja podatkowa. Wokół nowelizacji, Białystok 2009, s. 23 i nast.; G. Gołębiowski (red.), H. Dzwonkowski (red.), Konferencja „Zmiany w Ordynacji podatkowej. Poprawa jakości i uproszczenia”, Warszawa, 8 stycznia 2013 r.; C. Kosikowski, Ogólny kodeks daninowy zamiast ordynacji podatkowej, „Przegląd Podatkowy” 2014, nr 9; R. Dowgier, Ordynacja podatkowa w praktyce gminnych organów podatkowych - stan obecny i kierunki zmian, Warszawa 2014; R. Mastalski (w:) B. Adamiak, J. Borkowski, R. Mastalski, J. Zubrzycki, Ordynacja podatkowa. </w:t>
      </w:r>
      <w:r w:rsidRPr="00BF4D71">
        <w:rPr>
          <w:lang w:val="en-US"/>
        </w:rPr>
        <w:t>Komentarz 2014, Wrocław 2014, s. 5 i nast.</w:t>
      </w:r>
    </w:p>
  </w:footnote>
  <w:footnote w:id="25">
    <w:p w:rsidR="00BA4699" w:rsidRDefault="00BA4699" w:rsidP="00964C27">
      <w:pPr>
        <w:pStyle w:val="Tekstprzypisudolnego"/>
        <w:suppressAutoHyphens/>
        <w:spacing w:before="60" w:after="60" w:line="240" w:lineRule="auto"/>
      </w:pPr>
      <w:r w:rsidRPr="00BF4D71">
        <w:rPr>
          <w:rStyle w:val="Odwoanieprzypisudolnego"/>
        </w:rPr>
        <w:footnoteRef/>
      </w:r>
      <w:r w:rsidRPr="00BF4D71">
        <w:rPr>
          <w:lang w:val="en-US"/>
        </w:rPr>
        <w:t xml:space="preserve"> </w:t>
      </w:r>
      <w:r w:rsidRPr="00BF4D71">
        <w:rPr>
          <w:bCs/>
          <w:lang w:val="en-US"/>
        </w:rPr>
        <w:t xml:space="preserve">Code of the Republic of Taxastan. A Hypothetical Tax Law. </w:t>
      </w:r>
      <w:r w:rsidRPr="00BF4D71">
        <w:rPr>
          <w:lang w:val="en-US"/>
        </w:rPr>
        <w:t xml:space="preserve">Prepared by the IMF Legal Department, September 29, 2000. </w:t>
      </w:r>
      <w:r w:rsidRPr="00BF4D71">
        <w:t>Modelowy kodeks podatkowy CIAT (Centro Interamericano de Administraciones Tributarias) (</w:t>
      </w:r>
      <w:hyperlink r:id="rId2" w:history="1">
        <w:r w:rsidRPr="00BF4D71">
          <w:rPr>
            <w:rStyle w:val="Hipercze"/>
          </w:rPr>
          <w:t>http://www.ciat.org/index.php/en/products-and-services/ciatdata/tax-rates/145.html?task=view</w:t>
        </w:r>
      </w:hyperlink>
      <w:r w:rsidRPr="00BF4D71">
        <w:t xml:space="preserve"> postanowienie Międzyparlamentarnego Zespołu Państw-Członków WNP z dnia 9 grudnia 2000 r. – Modelowy kodeks podatkowy dla Państw-Członków WNP.</w:t>
      </w:r>
    </w:p>
  </w:footnote>
  <w:footnote w:id="26">
    <w:p w:rsidR="00BA4699" w:rsidRDefault="00BA4699" w:rsidP="00964C27">
      <w:pPr>
        <w:pStyle w:val="Tekstprzypisudolnego"/>
        <w:spacing w:before="60" w:after="60" w:line="240" w:lineRule="auto"/>
      </w:pPr>
      <w:r w:rsidRPr="00BF4D71">
        <w:rPr>
          <w:rStyle w:val="Odwoanieprzypisudolnego"/>
        </w:rPr>
        <w:footnoteRef/>
      </w:r>
      <w:r w:rsidRPr="00BF4D71">
        <w:t xml:space="preserve"> Zasady techniki prawodawczej są zawarte w rozporządzeniu Prezesa Rady Ministrów z dnia 20 czerwca 2002 r. w sprawie „Zasad techniki prawodawczej” (Dz.U. z 2016 r. poz. 283).</w:t>
      </w:r>
    </w:p>
  </w:footnote>
  <w:footnote w:id="27">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Ustawa z dnia 16 listopada 2016 r. o Krajowej Administracji Skarbowej (Dz.U. poz. 1947).</w:t>
      </w:r>
    </w:p>
  </w:footnote>
  <w:footnote w:id="28">
    <w:p w:rsidR="00BA4699" w:rsidRDefault="00BA4699" w:rsidP="00964C27">
      <w:pPr>
        <w:pStyle w:val="Tekstprzypisudolnego"/>
        <w:suppressAutoHyphens/>
        <w:spacing w:before="60" w:after="60" w:line="240" w:lineRule="auto"/>
      </w:pPr>
      <w:r w:rsidRPr="00BF4D71">
        <w:rPr>
          <w:rStyle w:val="Odwoanieprzypisudolnego"/>
        </w:rPr>
        <w:footnoteRef/>
      </w:r>
      <w:r w:rsidRPr="00BF4D71">
        <w:t xml:space="preserve"> B. Brzeziński, Zasady ogólne prawa podatkowego a założenia nowej ordynacji podatkowej, „Przegląd Orzecznictwa Podatkowego” 2016, nr 3.</w:t>
      </w:r>
    </w:p>
  </w:footnote>
  <w:footnote w:id="29">
    <w:p w:rsidR="00BA4699" w:rsidRDefault="00BA4699" w:rsidP="00A0038F">
      <w:pPr>
        <w:pStyle w:val="Tekstprzypisudolnego"/>
        <w:spacing w:before="60" w:after="60" w:line="240" w:lineRule="auto"/>
      </w:pPr>
      <w:r w:rsidRPr="00BF4D71">
        <w:rPr>
          <w:rStyle w:val="Odwoanieprzypisudolnego"/>
        </w:rPr>
        <w:footnoteRef/>
      </w:r>
      <w:r w:rsidRPr="00BF4D71">
        <w:t xml:space="preserve"> A. Wasilewski, Kodyfikacja prawa administracyjnego. Idea i rzeczywistość, Warszawa 1988, s. 9-10.</w:t>
      </w:r>
    </w:p>
  </w:footnote>
  <w:footnote w:id="30">
    <w:p w:rsidR="00BA4699" w:rsidRDefault="00BA4699" w:rsidP="00A0038F">
      <w:pPr>
        <w:pStyle w:val="Tekstprzypisudolnego"/>
        <w:spacing w:before="60" w:after="60" w:line="240" w:lineRule="auto"/>
      </w:pPr>
      <w:r w:rsidRPr="00BF4D71">
        <w:rPr>
          <w:rStyle w:val="Odwoanieprzypisudolnego"/>
        </w:rPr>
        <w:footnoteRef/>
      </w:r>
      <w:r w:rsidRPr="00BF4D71">
        <w:t xml:space="preserve"> R. Mastalski (w:) B. Adamiak, J. Borkowski, R. Mastalski, J. Zubrzycki, Ordynacja podatkowa. Komentarz 2009, Wrocław 2009, s. 14.</w:t>
      </w:r>
    </w:p>
  </w:footnote>
  <w:footnote w:id="31">
    <w:p w:rsidR="00BA4699" w:rsidRDefault="00BA4699" w:rsidP="00A0038F">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J. Borkowski, Przepisy postępowania podatkowego na tle Kodeksu postępowania administracyjnego, „Przegląd  Podatkowy” 1999, nr 3, s. 4; W. Chróścielewski, Przepisy postępowania administracyjnego ogólnego i postępowania podatkowego a standardy nowoczesnego postępowania administracyjnego (w:) C. Martysz, A. Matan (red.), Pozycja samorządowych kolegiów odwoławczych w postępowaniu administracyjnym, Kraków 2005, s. 39-54.</w:t>
      </w:r>
    </w:p>
  </w:footnote>
  <w:footnote w:id="32">
    <w:p w:rsidR="00BA4699" w:rsidRDefault="00BA4699" w:rsidP="00A0038F">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Zob. W. Olszowy, Decyzja podatkowa, podejmowanie i kontrola, Warszawa 1997, s. 36-37 oraz A. Gomułowicz, J. Małecki, Podatki i prawo podatkowe, Warszawa 2013, s. 364-366.</w:t>
      </w:r>
    </w:p>
  </w:footnote>
  <w:footnote w:id="33">
    <w:p w:rsidR="00BA4699" w:rsidRDefault="00BA4699" w:rsidP="00A0038F">
      <w:pPr>
        <w:pStyle w:val="Tekstprzypisudolnego"/>
        <w:spacing w:before="60" w:after="60" w:line="240" w:lineRule="auto"/>
      </w:pPr>
      <w:r w:rsidRPr="00BF4D71">
        <w:rPr>
          <w:rStyle w:val="Odwoanieprzypisudolnego"/>
        </w:rPr>
        <w:footnoteRef/>
      </w:r>
      <w:r w:rsidRPr="00BF4D71">
        <w:t xml:space="preserve"> B. Brzeziński, W. Nykiel, Uwagi o treści i zakresie pojęcia „procedura podatkowa” (w:) Procedura administracyjna wobec wyzwań współczesności. Księga jubileuszowa poświęcona prof. dr hab. Januszowi Borkowskiemu, Łódź 2004, s. 56.</w:t>
      </w:r>
    </w:p>
  </w:footnote>
  <w:footnote w:id="34">
    <w:p w:rsidR="00BA4699" w:rsidRDefault="00BA4699" w:rsidP="00A0038F">
      <w:pPr>
        <w:pStyle w:val="Tekstprzypisudolnego"/>
        <w:spacing w:before="60" w:after="60" w:line="240" w:lineRule="auto"/>
      </w:pPr>
      <w:r w:rsidRPr="00BF4D71">
        <w:rPr>
          <w:rStyle w:val="Odwoanieprzypisudolnego"/>
        </w:rPr>
        <w:footnoteRef/>
      </w:r>
      <w:r w:rsidRPr="00BF4D71">
        <w:t xml:space="preserve"> B. Brzeziński, W. Nykiel, Reforma systemu podatkowego – aspekty prawne, „Przegląd Podatkowy” 2003, nr 6, s. 5.</w:t>
      </w:r>
    </w:p>
  </w:footnote>
  <w:footnote w:id="35">
    <w:p w:rsidR="00BA4699" w:rsidRDefault="00BA4699" w:rsidP="00A0038F">
      <w:pPr>
        <w:pStyle w:val="Tekstprzypisudolnego"/>
        <w:spacing w:before="60" w:after="60" w:line="240" w:lineRule="auto"/>
      </w:pPr>
      <w:r w:rsidRPr="00BF4D71">
        <w:rPr>
          <w:rStyle w:val="Odwoanieprzypisudolnego"/>
        </w:rPr>
        <w:footnoteRef/>
      </w:r>
      <w:r w:rsidRPr="00BF4D71">
        <w:t xml:space="preserve"> Zob. B. Brzeziński, Ordynacja podatkowa w świetle oceny jakości aktów normatywnych (w:) R. Dowgier (red.), Ordynacja podatkowa. Wokół nowelizacji, Białystok 2009, s. 20. Zob. też art. 31 Modelowego kodeksu podatkowego Międzynarodowego Funduszu Walutowego (Code of the Republic of Taxastan. A Hypothetical Tax Law. Prepared by the IMF Legal Department, September 29, 2000), gdzie reguluje się zagadnienie numerów identyfikacji podatkowej i w tym zakresie określa m.in. procedurę ich nadawania przez organy władzy publicznej i zasady posługiwania się nimi przez podatników. Podobnie kwestia ta jest uregulowana w dziale IV części III niemieckiej ordynacji podatkowej. </w:t>
      </w:r>
    </w:p>
  </w:footnote>
  <w:footnote w:id="36">
    <w:p w:rsidR="00BA4699" w:rsidRDefault="00BA4699" w:rsidP="00A0038F">
      <w:pPr>
        <w:pStyle w:val="Tekstprzypisudolnego"/>
        <w:spacing w:before="60" w:after="60" w:line="240" w:lineRule="auto"/>
      </w:pPr>
      <w:r w:rsidRPr="00BF4D71">
        <w:rPr>
          <w:rStyle w:val="Odwoanieprzypisudolnego"/>
        </w:rPr>
        <w:footnoteRef/>
      </w:r>
      <w:r w:rsidRPr="00BF4D71">
        <w:t xml:space="preserve"> Zob. C. Kosikowski, Ogólny kodeks daninowy zamiast ordynacji podatkowej, „Przegląd Podatkowy” 2014, nr 9. Przeciwnikiem poszerzenia zakresu przedmiotowego ordynacji o postępowanie egzekucyjne jest R. Mastalski - zob. Kierunki zmian ogólnego prawa podatkowego, „Glosa” 1995, nr 1.</w:t>
      </w:r>
    </w:p>
  </w:footnote>
  <w:footnote w:id="37">
    <w:p w:rsidR="00BA4699" w:rsidRDefault="00BA4699" w:rsidP="00A0038F">
      <w:pPr>
        <w:pStyle w:val="Tekstprzypisudolnego"/>
        <w:spacing w:before="60" w:after="60" w:line="240" w:lineRule="auto"/>
      </w:pPr>
      <w:r w:rsidRPr="00BF4D71">
        <w:rPr>
          <w:rStyle w:val="Odwoanieprzypisudolnego"/>
        </w:rPr>
        <w:footnoteRef/>
      </w:r>
      <w:r w:rsidRPr="00BF4D71">
        <w:t xml:space="preserve"> Tekst jedn. Dz.U. z 201</w:t>
      </w:r>
      <w:r>
        <w:t>8</w:t>
      </w:r>
      <w:r w:rsidRPr="00BF4D71">
        <w:t xml:space="preserve"> r. poz. 1</w:t>
      </w:r>
      <w:r>
        <w:t>314</w:t>
      </w:r>
      <w:r w:rsidRPr="00BF4D71">
        <w:t xml:space="preserve"> z późn. zm. - dalej zwana w skrócie u.p.e.a.</w:t>
      </w:r>
    </w:p>
  </w:footnote>
  <w:footnote w:id="38">
    <w:p w:rsidR="00BA4699" w:rsidRDefault="00BA4699" w:rsidP="00A0038F">
      <w:pPr>
        <w:pStyle w:val="Tekstprzypisudolnego"/>
        <w:spacing w:before="60" w:after="60" w:line="240" w:lineRule="auto"/>
      </w:pPr>
      <w:r w:rsidRPr="00BF4D71">
        <w:rPr>
          <w:rStyle w:val="Odwoanieprzypisudolnego"/>
        </w:rPr>
        <w:footnoteRef/>
      </w:r>
      <w:r w:rsidRPr="00BF4D71">
        <w:t xml:space="preserve"> Nie oznacza to oczywiście, że ujęcie przepisów o egzekucji należności podatkowych w ustawie ogólnego prawa podatkowego jest rozwiązaniem nieznanym innym porządkom prawnym. Przykładowo, przepisy takie są zawarte w dziale VI niemieckiej ordynacji podatkowej i części I rozdziale IV rosyjskiego kodeksu podatkowego. W węgierskiej ustawie 2003. évi XCII. törvény az adózás rendjéről regulacja dotycząca egzekucji nie jest kompletna – przepisy te odsyłają w zakresie nieuregulowanym do ustawy o egzekucji sądowej.</w:t>
      </w:r>
    </w:p>
  </w:footnote>
  <w:footnote w:id="39">
    <w:p w:rsidR="00BA4699" w:rsidRDefault="00BA4699" w:rsidP="00A0038F">
      <w:pPr>
        <w:pStyle w:val="Tekstprzypisudolnego"/>
        <w:spacing w:before="60" w:after="60" w:line="240" w:lineRule="auto"/>
      </w:pPr>
      <w:r w:rsidRPr="00BF4D71">
        <w:rPr>
          <w:rStyle w:val="Odwoanieprzypisudolnego"/>
        </w:rPr>
        <w:footnoteRef/>
      </w:r>
      <w:r w:rsidRPr="00BF4D71">
        <w:t xml:space="preserve"> Na argumenty przeciwko traktowaniu prawa karnego skarbowego jak części ogólnego prawa podatkowego wskazuje m.in. R. Mastalski, Prawo podatkowe, Warszawa 2011, s. 171 i nast. </w:t>
      </w:r>
    </w:p>
  </w:footnote>
  <w:footnote w:id="40">
    <w:p w:rsidR="00BA4699" w:rsidRDefault="00BA4699" w:rsidP="00A0038F">
      <w:pPr>
        <w:pStyle w:val="NormalnyWeb"/>
        <w:spacing w:before="60" w:after="60" w:line="240" w:lineRule="auto"/>
        <w:jc w:val="both"/>
      </w:pPr>
      <w:r w:rsidRPr="00BF4D71">
        <w:rPr>
          <w:rStyle w:val="Odwoanieprzypisudolnego"/>
          <w:sz w:val="20"/>
          <w:szCs w:val="20"/>
        </w:rPr>
        <w:footnoteRef/>
      </w:r>
      <w:r w:rsidRPr="00BF4D71">
        <w:rPr>
          <w:sz w:val="20"/>
          <w:szCs w:val="20"/>
          <w:lang w:val="en-US"/>
        </w:rPr>
        <w:t xml:space="preserve"> Zob. np. Tax Code of the </w:t>
      </w:r>
      <w:smartTag w:uri="urn:schemas-microsoft-com:office:smarttags" w:element="place">
        <w:smartTag w:uri="urn:schemas-microsoft-com:office:smarttags" w:element="PlaceType">
          <w:r w:rsidRPr="00BF4D71">
            <w:rPr>
              <w:sz w:val="20"/>
              <w:szCs w:val="20"/>
              <w:lang w:val="en-US"/>
            </w:rPr>
            <w:t>Republic</w:t>
          </w:r>
        </w:smartTag>
        <w:r w:rsidRPr="00BF4D71">
          <w:rPr>
            <w:sz w:val="20"/>
            <w:szCs w:val="20"/>
            <w:lang w:val="en-US"/>
          </w:rPr>
          <w:t xml:space="preserve"> of </w:t>
        </w:r>
        <w:smartTag w:uri="urn:schemas-microsoft-com:office:smarttags" w:element="PlaceName">
          <w:r w:rsidRPr="00BF4D71">
            <w:rPr>
              <w:sz w:val="20"/>
              <w:szCs w:val="20"/>
              <w:lang w:val="en-US"/>
            </w:rPr>
            <w:t>Taxastan</w:t>
          </w:r>
        </w:smartTag>
      </w:smartTag>
      <w:r w:rsidRPr="00BF4D71">
        <w:rPr>
          <w:sz w:val="20"/>
          <w:szCs w:val="20"/>
          <w:lang w:val="en-US"/>
        </w:rPr>
        <w:t xml:space="preserve">. </w:t>
      </w:r>
      <w:r w:rsidRPr="00463D52">
        <w:rPr>
          <w:sz w:val="20"/>
          <w:szCs w:val="20"/>
        </w:rPr>
        <w:t>A Hypothetical Tax Law. Prepared by the IMF Legal Department, September 29, 2000 oraz Modelowy kodeks podatkowy Centro Interamericano de Administraciones Tributarias (CIAT) opracowany w dwóch wersjach z 1997 i 2006 (</w:t>
      </w:r>
      <w:hyperlink r:id="rId3" w:history="1">
        <w:r w:rsidRPr="00463D52">
          <w:rPr>
            <w:rStyle w:val="Hipercze"/>
            <w:sz w:val="20"/>
            <w:szCs w:val="20"/>
          </w:rPr>
          <w:t>http://www.ciat.org/index.php/en/products-and-services/ciatdata/tax-rates/145.html?task=view</w:t>
        </w:r>
      </w:hyperlink>
      <w:r w:rsidRPr="00463D52">
        <w:rPr>
          <w:sz w:val="20"/>
          <w:szCs w:val="20"/>
        </w:rPr>
        <w:t xml:space="preserve">), a także księga druga dział II rozdział I(C) francuskiej ustawy Code général des impôts i część I tytuł III dział 2 Livre des procédures fiscales oraz część III australijskiej ustawy Taxation Administration Act 1953. </w:t>
      </w:r>
      <w:r w:rsidRPr="00BF4D71">
        <w:rPr>
          <w:sz w:val="20"/>
          <w:szCs w:val="20"/>
        </w:rPr>
        <w:t xml:space="preserve">Regulacje dotyczące odpowiedzialności karnej skarbowej zawarte są także w dziale VIII niemieckiej ordynacji podatkowej i części I rozdziale VI rosyjskiego kodeksu podatkowego.  </w:t>
      </w:r>
    </w:p>
  </w:footnote>
  <w:footnote w:id="41">
    <w:p w:rsidR="00BA4699" w:rsidRDefault="00BA4699" w:rsidP="00A0038F">
      <w:pPr>
        <w:pStyle w:val="Tekstprzypisudolnego"/>
        <w:spacing w:before="60" w:after="60" w:line="240" w:lineRule="auto"/>
      </w:pPr>
      <w:r w:rsidRPr="00BF4D71">
        <w:rPr>
          <w:rStyle w:val="Odwoanieprzypisudolnego"/>
        </w:rPr>
        <w:footnoteRef/>
      </w:r>
      <w:r w:rsidRPr="00BF4D71">
        <w:t xml:space="preserve"> Tekst jedn. Dz.U. z 2017 r. poz. 2226 z późn. zm. - dalej zwany w skrócie k.k.s.</w:t>
      </w:r>
    </w:p>
  </w:footnote>
  <w:footnote w:id="42">
    <w:p w:rsidR="00BA4699" w:rsidRDefault="00BA4699" w:rsidP="00A0038F">
      <w:pPr>
        <w:pStyle w:val="Tekstprzypisudolnego"/>
        <w:spacing w:before="60" w:after="60" w:line="240" w:lineRule="auto"/>
      </w:pPr>
      <w:r w:rsidRPr="00BF4D71">
        <w:rPr>
          <w:rStyle w:val="Odwoanieprzypisudolnego"/>
        </w:rPr>
        <w:footnoteRef/>
      </w:r>
      <w:r w:rsidRPr="00BF4D71">
        <w:t xml:space="preserve"> Wprowadzenie Karty Rzetelnego Podatnika postulowało m.in. Ministerstwo Gospodarki, Nowa ordynacja podatkowa – projekt rekomendacji, Warszawa, 4 kwietnia 2014 r., s. 19.</w:t>
      </w:r>
    </w:p>
  </w:footnote>
  <w:footnote w:id="43">
    <w:p w:rsidR="00BA4699" w:rsidRDefault="00BA4699" w:rsidP="00A0038F">
      <w:pPr>
        <w:pStyle w:val="Tekstprzypisudolnego"/>
        <w:spacing w:before="60" w:after="60" w:line="240" w:lineRule="auto"/>
      </w:pPr>
      <w:r w:rsidRPr="00BF4D71">
        <w:rPr>
          <w:rStyle w:val="Odwoanieprzypisudolnego"/>
        </w:rPr>
        <w:footnoteRef/>
      </w:r>
      <w:r w:rsidRPr="00BF4D71">
        <w:t xml:space="preserve"> http://www.sejm.gov.pl, Dr</w:t>
      </w:r>
      <w:r w:rsidRPr="00BF4D71">
        <w:rPr>
          <w:kern w:val="36"/>
        </w:rPr>
        <w:t>uk nr 1183, Rządowy projekt ustawy o zmianie ustawy - Kodeks postępowania administracyjnego oraz niektórych innych ustaw.</w:t>
      </w:r>
      <w:r w:rsidRPr="00BF4D71">
        <w:t xml:space="preserve"> Uzasadnienie projektu ustawy, s. 46.</w:t>
      </w:r>
    </w:p>
  </w:footnote>
  <w:footnote w:id="44">
    <w:p w:rsidR="00BA4699" w:rsidRDefault="00BA4699" w:rsidP="00A0038F">
      <w:pPr>
        <w:pStyle w:val="Akapitzlist1"/>
        <w:spacing w:before="60" w:after="60" w:line="240" w:lineRule="auto"/>
        <w:ind w:left="0"/>
      </w:pPr>
      <w:r w:rsidRPr="00BF4D71">
        <w:rPr>
          <w:rStyle w:val="Odwoanieprzypisudolnego"/>
          <w:sz w:val="20"/>
          <w:szCs w:val="20"/>
        </w:rPr>
        <w:footnoteRef/>
      </w:r>
      <w:r w:rsidRPr="00BF4D71">
        <w:rPr>
          <w:sz w:val="20"/>
          <w:szCs w:val="20"/>
        </w:rPr>
        <w:t xml:space="preserve"> Nie jest to postulat nowy. Przykładowo, na taką konieczność wskazano w powstałym w 2014 r. Raporcie końcowym przygotowanym przez zespół osób, działających pod kierunkiem prof. dr hab. B. Brzezińskiego, zaproszonych przez przewodniczącego Komisji Finansów Publicznych Sejmu RP do prac przygotowawczych dla stworzenia projektu ordynacji podatkowej: „Zespół uważa za niezbędne zrekonstruowanie i uporządkowanie siatki pojęć podstawowych. Kwestia ta wymaga bardziej pogłębionych prac” (s. 3) - zespół działał w składzie: H. Litwińczuk, W. Nykiel, L. Etel, M. Kalinowski, H. Dzwonkowski, A. Nita. </w:t>
      </w:r>
    </w:p>
  </w:footnote>
  <w:footnote w:id="45">
    <w:p w:rsidR="00BA4699" w:rsidRDefault="00BA4699" w:rsidP="00A0038F">
      <w:pPr>
        <w:pStyle w:val="Tekstprzypisudolnego"/>
        <w:spacing w:before="60" w:after="60" w:line="240" w:lineRule="auto"/>
      </w:pPr>
      <w:r w:rsidRPr="00BF4D71">
        <w:rPr>
          <w:rStyle w:val="Odwoanieprzypisudolnego"/>
        </w:rPr>
        <w:footnoteRef/>
      </w:r>
      <w:r w:rsidRPr="00BF4D71">
        <w:t xml:space="preserve"> B. Brzeziński, Podstawy wykładni prawa podatkowego, Gdańsk 2008, s. 66.</w:t>
      </w:r>
    </w:p>
  </w:footnote>
  <w:footnote w:id="46">
    <w:p w:rsidR="00BA4699" w:rsidRDefault="00BA4699" w:rsidP="00A0038F">
      <w:pPr>
        <w:pStyle w:val="Tekstprzypisudolnego"/>
        <w:spacing w:before="60" w:after="60" w:line="240" w:lineRule="auto"/>
      </w:pPr>
      <w:r w:rsidRPr="00BF4D71">
        <w:rPr>
          <w:rStyle w:val="Odwoanieprzypisudolnego"/>
        </w:rPr>
        <w:footnoteRef/>
      </w:r>
      <w:r w:rsidRPr="00BF4D71">
        <w:t xml:space="preserve"> B. Brzeziński, O zasięgu definicji zawartych w Ordynacji podatkowej (w:) Ordynacja podatkowa w teorii i praktyce, L. Etel (red.), Białystok 2008, s. 30; L. Morawski, Zasady wykładni prawa, Toruń 2010, s. 104 i nast.</w:t>
      </w:r>
    </w:p>
  </w:footnote>
  <w:footnote w:id="47">
    <w:p w:rsidR="00BA4699" w:rsidRDefault="00BA4699" w:rsidP="00A0038F">
      <w:pPr>
        <w:pStyle w:val="Tekstprzypisudolnego"/>
        <w:spacing w:before="60" w:after="60" w:line="240" w:lineRule="auto"/>
      </w:pPr>
      <w:r w:rsidRPr="00BF4D71">
        <w:rPr>
          <w:rStyle w:val="Odwoanieprzypisudolnego"/>
        </w:rPr>
        <w:footnoteRef/>
      </w:r>
      <w:r w:rsidRPr="00BF4D71">
        <w:t xml:space="preserve"> „Uznaną regułą wykładni jest odejście od potocznego znaczenia słów i pojęć, gdy prawodawca definiuje je w języku prawnym, tworząc tzw. definicję normatywną” - wyrok NSA z dnia 3 marca 1993 r., SA/Ka 1760/92, „Przegląd Orzecznictwa Podatkowego” 1994, nr 3, poz. 52. „Spośród wszystkich językowych reguł interpretacji tekstu prawnego najsilniejsze są reguły języka prawnego wyrażone w definicjach ustawowych, gdyż przeciw nim nie można zastosować innych reguł językowych” - wyrok NSA z dnia 9 czerwca 1994 r., SA/Po 565/94, niepublikowany - cyt. za: B. Brzeziński, O zasięgu definicji …</w:t>
      </w:r>
      <w:r w:rsidRPr="00BF4D71">
        <w:rPr>
          <w:i/>
          <w:iCs/>
        </w:rPr>
        <w:t xml:space="preserve"> op. cit.</w:t>
      </w:r>
      <w:r w:rsidRPr="00BF4D71">
        <w:t>, s. 30-31.</w:t>
      </w:r>
    </w:p>
  </w:footnote>
  <w:footnote w:id="48">
    <w:p w:rsidR="00BA4699" w:rsidRDefault="00BA4699" w:rsidP="00A0038F">
      <w:pPr>
        <w:pStyle w:val="Tekstprzypisudolnego"/>
        <w:spacing w:before="60" w:after="60" w:line="240" w:lineRule="auto"/>
      </w:pPr>
      <w:r w:rsidRPr="00BF4D71">
        <w:rPr>
          <w:rStyle w:val="Odwoanieprzypisudolnego"/>
        </w:rPr>
        <w:footnoteRef/>
      </w:r>
      <w:r w:rsidRPr="00BF4D71">
        <w:t xml:space="preserve"> B. Brzeziński, O zasięgu definicji…, </w:t>
      </w:r>
      <w:r w:rsidRPr="00BF4D71">
        <w:rPr>
          <w:i/>
          <w:iCs/>
        </w:rPr>
        <w:t>op. cit.</w:t>
      </w:r>
      <w:r w:rsidRPr="00BF4D71">
        <w:t>, s. 30.</w:t>
      </w:r>
    </w:p>
  </w:footnote>
  <w:footnote w:id="49">
    <w:p w:rsidR="00BA4699" w:rsidRDefault="00BA4699" w:rsidP="00A0038F">
      <w:pPr>
        <w:pStyle w:val="Tekstprzypisudolnego"/>
        <w:spacing w:before="60" w:after="60" w:line="240" w:lineRule="auto"/>
      </w:pPr>
      <w:r w:rsidRPr="00BF4D71">
        <w:rPr>
          <w:rStyle w:val="Odwoanieprzypisudolnego"/>
        </w:rPr>
        <w:footnoteRef/>
      </w:r>
      <w:r w:rsidRPr="00BF4D71">
        <w:t xml:space="preserve"> Takie próby były już podejmowane. Przykładowo w 2001 r. zespół roboczy CDiSP pod przewodnictwem W. Nykiela, w składzie: B. Brzeziński, W. Chróścielewski, H. Dzwonkowski, M. Kalinowski, M. Masternak i A. Olesińska przygotował projekt przepisów ogólnych ordynacji podatkowej, który wraz z uzasadnieniem został opublikowany w „Kwartalniku Prawa Podatkowego” 2001, nr 3-4, s. 115-121. Aby zsyntetyzować przepisy, zaproponowano m.in. (art. 3 pkt 5 i 6 projektu) definicje „należność podatkowa” i „zobowiązany”.</w:t>
      </w:r>
    </w:p>
  </w:footnote>
  <w:footnote w:id="50">
    <w:p w:rsidR="00BA4699" w:rsidRDefault="00BA4699" w:rsidP="00A0038F">
      <w:pPr>
        <w:pStyle w:val="Tekstprzypisudolnego"/>
        <w:spacing w:before="60" w:after="60" w:line="240" w:lineRule="auto"/>
      </w:pPr>
      <w:r w:rsidRPr="00BF4D71">
        <w:rPr>
          <w:rStyle w:val="Odwoanieprzypisudolnego"/>
        </w:rPr>
        <w:footnoteRef/>
      </w:r>
      <w:r w:rsidRPr="00BF4D71">
        <w:t xml:space="preserve"> J. Glumińska-Pawlic, Interpretacja przepisów prawa podatkowego jako instrument ochrony interesów podatnika (w:) Doradca podatkowy obrońcą praw podatnika, Katowice 2007, s. 24.</w:t>
      </w:r>
    </w:p>
  </w:footnote>
  <w:footnote w:id="51">
    <w:p w:rsidR="00BA4699" w:rsidRDefault="00BA4699" w:rsidP="00A0038F">
      <w:pPr>
        <w:pStyle w:val="Tekstprzypisudolnego"/>
        <w:spacing w:before="60" w:after="60" w:line="240" w:lineRule="auto"/>
      </w:pPr>
      <w:r w:rsidRPr="00BF4D71">
        <w:rPr>
          <w:rStyle w:val="Odwoanieprzypisudolnego"/>
        </w:rPr>
        <w:footnoteRef/>
      </w:r>
      <w:r w:rsidRPr="00BF4D71">
        <w:t xml:space="preserve"> A. Bielska-Brodziak, Kilka uwag o przyczynach rozbieżności interpretacyjnych (w:) Doradca podatkowy obrońcą praw podatnika, t. II, J. Glumińska-Pawlic (red.), Katowice 2008, s. 9. </w:t>
      </w:r>
    </w:p>
  </w:footnote>
  <w:footnote w:id="52">
    <w:p w:rsidR="00BA4699" w:rsidRDefault="00BA4699" w:rsidP="00A0038F">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T. Bąkowski, P. Bielski, K. Kaszubowski, M. Kokoszczyński, J. Stelina, J. Warylewski, G. Wierczyński, Zasady techniki prawodawczej. Komentarz do rozporządzenia, Warszawa 2003, s. 130.</w:t>
      </w:r>
    </w:p>
  </w:footnote>
  <w:footnote w:id="53">
    <w:p w:rsidR="00BA4699" w:rsidRDefault="00BA4699" w:rsidP="00A0038F">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S. Rozmaryn, Obowiązek podatkowy. Studium krytyczne z zakresu ordynacji podatkowej, „Głos Prawa” 1935, nr 3-4, s. 163 i nast. - cyt. za: M. Kalinowski, Kilka uwag o pojęciu obowiązku i zobowiązania podatkowego w Ordynacji podatkowej z 1934 roku, „Kwartalnik Prawa Podatkowego” 2012, nr 4, s. 10.</w:t>
      </w:r>
    </w:p>
  </w:footnote>
  <w:footnote w:id="54">
    <w:p w:rsidR="00BA4699" w:rsidRDefault="00BA4699" w:rsidP="00A0038F">
      <w:pPr>
        <w:pStyle w:val="Tekstprzypisudolnego"/>
        <w:spacing w:before="60" w:after="60" w:line="240" w:lineRule="auto"/>
      </w:pPr>
      <w:r w:rsidRPr="00BF4D71">
        <w:rPr>
          <w:rStyle w:val="Odwoanieprzypisudolnego"/>
        </w:rPr>
        <w:footnoteRef/>
      </w:r>
      <w:r w:rsidRPr="00BF4D71">
        <w:t xml:space="preserve"> M. Kalinowski, Kilka uwag…, </w:t>
      </w:r>
      <w:r w:rsidRPr="00BF4D71">
        <w:rPr>
          <w:i/>
          <w:iCs/>
        </w:rPr>
        <w:t>op. cit.</w:t>
      </w:r>
      <w:r w:rsidRPr="00BF4D71">
        <w:t>, s. 10.</w:t>
      </w:r>
    </w:p>
  </w:footnote>
  <w:footnote w:id="55">
    <w:p w:rsidR="00BA4699" w:rsidRDefault="00BA4699" w:rsidP="00A0038F">
      <w:pPr>
        <w:pStyle w:val="Tekstprzypisudolnego"/>
        <w:spacing w:before="60" w:after="60" w:line="240" w:lineRule="auto"/>
      </w:pPr>
      <w:r w:rsidRPr="00BF4D71">
        <w:rPr>
          <w:rStyle w:val="Odwoanieprzypisudolnego"/>
        </w:rPr>
        <w:footnoteRef/>
      </w:r>
      <w:r w:rsidRPr="00BF4D71">
        <w:t xml:space="preserve"> </w:t>
      </w:r>
      <w:r w:rsidRPr="00BF4D71">
        <w:rPr>
          <w:i/>
          <w:iCs/>
        </w:rPr>
        <w:t>Ibidem</w:t>
      </w:r>
      <w:r w:rsidRPr="00BF4D71">
        <w:t>, s. 21.</w:t>
      </w:r>
    </w:p>
  </w:footnote>
  <w:footnote w:id="56">
    <w:p w:rsidR="00BA4699" w:rsidRDefault="00BA4699" w:rsidP="00A0038F">
      <w:pPr>
        <w:pStyle w:val="Tekstprzypisudolnego"/>
        <w:spacing w:before="60" w:after="60" w:line="240" w:lineRule="auto"/>
      </w:pPr>
      <w:r w:rsidRPr="00BF4D71">
        <w:rPr>
          <w:rStyle w:val="Odwoanieprzypisudolnego"/>
        </w:rPr>
        <w:footnoteRef/>
      </w:r>
      <w:r w:rsidRPr="00BF4D71">
        <w:t xml:space="preserve"> Na brak spójności pomiędzy definicją obowiązku podatkowego z art. 4 o.p. a regulacjami zawartymi w poszczególnych ustawach podatkowych zwraca uwagę M. Kalinowski, Pojęcie obowiązku i zobowiązania podatkowego w przepisach ogólnych polskiego prawa podatkowego w okresie powojennym, „Kwartalnik Prawa Podatkowego” 2013, nr 2, s. 27 i nast. H. Dzwonkowski wskazuje, że „pojęcie obowiązku podatkowego jest wszechobecne w piśmiennictwie, orzecznictwie i przepisach prawa w bardzo wielu różnych kontekstach” - zob. H. Dzwonkowski (red.), Ordynacja podatkowa. Komentarz, Warszawa 2013, s. 40.</w:t>
      </w:r>
    </w:p>
  </w:footnote>
  <w:footnote w:id="57">
    <w:p w:rsidR="00BA4699" w:rsidRDefault="00BA4699" w:rsidP="00A0038F">
      <w:pPr>
        <w:pStyle w:val="Tekstprzypisudolnego"/>
        <w:spacing w:before="60" w:after="60" w:line="240" w:lineRule="auto"/>
      </w:pPr>
      <w:r w:rsidRPr="00BF4D71">
        <w:rPr>
          <w:rStyle w:val="Odwoanieprzypisudolnego"/>
        </w:rPr>
        <w:footnoteRef/>
      </w:r>
      <w:r w:rsidRPr="00BF4D71">
        <w:t xml:space="preserve"> „Definicja ustawowa obowiązku podatkowego nie ma większego znaczenia praktycznego zważywszy, iż zasadniczą rolę odgrywają w tym względzie ustawy podatkowe normujące poszczególne podatki” - zob. R. Mastalski, (w:) B. Adamiak, J. Borkowski, R. Mastalski, J. Zubrzycki, Ordynacja podatkowa. Komentarz 2009, Wrocław 2009, s. 63. Znaczenie definicji obowiązku podatkowego podważa też B. Brzeziński, O zasięgu definicji zawartych w Ordynacji podatkowej (w:) L. Etel (red.), Ordynacja podatkowa w teorii i praktyce, Białystok 2008, s. 35.</w:t>
      </w:r>
    </w:p>
  </w:footnote>
  <w:footnote w:id="58">
    <w:p w:rsidR="00BA4699" w:rsidRDefault="00BA4699" w:rsidP="00A0038F">
      <w:pPr>
        <w:pStyle w:val="Tekstprzypisudolnego"/>
        <w:spacing w:before="60" w:after="60" w:line="240" w:lineRule="auto"/>
      </w:pPr>
      <w:r w:rsidRPr="00BF4D71">
        <w:rPr>
          <w:rStyle w:val="Odwoanieprzypisudolnego"/>
        </w:rPr>
        <w:footnoteRef/>
      </w:r>
      <w:r w:rsidRPr="00BF4D71">
        <w:t xml:space="preserve"> Taka koncepcja była zgłaszana już krótko po wejściu w życie ordynacji podatkowej. Odejście od definiowania obowiązku podatkowego i powrót do ograniczenia się w ustawie do lakonicznego stwierdzenia, że określają go ustawy, proponował już w 2001 r. zespół roboczy CDiSP pod przewodnictwem W. Nykiela (w składzie: B. Brzeziński, W. Chróścielewski, H. Dzwonkowski, M. Kalinowski, M. Masternak i A. Olesińska), który przygotował projekt przepisów ogólnych ordynacji podatkowej. Zob. art. 10 § 1 projektu, „Kwartalnik Prawa Podatkowego” 2001, nr 3-4, s. 117 i 120.</w:t>
      </w:r>
    </w:p>
  </w:footnote>
  <w:footnote w:id="59">
    <w:p w:rsidR="00BA4699" w:rsidRDefault="00BA4699" w:rsidP="00A0038F">
      <w:pPr>
        <w:pStyle w:val="Tekstprzypisudolnego"/>
        <w:spacing w:before="60" w:after="60" w:line="240" w:lineRule="auto"/>
      </w:pPr>
      <w:r w:rsidRPr="00BF4D71">
        <w:rPr>
          <w:rStyle w:val="Odwoanieprzypisudolnego"/>
        </w:rPr>
        <w:footnoteRef/>
      </w:r>
      <w:r w:rsidRPr="00BF4D71">
        <w:t xml:space="preserve"> H. Dzwonkowski, Powstawanie i wymiar zobowiązań podatkowych, Warszawa 20013, s. 61.</w:t>
      </w:r>
    </w:p>
  </w:footnote>
  <w:footnote w:id="60">
    <w:p w:rsidR="00BA4699" w:rsidRDefault="00BA4699" w:rsidP="00A0038F">
      <w:pPr>
        <w:pStyle w:val="Tekstprzypisudolnego"/>
        <w:spacing w:before="60" w:after="60" w:line="240" w:lineRule="auto"/>
      </w:pPr>
      <w:r w:rsidRPr="00BF4D71">
        <w:rPr>
          <w:rStyle w:val="Odwoanieprzypisudolnego"/>
        </w:rPr>
        <w:footnoteRef/>
      </w:r>
      <w:r w:rsidRPr="00BF4D71">
        <w:t xml:space="preserve"> K. Ostrowski, Prawo finansowe. Zarys ogólny, Warszawa 1970, s. 166.</w:t>
      </w:r>
    </w:p>
  </w:footnote>
  <w:footnote w:id="61">
    <w:p w:rsidR="00BA4699" w:rsidRDefault="00BA4699" w:rsidP="00A0038F">
      <w:pPr>
        <w:pStyle w:val="Tekstprzypisudolnego"/>
        <w:spacing w:before="60" w:after="60" w:line="240" w:lineRule="auto"/>
      </w:pPr>
      <w:r w:rsidRPr="00BF4D71">
        <w:rPr>
          <w:rStyle w:val="Odwoanieprzypisudolnego"/>
        </w:rPr>
        <w:footnoteRef/>
      </w:r>
      <w:r w:rsidRPr="00BF4D71">
        <w:t xml:space="preserve"> C. Kosikowski (w:) C. Kosikowski, J. Brolik, L. Etel, R. Dowgier, P. Pietrasz, M. Popławski, S. Presnarowicz, W. Stachurski, </w:t>
      </w:r>
      <w:r w:rsidRPr="00BF4D71">
        <w:rPr>
          <w:shd w:val="clear" w:color="auto" w:fill="FFFFFF"/>
        </w:rPr>
        <w:t>Ordynacja podatkowa. Komentarz, Warszawa 2013, s. 73.</w:t>
      </w:r>
    </w:p>
  </w:footnote>
  <w:footnote w:id="62">
    <w:p w:rsidR="00BA4699" w:rsidRDefault="00BA4699" w:rsidP="00A0038F">
      <w:pPr>
        <w:pStyle w:val="Tekstprzypisudolnego"/>
        <w:spacing w:before="60" w:after="60" w:line="240" w:lineRule="auto"/>
      </w:pPr>
      <w:r w:rsidRPr="00BF4D71">
        <w:rPr>
          <w:rStyle w:val="Odwoanieprzypisudolnego"/>
        </w:rPr>
        <w:footnoteRef/>
      </w:r>
      <w:r w:rsidRPr="00BF4D71">
        <w:t xml:space="preserve"> J. Gliniecka, Opłaty publiczne (w:) L. Etel (red.) System Prawa Finansowego, t. 3, Prawo daninowe, Warszawa 2010, s. 883 i nast.; J. Gliniecka, Opłaty publiczne. Analiza prawna i funkcjonalna, Bydgoszcz - Gdańsk 2007, s. 13 i nast.; I. Czaja-Hliniak, Prawnofinansowa instytucja dopłat jako forma pozapodatkowych danin publicznych, Kraków 2006, s. 26 i nast.; G. Liszewski, Opłaty samorządowe w Polsce. Problemy praktyczne, Białystok 2010, s. 255.</w:t>
      </w:r>
    </w:p>
  </w:footnote>
  <w:footnote w:id="63">
    <w:p w:rsidR="00BA4699" w:rsidRDefault="00BA4699" w:rsidP="00A0038F">
      <w:pPr>
        <w:pStyle w:val="Tekstprzypisudolnego"/>
        <w:spacing w:before="60" w:after="60" w:line="240" w:lineRule="auto"/>
      </w:pPr>
      <w:r w:rsidRPr="00BF4D71">
        <w:rPr>
          <w:rStyle w:val="Odwoanieprzypisudolnego"/>
        </w:rPr>
        <w:footnoteRef/>
      </w:r>
      <w:r w:rsidRPr="00BF4D71">
        <w:t xml:space="preserve"> M. Kalinowski, </w:t>
      </w:r>
      <w:r w:rsidRPr="00BF4D71">
        <w:rPr>
          <w:kern w:val="36"/>
        </w:rPr>
        <w:t xml:space="preserve">Podmiotowość prawna podatnika, </w:t>
      </w:r>
      <w:r w:rsidRPr="00BF4D71">
        <w:t>Toruń 1999.</w:t>
      </w:r>
    </w:p>
  </w:footnote>
  <w:footnote w:id="64">
    <w:p w:rsidR="00BA4699" w:rsidRDefault="00BA4699" w:rsidP="00A0038F">
      <w:pPr>
        <w:pStyle w:val="Tekstprzypisudolnego"/>
        <w:spacing w:before="60" w:after="60" w:line="240" w:lineRule="auto"/>
      </w:pPr>
      <w:r w:rsidRPr="00BF4D71">
        <w:rPr>
          <w:rStyle w:val="Odwoanieprzypisudolnego"/>
        </w:rPr>
        <w:footnoteRef/>
      </w:r>
      <w:r w:rsidRPr="00BF4D71">
        <w:t xml:space="preserve"> W. Nykiel, A. Mariański, Komentarz do art. 217 Konstytucji RP (w:) M. Safjan, L. Bosek (red.), Konstytucja RP, t. II, Warszawa 2016, s. 1493; R. Mastalski (w:) B. Adamiak, J. Borkowski, R. Mastalski, J. Zubrzycki, Ordynacja podatkowa. Komentarz 2016, Wrocław 2016, s. 9.</w:t>
      </w:r>
    </w:p>
  </w:footnote>
  <w:footnote w:id="65">
    <w:p w:rsidR="00BA4699" w:rsidRDefault="00BA4699" w:rsidP="00A0038F">
      <w:pPr>
        <w:pStyle w:val="Tekstprzypisudolnego"/>
        <w:spacing w:before="60" w:after="60" w:line="240" w:lineRule="auto"/>
      </w:pPr>
      <w:r w:rsidRPr="00BF4D71">
        <w:rPr>
          <w:rStyle w:val="Odwoanieprzypisudolnego"/>
        </w:rPr>
        <w:footnoteRef/>
      </w:r>
      <w:r w:rsidRPr="00BF4D71">
        <w:t xml:space="preserve"> B. Brzeziński, M. Kalinowski, M. Masternak, A. Olesińska, J. Orłowski, Ordynacja podatkowa. Komentarz, Toruń 2007, s. 54.</w:t>
      </w:r>
    </w:p>
  </w:footnote>
  <w:footnote w:id="66">
    <w:p w:rsidR="00BA4699" w:rsidRDefault="00BA4699" w:rsidP="00A0038F">
      <w:pPr>
        <w:pStyle w:val="Tekstprzypisudolnego"/>
        <w:spacing w:before="60" w:after="60" w:line="240" w:lineRule="auto"/>
      </w:pPr>
      <w:r w:rsidRPr="00BF4D71">
        <w:rPr>
          <w:rStyle w:val="Odwoanieprzypisudolnego"/>
        </w:rPr>
        <w:footnoteRef/>
      </w:r>
      <w:r w:rsidRPr="00BF4D71">
        <w:t xml:space="preserve"> W. Nykiel, A. Mariański, Komentarz do art. 217 Konstytucji RP (w:) M. Safjan, L. Bosek (red.), Konstytucja RP, t. II, Warszawa 2016, s. 1493.</w:t>
      </w:r>
    </w:p>
  </w:footnote>
  <w:footnote w:id="67">
    <w:p w:rsidR="00BA4699" w:rsidRDefault="00BA4699" w:rsidP="00A0038F">
      <w:pPr>
        <w:pStyle w:val="Tekstprzypisudolnego"/>
        <w:spacing w:before="60" w:after="60" w:line="240" w:lineRule="auto"/>
      </w:pPr>
      <w:r w:rsidRPr="00BF4D71">
        <w:rPr>
          <w:rStyle w:val="Odwoanieprzypisudolnego"/>
        </w:rPr>
        <w:footnoteRef/>
      </w:r>
      <w:r w:rsidRPr="00BF4D71">
        <w:t xml:space="preserve"> </w:t>
      </w:r>
      <w:r w:rsidRPr="00BF4D71">
        <w:rPr>
          <w:i/>
          <w:iCs/>
        </w:rPr>
        <w:t>Ibidem</w:t>
      </w:r>
      <w:r w:rsidRPr="00BF4D71">
        <w:t>.</w:t>
      </w:r>
    </w:p>
  </w:footnote>
  <w:footnote w:id="68">
    <w:p w:rsidR="00BA4699" w:rsidRDefault="00BA4699" w:rsidP="00A0038F">
      <w:pPr>
        <w:pStyle w:val="Tekstprzypisudolnego"/>
        <w:spacing w:before="60" w:after="60" w:line="240" w:lineRule="auto"/>
      </w:pPr>
      <w:r w:rsidRPr="00BF4D71">
        <w:rPr>
          <w:rStyle w:val="Odwoanieprzypisudolnego"/>
        </w:rPr>
        <w:footnoteRef/>
      </w:r>
      <w:r w:rsidRPr="00BF4D71">
        <w:t xml:space="preserve"> C. Kosikowski (w:) C. Kosikowski, J. Brolik, L. Etel, R. Dowgier, P. Pietrasz, M. Popławski, S. Presnarowicz, W. Stachurski, </w:t>
      </w:r>
      <w:r w:rsidRPr="00BF4D71">
        <w:rPr>
          <w:shd w:val="clear" w:color="auto" w:fill="FFFFFF"/>
        </w:rPr>
        <w:t>Ordynacja podatkowa. Komentarz, Warszawa 2013,</w:t>
      </w:r>
      <w:r w:rsidRPr="00BF4D71">
        <w:t xml:space="preserve"> s. 51; R. Mastalski (w:) B. Adamiak, J. Borkowski, R. Mastalski, J. Zubrzycki, Ordynacja podatkowa. Komentarz 2016, Wrocław 2016, s. 47 i 85.</w:t>
      </w:r>
    </w:p>
  </w:footnote>
  <w:footnote w:id="69">
    <w:p w:rsidR="00BA4699" w:rsidRDefault="00BA4699" w:rsidP="00A0038F">
      <w:pPr>
        <w:pStyle w:val="Tekstprzypisudolnego"/>
        <w:spacing w:before="60" w:after="60" w:line="240" w:lineRule="auto"/>
      </w:pPr>
      <w:r w:rsidRPr="00BF4D71">
        <w:rPr>
          <w:rStyle w:val="Odwoanieprzypisudolnego"/>
        </w:rPr>
        <w:footnoteRef/>
      </w:r>
      <w:r w:rsidRPr="00BF4D71">
        <w:t xml:space="preserve"> T. Bąkowski, P. Bielski, K. Kaszubowski, M. Kokoszczyński, J. Stelina, J. Warylewski, G. Wierczyński, Zasady techniki prawodawczej. Komentarz do rozporządzenia, Warszawa 2003, s. 482.</w:t>
      </w:r>
    </w:p>
  </w:footnote>
  <w:footnote w:id="70">
    <w:p w:rsidR="00BA4699" w:rsidRDefault="00BA4699" w:rsidP="00A0038F">
      <w:pPr>
        <w:pStyle w:val="Tekstprzypisudolnego"/>
        <w:spacing w:before="60" w:after="60" w:line="240" w:lineRule="auto"/>
      </w:pPr>
      <w:r w:rsidRPr="00BF4D71">
        <w:rPr>
          <w:rStyle w:val="Odwoanieprzypisudolnego"/>
        </w:rPr>
        <w:footnoteRef/>
      </w:r>
      <w:r w:rsidRPr="00BF4D71">
        <w:t xml:space="preserve"> L. Etel (red.), Prawo podatkowe, Warszawa 2008, s. 36.</w:t>
      </w:r>
    </w:p>
  </w:footnote>
  <w:footnote w:id="71">
    <w:p w:rsidR="00BA4699" w:rsidRDefault="00BA4699" w:rsidP="00A0038F">
      <w:pPr>
        <w:pStyle w:val="Tekstprzypisudolnego"/>
        <w:spacing w:before="60" w:after="60" w:line="240" w:lineRule="auto"/>
      </w:pPr>
      <w:r w:rsidRPr="00BF4D71">
        <w:rPr>
          <w:rStyle w:val="Odwoanieprzypisudolnego"/>
        </w:rPr>
        <w:footnoteRef/>
      </w:r>
      <w:r w:rsidRPr="00BF4D71">
        <w:t xml:space="preserve"> Na temat błędu logicznego definicji ustawy podatkowej zob. R. Mastalski (w:) B. Adamiak, J. Borkowski, R. Mastalski, J. Zubrzycki, Ordynacja podatkowa. Komentarz 2016, Wrocław 2016, s. 33.</w:t>
      </w:r>
    </w:p>
  </w:footnote>
  <w:footnote w:id="72">
    <w:p w:rsidR="00BA4699" w:rsidRDefault="00BA4699" w:rsidP="00FA30AA">
      <w:pPr>
        <w:pStyle w:val="Tekstprzypisudolnego"/>
        <w:spacing w:before="60" w:after="60" w:line="240" w:lineRule="auto"/>
      </w:pPr>
      <w:r w:rsidRPr="00BF4D71">
        <w:rPr>
          <w:rStyle w:val="Odwoanieprzypisudolnego"/>
        </w:rPr>
        <w:footnoteRef/>
      </w:r>
      <w:r w:rsidRPr="00BF4D71">
        <w:t xml:space="preserve"> Ujmowanie w aktach ogólnego prawa podatkowego reguł stanowienia prawa należy do rzadkości - por. jednak art. 2-4 włoskiej ustawy nr 212 z dnia 27 lipca 2000 r. Disposizioni in materia di statuto dei diritti del contribuente.</w:t>
      </w:r>
    </w:p>
  </w:footnote>
  <w:footnote w:id="73">
    <w:p w:rsidR="00BA4699" w:rsidRDefault="00BA4699" w:rsidP="00FA30AA">
      <w:pPr>
        <w:pStyle w:val="Tekstprzypisudolnego"/>
        <w:spacing w:before="60" w:after="60" w:line="240" w:lineRule="auto"/>
      </w:pPr>
      <w:r w:rsidRPr="00BF4D71">
        <w:rPr>
          <w:rStyle w:val="Odwoanieprzypisudolnego"/>
        </w:rPr>
        <w:footnoteRef/>
      </w:r>
      <w:r w:rsidRPr="00BF4D71">
        <w:t xml:space="preserve"> B. Brzeziński, Kierunki zmian przepisów ogólnych Ordynacji podatkowej, „Kwartalnik Prawa Podatkowego” 2001, nr 3-4; W. Nykiel, B. Brzeziński, W. Chróścielewski, H. Dzwonkowski, M. Kalinowski, M. Masternak, A. Olesińska, Projekt przepisów ogólnych Ordynacji podatkowej, „Kwartalnik Prawa Podatkowego” 2001, nr 3-4; B. Brzeziński, W. Nykiel, Zasady ogólne prawa podatkowego, „Przegląd Podatkowy” 2002, nr 3; A. Mariański, Rozstrzyganie wątpliwości na korzyść podatnika. Zasada prawa podatkowego, Warszawa 2009, s. 62-66. Więcej na temat zasad w prawie por. K. Ziemski, Zasady ogólne prawa administracyjnego, Poznań 1989; Z. Kmieciak, Ogólne zasady prawa i postępowania administracyjnego, Warszawa 2000; A. Gomułowicz, Zasady podatkowe wczoraj i dziś, Warszawa 2001; A. Gomułowicz, Zasada sprawiedliwości podatkowej w orzecznictwie Trybunału Konstytucyjnego, Warszawa 2003; W. Łączkowski, Zasady podatkowe w orzecznictwie polskiego Trybunału Konstytucyjnego (w:) J. Małecki (red.), Koncepcje współczesnych reform podatkowych. Europa na drodze do wspólnej waluty, Książka wydana z okazji 40-lecia pracy naukowej prof. dr. hab. Andrzeja Komara, Poznań 1998.</w:t>
      </w:r>
    </w:p>
  </w:footnote>
  <w:footnote w:id="74">
    <w:p w:rsidR="00BA4699" w:rsidRDefault="00BA4699" w:rsidP="00FA30AA">
      <w:pPr>
        <w:pStyle w:val="Tekstprzypisudolnego"/>
        <w:spacing w:before="60" w:after="60" w:line="240" w:lineRule="auto"/>
      </w:pPr>
      <w:r w:rsidRPr="00BF4D71">
        <w:rPr>
          <w:rStyle w:val="Odwoanieprzypisudolnego"/>
        </w:rPr>
        <w:footnoteRef/>
      </w:r>
      <w:r w:rsidRPr="00BF4D71">
        <w:t xml:space="preserve"> Zob. D. Strzelec, O potrzebie badań prawnoporównawczych w obszarze procedury podatkowej, „Przegląd Podatkowy” 2015, nr 8.</w:t>
      </w:r>
    </w:p>
  </w:footnote>
  <w:footnote w:id="75">
    <w:p w:rsidR="00BA4699" w:rsidRDefault="00BA4699" w:rsidP="00FA30AA">
      <w:pPr>
        <w:pStyle w:val="Tekstprzypisudolnego"/>
        <w:spacing w:before="60" w:after="60" w:line="240" w:lineRule="auto"/>
      </w:pPr>
      <w:r w:rsidRPr="00BF4D71">
        <w:rPr>
          <w:rStyle w:val="Odwoanieprzypisudolnego"/>
        </w:rPr>
        <w:footnoteRef/>
      </w:r>
      <w:r w:rsidRPr="00BF4D71">
        <w:t xml:space="preserve"> </w:t>
      </w:r>
      <w:r w:rsidRPr="00BF4D71">
        <w:rPr>
          <w:i/>
          <w:iCs/>
        </w:rPr>
        <w:t>Ibidem.</w:t>
      </w:r>
    </w:p>
  </w:footnote>
  <w:footnote w:id="76">
    <w:p w:rsidR="00BA4699" w:rsidRDefault="00BA4699" w:rsidP="00FA30AA">
      <w:pPr>
        <w:pStyle w:val="Tekstprzypisudolnego"/>
        <w:spacing w:before="60" w:after="60" w:line="240" w:lineRule="auto"/>
      </w:pPr>
      <w:r w:rsidRPr="00BF4D71">
        <w:rPr>
          <w:rStyle w:val="Odwoanieprzypisudolnego"/>
        </w:rPr>
        <w:footnoteRef/>
      </w:r>
      <w:r w:rsidRPr="00BF4D71">
        <w:t xml:space="preserve"> Tekst jedn. Dz.U. z 2017 r. poz. 1257; dalej: k.p.a.</w:t>
      </w:r>
    </w:p>
  </w:footnote>
  <w:footnote w:id="77">
    <w:p w:rsidR="00BA4699" w:rsidRDefault="00BA4699" w:rsidP="00FA30AA">
      <w:pPr>
        <w:pStyle w:val="Tekstprzypisudolnego"/>
        <w:spacing w:before="60" w:after="60" w:line="240" w:lineRule="auto"/>
      </w:pPr>
      <w:r w:rsidRPr="00BF4D71">
        <w:rPr>
          <w:rStyle w:val="Odwoanieprzypisudolnego"/>
        </w:rPr>
        <w:footnoteRef/>
      </w:r>
      <w:r w:rsidRPr="00BF4D71">
        <w:t xml:space="preserve"> Zawierającym standardy minimalne obowiązujące państwa-członków Rady Europy i stanowiącym załącznik do rekomendacji CM/Rec (2007)7 Komitetu Ministrów Rady Europy dla państw członkowskich w sprawie dobrej administracji, przyjętej w dniu 20 czerwca 2007 r.; dalej: Kodeks Dobrej Administracji.</w:t>
      </w:r>
    </w:p>
  </w:footnote>
  <w:footnote w:id="78">
    <w:p w:rsidR="00BA4699" w:rsidRDefault="00BA4699" w:rsidP="00FA30AA">
      <w:pPr>
        <w:pStyle w:val="Tekstprzypisudolnego"/>
        <w:spacing w:before="60" w:after="60" w:line="240" w:lineRule="auto"/>
      </w:pPr>
      <w:r w:rsidRPr="00BF4D71">
        <w:rPr>
          <w:rStyle w:val="Odwoanieprzypisudolnego"/>
        </w:rPr>
        <w:footnoteRef/>
      </w:r>
      <w:r w:rsidRPr="00BF4D71">
        <w:t xml:space="preserve"> Europejski Kodeks Dobrej Praktyki Administracyjnej przyjęty przez Parlament Europejski w dniu 6 września 2001 r.; dalej: Europejski Kodeks Dobrej Praktyki Administracyjnej. Por. J. Świątkiewicz, Europejski Kodeks Dobrej Administracji. Wprowadzenie, tekst i komentarz o zastosowaniu kodeksu w warunkach polskich procedur administracyjnych, Biuro Rzecznika Praw Obywatelskich, Warszawa 2007 (skąd pochodzi tłumaczenie Kodeksu użyte w tym uzasadnieniu).</w:t>
      </w:r>
    </w:p>
  </w:footnote>
  <w:footnote w:id="79">
    <w:p w:rsidR="00BA4699" w:rsidRDefault="00BA4699" w:rsidP="00FA30AA">
      <w:pPr>
        <w:pStyle w:val="Tekstprzypisudolnego"/>
        <w:spacing w:before="60" w:after="60" w:line="240" w:lineRule="auto"/>
      </w:pPr>
      <w:r w:rsidRPr="00BF4D71">
        <w:rPr>
          <w:rStyle w:val="Odwoanieprzypisudolnego"/>
        </w:rPr>
        <w:footnoteRef/>
      </w:r>
      <w:r w:rsidRPr="00BF4D71">
        <w:t xml:space="preserve"> Zob. wytyczne dotyczące wzoru Kodeksu podatników Unii Europejskiej, Komisja Europejska, Dyrekcja Generalna ds. Podatków i Unii Celnej, Unia Europejska 2016, </w:t>
      </w:r>
      <w:hyperlink r:id="rId4" w:history="1">
        <w:r w:rsidRPr="00BF4D71">
          <w:rPr>
            <w:rStyle w:val="Hipercze"/>
          </w:rPr>
          <w:t>https://ec.europa.eu/taxation_customs/sites/taxation/files/guidelines_for_a_model_for_a_european_taxpayers_code_pl.pdf</w:t>
        </w:r>
      </w:hyperlink>
      <w:r w:rsidRPr="00BF4D71">
        <w:t>; dalej: Kodeks podatników Unii Europejskiej. To niewiążący dokument stanowiący wzór kodeksu,  rekomendowany do przyjęcia (z modyfikacjami, jakie zostaną uznane za stosowne) przez państwa członkowskie, a zarazem artykułujący model właściwego postępowania organów podatkowych oraz zobowiązanych.</w:t>
      </w:r>
    </w:p>
  </w:footnote>
  <w:footnote w:id="80">
    <w:p w:rsidR="00BA4699" w:rsidRPr="0054338C" w:rsidRDefault="00BA4699" w:rsidP="00FA30AA">
      <w:pPr>
        <w:pStyle w:val="Tekstprzypisudolnego"/>
        <w:spacing w:before="60" w:after="60" w:line="240" w:lineRule="auto"/>
        <w:rPr>
          <w:lang w:val="en-US"/>
        </w:rPr>
      </w:pPr>
      <w:r w:rsidRPr="00BF4D71">
        <w:rPr>
          <w:rStyle w:val="Odwoanieprzypisudolnego"/>
        </w:rPr>
        <w:footnoteRef/>
      </w:r>
      <w:r w:rsidRPr="0054338C">
        <w:rPr>
          <w:lang w:val="en-US"/>
        </w:rPr>
        <w:t xml:space="preserve"> Model karty podatnika opracowany przez Confédération Fiscale Européenne (CFE), Asia-Oceania Tax Consultants' Association (AOTCA) i Society of Trust and Estate Practitioners (STEP), </w:t>
      </w:r>
      <w:hyperlink r:id="rId5" w:history="1">
        <w:r w:rsidRPr="0054338C">
          <w:rPr>
            <w:rStyle w:val="Hipercze"/>
            <w:lang w:val="en-US"/>
          </w:rPr>
          <w:t>http://www.cfe-eutax.org/node/3134</w:t>
        </w:r>
      </w:hyperlink>
      <w:r w:rsidRPr="0054338C">
        <w:rPr>
          <w:lang w:val="en-US"/>
        </w:rPr>
        <w:t>.</w:t>
      </w:r>
    </w:p>
  </w:footnote>
  <w:footnote w:id="81">
    <w:p w:rsidR="00BA4699" w:rsidRDefault="00BA4699" w:rsidP="00FA30AA">
      <w:pPr>
        <w:pStyle w:val="Tekstprzypisudolnego"/>
        <w:spacing w:before="60" w:after="60" w:line="240" w:lineRule="auto"/>
      </w:pPr>
      <w:r w:rsidRPr="00BF4D71">
        <w:rPr>
          <w:rStyle w:val="Odwoanieprzypisudolnego"/>
        </w:rPr>
        <w:footnoteRef/>
      </w:r>
      <w:r w:rsidRPr="00BF4D71">
        <w:t xml:space="preserve"> Projekt został opracowany w latach 2006-2008 przez zespół ekspercki przy Rzeczniku Praw Obywatelskich powołany w dniu 14</w:t>
      </w:r>
      <w:r w:rsidRPr="00BF4D71">
        <w:t> </w:t>
      </w:r>
      <w:r w:rsidRPr="00BF4D71">
        <w:t>czerwca</w:t>
      </w:r>
      <w:r w:rsidRPr="00BF4D71">
        <w:t> </w:t>
      </w:r>
      <w:r w:rsidRPr="00BF4D71">
        <w:t>2006</w:t>
      </w:r>
      <w:r w:rsidRPr="00BF4D71">
        <w:t> </w:t>
      </w:r>
      <w:r w:rsidRPr="00BF4D71">
        <w:t>r.; por. także (</w:t>
      </w:r>
      <w:hyperlink r:id="rId6" w:history="1">
        <w:r w:rsidRPr="00BF4D71">
          <w:rPr>
            <w:rStyle w:val="Hipercze"/>
          </w:rPr>
          <w:t>www.sejm.gov.pl</w:t>
        </w:r>
      </w:hyperlink>
      <w:r w:rsidRPr="00BF4D71">
        <w:t>, Sejm VI kadencji, druk sejmowy nr 3942; dalej: projekt ustawy – Przepisy ogólne prawa administracyjnego. Tekst projektu wraz z uzasadnieniem i dokumentami towarzyszącymi zob. Prawo do dobrej administracji, Biuletyn RPO – Materiały 2008, nr 60, s. 9-109.</w:t>
      </w:r>
    </w:p>
  </w:footnote>
  <w:footnote w:id="82">
    <w:p w:rsidR="00BA4699" w:rsidRPr="00BF4D71" w:rsidRDefault="00BA4699" w:rsidP="00FA30AA">
      <w:pPr>
        <w:pStyle w:val="Tekstprzypisudolnego"/>
        <w:spacing w:before="60" w:after="60" w:line="240" w:lineRule="auto"/>
      </w:pPr>
      <w:r w:rsidRPr="00BF4D71">
        <w:rPr>
          <w:rStyle w:val="Odwoanieprzypisudolnego"/>
        </w:rPr>
        <w:footnoteRef/>
      </w:r>
      <w:r w:rsidRPr="00BF4D71">
        <w:t xml:space="preserve"> „1. Władze publiczne powinny działać zgodnie z prawem. Nie mogą one podejmować środków arbitralnych, nawet podczas wykonywania swych kompetencji dyskrecjonalnych.</w:t>
      </w:r>
    </w:p>
    <w:p w:rsidR="00BA4699" w:rsidRPr="00BF4D71" w:rsidRDefault="00BA4699" w:rsidP="00FA30AA">
      <w:pPr>
        <w:pStyle w:val="Tekstprzypisudolnego"/>
        <w:spacing w:before="60" w:after="60" w:line="240" w:lineRule="auto"/>
      </w:pPr>
      <w:r w:rsidRPr="00BF4D71">
        <w:t>2. Powinny one przestrzegać prawa krajowego, prawa międzynarodowego zasad ogólnych prawa rządzących ich organizacją, funkcjonowaniem i działalnością.</w:t>
      </w:r>
    </w:p>
    <w:p w:rsidR="00BA4699" w:rsidRPr="00BF4D71" w:rsidRDefault="00BA4699" w:rsidP="00FA30AA">
      <w:pPr>
        <w:pStyle w:val="Tekstprzypisudolnego"/>
        <w:spacing w:before="60" w:after="60" w:line="240" w:lineRule="auto"/>
      </w:pPr>
      <w:r w:rsidRPr="00BF4D71">
        <w:t>3. Powinny one działać godnie z normami określającymi ich kompetencję oraz procedurami określonymi w dotyczących ich przepisach.</w:t>
      </w:r>
    </w:p>
    <w:p w:rsidR="00BA4699" w:rsidRDefault="00BA4699" w:rsidP="00FA30AA">
      <w:pPr>
        <w:pStyle w:val="Tekstprzypisudolnego"/>
        <w:spacing w:before="60" w:after="60" w:line="240" w:lineRule="auto"/>
      </w:pPr>
      <w:r w:rsidRPr="00BF4D71">
        <w:t>4. Powinny one wykonywać swoje kompetencje jedynie pod warunkiem, że ustalone fakty i stosujące się prawo dają im tytuł do tego oraz wyłącznie w celu, dla którego zostały one im nadane”.</w:t>
      </w:r>
    </w:p>
  </w:footnote>
  <w:footnote w:id="83">
    <w:p w:rsidR="00BA4699" w:rsidRDefault="00BA4699" w:rsidP="00FA30AA">
      <w:pPr>
        <w:pStyle w:val="Tekstprzypisudolnego"/>
        <w:spacing w:before="60" w:after="60" w:line="240" w:lineRule="auto"/>
      </w:pPr>
      <w:r w:rsidRPr="00BF4D71">
        <w:rPr>
          <w:rStyle w:val="Odwoanieprzypisudolnego"/>
        </w:rPr>
        <w:footnoteRef/>
      </w:r>
      <w:r w:rsidRPr="00BF4D71">
        <w:t xml:space="preserve"> „Urzędnik działa zgodnie z zasadą praworządności, stosuje regulacje i procedury określone w przepisach prawnych Wspólnot. Urzędnik zwraca w szczególności uwagę na to, aby decyzje dotyczące praw lub interesów jednostek posiadały podstawę prawną, a ich treść była zgodna z obowiązującymi przepisami prawnymi”.</w:t>
      </w:r>
    </w:p>
  </w:footnote>
  <w:footnote w:id="84">
    <w:p w:rsidR="00BA4699" w:rsidRDefault="00BA4699" w:rsidP="00FA30AA">
      <w:pPr>
        <w:pStyle w:val="Tekstprzypisudolnego"/>
        <w:spacing w:before="60" w:after="60" w:line="240" w:lineRule="auto"/>
      </w:pPr>
      <w:r w:rsidRPr="00BF4D71">
        <w:rPr>
          <w:rStyle w:val="Odwoanieprzypisudolnego"/>
        </w:rPr>
        <w:footnoteRef/>
      </w:r>
      <w:r w:rsidRPr="00BF4D71">
        <w:t xml:space="preserve"> „Organ administracji publicznej może przyznawać prawa, nakładać obowiązki, znosić je, zmieniać ich zakres lub rodzaj, stwierdzać ich istnienie wyłącznie na podstawie przepisów powszechnie obowiązującego prawa i z powołaniem się na te przepisy”.</w:t>
      </w:r>
    </w:p>
  </w:footnote>
  <w:footnote w:id="85">
    <w:p w:rsidR="00BA4699" w:rsidRDefault="00BA4699" w:rsidP="00FA30AA">
      <w:pPr>
        <w:pStyle w:val="Tekstprzypisudolnego"/>
        <w:spacing w:before="60" w:after="60" w:line="240" w:lineRule="auto"/>
      </w:pPr>
      <w:r w:rsidRPr="00BF4D71">
        <w:rPr>
          <w:rStyle w:val="Odwoanieprzypisudolnego"/>
        </w:rPr>
        <w:footnoteRef/>
      </w:r>
      <w:r w:rsidRPr="00BF4D71">
        <w:t xml:space="preserve"> Trud i ryzyka związane z techniką samoobliczenia dostrzega Trybunał Konstytucyjny – por. m.in. wyrok z dnia 12 września 2005 r., SK 13/05; postanowienie z dnia 14 lipca 2004 r., SK 16/02; wyrok z dnia 18 lipca 2013 r., SK 18/09; wyrok z dnia 8 października 2013 r., SK 40/12. Por. także m.in. B. Brzeziński, Podstawy wykładni prawa podatkowego, Gdańsk 2008, s. 40; A. Mariański, Rozstrzyganie wątpliwości na korzyść podatnika. Zasada prawa podatkowego, Warszawa 2009, s. 23; R. Mastalski, Stosowanie prawa podatkowego, Warszawa 2008, s. 43.</w:t>
      </w:r>
    </w:p>
  </w:footnote>
  <w:footnote w:id="86">
    <w:p w:rsidR="00BA4699" w:rsidRDefault="00BA4699" w:rsidP="00FA30AA">
      <w:pPr>
        <w:pStyle w:val="Tekstprzypisudolnego"/>
        <w:spacing w:before="60" w:after="60" w:line="240" w:lineRule="auto"/>
      </w:pPr>
      <w:r w:rsidRPr="00BF4D71">
        <w:rPr>
          <w:rStyle w:val="Odwoanieprzypisudolnego"/>
        </w:rPr>
        <w:footnoteRef/>
      </w:r>
      <w:r w:rsidRPr="00BF4D71">
        <w:t xml:space="preserve"> Por. także zasadę pomocniczości (właściwie: zasadę pomocy) organów podatkowych (w:) Ministerstwo Gospodarki, Nowa Ordynacja podatkowa – projekt rekomendacji, Warszawa, 4 kwietnia 2014 r., s. 9, oraz tytuł III rozdział I dział 6 Wzór Kodeksu Podatkowego CIAT. Por. także liczne rozwiązania przyjmowane przez administracje podatkowe w dążeniu do tego, aby „uczynić łatwym przestrzeganie prawa (a trudnym jego nieprzestrzeganie)” [„make it easy to comply (and difficult not to)”] przedstawione (w:) Right from the Start: Influencing the Compliance Behaviour for Small and Medium Enterprises, Forum on Tax Administration, OECD 2012, </w:t>
      </w:r>
      <w:hyperlink r:id="rId7" w:history="1">
        <w:r w:rsidRPr="00BF4D71">
          <w:rPr>
            <w:rStyle w:val="Hipercze"/>
          </w:rPr>
          <w:t>http://www.oecd.org/site/ctpfta/49428016.pdf</w:t>
        </w:r>
      </w:hyperlink>
      <w:r w:rsidRPr="00BF4D71">
        <w:t>.</w:t>
      </w:r>
    </w:p>
  </w:footnote>
  <w:footnote w:id="87">
    <w:p w:rsidR="00BA4699" w:rsidRDefault="00BA4699" w:rsidP="00FA30AA">
      <w:pPr>
        <w:pStyle w:val="Tekstprzypisudolnego"/>
        <w:spacing w:before="60" w:after="60" w:line="240" w:lineRule="auto"/>
      </w:pPr>
      <w:r w:rsidRPr="00BF4D71">
        <w:rPr>
          <w:rStyle w:val="Odwoanieprzypisudolnego"/>
        </w:rPr>
        <w:footnoteRef/>
      </w:r>
      <w:r w:rsidRPr="00BF4D71">
        <w:t xml:space="preserve"> Zasada ta ma także bogatszą treść i szerszy zasad od ustanowionej w art. 9 k.p.a.: „Organy administracji publicznej są obowiązane do należytego i wyczerpującego informowania stron o okolicznościach faktycznych i prawnych, które mogą mieć wpływ na ustalenie ich praw i obowiązków będących przedmiotem postępowania administracyjnego. Organy czuwają nad tym, aby strony i inne osoby uczestniczące w postępowaniu nie poniosły szkody z powodu nieznajomości prawa, i w tym celu udzielają im niezbędnych wyjaśnień i wskazówek”.</w:t>
      </w:r>
    </w:p>
  </w:footnote>
  <w:footnote w:id="88">
    <w:p w:rsidR="00BA4699" w:rsidRDefault="00BA4699" w:rsidP="00FA30AA">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zwłaszcza art. 22 ust. 1: „Urzędnik odpowiedzialny za daną sprawę udostępni jednostkom żądane przez nie informacje. Jeśli zajdzie taka potrzeba, urzędnik udzieli w zakresie swoich kompetencji porady co do wszczęcia postępowania administracyjnego. Urzędnik dba o to, aby przekazana informacja była jasna i zrozumiała”.</w:t>
      </w:r>
    </w:p>
  </w:footnote>
  <w:footnote w:id="89">
    <w:p w:rsidR="00BA4699" w:rsidRDefault="00BA4699" w:rsidP="00FA30AA">
      <w:pPr>
        <w:pStyle w:val="Tekstprzypisudolnego"/>
        <w:spacing w:before="60" w:after="60" w:line="240" w:lineRule="auto"/>
      </w:pPr>
      <w:r w:rsidRPr="00BF4D71">
        <w:rPr>
          <w:rStyle w:val="Odwoanieprzypisudolnego"/>
        </w:rPr>
        <w:footnoteRef/>
      </w:r>
      <w:r w:rsidRPr="00BF4D71">
        <w:t xml:space="preserve"> „W razie potrzeby urzędnik służy jednostce poradą dotyczącą możliwego sposobu postępowania w sprawie wchodzącej w zakres jego działania oraz dotyczącą pożądanego sposobu rozstrzygnięcia sprawy”.</w:t>
      </w:r>
    </w:p>
  </w:footnote>
  <w:footnote w:id="90">
    <w:p w:rsidR="00BA4699" w:rsidRPr="0054338C" w:rsidRDefault="00BA4699" w:rsidP="00FA30AA">
      <w:pPr>
        <w:pStyle w:val="NormalnyWeb"/>
        <w:spacing w:before="60" w:after="60" w:line="240" w:lineRule="auto"/>
        <w:jc w:val="both"/>
        <w:rPr>
          <w:lang w:val="en-US"/>
        </w:rPr>
      </w:pPr>
      <w:r w:rsidRPr="00BF4D71">
        <w:rPr>
          <w:rStyle w:val="Odwoanieprzypisudolnego"/>
          <w:sz w:val="20"/>
          <w:szCs w:val="20"/>
        </w:rPr>
        <w:footnoteRef/>
      </w:r>
      <w:r w:rsidRPr="00BF4D71">
        <w:rPr>
          <w:sz w:val="20"/>
          <w:szCs w:val="20"/>
          <w:lang w:val="en-US"/>
        </w:rPr>
        <w:t xml:space="preserve"> „Customer service charter” („Karta obsługi klienta”, </w:t>
      </w:r>
      <w:hyperlink r:id="rId8" w:history="1">
        <w:r w:rsidRPr="00BF4D71">
          <w:rPr>
            <w:rStyle w:val="Hipercze"/>
            <w:lang w:val="en-US"/>
          </w:rPr>
          <w:t>http://www.revenue.ie/en/corporate/information-about-revenue/customer-service/customer-charter/index.aspx</w:t>
        </w:r>
      </w:hyperlink>
      <w:r w:rsidRPr="00BF4D71">
        <w:rPr>
          <w:sz w:val="20"/>
          <w:szCs w:val="20"/>
          <w:lang w:val="en-US"/>
        </w:rPr>
        <w:t>): „You can expect to be given the necessary information and all reasonable assistance to enable you to clearly understand and meet your tax and customs obligations and to claim your entitlements and tax credits”.</w:t>
      </w:r>
    </w:p>
  </w:footnote>
  <w:footnote w:id="91">
    <w:p w:rsidR="00BA4699" w:rsidRPr="0054338C" w:rsidRDefault="00BA4699" w:rsidP="00FA30AA">
      <w:pPr>
        <w:pStyle w:val="Nagwek3"/>
        <w:spacing w:before="60" w:after="60" w:line="240" w:lineRule="auto"/>
        <w:rPr>
          <w:lang w:val="en-US"/>
        </w:rPr>
      </w:pPr>
      <w:r w:rsidRPr="00BF4D71">
        <w:rPr>
          <w:rStyle w:val="Odwoanieprzypisudolnego"/>
          <w:sz w:val="20"/>
          <w:szCs w:val="20"/>
        </w:rPr>
        <w:footnoteRef/>
      </w:r>
      <w:r w:rsidRPr="00BF4D71">
        <w:rPr>
          <w:sz w:val="20"/>
          <w:szCs w:val="20"/>
          <w:lang w:val="en-US"/>
        </w:rPr>
        <w:t xml:space="preserve"> „Taxpayers Bill of Rights” (“Deklaracja praw podatnika”, </w:t>
      </w:r>
      <w:hyperlink r:id="rId9" w:history="1">
        <w:r w:rsidRPr="00BF4D71">
          <w:rPr>
            <w:rStyle w:val="Hipercze"/>
            <w:color w:val="auto"/>
            <w:lang w:val="en-US"/>
          </w:rPr>
          <w:t>https://www.canada.ca/en/revenue-agency/corporate/about-canada-revenue-agency-cra/taxpayer-bill-rights.html</w:t>
        </w:r>
      </w:hyperlink>
      <w:r w:rsidRPr="00BF4D71">
        <w:rPr>
          <w:sz w:val="20"/>
          <w:szCs w:val="20"/>
          <w:lang w:val="en-US"/>
        </w:rPr>
        <w:t xml:space="preserve">): </w:t>
      </w:r>
      <w:r w:rsidRPr="00BF4D71">
        <w:rPr>
          <w:smallCaps/>
          <w:sz w:val="20"/>
          <w:szCs w:val="20"/>
          <w:lang w:val="en-US"/>
        </w:rPr>
        <w:t>“</w:t>
      </w:r>
      <w:r w:rsidRPr="00BF4D71">
        <w:rPr>
          <w:sz w:val="20"/>
          <w:szCs w:val="20"/>
          <w:lang w:val="en-US"/>
        </w:rPr>
        <w:t xml:space="preserve">You have the right to complete, accurate, clear, and </w:t>
      </w:r>
      <w:r w:rsidRPr="00BF4D71">
        <w:rPr>
          <w:rStyle w:val="nowrap"/>
          <w:sz w:val="20"/>
          <w:szCs w:val="20"/>
          <w:lang w:val="en-US"/>
        </w:rPr>
        <w:t xml:space="preserve">timely information. </w:t>
      </w:r>
      <w:r w:rsidRPr="00BF4D71">
        <w:rPr>
          <w:sz w:val="20"/>
          <w:szCs w:val="20"/>
          <w:lang w:val="en-US"/>
        </w:rPr>
        <w:t xml:space="preserve">You can expect us to provide you with complete, accurate, and timely information in plain language explaining the laws and policies that apply to </w:t>
      </w:r>
      <w:r w:rsidRPr="00BF4D71">
        <w:rPr>
          <w:rStyle w:val="nowrap"/>
          <w:sz w:val="20"/>
          <w:szCs w:val="20"/>
          <w:lang w:val="en-US"/>
        </w:rPr>
        <w:t>your situation”</w:t>
      </w:r>
      <w:r w:rsidRPr="00BF4D71">
        <w:rPr>
          <w:sz w:val="20"/>
          <w:szCs w:val="20"/>
          <w:lang w:val="en-US"/>
        </w:rPr>
        <w:t>.</w:t>
      </w:r>
    </w:p>
  </w:footnote>
  <w:footnote w:id="92">
    <w:p w:rsidR="00BA4699" w:rsidRPr="0054338C" w:rsidRDefault="00BA4699" w:rsidP="00FA30AA">
      <w:pPr>
        <w:pStyle w:val="Tekstprzypisudolnego"/>
        <w:spacing w:before="60" w:after="60" w:line="240" w:lineRule="auto"/>
        <w:rPr>
          <w:lang w:val="en-US"/>
        </w:rPr>
      </w:pPr>
      <w:r w:rsidRPr="00BF4D71">
        <w:rPr>
          <w:rStyle w:val="Odwoanieprzypisudolnego"/>
        </w:rPr>
        <w:footnoteRef/>
      </w:r>
      <w:r w:rsidRPr="00BF4D71">
        <w:rPr>
          <w:lang w:val="en-US"/>
        </w:rPr>
        <w:t xml:space="preserve"> „Taxpayer Bill of Rights” („Deklaracja praw podatników”, </w:t>
      </w:r>
      <w:hyperlink r:id="rId10" w:history="1">
        <w:r w:rsidRPr="00BF4D71">
          <w:rPr>
            <w:rStyle w:val="Hipercze"/>
            <w:lang w:val="en-US"/>
          </w:rPr>
          <w:t>https://www.irs.gov/taxpayer-bill-of-rights</w:t>
        </w:r>
      </w:hyperlink>
      <w:r w:rsidRPr="00BF4D71">
        <w:rPr>
          <w:lang w:val="en-US"/>
        </w:rPr>
        <w:t>): “</w:t>
      </w:r>
      <w:r w:rsidRPr="00BF4D71">
        <w:rPr>
          <w:bCs/>
          <w:lang w:val="en-US"/>
        </w:rPr>
        <w:t xml:space="preserve">The Right to Be Informed. </w:t>
      </w:r>
      <w:r w:rsidRPr="00BF4D71">
        <w:rPr>
          <w:lang w:val="en-US"/>
        </w:rPr>
        <w:t>Taxpayers have the right to know what they need to do to comply with the tax laws. They are entitled to clear explanations of the laws and IRS procedures in all tax forms, instructions, publications, notices, and correspondence. They have the right to be informed of IRS decisions about their tax accounts and to receive clear explanations of the outcomes”.</w:t>
      </w:r>
    </w:p>
  </w:footnote>
  <w:footnote w:id="93">
    <w:p w:rsidR="00BA4699" w:rsidRDefault="00BA4699" w:rsidP="00FA30AA">
      <w:pPr>
        <w:pStyle w:val="Tekstprzypisudolnego"/>
        <w:spacing w:before="60" w:after="60" w:line="240" w:lineRule="auto"/>
      </w:pPr>
      <w:r w:rsidRPr="00BF4D71">
        <w:rPr>
          <w:rStyle w:val="Odwoanieprzypisudolnego"/>
        </w:rPr>
        <w:footnoteRef/>
      </w:r>
      <w:r w:rsidRPr="00BF4D71">
        <w:t xml:space="preserve"> Zob. </w:t>
      </w:r>
      <w:hyperlink r:id="rId11" w:history="1">
        <w:r w:rsidRPr="00BF4D71">
          <w:rPr>
            <w:rStyle w:val="Hipercze"/>
          </w:rPr>
          <w:t>https://www.ato.gov.au/About-ATO/About-us/In-detail/Taxpayers-charter/</w:t>
        </w:r>
      </w:hyperlink>
      <w:r w:rsidRPr="00BF4D71">
        <w:t xml:space="preserve">. Por. także art. 34 ust. 1 lit. a hiszpańskiej ustawy 58/2003 z dnia 17 grudnia – Ordynacja podatkowa, </w:t>
      </w:r>
      <w:hyperlink r:id="rId12" w:tgtFrame="_blank" w:history="1">
        <w:r w:rsidRPr="00BF4D71">
          <w:rPr>
            <w:rStyle w:val="Hipercze"/>
          </w:rPr>
          <w:t>BOE-A-2003-23186</w:t>
        </w:r>
      </w:hyperlink>
      <w:r w:rsidRPr="00BF4D71">
        <w:t>: „Podmioty zobowiązane posiadają, między innymi, następujące prawa: a) Prawo do bycia informowanym oraz do pomocy ze strony organów podatkowych w wykonaniu swoich praw i wywiązaniu się ze swoich zobowiązań”.</w:t>
      </w:r>
    </w:p>
  </w:footnote>
  <w:footnote w:id="94">
    <w:p w:rsidR="00BA4699" w:rsidRDefault="00BA4699" w:rsidP="00FA30AA">
      <w:pPr>
        <w:pStyle w:val="Tekstprzypisudolnego"/>
        <w:spacing w:before="60" w:after="60" w:line="240" w:lineRule="auto"/>
      </w:pPr>
      <w:r w:rsidRPr="00BF4D71">
        <w:rPr>
          <w:rStyle w:val="Odwoanieprzypisudolnego"/>
        </w:rPr>
        <w:footnoteRef/>
      </w:r>
      <w:r w:rsidRPr="00BF4D71">
        <w:t xml:space="preserve"> Stanowiącym załącznik do zarządzenia Ministra Rozwoju i Finansów z dnia 25 lipca 2017 r. w sprawie kierunków działania i rozwoju Krajowej Administracji Skarbowej na lata 2017-2020 (Dz.Urz. Ministra Rozwoju i Finansów poz. 144).</w:t>
      </w:r>
    </w:p>
  </w:footnote>
  <w:footnote w:id="95">
    <w:p w:rsidR="00BA4699" w:rsidRDefault="00BA4699" w:rsidP="00FA30AA">
      <w:pPr>
        <w:pStyle w:val="Tekstprzypisudolnego"/>
        <w:spacing w:before="60" w:after="60" w:line="240" w:lineRule="auto"/>
      </w:pPr>
      <w:r w:rsidRPr="00BF4D71">
        <w:rPr>
          <w:rStyle w:val="Odwoanieprzypisudolnego"/>
        </w:rPr>
        <w:footnoteRef/>
      </w:r>
      <w:r w:rsidRPr="00BF4D71">
        <w:t xml:space="preserve"> „Podatnicy mogą oczekiwać, że: administracje podatkowe będą zabiegać o uzyskanie jedynie tych informacji, które objęte są zakresem ich kompetencji; administracje podatkowe będą udzielały pozwolenia tylko tym pracownikom administracji, którzy są upoważnieni do posiadania dostępu do tych informacji. Administracje podatkowe oczekują: spełnienia przez podatników wymogów dostarczania określonych informacji; otwartości i współpracy ze strony podatników, w przypadku gdy sprawy odnoszą się do pełnionych przez nich funkcji”.</w:t>
      </w:r>
    </w:p>
  </w:footnote>
  <w:footnote w:id="96">
    <w:p w:rsidR="00BA4699" w:rsidRPr="0054338C" w:rsidRDefault="00BA4699" w:rsidP="00FA30AA">
      <w:pPr>
        <w:pStyle w:val="NormalnyWeb"/>
        <w:spacing w:before="60" w:after="60" w:line="240" w:lineRule="auto"/>
        <w:jc w:val="both"/>
        <w:rPr>
          <w:lang w:val="en-US"/>
        </w:rPr>
      </w:pPr>
      <w:r w:rsidRPr="00BF4D71">
        <w:rPr>
          <w:rStyle w:val="Odwoanieprzypisudolnego"/>
          <w:sz w:val="20"/>
          <w:szCs w:val="20"/>
        </w:rPr>
        <w:footnoteRef/>
      </w:r>
      <w:r w:rsidRPr="00BF4D71">
        <w:rPr>
          <w:sz w:val="20"/>
          <w:szCs w:val="20"/>
          <w:lang w:val="fr-FR"/>
        </w:rPr>
        <w:t xml:space="preserve"> Francuska La charte du contribuable (Karta podatnika), </w:t>
      </w:r>
      <w:hyperlink r:id="rId13" w:history="1">
        <w:r w:rsidRPr="00BF4D71">
          <w:rPr>
            <w:rStyle w:val="Hipercze"/>
            <w:lang w:val="fr-FR"/>
          </w:rPr>
          <w:t>http://www.lexisnexis.fr/pdf/DO/charte.pdf</w:t>
        </w:r>
      </w:hyperlink>
      <w:r w:rsidRPr="00BF4D71">
        <w:rPr>
          <w:sz w:val="20"/>
          <w:szCs w:val="20"/>
          <w:lang w:val="fr-FR"/>
        </w:rPr>
        <w:t xml:space="preserve">: m.in. „Si vous faites l'objet d'un contrôle, vous vous comportez de manière responsable avec le vérificateur”, „Vous contribuez au bon déroulement des opérations”, „Vous assumez vos responsabilités”, „Votre participation est positive. </w:t>
      </w:r>
      <w:r w:rsidRPr="00BF4D71">
        <w:rPr>
          <w:sz w:val="20"/>
          <w:szCs w:val="20"/>
          <w:lang w:val="en-US"/>
        </w:rPr>
        <w:t xml:space="preserve">Vous nous signalez les erreurs que vous détectez dans votre imposition”, “Vous exposez votre situation telle qu’elle est”; brytyjska Your Charter (Twoja Karta), </w:t>
      </w:r>
      <w:hyperlink r:id="rId14" w:history="1">
        <w:r w:rsidRPr="00BF4D71">
          <w:rPr>
            <w:rStyle w:val="Hipercze"/>
            <w:lang w:val="en-US"/>
          </w:rPr>
          <w:t>https://www.gov.uk/government/publications/your-charter/your-charter</w:t>
        </w:r>
      </w:hyperlink>
      <w:r w:rsidRPr="00BF4D71">
        <w:rPr>
          <w:sz w:val="20"/>
          <w:szCs w:val="20"/>
          <w:lang w:val="en-US"/>
        </w:rPr>
        <w:t>: m.in. „Work with us to get things rights”, „Be professional and act with integrity”, „Find out what you need to do and keep us informed”, „Take reasonable care to avoid mistakes”); irlandzka „Your service charter”: „We expect you to provide true and correct information in all your contacts with Revenue and to advise Revenue in a timely manner of developments (such as change of address, commencement or cessation of business) that are relevant to your tax and customs affairs”.</w:t>
      </w:r>
    </w:p>
  </w:footnote>
  <w:footnote w:id="97">
    <w:p w:rsidR="00BA4699" w:rsidRDefault="00BA4699" w:rsidP="00FA30AA">
      <w:pPr>
        <w:pStyle w:val="Tekstprzypisudolnego"/>
        <w:spacing w:before="60" w:after="60" w:line="240" w:lineRule="auto"/>
      </w:pPr>
      <w:r w:rsidRPr="00BF4D71">
        <w:rPr>
          <w:rStyle w:val="Odwoanieprzypisudolnego"/>
        </w:rPr>
        <w:footnoteRef/>
      </w:r>
      <w:r w:rsidRPr="00BF4D71">
        <w:t xml:space="preserve"> Ustawa z dnia 5 sierpnia 2015 r. o zmianie ustawy – Ordynacja podatkowa oraz niektórych innych ustaw (Dz. U. poz. 1197). Także w projekcie rekomendacji nowej ordynacji podatkowej z dnia 11 kwietnia 2014 r., przygotowanym przez Ministerstwo Gospodarki, zawarto postulat sformułowania zasady </w:t>
      </w:r>
      <w:r w:rsidRPr="00BF4D71">
        <w:rPr>
          <w:i/>
        </w:rPr>
        <w:t>in dubio pro tributario</w:t>
      </w:r>
      <w:r w:rsidRPr="00BF4D71">
        <w:t xml:space="preserve"> (por. s. 13 tego dokumentu). Propozycję taką artykułują ponadto Pracodawcy Rzeczypospolitej Polskiej oraz Krajowa Izba Doradców Podatkowych (por. s. 1 Stanowiska Pracodawców Rzeczypospolitej Polskiej i Krajowej Izby Doradców Podatkowych dotyczącego założeń kompleksowej regulacji ustawowej, która zastąpi ordynację podatkową).</w:t>
      </w:r>
    </w:p>
  </w:footnote>
  <w:footnote w:id="98">
    <w:p w:rsidR="00BA4699" w:rsidRDefault="00BA4699" w:rsidP="00FA30AA">
      <w:pPr>
        <w:pStyle w:val="Tekstprzypisudolnego"/>
        <w:spacing w:before="60" w:after="60" w:line="240" w:lineRule="auto"/>
      </w:pPr>
      <w:r w:rsidRPr="00BF4D71">
        <w:rPr>
          <w:rStyle w:val="Odwoanieprzypisudolnego"/>
        </w:rPr>
        <w:footnoteRef/>
      </w:r>
      <w:r w:rsidRPr="00BF4D71">
        <w:t xml:space="preserve"> Z. Kmieciak, Glosa do wyroku NSA z dnia 18 stycznia 1988 r., III SA 964/87, „Orzecznictwo Sądów Polskich” 1990, nr 5-6, poz. 251. Por. także B. Brzeziński, Podstawy wykładni prawa podatkowego, Gdańsk 2008, s. 112-113. </w:t>
      </w:r>
    </w:p>
  </w:footnote>
  <w:footnote w:id="99">
    <w:p w:rsidR="00BA4699" w:rsidRDefault="00BA4699" w:rsidP="00FA30AA">
      <w:pPr>
        <w:pStyle w:val="Tekstprzypisudolnego"/>
        <w:spacing w:before="60" w:after="60" w:line="240" w:lineRule="auto"/>
      </w:pPr>
      <w:r w:rsidRPr="00BF4D71">
        <w:rPr>
          <w:rStyle w:val="Odwoanieprzypisudolnego"/>
        </w:rPr>
        <w:footnoteRef/>
      </w:r>
      <w:r w:rsidRPr="00BF4D71">
        <w:t xml:space="preserve"> Wyrok NSA z dnia 22 lutego 2011 r., II FSK 224/10 oraz wyrok NSA z dnia 2 marca 2010 r., II FSK 35/10. Por. także wyrok WSA w Poznaniu z dnia 20 kwietnia 2010 r., I SA/Po 118/10 oraz wyrok WSA w Poznaniu z dnia 19 kwietnia 2011 r., I SA/Po 193/11. </w:t>
      </w:r>
    </w:p>
  </w:footnote>
  <w:footnote w:id="100">
    <w:p w:rsidR="00BA4699" w:rsidRDefault="00BA4699" w:rsidP="00FA30AA">
      <w:pPr>
        <w:pStyle w:val="Tekstprzypisudolnego"/>
        <w:spacing w:before="60" w:after="60" w:line="240" w:lineRule="auto"/>
      </w:pPr>
      <w:r w:rsidRPr="00BF4D71">
        <w:rPr>
          <w:rStyle w:val="Odwoanieprzypisudolnego"/>
        </w:rPr>
        <w:footnoteRef/>
      </w:r>
      <w:r w:rsidRPr="00BF4D71">
        <w:t xml:space="preserve"> Por. A. Mariański, Rozstrzyganie wątpliwości na korzyść podatnika. Zasada prawa podatkowego, Warszawa 2009, s. 234. </w:t>
      </w:r>
    </w:p>
  </w:footnote>
  <w:footnote w:id="101">
    <w:p w:rsidR="00BA4699" w:rsidRDefault="00BA4699" w:rsidP="00FA30AA">
      <w:pPr>
        <w:pStyle w:val="Tekstprzypisudolnego"/>
        <w:spacing w:before="60" w:after="60" w:line="240" w:lineRule="auto"/>
      </w:pPr>
      <w:r w:rsidRPr="00BF4D71">
        <w:rPr>
          <w:rStyle w:val="Odwoanieprzypisudolnego"/>
        </w:rPr>
        <w:footnoteRef/>
      </w:r>
      <w:r w:rsidRPr="00BF4D71">
        <w:t xml:space="preserve"> Chociaż w nauce prawa istnieją wątpliwości co do formułowania tej zasady – por. Z. Tobor, Interpretacja „na korzyść podatnika” (w:) J. Glumińska-Pawlic (red.), Doradca podatkowy obrońcą praw podatnika, Katowice 2007, s. 136-137 oraz </w:t>
      </w:r>
      <w:r w:rsidRPr="00BF4D71">
        <w:rPr>
          <w:shd w:val="clear" w:color="auto" w:fill="FFFFFF"/>
        </w:rPr>
        <w:t xml:space="preserve">A. Gomułowicz, Złudny mit </w:t>
      </w:r>
      <w:r w:rsidRPr="00BF4D71">
        <w:rPr>
          <w:i/>
          <w:shd w:val="clear" w:color="auto" w:fill="FFFFFF"/>
        </w:rPr>
        <w:t>in dubio pro tributario</w:t>
      </w:r>
      <w:r w:rsidRPr="00BF4D71">
        <w:rPr>
          <w:shd w:val="clear" w:color="auto" w:fill="FFFFFF"/>
        </w:rPr>
        <w:t xml:space="preserve"> w prawie podatkowym, „Gazeta Prawna” z dnia 2 lutego 2015 r.</w:t>
      </w:r>
    </w:p>
  </w:footnote>
  <w:footnote w:id="102">
    <w:p w:rsidR="00BA4699" w:rsidRDefault="00BA4699" w:rsidP="00FA30AA">
      <w:pPr>
        <w:pStyle w:val="Tekstprzypisudolnego"/>
        <w:spacing w:before="60" w:after="60" w:line="240" w:lineRule="auto"/>
      </w:pPr>
      <w:r w:rsidRPr="00BF4D71">
        <w:rPr>
          <w:rStyle w:val="Odwoanieprzypisudolnego"/>
        </w:rPr>
        <w:footnoteRef/>
      </w:r>
      <w:r w:rsidRPr="00BF4D71">
        <w:t xml:space="preserve"> Por. także wyrok Trybunału Konstytucyjnego z dnia 18 grudnia 2002 r., K 43/01, OTK-A 2002, nr 7, poz. 96 oraz wyrok Trybunału Konstytucyjnego z dnia 18 lipca 2013 r., SK 18/09, Dz.U. poz. 985. </w:t>
      </w:r>
    </w:p>
  </w:footnote>
  <w:footnote w:id="103">
    <w:p w:rsidR="00BA4699" w:rsidRDefault="00BA4699" w:rsidP="00FA30AA">
      <w:pPr>
        <w:pStyle w:val="Tekstprzypisudolnego"/>
        <w:spacing w:before="60" w:after="60" w:line="240" w:lineRule="auto"/>
      </w:pPr>
      <w:r w:rsidRPr="00BF4D71">
        <w:rPr>
          <w:rStyle w:val="Odwoanieprzypisudolnego"/>
        </w:rPr>
        <w:footnoteRef/>
      </w:r>
      <w:r w:rsidRPr="00BF4D71">
        <w:t xml:space="preserve"> Przepis art. 8 § 1 k.p.a. (w brzmieniu od 1 czerwca 2017 r.) zobowiązuje organy podatkowe do prowadzenia postępowania „w sposób budzący zaufanie jego uczestników do władzy publicznej, kierując się zasadami proporcjonalności, bezstronności i równego traktowania”.</w:t>
      </w:r>
    </w:p>
  </w:footnote>
  <w:footnote w:id="104">
    <w:p w:rsidR="00BA4699" w:rsidRDefault="00BA4699" w:rsidP="00FA30AA">
      <w:pPr>
        <w:pStyle w:val="Tekstprzypisudolnego"/>
        <w:spacing w:before="60" w:after="60" w:line="240" w:lineRule="auto"/>
      </w:pPr>
      <w:r w:rsidRPr="00BF4D71">
        <w:rPr>
          <w:rStyle w:val="Odwoanieprzypisudolnego"/>
        </w:rPr>
        <w:footnoteRef/>
      </w:r>
      <w:r w:rsidRPr="00BF4D71">
        <w:t xml:space="preserve"> J. Oniszczuk, Konstytucja Rzeczypospolitej Polskiej w orzecznictwie Trybunału Konstytucyjnego, Kraków 2000, s. 47.</w:t>
      </w:r>
    </w:p>
  </w:footnote>
  <w:footnote w:id="105">
    <w:p w:rsidR="00BA4699" w:rsidRDefault="00BA4699" w:rsidP="00FA30AA">
      <w:pPr>
        <w:pStyle w:val="Tekstprzypisudolnego"/>
        <w:spacing w:before="60" w:after="60" w:line="240" w:lineRule="auto"/>
      </w:pPr>
      <w:r w:rsidRPr="00BF4D71">
        <w:rPr>
          <w:rStyle w:val="Odwoanieprzypisudolnego"/>
        </w:rPr>
        <w:footnoteRef/>
      </w:r>
      <w:r w:rsidRPr="00BF4D71">
        <w:t xml:space="preserve"> Z. Kmieciak, Ogólne zasady </w:t>
      </w:r>
      <w:r w:rsidRPr="00BF4D71">
        <w:rPr>
          <w:bCs/>
        </w:rPr>
        <w:t xml:space="preserve">prawa i postępowania administracyjnego, Warszawa 2000, s. </w:t>
      </w:r>
      <w:r w:rsidRPr="00BF4D71">
        <w:t>68.</w:t>
      </w:r>
    </w:p>
  </w:footnote>
  <w:footnote w:id="106">
    <w:p w:rsidR="00BA4699" w:rsidRPr="00BF4D71" w:rsidRDefault="00BA4699" w:rsidP="00FA30AA">
      <w:pPr>
        <w:pStyle w:val="Tekstprzypisudolnego"/>
        <w:spacing w:before="60" w:after="60" w:line="240" w:lineRule="auto"/>
      </w:pPr>
      <w:r w:rsidRPr="00BF4D71">
        <w:rPr>
          <w:rStyle w:val="Odwoanieprzypisudolnego"/>
        </w:rPr>
        <w:footnoteRef/>
      </w:r>
      <w:r w:rsidRPr="00BF4D71">
        <w:t xml:space="preserve"> „1. Urzędnik działa bezstronnie i niezależnie. Urzędnik powstrzyma się od wszelkich arbitralnych działań, które mogą mieć negatywny wpływ na sytuację jednostek, oraz od wszelkich form ich </w:t>
      </w:r>
    </w:p>
    <w:p w:rsidR="00BA4699" w:rsidRPr="00BF4D71" w:rsidRDefault="00BA4699" w:rsidP="00FA30AA">
      <w:pPr>
        <w:pStyle w:val="Tekstprzypisudolnego"/>
        <w:spacing w:before="60" w:after="60" w:line="240" w:lineRule="auto"/>
      </w:pPr>
      <w:r w:rsidRPr="00BF4D71">
        <w:t>faworyzowania, bez względu na motywy takiego postępowania.</w:t>
      </w:r>
    </w:p>
    <w:p w:rsidR="00BA4699" w:rsidRDefault="00BA4699" w:rsidP="00FA30AA">
      <w:pPr>
        <w:pStyle w:val="Tekstprzypisudolnego"/>
        <w:spacing w:before="60" w:after="60" w:line="240" w:lineRule="auto"/>
      </w:pPr>
      <w:r w:rsidRPr="00BF4D71">
        <w:t>2. Na postępowanie urzędników nie będzie miał wpływu, w żadnym czasie, interes osobisty, rodzinny lub narodowy, ani też nie będzie wpływać presja polityczna. Urzędnik nie będzie uczestniczył w podejmowaniu decyzji, w której on lub bliski członek jego rodziny miałby interes finansowy”.</w:t>
      </w:r>
    </w:p>
  </w:footnote>
  <w:footnote w:id="107">
    <w:p w:rsidR="00BA4699" w:rsidRDefault="00BA4699" w:rsidP="00FA30AA">
      <w:pPr>
        <w:pStyle w:val="Tekstprzypisudolnego"/>
        <w:spacing w:before="60" w:after="60" w:line="240" w:lineRule="auto"/>
      </w:pPr>
      <w:r w:rsidRPr="00BF4D71">
        <w:rPr>
          <w:rStyle w:val="Odwoanieprzypisudolnego"/>
        </w:rPr>
        <w:footnoteRef/>
      </w:r>
      <w:r w:rsidRPr="00BF4D71">
        <w:t xml:space="preserve"> „Podatnicy mogą oczekiwać, że: działania administracji podatkowych będą zgodne z zasadą niedyskryminacji i będą promować równe traktowanie wobec prawa; administracje podatkowe zapewnią wszystkim podatnikom dostęp do informacji i usług, w zależności od ich potrzeb”.</w:t>
      </w:r>
    </w:p>
  </w:footnote>
  <w:footnote w:id="108">
    <w:p w:rsidR="00BA4699" w:rsidRPr="0054338C" w:rsidRDefault="00BA4699" w:rsidP="00FA30AA">
      <w:pPr>
        <w:pStyle w:val="Tekstprzypisudolnego"/>
        <w:spacing w:before="60" w:after="60" w:line="240" w:lineRule="auto"/>
        <w:rPr>
          <w:lang w:val="en-US"/>
        </w:rPr>
      </w:pPr>
      <w:r w:rsidRPr="00BF4D71">
        <w:rPr>
          <w:rStyle w:val="Odwoanieprzypisudolnego"/>
        </w:rPr>
        <w:footnoteRef/>
      </w:r>
      <w:r w:rsidRPr="00BF4D71">
        <w:rPr>
          <w:lang w:val="en-US"/>
        </w:rPr>
        <w:t xml:space="preserve"> Por. Your Charter: „We’ll treat you even-handedly, with courtesy and respect”.</w:t>
      </w:r>
    </w:p>
  </w:footnote>
  <w:footnote w:id="109">
    <w:p w:rsidR="00BA4699" w:rsidRPr="0054338C" w:rsidRDefault="00BA4699" w:rsidP="00FA30AA">
      <w:pPr>
        <w:pStyle w:val="Tekstprzypisudolnego"/>
        <w:spacing w:before="60" w:after="60" w:line="240" w:lineRule="auto"/>
        <w:rPr>
          <w:lang w:val="fr-FR"/>
        </w:rPr>
      </w:pPr>
      <w:r w:rsidRPr="00BF4D71">
        <w:rPr>
          <w:rStyle w:val="Odwoanieprzypisudolnego"/>
        </w:rPr>
        <w:footnoteRef/>
      </w:r>
      <w:r w:rsidRPr="00BF4D71">
        <w:rPr>
          <w:lang w:val="fr-FR"/>
        </w:rPr>
        <w:t xml:space="preserve"> Por. La charte du contribuable: „Nous appliquons les textes fiscaux avec discernement et apprécions les situations avec impartialité, réalisme et cohérence”.</w:t>
      </w:r>
    </w:p>
  </w:footnote>
  <w:footnote w:id="110">
    <w:p w:rsidR="00BA4699" w:rsidRPr="00C54718" w:rsidRDefault="00BA4699" w:rsidP="00F86130">
      <w:pPr>
        <w:pStyle w:val="Tekstprzypisudolnego"/>
        <w:spacing w:line="240" w:lineRule="auto"/>
        <w:rPr>
          <w:lang w:val="en-US"/>
        </w:rPr>
      </w:pPr>
      <w:r w:rsidRPr="00C54718">
        <w:rPr>
          <w:rStyle w:val="Odwoanieprzypisudolnego"/>
          <w:lang w:val="en-GB"/>
        </w:rPr>
        <w:footnoteRef/>
      </w:r>
      <w:r w:rsidRPr="00C54718">
        <w:rPr>
          <w:lang w:val="en-GB"/>
        </w:rPr>
        <w:t xml:space="preserve"> E. Kirchler, E. Hoelzl, Modelling Taxpayers’ Behaviour as a Function of Interaction between Tax Authorities and Taxpayers (w:) H. </w:t>
      </w:r>
      <w:r w:rsidRPr="00C54718">
        <w:rPr>
          <w:bCs/>
          <w:lang w:val="en-GB"/>
        </w:rPr>
        <w:t xml:space="preserve">Elffers, P. Verboon, W. Huisman, </w:t>
      </w:r>
      <w:r w:rsidRPr="00C54718">
        <w:rPr>
          <w:bCs/>
          <w:lang w:val="en-US"/>
        </w:rPr>
        <w:t xml:space="preserve">Managing and Maintaining Compliance, Hague 2006, </w:t>
      </w:r>
      <w:r w:rsidRPr="00C54718">
        <w:rPr>
          <w:bCs/>
          <w:lang w:val="en-GB"/>
        </w:rPr>
        <w:t>s. 4.</w:t>
      </w:r>
    </w:p>
  </w:footnote>
  <w:footnote w:id="111">
    <w:p w:rsidR="00BA4699" w:rsidRPr="00C54718" w:rsidRDefault="00BA4699" w:rsidP="00F86130">
      <w:pPr>
        <w:pStyle w:val="Tekstprzypisudolnego"/>
        <w:spacing w:line="240" w:lineRule="auto"/>
        <w:rPr>
          <w:lang w:val="en-US"/>
        </w:rPr>
      </w:pPr>
      <w:r w:rsidRPr="00C54718">
        <w:rPr>
          <w:rStyle w:val="Odwoanieprzypisudolnego"/>
        </w:rPr>
        <w:footnoteRef/>
      </w:r>
      <w:r w:rsidRPr="00C54718">
        <w:rPr>
          <w:lang w:val="en-US"/>
        </w:rPr>
        <w:t xml:space="preserve"> Zob. Your Charter: „We’ll presume that you’re telling us the truth, unless we have good reason to think otherwise”.</w:t>
      </w:r>
    </w:p>
  </w:footnote>
  <w:footnote w:id="112">
    <w:p w:rsidR="00BA4699" w:rsidRPr="00C54718" w:rsidRDefault="00BA4699" w:rsidP="00F86130">
      <w:pPr>
        <w:pStyle w:val="Tekstprzypisudolnego"/>
        <w:spacing w:line="240" w:lineRule="auto"/>
        <w:rPr>
          <w:lang w:val="en-US"/>
        </w:rPr>
      </w:pPr>
      <w:r w:rsidRPr="00C54718">
        <w:rPr>
          <w:rStyle w:val="Odwoanieprzypisudolnego"/>
        </w:rPr>
        <w:footnoteRef/>
      </w:r>
      <w:r w:rsidRPr="00C54718">
        <w:rPr>
          <w:lang w:val="fr-FR"/>
        </w:rPr>
        <w:t xml:space="preserve"> Zob. </w:t>
      </w:r>
      <w:r w:rsidRPr="00C54718">
        <w:rPr>
          <w:lang w:val="en-US"/>
        </w:rPr>
        <w:t>„</w:t>
      </w:r>
      <w:r w:rsidRPr="00C54718">
        <w:rPr>
          <w:lang w:val="fr-FR"/>
        </w:rPr>
        <w:t xml:space="preserve">La charte du contribuable”: </w:t>
      </w:r>
      <w:r w:rsidRPr="00C54718">
        <w:rPr>
          <w:lang w:val="en-US"/>
        </w:rPr>
        <w:t>„</w:t>
      </w:r>
      <w:r w:rsidRPr="00C54718">
        <w:rPr>
          <w:lang w:val="fr-FR"/>
        </w:rPr>
        <w:t>Votre bonne foi est présumée”.</w:t>
      </w:r>
    </w:p>
  </w:footnote>
  <w:footnote w:id="113">
    <w:p w:rsidR="00BA4699" w:rsidRPr="00C54718" w:rsidRDefault="00BA4699" w:rsidP="00F86130">
      <w:pPr>
        <w:pStyle w:val="Tekstprzypisudolnego"/>
        <w:spacing w:line="240" w:lineRule="auto"/>
        <w:rPr>
          <w:lang w:val="en-US"/>
        </w:rPr>
      </w:pPr>
      <w:r w:rsidRPr="00C54718">
        <w:rPr>
          <w:rStyle w:val="Odwoanieprzypisudolnego"/>
        </w:rPr>
        <w:footnoteRef/>
      </w:r>
      <w:r w:rsidRPr="00C54718">
        <w:rPr>
          <w:lang w:val="en-US"/>
        </w:rPr>
        <w:t xml:space="preserve"> Zob. „Customer Service Charter”: “You can expect to be treated as honest in your dealings with Revenue unless there is clear reason to believe otherwise and subject to Revenue's responsibility for ensuring compliance with tax and customs law”.</w:t>
      </w:r>
    </w:p>
  </w:footnote>
  <w:footnote w:id="114">
    <w:p w:rsidR="00BA4699" w:rsidRDefault="00BA4699" w:rsidP="00FA30AA">
      <w:pPr>
        <w:pStyle w:val="Tekstprzypisudolnego"/>
        <w:spacing w:line="240" w:lineRule="auto"/>
      </w:pPr>
      <w:r>
        <w:rPr>
          <w:rStyle w:val="Odwoanieprzypisudolnego"/>
        </w:rPr>
        <w:footnoteRef/>
      </w:r>
      <w:r>
        <w:t xml:space="preserve"> </w:t>
      </w:r>
      <w:r w:rsidRPr="00567C48">
        <w:t>Por. wyrok TK z dnia 15 października 2008 r. w sprawie P 32/06, OTK Z. U. 2008, nr 8A, poz. 138, pkt III.3 uzasadnienia.</w:t>
      </w:r>
    </w:p>
  </w:footnote>
  <w:footnote w:id="115">
    <w:p w:rsidR="00BA4699" w:rsidRDefault="00BA4699" w:rsidP="00FA30AA">
      <w:pPr>
        <w:pStyle w:val="Tekstprzypisudolnego"/>
        <w:spacing w:line="240" w:lineRule="auto"/>
      </w:pPr>
      <w:r w:rsidRPr="00BF4D71">
        <w:rPr>
          <w:rStyle w:val="Odwoanieprzypisudolnego"/>
        </w:rPr>
        <w:footnoteRef/>
      </w:r>
      <w:r w:rsidRPr="00BF4D71">
        <w:t xml:space="preserve"> Na temat proporcjonalności zob. m.in. A. Barak,  Proportionality. Constitutional rights and their limitations, Cambridge 2013; R. Alexy, Teoria praw podstawowych, Warszawa 2010; D. Kijowski, Zasada adekwatności w prawie administracyjnym, „Państwo i Prawo” 1990, nr 4; P. Mikuła, Zasada proporcjonalności w orzecznictwie TSUE dotyczącym podatku od wartości dodanej, „Kwartalnik Prawa Podatkowego” 2014, nr 2.</w:t>
      </w:r>
    </w:p>
  </w:footnote>
  <w:footnote w:id="116">
    <w:p w:rsidR="00BA4699" w:rsidRDefault="00BA4699" w:rsidP="00FA30AA">
      <w:pPr>
        <w:pStyle w:val="Tekstprzypisudolnego"/>
        <w:spacing w:before="60" w:after="60" w:line="240" w:lineRule="auto"/>
      </w:pPr>
      <w:r w:rsidRPr="00BF4D71">
        <w:rPr>
          <w:rStyle w:val="Odwoanieprzypisudolnego"/>
        </w:rPr>
        <w:footnoteRef/>
      </w:r>
      <w:r w:rsidRPr="00BF4D71">
        <w:t xml:space="preserve"> D. Strzelec, Dowody i postępowanie dowodowe w sprawach podatkowych, Warszawa 2015, s. 366.</w:t>
      </w:r>
    </w:p>
  </w:footnote>
  <w:footnote w:id="117">
    <w:p w:rsidR="00BA4699" w:rsidRDefault="00BA4699" w:rsidP="00FA30AA">
      <w:pPr>
        <w:pStyle w:val="Tekstprzypisudolnego"/>
        <w:spacing w:before="60" w:after="60" w:line="240" w:lineRule="auto"/>
      </w:pPr>
      <w:r w:rsidRPr="00BF4D71">
        <w:rPr>
          <w:rStyle w:val="Odwoanieprzypisudolnego"/>
        </w:rPr>
        <w:footnoteRef/>
      </w:r>
      <w:r w:rsidRPr="00BF4D71">
        <w:t xml:space="preserve"> Zob. w szczególności J. Zakolska, Zasada proporcjonalności w orzecznictwie Trybunału Konstytucyjnego, Warszawa 2008; K. Wójtowicz: Zasada proporcjonalności jako warunek konstytucyjności norm (w:) Księga XX-lecia orzecznictwa Trybunału Konstytucyjnego, Warszawa 2006; K. Wojtyczek, Granice ingerencji ustawodawczej w sferę praw człowieka w Konstytucji RP, Kraków 1999, s. 136–167.</w:t>
      </w:r>
    </w:p>
  </w:footnote>
  <w:footnote w:id="118">
    <w:p w:rsidR="00BA4699" w:rsidRDefault="00BA4699" w:rsidP="00FA30AA">
      <w:pPr>
        <w:pStyle w:val="Tekstprzypisudolnego"/>
        <w:spacing w:before="60" w:after="60" w:line="240" w:lineRule="auto"/>
      </w:pPr>
      <w:r w:rsidRPr="00BF4D71">
        <w:rPr>
          <w:rStyle w:val="Odwoanieprzypisudolnego"/>
        </w:rPr>
        <w:footnoteRef/>
      </w:r>
      <w:r w:rsidRPr="00BF4D71">
        <w:t xml:space="preserve"> Por. także art. 5 ust. 4 Traktatu o Unii Europejskiej: „Zgodnie z zasadą proporcjonalności zakres i forma działania Unii nie wykraczają poza to, co jest konieczne do osiągnięcia celów Traktatów. Instytucje Unii stosują zasadę proporcjonalności zgodnie z Protokołem w sprawie stosowania zasad pomocniczości i proporcjonalności”. Por. A. Wróbel, Stosowanie prawa Unii Europejskiej przez sądy, t. I, Warszawa 2010, s. 202-203; J. Maliszewska-Nienartowicz, Zasada proporcjonalności w prawie Wspólnot Europejskich, Toruń 2007; P. Mikuła, Zasada proporcjonalności…, </w:t>
      </w:r>
      <w:r w:rsidRPr="00BF4D71">
        <w:rPr>
          <w:i/>
        </w:rPr>
        <w:t>op.cit</w:t>
      </w:r>
      <w:r w:rsidRPr="00BF4D71">
        <w:t>.</w:t>
      </w:r>
    </w:p>
  </w:footnote>
  <w:footnote w:id="119">
    <w:p w:rsidR="00BA4699" w:rsidRPr="0054338C" w:rsidRDefault="00BA4699" w:rsidP="00FA30AA">
      <w:pPr>
        <w:pStyle w:val="Tekstprzypisudolnego"/>
        <w:snapToGrid w:val="0"/>
        <w:spacing w:before="60" w:after="60" w:line="240" w:lineRule="auto"/>
        <w:rPr>
          <w:lang w:val="en-US"/>
        </w:rPr>
      </w:pPr>
      <w:r w:rsidRPr="00BF4D71">
        <w:rPr>
          <w:rStyle w:val="Odwoanieprzypisudolnego"/>
        </w:rPr>
        <w:footnoteRef/>
      </w:r>
      <w:r w:rsidRPr="00BF4D71">
        <w:rPr>
          <w:lang w:val="en-US"/>
        </w:rPr>
        <w:t xml:space="preserve"> T. Albin, M. Herm, I. Klauson, E. Uustalu (w:) M. Lang, P. Pistone, J. Schuch, C. Staringer (red.), Procedural Rules in Tax Law in the Context of European Union and Domestic Law, Alphen aan den Rijn 2010,</w:t>
      </w:r>
      <w:r w:rsidRPr="00BF4D71">
        <w:rPr>
          <w:i/>
          <w:lang w:val="en-US"/>
        </w:rPr>
        <w:t xml:space="preserve"> </w:t>
      </w:r>
      <w:r w:rsidRPr="00BF4D71">
        <w:rPr>
          <w:lang w:val="en-US"/>
        </w:rPr>
        <w:t>s. 196.</w:t>
      </w:r>
    </w:p>
  </w:footnote>
  <w:footnote w:id="120">
    <w:p w:rsidR="00BA4699" w:rsidRDefault="00BA4699" w:rsidP="00FA30AA">
      <w:pPr>
        <w:pStyle w:val="Tekstprzypisudolnego"/>
        <w:spacing w:before="60" w:after="60" w:line="240" w:lineRule="auto"/>
      </w:pPr>
      <w:r w:rsidRPr="00BF4D71">
        <w:rPr>
          <w:rStyle w:val="Odwoanieprzypisudolnego"/>
        </w:rPr>
        <w:footnoteRef/>
      </w:r>
      <w:r w:rsidRPr="00BF4D71">
        <w:t xml:space="preserve"> Zob. np. L. Etel, P. Pietrasz, Uwagi w przedmiocie konstytucyjności art. 89 ust. 16 ustawy o podatku akcyzowym, „Przegląd Podatkowy” 2011, nr 10; P. Mikuła, Zasada proporcjonalności…, </w:t>
      </w:r>
      <w:r w:rsidRPr="00BF4D71">
        <w:rPr>
          <w:i/>
        </w:rPr>
        <w:t>op.cit</w:t>
      </w:r>
      <w:r w:rsidRPr="00BF4D71">
        <w:t>.</w:t>
      </w:r>
    </w:p>
  </w:footnote>
  <w:footnote w:id="121">
    <w:p w:rsidR="00BA4699" w:rsidRPr="00BF4D71" w:rsidRDefault="00BA4699" w:rsidP="00FA30AA">
      <w:pPr>
        <w:pStyle w:val="Tekstprzypisudolnego"/>
        <w:spacing w:before="60" w:after="60" w:line="240" w:lineRule="auto"/>
      </w:pPr>
      <w:r w:rsidRPr="00BF4D71">
        <w:rPr>
          <w:rStyle w:val="Odwoanieprzypisudolnego"/>
        </w:rPr>
        <w:footnoteRef/>
      </w:r>
      <w:r w:rsidRPr="00BF4D71">
        <w:t xml:space="preserve"> „W toku podejmowania decyzji urzędnik zapewni, że przyjęte działania pozostaną proporcjonalne do obranego celu. Urzędnik będzie w szczególności unikać ograniczania praw obywateli lub nakładania na nich obciążeń, jeżeli ograniczenia te lub obciążenia byłyby niewspółmierne do celu prowadzonych działań.</w:t>
      </w:r>
    </w:p>
    <w:p w:rsidR="00BA4699" w:rsidRDefault="00BA4699" w:rsidP="00FA30AA">
      <w:pPr>
        <w:pStyle w:val="Tekstprzypisudolnego"/>
        <w:spacing w:before="60" w:after="60" w:line="240" w:lineRule="auto"/>
      </w:pPr>
      <w:r w:rsidRPr="00BF4D71">
        <w:t>2. W toku podejmowania decyzji urzędnik zwróci uwagę na sprawiedliwe wyważanie praw osób prywatnych i ogólnego interesu publicznego”.</w:t>
      </w:r>
    </w:p>
  </w:footnote>
  <w:footnote w:id="122">
    <w:p w:rsidR="00BA4699" w:rsidRDefault="00BA4699" w:rsidP="00FA30AA">
      <w:pPr>
        <w:pStyle w:val="Tekstprzypisudolnego"/>
        <w:spacing w:before="60" w:after="60" w:line="240" w:lineRule="auto"/>
      </w:pPr>
      <w:r w:rsidRPr="00BF4D71">
        <w:rPr>
          <w:rStyle w:val="Odwoanieprzypisudolnego"/>
        </w:rPr>
        <w:footnoteRef/>
      </w:r>
      <w:r w:rsidRPr="00BF4D71">
        <w:t xml:space="preserve"> Kryteria celowości i efektywności działania były proponowane przez ekspertów pracujących nad reformą k.p.a.; ostatecznie nie zostały jednak znormatywizowane w nowelizacji k.p.a. Por. raport zespołu eksperckiego działającego przy Prezesie Naczelnego Sądu Administracyjnego – Reforma prawa o postępowaniu administracyjnym, Warszawa, czerwiec 2016 r., rozdział 4 „Zasady ogólne postępowania administracyjnego </w:t>
      </w:r>
      <w:r w:rsidRPr="00BF4D71">
        <w:rPr>
          <w:bCs/>
        </w:rPr>
        <w:t>(art. 8, 8a, 13–16 k.p.a.)”,</w:t>
      </w:r>
      <w:r w:rsidRPr="00BF4D71">
        <w:t xml:space="preserve"> </w:t>
      </w:r>
      <w:hyperlink r:id="rId15" w:history="1">
        <w:r w:rsidRPr="00BF4D71">
          <w:rPr>
            <w:rStyle w:val="Hipercze"/>
          </w:rPr>
          <w:t>http://www.nsa.gov.pl/raport-ekspercki-kpa.php</w:t>
        </w:r>
      </w:hyperlink>
      <w:r w:rsidRPr="00BF4D71">
        <w:t>; dalej: raport ekspercki k.p.a. Raport jest rezultatem prac powołanego decyzją Prezesa Naczelnego Sądu Administracyjnego nr 8 z dnia 10 października 2012 r. zespołu do opracowania koncepcji modyfikacji postępowania administracyjnego.</w:t>
      </w:r>
    </w:p>
  </w:footnote>
  <w:footnote w:id="123">
    <w:p w:rsidR="00BA4699" w:rsidRDefault="00BA4699" w:rsidP="00FA30AA">
      <w:pPr>
        <w:pStyle w:val="Tekstprzypisudolnego"/>
        <w:spacing w:before="60" w:after="60" w:line="240" w:lineRule="auto"/>
      </w:pPr>
      <w:r w:rsidRPr="00BF4D71">
        <w:rPr>
          <w:rStyle w:val="Odwoanieprzypisudolnego"/>
        </w:rPr>
        <w:footnoteRef/>
      </w:r>
      <w:r w:rsidRPr="00BF4D71">
        <w:t xml:space="preserve"> „Władze publiczne powinny działać i wykonywać swoje obowiązki w rozsądnym czasie”.</w:t>
      </w:r>
    </w:p>
  </w:footnote>
  <w:footnote w:id="124">
    <w:p w:rsidR="00BA4699" w:rsidRDefault="00BA4699" w:rsidP="00FA30AA">
      <w:pPr>
        <w:pStyle w:val="Tekstprzypisudolnego"/>
        <w:spacing w:before="60" w:after="60" w:line="240" w:lineRule="auto"/>
      </w:pPr>
      <w:r w:rsidRPr="00BF4D71">
        <w:rPr>
          <w:rStyle w:val="Odwoanieprzypisudolnego"/>
        </w:rPr>
        <w:footnoteRef/>
      </w:r>
      <w:r w:rsidRPr="00BF4D71">
        <w:t xml:space="preserve"> Wymaga to dobrego współdziałania między organami podatkowymi (organami administracji). Por. art. 7b k.p.a. (obowiązujący od 1 czerwca 2017 r.): „W toku postępowania organy administracji publicznej współdziałają ze sobą w zakresie niezbędnym do dokładnego wyjaśnienia stanu faktycznego i prawnego sprawy, mając na względzie interes społeczny i słuszny interes obywateli oraz sprawność postępowania, przy pomocy środków adekwatnych do charakteru, okoliczności i stopnia złożoności sprawy”.</w:t>
      </w:r>
    </w:p>
  </w:footnote>
  <w:footnote w:id="125">
    <w:p w:rsidR="00BA4699" w:rsidRDefault="00BA4699" w:rsidP="00FA30AA">
      <w:pPr>
        <w:pStyle w:val="Tekstprzypisudolnego"/>
        <w:spacing w:before="60" w:after="60" w:line="240" w:lineRule="auto"/>
      </w:pPr>
      <w:r w:rsidRPr="00BF4D71">
        <w:rPr>
          <w:rStyle w:val="Odwoanieprzypisudolnego"/>
        </w:rPr>
        <w:footnoteRef/>
      </w:r>
      <w:r w:rsidRPr="00BF4D71">
        <w:t xml:space="preserve"> „O ile podjęcie działania nie jest nagląco wymagane, władze publiczne powinny zapewniać osobom prywatnym sposobność uczestnictwa właściwymi środkami w przygotowywaniu i urzeczywistnianiu decyzji administracyjnych, które dotykają ich praw lub interesów”.</w:t>
      </w:r>
    </w:p>
  </w:footnote>
  <w:footnote w:id="126">
    <w:p w:rsidR="00BA4699" w:rsidRDefault="00BA4699" w:rsidP="00FA30AA">
      <w:pPr>
        <w:pStyle w:val="Tekstprzypisudolnego"/>
        <w:spacing w:before="60" w:after="60" w:line="240" w:lineRule="auto"/>
      </w:pPr>
      <w:r w:rsidRPr="00BF4D71">
        <w:rPr>
          <w:rStyle w:val="Odwoanieprzypisudolnego"/>
        </w:rPr>
        <w:footnoteRef/>
      </w:r>
      <w:r w:rsidRPr="00BF4D71">
        <w:t xml:space="preserve"> „Jeśli władza publiczna zamierza podjąć decyzję indywidualną, która w bezpośredni i szkodliwy sposób dotyka praw osób prywatnych, o ile nie została już im zapewniona sposobność wyrażenia ich poglądów, osoby takie powinny – jeśli nie jest to oczywiście zbędne – dysponować sposobnością wyrażenia ich poglądów w rozsądnym czasie oraz w sposób przewidziany przez prawo krajowe, w razie konieczności z pomocą wybranej przez nie osoby”. Por. także art. 41 ust. 2 lit a)-b) Karty Praw Podstawowych Unii Europejskiej.</w:t>
      </w:r>
    </w:p>
  </w:footnote>
  <w:footnote w:id="127">
    <w:p w:rsidR="00BA4699" w:rsidRPr="00BF4D71" w:rsidRDefault="00BA4699" w:rsidP="00FA30AA">
      <w:pPr>
        <w:pStyle w:val="Tekstprzypisudolnego"/>
        <w:spacing w:before="60" w:after="60" w:line="240" w:lineRule="auto"/>
      </w:pPr>
      <w:r w:rsidRPr="00BF4D71">
        <w:rPr>
          <w:rStyle w:val="Odwoanieprzypisudolnego"/>
        </w:rPr>
        <w:footnoteRef/>
      </w:r>
      <w:r w:rsidRPr="00BF4D71">
        <w:t xml:space="preserve"> Przepis ten został sformułowany dość obszernie i szczegółowo: „1. W przypadkach dotyczących praw lub interesów jednostek urzędnik zapewni przestrzeganie praw do obrony na każdym etapie postępowania zmierzającego do wydania decyzji. </w:t>
      </w:r>
    </w:p>
    <w:p w:rsidR="00BA4699" w:rsidRDefault="00BA4699" w:rsidP="00FA30AA">
      <w:pPr>
        <w:pStyle w:val="Tekstprzypisudolnego"/>
        <w:spacing w:before="60" w:after="60" w:line="240" w:lineRule="auto"/>
      </w:pPr>
      <w:r w:rsidRPr="00BF4D71">
        <w:t>2. W przypadkach, w których może zostać wydana decyzja dotycząca praw lub interesów jednostki, ma ona prawo przed podjęciem decyzji przedstawić swoje uwagi na piśmie i w razie potrzeby przedstawić ustnie swoje spostrzeżenia”.</w:t>
      </w:r>
    </w:p>
  </w:footnote>
  <w:footnote w:id="128">
    <w:p w:rsidR="00BA4699" w:rsidRPr="0054338C" w:rsidRDefault="00BA4699" w:rsidP="00FA30AA">
      <w:pPr>
        <w:pStyle w:val="Tekstprzypisudolnego"/>
        <w:spacing w:before="60" w:after="60" w:line="240" w:lineRule="auto"/>
        <w:rPr>
          <w:lang w:val="fr-FR"/>
        </w:rPr>
      </w:pPr>
      <w:r w:rsidRPr="00BF4D71">
        <w:rPr>
          <w:rStyle w:val="Odwoanieprzypisudolnego"/>
        </w:rPr>
        <w:footnoteRef/>
      </w:r>
      <w:r w:rsidRPr="00BF4D71">
        <w:rPr>
          <w:lang w:val="fr-FR"/>
        </w:rPr>
        <w:t xml:space="preserve"> Zob. La charte du contribuable: „Vous avez le droit à l'écoute et à la considération”.</w:t>
      </w:r>
    </w:p>
  </w:footnote>
  <w:footnote w:id="129">
    <w:p w:rsidR="00BA4699" w:rsidRDefault="00BA4699" w:rsidP="00FA30AA">
      <w:pPr>
        <w:pStyle w:val="Tekstprzypisudolnego"/>
        <w:spacing w:before="60" w:after="60" w:line="240" w:lineRule="auto"/>
      </w:pPr>
      <w:r w:rsidRPr="00BF4D71">
        <w:rPr>
          <w:rStyle w:val="Odwoanieprzypisudolnego"/>
        </w:rPr>
        <w:footnoteRef/>
      </w:r>
      <w:r w:rsidRPr="00BF4D71">
        <w:t xml:space="preserve"> Por. także art. 41 ust. 2 lit. c) Karty Praw Podstawowych Unii Europejskiej.</w:t>
      </w:r>
    </w:p>
  </w:footnote>
  <w:footnote w:id="130">
    <w:p w:rsidR="00BA4699" w:rsidRDefault="00BA4699" w:rsidP="00FA30AA">
      <w:pPr>
        <w:pStyle w:val="Tekstprzypisudolnego"/>
        <w:spacing w:before="60" w:after="60" w:line="240" w:lineRule="auto"/>
      </w:pPr>
      <w:r w:rsidRPr="00BF4D71">
        <w:rPr>
          <w:rStyle w:val="Odwoanieprzypisudolnego"/>
        </w:rPr>
        <w:footnoteRef/>
      </w:r>
      <w:r w:rsidRPr="00BF4D71">
        <w:t xml:space="preserve"> Por. rekomendacja Komitetu Ministrów Rady Europy nr R(2001)9 z dnia 5 września 2001 r. o alternatywnych środkach rozstrzygania sporów sądowych między władzami administracyjnymi a osobami (stronami) prywatnymi, http://</w:t>
      </w:r>
      <w:hyperlink r:id="rId16" w:history="1">
        <w:r w:rsidRPr="00BF4D71">
          <w:rPr>
            <w:rStyle w:val="Hipercze"/>
          </w:rPr>
          <w:t>www.coe.int</w:t>
        </w:r>
      </w:hyperlink>
      <w:r w:rsidRPr="00BF4D71">
        <w:t>; A. Skóra, Nowe sposoby rozstrzygania sporów (</w:t>
      </w:r>
      <w:r w:rsidRPr="00BF4D71">
        <w:rPr>
          <w:i/>
          <w:iCs/>
        </w:rPr>
        <w:t>litigation</w:t>
      </w:r>
      <w:r w:rsidRPr="00BF4D71">
        <w:t>) między organami administracji publicznej a osobami prywatnymi w świetle rekomendacji Komitetu Ministrów Rady Europy nr R(2001)9 z dnia 5 września 2001 r., „Gdańskie Studia Prawnicze” 2005, t. XIII.</w:t>
      </w:r>
    </w:p>
  </w:footnote>
  <w:footnote w:id="131">
    <w:p w:rsidR="00BA4699" w:rsidRDefault="00BA4699" w:rsidP="00FA30AA">
      <w:pPr>
        <w:pStyle w:val="Tekstprzypisudolnego"/>
        <w:spacing w:before="60" w:after="60" w:line="240" w:lineRule="auto"/>
      </w:pPr>
      <w:r w:rsidRPr="00BF4D71">
        <w:rPr>
          <w:rStyle w:val="Odwoanieprzypisudolnego"/>
        </w:rPr>
        <w:footnoteRef/>
      </w:r>
      <w:r w:rsidRPr="00BF4D71">
        <w:t xml:space="preserve"> Zasada ta obowiązywała także wcześniej, odnosiła się jednak wyłącznie do ugody między stronami postępowania administracyjnego o spornych interesach, zawieranej (sporządzanej) przed organem administracji publicznej. Jak mówi o tym uzasadnienie projektu nowelizacji k.p.a. z 2017 r., bieżące sformułowanie zasady „stanowi sygnał istotnego przewartościowania zasady dotychczas obowiązującej (…) Jej istota w proponowanym brzmieniu sprowadza się do dążenia do polubownego rozwiązywania wszystkich kwestii spornych w toku postępowania, a także ustalania w ten sposób praw i obowiązków stron”.  </w:t>
      </w:r>
    </w:p>
  </w:footnote>
  <w:footnote w:id="132">
    <w:p w:rsidR="00BA4699" w:rsidRPr="00BF4D71" w:rsidRDefault="00BA4699" w:rsidP="00FA30AA">
      <w:pPr>
        <w:pStyle w:val="Tekstprzypisudolnego"/>
        <w:spacing w:before="60" w:after="60" w:line="240" w:lineRule="auto"/>
      </w:pPr>
      <w:r w:rsidRPr="00BF4D71">
        <w:rPr>
          <w:rStyle w:val="Odwoanieprzypisudolnego"/>
        </w:rPr>
        <w:footnoteRef/>
      </w:r>
      <w:r w:rsidRPr="00BF4D71">
        <w:t xml:space="preserve"> „§ 1. Organy administracji publicznej w sprawach, których charakter na to pozwala, dążą do polubownego rozstrzygania kwestii spornych oraz ustalania praw i obowiązków będących przedmiotem postępowania w należących do ich właściwości sprawach, w szczególności przez podejmowanie czynności:</w:t>
      </w:r>
    </w:p>
    <w:p w:rsidR="00BA4699" w:rsidRPr="00BF4D71" w:rsidRDefault="00BA4699" w:rsidP="00FA30AA">
      <w:pPr>
        <w:pStyle w:val="Tekstprzypisudolnego"/>
        <w:spacing w:before="60" w:after="60" w:line="240" w:lineRule="auto"/>
      </w:pPr>
      <w:r w:rsidRPr="00BF4D71">
        <w:t>1) skłaniających strony do zawarcia ugody w sprawach, w których uczestniczą strony o spornych interesach;</w:t>
      </w:r>
    </w:p>
    <w:p w:rsidR="00BA4699" w:rsidRPr="00BF4D71" w:rsidRDefault="00BA4699" w:rsidP="00FA30AA">
      <w:pPr>
        <w:pStyle w:val="Tekstprzypisudolnego"/>
        <w:spacing w:before="60" w:after="60" w:line="240" w:lineRule="auto"/>
      </w:pPr>
      <w:r w:rsidRPr="00BF4D71">
        <w:t>2) niezbędnych do przeprowadzenia mediacji.</w:t>
      </w:r>
    </w:p>
    <w:p w:rsidR="00BA4699" w:rsidRDefault="00BA4699" w:rsidP="00FA30AA">
      <w:pPr>
        <w:pStyle w:val="Tekstprzypisudolnego"/>
        <w:spacing w:before="60" w:after="60" w:line="240" w:lineRule="auto"/>
      </w:pPr>
      <w:r w:rsidRPr="00BF4D71">
        <w:t>§ 2. Organy administracji publicznej podejmują wszystkie uzasadnione na danym etapie postępowania czynności umożliwiające przeprowadzenie mediacji lub zawarcie ugody, a w szczególności udzielają wyjaśnień o możliwościach i korzyściach polubownego załatwienia sprawy”.</w:t>
      </w:r>
    </w:p>
  </w:footnote>
  <w:footnote w:id="133">
    <w:p w:rsidR="00BA4699" w:rsidRPr="0054338C" w:rsidRDefault="00BA4699" w:rsidP="00FA30AA">
      <w:pPr>
        <w:pStyle w:val="Tekstprzypisudolnego"/>
        <w:spacing w:before="60" w:after="60" w:line="240" w:lineRule="auto"/>
        <w:rPr>
          <w:lang w:val="en-US"/>
        </w:rPr>
      </w:pPr>
      <w:r w:rsidRPr="00BF4D71">
        <w:rPr>
          <w:rStyle w:val="Odwoanieprzypisudolnego"/>
        </w:rPr>
        <w:footnoteRef/>
      </w:r>
      <w:r w:rsidRPr="00BF4D71">
        <w:rPr>
          <w:lang w:val="en-US"/>
        </w:rPr>
        <w:t xml:space="preserve"> Zob. np. francuska La charte du contribuable: „Le secret fiscal est une valeur forte de l’administration”;  brytyjska Your Charter: „We’ll protect information we obtain, receive or hold about you and only share information about you when the law lets us”; Taxpayer Bill of Rights w USA: „</w:t>
      </w:r>
      <w:r w:rsidRPr="00BF4D71">
        <w:rPr>
          <w:bCs/>
          <w:lang w:val="en-US"/>
        </w:rPr>
        <w:t xml:space="preserve">The Right to Confidentiality. </w:t>
      </w:r>
      <w:r w:rsidRPr="00BF4D71">
        <w:rPr>
          <w:lang w:val="en-US"/>
        </w:rPr>
        <w:t>Taxpayers have the right to expect that any information they provide to the IRS will not be disclosed unless authorized by the taxpayer or by law. Taxpayers have the right to expect appropriate action will be taken against employees, return preparers, and others who wrongfully use or disclose taxpayer return information”.</w:t>
      </w:r>
    </w:p>
  </w:footnote>
  <w:footnote w:id="134">
    <w:p w:rsidR="00BA4699" w:rsidRPr="00CC10D2" w:rsidRDefault="00BA4699" w:rsidP="00FA30AA">
      <w:pPr>
        <w:pStyle w:val="Tekstprzypisudolnego"/>
        <w:spacing w:before="60" w:after="60" w:line="240" w:lineRule="auto"/>
        <w:rPr>
          <w:lang w:val="en-US"/>
        </w:rPr>
      </w:pPr>
      <w:r w:rsidRPr="00BF4D71">
        <w:rPr>
          <w:rStyle w:val="Odwoanieprzypisudolnego"/>
          <w:rFonts w:ascii="Calibri" w:hAnsi="Calibri" w:cs="Calibri"/>
        </w:rPr>
        <w:footnoteRef/>
      </w:r>
      <w:r w:rsidRPr="00BF4D71">
        <w:rPr>
          <w:lang w:val="en-US"/>
        </w:rPr>
        <w:t xml:space="preserve"> https://www.nik.gov.pl/plik/id,8681,vp,10800.pdf</w:t>
      </w:r>
    </w:p>
  </w:footnote>
  <w:footnote w:id="135">
    <w:p w:rsidR="00BA4699" w:rsidRDefault="00BA4699" w:rsidP="00FA30AA">
      <w:pPr>
        <w:pStyle w:val="Tekstprzypisudolnego"/>
        <w:spacing w:before="60" w:after="60" w:line="240" w:lineRule="auto"/>
      </w:pPr>
      <w:r w:rsidRPr="00BF4D71">
        <w:rPr>
          <w:rStyle w:val="Odwoanieprzypisudolnego"/>
          <w:rFonts w:ascii="Calibri" w:hAnsi="Calibri" w:cs="Calibri"/>
        </w:rPr>
        <w:footnoteRef/>
      </w:r>
      <w:r w:rsidRPr="00BF4D71">
        <w:t xml:space="preserve"> Wystąpienie pokontrolne Prezesa Najwyższej Izby Kontroli po kontroli Ministerstwa Finansów z 12 stycznia 2015 r., P/14/013 źródło: </w:t>
      </w:r>
      <w:hyperlink r:id="rId17" w:history="1">
        <w:r w:rsidRPr="00BF4D71">
          <w:rPr>
            <w:rStyle w:val="Hipercze"/>
            <w:rFonts w:ascii="Calibri" w:hAnsi="Calibri" w:cs="Calibri"/>
          </w:rPr>
          <w:t>http://www.mf.gov.pl/c/document_library/get_file?uuid=6627246f-40c7-425b-86f4-6524544e9089&amp;groupId=764034</w:t>
        </w:r>
      </w:hyperlink>
      <w:r w:rsidRPr="00BF4D71">
        <w:t>, s. 14.</w:t>
      </w:r>
    </w:p>
  </w:footnote>
  <w:footnote w:id="136">
    <w:p w:rsidR="00BA4699" w:rsidRDefault="00BA4699" w:rsidP="00FA30AA">
      <w:pPr>
        <w:pStyle w:val="Tekstprzypisudolnego"/>
        <w:spacing w:before="60" w:after="60" w:line="240" w:lineRule="auto"/>
      </w:pPr>
      <w:r w:rsidRPr="00BF4D71">
        <w:rPr>
          <w:rStyle w:val="Odwoanieprzypisudolnego"/>
          <w:rFonts w:ascii="Calibri" w:hAnsi="Calibri" w:cs="Calibri"/>
        </w:rPr>
        <w:footnoteRef/>
      </w:r>
      <w:r w:rsidRPr="00BF4D71">
        <w:t xml:space="preserve"> </w:t>
      </w:r>
      <w:r w:rsidRPr="00BF4D71">
        <w:rPr>
          <w:i/>
          <w:iCs/>
        </w:rPr>
        <w:t>Ibidem</w:t>
      </w:r>
      <w:r w:rsidRPr="00BF4D71">
        <w:t xml:space="preserve">, s. 19. </w:t>
      </w:r>
    </w:p>
  </w:footnote>
  <w:footnote w:id="137">
    <w:p w:rsidR="00BA4699" w:rsidRDefault="00BA4699" w:rsidP="00FA30AA">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Ustawa z dnia 23 października 2018 r. o zmianie ustawy o podatku dochodowym od osób fizycznych, ustawy o podatku dochodowym od osób prawnych, ustawy – Ordynacja podatkowa oraz niektórych innych ustaw (Dz. U. z 2018 r.  poz. 2193</w:t>
      </w:r>
      <w:r w:rsidRPr="00BF4D71">
        <w:rPr>
          <w:rFonts w:ascii="Times New Roman" w:hAnsi="Times New Roman"/>
          <w:color w:val="FF0000"/>
          <w:sz w:val="20"/>
          <w:szCs w:val="20"/>
        </w:rPr>
        <w:t>).</w:t>
      </w:r>
    </w:p>
  </w:footnote>
  <w:footnote w:id="138">
    <w:p w:rsidR="00BA4699" w:rsidRDefault="00BA4699" w:rsidP="00FA30AA">
      <w:pPr>
        <w:pStyle w:val="Tekstprzypisudolnego"/>
        <w:spacing w:before="60" w:after="60" w:line="240" w:lineRule="auto"/>
      </w:pPr>
      <w:r w:rsidRPr="00BF4D71">
        <w:rPr>
          <w:rStyle w:val="Odwoanieprzypisudolnego"/>
          <w:rFonts w:ascii="Calibri" w:hAnsi="Calibri" w:cs="Calibri"/>
        </w:rPr>
        <w:footnoteRef/>
      </w:r>
      <w:r w:rsidRPr="00BF4D71">
        <w:t xml:space="preserve"> Por. uzasadnienie Rządowego projektu ustawy o zmianie ustawy o podatku dochodowym od osób fizycznych, ustawy o podatku dochodowym od osób prawnych, ustawy – Ordynacja podatkowa oraz niektórych innych ustaw; Sejm RP VII kadencji, druk 2860.</w:t>
      </w:r>
    </w:p>
  </w:footnote>
  <w:footnote w:id="139">
    <w:p w:rsidR="00BA4699" w:rsidRPr="00BF4D71" w:rsidRDefault="00BA4699" w:rsidP="00FA30AA">
      <w:pPr>
        <w:spacing w:before="60" w:after="60" w:line="240" w:lineRule="auto"/>
        <w:jc w:val="both"/>
        <w:rPr>
          <w:rFonts w:ascii="Times New Roman" w:hAnsi="Times New Roman"/>
          <w:sz w:val="20"/>
          <w:szCs w:val="20"/>
        </w:rPr>
      </w:pPr>
      <w:r w:rsidRPr="00BF4D71">
        <w:rPr>
          <w:rStyle w:val="Odwoanieprzypisudolnego"/>
          <w:sz w:val="20"/>
          <w:szCs w:val="20"/>
        </w:rPr>
        <w:footnoteRef/>
      </w:r>
      <w:r w:rsidRPr="00BF4D71">
        <w:rPr>
          <w:rFonts w:ascii="Times New Roman" w:hAnsi="Times New Roman"/>
          <w:sz w:val="20"/>
          <w:szCs w:val="20"/>
        </w:rPr>
        <w:t xml:space="preserve"> Por. pkt III 1.6. uzasadnienia wyroku Trybunału Konstytucyjnego z 11 maja 2004 r., K 4/03.</w:t>
      </w:r>
    </w:p>
    <w:p w:rsidR="00BA4699" w:rsidRDefault="00BA4699" w:rsidP="00FA30AA">
      <w:pPr>
        <w:spacing w:before="60" w:after="60" w:line="240" w:lineRule="auto"/>
        <w:jc w:val="both"/>
      </w:pPr>
    </w:p>
  </w:footnote>
  <w:footnote w:id="140">
    <w:p w:rsidR="00BA4699" w:rsidRPr="00BF4D71" w:rsidRDefault="00BA4699" w:rsidP="00FA30AA">
      <w:pPr>
        <w:spacing w:before="60" w:after="60" w:line="240" w:lineRule="auto"/>
        <w:jc w:val="both"/>
        <w:rPr>
          <w:rFonts w:ascii="Times New Roman" w:hAnsi="Times New Roman"/>
          <w:sz w:val="20"/>
          <w:szCs w:val="20"/>
        </w:rPr>
      </w:pPr>
      <w:r w:rsidRPr="00BF4D71">
        <w:rPr>
          <w:rStyle w:val="Odwoanieprzypisudolnego"/>
          <w:sz w:val="20"/>
          <w:szCs w:val="20"/>
        </w:rPr>
        <w:footnoteRef/>
      </w:r>
      <w:r w:rsidRPr="00BF4D71">
        <w:rPr>
          <w:rFonts w:ascii="Times New Roman" w:hAnsi="Times New Roman"/>
          <w:sz w:val="20"/>
          <w:szCs w:val="20"/>
        </w:rPr>
        <w:t xml:space="preserve"> Por. art. 3 pkt 24 ustawy z dnia 23 października 2018r. </w:t>
      </w:r>
      <w:r w:rsidRPr="00BF4D71">
        <w:rPr>
          <w:rFonts w:ascii="Times New Roman" w:hAnsi="Times New Roman"/>
          <w:sz w:val="20"/>
          <w:szCs w:val="20"/>
          <w:lang w:eastAsia="pl-PL"/>
        </w:rPr>
        <w:t>o zmianie ustawy o podatku dochodowym od osób fizycznych, ustawy o podatku dochodowym od osób prawnych, ustawy – Ordynacja podatkowa oraz niektórych innych ustaw (Dz. U. z 2018 r.  poz. 2193).</w:t>
      </w:r>
    </w:p>
    <w:p w:rsidR="00BA4699" w:rsidRDefault="00BA4699" w:rsidP="00FA30AA">
      <w:pPr>
        <w:spacing w:before="60" w:after="60" w:line="240" w:lineRule="auto"/>
        <w:jc w:val="both"/>
      </w:pPr>
    </w:p>
  </w:footnote>
  <w:footnote w:id="141">
    <w:p w:rsidR="00BA4699" w:rsidRDefault="00BA4699" w:rsidP="00FA30AA">
      <w:pPr>
        <w:pStyle w:val="Tekstprzypisudolnego"/>
        <w:spacing w:before="60" w:after="60" w:line="240" w:lineRule="auto"/>
      </w:pPr>
      <w:r w:rsidRPr="00BF4D71">
        <w:rPr>
          <w:rStyle w:val="Odwoanieprzypisudolnego"/>
          <w:rFonts w:ascii="Calibri" w:hAnsi="Calibri" w:cs="Calibri"/>
        </w:rPr>
        <w:footnoteRef/>
      </w:r>
      <w:r w:rsidRPr="00BF4D71">
        <w:t xml:space="preserve"> Por. P Karwat, Obejście prawa podatkowego, Warszawa 2003, s. 13-49; A. Olesińska, Klauzula ogólna przeciwko unikaniu opodatkowania, Toruń 2013, s. 25-43.</w:t>
      </w:r>
    </w:p>
  </w:footnote>
  <w:footnote w:id="142">
    <w:p w:rsidR="00BA4699" w:rsidRPr="00BF4D71" w:rsidRDefault="00BA4699" w:rsidP="00FA30AA">
      <w:pPr>
        <w:pStyle w:val="Tekstprzypisudolnego"/>
        <w:spacing w:before="60" w:after="60" w:line="240" w:lineRule="auto"/>
        <w:ind w:left="142" w:hanging="142"/>
        <w:rPr>
          <w:lang w:val="en-US"/>
        </w:rPr>
      </w:pPr>
      <w:r w:rsidRPr="00BF4D71">
        <w:rPr>
          <w:rStyle w:val="Odwoanieprzypisudolnego"/>
          <w:rFonts w:ascii="Calibri" w:hAnsi="Calibri" w:cs="Calibri"/>
        </w:rPr>
        <w:footnoteRef/>
      </w:r>
      <w:r w:rsidRPr="00BF4D71">
        <w:rPr>
          <w:lang w:val="en-US"/>
        </w:rPr>
        <w:t xml:space="preserve"> H. Filipczyk, Tax Avoidance And Rationality of Law, Warszawa 2017.</w:t>
      </w:r>
    </w:p>
    <w:p w:rsidR="00BA4699" w:rsidRPr="00CC10D2" w:rsidRDefault="00BA4699" w:rsidP="00FA30AA">
      <w:pPr>
        <w:pStyle w:val="Tekstprzypisudolnego"/>
        <w:spacing w:before="60" w:after="60" w:line="240" w:lineRule="auto"/>
        <w:ind w:left="142" w:hanging="142"/>
        <w:rPr>
          <w:lang w:val="en-US"/>
        </w:rPr>
      </w:pPr>
    </w:p>
  </w:footnote>
  <w:footnote w:id="143">
    <w:p w:rsidR="00BA4699" w:rsidRDefault="00BA4699" w:rsidP="00FA30AA">
      <w:pPr>
        <w:pStyle w:val="NormalnyWeb"/>
        <w:spacing w:before="60" w:after="60" w:line="240" w:lineRule="auto"/>
        <w:jc w:val="both"/>
      </w:pPr>
      <w:r w:rsidRPr="00BF4D71">
        <w:rPr>
          <w:rStyle w:val="Odwoanieprzypisudolnego"/>
        </w:rPr>
        <w:footnoteRef/>
      </w:r>
      <w:r w:rsidRPr="00BF4D71">
        <w:rPr>
          <w:sz w:val="20"/>
          <w:szCs w:val="20"/>
        </w:rPr>
        <w:t xml:space="preserve"> Technologie informacyjne i komunikacyjne (</w:t>
      </w:r>
      <w:r w:rsidRPr="00BF4D71">
        <w:rPr>
          <w:i/>
          <w:iCs/>
          <w:sz w:val="20"/>
          <w:szCs w:val="20"/>
        </w:rPr>
        <w:t>Information and Communication Technology</w:t>
      </w:r>
      <w:r w:rsidRPr="00BF4D71">
        <w:rPr>
          <w:sz w:val="20"/>
          <w:szCs w:val="20"/>
        </w:rPr>
        <w:t xml:space="preserve"> - ICT) to narzędzia pozwalające na komunikację między ludźmi. Technologie informacyjno-komunikacyjne, nazywane też technologiami informacyjnymi (IT), są technologiami związanymi ze zbieraniem, przechowywaniem, przetwarzaniem, przesyłaniem, rozdzielaniem i prezentacją informacji (tj. tekstów, obrazów, dźwięku). Obejmują one w szczególności technologie komputerowe (sprzęt i oprogramowanie) i technologie komunikacyjne. Technologie informacyjne to także dziedzina wiedzy obejmująca: informatykę, telekomunikację i inne technologie powiązane z informacją. Dostarczają narzędzi, za pomocą których można pozyskiwać informacje, selekcjonować je, analizować, przetwarzać i przekazywać odbiorcom - zob. K. B. Matusiak (red.), Innowacje i transfer technologii. Słownik pojęć, Warszawa 2008, s. 339.</w:t>
      </w:r>
    </w:p>
  </w:footnote>
  <w:footnote w:id="144">
    <w:p w:rsidR="00BA4699" w:rsidRDefault="00BA4699" w:rsidP="00FA30AA">
      <w:pPr>
        <w:pStyle w:val="Tekstprzypisudolnego"/>
        <w:spacing w:before="60" w:after="60" w:line="240" w:lineRule="auto"/>
      </w:pPr>
      <w:r w:rsidRPr="00BF4D71">
        <w:rPr>
          <w:rStyle w:val="Odwoanieprzypisudolnego"/>
        </w:rPr>
        <w:footnoteRef/>
      </w:r>
      <w:r w:rsidRPr="00BF4D71">
        <w:t xml:space="preserve"> Zob. P. Pietrasz, Konstytucyjne uwarunkowania informatyzacji postępowania przed sądami administracyjnymi, „Zeszyty Naukowe Sądownictwa Administracyjnego” 2016, nr 2.</w:t>
      </w:r>
    </w:p>
  </w:footnote>
  <w:footnote w:id="145">
    <w:p w:rsidR="00BA4699" w:rsidRDefault="00BA4699" w:rsidP="00FA30AA">
      <w:pPr>
        <w:spacing w:before="60" w:after="60" w:line="240" w:lineRule="auto"/>
        <w:jc w:val="both"/>
      </w:pPr>
      <w:r w:rsidRPr="00BF4D71">
        <w:rPr>
          <w:rStyle w:val="Odwoanieprzypisudolnego"/>
        </w:rPr>
        <w:footnoteRef/>
      </w:r>
      <w:r w:rsidRPr="00BF4D71">
        <w:rPr>
          <w:rFonts w:ascii="Times New Roman" w:hAnsi="Times New Roman"/>
          <w:sz w:val="20"/>
          <w:szCs w:val="20"/>
        </w:rPr>
        <w:t xml:space="preserve"> Zob. zarządzenie Ministra Rozwoju i Finansów z dnia 25 lipca 2017 r. w sprawie kierunków działania i rozwoju Krajowej Administracji Skarbowej na lata 2017-2020, Dz. Urz. Ministra Rozwoju i Finansów poz. 144, s. 16 i nast.).</w:t>
      </w:r>
    </w:p>
  </w:footnote>
  <w:footnote w:id="146">
    <w:p w:rsidR="00BA4699" w:rsidRDefault="00BA4699" w:rsidP="00FA30AA">
      <w:pPr>
        <w:autoSpaceDE w:val="0"/>
        <w:autoSpaceDN w:val="0"/>
        <w:adjustRightInd w:val="0"/>
        <w:spacing w:before="60" w:after="60" w:line="240" w:lineRule="auto"/>
        <w:jc w:val="both"/>
      </w:pPr>
      <w:r w:rsidRPr="00BF4D71">
        <w:rPr>
          <w:rStyle w:val="Odwoanieprzypisudolnego"/>
        </w:rPr>
        <w:footnoteRef/>
      </w:r>
      <w:r w:rsidRPr="00BF4D71">
        <w:rPr>
          <w:rFonts w:ascii="Times New Roman" w:hAnsi="Times New Roman"/>
          <w:sz w:val="20"/>
          <w:szCs w:val="20"/>
        </w:rPr>
        <w:t xml:space="preserve"> Zob. Informacja o wynikach kontroli: Przestrzeganie praw podatników przez wybrane urzędy i izby skarbowe. Najwyższa Izba Kontroli (KBF-4101-06-00/2013, Nr ewid. 26/2014/P/13/039KBF), Warszawa, 3 czerwca 2014 r., s. 48 i nast.</w:t>
      </w:r>
    </w:p>
  </w:footnote>
  <w:footnote w:id="147">
    <w:p w:rsidR="00BA4699" w:rsidRDefault="00BA4699" w:rsidP="00FA30AA">
      <w:pPr>
        <w:spacing w:before="60" w:after="60" w:line="240" w:lineRule="auto"/>
        <w:jc w:val="both"/>
      </w:pPr>
      <w:r w:rsidRPr="00BF4D71">
        <w:rPr>
          <w:rStyle w:val="Odwoanieprzypisudolnego"/>
        </w:rPr>
        <w:footnoteRef/>
      </w:r>
      <w:r w:rsidRPr="00BF4D71">
        <w:rPr>
          <w:rFonts w:ascii="Times New Roman" w:hAnsi="Times New Roman"/>
          <w:sz w:val="20"/>
          <w:szCs w:val="20"/>
        </w:rPr>
        <w:t xml:space="preserve"> Przypomnieć należy, że pierwsza próba informatyzacji postępowania podatkowego podjęta została w związku z uchwaleniem ustawy z dnia 30 czerwca 2005 r. o zmianie ustawy - Ordynacja podatkowa oraz o zmianie niektórych innych ustaw (Dz.U. Nr 143, poz. 1031). Kolejna zmiana - istotna z punktu widzenia informatyzacji postępowania podatkowego - wynikała z ustawy z dnia 12 lutego 2010 r. o zmianie ustawy o informatyzacji działalności podmiotów realizujących zadania publiczne oraz niektórych innych ustaw</w:t>
      </w:r>
      <w:r w:rsidRPr="00BF4D71">
        <w:rPr>
          <w:rFonts w:ascii="Times New Roman" w:hAnsi="Times New Roman"/>
          <w:sz w:val="20"/>
          <w:szCs w:val="20"/>
          <w:vertAlign w:val="superscript"/>
        </w:rPr>
        <w:t xml:space="preserve"> </w:t>
      </w:r>
      <w:r w:rsidRPr="00BF4D71">
        <w:rPr>
          <w:rFonts w:ascii="Times New Roman" w:hAnsi="Times New Roman"/>
          <w:sz w:val="20"/>
          <w:szCs w:val="20"/>
        </w:rPr>
        <w:t>(Dz.U. Nr 40, poz. 230) i obowiązywała od 17 czerwca 2010 r. Następne zmiany, istotne z perspektywy informatyzacji, wiązały się z uchwaleniem ustawy z dnia 10 stycznia 2014 r. o zmianie ustawy o informatyzacji działalności podmiotów realizujących zadania publiczne oraz niektórych innych ustaw (Dz.U. poz. 183) oraz ustawy z dnia 10 września 2015 r. o zmianie ustawy - Ordynacja podatkowa oraz niektórych innych ustaw (Dz. U. poz. 1649 z późn. zm.).</w:t>
      </w:r>
    </w:p>
  </w:footnote>
  <w:footnote w:id="148">
    <w:p w:rsidR="00BA4699" w:rsidRDefault="00BA4699" w:rsidP="00FA30AA">
      <w:pPr>
        <w:spacing w:before="60" w:after="60" w:line="240" w:lineRule="auto"/>
        <w:jc w:val="both"/>
      </w:pPr>
      <w:r w:rsidRPr="00BF4D71">
        <w:rPr>
          <w:rStyle w:val="Odwoanieprzypisudolnego"/>
        </w:rPr>
        <w:footnoteRef/>
      </w:r>
      <w:r w:rsidRPr="00BF4D71">
        <w:rPr>
          <w:rFonts w:ascii="Times New Roman" w:hAnsi="Times New Roman"/>
          <w:sz w:val="20"/>
          <w:szCs w:val="20"/>
        </w:rPr>
        <w:t xml:space="preserve"> Zob. C. Kosikowski, Naprawa finansów publicznych w Polsce, Białystok 2011, s. 341.</w:t>
      </w:r>
    </w:p>
  </w:footnote>
  <w:footnote w:id="149">
    <w:p w:rsidR="00BA4699" w:rsidRDefault="00BA4699" w:rsidP="00FA30AA">
      <w:pPr>
        <w:pStyle w:val="Tekstprzypisudolnego"/>
        <w:spacing w:before="60" w:after="60" w:line="240" w:lineRule="auto"/>
      </w:pPr>
      <w:r w:rsidRPr="00BF4D71">
        <w:rPr>
          <w:rStyle w:val="Odwoanieprzypisudolnego"/>
        </w:rPr>
        <w:footnoteRef/>
      </w:r>
      <w:r w:rsidRPr="00BF4D71">
        <w:t xml:space="preserve"> P. Pietrasz, Komentarz do art. 3e (w:) Ordynacja podatkowa. Komentarz, L. Etel (red.), Warszawa 2017.</w:t>
      </w:r>
    </w:p>
  </w:footnote>
  <w:footnote w:id="150">
    <w:p w:rsidR="00BA4699" w:rsidRDefault="00BA4699" w:rsidP="00FA30AA">
      <w:pPr>
        <w:pStyle w:val="Tekstprzypisudolnego"/>
        <w:spacing w:before="60" w:after="60" w:line="240" w:lineRule="auto"/>
      </w:pPr>
      <w:r w:rsidRPr="00BF4D71">
        <w:rPr>
          <w:rStyle w:val="Odwoanieprzypisudolnego"/>
        </w:rPr>
        <w:footnoteRef/>
      </w:r>
      <w:r w:rsidRPr="00BF4D71">
        <w:t xml:space="preserve"> P. Pietrasz, Ciąg dalszy informatyzacji postępowania podatkowego - wydawanie decyzji i postanowień w formie dokumentów elektronicznych oraz zagadnienia pozostałe, „Przegląd Podatków Lokalnych i Finansów Samorządowych” 2015, nr 2, s. 25 i nast. </w:t>
      </w:r>
    </w:p>
  </w:footnote>
  <w:footnote w:id="151">
    <w:p w:rsidR="00BA4699" w:rsidRDefault="00BA4699" w:rsidP="00FA30AA">
      <w:pPr>
        <w:pStyle w:val="Tekstprzypisudolnego"/>
        <w:spacing w:before="60" w:after="60" w:line="240" w:lineRule="auto"/>
      </w:pPr>
      <w:r w:rsidRPr="00BF4D71">
        <w:rPr>
          <w:rStyle w:val="Odwoanieprzypisudolnego"/>
        </w:rPr>
        <w:footnoteRef/>
      </w:r>
      <w:r w:rsidRPr="00BF4D71">
        <w:t xml:space="preserve"> Zob. wyrok TK z dnia 6 lutego 2007 r., sygn. akt P 25/06, </w:t>
      </w:r>
      <w:r w:rsidRPr="00BF4D71">
        <w:rPr>
          <w:rStyle w:val="value"/>
        </w:rPr>
        <w:t>OTK-A 2007, nr 2, poz. 9.</w:t>
      </w:r>
    </w:p>
  </w:footnote>
  <w:footnote w:id="152">
    <w:p w:rsidR="00BA4699" w:rsidRDefault="00BA4699" w:rsidP="00FA30AA">
      <w:pPr>
        <w:pStyle w:val="Tekstprzypisudolnego"/>
        <w:spacing w:before="60" w:after="60" w:line="240" w:lineRule="auto"/>
      </w:pPr>
      <w:r w:rsidRPr="00BF4D71">
        <w:rPr>
          <w:rStyle w:val="Odwoanieprzypisudolnego"/>
        </w:rPr>
        <w:footnoteRef/>
      </w:r>
      <w:r w:rsidRPr="00BF4D71">
        <w:t xml:space="preserve"> Zob. szerzej J. Kulicki, Prawne aspekty budowy modelu administracji danin publicznych w Polsce, „Analizy BAS” 2010, nr 5 (30), s. 2-5.</w:t>
      </w:r>
    </w:p>
  </w:footnote>
  <w:footnote w:id="153">
    <w:p w:rsidR="00BA4699" w:rsidRDefault="00BA4699" w:rsidP="00FA30AA">
      <w:pPr>
        <w:pStyle w:val="Tekstprzypisudolnego"/>
        <w:spacing w:before="60" w:after="60" w:line="240" w:lineRule="auto"/>
      </w:pPr>
      <w:r w:rsidRPr="00BF4D71">
        <w:rPr>
          <w:rStyle w:val="Odwoanieprzypisudolnego"/>
        </w:rPr>
        <w:footnoteRef/>
      </w:r>
      <w:r w:rsidRPr="00BF4D71">
        <w:t xml:space="preserve"> Zob. J. Kulicki, Administracja danin publicznych w Polsce, Warszawa 2014, s. 141 i nast.</w:t>
      </w:r>
    </w:p>
  </w:footnote>
  <w:footnote w:id="154">
    <w:p w:rsidR="00BA4699" w:rsidRDefault="00BA4699" w:rsidP="00FA30AA">
      <w:pPr>
        <w:pStyle w:val="Tekstprzypisudolnego"/>
        <w:spacing w:before="60" w:after="60" w:line="240" w:lineRule="auto"/>
      </w:pPr>
      <w:r w:rsidRPr="00BF4D71">
        <w:rPr>
          <w:rStyle w:val="Odwoanieprzypisudolnego"/>
        </w:rPr>
        <w:footnoteRef/>
      </w:r>
      <w:r w:rsidRPr="00BF4D71">
        <w:t xml:space="preserve"> Minister Finansów kieruje działem administracji rządowej – finanse publiczne, na podstawie § 1 ust. 2 pkt 2 rozporządzenia Prezesa Rady Ministrów z dnia 10 stycznia 2018 r. w sprawie szczegółowego zakresu działania Ministra Finansów (Dz. U. poz. 92).</w:t>
      </w:r>
    </w:p>
  </w:footnote>
  <w:footnote w:id="155">
    <w:p w:rsidR="00BA4699" w:rsidRDefault="00BA4699" w:rsidP="00FA30AA">
      <w:pPr>
        <w:pStyle w:val="Tekstprzypisudolnego"/>
        <w:spacing w:before="60" w:after="60" w:line="240" w:lineRule="auto"/>
      </w:pPr>
      <w:r w:rsidRPr="00BF4D71">
        <w:rPr>
          <w:rStyle w:val="Odwoanieprzypisudolnego"/>
        </w:rPr>
        <w:footnoteRef/>
      </w:r>
      <w:r w:rsidRPr="00BF4D71">
        <w:t xml:space="preserve"> Rozporządzenie Rady Ministrów z dnia 23 marca 2012 r. w sprawie uprawnień organów podatkowych (Dz.U. poz. 363 z późn. zm.).</w:t>
      </w:r>
    </w:p>
  </w:footnote>
  <w:footnote w:id="156">
    <w:p w:rsidR="00BA4699" w:rsidRDefault="00BA4699" w:rsidP="00FA30AA">
      <w:pPr>
        <w:pStyle w:val="Tekstprzypisudolnego"/>
        <w:spacing w:before="60" w:after="60" w:line="240" w:lineRule="auto"/>
      </w:pPr>
      <w:r w:rsidRPr="00BF4D71">
        <w:rPr>
          <w:rStyle w:val="Odwoanieprzypisudolnego"/>
        </w:rPr>
        <w:footnoteRef/>
      </w:r>
      <w:r w:rsidRPr="00BF4D71">
        <w:t xml:space="preserve"> Ustawa z dnia: 8 marca 1990 r. o samorządzie gminnym (Dz. U. z 2017 r. poz. 1875 z późn. zm.), 5 czerwca 1998 r. o samorządzie powiatowym (Dz. U z 2017 r. poz. 1868 z późn. zm.), 5 czerwca 1998 r. o samorządzie województwa (Dz. U. z 2018 r. poz. 913).</w:t>
      </w:r>
    </w:p>
  </w:footnote>
  <w:footnote w:id="157">
    <w:p w:rsidR="00BA4699" w:rsidRDefault="00BA4699" w:rsidP="00FA30AA">
      <w:pPr>
        <w:pStyle w:val="Tekstprzypisudolnego"/>
        <w:spacing w:before="60" w:after="60" w:line="240" w:lineRule="auto"/>
      </w:pPr>
      <w:r w:rsidRPr="00BF4D71">
        <w:rPr>
          <w:rStyle w:val="Odwoanieprzypisudolnego"/>
        </w:rPr>
        <w:footnoteRef/>
      </w:r>
      <w:r w:rsidRPr="00BF4D71">
        <w:t xml:space="preserve"> Dz. U. z 2018 r. poz. 570</w:t>
      </w:r>
    </w:p>
  </w:footnote>
  <w:footnote w:id="158">
    <w:p w:rsidR="00BA4699" w:rsidRDefault="00BA4699" w:rsidP="00FA30AA">
      <w:pPr>
        <w:pStyle w:val="Tekstprzypisudolnego"/>
        <w:spacing w:before="60" w:after="60" w:line="240" w:lineRule="auto"/>
      </w:pPr>
      <w:r>
        <w:rPr>
          <w:rStyle w:val="Odwoanieprzypisudolnego"/>
        </w:rPr>
        <w:footnoteRef/>
      </w:r>
      <w:r>
        <w:t xml:space="preserve"> Wątpliwości orzecznicze związane z zagadnieniem wyłączenia pracowników organów i samych organów dobrze scharakteryzował Z. Kmieciak (w:) Zarys teorii postępowania administracyjnego, Rozdział IV Gwarancje bezstronności (obiektywizmu) orzekania przez organy administracji, 2. Dylematy ochrony bezstronności (obiektywizmu) orzekania w polskim postępowaniu administracyjnym, LEX 2014.</w:t>
      </w:r>
    </w:p>
  </w:footnote>
  <w:footnote w:id="159">
    <w:p w:rsidR="00BA4699" w:rsidRDefault="00BA4699" w:rsidP="00FA30AA">
      <w:pPr>
        <w:pStyle w:val="Tekstprzypisudolnego"/>
        <w:spacing w:before="60" w:after="60" w:line="240" w:lineRule="auto"/>
      </w:pPr>
      <w:r>
        <w:rPr>
          <w:rStyle w:val="Odwoanieprzypisudolnego"/>
        </w:rPr>
        <w:footnoteRef/>
      </w:r>
      <w:r>
        <w:t xml:space="preserve"> </w:t>
      </w:r>
      <w:r>
        <w:rPr>
          <w:i/>
        </w:rPr>
        <w:t>Ibidem</w:t>
      </w:r>
      <w:r>
        <w:t>.</w:t>
      </w:r>
    </w:p>
  </w:footnote>
  <w:footnote w:id="160">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1330</w:t>
      </w:r>
      <w:r w:rsidRPr="004970F9">
        <w:t xml:space="preserve"> z późn. zm.</w:t>
      </w:r>
    </w:p>
  </w:footnote>
  <w:footnote w:id="161">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A. Melezini, Definicja tajemnicy skarbowej (w:) Prawne instrumenty zapobiegania i zwalczania korupcji przez kontrolę skarbową, LEX/el. 2012, pkt 3.1.</w:t>
      </w:r>
    </w:p>
  </w:footnote>
  <w:footnote w:id="162">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2017 r. poz. 2077</w:t>
      </w:r>
      <w:r>
        <w:t>, z póź</w:t>
      </w:r>
      <w:r w:rsidRPr="004970F9">
        <w:t>.</w:t>
      </w:r>
      <w:r>
        <w:t xml:space="preserve"> zm.</w:t>
      </w:r>
    </w:p>
  </w:footnote>
  <w:footnote w:id="163">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Wyroki WSA w Bydgoszczy: z dnia 24 kwietnia 2014 r., II SAB/Bd 32/14; z dnia 4 lutego 2015 r., II S/Bd 1321/14; z dnia 7 marca 2017 r., II SAB/Bd 128/16, CBOSA.</w:t>
      </w:r>
    </w:p>
  </w:footnote>
  <w:footnote w:id="164">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16 grudnia 2016 r., II FSK 3494/14, CBOSA.</w:t>
      </w:r>
    </w:p>
  </w:footnote>
  <w:footnote w:id="165">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WSA w Warszawie z dnia 26 maja 2010 r., II SA/Wa 414/10, CBOSA.</w:t>
      </w:r>
    </w:p>
  </w:footnote>
  <w:footnote w:id="166">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22 kwietnia 2015 r., I FSK 135/14, CBOSA; wyrok WSA w Krakowie z dnia 8 maja 2013 r., I SA/Kr 1726/12, CBOSA.</w:t>
      </w:r>
    </w:p>
  </w:footnote>
  <w:footnote w:id="167">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16 grudnia 2016 r., II FSK 3494/14, CBOSA.</w:t>
      </w:r>
    </w:p>
  </w:footnote>
  <w:footnote w:id="168">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Zob. wyroki TK z dnia 24 czerwca 1997 r. K/21/96, OTK 1997, nr 2, poz. 23; z dnia 1 kwietnia 2000 r. K 15/98, OTK 2000, nr 3, poz. 86; z dnia 19 lutego 2002 r. K/3/01, OTK-A 2002, nr 1, poz. 3; z dnia 17 czerwca 2008 r. K 8/04, OTK-A 2008, nr 5, poz. 81. </w:t>
      </w:r>
    </w:p>
  </w:footnote>
  <w:footnote w:id="169">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2017 r. poz. 869</w:t>
      </w:r>
      <w:r>
        <w:t xml:space="preserve"> z późn. zm</w:t>
      </w:r>
      <w:r w:rsidRPr="004970F9">
        <w:t>.</w:t>
      </w:r>
    </w:p>
  </w:footnote>
  <w:footnote w:id="170">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508,</w:t>
      </w:r>
      <w:r w:rsidRPr="004970F9">
        <w:t xml:space="preserve"> z późn. zm.</w:t>
      </w:r>
    </w:p>
  </w:footnote>
  <w:footnote w:id="171">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2017 r. poz. 2192</w:t>
      </w:r>
      <w:r w:rsidRPr="004970F9">
        <w:t>.</w:t>
      </w:r>
    </w:p>
  </w:footnote>
  <w:footnote w:id="172">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w:t>
      </w:r>
      <w:r>
        <w:t>8 r. poz. 723, z późn. zm</w:t>
      </w:r>
      <w:r w:rsidRPr="004970F9">
        <w:t>.</w:t>
      </w:r>
    </w:p>
  </w:footnote>
  <w:footnote w:id="173">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2017 r. poz. </w:t>
      </w:r>
      <w:r w:rsidRPr="004970F9">
        <w:t>2067</w:t>
      </w:r>
      <w:r>
        <w:t>,</w:t>
      </w:r>
      <w:r w:rsidRPr="004970F9">
        <w:t xml:space="preserve"> z późn. zm.</w:t>
      </w:r>
    </w:p>
  </w:footnote>
  <w:footnote w:id="174">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w:t>
      </w:r>
      <w:r>
        <w:t xml:space="preserve"> U. z 2018 r. poz. 430,</w:t>
      </w:r>
      <w:r w:rsidRPr="004970F9">
        <w:t xml:space="preserve"> z późn. zm.</w:t>
      </w:r>
    </w:p>
  </w:footnote>
  <w:footnote w:id="175">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2017 r. poz. 933</w:t>
      </w:r>
      <w:r>
        <w:t>, z późn. zm</w:t>
      </w:r>
      <w:r w:rsidRPr="004970F9">
        <w:t>.</w:t>
      </w:r>
    </w:p>
  </w:footnote>
  <w:footnote w:id="176">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Zgodnie z art. 22 pkt 2 tej ust</w:t>
      </w:r>
      <w:r>
        <w:t>awy zmieniającej, art. 3 wszedł</w:t>
      </w:r>
      <w:r w:rsidRPr="004970F9">
        <w:t xml:space="preserve"> w życie od dnia 1 stycznia 2018 r. </w:t>
      </w:r>
    </w:p>
  </w:footnote>
  <w:footnote w:id="177">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1314,</w:t>
      </w:r>
      <w:r w:rsidRPr="004970F9">
        <w:t xml:space="preserve"> z późn. zm., zwanej dalej u.p.e.a.</w:t>
      </w:r>
    </w:p>
  </w:footnote>
  <w:footnote w:id="178">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2017 </w:t>
      </w:r>
      <w:r>
        <w:t xml:space="preserve">r. poz. 1876, z późn. zm. </w:t>
      </w:r>
    </w:p>
  </w:footnote>
  <w:footnote w:id="179">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3 września 2013 r., II FSK 1271/13, CBOSA.</w:t>
      </w:r>
    </w:p>
  </w:footnote>
  <w:footnote w:id="180">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Słownik języka polskiego, M. Szymczak (red.), Warszawa 1992, t I, s. 25; Uniwersalny słownik języka polskiego, St. Dubisz (red.), Warszawa 2008, s. 39.</w:t>
      </w:r>
    </w:p>
  </w:footnote>
  <w:footnote w:id="181">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OTK-A 2008, nr 5, poz. 81.</w:t>
      </w:r>
    </w:p>
  </w:footnote>
  <w:footnote w:id="182">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K. Teszner, Tajemnica skarbowa i odpowiedzialność administracji gminnej za jej naruszenie w kontekście przepisów ustawy o utrzymaniu czystości i porządku w gminach, „Przegląd Podatków Lokalnych i Finansów Samorządowych” 2013, nr 7, s. 15; wyrok NSA z dnia 8 października 1999 r. I SA/Łd 1353/97, ONSA 2000, nr 4, poz. 154 z glosą aprobującą M. Szubiakowskiego OSP 2001, nr 5, poz. 79.</w:t>
      </w:r>
    </w:p>
  </w:footnote>
  <w:footnote w:id="183">
    <w:p w:rsidR="00BA4699" w:rsidRDefault="00BA4699" w:rsidP="00C53CAB">
      <w:pPr>
        <w:pStyle w:val="Tekstprzypisudolnego"/>
      </w:pPr>
      <w:r>
        <w:rPr>
          <w:rStyle w:val="Odwoanieprzypisudolnego"/>
        </w:rPr>
        <w:footnoteRef/>
      </w:r>
      <w:r>
        <w:t xml:space="preserve"> Rozporządzenie Parlamentu Europejskiego i Rady (UE) 2016/679 z dnia 27 kwietnia 2016 r. w sprawie ochrony osób fizycznych w związku z przetwarzaniem danych osobowych i w sprawie swobodnego przepływu takich danych oraz uchylenia dyrektywy 95/46/WE ( ogólne rozporządzenie o ochronie danych) (Dz. U. UE. L. 2016. 119. 1).</w:t>
      </w:r>
    </w:p>
  </w:footnote>
  <w:footnote w:id="184">
    <w:p w:rsidR="00BA4699" w:rsidRDefault="00BA4699" w:rsidP="00FA30AA">
      <w:pPr>
        <w:pStyle w:val="Tekstprzypisudolnego"/>
        <w:spacing w:before="120" w:after="120" w:line="240" w:lineRule="auto"/>
      </w:pPr>
      <w:r w:rsidRPr="004970F9">
        <w:rPr>
          <w:rStyle w:val="Odwoanieprzypisudolnego"/>
          <w:rFonts w:ascii="Calibri" w:hAnsi="Calibri" w:cs="Calibri"/>
        </w:rPr>
        <w:footnoteRef/>
      </w:r>
      <w:r w:rsidRPr="004970F9">
        <w:t xml:space="preserve"> Zob. M. Mucha, NIP. Zasady ewidencji i identyfikacji podatników i płatników, Warszawa 2003, s. 175 i nast.; B. Rogalska, Zasada ograniczonej jawności danych i ograniczonej funkcji informacyjnej (w:) Podatkowe rejestry podmiotowe w polskim systemie prawnym, LEX/el. 2014, pkt 1.8.</w:t>
      </w:r>
    </w:p>
  </w:footnote>
  <w:footnote w:id="185">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419</w:t>
      </w:r>
      <w:r w:rsidRPr="004970F9">
        <w:t xml:space="preserve"> z późn. zm.</w:t>
      </w:r>
    </w:p>
  </w:footnote>
  <w:footnote w:id="186">
    <w:p w:rsidR="00BA4699" w:rsidRDefault="00BA4699" w:rsidP="00FA30AA">
      <w:pPr>
        <w:pStyle w:val="Tekstprzypisudolnego"/>
        <w:spacing w:before="120" w:after="120" w:line="240" w:lineRule="auto"/>
      </w:pPr>
      <w:r w:rsidRPr="004970F9">
        <w:rPr>
          <w:rStyle w:val="Odwoanieprzypisudolnego"/>
          <w:rFonts w:ascii="Calibri" w:hAnsi="Calibri" w:cs="Calibri"/>
        </w:rPr>
        <w:footnoteRef/>
      </w:r>
      <w:r w:rsidRPr="004970F9">
        <w:t xml:space="preserve"> Dz. Urz. UE L 2016.157.1.</w:t>
      </w:r>
    </w:p>
  </w:footnote>
  <w:footnote w:id="187">
    <w:p w:rsidR="00BA4699" w:rsidRDefault="00BA4699" w:rsidP="00FA30AA">
      <w:pPr>
        <w:pStyle w:val="Tekstprzypisudolnego"/>
        <w:spacing w:before="120" w:after="120" w:line="240" w:lineRule="auto"/>
      </w:pPr>
      <w:r w:rsidRPr="004970F9">
        <w:rPr>
          <w:rStyle w:val="Odwoanieprzypisudolnego"/>
          <w:rFonts w:ascii="Calibri" w:hAnsi="Calibri" w:cs="Calibri"/>
        </w:rPr>
        <w:footnoteRef/>
      </w:r>
      <w:r w:rsidRPr="004970F9">
        <w:t xml:space="preserve"> Dz. Urz. UE L 1994.336.214 z późn. zm. - zwane Porozumienie TRIPS.</w:t>
      </w:r>
    </w:p>
  </w:footnote>
  <w:footnote w:id="188">
    <w:p w:rsidR="00BA4699" w:rsidRDefault="00BA4699" w:rsidP="00FA30AA">
      <w:pPr>
        <w:pStyle w:val="Tekstprzypisudolnego"/>
        <w:spacing w:before="120" w:after="120" w:line="240" w:lineRule="auto"/>
      </w:pPr>
      <w:r w:rsidRPr="004970F9">
        <w:rPr>
          <w:rStyle w:val="Odwoanieprzypisudolnego"/>
          <w:rFonts w:ascii="Calibri" w:hAnsi="Calibri" w:cs="Calibri"/>
        </w:rPr>
        <w:footnoteRef/>
      </w:r>
      <w:r w:rsidRPr="004970F9">
        <w:t xml:space="preserve"> M. Sieradzka, Ochrona tajemnicy przedsiębiorstwa: rys historyczny, (w:) M. Sieradzka (red.), M. Zdyb (red.), A Michalak, M. Mioduszewski, J. Raglewski, J. Rasiewicz, M. Szydło, M. Wyrowiński, Ustawa o zwalczaniu nieuczciwej konkurencji. Komentarz, Warszawa 2016, komentarz do art. 11 pkt 4.</w:t>
      </w:r>
    </w:p>
  </w:footnote>
  <w:footnote w:id="189">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1986</w:t>
      </w:r>
      <w:r w:rsidRPr="004970F9">
        <w:t xml:space="preserve"> z późn. zm.</w:t>
      </w:r>
    </w:p>
  </w:footnote>
  <w:footnote w:id="190">
    <w:p w:rsidR="00BA4699" w:rsidRDefault="00BA4699" w:rsidP="00FA30AA">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P. Kozłowska-Kalisz, Zbieg pozorny (w:) Odpowiedzialność karna za naruszenie tajemnicy przedsiębiorstwa, Kraków 2006; M. Bojarski (w:) M. Bojarski, W. Radecki, Pozakodeksowe przepisy karne z komentarzem, Warszawa 1992, s. 156 i nast.</w:t>
      </w:r>
    </w:p>
  </w:footnote>
  <w:footnote w:id="191">
    <w:p w:rsidR="00BA4699" w:rsidRDefault="00BA4699" w:rsidP="00FA30AA">
      <w:pPr>
        <w:pStyle w:val="Tekstprzypisudolnego"/>
      </w:pPr>
      <w:r>
        <w:rPr>
          <w:rStyle w:val="Odwoanieprzypisudolnego"/>
        </w:rPr>
        <w:footnoteRef/>
      </w:r>
      <w:r>
        <w:t xml:space="preserve"> Dz. U. poz. 491 z późn. zm.</w:t>
      </w:r>
    </w:p>
  </w:footnote>
  <w:footnote w:id="192">
    <w:p w:rsidR="00BA4699" w:rsidRDefault="00BA4699" w:rsidP="00463D52">
      <w:pPr>
        <w:pStyle w:val="Tekstprzypisudolnego"/>
        <w:spacing w:line="240" w:lineRule="auto"/>
      </w:pPr>
      <w:r>
        <w:rPr>
          <w:rStyle w:val="Odwoanieprzypisudolnego"/>
        </w:rPr>
        <w:footnoteRef/>
      </w:r>
      <w:r>
        <w:t xml:space="preserve"> Dz. U. z 2018 r. poz. 762 ze zm.</w:t>
      </w:r>
    </w:p>
  </w:footnote>
  <w:footnote w:id="193">
    <w:p w:rsidR="00BA4699" w:rsidRDefault="00BA4699" w:rsidP="00463D52">
      <w:pPr>
        <w:pStyle w:val="Tekstprzypisudolnego"/>
        <w:spacing w:line="240" w:lineRule="auto"/>
      </w:pPr>
      <w:r w:rsidRPr="00BF4D71">
        <w:rPr>
          <w:rStyle w:val="Odwoanieprzypisudolnego"/>
        </w:rPr>
        <w:footnoteRef/>
      </w:r>
      <w:r w:rsidRPr="00BF4D71">
        <w:t xml:space="preserve"> Regulowanie kwestii dotyczących liczenia terminów oraz przywracania terminów w jednej jednostce redakcyjnej aktu prawnego to rozwiązanie przyjęte m. in. w Bułgarii, Czechach, Niemczech i Słowacji.</w:t>
      </w:r>
    </w:p>
  </w:footnote>
  <w:footnote w:id="194">
    <w:p w:rsidR="00BA4699" w:rsidRDefault="00BA4699" w:rsidP="00463D52">
      <w:pPr>
        <w:pStyle w:val="Tekstprzypisudolnego"/>
        <w:spacing w:line="240" w:lineRule="auto"/>
      </w:pPr>
      <w:r w:rsidRPr="00BF4D71">
        <w:rPr>
          <w:rStyle w:val="Odwoanieprzypisudolnego"/>
        </w:rPr>
        <w:footnoteRef/>
      </w:r>
      <w:r w:rsidRPr="00BF4D71">
        <w:t xml:space="preserve"> Ustawa z dnia 17 listopada 1964 r. Kodeks postępowania cywilnego (tekst jedn. Dz.U. z 201</w:t>
      </w:r>
      <w:r>
        <w:t>8</w:t>
      </w:r>
      <w:r w:rsidRPr="00BF4D71">
        <w:t xml:space="preserve"> r. poz. 1</w:t>
      </w:r>
      <w:r>
        <w:t>360</w:t>
      </w:r>
      <w:r w:rsidRPr="00BF4D71">
        <w:t xml:space="preserve"> z późn. zm.); dalej: „k.p.c.”.</w:t>
      </w:r>
    </w:p>
  </w:footnote>
  <w:footnote w:id="195">
    <w:p w:rsidR="00BA4699" w:rsidRDefault="00BA4699" w:rsidP="00463D52">
      <w:pPr>
        <w:pStyle w:val="Tekstprzypisudolnego"/>
        <w:spacing w:line="240" w:lineRule="auto"/>
      </w:pPr>
      <w:r w:rsidRPr="00BF4D71">
        <w:rPr>
          <w:rStyle w:val="Odwoanieprzypisudolnego"/>
        </w:rPr>
        <w:footnoteRef/>
      </w:r>
      <w:r w:rsidRPr="00BF4D71">
        <w:t xml:space="preserve"> Ustawa z dnia 6 czerwca 1997 r. Kodeks postępowania karnego (tekst jedn. Dz.U. z 201</w:t>
      </w:r>
      <w:r>
        <w:t>8</w:t>
      </w:r>
      <w:r w:rsidRPr="00BF4D71">
        <w:t xml:space="preserve"> r. poz. 19</w:t>
      </w:r>
      <w:r>
        <w:t>87</w:t>
      </w:r>
      <w:r w:rsidRPr="00BF4D71">
        <w:t xml:space="preserve"> z późn. zm.); dalej: „k.p.k.”.</w:t>
      </w:r>
    </w:p>
  </w:footnote>
  <w:footnote w:id="196">
    <w:p w:rsidR="00BA4699" w:rsidRDefault="00BA4699" w:rsidP="00463D52">
      <w:pPr>
        <w:pStyle w:val="Tekstprzypisudolnego"/>
        <w:spacing w:line="240" w:lineRule="auto"/>
      </w:pPr>
      <w:r w:rsidRPr="00BF4D71">
        <w:rPr>
          <w:rStyle w:val="Odwoanieprzypisudolnego"/>
        </w:rPr>
        <w:footnoteRef/>
      </w:r>
      <w:r w:rsidRPr="00BF4D71">
        <w:t xml:space="preserve"> Ustawa z dnia 14 czerwca 1960 r. Kodeks postępowania administracyjnego (tekst jedn. Dz.U. z 201</w:t>
      </w:r>
      <w:r>
        <w:t>8</w:t>
      </w:r>
      <w:r w:rsidRPr="00BF4D71">
        <w:t xml:space="preserve"> r. poz. 2</w:t>
      </w:r>
      <w:r>
        <w:t>096</w:t>
      </w:r>
      <w:r w:rsidRPr="00BF4D71">
        <w:t xml:space="preserve"> z późn. zm.).</w:t>
      </w:r>
    </w:p>
  </w:footnote>
  <w:footnote w:id="197">
    <w:p w:rsidR="00BA4699" w:rsidRDefault="00BA4699" w:rsidP="0078491C">
      <w:pPr>
        <w:pStyle w:val="Tekstprzypisudolnego"/>
        <w:spacing w:before="60" w:after="60" w:line="240" w:lineRule="auto"/>
      </w:pPr>
      <w:r w:rsidRPr="00BF4D71">
        <w:rPr>
          <w:rStyle w:val="Odwoanieprzypisudolnego"/>
        </w:rPr>
        <w:footnoteRef/>
      </w:r>
      <w:r w:rsidRPr="00BF4D71">
        <w:t xml:space="preserve"> Por. uchwała składu siedmiu sędziów NSA z 14 października 1996r. sygn. OSP 19/96 - ONSA z. 2 z 1997r. poz. 56.</w:t>
      </w:r>
    </w:p>
  </w:footnote>
  <w:footnote w:id="198">
    <w:p w:rsidR="00BA4699" w:rsidRDefault="00BA4699" w:rsidP="0078491C">
      <w:pPr>
        <w:pStyle w:val="Tekstprzypisudolnego"/>
        <w:spacing w:before="60" w:after="60" w:line="240" w:lineRule="auto"/>
      </w:pPr>
      <w:r w:rsidRPr="00BF4D71">
        <w:rPr>
          <w:rStyle w:val="Odwoanieprzypisudolnego"/>
        </w:rPr>
        <w:footnoteRef/>
      </w:r>
      <w:r w:rsidRPr="00BF4D71">
        <w:t xml:space="preserve"> Warto zauważyć, że w przepisach niemieckiej ordynacji podatkowej istnieje możliwość nie tylko przedłużania terminu do złożenia deklaracji podatkowej lub terminu wyznaczonego przez organ podatkowy. Zgodnie ze wspomnianą regulacją dopuszczalne jest także przedłużenie takiego terminu z mocą wsteczną, co oznacza wydłużenie terminu, który już upłynął  (§ 109 niemieckiej ordynacji podatkowej - Abgabenordnung).    </w:t>
      </w:r>
    </w:p>
  </w:footnote>
  <w:footnote w:id="199">
    <w:p w:rsidR="00BA4699" w:rsidRDefault="00BA4699" w:rsidP="00463D52">
      <w:pPr>
        <w:pStyle w:val="Tekstprzypisudolnego"/>
        <w:spacing w:line="240" w:lineRule="auto"/>
      </w:pPr>
      <w:r w:rsidRPr="00BF4D71">
        <w:rPr>
          <w:rStyle w:val="Odwoanieprzypisudolnego"/>
        </w:rPr>
        <w:footnoteRef/>
      </w:r>
      <w:r w:rsidRPr="00BF4D71">
        <w:t xml:space="preserve"> Zob. B. Brzeziński, Ordynacja podatkowa w świetle kryteriów oceny jakości aktów normatywnych (w:) Ordynacja podatkowa. Wokół nowelizacji, (red.) R. Dowgier, Białystok 2009, s. 21. </w:t>
      </w:r>
    </w:p>
  </w:footnote>
  <w:footnote w:id="200">
    <w:p w:rsidR="00BA4699" w:rsidRDefault="00BA4699" w:rsidP="00463D52">
      <w:pPr>
        <w:pStyle w:val="Tekstprzypisudolnego"/>
        <w:spacing w:line="240" w:lineRule="auto"/>
      </w:pPr>
      <w:r w:rsidRPr="00BF4D71">
        <w:rPr>
          <w:rStyle w:val="Odwoanieprzypisudolnego"/>
        </w:rPr>
        <w:footnoteRef/>
      </w:r>
      <w:r w:rsidRPr="00BF4D71">
        <w:t xml:space="preserve"> C. Kosikowski, Naprawa finansów publicznych w Polsce, Białystok 2011, s. 340.</w:t>
      </w:r>
    </w:p>
  </w:footnote>
  <w:footnote w:id="201">
    <w:p w:rsidR="00BA4699" w:rsidRDefault="00BA4699" w:rsidP="00DB048D">
      <w:pPr>
        <w:pStyle w:val="Tekstprzypisudolnego"/>
        <w:spacing w:before="60" w:after="60" w:line="240" w:lineRule="auto"/>
      </w:pPr>
      <w:r w:rsidRPr="00BF4D71">
        <w:rPr>
          <w:rStyle w:val="Odwoanieprzypisudolnego"/>
        </w:rPr>
        <w:footnoteRef/>
      </w:r>
      <w:r w:rsidRPr="00BF4D71">
        <w:t xml:space="preserve"> Zob. B. Brzeziński, Deklaracja podatkowa – istota i charakter prawny, „Prawo i Podatki” 2005, nr 1; H. Dzwonkowski, Charakter prawny deklaracji podatkowych. (Zagadnienia podstawowe). „Państwo i Prawo” 1999, nr 2; H. Dzwonkowski, Charakter prawny deklaracji podatkowych, „Prawo i Podatki” 2006, nr 5 (polemika z B. Brzezińskim), a także odpowiedź B. Brzezińskiego, Deklaracja podatkowa – istota i charakter prawny, </w:t>
      </w:r>
      <w:r w:rsidRPr="00BF4D71">
        <w:rPr>
          <w:i/>
          <w:iCs/>
        </w:rPr>
        <w:t>ibidem</w:t>
      </w:r>
      <w:r w:rsidRPr="00BF4D71">
        <w:t>; B. Brzeziński, Informacje i dokumentacja w prawie podatkowym (w:) B. Brzeziński (red.), Prawo podatkowe. Teoria. Instytucje. Funkcjonowanie, Toruń 2009, s. 295 i nast.; C. Kosikowski, Komentarz do art. 3 Ordynacji podatkowej (w:) C. Kosikowski. L. Etel, J. Brolik, R. Dowgier, P. Pietrasz, M. Popławski, S. Presnarowicz, W. Stachurski, Ordynacja podatkowa. Komentarz, Warszawa 2013; R. Mastalski, Prawo podatkowe, Warszawa 2006, s. 305 i nast.</w:t>
      </w:r>
    </w:p>
  </w:footnote>
  <w:footnote w:id="202">
    <w:p w:rsidR="00BA4699" w:rsidRDefault="00BA4699" w:rsidP="00463D52">
      <w:pPr>
        <w:spacing w:after="0" w:line="240" w:lineRule="auto"/>
        <w:jc w:val="both"/>
      </w:pPr>
      <w:r w:rsidRPr="00BF4D71">
        <w:rPr>
          <w:rStyle w:val="Odwoanieprzypisudolnego"/>
          <w:sz w:val="20"/>
          <w:szCs w:val="20"/>
        </w:rPr>
        <w:footnoteRef/>
      </w:r>
      <w:r w:rsidRPr="00BF4D71">
        <w:rPr>
          <w:rFonts w:ascii="Times New Roman" w:hAnsi="Times New Roman"/>
          <w:sz w:val="20"/>
          <w:szCs w:val="20"/>
        </w:rPr>
        <w:t xml:space="preserve"> Zob. Czarna lista barier dla rozwoju przedsiębiorczości 2014; Lewiatan, Analiza FOR 2014, nr 12, Warszawa, kwiecień 2014, s. 79.</w:t>
      </w:r>
    </w:p>
  </w:footnote>
  <w:footnote w:id="203">
    <w:p w:rsidR="00BA4699" w:rsidRDefault="00BA4699" w:rsidP="00463D52">
      <w:pPr>
        <w:pStyle w:val="Tekstprzypisudolnego"/>
        <w:spacing w:line="240" w:lineRule="auto"/>
      </w:pPr>
      <w:r w:rsidRPr="00BF4D71">
        <w:rPr>
          <w:rStyle w:val="Odwoanieprzypisudolnego"/>
        </w:rPr>
        <w:footnoteRef/>
      </w:r>
      <w:r w:rsidRPr="00BF4D71">
        <w:t xml:space="preserve"> S. Babiarz (w:) S. Babiarz, B. Dauter, B. Gruszczyński, R. Hauser, A. Kabat, M. Niezgódka-Medek, Ordynacja podatkowa. Komentarz, Warszawa 2009, s. 432.</w:t>
      </w:r>
    </w:p>
  </w:footnote>
  <w:footnote w:id="204">
    <w:p w:rsidR="00BA4699" w:rsidRDefault="00BA4699" w:rsidP="00DB048D">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W wyroku NSA z dnia 29 stycznia 2013 r., II FSK 1717/11, wyrażono stanowisko, że posługując się argumentum </w:t>
      </w:r>
      <w:r w:rsidRPr="00BF4D71">
        <w:rPr>
          <w:rFonts w:ascii="Times New Roman" w:hAnsi="Times New Roman"/>
          <w:i/>
          <w:iCs/>
          <w:sz w:val="20"/>
          <w:szCs w:val="20"/>
        </w:rPr>
        <w:t>a minori ad maius,</w:t>
      </w:r>
      <w:r w:rsidRPr="00BF4D71">
        <w:rPr>
          <w:rFonts w:ascii="Times New Roman" w:hAnsi="Times New Roman"/>
          <w:sz w:val="20"/>
          <w:szCs w:val="20"/>
        </w:rPr>
        <w:t xml:space="preserve"> przyjąć należy, iż skoro w toku postępowania kontrolnego wyłączona jest możliwość ingerencji podatnika w wysokość zobowiązania podatkowego poprzez składanie korekt, to tym bardziej nie ma on możliwości skutecznego złożenia samej deklaracji podatkowej w zakresie objętym kontrolą.</w:t>
      </w:r>
    </w:p>
  </w:footnote>
  <w:footnote w:id="205">
    <w:p w:rsidR="00BA4699" w:rsidRDefault="00BA4699" w:rsidP="00DB048D">
      <w:pPr>
        <w:pStyle w:val="Tekstprzypisudolnego"/>
        <w:spacing w:before="60" w:after="60" w:line="240" w:lineRule="auto"/>
      </w:pPr>
      <w:r w:rsidRPr="00BF4D71">
        <w:rPr>
          <w:rStyle w:val="Odwoanieprzypisudolnego"/>
        </w:rPr>
        <w:footnoteRef/>
      </w:r>
      <w:r w:rsidRPr="00BF4D71">
        <w:t xml:space="preserve"> Zob. P. Pietrasz (red.), Czynniki zmniejszające rolę władczych form działania administracji skarbowej w realizacji zobowiązań podatkowych, Warszawa - Białystok 2013, s. 324.</w:t>
      </w:r>
    </w:p>
  </w:footnote>
  <w:footnote w:id="206">
    <w:p w:rsidR="00BA4699" w:rsidRDefault="00BA4699" w:rsidP="00463D52">
      <w:pPr>
        <w:pStyle w:val="Tekstprzypisudolnego"/>
        <w:spacing w:line="240" w:lineRule="auto"/>
      </w:pPr>
      <w:r w:rsidRPr="00BF4D71">
        <w:rPr>
          <w:rStyle w:val="Odwoanieprzypisudolnego"/>
        </w:rPr>
        <w:footnoteRef/>
      </w:r>
      <w:r w:rsidRPr="00BF4D71">
        <w:t xml:space="preserve"> Por. wyrok WSA w Szczecinie z dnia 13 lutego 2008 r., I SA/Sz 657/07.</w:t>
      </w:r>
    </w:p>
  </w:footnote>
  <w:footnote w:id="207">
    <w:p w:rsidR="00BA4699" w:rsidRDefault="00BA4699" w:rsidP="00463D52">
      <w:pPr>
        <w:pStyle w:val="Tekstprzypisudolnego"/>
        <w:spacing w:line="240" w:lineRule="auto"/>
      </w:pPr>
      <w:r w:rsidRPr="00BF4D71">
        <w:rPr>
          <w:rStyle w:val="Odwoanieprzypisudolnego"/>
        </w:rPr>
        <w:footnoteRef/>
      </w:r>
      <w:r w:rsidRPr="00BF4D71">
        <w:t xml:space="preserve"> Por. wyrok NSA z dnia 29 marca 2000 r., III SA 1969/99.</w:t>
      </w:r>
    </w:p>
  </w:footnote>
  <w:footnote w:id="208">
    <w:p w:rsidR="00BA4699" w:rsidRDefault="00BA4699" w:rsidP="00463D52">
      <w:pPr>
        <w:pStyle w:val="Tekstprzypisudolnego"/>
        <w:spacing w:line="240" w:lineRule="auto"/>
      </w:pPr>
      <w:r w:rsidRPr="00BF4D71">
        <w:rPr>
          <w:rStyle w:val="Odwoanieprzypisudolnego"/>
        </w:rPr>
        <w:footnoteRef/>
      </w:r>
      <w:r w:rsidRPr="00BF4D71">
        <w:t xml:space="preserve"> Por. wyrok NSA z dnia 19 grudnia 2006 r., II FSK 1541/05.</w:t>
      </w:r>
    </w:p>
  </w:footnote>
  <w:footnote w:id="209">
    <w:p w:rsidR="00BA4699" w:rsidRDefault="00BA4699" w:rsidP="00D33613">
      <w:pPr>
        <w:pStyle w:val="Tekstprzypisudolnego"/>
        <w:spacing w:before="60" w:after="60" w:line="240" w:lineRule="auto"/>
      </w:pPr>
      <w:r w:rsidRPr="00BF4D71">
        <w:rPr>
          <w:rStyle w:val="Odwoanieprzypisudolnego"/>
        </w:rPr>
        <w:footnoteRef/>
      </w:r>
      <w:r w:rsidRPr="00BF4D71">
        <w:t xml:space="preserve"> Por. np. wyrok WSA w Lublinie z dnia 28 grudnia 2012 r., I SA/Lu 932/12, który dotyczył problematyki zaokrąglania uregulowanej w ustawie z dnia 13 września 1996 r. o utrzymaniu czystości i porządku w gminach opłaty za gospodarowanie odpadami komunalnymi.</w:t>
      </w:r>
    </w:p>
  </w:footnote>
  <w:footnote w:id="210">
    <w:p w:rsidR="00BA4699" w:rsidRPr="00133704" w:rsidRDefault="00BA4699" w:rsidP="00326528">
      <w:pPr>
        <w:pStyle w:val="Tekstprzypisudolnego"/>
        <w:spacing w:line="240" w:lineRule="auto"/>
      </w:pPr>
      <w:r w:rsidRPr="00133704">
        <w:rPr>
          <w:rStyle w:val="Odwoanieprzypisudolnego"/>
        </w:rPr>
        <w:footnoteRef/>
      </w:r>
      <w:r w:rsidRPr="00133704">
        <w:t xml:space="preserve"> Zob. stanowiska Pracodawców Rzeczypospolitej Polskiej i Krajowej Izby Doradców Podatkowych zawarte w piśmie z dnia 26 stycznia 2015 r. do Przewodniczącego Komisji Kodyfikacyjnej Ogólnego Prawa Podatkowego (sygn. CML/0071/</w:t>
      </w:r>
      <w:r w:rsidRPr="007210D7">
        <w:t>01.15/AP/MK), a także Rady Podatkowej Konferencji Lewiatan (http://www.konfederacjalewiatan.pl). W dokumentach tych wskazuje się, że problem ten związany jest z licznymi regulacjami stanowiącymi o nierozpoczynaniu biegu terminu zawieszeniu lub p</w:t>
      </w:r>
      <w:r w:rsidRPr="00133704">
        <w:t>rzerwaniu jego biegu. Podkreśla się również, że regulacja w obecnym brzmieniu powoduje niepewność obrotu i tym samym dodatkowe koszty prowadzonej działalności gospodarczej.</w:t>
      </w:r>
    </w:p>
  </w:footnote>
  <w:footnote w:id="211">
    <w:p w:rsidR="00BA4699" w:rsidRPr="007210D7" w:rsidRDefault="00BA4699" w:rsidP="00326528">
      <w:pPr>
        <w:pStyle w:val="Tekstprzypisudolnego"/>
        <w:spacing w:line="240" w:lineRule="auto"/>
      </w:pPr>
      <w:r w:rsidRPr="00133704">
        <w:rPr>
          <w:rStyle w:val="Odwoanieprzypisudolnego"/>
        </w:rPr>
        <w:footnoteRef/>
      </w:r>
      <w:r w:rsidRPr="00133704">
        <w:t xml:space="preserve"> W wyroku NSA z dnia 24 listopada 2016 r., II FSK 1488/15, wskazano, iż przedawnienie zobowiązań podatkowych nie może być instytucją pozorną i musi dawać podatnikowi poczucie pewności. NSA odwołał się w tym zakresie do orzecznictwa TK, wskazując, iż aby przedawnienie nie było jedynie instytucją pozorną, musi realizować stawiane mu cele. W ocenie N</w:t>
      </w:r>
      <w:r w:rsidRPr="007210D7">
        <w:t xml:space="preserve">SA oznacza to, że instytucja przedawnienia musi dawać podatnikowi poczucie pewności i działać w sposób dyscyplinujący na wierzyciela podatkowego. </w:t>
      </w:r>
    </w:p>
  </w:footnote>
  <w:footnote w:id="212">
    <w:p w:rsidR="00BA4699" w:rsidRPr="00463D52" w:rsidRDefault="00BA4699" w:rsidP="00326528">
      <w:pPr>
        <w:pStyle w:val="Default"/>
        <w:jc w:val="both"/>
        <w:rPr>
          <w:sz w:val="20"/>
          <w:szCs w:val="20"/>
        </w:rPr>
      </w:pPr>
      <w:r w:rsidRPr="00463D52">
        <w:rPr>
          <w:rStyle w:val="Odwoanieprzypisudolnego"/>
          <w:color w:val="auto"/>
          <w:sz w:val="20"/>
          <w:szCs w:val="20"/>
        </w:rPr>
        <w:footnoteRef/>
      </w:r>
      <w:r w:rsidRPr="00133704">
        <w:rPr>
          <w:color w:val="auto"/>
          <w:sz w:val="20"/>
          <w:szCs w:val="20"/>
        </w:rPr>
        <w:t xml:space="preserve"> Rada Podatkowa Konferencji Lewiatan (http://www.konfederacjalewiatan.pl) postuluje m.in. uporządkowanie definicji ustawowych w zakresie przedawnień i przypadków przerwania biegu terminu przedawnienia oraz wykreślenie przepisu art. 70 § 6 pkt 1 o.p. stanowiącego, że bieg terminu przedawnienia zostaje zawieszony już z dniem wszczęcia postępowania karnego skarbowego w sprawie </w:t>
      </w:r>
      <w:r w:rsidRPr="00133704">
        <w:rPr>
          <w:i/>
          <w:color w:val="auto"/>
          <w:sz w:val="20"/>
          <w:szCs w:val="20"/>
        </w:rPr>
        <w:t>(in rem</w:t>
      </w:r>
      <w:r w:rsidRPr="007210D7">
        <w:rPr>
          <w:color w:val="auto"/>
          <w:sz w:val="20"/>
          <w:szCs w:val="20"/>
        </w:rPr>
        <w:t>).</w:t>
      </w:r>
    </w:p>
  </w:footnote>
  <w:footnote w:id="213">
    <w:p w:rsidR="00BA4699" w:rsidRPr="00463D52" w:rsidRDefault="00BA4699" w:rsidP="00326528">
      <w:pPr>
        <w:pStyle w:val="Tekstprzypisudolnego"/>
        <w:spacing w:line="240" w:lineRule="auto"/>
        <w:rPr>
          <w:lang w:val="en-US"/>
        </w:rPr>
      </w:pPr>
      <w:r w:rsidRPr="00133704">
        <w:rPr>
          <w:rStyle w:val="Odwoanieprzypisudolnego"/>
        </w:rPr>
        <w:footnoteRef/>
      </w:r>
      <w:r w:rsidRPr="00133704">
        <w:t xml:space="preserve"> Można spotkać się z twierdzeniem, że z uwagi na bardzo rozbudowany katalog przesłanek zawieszenia biegu terminu przedawnienia przepisy dotyczące przedawnienia nie spełniają swojej funkcji. Zwracają na to uwagę Pracodawcy Rzeczypospolitej Polskiej wraz z Krajową Izbą Doradców Podatkowych w piśmie z dnia 26 stycznia 2015 r. do Przewodniczącego Komisji Kodyfikacyjnej Ogólnego Prawa Podatkowego (sygn. </w:t>
      </w:r>
      <w:r w:rsidRPr="00133704">
        <w:rPr>
          <w:lang w:val="en-US"/>
        </w:rPr>
        <w:t>CML/0071/01.15/AP/MK).</w:t>
      </w:r>
    </w:p>
  </w:footnote>
  <w:footnote w:id="214">
    <w:p w:rsidR="00BA4699" w:rsidRDefault="00BA4699" w:rsidP="00326528">
      <w:pPr>
        <w:pStyle w:val="NormalnyWeb"/>
        <w:spacing w:after="0" w:line="240" w:lineRule="auto"/>
        <w:jc w:val="both"/>
      </w:pPr>
      <w:r w:rsidRPr="00463D52">
        <w:rPr>
          <w:rStyle w:val="Odwoanieprzypisudolnego"/>
          <w:sz w:val="20"/>
          <w:szCs w:val="20"/>
        </w:rPr>
        <w:footnoteRef/>
      </w:r>
      <w:r w:rsidRPr="00133704">
        <w:rPr>
          <w:sz w:val="20"/>
          <w:szCs w:val="20"/>
          <w:lang w:val="en-US"/>
        </w:rPr>
        <w:t xml:space="preserve"> M. Popławski, Tax Code Models (w:) L. Etel, M. Popławski (ed.), Tax Codes Concepts in the Countries of Central and Eastern Europe, Białystok 2016, s. 15 i nast.; zob. art. 57 </w:t>
      </w:r>
      <w:r w:rsidRPr="00133704">
        <w:rPr>
          <w:bCs/>
          <w:sz w:val="20"/>
          <w:szCs w:val="20"/>
          <w:lang w:val="en-US"/>
        </w:rPr>
        <w:t xml:space="preserve">Tax Code of the Republic of Taxastan. </w:t>
      </w:r>
      <w:r w:rsidRPr="00133704">
        <w:rPr>
          <w:bCs/>
          <w:sz w:val="20"/>
          <w:szCs w:val="20"/>
        </w:rPr>
        <w:t xml:space="preserve">A Hypothetical Tax Law. </w:t>
      </w:r>
      <w:r w:rsidRPr="007210D7">
        <w:rPr>
          <w:sz w:val="20"/>
          <w:szCs w:val="20"/>
        </w:rPr>
        <w:t>Prepared by the IMF Legal Department, September 29, 2000, w którym ws</w:t>
      </w:r>
      <w:r w:rsidRPr="00133704">
        <w:rPr>
          <w:sz w:val="20"/>
          <w:szCs w:val="20"/>
        </w:rPr>
        <w:t>kazuje się, że o</w:t>
      </w:r>
      <w:r w:rsidRPr="00133704">
        <w:rPr>
          <w:rStyle w:val="hps"/>
          <w:sz w:val="20"/>
          <w:szCs w:val="20"/>
        </w:rPr>
        <w:t>rgany podatkowe</w:t>
      </w:r>
      <w:r w:rsidRPr="00133704">
        <w:rPr>
          <w:sz w:val="20"/>
          <w:szCs w:val="20"/>
        </w:rPr>
        <w:t xml:space="preserve"> </w:t>
      </w:r>
      <w:r w:rsidRPr="00133704">
        <w:rPr>
          <w:rStyle w:val="hps"/>
          <w:sz w:val="20"/>
          <w:szCs w:val="20"/>
        </w:rPr>
        <w:t>mogą</w:t>
      </w:r>
      <w:r w:rsidRPr="00133704">
        <w:rPr>
          <w:sz w:val="20"/>
          <w:szCs w:val="20"/>
        </w:rPr>
        <w:t xml:space="preserve"> dokonać wymiaru </w:t>
      </w:r>
      <w:r w:rsidRPr="00133704">
        <w:rPr>
          <w:rStyle w:val="hps"/>
          <w:sz w:val="20"/>
          <w:szCs w:val="20"/>
        </w:rPr>
        <w:t>lub zmienić wymiar dla osób fizycznych</w:t>
      </w:r>
      <w:r w:rsidRPr="00133704">
        <w:rPr>
          <w:sz w:val="20"/>
          <w:szCs w:val="20"/>
        </w:rPr>
        <w:t xml:space="preserve"> </w:t>
      </w:r>
      <w:r w:rsidRPr="00133704">
        <w:rPr>
          <w:rStyle w:val="hps"/>
          <w:sz w:val="20"/>
          <w:szCs w:val="20"/>
        </w:rPr>
        <w:t>lub</w:t>
      </w:r>
      <w:r w:rsidRPr="00133704">
        <w:rPr>
          <w:sz w:val="20"/>
          <w:szCs w:val="20"/>
        </w:rPr>
        <w:t xml:space="preserve"> </w:t>
      </w:r>
      <w:r w:rsidRPr="00133704">
        <w:rPr>
          <w:rStyle w:val="hps"/>
          <w:sz w:val="20"/>
          <w:szCs w:val="20"/>
        </w:rPr>
        <w:t>prawnych</w:t>
      </w:r>
      <w:r w:rsidRPr="00133704">
        <w:rPr>
          <w:sz w:val="20"/>
          <w:szCs w:val="20"/>
        </w:rPr>
        <w:t xml:space="preserve"> </w:t>
      </w:r>
      <w:r w:rsidRPr="00133704">
        <w:rPr>
          <w:rStyle w:val="hps"/>
          <w:sz w:val="20"/>
          <w:szCs w:val="20"/>
        </w:rPr>
        <w:t>w ciągu</w:t>
      </w:r>
      <w:r w:rsidRPr="00BF4D71">
        <w:rPr>
          <w:rStyle w:val="hps"/>
          <w:sz w:val="20"/>
          <w:szCs w:val="20"/>
        </w:rPr>
        <w:t xml:space="preserve"> czterech lat</w:t>
      </w:r>
      <w:r w:rsidRPr="00BF4D71">
        <w:rPr>
          <w:sz w:val="20"/>
          <w:szCs w:val="20"/>
        </w:rPr>
        <w:t xml:space="preserve"> </w:t>
      </w:r>
      <w:r w:rsidRPr="00BF4D71">
        <w:rPr>
          <w:rStyle w:val="hps"/>
          <w:sz w:val="20"/>
          <w:szCs w:val="20"/>
        </w:rPr>
        <w:t>po zakończeniu</w:t>
      </w:r>
      <w:r w:rsidRPr="00BF4D71">
        <w:rPr>
          <w:sz w:val="20"/>
          <w:szCs w:val="20"/>
        </w:rPr>
        <w:t xml:space="preserve"> roku </w:t>
      </w:r>
      <w:r w:rsidRPr="00BF4D71">
        <w:rPr>
          <w:rStyle w:val="hps"/>
          <w:sz w:val="20"/>
          <w:szCs w:val="20"/>
        </w:rPr>
        <w:t>podatkowego,</w:t>
      </w:r>
      <w:r w:rsidRPr="00BF4D71">
        <w:rPr>
          <w:sz w:val="20"/>
          <w:szCs w:val="20"/>
        </w:rPr>
        <w:t xml:space="preserve"> </w:t>
      </w:r>
      <w:r w:rsidRPr="00BF4D71">
        <w:rPr>
          <w:rStyle w:val="hps"/>
          <w:sz w:val="20"/>
          <w:szCs w:val="20"/>
        </w:rPr>
        <w:t>a wymierzony podatek może</w:t>
      </w:r>
      <w:r w:rsidRPr="00BF4D71">
        <w:rPr>
          <w:sz w:val="20"/>
          <w:szCs w:val="20"/>
        </w:rPr>
        <w:t xml:space="preserve"> </w:t>
      </w:r>
      <w:r w:rsidRPr="00BF4D71">
        <w:rPr>
          <w:rStyle w:val="hps"/>
          <w:sz w:val="20"/>
          <w:szCs w:val="20"/>
        </w:rPr>
        <w:t>być pobierany przez organy podatkowe</w:t>
      </w:r>
      <w:r w:rsidRPr="00BF4D71">
        <w:rPr>
          <w:sz w:val="20"/>
          <w:szCs w:val="20"/>
        </w:rPr>
        <w:t xml:space="preserve"> </w:t>
      </w:r>
      <w:r w:rsidRPr="00BF4D71">
        <w:rPr>
          <w:rStyle w:val="hps"/>
          <w:sz w:val="20"/>
          <w:szCs w:val="20"/>
        </w:rPr>
        <w:t>w ciągu ośmiu</w:t>
      </w:r>
      <w:r w:rsidRPr="00BF4D71">
        <w:rPr>
          <w:sz w:val="20"/>
          <w:szCs w:val="20"/>
        </w:rPr>
        <w:t xml:space="preserve"> </w:t>
      </w:r>
      <w:r w:rsidRPr="00BF4D71">
        <w:rPr>
          <w:rStyle w:val="hps"/>
          <w:sz w:val="20"/>
          <w:szCs w:val="20"/>
        </w:rPr>
        <w:t>lat od zakończenia</w:t>
      </w:r>
      <w:r w:rsidRPr="00BF4D71">
        <w:rPr>
          <w:sz w:val="20"/>
          <w:szCs w:val="20"/>
        </w:rPr>
        <w:t xml:space="preserve"> </w:t>
      </w:r>
      <w:r w:rsidRPr="00BF4D71">
        <w:rPr>
          <w:rStyle w:val="hps"/>
          <w:sz w:val="20"/>
          <w:szCs w:val="20"/>
        </w:rPr>
        <w:t>okresu podatkowego.</w:t>
      </w:r>
    </w:p>
  </w:footnote>
  <w:footnote w:id="215">
    <w:p w:rsidR="00BA4699" w:rsidRPr="00463D52" w:rsidRDefault="00BA4699" w:rsidP="00463D52">
      <w:pPr>
        <w:autoSpaceDE w:val="0"/>
        <w:autoSpaceDN w:val="0"/>
        <w:adjustRightInd w:val="0"/>
        <w:spacing w:after="0" w:line="240" w:lineRule="auto"/>
        <w:jc w:val="both"/>
        <w:rPr>
          <w:rFonts w:ascii="Times New Roman" w:hAnsi="Times New Roman"/>
          <w:sz w:val="20"/>
          <w:szCs w:val="20"/>
        </w:rPr>
      </w:pPr>
      <w:r w:rsidRPr="00BF4D71">
        <w:rPr>
          <w:rStyle w:val="Odwoanieprzypisudolnego"/>
          <w:szCs w:val="20"/>
        </w:rPr>
        <w:footnoteRef/>
      </w:r>
      <w:r w:rsidRPr="00BF4D71">
        <w:rPr>
          <w:sz w:val="20"/>
          <w:szCs w:val="20"/>
        </w:rPr>
        <w:t xml:space="preserve"> </w:t>
      </w:r>
      <w:r w:rsidRPr="00463D52">
        <w:rPr>
          <w:rFonts w:ascii="Times New Roman" w:hAnsi="Times New Roman"/>
          <w:sz w:val="20"/>
          <w:szCs w:val="20"/>
        </w:rPr>
        <w:t xml:space="preserve">Zob. art. 42 pkt 1 i 3 w zw. z art. 44 pkt 1 i 3 i art. 35 kodeksu w wersji z 1997 r. </w:t>
      </w:r>
      <w:r w:rsidRPr="00463D52">
        <w:rPr>
          <w:rFonts w:ascii="Times New Roman" w:hAnsi="Times New Roman"/>
          <w:color w:val="000000"/>
          <w:sz w:val="20"/>
          <w:szCs w:val="20"/>
        </w:rPr>
        <w:t>(</w:t>
      </w:r>
      <w:hyperlink r:id="rId18" w:history="1">
        <w:r w:rsidRPr="00133704">
          <w:rPr>
            <w:rStyle w:val="Hipercze"/>
            <w:color w:val="000000"/>
            <w:sz w:val="20"/>
            <w:szCs w:val="20"/>
          </w:rPr>
          <w:t>http://www.ciat.org/index.php/en/products-and-services/ciatdata/tax-rates/145.html?task=view</w:t>
        </w:r>
      </w:hyperlink>
      <w:r w:rsidRPr="00463D52">
        <w:rPr>
          <w:rFonts w:ascii="Times New Roman" w:hAnsi="Times New Roman"/>
          <w:sz w:val="20"/>
          <w:szCs w:val="20"/>
        </w:rPr>
        <w:t>), gdzie wskazuje się, że przedawnienie do wymiaru liczone jest od 1 stycznia roku następującego po roku, w którym minął termin złożenia deklaracji, a przedawnienie poboru rozpoczyna swój bieg od 1 stycznia roku następującego po roku, w którym minął termin dobrowolnej zapłaty podatku lub w którym decyzja wymiarowa stała się ostateczna.</w:t>
      </w:r>
    </w:p>
  </w:footnote>
  <w:footnote w:id="216">
    <w:p w:rsidR="00BA4699" w:rsidRPr="00133704" w:rsidRDefault="00BA4699" w:rsidP="00133704">
      <w:pPr>
        <w:pStyle w:val="Tekstprzypisudolnego"/>
        <w:spacing w:line="240" w:lineRule="auto"/>
      </w:pPr>
      <w:r w:rsidRPr="00133704">
        <w:rPr>
          <w:rStyle w:val="Odwoanieprzypisudolnego"/>
        </w:rPr>
        <w:footnoteRef/>
      </w:r>
      <w:r w:rsidRPr="00133704">
        <w:t xml:space="preserve"> Zob. niemiecką ordynację podatkową (</w:t>
      </w:r>
      <w:r w:rsidRPr="00133704">
        <w:rPr>
          <w:i/>
        </w:rPr>
        <w:t>Abgabenordnung</w:t>
      </w:r>
      <w:r w:rsidRPr="00C150F6">
        <w:t xml:space="preserve">) cz. I p. 3866; 2003 I p. 61, w wersji uwzględniającej zmiany wprowadzone art. </w:t>
      </w:r>
      <w:r w:rsidRPr="007210D7">
        <w:t>2 ustawy dnia 30 lipca 2009 (</w:t>
      </w:r>
      <w:r w:rsidRPr="00133704">
        <w:rPr>
          <w:iCs/>
        </w:rPr>
        <w:t>BGBl,</w:t>
      </w:r>
      <w:r w:rsidRPr="00133704">
        <w:t xml:space="preserve"> I p. 2474), gdzie przedawnienie wymiaru </w:t>
      </w:r>
      <w:r w:rsidRPr="00133704">
        <w:rPr>
          <w:i/>
        </w:rPr>
        <w:t>(Festsetzungsverjaehrung</w:t>
      </w:r>
      <w:r w:rsidRPr="00133704">
        <w:t>) jest uregulowane w art. 169-171, natomiast przedawnienie płatności (</w:t>
      </w:r>
      <w:r w:rsidRPr="00133704">
        <w:rPr>
          <w:i/>
        </w:rPr>
        <w:t>Zahlungsverjaehrung)</w:t>
      </w:r>
      <w:r w:rsidRPr="00133704">
        <w:t xml:space="preserve"> w artykułach 228-232.</w:t>
      </w:r>
    </w:p>
  </w:footnote>
  <w:footnote w:id="217">
    <w:p w:rsidR="00BA4699" w:rsidRPr="00133704" w:rsidRDefault="00BA4699" w:rsidP="00133704">
      <w:pPr>
        <w:pStyle w:val="Tekstprzypisudolnego"/>
        <w:spacing w:line="240" w:lineRule="auto"/>
      </w:pPr>
      <w:r w:rsidRPr="00133704">
        <w:rPr>
          <w:rStyle w:val="Odwoanieprzypisudolnego"/>
        </w:rPr>
        <w:footnoteRef/>
      </w:r>
      <w:r w:rsidRPr="00133704">
        <w:t xml:space="preserve"> W art. 97 estońskiej ustawy podatkowej (Taxation Act – Riigi Teataja), Dziennik Urzędowy I 2002, 26, 150, uregulowano przedawnienie wymiaru, natomiast w art. </w:t>
      </w:r>
      <w:r w:rsidRPr="007210D7">
        <w:rPr>
          <w:bCs/>
        </w:rPr>
        <w:t>132 uregulowano przedawnienie poboru.</w:t>
      </w:r>
    </w:p>
  </w:footnote>
  <w:footnote w:id="218">
    <w:p w:rsidR="00BA4699" w:rsidRPr="007210D7" w:rsidRDefault="00BA4699" w:rsidP="00C150F6">
      <w:pPr>
        <w:pStyle w:val="Tekstprzypisudolnego"/>
        <w:spacing w:line="240" w:lineRule="auto"/>
      </w:pPr>
      <w:r w:rsidRPr="00133704">
        <w:rPr>
          <w:rStyle w:val="Odwoanieprzypisudolnego"/>
        </w:rPr>
        <w:footnoteRef/>
      </w:r>
      <w:r w:rsidRPr="00133704">
        <w:t xml:space="preserve"> Zob. art. 164 węgierskiej ustawy </w:t>
      </w:r>
      <w:r w:rsidRPr="00133704">
        <w:rPr>
          <w:bCs/>
        </w:rPr>
        <w:t>2003. évi XCII. törvény az adózás rendjéről (regulujący przedawnien</w:t>
      </w:r>
      <w:r w:rsidRPr="00C150F6">
        <w:rPr>
          <w:bCs/>
        </w:rPr>
        <w:t>ie wymiaru oraz poboru w ust. 1-5 i 9 oraz ust. 6-9, odpowiednio).</w:t>
      </w:r>
    </w:p>
  </w:footnote>
  <w:footnote w:id="219">
    <w:p w:rsidR="00BA4699" w:rsidRPr="007210D7" w:rsidRDefault="00BA4699" w:rsidP="007210D7">
      <w:pPr>
        <w:pStyle w:val="Tekstprzypisudolnego"/>
        <w:spacing w:line="240" w:lineRule="auto"/>
      </w:pPr>
      <w:r w:rsidRPr="00133704">
        <w:rPr>
          <w:rStyle w:val="Odwoanieprzypisudolnego"/>
        </w:rPr>
        <w:footnoteRef/>
      </w:r>
      <w:r w:rsidRPr="00133704">
        <w:t xml:space="preserve"> Zob. art. 66 i 67 ust. 1 lit a) obowiązującej w Hiszpanii ustawy 58/2003 z dnia 17 grudnia ordynacja podatkowa, (Dz.U. Nr 302), gdzie wskazuje się 4-letni okres na wymiar i 4-letni na pob</w:t>
      </w:r>
      <w:r w:rsidRPr="007210D7">
        <w:t xml:space="preserve">ór podatku.  </w:t>
      </w:r>
    </w:p>
  </w:footnote>
  <w:footnote w:id="220">
    <w:p w:rsidR="00BA4699" w:rsidRPr="00463D52" w:rsidRDefault="00BA4699">
      <w:pPr>
        <w:autoSpaceDE w:val="0"/>
        <w:autoSpaceDN w:val="0"/>
        <w:adjustRightInd w:val="0"/>
        <w:spacing w:after="0" w:line="240" w:lineRule="auto"/>
        <w:jc w:val="both"/>
        <w:rPr>
          <w:rFonts w:ascii="Times New Roman" w:hAnsi="Times New Roman"/>
          <w:b/>
          <w:sz w:val="20"/>
          <w:szCs w:val="20"/>
        </w:rPr>
      </w:pPr>
      <w:r w:rsidRPr="00463D52">
        <w:rPr>
          <w:rStyle w:val="Odwoanieprzypisudolnego"/>
          <w:sz w:val="20"/>
          <w:szCs w:val="20"/>
        </w:rPr>
        <w:footnoteRef/>
      </w:r>
      <w:r w:rsidRPr="00463D52">
        <w:rPr>
          <w:rFonts w:ascii="Times New Roman" w:hAnsi="Times New Roman"/>
          <w:sz w:val="20"/>
          <w:szCs w:val="20"/>
        </w:rPr>
        <w:t xml:space="preserve"> Zob. Kodeks Stanów Zjednoczonych, Tytuł 26. Kodeks Skarbu Państwa z dochodów podatkowych, </w:t>
      </w:r>
      <w:r w:rsidRPr="00133704">
        <w:rPr>
          <w:rStyle w:val="hps"/>
          <w:sz w:val="20"/>
          <w:szCs w:val="20"/>
        </w:rPr>
        <w:t xml:space="preserve">Podtytuł F. Procedura i administracja, gdzie w </w:t>
      </w:r>
      <w:r w:rsidRPr="00133704">
        <w:rPr>
          <w:rStyle w:val="Pogrubienie"/>
          <w:bCs/>
          <w:sz w:val="20"/>
          <w:szCs w:val="20"/>
        </w:rPr>
        <w:t>§ 6501 uregulowano kwestię przedawnienia wymiaru</w:t>
      </w:r>
      <w:r w:rsidRPr="00133704">
        <w:rPr>
          <w:rFonts w:ascii="Times New Roman" w:hAnsi="Times New Roman"/>
          <w:b/>
          <w:sz w:val="20"/>
          <w:szCs w:val="20"/>
        </w:rPr>
        <w:t>,</w:t>
      </w:r>
      <w:r w:rsidRPr="00C150F6">
        <w:rPr>
          <w:rStyle w:val="Pogrubienie"/>
          <w:bCs/>
          <w:sz w:val="20"/>
          <w:szCs w:val="20"/>
        </w:rPr>
        <w:t xml:space="preserve"> a w § 6502 zagadnienie przedawnienia poboru po wymiar</w:t>
      </w:r>
      <w:r w:rsidRPr="007210D7">
        <w:rPr>
          <w:rStyle w:val="Pogrubienie"/>
          <w:bCs/>
          <w:sz w:val="20"/>
          <w:szCs w:val="20"/>
        </w:rPr>
        <w:t>ze.</w:t>
      </w:r>
    </w:p>
  </w:footnote>
  <w:footnote w:id="221">
    <w:p w:rsidR="00BA4699" w:rsidRPr="007210D7" w:rsidRDefault="00BA4699">
      <w:pPr>
        <w:pStyle w:val="Tekstprzypisudolnego"/>
        <w:spacing w:line="240" w:lineRule="auto"/>
      </w:pPr>
      <w:r w:rsidRPr="00133704">
        <w:rPr>
          <w:rStyle w:val="Odwoanieprzypisudolnego"/>
        </w:rPr>
        <w:footnoteRef/>
      </w:r>
      <w:r w:rsidRPr="00133704">
        <w:t xml:space="preserve"> Zob. ustawa z dnia 15 marca 1934 r. - Ordynacja podatkowa (Dz.U. Nr 39, poz. 346 z późn. zm.). W art. 99 tego aktu uregulowano przedawnienie prawa do wymiaru (5 lat, licząc od końca roku kalendarzowego, w którym powstał obowiązek podatkowy), natomias</w:t>
      </w:r>
      <w:r w:rsidRPr="007210D7">
        <w:t>t w art. 124 uregulowano przedawnienie prawa do ściągnięcia należności podatkowych (5 lat, licząc od końca roku kalendarzowego, w którym upłynął termin płatności).</w:t>
      </w:r>
    </w:p>
  </w:footnote>
  <w:footnote w:id="222">
    <w:p w:rsidR="00BA4699" w:rsidRPr="007210D7" w:rsidRDefault="00BA4699">
      <w:pPr>
        <w:pStyle w:val="Tekstprzypisudolnego"/>
        <w:spacing w:line="240" w:lineRule="auto"/>
      </w:pPr>
      <w:r w:rsidRPr="00133704">
        <w:rPr>
          <w:rStyle w:val="Odwoanieprzypisudolnego"/>
        </w:rPr>
        <w:footnoteRef/>
      </w:r>
      <w:r w:rsidRPr="00133704">
        <w:t xml:space="preserve"> W art. 68 o.p. uregulowano przedawnienie prawa do wymiaru, a w art. 70 przedawnienie prawa do poboru m.in. świadczeń, w których zobowiązanie powstaje na skutek doręczenia decyzji ustalającej. </w:t>
      </w:r>
    </w:p>
  </w:footnote>
  <w:footnote w:id="223">
    <w:p w:rsidR="00BA4699" w:rsidRPr="00463D52" w:rsidRDefault="00BA4699" w:rsidP="00463D52">
      <w:pPr>
        <w:spacing w:after="0" w:line="240" w:lineRule="auto"/>
        <w:jc w:val="both"/>
        <w:rPr>
          <w:rFonts w:ascii="Times New Roman" w:hAnsi="Times New Roman"/>
          <w:sz w:val="20"/>
          <w:szCs w:val="20"/>
        </w:rPr>
      </w:pPr>
      <w:r w:rsidRPr="00463D52">
        <w:rPr>
          <w:rStyle w:val="Odwoanieprzypisudolnego"/>
          <w:sz w:val="20"/>
          <w:szCs w:val="20"/>
        </w:rPr>
        <w:footnoteRef/>
      </w:r>
      <w:r w:rsidRPr="00463D52">
        <w:rPr>
          <w:rFonts w:ascii="Times New Roman" w:hAnsi="Times New Roman"/>
          <w:sz w:val="20"/>
          <w:szCs w:val="20"/>
        </w:rPr>
        <w:t xml:space="preserve"> W art. 11</w:t>
      </w:r>
      <w:r w:rsidRPr="00463D52">
        <w:rPr>
          <w:rFonts w:ascii="Times New Roman" w:hAnsi="Times New Roman"/>
          <w:bCs/>
          <w:sz w:val="20"/>
          <w:szCs w:val="20"/>
        </w:rPr>
        <w:t>8</w:t>
      </w:r>
      <w:r w:rsidRPr="00463D52">
        <w:rPr>
          <w:rFonts w:ascii="Times New Roman" w:hAnsi="Times New Roman"/>
          <w:sz w:val="20"/>
          <w:szCs w:val="20"/>
        </w:rPr>
        <w:t> § 1 o.p. uregulowano przedawnienie wymiaru wobec osoby trzeciej, a w § 2 przedawnienie poboru takiego zobowiązania.</w:t>
      </w:r>
    </w:p>
  </w:footnote>
  <w:footnote w:id="224">
    <w:p w:rsidR="00BA4699" w:rsidRPr="00C150F6" w:rsidRDefault="00BA4699" w:rsidP="00133704">
      <w:pPr>
        <w:pStyle w:val="Tekstprzypisudolnego"/>
        <w:spacing w:line="240" w:lineRule="auto"/>
      </w:pPr>
      <w:r w:rsidRPr="00133704">
        <w:rPr>
          <w:rStyle w:val="Odwoanieprzypisudolnego"/>
        </w:rPr>
        <w:footnoteRef/>
      </w:r>
      <w:r w:rsidRPr="00133704">
        <w:t xml:space="preserve"> W art. 263 § 4 o.p. wskazuje się, że przepisy art. 68 § 1 i art. 70 stosuje się odpowiednio do kar porządkowych.</w:t>
      </w:r>
    </w:p>
  </w:footnote>
  <w:footnote w:id="225">
    <w:p w:rsidR="00BA4699" w:rsidRPr="00133704" w:rsidRDefault="00BA4699" w:rsidP="00133704">
      <w:pPr>
        <w:pStyle w:val="Tekstprzypisudolnego"/>
        <w:spacing w:line="240" w:lineRule="auto"/>
      </w:pPr>
      <w:r w:rsidRPr="00133704">
        <w:rPr>
          <w:rStyle w:val="Odwoanieprzypisudolnego"/>
        </w:rPr>
        <w:footnoteRef/>
      </w:r>
      <w:r w:rsidRPr="00133704">
        <w:t xml:space="preserve"> W art. 271 § 2 o.p. wskazuje się, że przepisy art. 68 § 1 i art. 70 stosuje się odpowiednio do kosztów postępowania.</w:t>
      </w:r>
    </w:p>
  </w:footnote>
  <w:footnote w:id="226">
    <w:p w:rsidR="00BA4699" w:rsidRPr="00C150F6" w:rsidRDefault="00BA4699" w:rsidP="00C150F6">
      <w:pPr>
        <w:pStyle w:val="Tekstprzypisudolnego"/>
        <w:spacing w:line="240" w:lineRule="auto"/>
      </w:pPr>
      <w:r w:rsidRPr="00133704">
        <w:rPr>
          <w:rStyle w:val="Odwoanieprzypisudolnego"/>
        </w:rPr>
        <w:footnoteRef/>
      </w:r>
      <w:r w:rsidRPr="00133704">
        <w:t xml:space="preserve"> W art. 79 o.p. uregulowano przedawnienie prawa do stwierdzenia nadpłaty, a w art. 80 przedawnienie prawa do zwrotu nadpłaty.</w:t>
      </w:r>
    </w:p>
  </w:footnote>
  <w:footnote w:id="227">
    <w:p w:rsidR="00BA4699" w:rsidRPr="00463D52" w:rsidRDefault="00BA4699" w:rsidP="00463D52">
      <w:pPr>
        <w:spacing w:after="0" w:line="240" w:lineRule="auto"/>
        <w:jc w:val="both"/>
        <w:rPr>
          <w:rFonts w:ascii="Times New Roman" w:hAnsi="Times New Roman"/>
          <w:sz w:val="20"/>
          <w:szCs w:val="20"/>
        </w:rPr>
      </w:pPr>
      <w:r w:rsidRPr="00BF4D71">
        <w:rPr>
          <w:rStyle w:val="Odwoanieprzypisudolnego"/>
          <w:szCs w:val="20"/>
        </w:rPr>
        <w:footnoteRef/>
      </w:r>
      <w:r w:rsidRPr="00BF4D71">
        <w:rPr>
          <w:sz w:val="20"/>
          <w:szCs w:val="20"/>
        </w:rPr>
        <w:t xml:space="preserve"> </w:t>
      </w:r>
      <w:r w:rsidRPr="00463D52">
        <w:rPr>
          <w:rFonts w:ascii="Times New Roman" w:hAnsi="Times New Roman"/>
          <w:sz w:val="20"/>
          <w:szCs w:val="20"/>
        </w:rPr>
        <w:t xml:space="preserve">W TK za sygnaturą K 31/14 toczy się postępowanie z wniosku Rzecznika Praw Obywatelskich o stwierdzenie niezgodności między innymi art. 70 § 6 pkt 1 o.p. z art. 2 Konstytucji RP w zakresie, w jakim przewiduje, że bieg terminu przedawnienia zobowiązania podatkowego nie rozpoczyna się, a rozpoczęty ulega zawieszeniu z dniem wszczęcia postępowania w sprawie, a nie przeciwko osobie. W uzasadnieniu złożonego wniosku w ww. sprawie Rzecznik Praw Obywatelskich argumentował m.in., że w piśmiennictwie wskazuje się, że przepis art. 70 § 6 pkt 1 o.p. stał się </w:t>
      </w:r>
      <w:r w:rsidRPr="00463D52">
        <w:rPr>
          <w:rFonts w:ascii="Times New Roman" w:hAnsi="Times New Roman"/>
          <w:iCs/>
          <w:sz w:val="20"/>
          <w:szCs w:val="20"/>
        </w:rPr>
        <w:t xml:space="preserve">poręcznym instrumentem wydłużenia możliwości egzekucji zobowiązań podatkowych, prowadzenia postępowań kontrolnych oraz postępowań podatkowych. Wystarczyło bowiem wydanie postanowienia o wszczęciu dochodzenia lub śledztwa, a przedawnienie zobowiązania podatkowego ulegało zawieszeniu </w:t>
      </w:r>
      <w:r w:rsidRPr="00463D52">
        <w:rPr>
          <w:rFonts w:ascii="Times New Roman" w:hAnsi="Times New Roman"/>
          <w:i/>
          <w:iCs/>
          <w:sz w:val="20"/>
          <w:szCs w:val="20"/>
        </w:rPr>
        <w:t xml:space="preserve">de iure </w:t>
      </w:r>
      <w:r w:rsidRPr="00463D52">
        <w:rPr>
          <w:rFonts w:ascii="Times New Roman" w:hAnsi="Times New Roman"/>
          <w:i/>
          <w:sz w:val="20"/>
          <w:szCs w:val="20"/>
        </w:rPr>
        <w:t>(</w:t>
      </w:r>
      <w:r w:rsidRPr="00463D52">
        <w:rPr>
          <w:rFonts w:ascii="Times New Roman" w:hAnsi="Times New Roman"/>
          <w:i/>
          <w:iCs/>
          <w:sz w:val="20"/>
          <w:szCs w:val="20"/>
        </w:rPr>
        <w:t>vide</w:t>
      </w:r>
      <w:r w:rsidRPr="00463D52">
        <w:rPr>
          <w:rFonts w:ascii="Times New Roman" w:hAnsi="Times New Roman"/>
          <w:iCs/>
          <w:sz w:val="20"/>
          <w:szCs w:val="20"/>
        </w:rPr>
        <w:t xml:space="preserve"> </w:t>
      </w:r>
      <w:r w:rsidRPr="00463D52">
        <w:rPr>
          <w:rFonts w:ascii="Times New Roman" w:hAnsi="Times New Roman"/>
          <w:sz w:val="20"/>
          <w:szCs w:val="20"/>
        </w:rPr>
        <w:t xml:space="preserve">– uzasadnienie wniosku RPO, str. 3). Rzecznik podkreślił, że </w:t>
      </w:r>
      <w:r w:rsidRPr="00463D52">
        <w:rPr>
          <w:rFonts w:ascii="Times New Roman" w:hAnsi="Times New Roman"/>
          <w:iCs/>
          <w:sz w:val="20"/>
          <w:szCs w:val="20"/>
        </w:rPr>
        <w:t xml:space="preserve">w sytuacji, gdy postępowanie karne, które było przyczyną zawieszenia biegu terminu przedawnienia zobowiązania podatkowego, zostaje zawieszone, powstaje swoiste </w:t>
      </w:r>
      <w:r w:rsidRPr="00463D52">
        <w:rPr>
          <w:rFonts w:ascii="Times New Roman" w:hAnsi="Times New Roman"/>
          <w:i/>
          <w:iCs/>
          <w:sz w:val="20"/>
          <w:szCs w:val="20"/>
        </w:rPr>
        <w:t>perpetuum mobile</w:t>
      </w:r>
      <w:r w:rsidRPr="00463D52">
        <w:rPr>
          <w:rFonts w:ascii="Times New Roman" w:hAnsi="Times New Roman"/>
          <w:iCs/>
          <w:sz w:val="20"/>
          <w:szCs w:val="20"/>
        </w:rPr>
        <w:t xml:space="preserve"> niekończących się postępowań: zarówno karnego, jak i administracyjnego </w:t>
      </w:r>
      <w:r w:rsidRPr="00463D52">
        <w:rPr>
          <w:rFonts w:ascii="Times New Roman" w:hAnsi="Times New Roman"/>
          <w:sz w:val="20"/>
          <w:szCs w:val="20"/>
        </w:rPr>
        <w:t xml:space="preserve">(uzasadnienie wniosku RPO, str. 7). </w:t>
      </w:r>
    </w:p>
  </w:footnote>
  <w:footnote w:id="228">
    <w:p w:rsidR="00BA4699" w:rsidRPr="00C150F6" w:rsidRDefault="00BA4699" w:rsidP="00C150F6">
      <w:pPr>
        <w:pStyle w:val="Tekstprzypisudolnego"/>
        <w:spacing w:line="240" w:lineRule="auto"/>
      </w:pPr>
      <w:r w:rsidRPr="00C150F6">
        <w:rPr>
          <w:rStyle w:val="Odwoanieprzypisudolnego"/>
        </w:rPr>
        <w:footnoteRef/>
      </w:r>
      <w:r w:rsidRPr="00C150F6">
        <w:t xml:space="preserve"> Tak też uważa Prokurator Generalny, co znajduje wyraz w piśmie z dnia 7 lipca 2015 r. do Trybunału Konstytucyjnego,  K 31/14, s. 45 i nast.</w:t>
      </w:r>
    </w:p>
  </w:footnote>
  <w:footnote w:id="229">
    <w:p w:rsidR="00BA4699" w:rsidRPr="00463D52" w:rsidRDefault="00BA4699" w:rsidP="00463D52">
      <w:pPr>
        <w:spacing w:after="0" w:line="240" w:lineRule="auto"/>
        <w:jc w:val="both"/>
        <w:rPr>
          <w:rFonts w:ascii="Times New Roman" w:hAnsi="Times New Roman"/>
          <w:sz w:val="20"/>
          <w:szCs w:val="20"/>
        </w:rPr>
      </w:pPr>
      <w:r w:rsidRPr="00463D52">
        <w:rPr>
          <w:rStyle w:val="Odwoanieprzypisudolnego"/>
          <w:sz w:val="20"/>
          <w:szCs w:val="20"/>
        </w:rPr>
        <w:footnoteRef/>
      </w:r>
      <w:r w:rsidRPr="00463D52">
        <w:rPr>
          <w:rFonts w:ascii="Times New Roman" w:hAnsi="Times New Roman"/>
          <w:sz w:val="20"/>
          <w:szCs w:val="20"/>
        </w:rPr>
        <w:t xml:space="preserve"> G. Łabuda, Zawieszenie postępowania karnego skarbowego ze względu na prejudykat, „Prokuratura i Prawo” 2011, nr 3, s. 77.</w:t>
      </w:r>
    </w:p>
  </w:footnote>
  <w:footnote w:id="230">
    <w:p w:rsidR="00BA4699" w:rsidRPr="00C150F6" w:rsidRDefault="00BA4699" w:rsidP="00C150F6">
      <w:pPr>
        <w:pStyle w:val="Tekstprzypisudolnego"/>
        <w:spacing w:line="240" w:lineRule="auto"/>
      </w:pPr>
      <w:r w:rsidRPr="00C150F6">
        <w:rPr>
          <w:rStyle w:val="Odwoanieprzypisudolnego"/>
        </w:rPr>
        <w:footnoteRef/>
      </w:r>
      <w:r w:rsidRPr="00C150F6">
        <w:t xml:space="preserve"> G. P. Kardas, T. Razowski, </w:t>
      </w:r>
      <w:r w:rsidRPr="00C150F6">
        <w:rPr>
          <w:iCs/>
        </w:rPr>
        <w:t xml:space="preserve">Kodeks karny skarbowy. Komentarz, </w:t>
      </w:r>
      <w:r w:rsidRPr="00C150F6">
        <w:t>Kraków 2009, s. 16.</w:t>
      </w:r>
    </w:p>
  </w:footnote>
  <w:footnote w:id="231">
    <w:p w:rsidR="00BA4699" w:rsidRPr="00463D52" w:rsidRDefault="00BA4699" w:rsidP="00463D52">
      <w:pPr>
        <w:widowControl w:val="0"/>
        <w:autoSpaceDE w:val="0"/>
        <w:autoSpaceDN w:val="0"/>
        <w:adjustRightInd w:val="0"/>
        <w:spacing w:after="0" w:line="240" w:lineRule="auto"/>
        <w:jc w:val="both"/>
        <w:rPr>
          <w:rFonts w:ascii="Times New Roman" w:hAnsi="Times New Roman"/>
          <w:sz w:val="20"/>
          <w:szCs w:val="20"/>
        </w:rPr>
      </w:pPr>
      <w:r w:rsidRPr="00463D52">
        <w:rPr>
          <w:rStyle w:val="Odwoanieprzypisudolnego"/>
          <w:sz w:val="20"/>
          <w:szCs w:val="20"/>
        </w:rPr>
        <w:footnoteRef/>
      </w:r>
      <w:r w:rsidRPr="00463D52">
        <w:rPr>
          <w:rFonts w:ascii="Times New Roman" w:hAnsi="Times New Roman"/>
          <w:sz w:val="20"/>
          <w:szCs w:val="20"/>
        </w:rPr>
        <w:t xml:space="preserve"> Zob. Pismo Prokuratora Generalnego z dnia 7 lipca 2015 r. do Trybunału Konstytucyjnego, K 31/14, s. 45 i nast.</w:t>
      </w:r>
    </w:p>
  </w:footnote>
  <w:footnote w:id="232">
    <w:p w:rsidR="00BA4699" w:rsidRPr="00463D52" w:rsidRDefault="00BA4699" w:rsidP="00326528">
      <w:pPr>
        <w:widowControl w:val="0"/>
        <w:autoSpaceDE w:val="0"/>
        <w:autoSpaceDN w:val="0"/>
        <w:adjustRightInd w:val="0"/>
        <w:spacing w:line="240" w:lineRule="auto"/>
        <w:jc w:val="both"/>
        <w:rPr>
          <w:rFonts w:ascii="Times New Roman" w:hAnsi="Times New Roman"/>
        </w:rPr>
      </w:pPr>
      <w:r w:rsidRPr="00BF4D71">
        <w:rPr>
          <w:rStyle w:val="Odwoanieprzypisudolnego"/>
          <w:szCs w:val="20"/>
        </w:rPr>
        <w:footnoteRef/>
      </w:r>
      <w:r w:rsidRPr="00BF4D71">
        <w:rPr>
          <w:sz w:val="20"/>
          <w:szCs w:val="20"/>
        </w:rPr>
        <w:t xml:space="preserve"> </w:t>
      </w:r>
      <w:r w:rsidRPr="00463D52">
        <w:rPr>
          <w:rFonts w:ascii="Times New Roman" w:hAnsi="Times New Roman"/>
          <w:sz w:val="20"/>
          <w:szCs w:val="20"/>
        </w:rPr>
        <w:t>W TK za sygnaturą K 31/14 toczy się postępowanie z wniosku Rzecznika Praw Obywatelskich o stwierdzenie niezgodności między innymi art. 114a Kodeksu karnego skarbowego.</w:t>
      </w:r>
    </w:p>
  </w:footnote>
  <w:footnote w:id="233">
    <w:p w:rsidR="00BA4699" w:rsidRPr="00E26E0B" w:rsidRDefault="00BA4699" w:rsidP="00463D52">
      <w:pPr>
        <w:widowControl w:val="0"/>
        <w:autoSpaceDE w:val="0"/>
        <w:autoSpaceDN w:val="0"/>
        <w:adjustRightInd w:val="0"/>
        <w:spacing w:after="0" w:line="240" w:lineRule="auto"/>
        <w:jc w:val="both"/>
        <w:rPr>
          <w:rFonts w:ascii="Times New Roman" w:hAnsi="Times New Roman"/>
        </w:rPr>
      </w:pPr>
      <w:r w:rsidRPr="00BF4D71">
        <w:rPr>
          <w:rStyle w:val="Odwoanieprzypisudolnego"/>
          <w:szCs w:val="20"/>
        </w:rPr>
        <w:footnoteRef/>
      </w:r>
      <w:r w:rsidRPr="00BF4D71">
        <w:rPr>
          <w:sz w:val="20"/>
          <w:szCs w:val="20"/>
        </w:rPr>
        <w:t xml:space="preserve"> </w:t>
      </w:r>
      <w:r w:rsidRPr="00E26E0B">
        <w:rPr>
          <w:rFonts w:ascii="Times New Roman" w:hAnsi="Times New Roman"/>
          <w:sz w:val="20"/>
          <w:szCs w:val="20"/>
        </w:rPr>
        <w:t xml:space="preserve">Zgodnie z art. 70a § 3 o.p. zawieszenie terminu przedawnienia, o którym mowa w § 1 i 1a, może następować́ wielokrotnie; w takich jedynie przypadkach okres łącznego zawieszenia terminu przedawnienia nie może przekroczyć́ 3 lat. </w:t>
      </w:r>
    </w:p>
  </w:footnote>
  <w:footnote w:id="234">
    <w:p w:rsidR="00BA4699" w:rsidRPr="003D5C1C" w:rsidRDefault="00BA4699" w:rsidP="00C150F6">
      <w:pPr>
        <w:pStyle w:val="Tekstprzypisudolnego"/>
        <w:spacing w:line="240" w:lineRule="auto"/>
      </w:pPr>
      <w:r w:rsidRPr="003D5C1C">
        <w:rPr>
          <w:rStyle w:val="Odwoanieprzypisudolnego"/>
        </w:rPr>
        <w:footnoteRef/>
      </w:r>
      <w:r w:rsidRPr="003D5C1C">
        <w:t xml:space="preserve"> Zob. rozdział II, dział II, tytuł III projektu H. Dzwonkowskiego, gdzie mowa jest o przedawnieniu prawa podwyższenia wymiaru zobowiązań podatkowych; w art. 131 projektu H. Dzwonkowskiego proponuje się, aby prawo do korekty zobowiązania podatko</w:t>
      </w:r>
      <w:r w:rsidRPr="003D5C1C">
        <w:softHyphen/>
        <w:t>wego dec</w:t>
      </w:r>
      <w:r w:rsidRPr="00B745DC">
        <w:t xml:space="preserve">yzją przedawniało się z upływem 5 lat, licząc od końca roku kalendarzowego, w którym upłynął termin płatności podatku </w:t>
      </w:r>
      <w:hyperlink r:id="rId19" w:history="1">
        <w:r w:rsidRPr="003D5C1C">
          <w:rPr>
            <w:rStyle w:val="Hipercze"/>
            <w:color w:val="000000"/>
          </w:rPr>
          <w:t>http://www.poltax.pl/przebudowa_ordynacji_podatkowej/</w:t>
        </w:r>
      </w:hyperlink>
      <w:r w:rsidRPr="003D5C1C">
        <w:rPr>
          <w:color w:val="000000"/>
        </w:rPr>
        <w:t xml:space="preserve"> z dnia 17.05.2017 r.</w:t>
      </w:r>
    </w:p>
  </w:footnote>
  <w:footnote w:id="235">
    <w:p w:rsidR="00BA4699" w:rsidRDefault="00BA4699" w:rsidP="00326528">
      <w:pPr>
        <w:pStyle w:val="Tekstprzypisudolnego"/>
        <w:spacing w:line="240" w:lineRule="auto"/>
      </w:pPr>
      <w:r w:rsidRPr="00BF4D71">
        <w:rPr>
          <w:rStyle w:val="Odwoanieprzypisudolnego"/>
        </w:rPr>
        <w:footnoteRef/>
      </w:r>
      <w:r w:rsidRPr="00BF4D71">
        <w:t xml:space="preserve"> Zob. art. 68 i art. 118 obecnie obowiązującej ordynacji podatkowej, a także art. 99 o.p. z 1934 r. </w:t>
      </w:r>
    </w:p>
  </w:footnote>
  <w:footnote w:id="236">
    <w:p w:rsidR="00BA4699" w:rsidRPr="00463D52" w:rsidRDefault="00BA4699" w:rsidP="00EE75A7">
      <w:pPr>
        <w:spacing w:after="0" w:line="240" w:lineRule="auto"/>
        <w:jc w:val="both"/>
        <w:rPr>
          <w:rFonts w:ascii="Times New Roman" w:hAnsi="Times New Roman"/>
          <w:sz w:val="20"/>
          <w:szCs w:val="20"/>
        </w:rPr>
      </w:pPr>
      <w:r w:rsidRPr="00463D52">
        <w:rPr>
          <w:rStyle w:val="Odwoanieprzypisudolnego"/>
          <w:sz w:val="20"/>
          <w:szCs w:val="20"/>
        </w:rPr>
        <w:footnoteRef/>
      </w:r>
      <w:r w:rsidRPr="00463D52">
        <w:rPr>
          <w:rFonts w:ascii="Times New Roman" w:hAnsi="Times New Roman"/>
          <w:sz w:val="20"/>
          <w:szCs w:val="20"/>
        </w:rPr>
        <w:t xml:space="preserve"> Sytuacja ta ma miejsce m.in. w Stanach Zjednoczonych, Kanadzie, Estonii, Belgii, Czechach, Francji, Holandii, Rosji, RPA; zob. załącznik do testu regulacyjnego do Kierunkowych założeń nowej ordynacji podatkowej z dnia 31.08.2015 r.</w:t>
      </w:r>
      <w:r w:rsidRPr="00463D52">
        <w:rPr>
          <w:rFonts w:ascii="Times New Roman" w:hAnsi="Times New Roman"/>
          <w:spacing w:val="-2"/>
          <w:sz w:val="20"/>
          <w:szCs w:val="20"/>
        </w:rPr>
        <w:t xml:space="preserve"> „Analiza skutków społeczno-gospodarczych wprowadzenia podstawowych regulacji proponowanych w Kierunkowych założeniach nowej ordynacji podatkowej”, cz. </w:t>
      </w:r>
      <w:r w:rsidRPr="00463D52">
        <w:rPr>
          <w:rFonts w:ascii="Times New Roman" w:hAnsi="Times New Roman"/>
          <w:sz w:val="20"/>
          <w:szCs w:val="20"/>
        </w:rPr>
        <w:t>2. Przedawnienie i nadpłata, pkt 4, s. 15.</w:t>
      </w:r>
    </w:p>
  </w:footnote>
  <w:footnote w:id="237">
    <w:p w:rsidR="00BA4699" w:rsidRPr="00C150F6" w:rsidRDefault="00BA4699" w:rsidP="00D340A5">
      <w:pPr>
        <w:spacing w:after="0" w:line="240" w:lineRule="auto"/>
        <w:jc w:val="both"/>
        <w:rPr>
          <w:rFonts w:ascii="Times New Roman" w:hAnsi="Times New Roman"/>
          <w:sz w:val="20"/>
          <w:szCs w:val="20"/>
        </w:rPr>
      </w:pPr>
      <w:r w:rsidRPr="00BF4D71">
        <w:rPr>
          <w:rStyle w:val="Odwoanieprzypisudolnego"/>
          <w:szCs w:val="20"/>
        </w:rPr>
        <w:footnoteRef/>
      </w:r>
      <w:r w:rsidRPr="00BF4D71">
        <w:rPr>
          <w:sz w:val="20"/>
          <w:szCs w:val="20"/>
        </w:rPr>
        <w:t xml:space="preserve"> </w:t>
      </w:r>
      <w:r w:rsidRPr="00463D52">
        <w:rPr>
          <w:rFonts w:ascii="Times New Roman" w:hAnsi="Times New Roman"/>
          <w:sz w:val="20"/>
          <w:szCs w:val="20"/>
        </w:rPr>
        <w:t>Termin ten występuje m.in. w Niemczech, na Węgrzech, Austrii, Litwie, Słowacji, Szwajcarii, Turcji. Są przy tym państwa, gdzie okres ten jest dłuższy, np. w Szwecji 6 lat, w Norwegii zaś 10 lat. Są też państwa, w których nie ma okresu przedawnienia wymiaru, np. USA, w sytuacji błędnych deklaracji złożonych w zamiarze uchylenia się od opodatkowania; zob. załącznik do testu regulacyjnego do Kierunkowych założeń nowej ordynacji podatkowej z dnia 31.08.2015 r.</w:t>
      </w:r>
      <w:r w:rsidRPr="00463D52">
        <w:rPr>
          <w:rFonts w:ascii="Times New Roman" w:hAnsi="Times New Roman"/>
          <w:spacing w:val="-2"/>
          <w:sz w:val="20"/>
          <w:szCs w:val="20"/>
        </w:rPr>
        <w:t xml:space="preserve"> „Analiza skutków społeczno-gospodarczych wprowadzenia podstawowych regulacji </w:t>
      </w:r>
      <w:r w:rsidRPr="00C150F6">
        <w:rPr>
          <w:rFonts w:ascii="Times New Roman" w:hAnsi="Times New Roman"/>
          <w:spacing w:val="-2"/>
          <w:sz w:val="20"/>
          <w:szCs w:val="20"/>
        </w:rPr>
        <w:t xml:space="preserve">proponowanych w Kierunkowych założeniach nowej ordynacji podatkowej”, cz. </w:t>
      </w:r>
      <w:r w:rsidRPr="00C150F6">
        <w:rPr>
          <w:rFonts w:ascii="Times New Roman" w:hAnsi="Times New Roman"/>
          <w:sz w:val="20"/>
          <w:szCs w:val="20"/>
        </w:rPr>
        <w:t>2.  Przedawnienie i nadpłata, pkt 3, s. 15.</w:t>
      </w:r>
    </w:p>
  </w:footnote>
  <w:footnote w:id="238">
    <w:p w:rsidR="00BA4699" w:rsidRPr="00C150F6" w:rsidRDefault="00BA4699" w:rsidP="00326528">
      <w:pPr>
        <w:spacing w:after="0" w:line="240" w:lineRule="auto"/>
        <w:rPr>
          <w:rFonts w:ascii="Times New Roman" w:eastAsia="Times New Roman" w:hAnsi="Times New Roman"/>
          <w:bCs/>
          <w:color w:val="333333"/>
          <w:sz w:val="20"/>
          <w:szCs w:val="20"/>
          <w:lang w:eastAsia="pl-PL"/>
        </w:rPr>
      </w:pPr>
      <w:r w:rsidRPr="00C150F6">
        <w:rPr>
          <w:rStyle w:val="Odwoanieprzypisudolnego"/>
          <w:sz w:val="20"/>
          <w:szCs w:val="20"/>
        </w:rPr>
        <w:footnoteRef/>
      </w:r>
      <w:r w:rsidRPr="00C150F6">
        <w:rPr>
          <w:rFonts w:ascii="Times New Roman" w:hAnsi="Times New Roman"/>
          <w:sz w:val="20"/>
          <w:szCs w:val="20"/>
        </w:rPr>
        <w:t xml:space="preserve"> </w:t>
      </w:r>
      <w:r w:rsidRPr="00C150F6">
        <w:rPr>
          <w:rFonts w:ascii="Times New Roman" w:eastAsia="Times New Roman" w:hAnsi="Times New Roman"/>
          <w:bCs/>
          <w:color w:val="333333"/>
          <w:sz w:val="20"/>
          <w:szCs w:val="20"/>
          <w:lang w:eastAsia="pl-PL"/>
        </w:rPr>
        <w:t>Dz. U. z 2018 r. poz. 2193</w:t>
      </w:r>
    </w:p>
  </w:footnote>
  <w:footnote w:id="239">
    <w:p w:rsidR="00BA4699" w:rsidRPr="00463D52" w:rsidRDefault="00BA4699" w:rsidP="00463D52">
      <w:pPr>
        <w:spacing w:after="0" w:line="240" w:lineRule="auto"/>
        <w:jc w:val="both"/>
        <w:rPr>
          <w:rFonts w:ascii="Times New Roman" w:hAnsi="Times New Roman"/>
          <w:sz w:val="20"/>
          <w:szCs w:val="20"/>
        </w:rPr>
      </w:pPr>
      <w:r w:rsidRPr="00463D52">
        <w:rPr>
          <w:rStyle w:val="Odwoanieprzypisudolnego"/>
          <w:sz w:val="20"/>
          <w:szCs w:val="20"/>
        </w:rPr>
        <w:footnoteRef/>
      </w:r>
      <w:r w:rsidRPr="00463D52">
        <w:rPr>
          <w:rFonts w:ascii="Times New Roman" w:hAnsi="Times New Roman"/>
          <w:sz w:val="20"/>
          <w:szCs w:val="20"/>
        </w:rPr>
        <w:t xml:space="preserve"> Zgodnie z tym przepisem, gdy podatnik zmarł w trakcie roku podatkowego, początek biegu terminu przedawnienia wymiaru zobowiązania podatkowego rozpoczyna się od dnia następującego po dniu, w którym upłynąłby termin płatności podatku przez spadkodawcę wynikający z przepisów prawa podatkowego. Przepis ten zostanie wprowadzony na podstawie projektu ustawy Przepisy wprowadzające ustawę – Ordynacja podatkowa.</w:t>
      </w:r>
    </w:p>
  </w:footnote>
  <w:footnote w:id="240">
    <w:p w:rsidR="00BA4699" w:rsidRPr="007210D7" w:rsidRDefault="00BA4699" w:rsidP="00326528">
      <w:pPr>
        <w:pStyle w:val="Tekstprzypisudolnego"/>
        <w:spacing w:line="240" w:lineRule="auto"/>
      </w:pPr>
      <w:r w:rsidRPr="00C150F6">
        <w:rPr>
          <w:rStyle w:val="Odwoanieprzypisudolnego"/>
        </w:rPr>
        <w:footnoteRef/>
      </w:r>
      <w:r w:rsidRPr="00C150F6">
        <w:t xml:space="preserve"> Zgodnie z tym przepisem jeżeli nabyty budynek lub lokal jest zajęty przez osoby trzecie, spełnienie warunków określonych w ust. 2 pkt 2-5 może nastąpić w okresie 5 lat od dnia nabycia; w tym wypadku zawiesza się odpowiednio bieg terminu przedawnienia do dokonania wymiaru podatku. </w:t>
      </w:r>
    </w:p>
  </w:footnote>
  <w:footnote w:id="241">
    <w:p w:rsidR="00BA4699" w:rsidRPr="00463D52" w:rsidRDefault="00BA4699" w:rsidP="00326528">
      <w:pPr>
        <w:pStyle w:val="Default"/>
        <w:jc w:val="both"/>
        <w:rPr>
          <w:sz w:val="20"/>
          <w:szCs w:val="20"/>
        </w:rPr>
      </w:pPr>
      <w:r w:rsidRPr="00463D52">
        <w:rPr>
          <w:rStyle w:val="Odwoanieprzypisudolnego"/>
          <w:color w:val="auto"/>
          <w:sz w:val="20"/>
          <w:szCs w:val="20"/>
        </w:rPr>
        <w:footnoteRef/>
      </w:r>
      <w:r w:rsidRPr="00C150F6">
        <w:rPr>
          <w:color w:val="auto"/>
          <w:sz w:val="20"/>
          <w:szCs w:val="20"/>
        </w:rPr>
        <w:t xml:space="preserve"> Rada Podatkowa Konferencji Lewiatan (http://www.konfederacjalewiatan.pl) postuluje m.in. uporządkowanie definicji ustawowych w zakresie przedawnień i przypadków przerwania biegu terminu przedawnienia oraz wykreślenie przepisu art. 70 § 6 pkt 1 o.p. stanowiącego, że bieg terminu p</w:t>
      </w:r>
      <w:r w:rsidRPr="007210D7">
        <w:rPr>
          <w:color w:val="auto"/>
          <w:sz w:val="20"/>
          <w:szCs w:val="20"/>
        </w:rPr>
        <w:t>rzedawnienia zostaje zawieszony już z dniem wszczęcia postępowania karnego skarbowego w sprawie (</w:t>
      </w:r>
      <w:r w:rsidRPr="00C150F6">
        <w:rPr>
          <w:i/>
          <w:color w:val="auto"/>
          <w:sz w:val="20"/>
          <w:szCs w:val="20"/>
        </w:rPr>
        <w:t>in rem</w:t>
      </w:r>
      <w:r w:rsidRPr="00C150F6">
        <w:rPr>
          <w:color w:val="auto"/>
          <w:sz w:val="20"/>
          <w:szCs w:val="20"/>
        </w:rPr>
        <w:t>).</w:t>
      </w:r>
    </w:p>
  </w:footnote>
  <w:footnote w:id="242">
    <w:p w:rsidR="00BA4699" w:rsidRPr="007210D7" w:rsidRDefault="00BA4699" w:rsidP="00326528">
      <w:pPr>
        <w:pStyle w:val="Tekstprzypisudolnego"/>
        <w:spacing w:line="240" w:lineRule="auto"/>
      </w:pPr>
      <w:r w:rsidRPr="00C150F6">
        <w:rPr>
          <w:rStyle w:val="Odwoanieprzypisudolnego"/>
        </w:rPr>
        <w:footnoteRef/>
      </w:r>
      <w:r w:rsidRPr="00C150F6">
        <w:t xml:space="preserve"> Zwracają na to uwagę Pracodawcy Rzeczypospolitej Polskiej wraz z Krajową Izbą Doradców Podatkowych w piśmie z dnia 26 stycznia 2015 r. do Przewodnic</w:t>
      </w:r>
      <w:r w:rsidRPr="007210D7">
        <w:t>zącego Komisji Kodyfikacyjnej Ogólnego Prawa Podatkowego (sygn. CML/0071/01.15/AP/MK).</w:t>
      </w:r>
    </w:p>
  </w:footnote>
  <w:footnote w:id="243">
    <w:p w:rsidR="00BA4699" w:rsidRPr="00C150F6" w:rsidRDefault="00BA4699" w:rsidP="00326528">
      <w:pPr>
        <w:pStyle w:val="Tekstprzypisudolnego"/>
        <w:spacing w:line="240" w:lineRule="auto"/>
      </w:pPr>
      <w:r w:rsidRPr="00C150F6">
        <w:rPr>
          <w:rStyle w:val="Odwoanieprzypisudolnego"/>
        </w:rPr>
        <w:footnoteRef/>
      </w:r>
      <w:r w:rsidRPr="00C150F6">
        <w:t xml:space="preserve"> Przesłanki te były przedmiotem wielu orzeczeń, w tym Trybunału Konstytucyjnego - zob. m.in. SK 40/12, P 30/11, P 26/10, SK 44/04. Obecnie Trybunał rozpatruje złożony przez Rzecznika Praw Obywatelskich w dniu 22 października 2014 r. wniosek K 31/14 o stwierdzenie niezgodności z Konstytucją RP art. 70 § 6 pkt 1 o.p.</w:t>
      </w:r>
    </w:p>
  </w:footnote>
  <w:footnote w:id="244">
    <w:p w:rsidR="00BA4699" w:rsidRDefault="00BA4699" w:rsidP="00326528">
      <w:pPr>
        <w:pStyle w:val="documento-tit"/>
        <w:spacing w:before="0" w:beforeAutospacing="0" w:after="0" w:afterAutospacing="0" w:line="240" w:lineRule="auto"/>
      </w:pPr>
      <w:r w:rsidRPr="00463D52">
        <w:rPr>
          <w:rStyle w:val="Odwoanieprzypisudolnego"/>
          <w:sz w:val="20"/>
          <w:szCs w:val="20"/>
        </w:rPr>
        <w:footnoteRef/>
      </w:r>
      <w:r w:rsidRPr="00C150F6">
        <w:rPr>
          <w:sz w:val="20"/>
          <w:szCs w:val="20"/>
        </w:rPr>
        <w:t xml:space="preserve"> Zob. art. 68 ust. 1 lit a) obowiązującej w Hiszpanii ustawy 58/2003 z dnia 17 grudnia Ordynacja podatkowa, (Dz.U. Nr 302). Zgodnie z tym przepisem bieg terminu przedawnienia ulega przerwaniu w przypadku: wszczęcia czynności administracyjnej, o której bierny podmiot opodatkowania został oficjalnie powiadomiony i która </w:t>
      </w:r>
      <w:r w:rsidRPr="00BF4D71">
        <w:rPr>
          <w:sz w:val="20"/>
          <w:szCs w:val="20"/>
        </w:rPr>
        <w:t>zmierza do uznania, uregulowania, sprawdzenia, skontrolowania, zabezpieczenia i rozliczenia całości lub części składowych danego zobowiązania podatkowego, nawet jeśli początkowo czynności dotyczyły innego zobowiązania podatkowego wynikającego z nieprawidłowej deklaracji podmiotu zobowiązanego. Zgodnie z art. 68 ust. 1 lit b) przerwa biegu terminu przedawnienia wymiaru następuje także w przypadku złożenia zażalenia lub odwołania wszelkiego rodzaju, wszczęcia czynności, o której bierny podmiot opodatkowania został oficjalnie powiadomiony w trakcie trwania zażalenia lub odwołania, umorzenia złożonego do właściwego sądu zawiadomienia o popełnionym przestępstwie podatkowym lub złożenia skargi w Ministerstwie Skarbu, jak również w przypadku otrzymania zawiadomienia od organu sądowego z nakazem zawieszenia trwającego postępowania administracyjnego.</w:t>
      </w:r>
    </w:p>
  </w:footnote>
  <w:footnote w:id="245">
    <w:p w:rsidR="00BA4699" w:rsidRDefault="00BA4699" w:rsidP="00326528">
      <w:pPr>
        <w:pStyle w:val="Tekstprzypisudolnego"/>
        <w:spacing w:line="240" w:lineRule="auto"/>
      </w:pPr>
      <w:r w:rsidRPr="00BF4D71">
        <w:rPr>
          <w:rStyle w:val="Odwoanieprzypisudolnego"/>
        </w:rPr>
        <w:footnoteRef/>
      </w:r>
      <w:r>
        <w:t xml:space="preserve"> Zob. uwagi do art. 178</w:t>
      </w:r>
      <w:r w:rsidRPr="00BF4D71">
        <w:t>.</w:t>
      </w:r>
    </w:p>
  </w:footnote>
  <w:footnote w:id="246">
    <w:p w:rsidR="00BA4699" w:rsidRPr="00463D52" w:rsidRDefault="00BA4699" w:rsidP="00463D52">
      <w:pPr>
        <w:spacing w:after="0" w:line="240" w:lineRule="auto"/>
        <w:jc w:val="both"/>
        <w:rPr>
          <w:rFonts w:ascii="Times New Roman" w:hAnsi="Times New Roman"/>
        </w:rPr>
      </w:pPr>
      <w:r w:rsidRPr="00BF4D71">
        <w:rPr>
          <w:rStyle w:val="Odwoanieprzypisudolnego"/>
          <w:szCs w:val="20"/>
        </w:rPr>
        <w:footnoteRef/>
      </w:r>
      <w:r w:rsidRPr="00BF4D71">
        <w:rPr>
          <w:sz w:val="20"/>
          <w:szCs w:val="20"/>
        </w:rPr>
        <w:t xml:space="preserve"> </w:t>
      </w:r>
      <w:r w:rsidRPr="00463D52">
        <w:rPr>
          <w:rFonts w:ascii="Times New Roman" w:hAnsi="Times New Roman"/>
          <w:sz w:val="20"/>
          <w:szCs w:val="20"/>
        </w:rPr>
        <w:t>Zob. załącznik do testu regulacyjnego do Kierunkowych założeń nowej ordynacji podatkowej z dnia 31.08.2015 r.</w:t>
      </w:r>
      <w:r w:rsidRPr="00463D52">
        <w:rPr>
          <w:rFonts w:ascii="Times New Roman" w:hAnsi="Times New Roman"/>
          <w:spacing w:val="-2"/>
          <w:sz w:val="20"/>
          <w:szCs w:val="20"/>
        </w:rPr>
        <w:t xml:space="preserve"> „Analiza skutków społeczno-gospodarczych wprowadzenia podstawowych regulacji proponowanych w Kierunkowych założeniach nowej ordynacji podatkowej”, cz. </w:t>
      </w:r>
      <w:r w:rsidRPr="00463D52">
        <w:rPr>
          <w:rFonts w:ascii="Times New Roman" w:hAnsi="Times New Roman"/>
          <w:sz w:val="20"/>
          <w:szCs w:val="20"/>
        </w:rPr>
        <w:t>2. Przedawnienie i nadpłata, pkt 1. Dane uzasadniające wprowadzenia maksymalnego okresu wydłużenia okresu przedawnienia wymiaru o 5 lat, s. 12 i nast.</w:t>
      </w:r>
    </w:p>
  </w:footnote>
  <w:footnote w:id="247">
    <w:p w:rsidR="00BA4699" w:rsidRDefault="00BA4699" w:rsidP="00326528">
      <w:pPr>
        <w:pStyle w:val="Tekstprzypisudolnego"/>
        <w:spacing w:line="240" w:lineRule="auto"/>
      </w:pPr>
      <w:r w:rsidRPr="00BF4D71">
        <w:rPr>
          <w:rStyle w:val="Odwoanieprzypisudolnego"/>
        </w:rPr>
        <w:footnoteRef/>
      </w:r>
      <w:r w:rsidRPr="00BF4D71">
        <w:t xml:space="preserve"> Zob. art. 70 o.p.</w:t>
      </w:r>
    </w:p>
  </w:footnote>
  <w:footnote w:id="248">
    <w:p w:rsidR="00BA4699" w:rsidRDefault="00BA4699" w:rsidP="00326528">
      <w:pPr>
        <w:pStyle w:val="Tekstprzypisudolnego"/>
        <w:spacing w:line="240" w:lineRule="auto"/>
      </w:pPr>
      <w:r w:rsidRPr="00BF4D71">
        <w:rPr>
          <w:rStyle w:val="Odwoanieprzypisudolnego"/>
        </w:rPr>
        <w:footnoteRef/>
      </w:r>
      <w:r w:rsidRPr="00BF4D71">
        <w:t xml:space="preserve"> </w:t>
      </w:r>
      <w:r w:rsidRPr="00BF4D71">
        <w:rPr>
          <w:i/>
        </w:rPr>
        <w:t>Ibidem</w:t>
      </w:r>
      <w:r w:rsidRPr="00BF4D71">
        <w:t>.</w:t>
      </w:r>
    </w:p>
  </w:footnote>
  <w:footnote w:id="249">
    <w:p w:rsidR="00BA4699" w:rsidRDefault="00BA4699" w:rsidP="00326528">
      <w:pPr>
        <w:pStyle w:val="Tekstprzypisudolnego"/>
        <w:spacing w:line="240" w:lineRule="auto"/>
      </w:pPr>
      <w:r w:rsidRPr="00BF4D71">
        <w:rPr>
          <w:rStyle w:val="Odwoanieprzypisudolnego"/>
        </w:rPr>
        <w:footnoteRef/>
      </w:r>
      <w:r w:rsidRPr="00BF4D71">
        <w:t xml:space="preserve"> Zob. art. 80 o.p.</w:t>
      </w:r>
    </w:p>
  </w:footnote>
  <w:footnote w:id="250">
    <w:p w:rsidR="00BA4699" w:rsidRPr="00463D52" w:rsidRDefault="00BA4699" w:rsidP="00463D52">
      <w:pPr>
        <w:widowControl w:val="0"/>
        <w:autoSpaceDE w:val="0"/>
        <w:autoSpaceDN w:val="0"/>
        <w:adjustRightInd w:val="0"/>
        <w:spacing w:after="0" w:line="240" w:lineRule="auto"/>
        <w:jc w:val="both"/>
        <w:rPr>
          <w:rFonts w:ascii="Times New Roman" w:hAnsi="Times New Roman"/>
        </w:rPr>
      </w:pPr>
      <w:r w:rsidRPr="00BF4D71">
        <w:rPr>
          <w:rStyle w:val="Odwoanieprzypisudolnego"/>
          <w:szCs w:val="20"/>
        </w:rPr>
        <w:footnoteRef/>
      </w:r>
      <w:r w:rsidRPr="00BF4D71">
        <w:rPr>
          <w:sz w:val="20"/>
          <w:szCs w:val="20"/>
        </w:rPr>
        <w:t xml:space="preserve"> </w:t>
      </w:r>
      <w:r w:rsidRPr="00463D52">
        <w:rPr>
          <w:rFonts w:ascii="Times New Roman" w:hAnsi="Times New Roman"/>
          <w:sz w:val="20"/>
          <w:szCs w:val="20"/>
        </w:rPr>
        <w:t>Zob. załącznik do zarządzenia Ministra Rozwoju i Finansów z dnia 25 lipca 2017 r. w sprawie kierunków działania i rozwoju Krajowej Administracji Skarbowej na lata 2017-2020, Dz. Urz. Ministra Rozwoju i Finansów poz. 144, s. 6 i nast.</w:t>
      </w:r>
    </w:p>
  </w:footnote>
  <w:footnote w:id="251">
    <w:p w:rsidR="00BA4699" w:rsidRDefault="00BA4699" w:rsidP="00326528">
      <w:pPr>
        <w:pStyle w:val="Tekstprzypisudolnego"/>
        <w:spacing w:line="240" w:lineRule="auto"/>
      </w:pPr>
      <w:r w:rsidRPr="00BF4D71">
        <w:rPr>
          <w:rStyle w:val="Odwoanieprzypisudolnego"/>
        </w:rPr>
        <w:footnoteRef/>
      </w:r>
      <w:r w:rsidRPr="00BF4D71">
        <w:t xml:space="preserve"> Zob. m.in. wyrok Trybunału Konstytucyjnego z dnia 8 października 2013 r., SK 40/12.</w:t>
      </w:r>
    </w:p>
  </w:footnote>
  <w:footnote w:id="252">
    <w:p w:rsidR="00BA4699" w:rsidRDefault="00BA4699" w:rsidP="00326528">
      <w:pPr>
        <w:pStyle w:val="Tekstprzypisudolnego"/>
        <w:spacing w:line="240" w:lineRule="auto"/>
      </w:pPr>
      <w:r w:rsidRPr="00BF4D71">
        <w:rPr>
          <w:rStyle w:val="Odwoanieprzypisudolnego"/>
        </w:rPr>
        <w:footnoteRef/>
      </w:r>
      <w:r w:rsidRPr="00BF4D71">
        <w:t xml:space="preserve"> L. Morawski, Zasady wykładni prawa, Toruń 2010, s. 127.</w:t>
      </w:r>
    </w:p>
  </w:footnote>
  <w:footnote w:id="253">
    <w:p w:rsidR="00BA4699" w:rsidRDefault="00BA4699" w:rsidP="00326528">
      <w:pPr>
        <w:pStyle w:val="Tekstprzypisudolnego"/>
        <w:spacing w:line="240" w:lineRule="auto"/>
      </w:pPr>
      <w:r w:rsidRPr="00BF4D71">
        <w:rPr>
          <w:rStyle w:val="Odwoanieprzypisudolnego"/>
        </w:rPr>
        <w:footnoteRef/>
      </w:r>
      <w:r w:rsidRPr="00BF4D71">
        <w:t xml:space="preserve"> Por. R. Hauser, J. Trzciński, Prawotwórcze znaczenie orzeczeń Trybunału Konstytucyjnego w orzecznictwie Naczelnego Sądu Administracyjnego, Warszawa 2010, s. 32</w:t>
      </w:r>
    </w:p>
  </w:footnote>
  <w:footnote w:id="254">
    <w:p w:rsidR="00BA4699" w:rsidRDefault="00BA4699" w:rsidP="00326528">
      <w:pPr>
        <w:pStyle w:val="Tekstprzypisudolnego"/>
        <w:spacing w:line="240" w:lineRule="auto"/>
      </w:pPr>
      <w:r w:rsidRPr="00BF4D71">
        <w:rPr>
          <w:rStyle w:val="Odwoanieprzypisudolnego"/>
        </w:rPr>
        <w:footnoteRef/>
      </w:r>
      <w:r w:rsidRPr="00BF4D71">
        <w:t xml:space="preserve"> Zob. załącznik do testu regulacyjnego do Kierunkowych założeń nowej ordynacji podatkowej z dnia 31.08.2015 r.</w:t>
      </w:r>
      <w:r w:rsidRPr="00BF4D71">
        <w:rPr>
          <w:spacing w:val="-2"/>
        </w:rPr>
        <w:t xml:space="preserve"> „Analiza skutków społeczno-gospodarczych wprowadzenia podstawowych regulacji proponowanych w Kierunkowych założeniach nowej ordynacji podatkowej”, cz. </w:t>
      </w:r>
      <w:r w:rsidRPr="00BF4D71">
        <w:t>2. Przedawnienie i nadpłata, pkt 1. Dane uzasadniające wprowadzenia okresu wydłużenia okresu przedawnienia poboru, s. 12 i nast.</w:t>
      </w:r>
    </w:p>
  </w:footnote>
  <w:footnote w:id="255">
    <w:p w:rsidR="00BA4699" w:rsidRDefault="00BA4699" w:rsidP="00326528">
      <w:pPr>
        <w:pStyle w:val="Tekstprzypisudolnego"/>
        <w:spacing w:line="240" w:lineRule="auto"/>
      </w:pPr>
      <w:r w:rsidRPr="00BF4D71">
        <w:rPr>
          <w:rStyle w:val="Odwoanieprzypisudolnego"/>
        </w:rPr>
        <w:footnoteRef/>
      </w:r>
      <w:r w:rsidRPr="00BF4D71">
        <w:t xml:space="preserve"> Zob. załącznik do testu regulacyjnego do Kierunkowych założeń nowej ordynacji podatkowej z dnia 31.08.2015 r.</w:t>
      </w:r>
      <w:r w:rsidRPr="00BF4D71">
        <w:rPr>
          <w:spacing w:val="-2"/>
        </w:rPr>
        <w:t xml:space="preserve"> „Analiza skutków społeczno-gospodarczych wprowadzenia podstawowych regulacji proponowanych w Kierunkowych założeniach nowej ordynacji podatkowej”, cz. </w:t>
      </w:r>
      <w:r w:rsidRPr="00BF4D71">
        <w:t>2. Przedawnienie i nadpłata, pkt 1. Dane uzasadniające wprowadzenia okresu wydłużenia okresu przedawnienia poboru, s. 12 i nast.</w:t>
      </w:r>
    </w:p>
  </w:footnote>
  <w:footnote w:id="256">
    <w:p w:rsidR="00BA4699" w:rsidRPr="00463D52" w:rsidRDefault="00BA4699" w:rsidP="00C3231E">
      <w:pPr>
        <w:spacing w:after="0" w:line="240" w:lineRule="auto"/>
        <w:jc w:val="both"/>
        <w:rPr>
          <w:rFonts w:ascii="Times New Roman" w:hAnsi="Times New Roman"/>
          <w:sz w:val="20"/>
          <w:szCs w:val="20"/>
        </w:rPr>
      </w:pPr>
      <w:r w:rsidRPr="00E32700">
        <w:rPr>
          <w:rStyle w:val="Odwoanieprzypisudolnego"/>
          <w:sz w:val="20"/>
          <w:szCs w:val="20"/>
        </w:rPr>
        <w:footnoteRef/>
      </w:r>
      <w:r w:rsidRPr="00E32700">
        <w:rPr>
          <w:rFonts w:ascii="Times New Roman" w:hAnsi="Times New Roman"/>
          <w:sz w:val="20"/>
          <w:szCs w:val="20"/>
        </w:rPr>
        <w:t xml:space="preserve"> </w:t>
      </w:r>
      <w:r w:rsidRPr="00C150F6">
        <w:rPr>
          <w:rFonts w:ascii="Times New Roman" w:hAnsi="Times New Roman"/>
          <w:sz w:val="20"/>
          <w:szCs w:val="20"/>
        </w:rPr>
        <w:t xml:space="preserve">Zob. np. art. 25 ust. 5 </w:t>
      </w:r>
      <w:r w:rsidRPr="00C150F6">
        <w:rPr>
          <w:rFonts w:ascii="Times New Roman" w:hAnsi="Times New Roman"/>
          <w:bCs/>
          <w:sz w:val="20"/>
          <w:szCs w:val="20"/>
        </w:rPr>
        <w:t>Konwencji</w:t>
      </w:r>
      <w:r w:rsidRPr="00C150F6">
        <w:rPr>
          <w:rFonts w:ascii="Times New Roman" w:hAnsi="Times New Roman"/>
          <w:sz w:val="20"/>
          <w:szCs w:val="20"/>
        </w:rPr>
        <w:t xml:space="preserve"> </w:t>
      </w:r>
      <w:r w:rsidRPr="00C150F6">
        <w:rPr>
          <w:rFonts w:ascii="Times New Roman" w:hAnsi="Times New Roman"/>
          <w:bCs/>
          <w:sz w:val="20"/>
          <w:szCs w:val="20"/>
        </w:rPr>
        <w:t>między Rzecząpospolitą Polską a Konfederacją Szwajcarską w sprawie unikania podwójnego opodatkowa</w:t>
      </w:r>
      <w:r w:rsidRPr="00463D52">
        <w:rPr>
          <w:rFonts w:ascii="Times New Roman" w:hAnsi="Times New Roman"/>
          <w:bCs/>
          <w:sz w:val="20"/>
          <w:szCs w:val="20"/>
        </w:rPr>
        <w:t>nia w zakresie podatków od dochodu i majątku sporządzone w Bernie dnia 2 września 1991 r.</w:t>
      </w:r>
      <w:r w:rsidRPr="00463D52">
        <w:rPr>
          <w:rFonts w:ascii="Times New Roman" w:hAnsi="Times New Roman"/>
          <w:sz w:val="20"/>
          <w:szCs w:val="20"/>
          <w:shd w:val="clear" w:color="auto" w:fill="FFFFFF"/>
        </w:rPr>
        <w:t xml:space="preserve"> (Dz.U. z 1993 r. Nr 22, poz. 92 z póżn. zm.).</w:t>
      </w:r>
    </w:p>
  </w:footnote>
  <w:footnote w:id="257">
    <w:p w:rsidR="00BA4699" w:rsidRDefault="00BA4699" w:rsidP="00326528">
      <w:pPr>
        <w:pStyle w:val="Tekstprzypisudolnego"/>
        <w:spacing w:line="240" w:lineRule="auto"/>
      </w:pPr>
      <w:r w:rsidRPr="00BF4D71">
        <w:rPr>
          <w:rStyle w:val="Odwoanieprzypisudolnego"/>
        </w:rPr>
        <w:footnoteRef/>
      </w:r>
      <w:r w:rsidRPr="00BF4D71">
        <w:t xml:space="preserve"> L. Etel, Komentarz do art. 72 (w:) C. Kosikowski et al., Ordynacja podatkowa. Komentarz, Warszawa 2013; M. Popławski, Uprawnienia podatkowe. Procedura dochodzenia należności podatkowych od Skarbu Państwa lub jednostek samorządu terytorialnego, Warszawa 2014; B. Gruszczyński, Komantarz do art. 72 (w:) S. Babiarz et al., Ordynacja podatkowa. Komentarz, Warszawa 2006; H. Dzwonkowski, Komantarz do art. 72 (w:) H. Dzwonkowski (red.), Ordynacja podatkowa, Warszawa 2006; M. Ślifirczyk, Nadpłata podatku, Kraków 2005.</w:t>
      </w:r>
    </w:p>
  </w:footnote>
  <w:footnote w:id="258">
    <w:p w:rsidR="00BA4699" w:rsidRPr="00271BDB" w:rsidRDefault="00BA4699" w:rsidP="00FB7DE9">
      <w:pPr>
        <w:spacing w:after="0" w:line="240" w:lineRule="auto"/>
        <w:jc w:val="both"/>
        <w:rPr>
          <w:rFonts w:ascii="Times New Roman" w:hAnsi="Times New Roman"/>
        </w:rPr>
      </w:pPr>
      <w:r w:rsidRPr="00BF4D71">
        <w:rPr>
          <w:rStyle w:val="Odwoanieprzypisudolnego"/>
          <w:szCs w:val="20"/>
        </w:rPr>
        <w:footnoteRef/>
      </w:r>
      <w:r w:rsidRPr="00BF4D71">
        <w:rPr>
          <w:sz w:val="20"/>
          <w:szCs w:val="20"/>
        </w:rPr>
        <w:t xml:space="preserve"> </w:t>
      </w:r>
      <w:r w:rsidRPr="00271BDB">
        <w:rPr>
          <w:rFonts w:ascii="Times New Roman" w:hAnsi="Times New Roman"/>
          <w:bCs/>
          <w:sz w:val="20"/>
          <w:szCs w:val="20"/>
        </w:rPr>
        <w:t xml:space="preserve">Wyrok TK </w:t>
      </w:r>
      <w:r w:rsidRPr="00271BDB">
        <w:rPr>
          <w:rFonts w:ascii="Times New Roman" w:hAnsi="Times New Roman"/>
          <w:sz w:val="20"/>
          <w:szCs w:val="20"/>
        </w:rPr>
        <w:t xml:space="preserve">z dnia 6 marca 2002 r., </w:t>
      </w:r>
      <w:r w:rsidRPr="00271BDB">
        <w:rPr>
          <w:rFonts w:ascii="Times New Roman" w:hAnsi="Times New Roman"/>
          <w:bCs/>
          <w:sz w:val="20"/>
          <w:szCs w:val="20"/>
        </w:rPr>
        <w:t xml:space="preserve">P 7/00, </w:t>
      </w:r>
      <w:r w:rsidRPr="00271BDB">
        <w:rPr>
          <w:rFonts w:ascii="Times New Roman" w:hAnsi="Times New Roman"/>
          <w:iCs/>
          <w:sz w:val="20"/>
          <w:szCs w:val="20"/>
        </w:rPr>
        <w:t>Dz. U. Nr 23, poz. 242; u</w:t>
      </w:r>
      <w:r w:rsidRPr="00271BDB">
        <w:rPr>
          <w:rFonts w:ascii="Times New Roman" w:hAnsi="Times New Roman"/>
          <w:sz w:val="20"/>
          <w:szCs w:val="20"/>
        </w:rPr>
        <w:t>chwała całego składu Izby Gospodarczej NSA z dnia 22 czerwca 2011 r., I GPS 1/11, ONSAiWSA 2011, nr 5, s. 93 i nast.; u</w:t>
      </w:r>
      <w:r w:rsidRPr="00271BDB">
        <w:rPr>
          <w:rFonts w:ascii="Times New Roman" w:hAnsi="Times New Roman"/>
          <w:bCs/>
          <w:sz w:val="20"/>
          <w:szCs w:val="20"/>
        </w:rPr>
        <w:t xml:space="preserve">chwała NSA z </w:t>
      </w:r>
      <w:r w:rsidRPr="00271BDB">
        <w:rPr>
          <w:rFonts w:ascii="Times New Roman" w:hAnsi="Times New Roman"/>
          <w:sz w:val="20"/>
          <w:szCs w:val="20"/>
        </w:rPr>
        <w:t xml:space="preserve">dnia 13 lipca 2009 r., </w:t>
      </w:r>
      <w:r w:rsidRPr="00271BDB">
        <w:rPr>
          <w:rFonts w:ascii="Times New Roman" w:hAnsi="Times New Roman"/>
          <w:bCs/>
          <w:sz w:val="20"/>
          <w:szCs w:val="20"/>
        </w:rPr>
        <w:t xml:space="preserve">I FPS 4/09, </w:t>
      </w:r>
      <w:r w:rsidRPr="00271BDB">
        <w:rPr>
          <w:rFonts w:ascii="Times New Roman" w:hAnsi="Times New Roman"/>
          <w:iCs/>
          <w:sz w:val="20"/>
          <w:szCs w:val="20"/>
        </w:rPr>
        <w:t xml:space="preserve">ONSAiWSA 2009, nr 6, poz. 102. </w:t>
      </w:r>
    </w:p>
  </w:footnote>
  <w:footnote w:id="259">
    <w:p w:rsidR="00BA4699" w:rsidRPr="00C0316D" w:rsidRDefault="00BA4699" w:rsidP="00FB7DE9">
      <w:pPr>
        <w:pStyle w:val="Tekstprzypisudolnego"/>
        <w:spacing w:line="240" w:lineRule="auto"/>
      </w:pPr>
      <w:r w:rsidRPr="00C0316D">
        <w:rPr>
          <w:rStyle w:val="Odwoanieprzypisudolnego"/>
        </w:rPr>
        <w:footnoteRef/>
      </w:r>
      <w:r w:rsidRPr="00C0316D">
        <w:t xml:space="preserve"> Zob. M. Popławski, Uprawnienia podatkowe. Procedura dochodzenia należności podatkowych od Skarbu Państwa lub jednostek samorządu terytorialnego, Warszawa 2014, s. 120 i n</w:t>
      </w:r>
      <w:r w:rsidRPr="007210D7">
        <w:t>ast.; K. Lasiński-Sulecki, W. Morawski, Zwrot nadpłaty na skutek niezgodności prawa polskiego z prawem unijnym (w:) B. Brzeziński (red.), Wykładnia i stosowanie prawa podatkowego. Węzłowe problemy, Warszawa 2013, s. 105 i nast.; H. Filipczyk, Na</w:t>
      </w:r>
      <w:r w:rsidRPr="00C0316D">
        <w:t>dpłata w podatku akcyzowym od energii elektrycznej, zapłaconym przez producenta − stan po uchwale, „Prawo i Podatki” 2012, nr 3.</w:t>
      </w:r>
    </w:p>
  </w:footnote>
  <w:footnote w:id="260">
    <w:p w:rsidR="00BA4699" w:rsidRPr="009A3C86" w:rsidRDefault="00BA4699" w:rsidP="00FB7DE9">
      <w:pPr>
        <w:pStyle w:val="Tekstprzypisudolnego"/>
        <w:spacing w:line="240" w:lineRule="auto"/>
        <w:rPr>
          <w:lang w:val="en-US"/>
        </w:rPr>
      </w:pPr>
      <w:r w:rsidRPr="00C0316D">
        <w:rPr>
          <w:rStyle w:val="Odwoanieprzypisudolnego"/>
        </w:rPr>
        <w:footnoteRef/>
      </w:r>
      <w:r w:rsidRPr="00C0316D">
        <w:t xml:space="preserve"> Zob. m.in. wyrok TSUE z dnia 20 października 2011 r. w sprawie C-94/10</w:t>
      </w:r>
      <w:r w:rsidRPr="00C0316D">
        <w:rPr>
          <w:bCs/>
        </w:rPr>
        <w:t xml:space="preserve"> Danfoss A/S, Sauer-Danfoss ApS v. Skatteministeriet,</w:t>
      </w:r>
      <w:r w:rsidRPr="00C0316D">
        <w:t xml:space="preserve"> „</w:t>
      </w:r>
      <w:r w:rsidRPr="007210D7">
        <w:rPr>
          <w:iCs/>
        </w:rPr>
        <w:t>Przegląd Podatkowy” 2011, nr 12, s. 51,</w:t>
      </w:r>
      <w:r w:rsidRPr="00C0316D">
        <w:t>; zob. także wyrok ETS z dnia 10 kwietnia 2008 r. w sprawie C-309/06 Marks &amp; Spencer,</w:t>
      </w:r>
      <w:r w:rsidRPr="00C0316D">
        <w:rPr>
          <w:iCs/>
        </w:rPr>
        <w:t xml:space="preserve"> „Przegląd Podatkowy” 2008, nr 6, s. 49 i nast.</w:t>
      </w:r>
      <w:r w:rsidRPr="00C0316D">
        <w:t xml:space="preserve">; wyrok ETS z dnia 9 lutego 1999 r. w sprawie C-343/96 Dilexport Srl v. Amministrazione delle Finanze dello Stato, </w:t>
      </w:r>
      <w:r w:rsidRPr="00C0316D">
        <w:rPr>
          <w:iCs/>
        </w:rPr>
        <w:t xml:space="preserve">ECR 1999/2/I-579; </w:t>
      </w:r>
      <w:r w:rsidRPr="00C0316D">
        <w:t xml:space="preserve">wyrok ETS z dnia 14 stycznia 1997 r. w sprawie C-192/95 Société Comateb i in. </w:t>
      </w:r>
      <w:r w:rsidRPr="00C0316D">
        <w:rPr>
          <w:lang w:val="fr-FR"/>
        </w:rPr>
        <w:t xml:space="preserve">V. Directeur Général des Douanes et Droits Indirects, </w:t>
      </w:r>
      <w:r w:rsidRPr="00C0316D">
        <w:rPr>
          <w:iCs/>
          <w:lang w:val="fr-FR"/>
        </w:rPr>
        <w:t>ECR 1997/1/I-00165.</w:t>
      </w:r>
    </w:p>
  </w:footnote>
  <w:footnote w:id="261">
    <w:p w:rsidR="00BA4699" w:rsidRDefault="00BA4699" w:rsidP="00FB7DE9">
      <w:pPr>
        <w:pStyle w:val="Tekstprzypisudolnego"/>
        <w:spacing w:line="240" w:lineRule="auto"/>
      </w:pPr>
      <w:r>
        <w:rPr>
          <w:rStyle w:val="Odwoanieprzypisudolnego"/>
        </w:rPr>
        <w:footnoteRef/>
      </w:r>
      <w:r>
        <w:t xml:space="preserve"> Zob. m.in. wyrok TSUE </w:t>
      </w:r>
      <w:r w:rsidRPr="00FA011B">
        <w:t xml:space="preserve"> z dnia 24 marca 1988 r. w sprawie 104/86 Komisja przeciwko Włochom, Rec. s. 1799, pkt 6, </w:t>
      </w:r>
      <w:r>
        <w:t xml:space="preserve">wyrok TSUE </w:t>
      </w:r>
      <w:r w:rsidRPr="00FA011B">
        <w:t xml:space="preserve"> z dnia 9 lutego 1999 r. w sprawie C</w:t>
      </w:r>
      <w:r w:rsidRPr="00FA011B">
        <w:rPr>
          <w:rFonts w:ascii="MS Mincho" w:eastAsia="MS Mincho" w:hAnsi="MS Mincho" w:cs="MS Mincho" w:hint="eastAsia"/>
        </w:rPr>
        <w:t>‑</w:t>
      </w:r>
      <w:r w:rsidRPr="00FA011B">
        <w:t>343/96 Dilexport, Rec. s. I</w:t>
      </w:r>
      <w:r w:rsidRPr="00FA011B">
        <w:rPr>
          <w:rFonts w:ascii="MS Mincho" w:eastAsia="MS Mincho" w:hAnsi="MS Mincho" w:cs="MS Mincho" w:hint="eastAsia"/>
        </w:rPr>
        <w:t>‑</w:t>
      </w:r>
      <w:r w:rsidRPr="00FA011B">
        <w:t xml:space="preserve">579, pkt 47, a także </w:t>
      </w:r>
      <w:r>
        <w:t xml:space="preserve">wyrok TSUE </w:t>
      </w:r>
      <w:r w:rsidRPr="00FA011B">
        <w:t xml:space="preserve"> z dnia 21 września 2000 r. w sprawach połączonych C</w:t>
      </w:r>
      <w:r w:rsidRPr="00FA011B">
        <w:rPr>
          <w:rFonts w:ascii="MS Mincho" w:eastAsia="MS Mincho" w:hAnsi="MS Mincho" w:cs="MS Mincho" w:hint="eastAsia"/>
        </w:rPr>
        <w:t>‑</w:t>
      </w:r>
      <w:r w:rsidRPr="00FA011B">
        <w:t>441/98 i C</w:t>
      </w:r>
      <w:r w:rsidRPr="00FA011B">
        <w:rPr>
          <w:rFonts w:ascii="MS Mincho" w:eastAsia="MS Mincho" w:hAnsi="MS Mincho" w:cs="MS Mincho" w:hint="eastAsia"/>
        </w:rPr>
        <w:t>‑</w:t>
      </w:r>
      <w:r w:rsidRPr="00FA011B">
        <w:t>442/98 Michaïlidis, Rec. s. I</w:t>
      </w:r>
      <w:r w:rsidRPr="00FA011B">
        <w:rPr>
          <w:rFonts w:ascii="MS Mincho" w:eastAsia="MS Mincho" w:hAnsi="MS Mincho" w:cs="MS Mincho" w:hint="eastAsia"/>
        </w:rPr>
        <w:t>‑</w:t>
      </w:r>
      <w:r w:rsidRPr="00FA011B">
        <w:t>7145, pkt 31</w:t>
      </w:r>
    </w:p>
  </w:footnote>
  <w:footnote w:id="262">
    <w:p w:rsidR="00BA4699" w:rsidRDefault="00BA4699" w:rsidP="00FB7DE9">
      <w:pPr>
        <w:pStyle w:val="Tekstprzypisudolnego"/>
        <w:spacing w:line="240" w:lineRule="auto"/>
      </w:pPr>
      <w:r>
        <w:rPr>
          <w:rStyle w:val="Odwoanieprzypisudolnego"/>
        </w:rPr>
        <w:footnoteRef/>
      </w:r>
      <w:r>
        <w:t xml:space="preserve"> Wskazane rozumienie weryfikacji przesłanki bezpodstawenego wzbogadcenia jest zgodne z orzecznictwem wspólnotowym np. wyrok TSUE </w:t>
      </w:r>
      <w:r w:rsidRPr="00FA011B">
        <w:t>z dnia 14 stycznia 1997 r. w sprawach połączonych od C</w:t>
      </w:r>
      <w:r w:rsidRPr="00FA011B">
        <w:rPr>
          <w:rFonts w:ascii="MS Mincho" w:hAnsi="MS Mincho" w:cs="MS Mincho"/>
        </w:rPr>
        <w:t>‑</w:t>
      </w:r>
      <w:r w:rsidRPr="00FA011B">
        <w:t>192/95 do C</w:t>
      </w:r>
      <w:r w:rsidRPr="00FA011B">
        <w:rPr>
          <w:rFonts w:ascii="MS Mincho" w:hAnsi="MS Mincho" w:cs="MS Mincho"/>
        </w:rPr>
        <w:t>‑</w:t>
      </w:r>
      <w:r w:rsidRPr="00FA011B">
        <w:t xml:space="preserve">218/95 Comateb i in., Rec.., pkt 29 i 30, </w:t>
      </w:r>
      <w:r>
        <w:t xml:space="preserve">oraz wyrok TSUE </w:t>
      </w:r>
      <w:r w:rsidRPr="00FA011B">
        <w:t>z dnia 21 września 2000 r. w sprawach połączonych C</w:t>
      </w:r>
      <w:r w:rsidRPr="00FA011B">
        <w:rPr>
          <w:rFonts w:ascii="MS Mincho" w:eastAsia="MS Mincho" w:hAnsi="MS Mincho" w:cs="MS Mincho" w:hint="eastAsia"/>
        </w:rPr>
        <w:t>‑</w:t>
      </w:r>
      <w:r w:rsidRPr="00FA011B">
        <w:t>441/98 i C</w:t>
      </w:r>
      <w:r w:rsidRPr="00FA011B">
        <w:rPr>
          <w:rFonts w:ascii="MS Mincho" w:eastAsia="MS Mincho" w:hAnsi="MS Mincho" w:cs="MS Mincho" w:hint="eastAsia"/>
        </w:rPr>
        <w:t>‑</w:t>
      </w:r>
      <w:r w:rsidRPr="00FA011B">
        <w:t>442/98 Michaïlidis, Rec. s. I</w:t>
      </w:r>
      <w:r w:rsidRPr="00FA011B">
        <w:rPr>
          <w:rFonts w:ascii="MS Mincho" w:eastAsia="MS Mincho" w:hAnsi="MS Mincho" w:cs="MS Mincho" w:hint="eastAsia"/>
        </w:rPr>
        <w:t>‑</w:t>
      </w:r>
      <w:r w:rsidRPr="00FA011B">
        <w:t>7145, pkt 34 i 35</w:t>
      </w:r>
      <w:r>
        <w:t>.</w:t>
      </w:r>
    </w:p>
  </w:footnote>
  <w:footnote w:id="263">
    <w:p w:rsidR="00BA4699" w:rsidRPr="00624628" w:rsidRDefault="00BA4699" w:rsidP="008B72B3">
      <w:pPr>
        <w:pStyle w:val="Tekstprzypisudolnego"/>
      </w:pPr>
      <w:r w:rsidRPr="00624628">
        <w:rPr>
          <w:rStyle w:val="Odwoanieprzypisudolnego"/>
        </w:rPr>
        <w:footnoteRef/>
      </w:r>
      <w:r w:rsidRPr="00624628">
        <w:t xml:space="preserve"> Por. np. wyrok NSA z dnia 22 czerwca 2011 r., sygn. akt I GPS 1/11; wyrok WSA w Bydgoszczy z dnia 18 listopada 2015 r., sygn. akt I SA/Bd 860/15; </w:t>
      </w:r>
    </w:p>
  </w:footnote>
  <w:footnote w:id="264">
    <w:p w:rsidR="00BA4699" w:rsidRDefault="00BA4699" w:rsidP="00326528">
      <w:pPr>
        <w:pStyle w:val="Tekstprzypisudolnego"/>
        <w:spacing w:line="240" w:lineRule="auto"/>
      </w:pPr>
      <w:r w:rsidRPr="00BF4D71">
        <w:rPr>
          <w:rStyle w:val="Odwoanieprzypisudolnego"/>
        </w:rPr>
        <w:footnoteRef/>
      </w:r>
      <w:r w:rsidRPr="00BF4D71">
        <w:t xml:space="preserve"> Np. w 2008 r. budżet państwa poniósł wydatek w kwocie 217 mln zł, a w 2009 r. 235 mln zł w związku z kosztami ponoszonymi z tytułu zawiadomień o możliwości odbioru nadpłaty w kasie urzędu oraz koszty przelewów, M. Popławski, Uprawnienia podatkowe. Procedura dochodzenia należności podatkowych od Skarbu Państwa lub jednostek samorządu terytorialnego, Warszawa 2014, s. 240 i nast.</w:t>
      </w:r>
    </w:p>
  </w:footnote>
  <w:footnote w:id="265">
    <w:p w:rsidR="00BA4699" w:rsidRDefault="00BA4699" w:rsidP="00326528">
      <w:pPr>
        <w:pStyle w:val="Tekstprzypisudolnego"/>
        <w:spacing w:line="240" w:lineRule="auto"/>
      </w:pPr>
      <w:r w:rsidRPr="00BF4D71">
        <w:rPr>
          <w:rStyle w:val="Odwoanieprzypisudolnego"/>
        </w:rPr>
        <w:footnoteRef/>
      </w:r>
      <w:r w:rsidRPr="00BF4D71">
        <w:t xml:space="preserve"> L. Etel, Komentarz do art. 78 (w:) C. Kosikowski et al., Ordynacja podatkowa. Komentarz, Warszawa 2013.</w:t>
      </w:r>
    </w:p>
  </w:footnote>
  <w:footnote w:id="266">
    <w:p w:rsidR="00BA4699" w:rsidRDefault="00BA4699" w:rsidP="00326528">
      <w:pPr>
        <w:pStyle w:val="Tekstprzypisudolnego"/>
        <w:spacing w:line="240" w:lineRule="auto"/>
      </w:pPr>
      <w:r w:rsidRPr="00BF4D71">
        <w:rPr>
          <w:rStyle w:val="Odwoanieprzypisudolnego"/>
        </w:rPr>
        <w:footnoteRef/>
      </w:r>
      <w:r w:rsidRPr="00BF4D71">
        <w:t xml:space="preserve"> Zob. wyrok NSA z dnia 2 lutego 2017 r., </w:t>
      </w:r>
      <w:r w:rsidRPr="00BF4D71">
        <w:rPr>
          <w:bCs/>
        </w:rPr>
        <w:t>II FSK 506/16.</w:t>
      </w:r>
    </w:p>
  </w:footnote>
  <w:footnote w:id="267">
    <w:p w:rsidR="00BA4699" w:rsidRDefault="00BA4699" w:rsidP="00326528">
      <w:pPr>
        <w:pStyle w:val="Tekstprzypisudolnego"/>
        <w:spacing w:line="240" w:lineRule="auto"/>
      </w:pPr>
      <w:r w:rsidRPr="00BF4D71">
        <w:rPr>
          <w:rStyle w:val="Odwoanieprzypisudolnego"/>
        </w:rPr>
        <w:footnoteRef/>
      </w:r>
      <w:r w:rsidRPr="00BF4D71">
        <w:t xml:space="preserve"> </w:t>
      </w:r>
      <w:r w:rsidRPr="00BF4D71">
        <w:rPr>
          <w:shd w:val="clear" w:color="auto" w:fill="FFFFFF"/>
        </w:rPr>
        <w:t>Zob. np. wyrok WSA w Krakowie z dnia 10 lipca 2017 r., III SA/Kr 535/15, gdzie sąd stwierdził nieważność uchwały Rady Miasta Zakopane z dnia 27 marca 2008 r. nr XXII/250/2008 w przedmiocie ustalenia miejscowości, w której pobiera się opłatę miejscową. W konsekwencji nadpłata postała także wobec tych osób, które uiściły opłatę na podstawie tej uchwały od 2008 r.</w:t>
      </w:r>
    </w:p>
  </w:footnote>
  <w:footnote w:id="268">
    <w:p w:rsidR="00BA4699" w:rsidRDefault="00BA4699" w:rsidP="00326528">
      <w:pPr>
        <w:pStyle w:val="Tekstprzypisudolnego"/>
        <w:spacing w:line="240" w:lineRule="auto"/>
      </w:pPr>
      <w:r w:rsidRPr="00BF4D71">
        <w:rPr>
          <w:rStyle w:val="Odwoanieprzypisudolnego"/>
        </w:rPr>
        <w:footnoteRef/>
      </w:r>
      <w:r w:rsidRPr="00BF4D71">
        <w:t xml:space="preserve"> Kwestia dotycząca możliwością zastosowania niektórych przepisów zawartych w Ordynacji podatkowej na etapie realizacji zwrotów podatku została opisana w opracowaniu M. Popławskiego, pt. Zastosowanie przepisów Ordynacji podatkowej do zwrotu podatku, w: J. Głuchowski, A. Pomorska, J. Szołno-Koguc (red.) Główne wyzwania i problemy systemu finansów publicznych, </w:t>
      </w:r>
      <w:r w:rsidRPr="00BF4D71">
        <w:rPr>
          <w:bCs/>
        </w:rPr>
        <w:t xml:space="preserve">Lublin </w:t>
      </w:r>
      <w:r w:rsidRPr="00BF4D71">
        <w:t>2009, s. 639-647</w:t>
      </w:r>
    </w:p>
  </w:footnote>
  <w:footnote w:id="269">
    <w:p w:rsidR="00BA4699" w:rsidRDefault="00BA4699" w:rsidP="00463D52">
      <w:pPr>
        <w:pStyle w:val="Tekstprzypisudolnego"/>
        <w:spacing w:line="240" w:lineRule="auto"/>
      </w:pPr>
      <w:r w:rsidRPr="004970F9">
        <w:rPr>
          <w:rStyle w:val="Odwoanieprzypisudolnego"/>
          <w:rFonts w:ascii="Calibri" w:hAnsi="Calibri" w:cs="Calibri"/>
        </w:rPr>
        <w:footnoteRef/>
      </w:r>
      <w:r w:rsidRPr="004970F9">
        <w:t xml:space="preserve"> Wyrok SA w Łodzi z dnia 29 lipca 2015 r., III AUa 1322/14, niepubl.</w:t>
      </w:r>
    </w:p>
  </w:footnote>
  <w:footnote w:id="270">
    <w:p w:rsidR="00BA4699" w:rsidRPr="007210D7" w:rsidRDefault="00BA4699" w:rsidP="00463D52">
      <w:pPr>
        <w:pStyle w:val="Tekstprzypisudolnego"/>
        <w:spacing w:line="240" w:lineRule="auto"/>
      </w:pPr>
      <w:r w:rsidRPr="004970F9">
        <w:rPr>
          <w:rStyle w:val="Odwoanieprzypisudolnego"/>
          <w:rFonts w:ascii="Calibri" w:hAnsi="Calibri" w:cs="Calibri"/>
        </w:rPr>
        <w:footnoteRef/>
      </w:r>
      <w:r w:rsidRPr="004970F9">
        <w:t xml:space="preserve"> </w:t>
      </w:r>
      <w:r w:rsidRPr="007210D7">
        <w:t>E. Macierzyńska-Franaszczyk (w:) Charakter odpowiedzialności przed przyjęciem spadku i zapisu windykacyjnego, P. Stec (red.), M. Załucki (red.), 50 lat Kodeksu cywilnego, Lex/el. 2015, pkt 2.</w:t>
      </w:r>
    </w:p>
  </w:footnote>
  <w:footnote w:id="271">
    <w:p w:rsidR="00BA4699" w:rsidRPr="007210D7" w:rsidRDefault="00BA4699" w:rsidP="00463D52">
      <w:pPr>
        <w:pStyle w:val="Tekstprzypisudolnego"/>
        <w:spacing w:line="240" w:lineRule="auto"/>
      </w:pPr>
      <w:r w:rsidRPr="00463D52">
        <w:rPr>
          <w:rStyle w:val="Odwoanieprzypisudolnego"/>
        </w:rPr>
        <w:footnoteRef/>
      </w:r>
      <w:r w:rsidRPr="007210D7">
        <w:t xml:space="preserve"> Dz. U. z 1993 r. Nr 108, poz. 486 z późn. zm.</w:t>
      </w:r>
    </w:p>
  </w:footnote>
  <w:footnote w:id="272">
    <w:p w:rsidR="00BA4699" w:rsidRPr="007210D7" w:rsidRDefault="00BA4699" w:rsidP="00463D52">
      <w:pPr>
        <w:pStyle w:val="Tekstprzypisudolnego"/>
        <w:spacing w:line="240" w:lineRule="auto"/>
      </w:pPr>
      <w:r w:rsidRPr="00463D52">
        <w:rPr>
          <w:rStyle w:val="Odwoanieprzypisudolnego"/>
        </w:rPr>
        <w:footnoteRef/>
      </w:r>
      <w:r w:rsidRPr="007210D7">
        <w:t xml:space="preserve"> Zob. np. wyroki NSA z dnia 1 lutego 2017 r., II FSK 2225/15 i II FSK 3505/15, CBOSA.</w:t>
      </w:r>
    </w:p>
  </w:footnote>
  <w:footnote w:id="273">
    <w:p w:rsidR="00BA4699" w:rsidRDefault="00BA4699" w:rsidP="00463D52">
      <w:pPr>
        <w:pStyle w:val="Tekstprzypisudolnego"/>
        <w:spacing w:line="240" w:lineRule="auto"/>
      </w:pPr>
      <w:r w:rsidRPr="004970F9">
        <w:rPr>
          <w:rStyle w:val="Odwoanieprzypisudolnego"/>
          <w:rFonts w:ascii="Calibri" w:hAnsi="Calibri" w:cs="Calibri"/>
        </w:rPr>
        <w:footnoteRef/>
      </w:r>
      <w:r w:rsidRPr="004970F9">
        <w:t xml:space="preserve"> Wyrok SN z dnia 22 maja 2012 r., II UK 339/11, OSNP 2013, nr 7-8, poz. 97; wyrok NSA z dnia 16 grudnia 2009 r., II FSK 570/08, CBOSA.</w:t>
      </w:r>
    </w:p>
  </w:footnote>
  <w:footnote w:id="274">
    <w:p w:rsidR="00BA4699" w:rsidRDefault="00BA4699" w:rsidP="00463D52">
      <w:pPr>
        <w:pStyle w:val="Tekstprzypisudolnego"/>
        <w:spacing w:line="240" w:lineRule="auto"/>
      </w:pPr>
      <w:r>
        <w:rPr>
          <w:rStyle w:val="Odwoanieprzypisudolnego"/>
        </w:rPr>
        <w:footnoteRef/>
      </w:r>
      <w:r>
        <w:t xml:space="preserve"> Wyrok SN z dnia 21 kwietnia 2010 r. V CSK 369/09, Lex nr 602337 z glosami: aprobującą M. Godlewskiego, Glosa Lex/el 2011 i krytyczną K. Mularskiego, Rejent 2012, nr 3, s. 158 – 171.</w:t>
      </w:r>
    </w:p>
  </w:footnote>
  <w:footnote w:id="275">
    <w:p w:rsidR="00BA4699" w:rsidRPr="007210D7" w:rsidRDefault="00BA4699" w:rsidP="00463D52">
      <w:pPr>
        <w:pStyle w:val="Tekstprzypisudolnego"/>
        <w:spacing w:line="240" w:lineRule="auto"/>
      </w:pPr>
      <w:r w:rsidRPr="00463D52">
        <w:rPr>
          <w:rStyle w:val="Odwoanieprzypisudolnego"/>
        </w:rPr>
        <w:footnoteRef/>
      </w:r>
      <w:r w:rsidRPr="007210D7">
        <w:t xml:space="preserve"> Zob. L. Etel (w:) J. Brolik, R. Dowgier, L. Etel, C. Kosikowski, P. Pietrasz, M. Popławski, S. Presnarowicz, W. Stachurski, Ordynacja podatkowa. Komentarz, Warszawa 2013, s. 315; S. Babiarz (w:) S. Babiarz, B. Dauter, B. Gruszczyński, R. Hauser, A. Kabat, M. Niezgódka-Medek, Ordynacja podatkowa. Komentarz, Warszawa 2015, s. 262.</w:t>
      </w:r>
    </w:p>
  </w:footnote>
  <w:footnote w:id="276">
    <w:p w:rsidR="00BA4699" w:rsidRPr="007210D7" w:rsidRDefault="00BA4699" w:rsidP="00463D52">
      <w:pPr>
        <w:pStyle w:val="Tekstprzypisudolnego"/>
        <w:spacing w:line="240" w:lineRule="auto"/>
      </w:pPr>
      <w:r w:rsidRPr="00463D52">
        <w:rPr>
          <w:rStyle w:val="Odwoanieprzypisudolnego"/>
        </w:rPr>
        <w:footnoteRef/>
      </w:r>
      <w:r w:rsidRPr="007210D7">
        <w:t xml:space="preserve"> Zob. E. Gniewek (w:) Kodeks cywilny. Komentarz, red. E. Gniewek, P. Machnikowski, Warszawa 2013, s. 112; Ł. Żelechowski (w:) Kodeks cywilny. Komentarz, t. 1, Przepisy wprowadzające (art. I-LXV p.w.k.c.). Część ogólna. własność i inne prawa rzeczowe (art. 1-352 k.c.), red. K. Osajda, Warszawa 2013, s. 523-524.</w:t>
      </w:r>
    </w:p>
  </w:footnote>
  <w:footnote w:id="277">
    <w:p w:rsidR="00BA4699" w:rsidRPr="007210D7" w:rsidRDefault="00BA4699" w:rsidP="00463D52">
      <w:pPr>
        <w:pStyle w:val="Tekstprzypisudolnego"/>
        <w:spacing w:line="240" w:lineRule="auto"/>
      </w:pPr>
      <w:r w:rsidRPr="00463D52">
        <w:rPr>
          <w:rStyle w:val="Odwoanieprzypisudolnego"/>
        </w:rPr>
        <w:footnoteRef/>
      </w:r>
      <w:r w:rsidRPr="007210D7">
        <w:t xml:space="preserve"> M. Bednarek, Mienie. Komentarz do art. 44-55</w:t>
      </w:r>
      <w:r w:rsidRPr="007210D7">
        <w:rPr>
          <w:vertAlign w:val="superscript"/>
        </w:rPr>
        <w:t>3</w:t>
      </w:r>
      <w:r w:rsidRPr="007210D7">
        <w:t xml:space="preserve"> Kodeksu cywilnego, Kraków 1997, s. 30-31; A. Dyoniak, Pojęcie majątku w prawie cywilnym, PiP 1985, nr 11-12; wyrok SN z dnia 3 grudnia 2009 r., II CSK 215/09, Lex nr 551060 z glosa aprobującą M. Jasiakiewicza, PPE 2010, nr 3, s. 83-95.</w:t>
      </w:r>
    </w:p>
  </w:footnote>
  <w:footnote w:id="278">
    <w:p w:rsidR="00BA4699" w:rsidRPr="007210D7" w:rsidRDefault="00BA4699" w:rsidP="00463D52">
      <w:pPr>
        <w:pStyle w:val="Tekstprzypisudolnego"/>
        <w:spacing w:line="240" w:lineRule="auto"/>
      </w:pPr>
      <w:r w:rsidRPr="004970F9">
        <w:rPr>
          <w:rStyle w:val="Odwoanieprzypisudolnego"/>
          <w:rFonts w:ascii="Calibri" w:hAnsi="Calibri" w:cs="Calibri"/>
        </w:rPr>
        <w:footnoteRef/>
      </w:r>
      <w:r w:rsidRPr="004970F9">
        <w:t xml:space="preserve"> </w:t>
      </w:r>
      <w:r w:rsidRPr="007210D7">
        <w:t>Zob. uchwała 7 sędziów NSA z dnia 27 września 1999 r., FPS 6/99, ONSA 2000, nr 1, poz. 1 z glosą krytyczną H. Dzwonkowskiego, „Państwo i Prawo” 2000, nr 8, s. 113-117; wyrok NSA z dnia 28 stycznia 2016 r., II FSK 3403/13, CBOSA; L. Etel (w:) Ordynacja podatkowa. Komentarz, Warszawa 2013, s. 329.</w:t>
      </w:r>
    </w:p>
  </w:footnote>
  <w:footnote w:id="279">
    <w:p w:rsidR="00BA4699" w:rsidRPr="007210D7" w:rsidRDefault="00BA4699" w:rsidP="00463D52">
      <w:pPr>
        <w:pStyle w:val="Tekstprzypisudolnego"/>
        <w:spacing w:line="240" w:lineRule="auto"/>
      </w:pPr>
      <w:r w:rsidRPr="00463D52">
        <w:rPr>
          <w:rStyle w:val="Odwoanieprzypisudolnego"/>
        </w:rPr>
        <w:footnoteRef/>
      </w:r>
      <w:r w:rsidRPr="007210D7">
        <w:t xml:space="preserve"> L. Etel (w:) J. Brolik, R. Dowgier, L. Etel, C. Kosikowski, P. Pietrasz, M. Popławski, S. Presnarowicz, W. Stachurski, Ordynacja podatkowa. Komentarz, Warszawa 2013, s. 333; A. Olesińska, Kto powinien zapłacić p.c.c. niepobrany przy sprzedaży działki gruntu przez rolnika, „Prawo i Podatki” 2010, nr 6, s. 17.</w:t>
      </w:r>
    </w:p>
  </w:footnote>
  <w:footnote w:id="280">
    <w:p w:rsidR="00BA4699" w:rsidRPr="007210D7" w:rsidRDefault="00BA4699" w:rsidP="00463D52">
      <w:pPr>
        <w:pStyle w:val="Tekstprzypisudolnego"/>
        <w:spacing w:line="240" w:lineRule="auto"/>
      </w:pPr>
      <w:r w:rsidRPr="00463D52">
        <w:rPr>
          <w:rStyle w:val="Odwoanieprzypisudolnego"/>
        </w:rPr>
        <w:footnoteRef/>
      </w:r>
      <w:r w:rsidRPr="007210D7">
        <w:t xml:space="preserve"> Zob. wyrok WSA w Olsztynie z dnia 9 września 2009 r., I SA/Ol 455/09 z glosą krytyczną A. Olesińskiej, „Zeszyty Naukowe Sądownictwa Administracyjnego” 2010, nr 4, s. 179-190.</w:t>
      </w:r>
    </w:p>
  </w:footnote>
  <w:footnote w:id="281">
    <w:p w:rsidR="00BA4699" w:rsidRPr="007210D7" w:rsidRDefault="00BA4699" w:rsidP="00463D52">
      <w:pPr>
        <w:pStyle w:val="Tekstprzypisudolnego"/>
        <w:spacing w:line="240" w:lineRule="auto"/>
      </w:pPr>
      <w:r w:rsidRPr="00463D52">
        <w:rPr>
          <w:rStyle w:val="Odwoanieprzypisudolnego"/>
        </w:rPr>
        <w:footnoteRef/>
      </w:r>
      <w:r w:rsidRPr="007210D7">
        <w:t xml:space="preserve"> L. Etel (w:) R. Dowgier, L. Etel, P. Pietrasz, M. Popławski, S. Presnarowicz, W. Stachurski, K. Teszner, Ordynacja podatkowa. Komentarz, Warszawa 2017, s. 405.</w:t>
      </w:r>
    </w:p>
  </w:footnote>
  <w:footnote w:id="282">
    <w:p w:rsidR="00BA4699" w:rsidRDefault="00BA4699" w:rsidP="00463D52">
      <w:pPr>
        <w:pStyle w:val="Tekstprzypisudolnego"/>
        <w:spacing w:line="240" w:lineRule="auto"/>
      </w:pPr>
      <w:r>
        <w:rPr>
          <w:rStyle w:val="Odwoanieprzypisudolnego"/>
        </w:rPr>
        <w:footnoteRef/>
      </w:r>
      <w:r>
        <w:t xml:space="preserve"> Tamże s. 393 – 394; uchwała RIO w Opolu z dnia 25.01.2001 r. nr 2/30/2001, OwSS 2001, nr 4, poz. 135.</w:t>
      </w:r>
    </w:p>
  </w:footnote>
  <w:footnote w:id="283">
    <w:p w:rsidR="00BA4699" w:rsidRDefault="00BA4699" w:rsidP="00463D52">
      <w:pPr>
        <w:pStyle w:val="Tekstprzypisudolnego"/>
        <w:spacing w:line="240" w:lineRule="auto"/>
      </w:pPr>
      <w:r>
        <w:rPr>
          <w:rStyle w:val="Odwoanieprzypisudolnego"/>
        </w:rPr>
        <w:footnoteRef/>
      </w:r>
      <w:r>
        <w:t xml:space="preserve"> Wyrok NSA z dnia 26.10.2001 r. SA/Rz 1622/01 FK 2002, nr r, s. 60 z glosą aprobującą M. Popławskiego FK 2002, nr 2, s. 65 – 70.</w:t>
      </w:r>
    </w:p>
  </w:footnote>
  <w:footnote w:id="284">
    <w:p w:rsidR="00BA4699" w:rsidRPr="007210D7" w:rsidRDefault="00BA4699" w:rsidP="00463D52">
      <w:pPr>
        <w:pStyle w:val="Tekstprzypisudolnego"/>
        <w:spacing w:line="240" w:lineRule="auto"/>
      </w:pPr>
      <w:r w:rsidRPr="004970F9">
        <w:rPr>
          <w:rStyle w:val="Odwoanieprzypisudolnego"/>
          <w:rFonts w:ascii="Calibri" w:hAnsi="Calibri" w:cs="Calibri"/>
        </w:rPr>
        <w:footnoteRef/>
      </w:r>
      <w:r w:rsidRPr="004970F9">
        <w:t xml:space="preserve"> </w:t>
      </w:r>
      <w:r w:rsidRPr="007210D7">
        <w:t>Odpowiedzialność osób trzecich przewidują także przepisy podatkowe innych państw, np. Ordynacja podatkowa Hiszpanii i wzór Kodeksu podatkowego CIAT, z tym że w ordynacji podatkowej Hiszpanii osoby trzecie nazywane są podmiotami odpowiedzialnymi subsydiarnie (art. 43), a więc istota ich odpowiedzialności jest identyczna, jak w polskiej ordynacji podatkowej. Podmiotowo jest to jednak odpowiedzialność szersza albowiem obejmuje też osoby zlecające i podzlecające wykonanie robót lub świadczenie usług, a także pośredników i agentów celnych. Wzór Kodeksu podatkowego CIAT odpowiedzialność osób trzecich za należności podatnika reguluje w przypadku niewypłacalności (braku zapłaty). Podmioty te wskazane zostały w art. 37 wzoru Kodeksu.</w:t>
      </w:r>
    </w:p>
  </w:footnote>
  <w:footnote w:id="285">
    <w:p w:rsidR="00BA4699" w:rsidRPr="007210D7" w:rsidRDefault="00BA4699" w:rsidP="00463D52">
      <w:pPr>
        <w:pStyle w:val="Tekstprzypisudolnego"/>
        <w:spacing w:line="240" w:lineRule="auto"/>
      </w:pPr>
      <w:r w:rsidRPr="00463D52">
        <w:rPr>
          <w:rStyle w:val="Odwoanieprzypisudolnego"/>
        </w:rPr>
        <w:footnoteRef/>
      </w:r>
      <w:r w:rsidRPr="007210D7">
        <w:t xml:space="preserve"> Wyrok WSA w Łodzi z dnia 15 grudnia 2014 r., I SA/Łd 240/14, CBOSA.</w:t>
      </w:r>
    </w:p>
  </w:footnote>
  <w:footnote w:id="28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Wyrok NSA z dnia 20 października 2015 r., I FSK 977/14, CBOSA; wyrok NSA z dnia 12 września 2014 r., I FSK 1311/13, CBOSA; wyrok SN z dnia 19 stycznia 2016 r., I UK 23/15, CBOSA.</w:t>
      </w:r>
    </w:p>
  </w:footnote>
  <w:footnote w:id="28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Przedmiotowy zakres odpowiedzialności określony w ordynacji podatkowej Hiszpanii jest zbliżony do zakresu przedstawionego w art. 206, ale obejmuje także kary podatkowe (art. 174 ust. 5).</w:t>
      </w:r>
    </w:p>
  </w:footnote>
  <w:footnote w:id="28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 NSA z dnia 28 kwietnia 2008 r., II FSK 23/08, CBOSA; wyrok NSA z dnia 26 września 2011 r., II FSK 546/10, CBOSA; wyrok NSA z dnia 17 czerwca 2010 r., I OSK 1152/09, CBOSA; postanowienie NSA z dnia 30 października 2012, I OSK 998/12, CBOSA; wyrok NSA z dnia 4 kwietnia 2014 r., I OSK 285/13, CBOSA; wyrok NSA z dnia 27 marca 2013 r., II OSK 2286/11, CBOSA; postanowienie SN z dnia 22 października 2009 r., I UZ 64/09, niepubl. Określenie to natomiast funkcjonuje w kodeksie podatkowym Czech w § 174 ust. 2, § 248 ust. 1, czy ordynacji podatkowej Niemiec – § 85, § 109 ust. 1, § 163, § 258.</w:t>
      </w:r>
    </w:p>
  </w:footnote>
  <w:footnote w:id="28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 NSA z dnia 20 listopada 1990 r., II SA 759/90, OSP 1991, nr 7-8, poz. 178.</w:t>
      </w:r>
    </w:p>
  </w:footnote>
  <w:footnote w:id="29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glosa W. Masewicza do wyroku NSA z dnia 20 listopada 1990 r., II SA 759/90, OSP 1991, nr 7-8, poz. 178; L. Garlicki, Przegląd orzecznictwa TK, PS 1992, nr 11-12, s. 52.</w:t>
      </w:r>
    </w:p>
  </w:footnote>
  <w:footnote w:id="29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2018 r. poz. 646</w:t>
      </w:r>
      <w:r>
        <w:t xml:space="preserve"> z późn. zm</w:t>
      </w:r>
      <w:r w:rsidRPr="004970F9">
        <w:t>.</w:t>
      </w:r>
    </w:p>
  </w:footnote>
  <w:footnote w:id="29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1990 r. Nr 44, poz. 255 z późn. zm.</w:t>
      </w:r>
    </w:p>
  </w:footnote>
  <w:footnote w:id="293">
    <w:p w:rsidR="00BA4699" w:rsidRDefault="00BA4699" w:rsidP="00741954">
      <w:pPr>
        <w:pStyle w:val="Tekstprzypisudolnego"/>
      </w:pPr>
      <w:r>
        <w:rPr>
          <w:rStyle w:val="Odwoanieprzypisudolnego"/>
        </w:rPr>
        <w:footnoteRef/>
      </w:r>
      <w:r>
        <w:t xml:space="preserve"> Dz. U. z 2017 r. poz. 1221 z późn. zm.</w:t>
      </w:r>
    </w:p>
  </w:footnote>
  <w:footnote w:id="29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2016 r. poz. 1764 z późn. zm.</w:t>
      </w:r>
      <w:r>
        <w:t xml:space="preserve"> ; K. Lasiński- Sulecki, Pojęcie "należyta staranność" i jego znaczenie na gruncie ustawy o podatku od towarów i usług, ZNSA 2017, nr 6, s. 54 - 63.</w:t>
      </w:r>
    </w:p>
  </w:footnote>
  <w:footnote w:id="29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 art. 40 ust. 2 ustawy o zobowiązaniach podatkowych wynika, że „Organ podatkowy odstąpi od orzeczenia odpowiedzialności podatkowej ze względu na zasady współżycia społecznego lub inne ważne względy społeczno-gospodarcze”.</w:t>
      </w:r>
    </w:p>
  </w:footnote>
  <w:footnote w:id="29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wyroki NSA: z dnia 28 października 2004 r., FSK 1131/04, CBOSA; z dnia 25 stycznia 2002 r., I SA/Kr 706/00, CBOSA; z dnia 9 listopada 2001 r., III SA 2164/00, CBOSA, a także wyrok SN z dnia 7 listopada 1997 r., II UKN 308/97, OSNP 1998, nr 16, poz. 485.</w:t>
      </w:r>
    </w:p>
  </w:footnote>
  <w:footnote w:id="29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Podobnie posiłkowy charakter ma odpowiedzialność podatkowa osób trzecich w ordynacji podatkowej Hiszpanii i wzorze Kodeksu podatkowego CIAT. W obu tych przypadkach orzeczenie o odpowiedzialności następuje w drodze decyzji (z tym, że w ordynacji podatkowej Hiszpanii organ podatkowy „może”, ale nie ma obowiązku orzekania o tej odpowiedzialności). W obu przypadkach nie jest też możliwe, w postępowaniu o odpowiedzialności osoby trzeciej, zaskarżenie wymiaru należności ciążącego na podatniku (art. 174 ust. 5 akapit 2 ordynacji podatkowej Hiszpanii), a więc jest to rozwiązanie podobne do polskiego.</w:t>
      </w:r>
    </w:p>
  </w:footnote>
  <w:footnote w:id="29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uchwała 7 sędziów NSA z dnia 9 marca 2009 r., I FPS 4/08, ONSAiWSA 2009, nr 3, poz. 47.</w:t>
      </w:r>
    </w:p>
  </w:footnote>
  <w:footnote w:id="29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 WSA w Lublinie z dnia 16 listopada 2011 r., I SA/Lu 291/11, CBOSA.</w:t>
      </w:r>
    </w:p>
  </w:footnote>
  <w:footnote w:id="30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B. Brzeziński, M. Kalinowski, A. Olesińska (red.), Ordynacja podatkowa. Komentarz praktyczny, Gdańsk 2015, s. 539.</w:t>
      </w:r>
    </w:p>
  </w:footnote>
  <w:footnote w:id="30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Wyrok NSA z dnia 1 lutego 2017 r., II FSK 3638/14, CBOSA.</w:t>
      </w:r>
    </w:p>
  </w:footnote>
  <w:footnote w:id="30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też podobny pogląd wyrażony w wyroku NSA z dnia 25 stycznia 2017 r., I FSK 1877/16, CBOSA.</w:t>
      </w:r>
    </w:p>
  </w:footnote>
  <w:footnote w:id="303">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 ordynacji podatkowej Hiszpanii przewidziano przedawnienie wymiaru zobowiązań osoby trzeciej w granicach przedawnienia poboru (zapłaty podatku) przez podatnika (art. 174 ust. 2).</w:t>
      </w:r>
    </w:p>
  </w:footnote>
  <w:footnote w:id="30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B. Brzeziński, M. Kalinowski, A. Olesińska (red.), Ordynacja…, s. 552.</w:t>
      </w:r>
    </w:p>
  </w:footnote>
  <w:footnote w:id="30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np. wyrok WSA w Gliwicach z dnia 17 stycznia 2017 r. III SA/Gl 994/16, CBOSA; wyrok WSA w Lublinie z dnia 2 października 2009 r. I SA/Lu 266/09, CBOSA; wyrok WSA w Olsztynie z dnia 30 grudnia 2008 r. I SA/Ol 289/08, CBOSA i wyroki NSA: z dnia 1 lipca 2011 r. II FSK 346/10, CBOSA; z dnia 24 stycznia 2013 r. II FSK 1123/11, CBOSA; z dnia 17 kwietnia 2014 r. II FSK 1197/12, CBOSA; z dnia 11 maja 2012 r. II FSK 2166/10, CBOSA.</w:t>
      </w:r>
    </w:p>
  </w:footnote>
  <w:footnote w:id="30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P. Karwat, Odpowiedzialność nabywców majątku za zaległości podatkowe zbywców, Pr. i P - WS 2008, nr 5, s. 16-21; R. Sadlik, Odpowiedzialność nabywcy przedsiębiorstwa lub jego części za składki na ubezpieczenie społeczne, PiZS 2014, nr 12, s. 18-20.</w:t>
      </w:r>
    </w:p>
  </w:footnote>
  <w:footnote w:id="30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ONSAiWSA 2017, nr 3. </w:t>
      </w:r>
    </w:p>
  </w:footnote>
  <w:footnote w:id="30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A. Olesińska, E. Prejs, Odpowiedzialność osób trzecich za zobowiązania podatkowe po nowelizacji ordynacji podatkowej, „Przegląd Podatkowy” 2016, nr 3, s. 29.</w:t>
      </w:r>
    </w:p>
  </w:footnote>
  <w:footnote w:id="30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t>
      </w:r>
      <w:r w:rsidRPr="004970F9">
        <w:rPr>
          <w:i/>
          <w:iCs/>
        </w:rPr>
        <w:t>Ibidem</w:t>
      </w:r>
      <w:r w:rsidRPr="004970F9">
        <w:t>.</w:t>
      </w:r>
    </w:p>
  </w:footnote>
  <w:footnote w:id="31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t>
      </w:r>
      <w:r w:rsidRPr="004970F9">
        <w:rPr>
          <w:i/>
          <w:iCs/>
        </w:rPr>
        <w:t>Ibidem</w:t>
      </w:r>
      <w:r w:rsidRPr="004970F9">
        <w:t>, s. 29-30; A. Kidyba, Komentarz aktualizowany do art. 277 Kodeksu spółek handlowych, Lex/el. 2016, pkt 1; A. Witosz, Kompetencje wspólników prowadzących sprawy spółki i pozycja prawna zarządu w spółkach handlowych w likwidacji, „Przegląd Prawa Handlowego” 2009, nr 8, s. 5-9; A. Kidyba (red.), K. Kopaczyńska-Pieczniak, Przebieg postępowania likwidacyjnego. Spółka z ograniczoną odpowiedzialnością, Warszawa 2007, s. 81-82.</w:t>
      </w:r>
    </w:p>
  </w:footnote>
  <w:footnote w:id="31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2016 r. poz. 21 z późn. zm.; wyrok SN z dnia 15 maja 2014 r., III UK 156/13, niepubl.</w:t>
      </w:r>
    </w:p>
  </w:footnote>
  <w:footnote w:id="31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uzasadnienie do uchwały 7 sędziów NSA z dnia 9 marca 2009 r., I FPS 4/08, ONSAiWSA 2009, nr 3, poz. 47.</w:t>
      </w:r>
    </w:p>
  </w:footnote>
  <w:footnote w:id="313">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Wyrok SN z dnia 15 października 2014 r., III UK 10/14, niepubl.</w:t>
      </w:r>
    </w:p>
  </w:footnote>
  <w:footnote w:id="31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Wyrok SA w Białymstoku z dnia 2 marca 2016 r., III AUa 972/15, niepubl.</w:t>
      </w:r>
    </w:p>
  </w:footnote>
  <w:footnote w:id="31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Uchwała SN z dnia 11 lutego 2014 r., I UZP 3/13, OSNP 2014, nr 7, poz. 101.</w:t>
      </w:r>
    </w:p>
  </w:footnote>
  <w:footnote w:id="316">
    <w:p w:rsidR="00BA4699" w:rsidRDefault="00BA4699" w:rsidP="00741954">
      <w:pPr>
        <w:pStyle w:val="Tekstprzypisudolnego"/>
      </w:pPr>
      <w:r>
        <w:rPr>
          <w:rStyle w:val="Odwoanieprzypisudolnego"/>
          <w:rFonts w:ascii="Calibri" w:hAnsi="Calibri" w:cs="Calibri"/>
        </w:rPr>
        <w:footnoteRef/>
      </w:r>
      <w:r>
        <w:t xml:space="preserve"> Dz. U. z 2018 r. poz. 1629.</w:t>
      </w:r>
    </w:p>
  </w:footnote>
  <w:footnote w:id="31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np. uchwała 7 sędziów SN z dnia 12 marca 2003 r., III CZP 85/02, OSNC 2003, nr 10, poz. 129 z glosą krytyczną M. Jasińskiej, „Monitor Prawniczy” 2004, nr 17, s. 811-813.</w:t>
      </w:r>
    </w:p>
  </w:footnote>
  <w:footnote w:id="31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np. postanowienie SN z dnia 5 marca 2015 r., V CSK 390/14, niepubl.; wyrok SN z dnia 27 stycznia 2016 r., II CSK 149/15, niepubl.</w:t>
      </w:r>
    </w:p>
  </w:footnote>
  <w:footnote w:id="31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B. Brzeziński, M. Kalinowski, Dopuszczalność stosowania skargi pauliańskiej do należności podatkowych, „Przegląd Orzecznictwa Podatkowego” 2015, nr 2, s. 105-110; B. Brzeziński, M. Kalinowski, Jeszcze raz o stosowaniu skargi pauliańskiej do należności podatkowych, „Przegląd Orzecznictwa Podatkowego” 2016, nr 9, s. 211-219; J. Brol, Prawa upadłościowe w świetle praktyki sądowej, Warszawa 1995, s. 131; glosa P. Machnikowskiego do postanowienia SN z dnia 16 kwietnia 2002 r., V CK 41/02, „Orzecznictwo Sądów Polskich” 2003, nr 2, poz. 22; A. Nita, W. Morawski, Wykorzystywanie skargi pauliańskiej do zabezpieczenia wykonania zobowiązania podatkowego, „Przegląd Sądowy” 2016, nr 6, s. 9-20; B. Brzeziński, A. Nita, glosa do wyroku SN z dnia 29 maja 2015 r., V CSK 454/14, „Przegląd Orzecznictwa Podatkowego” 2016, nr 4, s. 305-309; S. Gurgul, Prawo upadłościowe i naprawcze. Warszawa 2010, s. 497.</w:t>
      </w:r>
    </w:p>
  </w:footnote>
  <w:footnote w:id="32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 informacji uzyskanych od Dyrektora Izby Administracji Skarbowej w Łodzi wynika, że w latach 2017 organy podatkowe z tego województwa prowadziły 15 spraw ze skargi pauliańskiej. </w:t>
      </w:r>
    </w:p>
  </w:footnote>
  <w:footnote w:id="32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2011 r. Nr 85, poz. 458.</w:t>
      </w:r>
    </w:p>
  </w:footnote>
  <w:footnote w:id="32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2017 r. poz. 833 z późn. zm. </w:t>
      </w:r>
    </w:p>
  </w:footnote>
  <w:footnote w:id="323">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A. Goettel, Pojęcie zapisobiercy w świetle przepisów Ordynacji podatkowej, „Prokuratura i Prawo” 2011, nr 3, s. 13-16.</w:t>
      </w:r>
    </w:p>
  </w:footnote>
  <w:footnote w:id="32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A. Witosz, Wspólnik lub akcjonariusz spółki krajowej w transgranicznym łączeniu się, gdy spółką przejmującą jest spółka zagraniczna, Pr. Spółek 2009, nr 3, s. 2-8.</w:t>
      </w:r>
    </w:p>
  </w:footnote>
  <w:footnote w:id="32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A. Kidyba, Komentarz aktualizowany do art. 301-633 ustawy z dnia 15 września 2000 r. - Kodeks spółek handlowych (Dz. U. z 2017 r. poz. 1577) - komentarz do art. 516</w:t>
      </w:r>
      <w:r w:rsidRPr="004970F9">
        <w:rPr>
          <w:vertAlign w:val="superscript"/>
        </w:rPr>
        <w:t>1</w:t>
      </w:r>
      <w:r w:rsidRPr="004970F9">
        <w:t xml:space="preserve"> k.s.h. pkt 2.</w:t>
      </w:r>
    </w:p>
  </w:footnote>
  <w:footnote w:id="32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Urz. UE 2005.310.1 z późn. zm.</w:t>
      </w:r>
    </w:p>
  </w:footnote>
  <w:footnote w:id="32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Wyroki NSA z dnia: 10 maja 2012 r., II FSK 2046/10; 21 listopada 2012 r., II FSK 2486/11, CBOSA; wyrok WSA w Krakowie z dnia 1 marca 2013 r., I SA/Kr 46/13, POP 2013, nr 6, s. 537-543.</w:t>
      </w:r>
    </w:p>
  </w:footnote>
  <w:footnote w:id="32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S. Gajewski, Glosa do uchwały NSA z dnia 7 lipca 2014 r., II FPS 1/14, Lex/el. 2014, do art. 134 § 2 ustawy z dnia 30 sierpnia 2002 r. – Prawo o postępowaniu przed sądami administracyjnymi (Dz.U. z 2016 r. poz. 718 z późn. zm.).</w:t>
      </w:r>
    </w:p>
  </w:footnote>
  <w:footnote w:id="32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A. Szumański (w:) S. Sołtysiński, A. Szajkowski, A. Szumański, J. Szwaja, Kodeks spółek handlowych, t. IV, Komentarz do artykułów 459-633, Warszawa 2009, s. 255; M. Pyziak-Szafnicka (w:) System Prawa Prywatnego (red.) Z. Radwański, Prawo cywilne – część ogólna (red.) M. Safjan, praca zbiorowa, Warszawa 2012, s. 871-876.</w:t>
      </w:r>
    </w:p>
  </w:footnote>
  <w:footnote w:id="33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A. Mariański, glosa krytyczna do wyroku NSA z dnia 12 kwietnia 2000 r., SA/Bk 330/09, „Przegląd Orzecznictwa Podatkowego” 2003, nr 2, poz. 176.</w:t>
      </w:r>
    </w:p>
  </w:footnote>
  <w:footnote w:id="33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wyroki NSA: z dnia 14 października 2004 r., FSK 587/04, CBOSA; z dnia 10 lutego 2009 r., II FSK 1623/07, CBOSA; postanowienie NSA: z dnia 28 lutego 2011 r., II FSK 1987/09, II FSK 2149/11, II FSK 2151/11.</w:t>
      </w:r>
    </w:p>
  </w:footnote>
  <w:footnote w:id="33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art. 86 ustawy z dnia 20 sierpnia 1997 r. o Krajowym </w:t>
      </w:r>
      <w:r>
        <w:t>Rejestrze Sądowym (Dz. U. z 2018 r. poz. 986</w:t>
      </w:r>
      <w:r w:rsidRPr="004970F9">
        <w:t xml:space="preserve"> z późn. zm.).</w:t>
      </w:r>
    </w:p>
  </w:footnote>
  <w:footnote w:id="333">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np. uzasadnienie do projektu zmiany ustawy o podatku dochodowym od osób fizycznych, druk nr 1611 Sejmu VII kadencji z dnia 6 marca 2013 r.</w:t>
      </w:r>
    </w:p>
  </w:footnote>
  <w:footnote w:id="33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Wyrok WSA w Olsztynie z dnia 28 lutego 2013 r., I SA/Ol 21/13, CBOSA.</w:t>
      </w:r>
    </w:p>
  </w:footnote>
  <w:footnote w:id="33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B. Brzeziński, M. Kalinowski, M. Masternak, A. Olesińska, Ordynacja podatkowa. Komentarz, Toruń 2002, s. 355-362; R. Mastalski (w:) B. Adamiak, J. Borkowski, R. Mastalski, J. Zubrzycki, Ordynacja podatkowa. Komentarz 2009, Wrocław 2009, s. 470-471; S. Babiarz, Następstwo prawne spadkobierców i zapisobierców zwykłych w prawie podatkowym, Warszawa 2013, s. 130-136; A. Mariański, Prawa i obowiązki następców prawnych w prawie podatkowym, Warszawa 2001, s. 26-28.</w:t>
      </w:r>
    </w:p>
  </w:footnote>
  <w:footnote w:id="33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S. Babiarz, Następstwo prawne…, s. 30-32; S. Babiarz, Następstwo prawne nabywcy spadku w prawie podatkowym, „Prawo i Podatki” 2009, nr 3, s. 26.</w:t>
      </w:r>
    </w:p>
  </w:footnote>
  <w:footnote w:id="33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Dz. U. z 2012 r. poz. 361 z późn. zm. – w stanie prawnym obowiązującym do dnia 31 grudnia 2006 r. wyrok NSA z dnia 29 listopada 2013 r., II FSK 781/12, CBOSA; wyrok WSA w Rzeszowie z dnia 17 lipca 2014 r., I SA/Rz 416/14, CBOSA.</w:t>
      </w:r>
    </w:p>
  </w:footnote>
  <w:footnote w:id="33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OTK-A 2013, nr 6, poz. 80; Dz. U. z 2013 r. poz. 985.</w:t>
      </w:r>
    </w:p>
  </w:footnote>
  <w:footnote w:id="33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t xml:space="preserve"> Dz. U. z 2018 r. poz. 1036</w:t>
      </w:r>
      <w:r w:rsidRPr="004970F9">
        <w:t xml:space="preserve"> z późn. zm.</w:t>
      </w:r>
    </w:p>
  </w:footnote>
  <w:footnote w:id="34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wyroki NSA z dnia 6 października 2015 r., II FSK 2138/13, CBOSA; wyrok NSA z dnia 25 listopada 2016 r., II FSK 3059/14, CBOSA.</w:t>
      </w:r>
    </w:p>
  </w:footnote>
  <w:footnote w:id="341">
    <w:p w:rsidR="00BA4699" w:rsidRDefault="00BA4699" w:rsidP="00741954">
      <w:pPr>
        <w:pStyle w:val="Tekstprzypisudolnego"/>
      </w:pPr>
      <w:r>
        <w:rPr>
          <w:rStyle w:val="Odwoanieprzypisudolnego"/>
        </w:rPr>
        <w:footnoteRef/>
      </w:r>
      <w:r>
        <w:t xml:space="preserve"> Wyrok NSA z dnia 12 maja 2017 r. II FSK 1084/15 CBOSA. Zob. też wyroki TK z dnia: 23 listopada 1998 r. SK 7/98, OTK ZU 1998, nr 7, poz. 144; 28 kwietnia 1999 r. K 3/99, OTK 1999, nr 4, poz. 73; 22 czerwca 1999 r. K 5/99, OTK 2000, nr 7, poz. 256; postanowienie SN z dnia 13 lipca 1993 r. II CRN 90/93 Lex nr 166845; E. Niezbecka (w:) A. Kidyba (red), E. Niezbecka,  Kodeks cywilny. Komentarz. Tom IV Spadki.Lex/el, komentarz do art. 922  k.c. pkt 17 i 20; J. Kuropatwiński, Cesja wierzytelności przyszłych, PPH 1998, nr 9, s. 19 – 27.</w:t>
      </w:r>
    </w:p>
  </w:footnote>
  <w:footnote w:id="34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np. w wyroku z dnia 24 października 2000 r., SK 7/00, OTK 2000, nr 7, poz. 256; Dz. U. z 2000 r. Nr 92, poz. 1024 Trybunał Konstytucyjny uznał, że maksymalnie ukształtowaną ekspektatywę tworzy już wniosek spółdzielni o wydanie decyzji uwłaszczeniowej, albowiem ustawa – Prawo spółdzielcze w nieobowiązującym już art. 274 tak ukształtowała to prawo podmiotowe spółdzielni do uwłaszczenia, że dla jego nabycia wystarczające było już złożenie wniosku.</w:t>
      </w:r>
    </w:p>
  </w:footnote>
  <w:footnote w:id="343">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rozbieżne wyroki sądów administracyjnych na ten temat: wyrok WSA w Krakowie z dnia 21 marca 2016 r., I SA/Kr 164/16, CBOSA; wyrok WSA w Krakowie z dnia 17 listopada 2015 r., I SA/Kr 1227/15, CBOSA; wyrok WSA w Gdańsku z dnia 26 czerwca 2013 r., I SA/Gd 547/13, które wręcz traktują to prawo do zwolnienia jako mające charakter osobisty, a nie majątkowy i wyrok WSA w Lublinie z dnia 4 listopada 2015 r., I SA/Lu 651/15, CBOSA; wyrok NSA z dnia 24 października 2007 r., II FSK 1212/06 z glosą S. Babiarza, „Jurysdykcja Podatkowa” 2008, nr 4, s. 77, które przyznają spadkobiercom prawo do kontynuacji tego zwolnienia, albowiem spadkobiercy zgodnie z art. 97 § 1 o.p. jako następcy pod tytułem ogólnym wstępują w sytuację prawną spadkodawcy już maksymalnie ukształtowaną. </w:t>
      </w:r>
    </w:p>
  </w:footnote>
  <w:footnote w:id="34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S. Babiarz, Następstwo prawne…, s. 103-140; A. Mariański, Prawa i obowiązki…, s. 21; R. Dowgier (w:) J. Brolik, R. Dowgier, L. Etel, C. Kosikowski, P. Pietrasz, S. Presnarowicz, M. Popławski, W. Stachurski, Ordynacja podatkowa. Komentarz, Warszawa 2013, s. 655-657 i podane tam przykłady majątkowych praw i obowiązków, a także wyroków sądów administracyjnych; S. Babiarz (w:) Ordynacja podatkowa …, </w:t>
      </w:r>
      <w:r w:rsidRPr="004970F9">
        <w:rPr>
          <w:i/>
          <w:iCs/>
        </w:rPr>
        <w:t>op.cit.</w:t>
      </w:r>
      <w:r w:rsidRPr="004970F9">
        <w:t>, s. 602-608 i podane tam przykłady wyroków sądów administracyjnych; R. Mastalski (w:) B. Adamiak, J. Borkowski, R. Mastalski, J. Zubrzycki, Ordynacja podatkowa, Komentarz 2009, Wrocław 2009, s. 470-471 i podane tam przykłady wyroków sądów administracyjnych; B. Brzeziński, M. Kaczmarski, M. Masternak, A. Olesińska, Ordynacja podatkowa. Komentarz, Toruń 2000, s. 355-358 i podane tam przykłady wyroków sądów administracyjnych i majątkowych praw i obowiązków oraz praw niemajątkowych.</w:t>
      </w:r>
    </w:p>
  </w:footnote>
  <w:footnote w:id="34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S. Babiarz (w:) Ordynacja podatkowa…, </w:t>
      </w:r>
      <w:r w:rsidRPr="004970F9">
        <w:rPr>
          <w:i/>
          <w:iCs/>
        </w:rPr>
        <w:t>op.cit.</w:t>
      </w:r>
      <w:r w:rsidRPr="004970F9">
        <w:t xml:space="preserve">, s. 604-605; S. Babiarz, Następstwo prawne…, </w:t>
      </w:r>
      <w:r w:rsidRPr="004970F9">
        <w:rPr>
          <w:i/>
          <w:iCs/>
        </w:rPr>
        <w:t>op.cit.</w:t>
      </w:r>
      <w:r w:rsidRPr="004970F9">
        <w:t xml:space="preserve">, s. 127-130; R. Dowgier (w:) Ordynacja podatkowa…, </w:t>
      </w:r>
      <w:r w:rsidRPr="004970F9">
        <w:rPr>
          <w:i/>
          <w:iCs/>
        </w:rPr>
        <w:t>op.cit.</w:t>
      </w:r>
      <w:r w:rsidRPr="004970F9">
        <w:t xml:space="preserve">, s. 656; B. Brzeziński, M. Kalinowski, M. Masternak, A. Olesińska (w:) Ordynacja podatkowa…, </w:t>
      </w:r>
      <w:r w:rsidRPr="004970F9">
        <w:rPr>
          <w:i/>
          <w:iCs/>
        </w:rPr>
        <w:t>op.cit.</w:t>
      </w:r>
      <w:r w:rsidRPr="004970F9">
        <w:t>, s. 357; wyrok TK z dnia 29 maja 2007 r., P 20/06, OTK-A 2007, nr 6, poz. 52.</w:t>
      </w:r>
    </w:p>
  </w:footnote>
  <w:footnote w:id="34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S. Babiarz, Następstwo prawne…, s. 97-103.</w:t>
      </w:r>
    </w:p>
  </w:footnote>
  <w:footnote w:id="34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OTK 2001, nr 4, poz. 85. </w:t>
      </w:r>
    </w:p>
  </w:footnote>
  <w:footnote w:id="348">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OTK-A 2007, nr 6, poz. 52. </w:t>
      </w:r>
    </w:p>
  </w:footnote>
  <w:footnote w:id="349">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A. Mariański, Kontynuacja działalności gospodarczej przez spadkobierców podatnika, cz. I, „Monitor Podatkowy” 2003, nr 9, s. 20; B. Brzeziński, M. Kalinowski, M. Masternak, A. Olesińska, Ordynacja podatkowa – Komentarz, Toruń 2002, s. 244.</w:t>
      </w:r>
    </w:p>
  </w:footnote>
  <w:footnote w:id="35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 NSA z dnia 24 października 2010 r., II FSK 1193/10, CBOSA z glosą krytyczną A. Mariańskiego, „Przegląd Orzecznictwa Podatkowego” 2011, nr 3, s. 246-250.</w:t>
      </w:r>
    </w:p>
  </w:footnote>
  <w:footnote w:id="35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Tak A. Olesińska (w:) Pozycja prawna spadkobierców podatnika w świetle znowelizowanej ordynacji podatkowej, „Przegląd Podatkowy” 2016, nr 2, s. 17-24.</w:t>
      </w:r>
    </w:p>
  </w:footnote>
  <w:footnote w:id="352">
    <w:p w:rsidR="00BA4699" w:rsidRDefault="00BA4699" w:rsidP="00741954">
      <w:pPr>
        <w:pStyle w:val="Tekstprzypisudolnego"/>
      </w:pPr>
      <w:r>
        <w:rPr>
          <w:rStyle w:val="Odwoanieprzypisudolnego"/>
        </w:rPr>
        <w:footnoteRef/>
      </w:r>
      <w:r>
        <w:t xml:space="preserve"> Zo. wyroki NSA z dnia: 13 marca 2012 r. II FSK 1622/10 Lex nr 1218910 ; 19 czerwca 2015 r. 1216/13 II FSK 1216/13  OSP 2017, nr 1, poz. 6 z glosą aprobującą D.Mączyńskiego.</w:t>
      </w:r>
    </w:p>
  </w:footnote>
  <w:footnote w:id="353">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 NSA z dnia 23 lutego 2011, I FSK 306/10, CBOSA; wyrok NSA z dnia 22 czerwca 2006 r., I FSK 664/05, ONSAiWSA 2007, nr 1, poz. 25.</w:t>
      </w:r>
    </w:p>
  </w:footnote>
  <w:footnote w:id="354">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Orzeczenie TK z dnia 26 września 1989 r., K 3/89, OTK 1989, nr 1, poz. 5.</w:t>
      </w:r>
    </w:p>
  </w:footnote>
  <w:footnote w:id="355">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Co do sporów o charakter ulgi mieszkaniowej zob. np. wyroki NSA: z dnia 30 kwietnia 2014 r. II FSK 1227/12, CBOSA; z dnia 30 kwietnia 2015 r. II FSK 848/13, CBOSA. </w:t>
      </w:r>
    </w:p>
  </w:footnote>
  <w:footnote w:id="356">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S. Babiarz, Następstwo prawne…, s. 275-276.</w:t>
      </w:r>
    </w:p>
  </w:footnote>
  <w:footnote w:id="357">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wyrok NSA z dnia 29 listopada 2012 r., II FSK 737/11, „Glosa” 2014, nr 12, s. 16 z glosą S. Babiarza, </w:t>
      </w:r>
      <w:r w:rsidRPr="004970F9">
        <w:rPr>
          <w:i/>
          <w:iCs/>
        </w:rPr>
        <w:t>ibidem</w:t>
      </w:r>
      <w:r w:rsidRPr="004970F9">
        <w:t>, s. 106-109.</w:t>
      </w:r>
    </w:p>
  </w:footnote>
  <w:footnote w:id="358">
    <w:p w:rsidR="00BA4699" w:rsidRDefault="00BA4699">
      <w:pPr>
        <w:pStyle w:val="Tekstprzypisudolnego"/>
      </w:pPr>
      <w:r>
        <w:rPr>
          <w:rStyle w:val="Odwoanieprzypisudolnego"/>
        </w:rPr>
        <w:footnoteRef/>
      </w:r>
      <w:r>
        <w:t xml:space="preserve"> </w:t>
      </w:r>
      <w:r w:rsidRPr="00F30B50">
        <w:t>Zob. postanowienie SN z dnia 24  czerwca 1999r. II CKN 358/99, OSNC 1999, nr 12, poz.219: wyrok SN z dnia 7 października 2004 r. IV CK 86/04, Biuletyn SN 2005,nr 2, poz.15.</w:t>
      </w:r>
    </w:p>
  </w:footnote>
  <w:footnote w:id="359">
    <w:p w:rsidR="00BA4699" w:rsidRDefault="00BA4699" w:rsidP="00741954">
      <w:pPr>
        <w:pStyle w:val="Tekstprzypisudolnego"/>
      </w:pPr>
      <w:r>
        <w:rPr>
          <w:rStyle w:val="Odwoanieprzypisudolnego"/>
        </w:rPr>
        <w:footnoteRef/>
      </w:r>
      <w:r>
        <w:t xml:space="preserve"> R. Dowgier, Solidarna odpowiedzialność za zobowiązania z tytułu podatków lokalnych, PPLiFS 2012, nr 2, s. 23-28; G. Liszewski, Glosa do wyroku NSA z dnia 27 czerwca 2013 r., II FSK 2096/11, PPLiFS 2015, nr 9, s. 34-40.</w:t>
      </w:r>
    </w:p>
  </w:footnote>
  <w:footnote w:id="360">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ONSAiWSA 2016, nr 5, poz. 72.</w:t>
      </w:r>
    </w:p>
  </w:footnote>
  <w:footnote w:id="361">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Zob. glosa A. Mariańskiego i A. Krajewskiej do uchwały 7 sędziów NSA z dnia 23 maja 2016 r., II FPS 6/15, „Kwartalnik Prawa Podatkowego” 2016, nr 1.</w:t>
      </w:r>
    </w:p>
  </w:footnote>
  <w:footnote w:id="362">
    <w:p w:rsidR="00BA4699" w:rsidRDefault="00BA4699" w:rsidP="00741954">
      <w:pPr>
        <w:pStyle w:val="Tekstprzypisudolnego"/>
        <w:spacing w:before="120" w:after="120" w:line="240" w:lineRule="auto"/>
      </w:pPr>
      <w:r w:rsidRPr="004970F9">
        <w:rPr>
          <w:rStyle w:val="Odwoanieprzypisudolnego"/>
          <w:rFonts w:ascii="Calibri" w:hAnsi="Calibri" w:cs="Calibri"/>
        </w:rPr>
        <w:footnoteRef/>
      </w:r>
      <w:r w:rsidRPr="004970F9">
        <w:t xml:space="preserve"> ONSAiWSA 2016, nr 5, poz. 72. </w:t>
      </w:r>
    </w:p>
  </w:footnote>
  <w:footnote w:id="363">
    <w:p w:rsidR="00BA4699" w:rsidRDefault="00BA4699" w:rsidP="003B7CF1">
      <w:pPr>
        <w:pStyle w:val="Tekstprzypisudolnego"/>
        <w:spacing w:before="60" w:after="60" w:line="240" w:lineRule="auto"/>
      </w:pPr>
      <w:r w:rsidRPr="00BF4D71">
        <w:rPr>
          <w:rStyle w:val="Odwoanieprzypisudolnego"/>
        </w:rPr>
        <w:footnoteRef/>
      </w:r>
      <w:r w:rsidRPr="00BF4D71">
        <w:t xml:space="preserve"> Dla przykładu - bardzo rozbudowane w porównaniu do polskich regulacje w zakresie odpowiedzialności solidarnej zawierają art. 41 i 42 oraz 175 hiszpańskiej ordynacji podatkowej.</w:t>
      </w:r>
    </w:p>
  </w:footnote>
  <w:footnote w:id="364">
    <w:p w:rsidR="00BA4699" w:rsidRDefault="00BA4699" w:rsidP="003B7CF1">
      <w:pPr>
        <w:pStyle w:val="Tekstprzypisudolnego"/>
        <w:spacing w:before="60" w:after="60" w:line="240" w:lineRule="auto"/>
      </w:pPr>
      <w:r w:rsidRPr="00BF4D71">
        <w:rPr>
          <w:rStyle w:val="Odwoanieprzypisudolnego"/>
        </w:rPr>
        <w:footnoteRef/>
      </w:r>
      <w:r w:rsidRPr="00BF4D71">
        <w:t xml:space="preserve"> Pismo z dnia 23 maja 2016 r., V.511.1.2016.EG.</w:t>
      </w:r>
    </w:p>
  </w:footnote>
  <w:footnote w:id="365">
    <w:p w:rsidR="00BA4699" w:rsidRDefault="00BA4699" w:rsidP="003B7CF1">
      <w:pPr>
        <w:pStyle w:val="Tekstprzypisudolnego"/>
        <w:spacing w:before="60" w:after="60" w:line="240" w:lineRule="auto"/>
      </w:pPr>
      <w:r w:rsidRPr="00BF4D71">
        <w:rPr>
          <w:rStyle w:val="Odwoanieprzypisudolnego"/>
        </w:rPr>
        <w:footnoteRef/>
      </w:r>
      <w:r w:rsidRPr="00BF4D71">
        <w:t xml:space="preserve"> Wyrok WSA w Lublinie z dnia 13 stycznia 2012 r., I SA/Lu 535/11, CBOSA.</w:t>
      </w:r>
    </w:p>
  </w:footnote>
  <w:footnote w:id="366">
    <w:p w:rsidR="00BA4699" w:rsidRDefault="00BA4699" w:rsidP="003B7CF1">
      <w:pPr>
        <w:pStyle w:val="Tekstprzypisudolnego"/>
        <w:spacing w:before="60" w:after="60" w:line="240" w:lineRule="auto"/>
      </w:pPr>
      <w:r w:rsidRPr="00BF4D71">
        <w:rPr>
          <w:rStyle w:val="Odwoanieprzypisudolnego"/>
        </w:rPr>
        <w:footnoteRef/>
      </w:r>
      <w:r w:rsidRPr="00BF4D71">
        <w:t xml:space="preserve"> Wyroki NSA z dnia: 27 czerwca 2013 r., II FSK 2096/11; 5 marca 2014 r., II FSK 748/12; 15 stycznia 2015 r. II FSK 3012/12, CBOSA.</w:t>
      </w:r>
    </w:p>
  </w:footnote>
  <w:footnote w:id="367">
    <w:p w:rsidR="00BA4699" w:rsidRDefault="00BA4699" w:rsidP="003B7CF1">
      <w:pPr>
        <w:pStyle w:val="Tekstprzypisudolnego"/>
        <w:spacing w:before="60" w:after="60" w:line="240" w:lineRule="auto"/>
      </w:pPr>
      <w:r w:rsidRPr="00BF4D71">
        <w:rPr>
          <w:rStyle w:val="Odwoanieprzypisudolnego"/>
        </w:rPr>
        <w:footnoteRef/>
      </w:r>
      <w:r w:rsidRPr="00BF4D71">
        <w:t xml:space="preserve"> Zob. ustawa z dnia 25 maja 2017 r. o zmianie ustawy o podatku rolnym, ustawy o podatkach i opłatach lokalnych oraz ustawy o podatku leśnym, Dz.U. poz. 1282. </w:t>
      </w:r>
    </w:p>
  </w:footnote>
  <w:footnote w:id="368">
    <w:p w:rsidR="00BA4699" w:rsidRDefault="00BA4699" w:rsidP="003B7CF1">
      <w:pPr>
        <w:pStyle w:val="Tekstprzypisudolnego"/>
        <w:spacing w:before="60" w:after="60" w:line="240" w:lineRule="auto"/>
      </w:pPr>
      <w:r w:rsidRPr="00BF4D71">
        <w:rPr>
          <w:rStyle w:val="Odwoanieprzypisudolnego"/>
        </w:rPr>
        <w:footnoteRef/>
      </w:r>
      <w:r w:rsidRPr="00BF4D71">
        <w:t xml:space="preserve"> Są one w części zbieżne z rozwiązaniami przyjętymi w art. 23 Modelowego kodeksu podatkowego CIAT (Centro Interamericano de Administraciones Tributarias - kodeksu w wersji z 1997 r. (</w:t>
      </w:r>
      <w:hyperlink r:id="rId20" w:history="1">
        <w:r w:rsidRPr="00BF4D71">
          <w:rPr>
            <w:rStyle w:val="Hipercze"/>
          </w:rPr>
          <w:t>http://www.ciat.org/index.php/en/products-and-services/ciatdata/tax-rates/145.html?task=view</w:t>
        </w:r>
      </w:hyperlink>
      <w:r w:rsidRPr="00BF4D71">
        <w:t xml:space="preserve">), w którym wskazuje się, że konsekwencjami odpowiedzialności solidarnej jest m.in. to, że </w:t>
      </w:r>
      <w:r w:rsidRPr="00BF4D71">
        <w:rPr>
          <w:rStyle w:val="hps"/>
        </w:rPr>
        <w:t>zwolnienie lub</w:t>
      </w:r>
      <w:r w:rsidRPr="00BF4D71">
        <w:t xml:space="preserve"> </w:t>
      </w:r>
      <w:r w:rsidRPr="00BF4D71">
        <w:rPr>
          <w:rStyle w:val="hps"/>
        </w:rPr>
        <w:t>umorzenie</w:t>
      </w:r>
      <w:r w:rsidRPr="00BF4D71">
        <w:t xml:space="preserve"> z </w:t>
      </w:r>
      <w:r w:rsidRPr="00BF4D71">
        <w:rPr>
          <w:rStyle w:val="hps"/>
        </w:rPr>
        <w:t>obowiązku</w:t>
      </w:r>
      <w:r w:rsidRPr="00BF4D71">
        <w:t xml:space="preserve"> </w:t>
      </w:r>
      <w:r w:rsidRPr="00BF4D71">
        <w:rPr>
          <w:rStyle w:val="hps"/>
        </w:rPr>
        <w:t>zwalnia</w:t>
      </w:r>
      <w:r w:rsidRPr="00BF4D71">
        <w:t xml:space="preserve"> </w:t>
      </w:r>
      <w:r w:rsidRPr="00BF4D71">
        <w:rPr>
          <w:rStyle w:val="hps"/>
        </w:rPr>
        <w:t>wszystkich dłużników</w:t>
      </w:r>
      <w:r w:rsidRPr="00BF4D71">
        <w:t xml:space="preserve">, z wyjątkiem </w:t>
      </w:r>
      <w:r w:rsidRPr="00BF4D71">
        <w:rPr>
          <w:rStyle w:val="hps"/>
        </w:rPr>
        <w:t>przypadku, gdy korzyść</w:t>
      </w:r>
      <w:r w:rsidRPr="00BF4D71">
        <w:t xml:space="preserve"> </w:t>
      </w:r>
      <w:r w:rsidRPr="00BF4D71">
        <w:rPr>
          <w:rStyle w:val="hps"/>
        </w:rPr>
        <w:t>została ograniczona do konkretnej osoby</w:t>
      </w:r>
      <w:r w:rsidRPr="00BF4D71">
        <w:t>. W tej sytuacji organ podatkowy może żądać spełnienia świadczenia od pozostałych, z proporcjonalnym obniżeniem odnoszącym się do osoby, która skorzystała z ww. preferencji.</w:t>
      </w:r>
    </w:p>
  </w:footnote>
  <w:footnote w:id="369">
    <w:p w:rsidR="00BA4699" w:rsidRDefault="00BA4699" w:rsidP="003B7CF1">
      <w:pPr>
        <w:pStyle w:val="Tekstprzypisudolnego"/>
        <w:spacing w:before="60" w:after="60" w:line="240" w:lineRule="auto"/>
      </w:pPr>
      <w:r w:rsidRPr="00BF4D71">
        <w:rPr>
          <w:rStyle w:val="Odwoanieprzypisudolnego"/>
        </w:rPr>
        <w:footnoteRef/>
      </w:r>
      <w:r w:rsidRPr="00BF4D71">
        <w:t xml:space="preserve"> Wyroki NSA z dnia: 27 czerwca 2013 r., II FSK 2096/11; 5 marca 2014 r., II FSK 748/12; 15 stycznia 2015 r., II FSK 3012/12, CBOSA.</w:t>
      </w:r>
    </w:p>
  </w:footnote>
  <w:footnote w:id="370">
    <w:p w:rsidR="00BA4699" w:rsidRDefault="00BA4699" w:rsidP="003B7CF1">
      <w:pPr>
        <w:pStyle w:val="Tekstprzypisudolnego"/>
        <w:spacing w:before="60" w:after="60" w:line="240" w:lineRule="auto"/>
      </w:pPr>
      <w:r w:rsidRPr="00BF4D71">
        <w:rPr>
          <w:rStyle w:val="Odwoanieprzypisudolnego"/>
        </w:rPr>
        <w:footnoteRef/>
      </w:r>
      <w:r w:rsidRPr="00BF4D71">
        <w:t xml:space="preserve"> Pogląd taki prezentowany jest aktualnie przez niektórych przedstawicieli nauki - zob. H. Dzwonkowski, Z. Zgierski, Procedury podatkowe, Warszawa 2006, s. 692.</w:t>
      </w:r>
    </w:p>
  </w:footnote>
  <w:footnote w:id="371">
    <w:p w:rsidR="00BA4699" w:rsidRDefault="00BA4699" w:rsidP="003B7CF1">
      <w:pPr>
        <w:pStyle w:val="Tekstprzypisudolnego"/>
        <w:spacing w:before="60" w:after="60" w:line="240" w:lineRule="auto"/>
      </w:pPr>
      <w:r w:rsidRPr="00BF4D71">
        <w:rPr>
          <w:rStyle w:val="Odwoanieprzypisudolnego"/>
        </w:rPr>
        <w:footnoteRef/>
      </w:r>
      <w:r w:rsidRPr="00BF4D71">
        <w:t xml:space="preserve"> Bieg terminu przedawnienia wymiaru, zgodnie z projektowanymi przepisami, nie może być przerwany, a przesłanki jego zawieszenia nie są zindywidualizowane, co uzasadnia pominięcie tych kwestii w art. 274 § 6.</w:t>
      </w:r>
    </w:p>
  </w:footnote>
  <w:footnote w:id="372">
    <w:p w:rsidR="00BA4699" w:rsidRPr="00C93F78" w:rsidRDefault="00BA4699" w:rsidP="00D62378">
      <w:pPr>
        <w:pStyle w:val="Tekstprzypisudolnego"/>
        <w:ind w:left="142" w:hanging="142"/>
      </w:pPr>
      <w:r w:rsidRPr="00C93F78">
        <w:rPr>
          <w:rStyle w:val="Odwoanieprzypisudolnego"/>
        </w:rPr>
        <w:footnoteRef/>
      </w:r>
      <w:r w:rsidRPr="00C93F78">
        <w:t xml:space="preserve"> http://www.oecd.org/tax/mandatory-disclosure-rules-action-12-2015-final-report-9789264241442-en.htm</w:t>
      </w:r>
    </w:p>
  </w:footnote>
  <w:footnote w:id="373">
    <w:p w:rsidR="00BA4699" w:rsidRPr="00C93F78" w:rsidRDefault="00BA4699" w:rsidP="00D62378">
      <w:pPr>
        <w:pStyle w:val="Tekstprzypisudolnego"/>
        <w:ind w:left="142" w:hanging="142"/>
      </w:pPr>
      <w:r w:rsidRPr="00C93F78">
        <w:rPr>
          <w:rStyle w:val="Odwoanieprzypisudolnego"/>
        </w:rPr>
        <w:footnoteRef/>
      </w:r>
      <w:r w:rsidRPr="00C93F78">
        <w:t xml:space="preserve"> Wyrok TSUE z 4 lipca 2006 r. w sprawie C-212/04 </w:t>
      </w:r>
      <w:r w:rsidRPr="00C93F78">
        <w:rPr>
          <w:i/>
          <w:iCs/>
        </w:rPr>
        <w:t>Adeneler</w:t>
      </w:r>
      <w:r w:rsidRPr="00C93F78">
        <w:t>., wyrok z dnia 8 maja 2003 r. w sprawie C-14/02 ATRAL, Rec. str. I-4431, pkt 58, i ww. wyrok w sprawie Mangold, pkt 67</w:t>
      </w:r>
    </w:p>
  </w:footnote>
  <w:footnote w:id="374">
    <w:p w:rsidR="00BA4699" w:rsidRPr="00C93F78" w:rsidRDefault="00BA4699" w:rsidP="00D62378">
      <w:pPr>
        <w:pStyle w:val="Tekstprzypisudolnego"/>
        <w:ind w:left="142" w:hanging="142"/>
      </w:pPr>
      <w:r w:rsidRPr="00C93F78">
        <w:rPr>
          <w:rStyle w:val="Odwoanieprzypisudolnego"/>
        </w:rPr>
        <w:footnoteRef/>
      </w:r>
      <w:r w:rsidRPr="00C93F78">
        <w:t xml:space="preserve"> Ustawa z dnia 9 marca 2017 r. o wymianie informacji podatkowych z innymi państwami (Dz.U. z 2017 r. poz. 648 ze zm., dalej: ustawa o wymianie informacji).</w:t>
      </w:r>
    </w:p>
  </w:footnote>
  <w:footnote w:id="375">
    <w:p w:rsidR="00BA4699" w:rsidRPr="00C93F78" w:rsidRDefault="00BA4699" w:rsidP="00D62378">
      <w:pPr>
        <w:pStyle w:val="Tekstprzypisudolnego"/>
        <w:ind w:left="142" w:hanging="142"/>
      </w:pPr>
      <w:r w:rsidRPr="00C93F78">
        <w:rPr>
          <w:rStyle w:val="Odwoanieprzypisudolnego"/>
        </w:rPr>
        <w:footnoteRef/>
      </w:r>
      <w:r w:rsidRPr="00C93F78">
        <w:t xml:space="preserve"> Ustawa z dnia 5 lipca 1996 r. o doradztwie podatkowym (Dz. U. z 2016 r. poz. 794 ze zm.).</w:t>
      </w:r>
    </w:p>
  </w:footnote>
  <w:footnote w:id="376">
    <w:p w:rsidR="00BA4699" w:rsidRPr="00C93F78" w:rsidRDefault="00BA4699" w:rsidP="00D62378">
      <w:pPr>
        <w:pStyle w:val="Tekstprzypisudolnego"/>
        <w:ind w:left="142" w:hanging="142"/>
      </w:pPr>
      <w:r w:rsidRPr="00C93F78">
        <w:rPr>
          <w:rStyle w:val="Odwoanieprzypisudolnego"/>
        </w:rPr>
        <w:footnoteRef/>
      </w:r>
      <w:r w:rsidRPr="00C93F78">
        <w:t xml:space="preserve"> Ustawa z dnia 26 maja 1982 r. – Prawo o adwokaturze (Dz. U. z 2016 r. poz. 1999 ze zm.).</w:t>
      </w:r>
    </w:p>
  </w:footnote>
  <w:footnote w:id="377">
    <w:p w:rsidR="00BA4699" w:rsidRPr="00C93F78" w:rsidRDefault="00BA4699" w:rsidP="00D62378">
      <w:pPr>
        <w:pStyle w:val="Tekstprzypisudolnego"/>
        <w:ind w:left="142" w:hanging="142"/>
      </w:pPr>
      <w:r w:rsidRPr="00C93F78">
        <w:rPr>
          <w:rStyle w:val="Odwoanieprzypisudolnego"/>
        </w:rPr>
        <w:footnoteRef/>
      </w:r>
      <w:r w:rsidRPr="00C93F78">
        <w:t xml:space="preserve"> Ustawa z dnia 6 lipca 1982 r. o radcach prawnych (Dz. U. z 2016 r. poz. 233 ze zm.).</w:t>
      </w:r>
    </w:p>
  </w:footnote>
  <w:footnote w:id="378">
    <w:p w:rsidR="00BA4699" w:rsidRPr="00C93F78" w:rsidRDefault="00BA4699" w:rsidP="00D62378">
      <w:pPr>
        <w:pStyle w:val="Tekstprzypisudolnego"/>
        <w:ind w:left="142" w:hanging="142"/>
      </w:pPr>
      <w:r w:rsidRPr="00C93F78">
        <w:rPr>
          <w:rStyle w:val="Odwoanieprzypisudolnego"/>
        </w:rPr>
        <w:footnoteRef/>
      </w:r>
      <w:r w:rsidRPr="00C93F78">
        <w:t xml:space="preserve"> Ustawa z dnia 14 lutego 1991 r. - Prawo o notariacie (Dz. U. z 2016 r. poz. 1796 ze zm.).</w:t>
      </w:r>
    </w:p>
  </w:footnote>
  <w:footnote w:id="379">
    <w:p w:rsidR="00BA4699" w:rsidRPr="00C93F78" w:rsidRDefault="00BA4699" w:rsidP="00D62378">
      <w:pPr>
        <w:pStyle w:val="Tekstprzypisudolnego"/>
        <w:ind w:left="142" w:hanging="142"/>
      </w:pPr>
      <w:r w:rsidRPr="00C93F78">
        <w:rPr>
          <w:rStyle w:val="Odwoanieprzypisudolnego"/>
        </w:rPr>
        <w:footnoteRef/>
      </w:r>
      <w:r w:rsidRPr="00C93F78">
        <w:t xml:space="preserve"> Ustawa z dnia 11 maja 2017 roku o biegłych rewidentach, firmach audytorskich oraz nadzorze publicznym (Dz. U., poz. 1089 z późn. zm.).</w:t>
      </w:r>
    </w:p>
  </w:footnote>
  <w:footnote w:id="380">
    <w:p w:rsidR="00BA4699" w:rsidRPr="00C93F78" w:rsidRDefault="00BA4699" w:rsidP="00D62378">
      <w:pPr>
        <w:pStyle w:val="Tekstprzypisudolnego"/>
        <w:ind w:left="284" w:hanging="284"/>
      </w:pPr>
      <w:r w:rsidRPr="00C93F78">
        <w:rPr>
          <w:rStyle w:val="Odwoanieprzypisudolnego"/>
        </w:rPr>
        <w:footnoteRef/>
      </w:r>
      <w:r w:rsidRPr="00C93F78">
        <w:t>https://eur-lex.europa.eu/resource.html?uri=cellar:638f0a5d-568f-11e7-a5ca-01aa75ed71a1.0015.02/DOC_1&amp;format=PDF</w:t>
      </w:r>
    </w:p>
  </w:footnote>
  <w:footnote w:id="381">
    <w:p w:rsidR="00BA4699" w:rsidRPr="00C93F78" w:rsidRDefault="00BA4699" w:rsidP="00D62378">
      <w:pPr>
        <w:pStyle w:val="Tekstprzypisudolnego"/>
        <w:ind w:left="142" w:hanging="142"/>
        <w:rPr>
          <w:lang w:val="en-US"/>
        </w:rPr>
      </w:pPr>
      <w:r w:rsidRPr="00C93F78">
        <w:rPr>
          <w:rStyle w:val="Odwoanieprzypisudolnego"/>
        </w:rPr>
        <w:footnoteRef/>
      </w:r>
      <w:r w:rsidRPr="00C93F78">
        <w:rPr>
          <w:lang w:val="en-US"/>
        </w:rPr>
        <w:t xml:space="preserve"> Podkreślenie i pogrubienie własne.</w:t>
      </w:r>
    </w:p>
  </w:footnote>
  <w:footnote w:id="382">
    <w:p w:rsidR="00BA4699" w:rsidRPr="001F5C69" w:rsidRDefault="00BA4699" w:rsidP="00D62378">
      <w:pPr>
        <w:pStyle w:val="Tekstprzypisudolnego"/>
        <w:ind w:left="142" w:hanging="142"/>
        <w:rPr>
          <w:lang w:val="en-US"/>
        </w:rPr>
      </w:pPr>
      <w:r w:rsidRPr="00C93F78">
        <w:rPr>
          <w:rStyle w:val="Odwoanieprzypisudolnego"/>
        </w:rPr>
        <w:footnoteRef/>
      </w:r>
      <w:r w:rsidRPr="00C93F78">
        <w:rPr>
          <w:lang w:val="en-US"/>
        </w:rPr>
        <w:t xml:space="preserve"> OECD (2018), Model Mandatory Disclosure Rules for CRS Avoidance Arrangements and Opaque Offshore Structures, OECD, Paris. </w:t>
      </w:r>
      <w:r w:rsidRPr="001F5C69">
        <w:rPr>
          <w:lang w:val="en-US"/>
        </w:rPr>
        <w:t>http://www.oecd.org/tax/exchange-of-tax-information/model-mandatory-disclosure-rules-for-crs-avoidance-arrangements-and-opaque-offshore-structures.pdf, s. 36-37, akapit 59-60.</w:t>
      </w:r>
    </w:p>
  </w:footnote>
  <w:footnote w:id="383">
    <w:p w:rsidR="00BA4699" w:rsidRPr="001F5C69" w:rsidRDefault="00BA4699" w:rsidP="00D62378">
      <w:pPr>
        <w:pStyle w:val="Tekstprzypisudolnego"/>
        <w:ind w:left="142" w:hanging="142"/>
        <w:rPr>
          <w:lang w:val="en-US"/>
        </w:rPr>
      </w:pPr>
      <w:r w:rsidRPr="00C93F78">
        <w:rPr>
          <w:rStyle w:val="Odwoanieprzypisudolnego"/>
        </w:rPr>
        <w:footnoteRef/>
      </w:r>
      <w:r w:rsidRPr="00C93F78">
        <w:rPr>
          <w:lang w:val="en-GB"/>
        </w:rPr>
        <w:t xml:space="preserve"> </w:t>
      </w:r>
      <w:r w:rsidRPr="00C93F78">
        <w:rPr>
          <w:lang w:val="en-US"/>
        </w:rPr>
        <w:t xml:space="preserve">OECD (2018), Model Mandatory Disclosure Rules for CRS Avoidance Arrangements and Opaque Offshore Structures, OECD, Paris. </w:t>
      </w:r>
      <w:r w:rsidRPr="001F5C69">
        <w:rPr>
          <w:lang w:val="en-US"/>
        </w:rPr>
        <w:t>http://www.oecd.org/tax/exchange-of-tax-information/model-mandatory-disclosure-rules-for-crs-avoidance-arrangements-and-opaque-offshore-structures.pdf.</w:t>
      </w:r>
    </w:p>
  </w:footnote>
  <w:footnote w:id="384">
    <w:p w:rsidR="00BA4699" w:rsidRPr="00C93F78" w:rsidRDefault="00BA4699" w:rsidP="00D62378">
      <w:pPr>
        <w:pStyle w:val="Tekstprzypisudolnego"/>
        <w:ind w:left="142" w:hanging="142"/>
      </w:pPr>
      <w:r w:rsidRPr="00C93F78">
        <w:rPr>
          <w:rStyle w:val="Odwoanieprzypisudolnego"/>
        </w:rPr>
        <w:footnoteRef/>
      </w:r>
      <w:r w:rsidRPr="00C93F78">
        <w:t xml:space="preserve"> W świetle wątpliwości odnośnie tego, czy dotychczas istnieje możliwości zwolnienia przedstawicieli niektórych zawodów z tajemnicy zawodowej przez ich klientów, analizowane przepisy należy rozumieć jako normy o charakterze </w:t>
      </w:r>
      <w:r w:rsidRPr="00C93F78">
        <w:rPr>
          <w:i/>
        </w:rPr>
        <w:t>lex specialis</w:t>
      </w:r>
      <w:r w:rsidRPr="00C93F78">
        <w:t>, które jednoznacznie przesądzają o takiej możliwości (przynajmniej w określonych projektowanymi przepisami przypadkach).</w:t>
      </w:r>
    </w:p>
  </w:footnote>
  <w:footnote w:id="385">
    <w:p w:rsidR="00BA4699" w:rsidRPr="00C93F78" w:rsidRDefault="00BA4699" w:rsidP="00D62378">
      <w:pPr>
        <w:pStyle w:val="Tekstprzypisudolnego"/>
        <w:ind w:left="142" w:hanging="142"/>
      </w:pPr>
      <w:r w:rsidRPr="00C93F78">
        <w:rPr>
          <w:rStyle w:val="Odwoanieprzypisudolnego"/>
        </w:rPr>
        <w:footnoteRef/>
      </w:r>
      <w:r>
        <w:t xml:space="preserve"> U</w:t>
      </w:r>
      <w:r w:rsidRPr="00C93F78">
        <w:t xml:space="preserve">stawa z dnia 10 września 1999 r. </w:t>
      </w:r>
      <w:r>
        <w:t xml:space="preserve">– </w:t>
      </w:r>
      <w:r w:rsidRPr="00C93F78">
        <w:t xml:space="preserve">Kodeks </w:t>
      </w:r>
      <w:r>
        <w:t>k</w:t>
      </w:r>
      <w:r w:rsidRPr="00C93F78">
        <w:t xml:space="preserve">arny </w:t>
      </w:r>
      <w:r>
        <w:t>s</w:t>
      </w:r>
      <w:r w:rsidRPr="00C93F78">
        <w:t>karbowy (Dz. U. z 2016 r. poz. 2137 i 2138).</w:t>
      </w:r>
    </w:p>
  </w:footnote>
  <w:footnote w:id="386">
    <w:p w:rsidR="00BA4699" w:rsidRPr="00C93F78" w:rsidRDefault="00BA4699" w:rsidP="00D62378">
      <w:pPr>
        <w:pStyle w:val="Tekstprzypisudolnego"/>
        <w:ind w:left="142" w:hanging="142"/>
      </w:pPr>
      <w:r w:rsidRPr="00C93F78">
        <w:rPr>
          <w:rStyle w:val="Odwoanieprzypisudolnego"/>
        </w:rPr>
        <w:footnoteRef/>
      </w:r>
      <w:r w:rsidRPr="00C93F78">
        <w:t xml:space="preserve"> Ustawa z dnia 1 marca 2018 r. o przeciwdziałaniu praniu pieniędzy oraz finansowaniu terroryzmu (Dz.U. z 2018 r., poz. 723). </w:t>
      </w:r>
    </w:p>
  </w:footnote>
  <w:footnote w:id="387">
    <w:p w:rsidR="00BA4699" w:rsidRPr="00C93F78" w:rsidRDefault="00BA4699" w:rsidP="00D62378">
      <w:pPr>
        <w:pStyle w:val="Tekstprzypisudolnego"/>
        <w:ind w:left="142" w:hanging="142"/>
      </w:pPr>
      <w:r w:rsidRPr="00C93F78">
        <w:rPr>
          <w:rStyle w:val="Odwoanieprzypisudolnego"/>
        </w:rPr>
        <w:footnoteRef/>
      </w:r>
      <w:r w:rsidRPr="00C93F78">
        <w:t xml:space="preserve"> Ustawa z dnia 14 czerwca 1960 r. – Kodeks postępowania administracyjnego (Dz. U. z 2016 r. poz. 23, 868, 996, 1579 i 2138).</w:t>
      </w:r>
    </w:p>
  </w:footnote>
  <w:footnote w:id="388">
    <w:p w:rsidR="00BA4699" w:rsidRDefault="00BA4699" w:rsidP="0085545A">
      <w:pPr>
        <w:autoSpaceDE w:val="0"/>
        <w:autoSpaceDN w:val="0"/>
        <w:adjustRightInd w:val="0"/>
        <w:spacing w:before="60" w:after="60" w:line="240" w:lineRule="auto"/>
        <w:jc w:val="both"/>
      </w:pPr>
      <w:r>
        <w:rPr>
          <w:rStyle w:val="Odwoanieprzypisudolnego"/>
          <w:sz w:val="20"/>
          <w:szCs w:val="20"/>
        </w:rPr>
        <w:footnoteRef/>
      </w:r>
      <w:r>
        <w:rPr>
          <w:rFonts w:ascii="Times New Roman" w:hAnsi="Times New Roman"/>
          <w:sz w:val="20"/>
          <w:szCs w:val="20"/>
        </w:rPr>
        <w:t xml:space="preserve"> Zob. np. D. Strzelec, Naruszenia przepisów postępowania przez organy podatkowe, Warszawa 2009.</w:t>
      </w:r>
    </w:p>
  </w:footnote>
  <w:footnote w:id="389">
    <w:p w:rsidR="00BA4699" w:rsidRDefault="00BA4699" w:rsidP="0085545A">
      <w:pPr>
        <w:pStyle w:val="Tekstprzypisudolnego"/>
        <w:spacing w:before="60" w:after="60" w:line="240" w:lineRule="auto"/>
      </w:pPr>
      <w:r>
        <w:rPr>
          <w:rStyle w:val="Odwoanieprzypisudolnego"/>
        </w:rPr>
        <w:footnoteRef/>
      </w:r>
      <w:r>
        <w:t xml:space="preserve"> Wyniki kontroli NIK str. 15 </w:t>
      </w:r>
      <w:hyperlink r:id="rId21" w:history="1">
        <w:r>
          <w:rPr>
            <w:rStyle w:val="Hipercze"/>
          </w:rPr>
          <w:t>https://www.nik.gov.pl/plik/id.6783.vp.8611.pdf</w:t>
        </w:r>
      </w:hyperlink>
      <w:r>
        <w:t xml:space="preserve"> [dostęp 24.11.2016].</w:t>
      </w:r>
    </w:p>
  </w:footnote>
  <w:footnote w:id="390">
    <w:p w:rsidR="00BA4699" w:rsidRDefault="00BA4699" w:rsidP="0085545A">
      <w:pPr>
        <w:pStyle w:val="Tekstprzypisudolnego"/>
        <w:spacing w:before="60" w:after="60" w:line="240" w:lineRule="auto"/>
      </w:pPr>
      <w:r>
        <w:rPr>
          <w:rStyle w:val="Odwoanieprzypisudolnego"/>
        </w:rPr>
        <w:t>369</w:t>
      </w:r>
      <w:r>
        <w:t xml:space="preserve"> </w:t>
      </w:r>
      <w:r>
        <w:rPr>
          <w:kern w:val="2"/>
        </w:rPr>
        <w:t xml:space="preserve">Tematykę bezczynności poddano wielopłaszczyznowej analizie, także z wykorzystaniem powołanych badań ankietowych, w trzyczęściowej pracy: Koncepcja zapobiegania bezczynności w postępowaniu administracyjnym, Przeciwdziałanie bezczynności administracji, Prawne konsekwencje bezczynności administracji, red. </w:t>
      </w:r>
      <w:r>
        <w:rPr>
          <w:kern w:val="2"/>
          <w:shd w:val="clear" w:color="auto" w:fill="FFFFFF"/>
        </w:rPr>
        <w:t xml:space="preserve">R. Suwaj i M. Perkowski, </w:t>
      </w:r>
      <w:r>
        <w:rPr>
          <w:kern w:val="2"/>
        </w:rPr>
        <w:t>Białystok 2010.</w:t>
      </w:r>
    </w:p>
  </w:footnote>
  <w:footnote w:id="391">
    <w:p w:rsidR="00BA4699" w:rsidRDefault="00BA4699" w:rsidP="0085545A">
      <w:pPr>
        <w:pStyle w:val="Tekstprzypisudolnego"/>
        <w:spacing w:before="60" w:after="60" w:line="240" w:lineRule="auto"/>
      </w:pPr>
      <w:r>
        <w:rPr>
          <w:rStyle w:val="Odwoanieprzypisudolnego"/>
        </w:rPr>
        <w:footnoteRef/>
      </w:r>
      <w:r>
        <w:t xml:space="preserve"> Ordynacja podatkowa - Ocena Skutków Regulacji ex post, załącznik nr 1 – szybkość postępowania. </w:t>
      </w:r>
      <w:hyperlink r:id="rId22" w:history="1">
        <w:r>
          <w:rPr>
            <w:rStyle w:val="Hipercze"/>
          </w:rPr>
          <w:t>http://legislacja.rcl.gov.pl/docs//6/12278502/12319080/dokument192445.pdf</w:t>
        </w:r>
      </w:hyperlink>
      <w:r>
        <w:t xml:space="preserve"> [dostęp 27.03.2017].</w:t>
      </w:r>
    </w:p>
  </w:footnote>
  <w:footnote w:id="392">
    <w:p w:rsidR="00BA4699" w:rsidRDefault="00BA4699" w:rsidP="0085545A">
      <w:pPr>
        <w:pStyle w:val="Tekstprzypisudolnego"/>
        <w:spacing w:before="60" w:after="60" w:line="240" w:lineRule="auto"/>
      </w:pPr>
      <w:r>
        <w:rPr>
          <w:rStyle w:val="Odwoanieprzypisudolnego"/>
        </w:rPr>
        <w:footnoteRef/>
      </w:r>
      <w:r>
        <w:t xml:space="preserve"> Ustawa z dnia 7 kwietnia 2017 r. o zmianie ustawy – Kodeks postępowania administracyjnego oraz niektórych innych ustaw (Dz. U. poz. 935).</w:t>
      </w:r>
    </w:p>
  </w:footnote>
  <w:footnote w:id="393">
    <w:p w:rsidR="00BA4699" w:rsidRDefault="00BA4699" w:rsidP="0085545A">
      <w:pPr>
        <w:pStyle w:val="Standard"/>
        <w:spacing w:before="60" w:after="60"/>
        <w:jc w:val="both"/>
      </w:pPr>
      <w:r>
        <w:rPr>
          <w:rStyle w:val="Odwoanieprzypisudolnego"/>
          <w:kern w:val="2"/>
          <w:sz w:val="20"/>
          <w:szCs w:val="20"/>
        </w:rPr>
        <w:footnoteRef/>
      </w:r>
      <w:r>
        <w:rPr>
          <w:rFonts w:ascii="Times New Roman" w:hAnsi="Times New Roman" w:cs="Times New Roman"/>
          <w:kern w:val="2"/>
          <w:sz w:val="20"/>
          <w:szCs w:val="20"/>
        </w:rPr>
        <w:t xml:space="preserve"> Problem obszernie analizuje Z. Kmieciak, Przewlekłość postępowania administracyjnego w świetle ustaleń europejskiego case law (w:) Analiza i ocena zmian kodeksu postępowania administracyjnego w latach 2010-2011, red. M. Błachucki, T. Górzyńska, G. Sibiga, Warszawa 2012 oraz A. Korzeniowska-Polak, Zażalenie na przewlekłość postępowania administracyjnego (w:) Analiza i ocena zmian kodeksu postępowania administracyjnego w latach 2010-2011, red. M. Błachucki, T. Górzyńska, G. Sibiga, Warszawa 2012.</w:t>
      </w:r>
    </w:p>
  </w:footnote>
  <w:footnote w:id="394">
    <w:p w:rsidR="00BA4699" w:rsidRDefault="00BA4699" w:rsidP="0085545A">
      <w:pPr>
        <w:pStyle w:val="Tekstprzypisudolnego"/>
        <w:spacing w:before="60" w:after="60" w:line="240" w:lineRule="auto"/>
      </w:pPr>
      <w:r>
        <w:rPr>
          <w:rStyle w:val="Odwoanieprzypisudolnego"/>
        </w:rPr>
        <w:footnoteRef/>
      </w:r>
      <w:r>
        <w:t xml:space="preserve"> Szerszą analizę tego zagadnienia przedstawia W. Gurba</w:t>
      </w:r>
      <w:r>
        <w:rPr>
          <w:b/>
          <w:bCs/>
          <w:i/>
          <w:iCs/>
        </w:rPr>
        <w:t>,</w:t>
      </w:r>
      <w:r>
        <w:rPr>
          <w:b/>
          <w:bCs/>
          <w:i/>
          <w:iCs/>
          <w:shd w:val="clear" w:color="auto" w:fill="FFFFFF"/>
        </w:rPr>
        <w:t xml:space="preserve"> </w:t>
      </w:r>
      <w:r>
        <w:rPr>
          <w:rStyle w:val="Pogrubienie"/>
          <w:shd w:val="clear" w:color="auto" w:fill="FFFFFF"/>
        </w:rPr>
        <w:t>Zwalczanie i zapobieganie bezczynności oraz przewlekłości postępowania administracyjnego, „Państwo i Prawo” 2015, nr 11 oraz w</w:t>
      </w:r>
      <w:r>
        <w:rPr>
          <w:b/>
          <w:bCs/>
        </w:rPr>
        <w:t xml:space="preserve"> </w:t>
      </w:r>
      <w:r>
        <w:t xml:space="preserve">Raporcie zespołu eksperckiego działającego przy Prezesie Naczelnego Sądu Administracyjnego – Reforma prawa o postępowaniu administracyjnym, Warszawa, czerwiec 2016 r. s. 104-123 dostępny pod adresem </w:t>
      </w:r>
      <w:hyperlink r:id="rId23" w:history="1">
        <w:r>
          <w:rPr>
            <w:rStyle w:val="Hipercze"/>
          </w:rPr>
          <w:t>http://www.nsa.gov.pl/raport-ekspercki-kpa.php</w:t>
        </w:r>
      </w:hyperlink>
      <w:r>
        <w:t xml:space="preserve"> [dostęp 14.02.2017].</w:t>
      </w:r>
    </w:p>
  </w:footnote>
  <w:footnote w:id="395">
    <w:p w:rsidR="00BA4699" w:rsidRDefault="00BA4699" w:rsidP="0085545A">
      <w:pPr>
        <w:pStyle w:val="Tekstprzypisudolnego"/>
        <w:spacing w:before="60" w:after="60" w:line="240" w:lineRule="auto"/>
      </w:pPr>
      <w:r>
        <w:rPr>
          <w:rStyle w:val="Odwoanieprzypisudolnego"/>
        </w:rPr>
        <w:footnoteRef/>
      </w:r>
      <w:r>
        <w:t xml:space="preserve"> Zgodnie z art. 3a ust. 1 ustawy z dnia 12 października 1994 r. o samorządowych kolegiach odwoławczych (tekst jedn. Dz.U. z 2015 r. poz. 1659).</w:t>
      </w:r>
    </w:p>
  </w:footnote>
  <w:footnote w:id="396">
    <w:p w:rsidR="00BA4699" w:rsidRDefault="00BA4699" w:rsidP="0085545A">
      <w:pPr>
        <w:pStyle w:val="Tekstprzypisudolnego"/>
        <w:spacing w:before="60" w:after="60" w:line="240" w:lineRule="auto"/>
      </w:pPr>
      <w:r>
        <w:rPr>
          <w:rStyle w:val="Odwoanieprzypisudolnego"/>
        </w:rPr>
        <w:footnoteRef/>
      </w:r>
      <w:r>
        <w:t xml:space="preserve"> Argumentacja szeroko przedstawiona w uchwale NSA z dnia 16 lutego 2016 r., I OPS 2/15. Podobnie m.in. J. P. Tarno, Ochrona interesu prawnego jednostki samorządu terytorialnego w postępowaniu administracyjnym i sądowym (w:) Instytucje współczesnego prawa administracyjnego. Księga jubileuszowa Profesora zw. dra hab. Józefa Filipka, Kraków 2001, s. 721; W. Chróścielewski, Jednostka samorządu terytorialnego jako strona postępowania administracyjnego, „Państwo i Prawo” 2003, nr 3; M. Bogusz, Zaskarżanie decyzji administracyjnej do Naczelnego Sądu Administracyjnego, Warszawa 1997, s. 57 i nast.</w:t>
      </w:r>
    </w:p>
  </w:footnote>
  <w:footnote w:id="397">
    <w:p w:rsidR="00BA4699" w:rsidRDefault="00BA4699" w:rsidP="0085545A">
      <w:pPr>
        <w:pStyle w:val="Tekstprzypisudolnego"/>
        <w:spacing w:before="60" w:after="60" w:line="240" w:lineRule="auto"/>
      </w:pPr>
      <w:r>
        <w:rPr>
          <w:rStyle w:val="Odwoanieprzypisudolnego"/>
        </w:rPr>
        <w:footnoteRef/>
      </w:r>
      <w:r>
        <w:t xml:space="preserve"> Informacja NIK o wynikach kontroli działalności samorządowych kolegiów odwoławczych (KAP-4101-01/2010), Warszawa, marzec 2011. </w:t>
      </w:r>
      <w:hyperlink r:id="rId24" w:history="1">
        <w:r>
          <w:rPr>
            <w:rStyle w:val="Hipercze"/>
          </w:rPr>
          <w:t xml:space="preserve"> https://www.nik.gov.pl/kontrole/wyniki-kontroli-nik/pobierz,p_10_003-kolegia-odwolawcze,typ,kk.pdf+&amp;cd=1&amp;hl=pl&amp;ct=clnk&amp;gl=pl</w:t>
        </w:r>
      </w:hyperlink>
      <w:r>
        <w:t>.</w:t>
      </w:r>
    </w:p>
  </w:footnote>
  <w:footnote w:id="398">
    <w:p w:rsidR="00BA4699" w:rsidRDefault="00BA4699" w:rsidP="0085545A">
      <w:pPr>
        <w:pStyle w:val="Tekstprzypisudolnego"/>
        <w:spacing w:before="60" w:after="60" w:line="240" w:lineRule="auto"/>
      </w:pPr>
      <w:r>
        <w:rPr>
          <w:rStyle w:val="Odwoanieprzypisudolnego"/>
        </w:rPr>
        <w:footnoteRef/>
      </w:r>
      <w:r>
        <w:t xml:space="preserve"> Stosownie do poglądu prawnego zawartego w uchwale NSA z dnia 29 września 2014 r., II FPS 4/13, CBOSA, „</w:t>
      </w:r>
      <w:r>
        <w:rPr>
          <w:rStyle w:val="info-list-value-uzasadnienie"/>
        </w:rPr>
        <w:t>W świetle art.70 § 1 i art. 208 § 1 oraz art. 233 § 1 pkt 2 lit. a) o.p. w brzmieniu obowiązującym od 1 września 2005 r. po upływie terminu przedawnienia nie jest dopuszczalne prowadzenie postępowania podatkowego i orzekanie o wysokości zobowiązania podatkowego, które wygasło przez zapłatę (art. 59 § 1 pkt 1 o.p.)”.</w:t>
      </w:r>
    </w:p>
  </w:footnote>
  <w:footnote w:id="399">
    <w:p w:rsidR="00BA4699" w:rsidRDefault="00BA4699" w:rsidP="0085545A">
      <w:pPr>
        <w:pStyle w:val="Tekstprzypisudolnego"/>
        <w:spacing w:before="60" w:after="60" w:line="240" w:lineRule="auto"/>
      </w:pPr>
      <w:r>
        <w:rPr>
          <w:rStyle w:val="Odwoanieprzypisudolnego"/>
        </w:rPr>
        <w:footnoteRef/>
      </w:r>
      <w:r>
        <w:t xml:space="preserve"> W orzecznictwie wskazuje się, że w sprawie naprawienia szkody wyrządzonej decyzją wydaną przez samorządowe kolegium odwoławcze, wymienione kolegium jest jednostką organizacyjną Skarbu Państwa, wyrok SN z dnia 5 grudnia 2013 r., V CSK 67/13.</w:t>
      </w:r>
    </w:p>
  </w:footnote>
  <w:footnote w:id="400">
    <w:p w:rsidR="00BA4699" w:rsidRDefault="00BA4699" w:rsidP="0085545A">
      <w:pPr>
        <w:pStyle w:val="Tekstprzypisudolnego"/>
        <w:spacing w:before="60" w:after="60" w:line="240" w:lineRule="auto"/>
      </w:pPr>
      <w:r>
        <w:rPr>
          <w:rStyle w:val="Odwoanieprzypisudolnego"/>
        </w:rPr>
        <w:footnoteRef/>
      </w:r>
      <w:r>
        <w:t xml:space="preserve"> N</w:t>
      </w:r>
      <w:r>
        <w:rPr>
          <w:rStyle w:val="info-list-value-uzasadnienie"/>
        </w:rPr>
        <w:t>a podstawie ustawy z dnia 20 stycznia 2011 r. o odpowiedzialności majątkowej funkcjonariuszy publicznych za rażące naruszenie prawa</w:t>
      </w:r>
      <w:r>
        <w:t xml:space="preserve"> (tekst jedn. Dz.U. z 2016 r. poz. 178).</w:t>
      </w:r>
    </w:p>
  </w:footnote>
  <w:footnote w:id="401">
    <w:p w:rsidR="00BA4699" w:rsidRDefault="00BA4699" w:rsidP="0085545A">
      <w:pPr>
        <w:pStyle w:val="Tekstprzypisudolnego"/>
        <w:spacing w:before="60" w:after="60" w:line="240" w:lineRule="auto"/>
      </w:pPr>
      <w:r>
        <w:rPr>
          <w:rStyle w:val="Odwoanieprzypisudolnego"/>
        </w:rPr>
        <w:footnoteRef/>
      </w:r>
      <w:r>
        <w:t xml:space="preserve"> Ustawa o zmianie z dnia 10 września 2015 r. ustawy – Ordynacja podatkowa oraz niektórych innych ustaw (Dz. U. poz. 1649).</w:t>
      </w:r>
    </w:p>
  </w:footnote>
  <w:footnote w:id="402">
    <w:p w:rsidR="00BA4699" w:rsidRPr="00BC3E9B" w:rsidRDefault="00BA4699" w:rsidP="0085545A">
      <w:pPr>
        <w:pStyle w:val="Tekstprzypisudolnego"/>
        <w:spacing w:before="60" w:after="60" w:line="240" w:lineRule="auto"/>
      </w:pPr>
      <w:r>
        <w:rPr>
          <w:rStyle w:val="Odwoanieprzypisudolnego"/>
        </w:rPr>
        <w:footnoteRef/>
      </w:r>
      <w:r>
        <w:t xml:space="preserve"> Przykładowe konflikty występujące w zakresie stosowania art. 149 o.p. ilustrują wyroki: WSA w Łodzi z dnia 23 listopada 2016 r</w:t>
      </w:r>
      <w:r w:rsidRPr="00BC3E9B">
        <w:t xml:space="preserve">., </w:t>
      </w:r>
      <w:r w:rsidRPr="00463D52">
        <w:t>I SA/Łd 717/16; NSA z dnia 18 marca 2015 r., II FSK 391/13; NSA z dnia 27 lutego 2015 r., I FSK 216/13, CBOSA.</w:t>
      </w:r>
    </w:p>
  </w:footnote>
  <w:footnote w:id="403">
    <w:p w:rsidR="00BA4699" w:rsidRDefault="00BA4699" w:rsidP="0085545A">
      <w:pPr>
        <w:pStyle w:val="Tekstprzypisudolnego"/>
        <w:spacing w:before="60" w:after="60" w:line="240" w:lineRule="auto"/>
      </w:pPr>
      <w:r>
        <w:rPr>
          <w:rStyle w:val="Odwoanieprzypisudolnego"/>
        </w:rPr>
        <w:footnoteRef/>
      </w:r>
      <w:r>
        <w:t xml:space="preserve"> Zgodnie z § 39 czeskiego kodeksu podatkowego (ustawa z dnia 22 lipca 2009, opublikowana 280/2009 Coll. z późn. zm.) doręczenia elektroniczne są jedną z podstawowych form doręczeń. Doręczenia przez pocztę czy pracowników mogą być bowiem dokonywane, jeśli elektroniczne doręczenia nie są skutecznie zrealizowane.</w:t>
      </w:r>
    </w:p>
  </w:footnote>
  <w:footnote w:id="404">
    <w:p w:rsidR="00BA4699" w:rsidRDefault="00BA4699" w:rsidP="0085545A">
      <w:pPr>
        <w:pStyle w:val="Tekstprzypisudolnego"/>
        <w:spacing w:before="60" w:after="60" w:line="240" w:lineRule="auto"/>
      </w:pPr>
      <w:r>
        <w:rPr>
          <w:rStyle w:val="Odwoanieprzypisudolnego"/>
        </w:rPr>
        <w:footnoteRef/>
      </w:r>
      <w:r>
        <w:t xml:space="preserve"> Rozwiązanie takie zawiera przepis art. 6a ust. 6a ustawy – o podatku rolnym. Z analogicznych powodów organ podatkowy może umarzać zaległości podatkowe z urzędu na podstawie art. 67d o.p.</w:t>
      </w:r>
    </w:p>
  </w:footnote>
  <w:footnote w:id="405">
    <w:p w:rsidR="00BA4699" w:rsidRDefault="00BA4699" w:rsidP="0085545A">
      <w:pPr>
        <w:pStyle w:val="Tekstprzypisudolnego"/>
        <w:spacing w:before="60" w:after="60" w:line="240" w:lineRule="auto"/>
      </w:pPr>
      <w:r>
        <w:rPr>
          <w:rStyle w:val="Odwoanieprzypisudolnego"/>
        </w:rPr>
        <w:footnoteRef/>
      </w:r>
      <w:r>
        <w:t xml:space="preserve"> Zob. D. Strzelec, Opodatkowanie przychodów nieznajdujących pokrycia w ujawnionych źródłach lub pochodzących ze źródeł nieujawnionych, wyd. 2, Warszawa 2015.</w:t>
      </w:r>
    </w:p>
  </w:footnote>
  <w:footnote w:id="406">
    <w:p w:rsidR="00BA4699" w:rsidRDefault="00BA4699" w:rsidP="0085545A">
      <w:pPr>
        <w:pStyle w:val="Tekstprzypisudolnego"/>
        <w:spacing w:before="60" w:after="60" w:line="240" w:lineRule="auto"/>
      </w:pPr>
      <w:r>
        <w:rPr>
          <w:rStyle w:val="Odwoanieprzypisudolnego"/>
        </w:rPr>
        <w:footnoteRef/>
      </w:r>
      <w:r>
        <w:t xml:space="preserve"> Rozporządzenia wykonujące art. 14a § 11 oraz art. 14b § 7 o.p. Wzory podań funkcjonują także w innych państwach, np. w Australii (m.in. </w:t>
      </w:r>
      <w:hyperlink r:id="rId25" w:history="1">
        <w:r>
          <w:rPr>
            <w:rStyle w:val="Hipercze"/>
          </w:rPr>
          <w:t>http://www.ato.gov.au/Forms/Objection-form---for-taxpayers/</w:t>
        </w:r>
      </w:hyperlink>
      <w:r>
        <w:t>).</w:t>
      </w:r>
    </w:p>
  </w:footnote>
  <w:footnote w:id="407">
    <w:p w:rsidR="00BA4699" w:rsidRDefault="00BA4699" w:rsidP="0085545A">
      <w:pPr>
        <w:pStyle w:val="Tekstprzypisudolnego"/>
        <w:spacing w:before="60" w:after="60" w:line="240" w:lineRule="auto"/>
      </w:pPr>
      <w:r>
        <w:rPr>
          <w:rStyle w:val="Odwoanieprzypisudolnego"/>
        </w:rPr>
        <w:footnoteRef/>
      </w:r>
      <w:r>
        <w:t xml:space="preserve"> Wzory podań powinny być umieszczone w portalu podatkowym oraz Repozytorium Wzorów Dokumentów Elektronicznych umieszczonym na platformie usług administracji (ePUAP).</w:t>
      </w:r>
    </w:p>
  </w:footnote>
  <w:footnote w:id="408">
    <w:p w:rsidR="00BA4699" w:rsidRDefault="00BA4699" w:rsidP="00D96B9C">
      <w:pPr>
        <w:pStyle w:val="Tekstprzypisudolnego"/>
        <w:spacing w:before="60" w:after="60" w:line="240" w:lineRule="auto"/>
      </w:pPr>
      <w:r>
        <w:rPr>
          <w:rStyle w:val="Odwoanieprzypisudolnego"/>
        </w:rPr>
        <w:footnoteRef/>
      </w:r>
      <w:r>
        <w:t xml:space="preserve"> Za: A. Jakubecki (red.), Komentarz aktualizowany do Kodeksu postępowania cywilnego, Lex/el. 2016.</w:t>
      </w:r>
    </w:p>
  </w:footnote>
  <w:footnote w:id="409">
    <w:p w:rsidR="00BA4699" w:rsidRDefault="00BA4699" w:rsidP="00AB6ACC">
      <w:pPr>
        <w:pStyle w:val="Tekstprzypisudolnego"/>
        <w:spacing w:before="60" w:after="60" w:line="240" w:lineRule="auto"/>
      </w:pPr>
      <w:r w:rsidRPr="00BF4D71">
        <w:rPr>
          <w:rStyle w:val="Odwoanieprzypisudolnego"/>
        </w:rPr>
        <w:t>388</w:t>
      </w:r>
      <w:r w:rsidRPr="00BF4D71">
        <w:t xml:space="preserve"> R. Mastalski, Prawo podatkowe I – część ogólna, Warszawa 1998, s. 207.</w:t>
      </w:r>
    </w:p>
  </w:footnote>
  <w:footnote w:id="410">
    <w:p w:rsidR="00BA4699" w:rsidRDefault="00BA4699" w:rsidP="00AB6ACC">
      <w:pPr>
        <w:pStyle w:val="Tekstprzypisudolnego"/>
        <w:spacing w:before="60" w:after="60" w:line="240" w:lineRule="auto"/>
      </w:pPr>
      <w:r w:rsidRPr="00BF4D71">
        <w:rPr>
          <w:rStyle w:val="Odwoanieprzypisudolnego"/>
        </w:rPr>
        <w:t>389</w:t>
      </w:r>
      <w:r w:rsidRPr="00BF4D71">
        <w:t xml:space="preserve"> B. Brzeziński, W. Nykiel, Reforma systemu podatkowego – aspekty prawne, „Przegląd Podatkowy” 2003, nr 6, s. 5. </w:t>
      </w:r>
    </w:p>
  </w:footnote>
  <w:footnote w:id="411">
    <w:p w:rsidR="00BA4699" w:rsidRDefault="00BA4699" w:rsidP="00AB6ACC">
      <w:pPr>
        <w:pStyle w:val="Tekstprzypisudolnego"/>
        <w:spacing w:before="60" w:after="60" w:line="240" w:lineRule="auto"/>
      </w:pPr>
      <w:r w:rsidRPr="00BF4D71">
        <w:rPr>
          <w:rStyle w:val="Odwoanieprzypisudolnego"/>
        </w:rPr>
        <w:t>390</w:t>
      </w:r>
      <w:r w:rsidRPr="00BF4D71">
        <w:t xml:space="preserve"> D. Strzelec, Dowody i postępowanie dowodowe w sprawach podatkowych, Warszawa 2015, s. 407-408.</w:t>
      </w:r>
    </w:p>
  </w:footnote>
  <w:footnote w:id="412">
    <w:p w:rsidR="00BA4699" w:rsidRPr="00BF4D71" w:rsidRDefault="00BA4699" w:rsidP="00AB6ACC">
      <w:pPr>
        <w:tabs>
          <w:tab w:val="left" w:pos="851"/>
        </w:tabs>
        <w:spacing w:before="60" w:after="60" w:line="240" w:lineRule="auto"/>
        <w:jc w:val="both"/>
        <w:rPr>
          <w:rFonts w:ascii="Times New Roman" w:hAnsi="Times New Roman"/>
          <w:sz w:val="20"/>
          <w:szCs w:val="20"/>
        </w:rPr>
      </w:pPr>
      <w:r w:rsidRPr="00BF4D71">
        <w:rPr>
          <w:rStyle w:val="Odwoanieprzypisudolnego"/>
          <w:sz w:val="20"/>
          <w:szCs w:val="20"/>
        </w:rPr>
        <w:t>391</w:t>
      </w:r>
      <w:r w:rsidRPr="00BF4D71">
        <w:rPr>
          <w:rFonts w:ascii="Times New Roman" w:hAnsi="Times New Roman"/>
          <w:sz w:val="20"/>
          <w:szCs w:val="20"/>
        </w:rPr>
        <w:t xml:space="preserve"> D. Strzelec, Zasada równej mocy dowodowej a legalne (ustawowe) teorie dowodowe w sprawach podatkowych, „Przegląd Podatkowy” 2012, nr 7.</w:t>
      </w:r>
    </w:p>
    <w:p w:rsidR="00BA4699" w:rsidRPr="00BF4D71" w:rsidRDefault="00BA4699" w:rsidP="00AB6ACC">
      <w:pPr>
        <w:tabs>
          <w:tab w:val="left" w:pos="851"/>
        </w:tabs>
        <w:spacing w:before="60" w:after="60" w:line="240" w:lineRule="auto"/>
        <w:jc w:val="both"/>
        <w:rPr>
          <w:rFonts w:ascii="Times New Roman" w:hAnsi="Times New Roman"/>
          <w:sz w:val="20"/>
          <w:szCs w:val="20"/>
        </w:rPr>
      </w:pPr>
    </w:p>
    <w:p w:rsidR="00BA4699" w:rsidRDefault="00BA4699" w:rsidP="00AB6ACC">
      <w:pPr>
        <w:tabs>
          <w:tab w:val="left" w:pos="851"/>
        </w:tabs>
        <w:spacing w:before="60" w:after="60" w:line="240" w:lineRule="auto"/>
        <w:jc w:val="both"/>
      </w:pPr>
    </w:p>
  </w:footnote>
  <w:footnote w:id="413">
    <w:p w:rsidR="00BA4699" w:rsidRPr="00BF4D71" w:rsidRDefault="00BA4699" w:rsidP="00AB6ACC">
      <w:pPr>
        <w:pStyle w:val="Tekstprzypisudolnego"/>
        <w:spacing w:before="60" w:after="60" w:line="240" w:lineRule="auto"/>
      </w:pPr>
      <w:r w:rsidRPr="00BF4D71">
        <w:rPr>
          <w:rStyle w:val="Odwoanieprzypisudolnego"/>
        </w:rPr>
        <w:t>392</w:t>
      </w:r>
      <w:r w:rsidRPr="00BF4D71">
        <w:t xml:space="preserve"> Por. wyrok NSA z dnia 29 stycznia 2013 r., II FSK 854/11.</w:t>
      </w:r>
    </w:p>
    <w:p w:rsidR="00BA4699" w:rsidRDefault="00BA4699" w:rsidP="00AB6ACC">
      <w:pPr>
        <w:pStyle w:val="Tekstprzypisudolnego"/>
        <w:spacing w:before="60" w:after="60" w:line="240" w:lineRule="auto"/>
      </w:pPr>
    </w:p>
  </w:footnote>
  <w:footnote w:id="414">
    <w:p w:rsidR="00BA4699" w:rsidRDefault="00BA4699" w:rsidP="00AB6ACC">
      <w:pPr>
        <w:pStyle w:val="Tekstprzypisudolnego"/>
        <w:spacing w:before="60" w:after="60" w:line="240" w:lineRule="auto"/>
      </w:pPr>
      <w:r w:rsidRPr="00BF4D71">
        <w:rPr>
          <w:rStyle w:val="Odwoanieprzypisudolnego"/>
        </w:rPr>
        <w:footnoteRef/>
      </w:r>
      <w:r w:rsidRPr="00BF4D71">
        <w:t xml:space="preserve"> Wyrok NSA z dnia 10 stycznia 2013 r., I FSK 235/12, LEX nr 1269504.</w:t>
      </w:r>
    </w:p>
  </w:footnote>
  <w:footnote w:id="415">
    <w:p w:rsidR="00BA4699" w:rsidRDefault="00BA4699" w:rsidP="00AB6ACC">
      <w:pPr>
        <w:pStyle w:val="Tekstprzypisudolnego"/>
        <w:spacing w:before="60" w:after="60" w:line="240" w:lineRule="auto"/>
      </w:pPr>
      <w:r w:rsidRPr="00BF4D71">
        <w:rPr>
          <w:rStyle w:val="Odwoanieprzypisudolnego"/>
        </w:rPr>
        <w:footnoteRef/>
      </w:r>
      <w:r w:rsidRPr="00BF4D71">
        <w:t xml:space="preserve"> Wyrok NSA z dnia 12 września 2012 r., I FSK 979/11, LEX nr 1221200.</w:t>
      </w:r>
    </w:p>
  </w:footnote>
  <w:footnote w:id="416">
    <w:p w:rsidR="00BA4699" w:rsidRDefault="00BA4699" w:rsidP="00AB6ACC">
      <w:pPr>
        <w:pStyle w:val="Tekstprzypisudolnego"/>
        <w:spacing w:before="60" w:after="60" w:line="240" w:lineRule="auto"/>
      </w:pPr>
      <w:r w:rsidRPr="00BF4D71">
        <w:rPr>
          <w:rStyle w:val="Odwoanieprzypisudolnego"/>
        </w:rPr>
        <w:footnoteRef/>
      </w:r>
      <w:r w:rsidRPr="00BF4D71">
        <w:t xml:space="preserve"> D. Strzelec, </w:t>
      </w:r>
      <w:r w:rsidRPr="00BF4D71">
        <w:rPr>
          <w:i/>
        </w:rPr>
        <w:t>Dowody i postępowanie dowodowe w prawie podatkowym</w:t>
      </w:r>
      <w:r w:rsidRPr="00BF4D71">
        <w:t>, Warszawa 2015.</w:t>
      </w:r>
    </w:p>
  </w:footnote>
  <w:footnote w:id="417">
    <w:p w:rsidR="00BA4699" w:rsidRDefault="00BA4699" w:rsidP="00AB6ACC">
      <w:pPr>
        <w:pStyle w:val="Tekstprzypisudolnego"/>
        <w:spacing w:before="60" w:after="60" w:line="240" w:lineRule="auto"/>
      </w:pPr>
      <w:r w:rsidRPr="00BF4D71">
        <w:rPr>
          <w:rStyle w:val="Odwoanieprzypisudolnego"/>
        </w:rPr>
        <w:t>393</w:t>
      </w:r>
      <w:r w:rsidRPr="00BF4D71">
        <w:t xml:space="preserve"> W związku z wprowadzeniem tej instytucji do przepisów ordynacji Prof. B. Brzeziński w opinii załączonej do projektu ustawy wskazywał: „Obecne rozwiązanie zdaje się odzwierciedlać taką oto filozofię myślenia &lt;w pierwszej instancji – podatek wymierzy; w drugiej – zastanowić się czy dobrze to zrobiono (…)&gt; - opinia z dnia 27.08.2006 r. o rządowym projekcie ustawy o zmianie ustawy - Ordynacja podatkowa oraz o zmianie niektórych innych ustaw (druk sejmowy nr 731).</w:t>
      </w:r>
    </w:p>
  </w:footnote>
  <w:footnote w:id="418">
    <w:p w:rsidR="00BA4699" w:rsidRDefault="00BA4699" w:rsidP="00AB6ACC">
      <w:pPr>
        <w:pStyle w:val="Tekstprzypisudolnego"/>
        <w:spacing w:before="60" w:after="60" w:line="240" w:lineRule="auto"/>
      </w:pPr>
      <w:r w:rsidRPr="00BF4D71">
        <w:rPr>
          <w:rStyle w:val="Odwoanieprzypisudolnego"/>
        </w:rPr>
        <w:t>394</w:t>
      </w:r>
      <w:r w:rsidRPr="00BF4D71">
        <w:t xml:space="preserve"> D. Strzelec, Rozprawa jako sposób wyjaśnienia okoliczności sprawy w podatkowym postępowaniu odwoławczym, „Monitor Podatkowy” 2007, nr 2.</w:t>
      </w:r>
    </w:p>
  </w:footnote>
  <w:footnote w:id="419">
    <w:p w:rsidR="00BA4699" w:rsidRPr="00BF4D71" w:rsidRDefault="00BA4699" w:rsidP="00AB6ACC">
      <w:pPr>
        <w:pStyle w:val="Tekstprzypisudolnego"/>
        <w:spacing w:before="60" w:after="60" w:line="240" w:lineRule="auto"/>
      </w:pPr>
      <w:r w:rsidRPr="00BF4D71">
        <w:rPr>
          <w:rStyle w:val="Odwoanieprzypisudolnego"/>
        </w:rPr>
        <w:t>395</w:t>
      </w:r>
      <w:r w:rsidRPr="00BF4D71">
        <w:t xml:space="preserve"> K. Teszner, Rozprawa w postępowaniu podatkowym, Lex 2014.</w:t>
      </w:r>
    </w:p>
    <w:p w:rsidR="00BA4699" w:rsidRDefault="00BA4699" w:rsidP="00AB6ACC">
      <w:pPr>
        <w:pStyle w:val="Tekstprzypisudolnego"/>
        <w:tabs>
          <w:tab w:val="left" w:pos="1574"/>
        </w:tabs>
        <w:spacing w:before="60" w:after="60" w:line="240" w:lineRule="auto"/>
      </w:pPr>
      <w:r w:rsidRPr="00BF4D71">
        <w:tab/>
      </w:r>
    </w:p>
  </w:footnote>
  <w:footnote w:id="420">
    <w:p w:rsidR="00BA4699" w:rsidRPr="00463D52" w:rsidRDefault="00BA4699" w:rsidP="00AB6ACC">
      <w:pPr>
        <w:pStyle w:val="Tekstprzypisudolnego"/>
        <w:spacing w:before="60" w:after="60" w:line="240" w:lineRule="auto"/>
        <w:rPr>
          <w:b/>
        </w:rPr>
      </w:pPr>
      <w:r w:rsidRPr="00BF4D71">
        <w:rPr>
          <w:rStyle w:val="Odwoanieprzypisudolnego"/>
        </w:rPr>
        <w:t>396</w:t>
      </w:r>
      <w:r w:rsidRPr="00BF4D71">
        <w:t xml:space="preserve"> Zob. wyrok WSA </w:t>
      </w:r>
      <w:r w:rsidRPr="00087410">
        <w:t>w Gliwicach z dnia 2 kwietnia 2008 r</w:t>
      </w:r>
      <w:r w:rsidRPr="00463D52">
        <w:rPr>
          <w:b/>
        </w:rPr>
        <w:t xml:space="preserve">., </w:t>
      </w:r>
      <w:r w:rsidRPr="000359CE">
        <w:rPr>
          <w:rStyle w:val="warheader1"/>
          <w:b w:val="0"/>
          <w:sz w:val="20"/>
        </w:rPr>
        <w:t>III SA/Gl 1765/07.</w:t>
      </w:r>
    </w:p>
  </w:footnote>
  <w:footnote w:id="421">
    <w:p w:rsidR="00BA4699" w:rsidRDefault="00BA4699" w:rsidP="00AB6ACC">
      <w:pPr>
        <w:pStyle w:val="Tekstprzypisudolnego"/>
        <w:spacing w:before="60" w:after="60" w:line="240" w:lineRule="auto"/>
      </w:pPr>
      <w:r w:rsidRPr="00BF4D71">
        <w:rPr>
          <w:rStyle w:val="Odwoanieprzypisudolnego"/>
        </w:rPr>
        <w:t>397</w:t>
      </w:r>
      <w:r w:rsidRPr="00BF4D71">
        <w:t xml:space="preserve"> Wyrok WSA w Poznaniu z dnia 2 września 2010 r., I SA/Po 381/10.  </w:t>
      </w:r>
    </w:p>
  </w:footnote>
  <w:footnote w:id="422">
    <w:p w:rsidR="00BA4699" w:rsidRDefault="00BA4699" w:rsidP="00AB6ACC">
      <w:pPr>
        <w:spacing w:before="60" w:after="60" w:line="240" w:lineRule="auto"/>
        <w:jc w:val="both"/>
      </w:pPr>
      <w:r w:rsidRPr="00BF4D71">
        <w:rPr>
          <w:rStyle w:val="Odwoanieprzypisudolnego"/>
          <w:sz w:val="20"/>
          <w:szCs w:val="20"/>
        </w:rPr>
        <w:t>398</w:t>
      </w:r>
      <w:r w:rsidRPr="00BF4D71">
        <w:rPr>
          <w:rFonts w:ascii="Times New Roman" w:hAnsi="Times New Roman"/>
          <w:sz w:val="20"/>
          <w:szCs w:val="20"/>
        </w:rPr>
        <w:t xml:space="preserve"> Wyrok NSA z dnia 8 maja 2012 r., II FSK 2007/10.</w:t>
      </w:r>
    </w:p>
  </w:footnote>
  <w:footnote w:id="423">
    <w:p w:rsidR="00BA4699" w:rsidRDefault="00BA4699" w:rsidP="00AB6ACC">
      <w:pPr>
        <w:spacing w:before="60" w:after="60" w:line="240" w:lineRule="auto"/>
        <w:jc w:val="both"/>
      </w:pPr>
      <w:r w:rsidRPr="00BF4D71">
        <w:rPr>
          <w:rStyle w:val="Odwoanieprzypisudolnego"/>
          <w:sz w:val="20"/>
          <w:szCs w:val="20"/>
        </w:rPr>
        <w:t>399</w:t>
      </w:r>
      <w:r w:rsidRPr="00BF4D71">
        <w:rPr>
          <w:rFonts w:ascii="Times New Roman" w:hAnsi="Times New Roman"/>
          <w:sz w:val="20"/>
          <w:szCs w:val="20"/>
        </w:rPr>
        <w:t xml:space="preserve"> Wyrok NSA z dnia 23 kwietnia 2010 r., II FSK 2164/08.</w:t>
      </w:r>
    </w:p>
  </w:footnote>
  <w:footnote w:id="424">
    <w:p w:rsidR="00BA4699" w:rsidRDefault="00BA4699" w:rsidP="00AB6ACC">
      <w:pPr>
        <w:spacing w:before="60" w:after="60" w:line="240" w:lineRule="auto"/>
        <w:jc w:val="both"/>
      </w:pPr>
      <w:r w:rsidRPr="00BF4D71">
        <w:rPr>
          <w:rStyle w:val="Odwoanieprzypisudolnego"/>
          <w:sz w:val="20"/>
          <w:szCs w:val="20"/>
        </w:rPr>
        <w:t>400</w:t>
      </w:r>
      <w:r w:rsidRPr="00BF4D71">
        <w:rPr>
          <w:rFonts w:ascii="Times New Roman" w:hAnsi="Times New Roman"/>
          <w:sz w:val="20"/>
          <w:szCs w:val="20"/>
        </w:rPr>
        <w:t xml:space="preserve"> Wyrok NSA z dnia 15 lipca 2011 r., I FSK 1118/10</w:t>
      </w:r>
      <w:r w:rsidRPr="00BF4D71">
        <w:rPr>
          <w:rFonts w:ascii="Times New Roman" w:hAnsi="Times New Roman"/>
          <w:iCs/>
          <w:sz w:val="20"/>
          <w:szCs w:val="20"/>
        </w:rPr>
        <w:t>.</w:t>
      </w:r>
    </w:p>
  </w:footnote>
  <w:footnote w:id="425">
    <w:p w:rsidR="00BA4699" w:rsidRPr="00BF4D71" w:rsidRDefault="00BA4699" w:rsidP="003F031F">
      <w:pPr>
        <w:pStyle w:val="Tekstprzypisudolnego"/>
        <w:spacing w:before="60" w:after="60" w:line="240" w:lineRule="auto"/>
      </w:pPr>
      <w:r w:rsidRPr="00BF4D71">
        <w:rPr>
          <w:rStyle w:val="Odwoanieprzypisudolnego"/>
        </w:rPr>
        <w:t>401</w:t>
      </w:r>
      <w:r w:rsidRPr="00BF4D71">
        <w:t xml:space="preserve">  A. Biegalski, Rozprawa w postępowaniu podatkowym – przebieg i konsekwencje, „Prawo i Podatki” 2007, nr 1, s. 10; D. Strzelec, Rozprawa jako sposób wyjaśnienia…, s. 29; inny pogląd prezentuje M. Szczypiór, Rozprawa w postępowaniu odwoławczym jako nowy element procedury prawno-podatkowej, „Biuletyn Skarbowy” 2007, nr 4, s. 6.</w:t>
      </w:r>
    </w:p>
    <w:p w:rsidR="00BA4699" w:rsidRDefault="00BA4699" w:rsidP="003F031F">
      <w:pPr>
        <w:pStyle w:val="Tekstprzypisudolnego"/>
        <w:spacing w:before="60" w:after="60" w:line="240" w:lineRule="auto"/>
      </w:pPr>
    </w:p>
  </w:footnote>
  <w:footnote w:id="426">
    <w:p w:rsidR="00BA4699" w:rsidRDefault="00BA4699" w:rsidP="00C70E14">
      <w:pPr>
        <w:pStyle w:val="Tekstprzypisudolnego"/>
        <w:spacing w:before="60" w:after="60" w:line="240" w:lineRule="auto"/>
      </w:pPr>
      <w:r w:rsidRPr="00BF4D71">
        <w:rPr>
          <w:rStyle w:val="Odwoanieprzypisudolnego"/>
        </w:rPr>
        <w:footnoteRef/>
      </w:r>
      <w:r w:rsidRPr="00BF4D71">
        <w:t xml:space="preserve"> Podobnie Z. Kmieciak, Mediacja i koncyliacja w prawie administracyjnym, Kraków 2004, s. 160-168.</w:t>
      </w:r>
    </w:p>
  </w:footnote>
  <w:footnote w:id="427">
    <w:p w:rsidR="00BA4699" w:rsidRDefault="00BA4699" w:rsidP="00C70E14">
      <w:pPr>
        <w:pStyle w:val="Tekstprzypisudolnego"/>
        <w:spacing w:before="60" w:after="60" w:line="240" w:lineRule="auto"/>
      </w:pPr>
      <w:r w:rsidRPr="00BF4D71">
        <w:rPr>
          <w:rStyle w:val="Odwoanieprzypisudolnego"/>
        </w:rPr>
        <w:footnoteRef/>
      </w:r>
      <w:r w:rsidRPr="00BF4D71">
        <w:t xml:space="preserve"> Na temat dyskursywnego charakteru prawa i argumentacyjnego modelu stosowania prawa zob. np. L. Morawski, Główne problemy współczesnej filozofii prawa. Prawo w toku przemian, Warszawa 1999; J. Stelmach, Kodeks argumentacyjny dla prawników, Kraków 2003; R. Mastalski, Stosowanie prawa podatkowego, Warszawa 2008, s. 168-169 i wielu innych.</w:t>
      </w:r>
    </w:p>
  </w:footnote>
  <w:footnote w:id="428">
    <w:p w:rsidR="00BA4699" w:rsidRDefault="00BA4699" w:rsidP="00C70E14">
      <w:pPr>
        <w:pStyle w:val="Tekstprzypisudolnego"/>
        <w:spacing w:before="60" w:after="60" w:line="240" w:lineRule="auto"/>
      </w:pPr>
      <w:r w:rsidRPr="00BF4D71">
        <w:rPr>
          <w:rStyle w:val="Odwoanieprzypisudolnego"/>
        </w:rPr>
        <w:footnoteRef/>
      </w:r>
      <w:r w:rsidRPr="00BF4D71">
        <w:t xml:space="preserve"> Na temat wpływu poczucia sprawiedliwości proceduralnej na przestrzeganie prawa zob. m.in. T.R. Tyler, Why People Obey the Law: Procedural Justice, Legitimacy and Compliance, New Haven 1990; E. Kirchler, The Economic Psychology of Tax Behaviour, Cambridge 2007; M. Niesiobędzka, Dlaczego nie płacimy podatków? Psychologiczna analiza uchylania się od opodatkowania, Warszawa 2013; R. Sowiński, Uchylanie się od opodatkowania. Przyczyny, skutki i sposoby zapobiegania zjawisku, Poznań 2009. W sprawie sprawiedliwości proceduralnej w postępowaniu administracyjnym zob. np. Z. Kmieciak, Idea sprawiedliwości proceduralnej w prawie administracyjnym (Założenia teoretyczne i doświadczenia praktyki), „Państwo i Prawo” 1994, nr 10.</w:t>
      </w:r>
    </w:p>
  </w:footnote>
  <w:footnote w:id="429">
    <w:p w:rsidR="00BA4699" w:rsidRDefault="00BA4699" w:rsidP="00C70E14">
      <w:pPr>
        <w:pStyle w:val="Tekstprzypisudolnego"/>
        <w:spacing w:before="60" w:after="60" w:line="240" w:lineRule="auto"/>
      </w:pPr>
      <w:r w:rsidRPr="00BF4D71">
        <w:rPr>
          <w:rStyle w:val="Odwoanieprzypisudolnego"/>
        </w:rPr>
        <w:footnoteRef/>
      </w:r>
      <w:r w:rsidRPr="00BF4D71">
        <w:t xml:space="preserve"> Zob. A. Krawczyk, </w:t>
      </w:r>
      <w:r w:rsidRPr="00BF4D71">
        <w:rPr>
          <w:bCs/>
        </w:rPr>
        <w:t>Umowa administracyjna (w:)</w:t>
      </w:r>
      <w:r w:rsidRPr="00BF4D71">
        <w:t xml:space="preserve"> </w:t>
      </w:r>
      <w:r w:rsidRPr="00BF4D71">
        <w:rPr>
          <w:bCs/>
        </w:rPr>
        <w:t xml:space="preserve">Reforma prawa…, </w:t>
      </w:r>
      <w:r w:rsidRPr="00BF4D71">
        <w:rPr>
          <w:bCs/>
          <w:i/>
        </w:rPr>
        <w:t>op. cit.</w:t>
      </w:r>
      <w:r w:rsidRPr="00BF4D71">
        <w:rPr>
          <w:bCs/>
        </w:rPr>
        <w:t>, s. 145-164.</w:t>
      </w:r>
    </w:p>
  </w:footnote>
  <w:footnote w:id="430">
    <w:p w:rsidR="00BA4699" w:rsidRDefault="00BA4699" w:rsidP="00C70E14">
      <w:pPr>
        <w:pStyle w:val="Tekstprzypisudolnego"/>
        <w:spacing w:before="60" w:after="60" w:line="240" w:lineRule="auto"/>
      </w:pPr>
      <w:r w:rsidRPr="00BF4D71">
        <w:rPr>
          <w:rStyle w:val="Odwoanieprzypisudolnego"/>
        </w:rPr>
        <w:footnoteRef/>
      </w:r>
      <w:r w:rsidRPr="00BF4D71">
        <w:t xml:space="preserve"> Podobnie: uzasadnienie projektu nowelizacji k.p.a., s. 40.</w:t>
      </w:r>
    </w:p>
  </w:footnote>
  <w:footnote w:id="431">
    <w:p w:rsidR="00BA4699" w:rsidRDefault="00BA4699" w:rsidP="00C70E14">
      <w:pPr>
        <w:pStyle w:val="Tekstprzypisudolnego"/>
        <w:spacing w:before="60" w:after="60" w:line="240" w:lineRule="auto"/>
      </w:pPr>
      <w:r w:rsidRPr="00BF4D71">
        <w:rPr>
          <w:rStyle w:val="Odwoanieprzypisudolnego"/>
        </w:rPr>
        <w:footnoteRef/>
      </w:r>
      <w:r w:rsidRPr="00BF4D71">
        <w:t xml:space="preserve"> Zob. także dokument „Resolving tax disputes – Commentary on the litigation and settlement strategy”, a także przystępne wyjaśnienie celu i przebiegu mediacji adresowane do ogółu podatników: </w:t>
      </w:r>
      <w:hyperlink r:id="rId26" w:history="1">
        <w:r w:rsidRPr="00BF4D71">
          <w:rPr>
            <w:rStyle w:val="Hipercze"/>
          </w:rPr>
          <w:t>https://www.gov.uk/guidance/tax-disputes-alternative-dispute-resolution-adr</w:t>
        </w:r>
      </w:hyperlink>
      <w:r w:rsidRPr="00BF4D71">
        <w:t>.</w:t>
      </w:r>
    </w:p>
  </w:footnote>
  <w:footnote w:id="432">
    <w:p w:rsidR="00BA4699" w:rsidRDefault="00BA4699" w:rsidP="002443B4">
      <w:pPr>
        <w:pStyle w:val="Tekstprzypisudolnego"/>
        <w:spacing w:before="60" w:after="60" w:line="240" w:lineRule="auto"/>
      </w:pPr>
      <w:r w:rsidRPr="00BF4D71">
        <w:rPr>
          <w:rStyle w:val="Odwoanieprzypisudolnego"/>
        </w:rPr>
        <w:footnoteRef/>
      </w:r>
      <w:r w:rsidRPr="00BF4D71">
        <w:t xml:space="preserve"> Zob. m.in. E. Gmurzyńska, R. Morek (red.), Mediacje. Teoria i praktyka, Warszawa 2014; A. Kalisz, A. Zienkiewicz, Mediacja sądowa i pozasądowa. Zarys wykładu, Warszawa 2013; J. Czapska, M. Szeląg-Dylewski (red.), Mediacje w prawie, Kraków 2014; Z. Kmieciak, Mediacja i koncyliacja…, </w:t>
      </w:r>
      <w:r w:rsidRPr="00BF4D71">
        <w:rPr>
          <w:i/>
          <w:iCs/>
        </w:rPr>
        <w:t>op. cit.</w:t>
      </w:r>
      <w:r w:rsidRPr="00BF4D71">
        <w:t xml:space="preserve"> i wiele innych.</w:t>
      </w:r>
    </w:p>
  </w:footnote>
  <w:footnote w:id="433">
    <w:p w:rsidR="00BA4699" w:rsidRDefault="00BA4699" w:rsidP="002443B4">
      <w:pPr>
        <w:pStyle w:val="Tekstprzypisudolnego"/>
        <w:spacing w:before="60" w:after="60" w:line="240" w:lineRule="auto"/>
      </w:pPr>
      <w:r w:rsidRPr="00BF4D71">
        <w:rPr>
          <w:rStyle w:val="Odwoanieprzypisudolnego"/>
        </w:rPr>
        <w:footnoteRef/>
      </w:r>
      <w:r w:rsidRPr="00BF4D71">
        <w:t xml:space="preserve"> Podobnie w uzasadnieniu projektu nowelizacji k.p.a.; por. 37-39 (</w:t>
      </w:r>
      <w:hyperlink r:id="rId27" w:history="1">
        <w:r w:rsidRPr="00BF4D71">
          <w:rPr>
            <w:rStyle w:val="Hipercze"/>
          </w:rPr>
          <w:t>www.sejm.gov.pl</w:t>
        </w:r>
      </w:hyperlink>
      <w:r w:rsidRPr="00BF4D71">
        <w:t>; druk sejmowy nr 1183).</w:t>
      </w:r>
    </w:p>
  </w:footnote>
  <w:footnote w:id="434">
    <w:p w:rsidR="00BA4699" w:rsidRDefault="00BA4699" w:rsidP="002443B4">
      <w:pPr>
        <w:pStyle w:val="Tekstprzypisudolnego"/>
        <w:spacing w:before="60" w:after="60" w:line="240" w:lineRule="auto"/>
      </w:pPr>
      <w:r w:rsidRPr="00BF4D71">
        <w:rPr>
          <w:rStyle w:val="Odwoanieprzypisudolnego"/>
        </w:rPr>
        <w:footnoteRef/>
      </w:r>
      <w:r w:rsidRPr="00BF4D71">
        <w:t xml:space="preserve"> Podobnie s. 38 uzasadnienia projektu nowelizacji k.p.a.</w:t>
      </w:r>
    </w:p>
  </w:footnote>
  <w:footnote w:id="435">
    <w:p w:rsidR="00BA4699" w:rsidRDefault="00BA4699" w:rsidP="002443B4">
      <w:pPr>
        <w:pStyle w:val="Tekstprzypisudolnego"/>
        <w:spacing w:before="60" w:after="60" w:line="240" w:lineRule="auto"/>
      </w:pPr>
      <w:r w:rsidRPr="00BF4D71">
        <w:rPr>
          <w:rStyle w:val="Odwoanieprzypisudolnego"/>
        </w:rPr>
        <w:footnoteRef/>
      </w:r>
      <w:r w:rsidRPr="00BF4D71">
        <w:t xml:space="preserve"> Zob. także: W. Federczyk, Mediacja w postępowaniu administracyjnym i sądowoadministracyjnym, Warszawa 2013, s. 134-197; Z. Kmieciak, Mediacja i koncyliacja…, </w:t>
      </w:r>
      <w:r w:rsidRPr="00BF4D71">
        <w:rPr>
          <w:i/>
          <w:iCs/>
        </w:rPr>
        <w:t>op. cit</w:t>
      </w:r>
      <w:r w:rsidRPr="00BF4D71">
        <w:t xml:space="preserve">., s. 150 i nast.; B. Dauter, Mediacja w postępowaniu sądowoadministracyjnym (w:) S. Pikulski (red.), Ius et lex. Księga jubileuszowa Profesora Andrzeja Kabata, Olsztyn 2004; T. Świetlikowski, Mediacja w postępowaniu sądowoadministracyjnym (ujęcie praktyczne), „Zeszyty Naukowe Sądownictwa Administracyjnego” 2005, nr 2-3; T. Woś, Postępowanie mediacyjne w ustawie – Prawo o postępowaniu przed sądami administracyjnymi (w:) Podmioty administracji publicznej i prawne formy ich działania, Toruń 2005; A. Kalisz, Quasi-mediacyjność postępowania mediacyjnego przed sądami administracyjnymi (w:) J. Olszewski (red.), Arbitraż i mediacja. Praktyczne aspekty stosowania prawa, Rzeszów 2007; J. Harczuk, L. Leszczyński, Mediacja w postępowaniu sądowoadministracyjnym (kontekst przedmiotu procesu decyzyjnego) (w:) J. Olszewski (red.), Arbitraż i mediacja. Aktualne problemy funkcjonowania sądów polubownych i ośrodków mediacyjnych, Rzeszów 2009; A. Mudrecki, Postępowanie mediacyjne w pięć lat po reformie sądownictwa administracyjnego (w:) J. Glumińska-Pawlic (red.), Doradca podatkowy obrońcą praw podatnika, Katowice 2009; M. J. Skrodzka, Mediacja w prawie podatkowym w ujęciu prawa cywilnego, „Przegląd Podatkowy” 2013, nr 8; M. Szeląg-Dylewski, Mediacja przed sądami administracyjnymi – zła regulacja czy zła praktyka? (w:) J. Czapska, M. Szeląg-Dylewski (red.), Mediacje w prawie.., </w:t>
      </w:r>
      <w:r w:rsidRPr="00BF4D71">
        <w:rPr>
          <w:i/>
          <w:iCs/>
        </w:rPr>
        <w:t>op. cit.;</w:t>
      </w:r>
      <w:r w:rsidRPr="00BF4D71">
        <w:t xml:space="preserve"> D. Sasin-Knothe, Zaufanie jako pozaprawny czynnik stosowania mediacji w postępowaniu sądowoadministracyjnym (w:) P.J. Suwaj, J. Zimmermann (red.), Wpływ przemian cywilizacyjnych na prawo administracyjne i administrację publiczną, Warszawa 2013.</w:t>
      </w:r>
    </w:p>
  </w:footnote>
  <w:footnote w:id="436">
    <w:p w:rsidR="00BA4699" w:rsidRDefault="00BA4699" w:rsidP="002443B4">
      <w:pPr>
        <w:pStyle w:val="Tekstprzypisudolnego"/>
        <w:spacing w:before="60" w:after="60" w:line="240" w:lineRule="auto"/>
      </w:pPr>
      <w:r w:rsidRPr="00BF4D71">
        <w:rPr>
          <w:rStyle w:val="Odwoanieprzypisudolnego"/>
        </w:rPr>
        <w:footnoteRef/>
      </w:r>
      <w:r w:rsidRPr="00BF4D71">
        <w:t xml:space="preserve"> Uzasadnienie nowelizacji k.p.a., s. 35.</w:t>
      </w:r>
    </w:p>
  </w:footnote>
  <w:footnote w:id="437">
    <w:p w:rsidR="00BA4699" w:rsidRDefault="00BA4699" w:rsidP="002443B4">
      <w:pPr>
        <w:pStyle w:val="Tekstprzypisudolnego"/>
        <w:spacing w:before="60" w:after="60" w:line="240" w:lineRule="auto"/>
      </w:pPr>
      <w:r w:rsidRPr="00BF4D71">
        <w:rPr>
          <w:rStyle w:val="Odwoanieprzypisudolnego"/>
        </w:rPr>
        <w:footnoteRef/>
      </w:r>
      <w:r w:rsidRPr="00BF4D71">
        <w:t xml:space="preserve"> Postulat taki został zawarty także (w:) Ministerstwo Gospodarki, Nowa ordynacja podatkowa – projekt rekomendacji, Warszawa, 4 kwietnia 2014 r., s. 12-13.</w:t>
      </w:r>
    </w:p>
  </w:footnote>
  <w:footnote w:id="438">
    <w:p w:rsidR="00BA4699" w:rsidRDefault="00BA4699" w:rsidP="002443B4">
      <w:pPr>
        <w:pStyle w:val="Tekstprzypisudolnego"/>
        <w:spacing w:before="60" w:after="60" w:line="240" w:lineRule="auto"/>
      </w:pPr>
      <w:r w:rsidRPr="00BF4D71">
        <w:rPr>
          <w:rStyle w:val="Odwoanieprzypisudolnego"/>
        </w:rPr>
        <w:footnoteRef/>
      </w:r>
      <w:r w:rsidRPr="00BF4D71">
        <w:t xml:space="preserve"> Zob. np. Podatkowe PwC. Alternatywne metody rozwiązywania sporów podatkowych perspektywą mediacji podatkowej w Polsce, PwC Polska, http://</w:t>
      </w:r>
      <w:hyperlink r:id="rId28" w:history="1">
        <w:r w:rsidRPr="00BF4D71">
          <w:rPr>
            <w:rStyle w:val="Hipercze"/>
          </w:rPr>
          <w:t>www.pwc.pl</w:t>
        </w:r>
      </w:hyperlink>
      <w:r w:rsidRPr="00BF4D71">
        <w:rPr>
          <w:rStyle w:val="Hipercze"/>
        </w:rPr>
        <w:t>.</w:t>
      </w:r>
    </w:p>
  </w:footnote>
  <w:footnote w:id="439">
    <w:p w:rsidR="00BA4699" w:rsidRDefault="00BA4699" w:rsidP="002443B4">
      <w:pPr>
        <w:pStyle w:val="Tekstprzypisudolnego"/>
        <w:spacing w:before="60" w:after="60" w:line="240" w:lineRule="auto"/>
      </w:pPr>
      <w:r w:rsidRPr="00BF4D71">
        <w:rPr>
          <w:rStyle w:val="Odwoanieprzypisudolnego"/>
        </w:rPr>
        <w:footnoteRef/>
      </w:r>
      <w:r w:rsidRPr="00BF4D71">
        <w:t xml:space="preserve"> O wadze swobody wyboru mediatora także w: uzasadnienie projektu nowelizacji k.p.a., s. 39: „Zaufanie do mediatora i świadoma zgoda, aby mediację przeprowadziła określona osoba, ma (…) ogromne znaczenie dla powodzenia mediacji”.</w:t>
      </w:r>
    </w:p>
  </w:footnote>
  <w:footnote w:id="440">
    <w:p w:rsidR="00BA4699" w:rsidRDefault="00BA4699" w:rsidP="002443B4">
      <w:pPr>
        <w:pStyle w:val="Tekstprzypisudolnego"/>
        <w:spacing w:before="60" w:after="60" w:line="240" w:lineRule="auto"/>
      </w:pPr>
      <w:r w:rsidRPr="00BF4D71">
        <w:rPr>
          <w:rStyle w:val="Odwoanieprzypisudolnego"/>
        </w:rPr>
        <w:footnoteRef/>
      </w:r>
      <w:r w:rsidRPr="00BF4D71">
        <w:t xml:space="preserve"> Uzasadnienie projektu nowelizacji k.p.a., s. 39.</w:t>
      </w:r>
    </w:p>
  </w:footnote>
  <w:footnote w:id="441">
    <w:p w:rsidR="00BA4699" w:rsidRDefault="00BA4699" w:rsidP="0085545A">
      <w:pPr>
        <w:pStyle w:val="Tekstprzypisudolnego"/>
        <w:spacing w:before="60" w:after="60" w:line="240" w:lineRule="auto"/>
      </w:pPr>
      <w:r>
        <w:rPr>
          <w:rStyle w:val="Odwoanieprzypisudolnego"/>
        </w:rPr>
        <w:footnoteRef/>
      </w:r>
      <w:r>
        <w:t xml:space="preserve"> Takie postulaty są mocno wyrażane na gruncie kodeksu postępowania administracyjnego. Zdaniem Z. Kmieciaka </w:t>
      </w:r>
      <w:r>
        <w:rPr>
          <w:rStyle w:val="FontStyle12"/>
        </w:rPr>
        <w:t xml:space="preserve">„pilnym zadaniem wydaje się zerwanie z nadmiernym formalizmem i złożonością postępowania przed organami administracji, a w konsekwencji – towarzyszącą owym zjawiskom przesadną szczegółowością obowiązujących w tej materii unormowań prawnych” - zob. Z. Kmieciak, Koncepcja trybu uproszczonego w postępowaniu administracyjnym ogólnym, „Państwo i Prawo” 2014, nr 8, s. 100. Tendencje do upraszczania oraz elastyczności procedur administracyjnych są widoczne w innych krajach (m.in. Włochy, Holandia, Chorwacja, Niemcy, Szwecja, Czechy) - szerzej o tym: </w:t>
      </w:r>
      <w:r>
        <w:t>Z. Kmieciak (red.), Postępowanie administracyjne w Europie, Kraków 2005.</w:t>
      </w:r>
    </w:p>
  </w:footnote>
  <w:footnote w:id="442">
    <w:p w:rsidR="00BA4699" w:rsidRDefault="00BA4699" w:rsidP="0085545A">
      <w:pPr>
        <w:pStyle w:val="Tekstprzypisudolnego"/>
        <w:spacing w:before="60" w:after="60" w:line="240" w:lineRule="auto"/>
      </w:pPr>
      <w:r>
        <w:rPr>
          <w:rStyle w:val="Odwoanieprzypisudolnego"/>
        </w:rPr>
        <w:footnoteRef/>
      </w:r>
      <w:r>
        <w:t xml:space="preserve"> J. Borkowski (w:) B. Adamiak, J. Borkowski, Kodeks postępowania administracyjnego. Komentarz, Warszawa 2014, s. 725 wyróżnia następujące cechy postępowania uproszczonego: niezbyt rozbudowana regulacja prawna, założona w przepisach szybkość działania organu administracji publicznej przy ograniczonym formalizmie czynności oraz szeroka dostępność tego postępowania dla różnych podmiotów.</w:t>
      </w:r>
    </w:p>
  </w:footnote>
  <w:footnote w:id="443">
    <w:p w:rsidR="00BA4699" w:rsidRDefault="00BA4699" w:rsidP="0085545A">
      <w:pPr>
        <w:pStyle w:val="Tekstprzypisudolnego"/>
        <w:spacing w:before="60" w:after="60" w:line="240" w:lineRule="auto"/>
      </w:pPr>
      <w:r>
        <w:rPr>
          <w:rStyle w:val="Odwoanieprzypisudolnego"/>
        </w:rPr>
        <w:footnoteRef/>
      </w:r>
      <w:r>
        <w:t xml:space="preserve"> Podobne rozwiązanie przewidywał art. 108 § 2 ustawy z dnia 15 marca 1934 r. – Ordynacja podatkowa (Dz.U. R.P. Nr 39, poz.346), z tym że wówczas pisemne uzasadnienie decyzji było udzielane odpłatnie. Są też przykłady, gdy nie są sporządzane pisemne decyzje, tak jest według hiszpańskiej ordynacji podatkowej z 2003 r. (art. 103 ust. 2) „nie istnieje potrzeba sporządzania na piśmie decyzji w postępowaniach związanych z wykonaniem praw, stanowiących przedmiot zgłoszenia dokonanego przez zobowiązanego do zapłaty podatku, które zostało unieważnione, wygaśnięcie przedmiotu postępowania, rezygnacja lub odstąpienie zainteresowanych”. W takim przypadku, na wniosek podatnika, jest wydawane zaświadczenie o istnieniu wskazanych okoliczności.</w:t>
      </w:r>
    </w:p>
  </w:footnote>
  <w:footnote w:id="444">
    <w:p w:rsidR="00BA4699" w:rsidRDefault="00BA4699" w:rsidP="0085545A">
      <w:pPr>
        <w:pStyle w:val="Tekstprzypisudolnego"/>
        <w:spacing w:before="60" w:after="60" w:line="240" w:lineRule="auto"/>
      </w:pPr>
      <w:r>
        <w:rPr>
          <w:rStyle w:val="Odwoanieprzypisudolnego"/>
        </w:rPr>
        <w:footnoteRef/>
      </w:r>
      <w:r>
        <w:t xml:space="preserve"> Dane dotyczące dyrektorów izb skarbowych oraz dyrektorów izb celnych, przekazane przez Ministerstwo Finansów Komisji Kodyfikacyjnej Ogólnego Prawa Podatkowego.</w:t>
      </w:r>
    </w:p>
  </w:footnote>
  <w:footnote w:id="445">
    <w:p w:rsidR="00BA4699" w:rsidRDefault="00BA4699" w:rsidP="0085545A">
      <w:pPr>
        <w:pStyle w:val="Tekstprzypisudolnego"/>
        <w:spacing w:before="60" w:after="60" w:line="240" w:lineRule="auto"/>
      </w:pPr>
      <w:r>
        <w:rPr>
          <w:rStyle w:val="Odwoanieprzypisudolnego"/>
        </w:rPr>
        <w:footnoteRef/>
      </w:r>
      <w:r>
        <w:t xml:space="preserve"> Przykładowo wyrok NSA z dnia 3 listopada 2000 r., I SA/Łd 594/98: „Rozstrzygnięcie w sprawie określenia wysokości podatku dochodowego nie stanowi zagadnienia wstępnego, od którego zależy wydanie decyzji dotyczącej określenia wysokości podatku od towarów i usług. Chociaż pożądane jest, aby ustalenie wysokości obrotu w postępowaniu dotyczącym podatku od towarów i usług było skorelowane z ustaleniem wielkości przychodu w równolegle toczącym się postępowaniu w sprawie podatku dochodowego, to jednak postępowania te są odrębnymi postępowaniami i w każdym z nich organy powinny dokonać odpowiednich odrębnych ustaleń (…).”</w:t>
      </w:r>
    </w:p>
  </w:footnote>
  <w:footnote w:id="446">
    <w:p w:rsidR="00BA4699" w:rsidRDefault="00BA4699" w:rsidP="0085545A">
      <w:pPr>
        <w:pStyle w:val="Tekstprzypisudolnego"/>
        <w:spacing w:before="60" w:after="60" w:line="240" w:lineRule="auto"/>
      </w:pPr>
      <w:r>
        <w:rPr>
          <w:rStyle w:val="Odwoanieprzypisudolnego"/>
        </w:rPr>
        <w:footnoteRef/>
      </w:r>
      <w:r>
        <w:t xml:space="preserve"> Wyrok NSA z dnia 7 marca 2001 r., III SA 32/00, CBOSA.</w:t>
      </w:r>
    </w:p>
  </w:footnote>
  <w:footnote w:id="447">
    <w:p w:rsidR="00BA4699" w:rsidRDefault="00BA4699" w:rsidP="0085545A">
      <w:pPr>
        <w:pStyle w:val="Tekstprzypisudolnego"/>
        <w:spacing w:before="60" w:after="60" w:line="240" w:lineRule="auto"/>
      </w:pPr>
      <w:r>
        <w:rPr>
          <w:rStyle w:val="Odwoanieprzypisudolnego"/>
        </w:rPr>
        <w:footnoteRef/>
      </w:r>
      <w:r>
        <w:t xml:space="preserve"> Szerszą analizę tego zagadnienia przedstawia Z. Kmieciak, Raport zespołu eksperckiego, </w:t>
      </w:r>
      <w:r>
        <w:rPr>
          <w:i/>
          <w:iCs/>
        </w:rPr>
        <w:t>op.cit.</w:t>
      </w:r>
      <w:r>
        <w:t xml:space="preserve">, s. 123-125 dostępny pod adresem </w:t>
      </w:r>
      <w:hyperlink r:id="rId29" w:history="1">
        <w:r>
          <w:rPr>
            <w:rStyle w:val="Hipercze"/>
          </w:rPr>
          <w:t>http://www.nsa.gov.pl/raport-ekspercki-kpa.php</w:t>
        </w:r>
      </w:hyperlink>
      <w:r>
        <w:t xml:space="preserve"> [dostęp 14.02.2017]. Analogiczne rozwiązania wprowadzono w art. 106a k.p.a. wprowadzonym ustawą z dnia 7 kwietnia 2017 r. o zmianie ustawy – Kodeks postępowania administracyjnego oraz niektórych innych ustaw (poz. 935).</w:t>
      </w:r>
    </w:p>
  </w:footnote>
  <w:footnote w:id="448">
    <w:p w:rsidR="00BA4699" w:rsidRDefault="00BA4699" w:rsidP="0085545A">
      <w:pPr>
        <w:pStyle w:val="Tekstprzypisudolnego"/>
        <w:spacing w:before="60" w:after="60" w:line="240" w:lineRule="auto"/>
      </w:pPr>
      <w:r>
        <w:rPr>
          <w:rStyle w:val="Odwoanieprzypisudolnego"/>
        </w:rPr>
        <w:footnoteRef/>
      </w:r>
      <w:r>
        <w:t xml:space="preserve"> Analogiczne rozwiązanie przewiduje przepis art. 107 § 1 pkt 9 k.p.a., zmieniony ustawą z dnia 7 kwietnia 2017 r. o zmianie ustawy – Kodeks postępowania administracyjnego oraz niektórych innych ustaw (Dz.U. poz. 935).</w:t>
      </w:r>
    </w:p>
  </w:footnote>
  <w:footnote w:id="449">
    <w:p w:rsidR="00BA4699" w:rsidRDefault="00BA4699" w:rsidP="00133267">
      <w:pPr>
        <w:pStyle w:val="Tekstprzypisudolnego"/>
        <w:spacing w:before="60" w:after="60" w:line="240" w:lineRule="auto"/>
      </w:pPr>
      <w:r w:rsidRPr="00BF4D71">
        <w:rPr>
          <w:rStyle w:val="Odwoanieprzypisudolnego"/>
        </w:rPr>
        <w:footnoteRef/>
      </w:r>
      <w:r w:rsidRPr="00BF4D71">
        <w:t xml:space="preserve"> Problem obszernie analizuje Z. Kmieciak, Przewlekłość postępowania administracyjnego w świetle ustaleń europejskiego case law (w): Analiza i ocena zmian kodeksu postępowania administracyjnego w latach 2010-2011, red. M. Błachucki, T. Górzyńska, G. Sibiga, Warszawa 2012.</w:t>
      </w:r>
    </w:p>
  </w:footnote>
  <w:footnote w:id="450">
    <w:p w:rsidR="00BA4699" w:rsidRDefault="00BA4699" w:rsidP="00133267">
      <w:pPr>
        <w:pStyle w:val="Tekstprzypisudolnego"/>
        <w:spacing w:before="60" w:after="60" w:line="240" w:lineRule="auto"/>
      </w:pPr>
      <w:r w:rsidRPr="00BF4D71">
        <w:rPr>
          <w:rStyle w:val="Odwoanieprzypisudolnego"/>
        </w:rPr>
        <w:footnoteRef/>
      </w:r>
      <w:r w:rsidRPr="00BF4D71">
        <w:t xml:space="preserve"> Por. Jak rewolucja KAS wpłynie na przedsiębiorców. Polska a inne kraje., Raport EY, styczeń 2017, s. 12-13.</w:t>
      </w:r>
    </w:p>
  </w:footnote>
  <w:footnote w:id="451">
    <w:p w:rsidR="00BA4699" w:rsidRDefault="00BA4699" w:rsidP="00133267">
      <w:pPr>
        <w:pStyle w:val="Tekstprzypisudolnego"/>
        <w:spacing w:before="60" w:after="60" w:line="240" w:lineRule="auto"/>
      </w:pPr>
      <w:r w:rsidRPr="00BF4D71">
        <w:rPr>
          <w:rStyle w:val="Odwoanieprzypisudolnego"/>
        </w:rPr>
        <w:footnoteRef/>
      </w:r>
      <w:r w:rsidRPr="00BF4D71">
        <w:t xml:space="preserve"> Inne rozwiązania są przyjęte na gruncie prawa budowlanego oraz w nowelizacji przepisów o postępowaniu administracyjnym.</w:t>
      </w:r>
    </w:p>
  </w:footnote>
  <w:footnote w:id="452">
    <w:p w:rsidR="00BA4699" w:rsidRDefault="00BA4699" w:rsidP="00133267">
      <w:pPr>
        <w:pStyle w:val="Tekstprzypisudolnego"/>
        <w:spacing w:before="60" w:after="60" w:line="240" w:lineRule="auto"/>
      </w:pPr>
      <w:r w:rsidRPr="00BF4D71">
        <w:rPr>
          <w:rStyle w:val="Odwoanieprzypisudolnego"/>
        </w:rPr>
        <w:footnoteRef/>
      </w:r>
      <w:r w:rsidRPr="00BF4D71">
        <w:t xml:space="preserve"> Ustawa z dnia 7 kwietnia 2017 r. o zmianie ustawy – Kodeks postępowania administracyjnego oraz niektórych innych ustaw (Dz.U. poz. 935).</w:t>
      </w:r>
    </w:p>
  </w:footnote>
  <w:footnote w:id="453">
    <w:p w:rsidR="00BA4699" w:rsidRDefault="00BA4699" w:rsidP="00133267">
      <w:pPr>
        <w:pStyle w:val="Tekstprzypisudolnego"/>
        <w:spacing w:before="60" w:after="60" w:line="240" w:lineRule="auto"/>
      </w:pPr>
      <w:r w:rsidRPr="00BF4D71">
        <w:rPr>
          <w:rStyle w:val="Odwoanieprzypisudolnego"/>
        </w:rPr>
        <w:footnoteRef/>
      </w:r>
      <w:r w:rsidRPr="00BF4D71">
        <w:t xml:space="preserve"> D. Strzelec, Eliminowanie nieprawidłowości proceduralnych przez organ odwoławczy a zasada dwuinstancyjności postępowania, „Monitor Podatkowy” 2008, nr 5, „Aktualnie w wielu postępowaniach determinantem podejmowanych rozstrzygnięć – samodzielnie uzupełnić dowody, czy wydać decyzję kasacyjną – będzie perspektywa przedawnienia zobowiązania podatkowego, a nie wzgląd na realizację gwarancji proceduralnych. W wielu sytuacjach, zwłaszcza gdy chodzi o braki w ustaleniu, czy też o nieprawidłowości w przeprowadzeniu dowodów, odnoszących się do faktów o kluczowym znaczeniu, do jakich doszło w postępowaniu pierwszoinstancyjnym, organ odwoławczy powinien wydać decyzję na podstawie art. 233 § 2 o.p. W przypadku uchybień proceduralnych (szczególnie gdy dotyczą gromadzenia dowodów w sprawie) organ odwoławczy w postępowaniu podatkowym, częściej niż administracyjnym, powinien korzystać z uprawnień kasacyjnych. Przemawia za tym złożoność spraw podatkowych, wyróżniających się z ogółu spraw rozpoznawanych przez organy administracji tym, iż dość często są bardziej skomplikowane i nierzadko wymagają poczynienia szeregu ustaleń faktycznych.”.</w:t>
      </w:r>
    </w:p>
  </w:footnote>
  <w:footnote w:id="454">
    <w:p w:rsidR="00BA4699" w:rsidRDefault="00BA4699" w:rsidP="00133267">
      <w:pPr>
        <w:pStyle w:val="Tekstprzypisudolnego"/>
        <w:spacing w:before="60" w:after="60" w:line="240" w:lineRule="auto"/>
      </w:pPr>
      <w:r w:rsidRPr="00BF4D71">
        <w:rPr>
          <w:rStyle w:val="Odwoanieprzypisudolnego"/>
        </w:rPr>
        <w:footnoteRef/>
      </w:r>
      <w:r w:rsidRPr="00BF4D71">
        <w:t xml:space="preserve"> H. Dzwonkowski, Komentarz do art. 234 ustawy - Ordynacja podatkowa (w:) H. Dzwonkowski, A. Huchla, C. Kosikowski, Ustawa Ordynacja podatkowa. Komentarz, ABC 2003, cyt. za Lex.</w:t>
      </w:r>
    </w:p>
  </w:footnote>
  <w:footnote w:id="455">
    <w:p w:rsidR="00BA4699" w:rsidRDefault="00BA4699" w:rsidP="00133267">
      <w:pPr>
        <w:pStyle w:val="Tekstprzypisudolnego"/>
        <w:spacing w:before="60" w:after="60" w:line="240" w:lineRule="auto"/>
      </w:pPr>
      <w:r w:rsidRPr="00BF4D71">
        <w:rPr>
          <w:rStyle w:val="Odwoanieprzypisudolnego"/>
        </w:rPr>
        <w:footnoteRef/>
      </w:r>
      <w:r w:rsidRPr="00BF4D71">
        <w:t xml:space="preserve"> Wyrok SN z dnia 24 czerwca 1993 r., III ARN 33/93, „Państwo i Prawo” 1994, nr 9, poz. 111, z glosą M. Wierzbowskiego.</w:t>
      </w:r>
    </w:p>
  </w:footnote>
  <w:footnote w:id="456">
    <w:p w:rsidR="00BA4699" w:rsidRDefault="00BA4699" w:rsidP="00133267">
      <w:pPr>
        <w:pStyle w:val="Tekstprzypisudolnego"/>
        <w:spacing w:before="60" w:after="60" w:line="240" w:lineRule="auto"/>
      </w:pPr>
      <w:r w:rsidRPr="00BF4D71">
        <w:rPr>
          <w:rStyle w:val="Odwoanieprzypisudolnego"/>
        </w:rPr>
        <w:footnoteRef/>
      </w:r>
      <w:r w:rsidRPr="00BF4D71">
        <w:t xml:space="preserve"> I. Krawczyk, Pośredni zakaz reformationis in peius – aspekt zgodności z Konstytucją RP, Białystok 2015, s. 197 -211.</w:t>
      </w:r>
    </w:p>
  </w:footnote>
  <w:footnote w:id="457">
    <w:p w:rsidR="00BA4699" w:rsidRDefault="00BA4699" w:rsidP="0085545A">
      <w:pPr>
        <w:pStyle w:val="Tekstprzypisudolnego"/>
        <w:spacing w:before="60" w:after="60" w:line="240" w:lineRule="auto"/>
      </w:pPr>
      <w:r>
        <w:rPr>
          <w:rStyle w:val="Odwoanieprzypisudolnego"/>
        </w:rPr>
        <w:footnoteRef/>
      </w:r>
      <w:r>
        <w:t xml:space="preserve"> Ordynacja podatkowa – Ocena skutków regulacji ex post, załącznik nr V.2 – rygor natychmiastowej wykonalności, </w:t>
      </w:r>
      <w:hyperlink r:id="rId30" w:history="1">
        <w:r>
          <w:rPr>
            <w:rStyle w:val="Hipercze"/>
          </w:rPr>
          <w:t>http://legislacja.rcl.gov.pl/docs/6/12278502/12319080/dokument192445.pdf</w:t>
        </w:r>
      </w:hyperlink>
      <w:r>
        <w:t>.</w:t>
      </w:r>
    </w:p>
  </w:footnote>
  <w:footnote w:id="458">
    <w:p w:rsidR="00BA4699" w:rsidRDefault="00BA4699" w:rsidP="0085545A">
      <w:pPr>
        <w:pStyle w:val="Tekstprzypisudolnego"/>
        <w:spacing w:before="60" w:after="60" w:line="240" w:lineRule="auto"/>
      </w:pPr>
      <w:r>
        <w:rPr>
          <w:rStyle w:val="Odwoanieprzypisudolnego"/>
        </w:rPr>
        <w:footnoteRef/>
      </w:r>
      <w:r>
        <w:t xml:space="preserve"> W Informacji Najwyższej Izby Kontroli z dnia 3 czerwca 2014 r. o wynikach kontroli „Przestrzeganie praw podatników przez wybrane urzędy skarbowe i izby skarbowe” na str. 10, stwierdzono, że „Urzędy skarbowe działały z poszanowaniem interesów podatników, decydując o wykonaniu decyzji wymierzających zobowiązanie podatkowe (ostatecznych i nieostatecznych)”.</w:t>
      </w:r>
    </w:p>
  </w:footnote>
  <w:footnote w:id="459">
    <w:p w:rsidR="00BA4699" w:rsidRDefault="00BA4699" w:rsidP="0085545A">
      <w:pPr>
        <w:pStyle w:val="Tekstprzypisudolnego"/>
        <w:spacing w:before="60" w:after="60" w:line="240" w:lineRule="auto"/>
      </w:pPr>
      <w:r>
        <w:rPr>
          <w:rStyle w:val="Odwoanieprzypisudolnego"/>
        </w:rPr>
        <w:footnoteRef/>
      </w:r>
      <w:r>
        <w:t xml:space="preserve"> Organ, którego decyzję zaskarżono, może uwzględnić skargę we własnym zakresie, ale tylko wtedy, gdy uwzględnia ją w całości (art. 54 § 3 p.p.s.a).</w:t>
      </w:r>
    </w:p>
  </w:footnote>
  <w:footnote w:id="460">
    <w:p w:rsidR="00BA4699" w:rsidRDefault="00BA4699" w:rsidP="0085545A">
      <w:pPr>
        <w:pStyle w:val="Tekstprzypisudolnego"/>
        <w:spacing w:before="60" w:after="60" w:line="240" w:lineRule="auto"/>
      </w:pPr>
      <w:r>
        <w:rPr>
          <w:rStyle w:val="Odwoanieprzypisudolnego"/>
        </w:rPr>
        <w:footnoteRef/>
      </w:r>
      <w:r>
        <w:t xml:space="preserve"> Termin bywa uznawany za zbyt krótki, aby strona rozpoznała celowość i zakres inicjowania wznowienia postępowania. Określenie dłuższego terminu w jednostkowych sprawach i wyłączenie terminu z ordynacji podatkowej miało miejsce u</w:t>
      </w:r>
      <w:r>
        <w:rPr>
          <w:shd w:val="clear" w:color="auto" w:fill="FFFFFF"/>
        </w:rPr>
        <w:t>stawą z dnia 22 listopada 2013 r. zmieniającą ustawę o zmianie ustawy o podatku od spadków i darowizn oraz ustawy o podatku od czynności cywilnoprawnych (Dz.U. z 2014 r. poz. 19).</w:t>
      </w:r>
    </w:p>
  </w:footnote>
  <w:footnote w:id="461">
    <w:p w:rsidR="00BA4699" w:rsidRDefault="00BA4699" w:rsidP="0085545A">
      <w:pPr>
        <w:pStyle w:val="Tekstprzypisudolnego"/>
        <w:spacing w:before="60" w:after="60" w:line="240" w:lineRule="auto"/>
      </w:pPr>
      <w:r>
        <w:rPr>
          <w:rStyle w:val="Odwoanieprzypisudolnego"/>
        </w:rPr>
        <w:footnoteRef/>
      </w:r>
      <w:r>
        <w:t xml:space="preserve"> P. Pietrasz (red.), Czynniki zmniejszające rolę władczych form działania administracji skarbowej w realizacji zobowiązań podatkowych, Warszawa-Białystok 2013, s. 330.</w:t>
      </w:r>
    </w:p>
  </w:footnote>
  <w:footnote w:id="462">
    <w:p w:rsidR="00BA4699" w:rsidRDefault="00BA4699" w:rsidP="0085545A">
      <w:pPr>
        <w:pStyle w:val="Tekstprzypisudolnego"/>
        <w:spacing w:before="60" w:after="60" w:line="240" w:lineRule="auto"/>
      </w:pPr>
      <w:r>
        <w:rPr>
          <w:rStyle w:val="Odwoanieprzypisudolnego"/>
        </w:rPr>
        <w:footnoteRef/>
      </w:r>
      <w:r>
        <w:t xml:space="preserve"> Analogicznie w rozporządzeniu Prezydenta Rzeczypospolitej z dnia 22 marca 1928 r. o postępowaniu administracyjnem; według art. 101 ust. 1, pkt a) tego rozporządzenia, władza nadzorcza, a gdy chodziło o decyzję władzy naczelnej - ta władza mogła uchylić z urzędu lub na wniosek osoby interesowanej, jako nieważną, każdą decyzję, która wydana została przez władzę oczywiście niewłaściwą.</w:t>
      </w:r>
    </w:p>
  </w:footnote>
  <w:footnote w:id="463">
    <w:p w:rsidR="00BA4699" w:rsidRDefault="00BA4699" w:rsidP="0085545A">
      <w:pPr>
        <w:pStyle w:val="Tekstprzypisudolnego"/>
        <w:spacing w:before="60" w:after="60" w:line="240" w:lineRule="auto"/>
      </w:pPr>
      <w:r>
        <w:rPr>
          <w:rStyle w:val="Odwoanieprzypisudolnego"/>
        </w:rPr>
        <w:footnoteRef/>
      </w:r>
      <w:r>
        <w:t xml:space="preserve"> Analogiczny postulat zgłaszają R. Hauser i J. Drachal, Raport zespołu eksperckiego, </w:t>
      </w:r>
      <w:r>
        <w:rPr>
          <w:i/>
          <w:iCs/>
        </w:rPr>
        <w:t>op. cit.</w:t>
      </w:r>
      <w:r>
        <w:t xml:space="preserve">, s. 206-209 dostępny pod adresem </w:t>
      </w:r>
      <w:hyperlink r:id="rId31" w:history="1">
        <w:r>
          <w:rPr>
            <w:rStyle w:val="Hipercze"/>
          </w:rPr>
          <w:t>http://www.nsa.gov.pl/raport-ekspercko-kpa.php</w:t>
        </w:r>
      </w:hyperlink>
      <w:r>
        <w:t>.</w:t>
      </w:r>
    </w:p>
  </w:footnote>
  <w:footnote w:id="464">
    <w:p w:rsidR="00BA4699" w:rsidRDefault="00BA4699" w:rsidP="0085545A">
      <w:pPr>
        <w:pStyle w:val="Tekstprzypisudolnego"/>
        <w:spacing w:before="60" w:after="60" w:line="240" w:lineRule="auto"/>
      </w:pPr>
      <w:r>
        <w:rPr>
          <w:rStyle w:val="Odwoanieprzypisudolnego"/>
        </w:rPr>
        <w:footnoteRef/>
      </w:r>
      <w:r>
        <w:t xml:space="preserve"> Przykładowe opisy skomplikowanych stanów faktycznych: wyrok NSA z dnia 8 czerwca 2011 r., I FSK 940/10; wyrok NSA z dnia 17 stycznia 2008 r., I FSK 140/07; wyrok WSA w Poznaniu z dnia 21 października 2008 r., I SA/Po 776/08; wyrok WSA w Opolu z dnia 16 kwietnia 2008 r., I SA/Op 48/08, CBOSA.</w:t>
      </w:r>
    </w:p>
  </w:footnote>
  <w:footnote w:id="465">
    <w:p w:rsidR="00BA4699" w:rsidRDefault="00BA4699" w:rsidP="0085545A">
      <w:pPr>
        <w:pStyle w:val="Tekstprzypisudolnego"/>
        <w:spacing w:before="60" w:after="60" w:line="240" w:lineRule="auto"/>
      </w:pPr>
      <w:r>
        <w:rPr>
          <w:rStyle w:val="Odwoanieprzypisudolnego"/>
        </w:rPr>
        <w:footnoteRef/>
      </w:r>
      <w:r>
        <w:t xml:space="preserve"> Zob. art. 6 ust. 8 ustawy o podatkach i opłatach lokalnych, art. 6 ust. 4 ustawy o podatku leśnym oraz art. 6 ust. 7 ustawy o podatku rolnym.</w:t>
      </w:r>
    </w:p>
  </w:footnote>
  <w:footnote w:id="466">
    <w:p w:rsidR="00BA4699" w:rsidRDefault="00BA4699" w:rsidP="0085545A">
      <w:pPr>
        <w:pStyle w:val="Tekstprzypisudolnego"/>
        <w:spacing w:before="60" w:after="60" w:line="240" w:lineRule="auto"/>
      </w:pPr>
      <w:r>
        <w:rPr>
          <w:rStyle w:val="Odwoanieprzypisudolnego"/>
        </w:rPr>
        <w:footnoteRef/>
      </w:r>
      <w:r>
        <w:t xml:space="preserve"> Zob. R. Dowgier, Ordynacja podatkowa w praktyce gminnych organów podatkowych - stan obecny i kierunki zmian, Warszawa 2014, s. 274 i nast.</w:t>
      </w:r>
    </w:p>
  </w:footnote>
  <w:footnote w:id="467">
    <w:p w:rsidR="00BA4699" w:rsidRDefault="00BA4699" w:rsidP="0085545A">
      <w:pPr>
        <w:pStyle w:val="Tekstprzypisudolnego"/>
        <w:spacing w:before="60" w:after="60" w:line="240" w:lineRule="auto"/>
      </w:pPr>
      <w:r>
        <w:rPr>
          <w:rStyle w:val="Odwoanieprzypisudolnego"/>
        </w:rPr>
        <w:footnoteRef/>
      </w:r>
      <w:r>
        <w:t xml:space="preserve"> Dla przykładu w trakcie roku wprowadzono ustawowe zwolnienie z podatku od nieruchomości dla będących własnością Skarbu Państwa gruntów pokrytych wodami jezior o ciągłym dopływie lub odpływie wód powierzchniowych oraz gruntów zajętych pod sztuczne zbiorniki wodne - zmiana wprowadzona z dniem 30 lipca 2005 r. ustawą z dnia 3 czerwca 2005 r. o zmianie ustawy - Prawo wodne oraz niektórych innych ustaw (Dz.U. Nr 130, poz. 1087 z późn. zm.).</w:t>
      </w:r>
    </w:p>
  </w:footnote>
  <w:footnote w:id="468">
    <w:p w:rsidR="00BA4699" w:rsidRDefault="00BA4699" w:rsidP="0085545A">
      <w:pPr>
        <w:pStyle w:val="Tekstprzypisudolnego"/>
        <w:spacing w:before="60" w:after="60" w:line="240" w:lineRule="auto"/>
      </w:pPr>
      <w:r>
        <w:rPr>
          <w:rStyle w:val="Odwoanieprzypisudolnego"/>
        </w:rPr>
        <w:footnoteRef/>
      </w:r>
      <w:r>
        <w:t xml:space="preserve"> Por. L. Etel, Uchwały podatkowe samorządu terytorialnego, Białystok 2004, s. 79-80.</w:t>
      </w:r>
    </w:p>
  </w:footnote>
  <w:footnote w:id="469">
    <w:p w:rsidR="00BA4699" w:rsidRDefault="00BA4699" w:rsidP="0085545A">
      <w:pPr>
        <w:pStyle w:val="Tekstprzypisudolnego"/>
        <w:spacing w:before="60" w:after="60" w:line="240" w:lineRule="auto"/>
      </w:pPr>
      <w:r>
        <w:rPr>
          <w:rStyle w:val="Odwoanieprzypisudolnego"/>
        </w:rPr>
        <w:footnoteRef/>
      </w:r>
      <w:r>
        <w:t xml:space="preserve"> Wyrok WSA w Krakowie z dnia 17 lipca 2009 r., I SA/Kr 659/09, CBOSA.</w:t>
      </w:r>
    </w:p>
  </w:footnote>
  <w:footnote w:id="470">
    <w:p w:rsidR="00BA4699" w:rsidRDefault="00BA4699" w:rsidP="0085545A">
      <w:pPr>
        <w:pStyle w:val="Tekstprzypisudolnego"/>
        <w:spacing w:before="60" w:after="60" w:line="240" w:lineRule="auto"/>
      </w:pPr>
      <w:r>
        <w:rPr>
          <w:rStyle w:val="Odwoanieprzypisudolnego"/>
        </w:rPr>
        <w:footnoteRef/>
      </w:r>
      <w:r>
        <w:t xml:space="preserve"> Zob. wyrok NSA z dnia 28 stycznia 2014 r., II FSK 225/12 z glosą B. Brzezińskiego, „Przegląd Orzecznictwa Podatkowego” 2014, nr 4, s. 313-315, który słusznie zauważa, że wysokość obciążenia podatkowego nie może zależeć od szybkości działania organu podatkowego czy biegu spraw związanych ze spadkiem.</w:t>
      </w:r>
    </w:p>
  </w:footnote>
  <w:footnote w:id="471">
    <w:p w:rsidR="00BA4699" w:rsidRDefault="00BA4699" w:rsidP="0085545A">
      <w:pPr>
        <w:pStyle w:val="Tekstprzypisudolnego"/>
        <w:spacing w:before="60" w:after="60" w:line="240" w:lineRule="auto"/>
      </w:pPr>
      <w:r>
        <w:rPr>
          <w:rStyle w:val="Odwoanieprzypisudolnego"/>
        </w:rPr>
        <w:footnoteRef/>
      </w:r>
      <w:r>
        <w:t xml:space="preserve"> Analogiczne rozwiązania zawierają obecnie przepisy: art. 6 ust. 8a ustawy o podatkach i opłatach lokalnych, art. 6 ust. 3a ustawy o podatku leśnym oraz art. 6 ust. 6a ustawy o podatku rolnym.</w:t>
      </w:r>
    </w:p>
  </w:footnote>
  <w:footnote w:id="472">
    <w:p w:rsidR="00BA4699" w:rsidRDefault="00BA4699" w:rsidP="0085545A">
      <w:pPr>
        <w:pStyle w:val="Tekstprzypisudolnego"/>
        <w:spacing w:before="60" w:after="60" w:line="240" w:lineRule="auto"/>
      </w:pPr>
      <w:r>
        <w:rPr>
          <w:rStyle w:val="Odwoanieprzypisudolnego"/>
        </w:rPr>
        <w:footnoteRef/>
      </w:r>
      <w:r>
        <w:t xml:space="preserve"> W wyroku NSA z dnia 1 grudnia 2004 r., FSK 583/04, CBOSA, wyrażono pogląd, wedle którego wszczęcie postępowania na żądanie strony nastąpić może jedynie wówczas, gdy przepis prawa normuje możliwość żądania określonego zachowania się organu administracji.</w:t>
      </w:r>
    </w:p>
  </w:footnote>
  <w:footnote w:id="473">
    <w:p w:rsidR="00BA4699" w:rsidRDefault="00BA4699" w:rsidP="0085545A">
      <w:pPr>
        <w:pStyle w:val="Tekstprzypisudolnego"/>
        <w:spacing w:before="60" w:after="60" w:line="240" w:lineRule="auto"/>
      </w:pPr>
      <w:r>
        <w:rPr>
          <w:rStyle w:val="Odwoanieprzypisudolnego"/>
        </w:rPr>
        <w:footnoteRef/>
      </w:r>
      <w:r>
        <w:t xml:space="preserve"> Analogiczny postulat zgłaszają M. Niezgódka-Medek i M. Szubiakowski, Raport zespołu eksperckiego działającego przy Prezesie Naczelnego Sądu Administracyjnego – Reforma prawa o postępowaniu administracyjnym, Warszawa, czerwiec 2016r. s. 287-288 dostępny pod adresem </w:t>
      </w:r>
      <w:hyperlink r:id="rId32" w:history="1">
        <w:r>
          <w:rPr>
            <w:rStyle w:val="Hipercze"/>
          </w:rPr>
          <w:t>http://www.nsa.gov.pl/raport-ekspercki-kpa.php</w:t>
        </w:r>
      </w:hyperlink>
      <w:r>
        <w:t>. Postulat ten został zrealizowany we wprowadzonym od 1 czerwca 2017r. przepisie art. 189d k.p.a.</w:t>
      </w:r>
    </w:p>
  </w:footnote>
  <w:footnote w:id="474">
    <w:p w:rsidR="00BA4699" w:rsidRDefault="00BA4699" w:rsidP="0085545A">
      <w:pPr>
        <w:pStyle w:val="Tekstprzypisudolnego"/>
        <w:spacing w:before="60" w:after="60" w:line="240" w:lineRule="auto"/>
      </w:pPr>
      <w:r>
        <w:rPr>
          <w:rStyle w:val="Odwoanieprzypisudolnego"/>
        </w:rPr>
        <w:footnoteRef/>
      </w:r>
      <w:r>
        <w:t xml:space="preserve"> </w:t>
      </w:r>
      <w:r>
        <w:rPr>
          <w:shd w:val="clear" w:color="auto" w:fill="FFFFFF"/>
        </w:rPr>
        <w:t>V. Konarska-Wrzosek [w:] </w:t>
      </w:r>
      <w:r>
        <w:rPr>
          <w:i/>
          <w:iCs/>
          <w:shd w:val="clear" w:color="auto" w:fill="FFFFFF"/>
        </w:rPr>
        <w:t>Kodeks karny. Komentarz</w:t>
      </w:r>
      <w:r>
        <w:rPr>
          <w:shd w:val="clear" w:color="auto" w:fill="FFFFFF"/>
        </w:rPr>
        <w:t>, red. R. Stefański, Warszawa 2017, komentarz do art. 53, teza 50. </w:t>
      </w:r>
    </w:p>
  </w:footnote>
  <w:footnote w:id="475">
    <w:p w:rsidR="00BA4699" w:rsidRDefault="00BA4699" w:rsidP="0085545A">
      <w:pPr>
        <w:pStyle w:val="Tekstprzypisudolnego"/>
        <w:spacing w:before="60" w:after="60" w:line="240" w:lineRule="auto"/>
      </w:pPr>
      <w:r>
        <w:rPr>
          <w:rStyle w:val="Odwoanieprzypisudolnego"/>
        </w:rPr>
        <w:footnoteRef/>
      </w:r>
      <w:r>
        <w:t xml:space="preserve"> Tak też w wyroku NSA z dnia 29 stycznia 2016 r., II FSK 2997/13, CBOSA.</w:t>
      </w:r>
    </w:p>
  </w:footnote>
  <w:footnote w:id="476">
    <w:p w:rsidR="00BA4699" w:rsidRDefault="00BA4699" w:rsidP="009A3C86">
      <w:pPr>
        <w:pStyle w:val="Tekstprzypisudolnego"/>
        <w:spacing w:before="60" w:after="60" w:line="240" w:lineRule="auto"/>
      </w:pPr>
      <w:r>
        <w:rPr>
          <w:rStyle w:val="Odwoanieprzypisudolnego"/>
        </w:rPr>
        <w:footnoteRef/>
      </w:r>
      <w:r>
        <w:t xml:space="preserve"> Dz. U. z 2019 r. poz. 63 i 730.</w:t>
      </w:r>
    </w:p>
  </w:footnote>
  <w:footnote w:id="477">
    <w:p w:rsidR="00BA4699" w:rsidRDefault="00BA4699" w:rsidP="00F2417C">
      <w:pPr>
        <w:pStyle w:val="Tekstprzypisudolnego"/>
        <w:spacing w:before="60" w:after="60" w:line="240" w:lineRule="auto"/>
      </w:pPr>
      <w:r w:rsidRPr="00BF4D71">
        <w:rPr>
          <w:rStyle w:val="Odwoanieprzypisudolnego"/>
        </w:rPr>
        <w:footnoteRef/>
      </w:r>
      <w:r w:rsidRPr="00BF4D71">
        <w:t xml:space="preserve"> Zob. J. Małecki (w:) A. Gomułowicz, J. Małecki, </w:t>
      </w:r>
      <w:r w:rsidRPr="00BF4D71">
        <w:rPr>
          <w:iCs/>
        </w:rPr>
        <w:t>Podatki i prawo podatkowe</w:t>
      </w:r>
      <w:r w:rsidRPr="00BF4D71">
        <w:t xml:space="preserve">, Warszawa 2006, s. 145 i 308; por. także R. Mastalski, </w:t>
      </w:r>
      <w:r w:rsidRPr="00BF4D71">
        <w:rPr>
          <w:iCs/>
        </w:rPr>
        <w:t>Prawo podatkowe</w:t>
      </w:r>
      <w:r w:rsidRPr="00BF4D71">
        <w:t xml:space="preserve">, Warszawa 2004, s. 145; C. Kosikowski, </w:t>
      </w:r>
      <w:r w:rsidRPr="00BF4D71">
        <w:rPr>
          <w:iCs/>
        </w:rPr>
        <w:t>Administracja podatkowa</w:t>
      </w:r>
      <w:r w:rsidRPr="00BF4D71">
        <w:t xml:space="preserve">  (w:)  </w:t>
      </w:r>
      <w:r w:rsidRPr="00BF4D71">
        <w:rPr>
          <w:iCs/>
        </w:rPr>
        <w:t>Encyklopedia podatkowa</w:t>
      </w:r>
      <w:r w:rsidRPr="00BF4D71">
        <w:t>, Warszawa 1998, s. D/1 i następne.</w:t>
      </w:r>
    </w:p>
  </w:footnote>
  <w:footnote w:id="478">
    <w:p w:rsidR="00BA4699" w:rsidRPr="00463D52" w:rsidRDefault="00BA4699" w:rsidP="007241DF">
      <w:pPr>
        <w:pStyle w:val="Tekstprzypisudolnego"/>
        <w:spacing w:before="60" w:after="60" w:line="240" w:lineRule="auto"/>
        <w:rPr>
          <w:lang w:val="en-US"/>
        </w:rPr>
      </w:pPr>
      <w:r w:rsidRPr="00BF4D71">
        <w:rPr>
          <w:rStyle w:val="Odwoanieprzypisudolnego"/>
        </w:rPr>
        <w:footnoteRef/>
      </w:r>
      <w:r w:rsidRPr="00BF4D71">
        <w:rPr>
          <w:lang w:val="en-US"/>
        </w:rPr>
        <w:t xml:space="preserve"> </w:t>
      </w:r>
      <w:r w:rsidRPr="00BF4D71">
        <w:rPr>
          <w:bCs/>
          <w:lang w:val="en-US"/>
        </w:rPr>
        <w:t xml:space="preserve">Code of the Republic of Taxastan. A Hypothetical Tax Law. </w:t>
      </w:r>
      <w:r w:rsidRPr="00BF4D71">
        <w:rPr>
          <w:lang w:val="en-US"/>
        </w:rPr>
        <w:t>Prepared by the IMF Legal Department, September 29, 2000.</w:t>
      </w:r>
    </w:p>
  </w:footnote>
  <w:footnote w:id="479">
    <w:p w:rsidR="00BA4699" w:rsidRDefault="00BA4699" w:rsidP="007241DF">
      <w:pPr>
        <w:pStyle w:val="Tekstprzypisudolnego"/>
        <w:spacing w:before="60" w:after="60" w:line="240" w:lineRule="auto"/>
      </w:pPr>
      <w:r w:rsidRPr="00BF4D71">
        <w:rPr>
          <w:rStyle w:val="Odwoanieprzypisudolnego"/>
        </w:rPr>
        <w:footnoteRef/>
      </w:r>
      <w:r w:rsidRPr="00BF4D71">
        <w:t xml:space="preserve"> W prawie niemieckim kwestię identyfikacji podatników reguluje ustawa z 16 marca 1976 r. - Prawo daninowe (Abgabenordnung (AO), BGBl. z 2002 r. Nr I, s. 3869, z późn. zm.). Przepisy od § 139a do § 139d tego aktu ustanawiają instytucję tzw. znaku identyfikacyjnego podatników </w:t>
      </w:r>
      <w:r w:rsidRPr="00BF4D71">
        <w:rPr>
          <w:i/>
        </w:rPr>
        <w:t>(</w:t>
      </w:r>
      <w:r w:rsidRPr="00BF4D71">
        <w:rPr>
          <w:i/>
          <w:iCs/>
        </w:rPr>
        <w:t>Identifikationsmerkmal).</w:t>
      </w:r>
    </w:p>
  </w:footnote>
  <w:footnote w:id="480">
    <w:p w:rsidR="00BA4699" w:rsidRDefault="00BA4699" w:rsidP="008D7F39">
      <w:pPr>
        <w:pStyle w:val="Tekstprzypisudolnego"/>
        <w:spacing w:before="60" w:after="60" w:line="240" w:lineRule="auto"/>
      </w:pPr>
      <w:r w:rsidRPr="00BF4D71">
        <w:rPr>
          <w:rStyle w:val="Odwoanieprzypisudolnego"/>
        </w:rPr>
        <w:footnoteRef/>
      </w:r>
      <w:r w:rsidRPr="00BF4D71">
        <w:t xml:space="preserve"> B. Brzeziński</w:t>
      </w:r>
      <w:r w:rsidRPr="00BF4D71">
        <w:rPr>
          <w:iCs/>
        </w:rPr>
        <w:t>, Kierunki zmian przepisów ogólnych ordynacji podatkowej,</w:t>
      </w:r>
      <w:r w:rsidRPr="00BF4D71">
        <w:t xml:space="preserve"> „Kwartalnik Prawa Podatkowego” 2011, nr 3-4, s. 40.</w:t>
      </w:r>
    </w:p>
  </w:footnote>
  <w:footnote w:id="481">
    <w:p w:rsidR="00BA4699" w:rsidRDefault="00BA4699" w:rsidP="008D7F39">
      <w:pPr>
        <w:pStyle w:val="Tekstprzypisudolnego"/>
        <w:spacing w:before="60" w:after="60" w:line="240" w:lineRule="auto"/>
      </w:pPr>
      <w:r w:rsidRPr="00BF4D71">
        <w:rPr>
          <w:rStyle w:val="Odwoanieprzypisudolnego"/>
        </w:rPr>
        <w:footnoteRef/>
      </w:r>
      <w:r w:rsidRPr="00BF4D71">
        <w:t xml:space="preserve"> Zob. wyrok TSUE z 14.3.2013 r. w sprawie C-527/11Valsts ieņ mumu dienests przeciwko Ablessio SIA, LexisNexis nr 5042931.</w:t>
      </w:r>
    </w:p>
  </w:footnote>
  <w:footnote w:id="482">
    <w:p w:rsidR="00BA4699" w:rsidRDefault="00BA4699" w:rsidP="008D7F3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Zob. wyrok NSA z 27.2.2013r I FSK 443/2012, w którym sąd stwierdził, że faktura VAT otrzymana przez podatnika od podmiotu niezarejestrowanego jako podatnik dla potrzeb VAT daje prawo do odliczenia podatku, gdy faktura zawiera informacje wymagane przez </w:t>
      </w:r>
      <w:r w:rsidRPr="00BF4D71">
        <w:rPr>
          <w:rFonts w:ascii="Times New Roman" w:hAnsi="Times New Roman"/>
          <w:iCs/>
          <w:sz w:val="20"/>
          <w:szCs w:val="20"/>
        </w:rPr>
        <w:t xml:space="preserve">art. 22 ust. 3 lit. b VI dyrektywy </w:t>
      </w:r>
      <w:r w:rsidRPr="00BF4D71">
        <w:rPr>
          <w:rFonts w:ascii="Times New Roman" w:hAnsi="Times New Roman"/>
          <w:sz w:val="20"/>
          <w:szCs w:val="20"/>
        </w:rPr>
        <w:t>(obecnie art. 226 dyrektywy 2006/112/WE), a w szczególności numer identyfikacji podatkowej dostawcy (usługodawcy) pozwalający na ustalenie jego tożsamości, mimo jego niezarejestrowania dla celów VAT.</w:t>
      </w:r>
    </w:p>
  </w:footnote>
  <w:footnote w:id="483">
    <w:p w:rsidR="00BA4699" w:rsidRDefault="00BA4699" w:rsidP="008D7F39">
      <w:pPr>
        <w:pStyle w:val="Tekstprzypisudolnego"/>
        <w:spacing w:before="60" w:after="60" w:line="240" w:lineRule="auto"/>
      </w:pPr>
      <w:r w:rsidRPr="00BF4D71">
        <w:rPr>
          <w:rStyle w:val="Odwoanieprzypisudolnego"/>
        </w:rPr>
        <w:footnoteRef/>
      </w:r>
      <w:r w:rsidRPr="00BF4D71">
        <w:t xml:space="preserve"> Zob. ograniczenie prawa do odliczenia straty przez następcę prawnego w art. 7 ust. 3 pkt 5 oraz ust.4 i 4a ustawy o podatku dochodowym od osób prawnych.</w:t>
      </w:r>
    </w:p>
  </w:footnote>
  <w:footnote w:id="484">
    <w:p w:rsidR="00BA4699" w:rsidRDefault="00BA4699" w:rsidP="008D7F39">
      <w:pPr>
        <w:pStyle w:val="Tekstprzypisudolnego"/>
        <w:spacing w:before="60" w:after="60" w:line="240" w:lineRule="auto"/>
      </w:pPr>
      <w:r w:rsidRPr="00BF4D71">
        <w:rPr>
          <w:rStyle w:val="Odwoanieprzypisudolnego"/>
        </w:rPr>
        <w:footnoteRef/>
      </w:r>
      <w:r w:rsidRPr="00BF4D71">
        <w:t xml:space="preserve"> A. Olesińska, </w:t>
      </w:r>
      <w:r w:rsidRPr="00BF4D71">
        <w:rPr>
          <w:iCs/>
        </w:rPr>
        <w:t>Następstwo w prawie podatkowym</w:t>
      </w:r>
      <w:r w:rsidRPr="00BF4D71">
        <w:t xml:space="preserve"> (w:) </w:t>
      </w:r>
      <w:r w:rsidRPr="00BF4D71">
        <w:rPr>
          <w:iCs/>
        </w:rPr>
        <w:t>Prawo podatkowe. Teoria. Instytucje. Funkcjonowanie</w:t>
      </w:r>
      <w:r w:rsidRPr="00BF4D71">
        <w:t>, red. B. Brzeziński, Toruń 2009, s. 284.</w:t>
      </w:r>
    </w:p>
  </w:footnote>
  <w:footnote w:id="485">
    <w:p w:rsidR="00BA4699" w:rsidRDefault="00BA4699" w:rsidP="008D7F39">
      <w:pPr>
        <w:pStyle w:val="Tekstprzypisudolnego"/>
        <w:spacing w:before="60" w:after="60" w:line="240" w:lineRule="auto"/>
      </w:pPr>
      <w:r w:rsidRPr="00BF4D71">
        <w:rPr>
          <w:rStyle w:val="Odwoanieprzypisudolnego"/>
        </w:rPr>
        <w:footnoteRef/>
      </w:r>
      <w:r w:rsidRPr="00BF4D71">
        <w:t xml:space="preserve"> </w:t>
      </w:r>
      <w:r w:rsidRPr="00BF4D71">
        <w:rPr>
          <w:i/>
        </w:rPr>
        <w:t>Ibidem</w:t>
      </w:r>
      <w:r w:rsidRPr="00BF4D71">
        <w:t>, s. 284-285.</w:t>
      </w:r>
    </w:p>
  </w:footnote>
  <w:footnote w:id="486">
    <w:p w:rsidR="00BA4699" w:rsidRDefault="00BA4699" w:rsidP="008D7F39">
      <w:pPr>
        <w:pStyle w:val="Tekstprzypisudolnego"/>
        <w:spacing w:before="60" w:after="60" w:line="240" w:lineRule="auto"/>
      </w:pPr>
      <w:r w:rsidRPr="00BF4D71">
        <w:rPr>
          <w:rStyle w:val="Odwoanieprzypisudolnego"/>
        </w:rPr>
        <w:footnoteRef/>
      </w:r>
      <w:r w:rsidRPr="00BF4D71">
        <w:t xml:space="preserve"> T. Lewandowski, P. Ostojski, Zasady ewidencji i identyfikacji płatników i podatników. Komentarz, LexisNexis/el. </w:t>
      </w:r>
    </w:p>
  </w:footnote>
  <w:footnote w:id="487">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 Modzelewski</w:t>
      </w:r>
      <w:r w:rsidRPr="00BF4D71">
        <w:rPr>
          <w:b/>
          <w:bCs/>
        </w:rPr>
        <w:t xml:space="preserve">, </w:t>
      </w:r>
      <w:r w:rsidRPr="00BF4D71">
        <w:t>,,Prof-Modzelewski  - o tym co zmienić w Ordynacji podatkowej.html’’</w:t>
      </w:r>
    </w:p>
  </w:footnote>
  <w:footnote w:id="488">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W. Morawski, Interpretacje prawa podatkowego i celnego – stabilność i zmiana, Warszawa 2012, s. 344 i nast.</w:t>
      </w:r>
    </w:p>
  </w:footnote>
  <w:footnote w:id="489">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w:t>
      </w:r>
      <w:r w:rsidRPr="00BF4D71">
        <w:rPr>
          <w:i/>
          <w:iCs/>
        </w:rPr>
        <w:t>Ibidem</w:t>
      </w:r>
      <w:r w:rsidRPr="00BF4D71">
        <w:t>, s. 395.</w:t>
      </w:r>
    </w:p>
  </w:footnote>
  <w:footnote w:id="490">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Dyrektywa 2015/2376 zmieniająca dyrektywę 2011/16/UE w zakresie obowiązkowej automatycznej wymiany informacji w dziedzinie opodatkowania, Dz.Urz.UE L332/1.</w:t>
      </w:r>
    </w:p>
  </w:footnote>
  <w:footnote w:id="491">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Dz.U. z 2017 r. poz.648.</w:t>
      </w:r>
    </w:p>
  </w:footnote>
  <w:footnote w:id="492">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Zob</w:t>
      </w:r>
      <w:r w:rsidRPr="00BF4D71">
        <w:rPr>
          <w:i/>
          <w:iCs/>
        </w:rPr>
        <w:t xml:space="preserve"> </w:t>
      </w:r>
      <w:r w:rsidRPr="00BF4D71">
        <w:t>uchwała NSA z dnia z dnia 8 stycznia 2007 r., I FPS 1/06 (ONSAiWSA 2007/2/27)</w:t>
      </w:r>
    </w:p>
  </w:footnote>
  <w:footnote w:id="493">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Dane ze sprawozdań rocznych NSA dostępnych na stronie </w:t>
      </w:r>
      <w:hyperlink r:id="rId33" w:history="1">
        <w:r w:rsidRPr="00BF4D71">
          <w:rPr>
            <w:rStyle w:val="Hipercze"/>
            <w:rFonts w:ascii="Calibri" w:hAnsi="Calibri" w:cs="Calibri"/>
          </w:rPr>
          <w:t>www.nsa.gov.pl</w:t>
        </w:r>
      </w:hyperlink>
      <w:r w:rsidRPr="00BF4D71">
        <w:rPr>
          <w:rStyle w:val="Hipercze"/>
          <w:rFonts w:ascii="Calibri" w:hAnsi="Calibri" w:cs="Calibri"/>
        </w:rPr>
        <w:t>.</w:t>
      </w:r>
    </w:p>
  </w:footnote>
  <w:footnote w:id="494">
    <w:p w:rsidR="00BA4699" w:rsidRDefault="00BA4699" w:rsidP="00045CB9">
      <w:pPr>
        <w:pStyle w:val="ListParagraph1"/>
        <w:spacing w:before="60" w:after="60" w:line="240" w:lineRule="auto"/>
        <w:ind w:left="0"/>
      </w:pPr>
      <w:r w:rsidRPr="00BF4D71">
        <w:rPr>
          <w:rStyle w:val="Odwoanieprzypisudolnego"/>
          <w:rFonts w:ascii="Calibri" w:hAnsi="Calibri" w:cs="Calibri"/>
          <w:sz w:val="20"/>
          <w:szCs w:val="20"/>
        </w:rPr>
        <w:footnoteRef/>
      </w:r>
      <w:r w:rsidRPr="00BF4D71">
        <w:rPr>
          <w:sz w:val="20"/>
          <w:szCs w:val="20"/>
        </w:rPr>
        <w:t xml:space="preserve"> Por. PKPP Lewiatan, Czarna lista barier dla rozwoju przedsiębiorczości 2014 r., Forum Obywatelskiego Rozwoju, Analiza FOR 2014, nr 12; Warszawa, kwiecień 2014 r. </w:t>
      </w:r>
    </w:p>
  </w:footnote>
  <w:footnote w:id="495">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Art. 1 pkt 18 ustawy z dnia dniu 9 kwietnia 2015 r. o zmianie ustawy – Prawo o postępowaniu przed sądami administracyjnymi, (Dz. U. poz. 658).  </w:t>
      </w:r>
    </w:p>
  </w:footnote>
  <w:footnote w:id="496">
    <w:p w:rsidR="00BA4699" w:rsidRPr="00463D52" w:rsidRDefault="00BA4699" w:rsidP="00045CB9">
      <w:pPr>
        <w:pStyle w:val="Tekstprzypisudolnego"/>
        <w:spacing w:before="60" w:after="60" w:line="240" w:lineRule="auto"/>
        <w:rPr>
          <w:lang w:val="en-US"/>
        </w:rPr>
      </w:pPr>
      <w:r w:rsidRPr="00BF4D71">
        <w:rPr>
          <w:rStyle w:val="Odwoanieprzypisudolnego"/>
          <w:rFonts w:ascii="Calibri" w:hAnsi="Calibri" w:cs="Calibri"/>
        </w:rPr>
        <w:footnoteRef/>
      </w:r>
      <w:r w:rsidRPr="00463D52">
        <w:rPr>
          <w:lang w:val="en-US"/>
        </w:rPr>
        <w:t xml:space="preserve"> Por. art. 134 § 1 p.p.s.a.</w:t>
      </w:r>
    </w:p>
  </w:footnote>
  <w:footnote w:id="497">
    <w:p w:rsidR="00BA4699" w:rsidRDefault="00BA4699" w:rsidP="00045CB9">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Ustawa z dnia 16 listopada 2016 r. o Krajowej Administracji Skarbowej (Dz. U.  poz. 1947) oraz ustawa z dnia 16 listopada 2016 r. - Przepisy wprowadzające ustawę o Krajowej Administracji Skarbowej (Dz. U. poz. 1948).</w:t>
      </w:r>
    </w:p>
  </w:footnote>
  <w:footnote w:id="498">
    <w:p w:rsidR="00BA4699" w:rsidRDefault="00BA4699" w:rsidP="00045CB9">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Ustawa z dnia 12 września 2002 r. o zmianie ustawy - Ordynacja podatkowa oraz o zmianie niektórych innych ustaw (Dz. U. Nr 169, poz. 1387 z późn. zm).</w:t>
      </w:r>
    </w:p>
  </w:footnote>
  <w:footnote w:id="499">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Dane na podstawie sprawozdań rocznych z działalności sądów administracyjnych, dostępne na stronie www. nsa.gov.pl</w:t>
      </w:r>
    </w:p>
  </w:footnote>
  <w:footnote w:id="500">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Na podstawie danych przekazanych Komisji Kodyfikacyjnej Ogólnego Prawa Podatkowego przez Ministerstwo Finansów.</w:t>
      </w:r>
    </w:p>
  </w:footnote>
  <w:footnote w:id="501">
    <w:p w:rsidR="00BA4699" w:rsidRDefault="00BA4699" w:rsidP="00045CB9">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wyrok TK z dnia 28 listopada 2013 r., K 17/12, OTK-A 2013n r 8, poz. 125.</w:t>
      </w:r>
    </w:p>
  </w:footnote>
  <w:footnote w:id="502">
    <w:p w:rsidR="00BA4699" w:rsidRDefault="00BA4699" w:rsidP="00045CB9">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uzasadnienie wyroku TK z dnia 13 września 2011 r., P 33/09, OTK-A 2011, nr 7, poz. 71.</w:t>
      </w:r>
    </w:p>
  </w:footnote>
  <w:footnote w:id="503">
    <w:p w:rsidR="00BA4699" w:rsidRDefault="00BA4699" w:rsidP="00045CB9">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Art. 14 § 1 o.p. w brzmieniu nadanym w art. 28 pkt 4 ustawy oraz ustawa z dnia 16 listopada 2016 r. - Przepisy wprowadzające ustawę o Krajowej Administracji Skarbowej (Dz. U. poz. 1948).</w:t>
      </w:r>
    </w:p>
  </w:footnote>
  <w:footnote w:id="504">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art. 11 ust.1 pkt 3 oraz art. 22 ust. 1 ustawy z dnia 16 listopada 2016 r. o Krajowej Administracji Skarbowej (Dz .U.  poz. 1947).</w:t>
      </w:r>
    </w:p>
  </w:footnote>
  <w:footnote w:id="505">
    <w:p w:rsidR="00BA4699" w:rsidRDefault="00BA4699" w:rsidP="00045CB9">
      <w:pPr>
        <w:autoSpaceDE w:val="0"/>
        <w:autoSpaceDN w:val="0"/>
        <w:adjustRightInd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wyrok NSA z dnia 5 maja 2015 r., II FSK 839/13.</w:t>
      </w:r>
    </w:p>
  </w:footnote>
  <w:footnote w:id="506">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art. 9 ustawy z dnia 16 września 2011 r. o redukcji niektórych obowiązków obywateli i przedsiębiorców (Dz. U. Nr 232, poz. 1378).</w:t>
      </w:r>
    </w:p>
  </w:footnote>
  <w:footnote w:id="507">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Wyrok NSA z dnia 11 stycznia 2011 r., II FSK 1242/10.</w:t>
      </w:r>
    </w:p>
  </w:footnote>
  <w:footnote w:id="508">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Ustawa z dnia 23 października 2018r. </w:t>
      </w:r>
      <w:r w:rsidRPr="00BF4D71">
        <w:rPr>
          <w:rFonts w:ascii="Times New Roman" w:hAnsi="Times New Roman"/>
          <w:sz w:val="20"/>
          <w:szCs w:val="20"/>
          <w:lang w:eastAsia="pl-PL"/>
        </w:rPr>
        <w:t>o zmianie ustawy o podatku dochodowym od osób fizycznych, ustawy o podatku dochodowym od osób prawnych, ustawy – Ordynacja podatkowa oraz niektórych innych ustaw (Dz. U. z 2018r.  poz. 2193).</w:t>
      </w:r>
    </w:p>
  </w:footnote>
  <w:footnote w:id="509">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uzasadnienie Rządowego projektu ustawa o zmianie ustawy o podatku dochodowym od osób fizycznych, ustawy o podatku dochodowym od osób prawnych, ustawy – Ordynacja podatkowa oraz niektórych innych ustaw; Sejm RP VII kadencji, druk 2860.</w:t>
      </w:r>
    </w:p>
  </w:footnote>
  <w:footnote w:id="510">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Wyrok NSA z dnia 13 lipca 2017 r., II FSK 636/17.</w:t>
      </w:r>
    </w:p>
  </w:footnote>
  <w:footnote w:id="511">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wyrok NSA z dnia 8 stycznia 2014 r., II FSK 143/12.</w:t>
      </w:r>
    </w:p>
  </w:footnote>
  <w:footnote w:id="512">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wyrok NSA z 21 marca 2018r., II FSK 3819/17; publik.CBOSA.</w:t>
      </w:r>
    </w:p>
  </w:footnote>
  <w:footnote w:id="513">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wyrok NSA z 27 września 2018r., II FSK 290/18; publik. CBOSA. </w:t>
      </w:r>
    </w:p>
  </w:footnote>
  <w:footnote w:id="514">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Wyroki NSA z dnia 3 września 2010 r., II FSK 1690/09; z dnia 6 września 2013 r., II FSK 2616/11.</w:t>
      </w:r>
    </w:p>
  </w:footnote>
  <w:footnote w:id="515">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art. 3 pkt 1 ustawy z dnia 16 listopada 2006 r. o zmianie ustawy - Ordynacja podatkowa oraz o zmianie niektórych innych ustaw (Dz. U. Nr 217 poz. 1590).</w:t>
      </w:r>
    </w:p>
  </w:footnote>
  <w:footnote w:id="516">
    <w:p w:rsidR="00BA4699" w:rsidRDefault="00BA4699" w:rsidP="00045CB9">
      <w:pPr>
        <w:pStyle w:val="Teksttreci0"/>
        <w:shd w:val="clear" w:color="auto" w:fill="auto"/>
        <w:spacing w:before="60" w:after="60" w:line="240" w:lineRule="auto"/>
        <w:jc w:val="both"/>
      </w:pPr>
      <w:r w:rsidRPr="00BF4D71">
        <w:rPr>
          <w:rStyle w:val="Odwoanieprzypisudolnego"/>
          <w:sz w:val="20"/>
        </w:rPr>
        <w:footnoteRef/>
      </w:r>
      <w:r w:rsidRPr="00BF4D71">
        <w:rPr>
          <w:rFonts w:ascii="Times New Roman"/>
          <w:sz w:val="20"/>
        </w:rPr>
        <w:t xml:space="preserve"> Por. uchwa</w:t>
      </w:r>
      <w:r w:rsidRPr="00BF4D71">
        <w:rPr>
          <w:rFonts w:ascii="Times New Roman"/>
          <w:sz w:val="20"/>
        </w:rPr>
        <w:t>ł</w:t>
      </w:r>
      <w:r w:rsidRPr="00BF4D71">
        <w:rPr>
          <w:rFonts w:ascii="Times New Roman"/>
          <w:sz w:val="20"/>
        </w:rPr>
        <w:t>a NSA z dnia 8 stycznia 2007 r., I FPS 1/06.</w:t>
      </w:r>
    </w:p>
  </w:footnote>
  <w:footnote w:id="517">
    <w:p w:rsidR="00BA4699" w:rsidRPr="0094586B" w:rsidRDefault="00BA4699" w:rsidP="00045CB9">
      <w:pPr>
        <w:pStyle w:val="Tekstprzypisudolnego"/>
        <w:spacing w:before="60" w:after="60" w:line="240" w:lineRule="auto"/>
      </w:pPr>
      <w:r w:rsidRPr="009A3C86">
        <w:rPr>
          <w:rStyle w:val="Odwoanieprzypisudolnego"/>
        </w:rPr>
        <w:footnoteRef/>
      </w:r>
      <w:r w:rsidRPr="0094586B">
        <w:t xml:space="preserve"> </w:t>
      </w:r>
      <w:r w:rsidRPr="0094586B">
        <w:rPr>
          <w:rStyle w:val="Teksttreci"/>
          <w:rFonts w:ascii="Times New Roman" w:hAnsi="Times New Roman" w:cs="Times New Roman"/>
          <w:sz w:val="20"/>
        </w:rPr>
        <w:t>Dz. U. poz. 1649.</w:t>
      </w:r>
    </w:p>
  </w:footnote>
  <w:footnote w:id="518">
    <w:p w:rsidR="00BA4699" w:rsidRPr="0094586B" w:rsidRDefault="00BA4699" w:rsidP="00045CB9">
      <w:pPr>
        <w:pStyle w:val="Tekstprzypisudolnego"/>
        <w:spacing w:before="60" w:after="60" w:line="240" w:lineRule="auto"/>
      </w:pPr>
      <w:r w:rsidRPr="009A3C86">
        <w:rPr>
          <w:rStyle w:val="Odwoanieprzypisudolnego"/>
        </w:rPr>
        <w:footnoteRef/>
      </w:r>
      <w:r w:rsidRPr="0094586B">
        <w:t xml:space="preserve"> </w:t>
      </w:r>
      <w:r w:rsidRPr="0094586B">
        <w:rPr>
          <w:rStyle w:val="Teksttreci"/>
          <w:rFonts w:ascii="Times New Roman" w:hAnsi="Times New Roman" w:cs="Times New Roman"/>
          <w:sz w:val="20"/>
        </w:rPr>
        <w:t>Por. nr druku 3462 - Sejm RP VII kadencji</w:t>
      </w:r>
    </w:p>
  </w:footnote>
  <w:footnote w:id="519">
    <w:p w:rsidR="00BA4699" w:rsidRDefault="00BA4699" w:rsidP="00045CB9">
      <w:pPr>
        <w:pStyle w:val="Nagwek2"/>
        <w:spacing w:before="60" w:after="60" w:line="240" w:lineRule="auto"/>
        <w:jc w:val="both"/>
      </w:pPr>
      <w:r w:rsidRPr="00BF4D71">
        <w:rPr>
          <w:rStyle w:val="Odwoanieprzypisudolnego"/>
          <w:color w:val="auto"/>
          <w:sz w:val="20"/>
          <w:szCs w:val="20"/>
        </w:rPr>
        <w:footnoteRef/>
      </w:r>
      <w:r w:rsidRPr="00BF4D71">
        <w:rPr>
          <w:rFonts w:ascii="Times New Roman" w:hAnsi="Times New Roman"/>
          <w:color w:val="auto"/>
          <w:sz w:val="20"/>
          <w:szCs w:val="20"/>
        </w:rPr>
        <w:t xml:space="preserve"> Por. rozporządzenie Prezydenta Rzeczypospolitej Polskiej z dnia 22 lutego 2017 r. w sprawie przekazania rozpoznawania innym wojewódzkim sądom administracyjnym niektórych spraw z zakresu działania dyrektora Krajowej Informacji Skarbowej, Prezesa Zakładu Ubezpieczeń Społecznych oraz Prezesa Kasy Rolniczego Ubezpieczenia Społecznego (Dz.U. poz. 367).</w:t>
      </w:r>
    </w:p>
  </w:footnote>
  <w:footnote w:id="520">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wyrok NSA z dnia 25 listopada 2011 r., II FSK 1362/09.</w:t>
      </w:r>
    </w:p>
  </w:footnote>
  <w:footnote w:id="521">
    <w:p w:rsidR="00BA4699" w:rsidRDefault="00BA4699" w:rsidP="00045CB9">
      <w:pPr>
        <w:autoSpaceDE w:val="0"/>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Uchwała pełnego składu Izby Finansowej NSA z dnia 14 grudnia 2009 r., II FPS 7/09; ONSAiWSA 2010, nr 3, poz. 38, OSP 2010, nr 4, poz. 39.</w:t>
      </w:r>
    </w:p>
  </w:footnote>
  <w:footnote w:id="522">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wyroki NSA z dnia 23 kwietnia 2010 r., II FSK 2113/08; z dnia 17 czerwca 2011 r., II FSK 1568/10.</w:t>
      </w:r>
    </w:p>
  </w:footnote>
  <w:footnote w:id="523">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Art. 22 ust. 1 ustawy z dnia 16 listopada 2016 r. o Krajowej Administracji Skarbowej (Dz. U. poz. 1947).</w:t>
      </w:r>
    </w:p>
  </w:footnote>
  <w:footnote w:id="524">
    <w:p w:rsidR="00BA4699" w:rsidRDefault="00BA4699" w:rsidP="00045CB9">
      <w:pPr>
        <w:autoSpaceDE w:val="0"/>
        <w:spacing w:before="60" w:after="60" w:line="240" w:lineRule="auto"/>
        <w:jc w:val="both"/>
      </w:pPr>
      <w:r w:rsidRPr="00BF4D71">
        <w:rPr>
          <w:rStyle w:val="Znakiprzypiswdolnych"/>
          <w:rFonts w:ascii="Times New Roman" w:hAnsi="Times New Roman"/>
          <w:sz w:val="20"/>
          <w:szCs w:val="20"/>
        </w:rPr>
        <w:footnoteRef/>
      </w:r>
      <w:r w:rsidRPr="00BF4D71">
        <w:rPr>
          <w:rFonts w:ascii="Times New Roman" w:hAnsi="Times New Roman"/>
          <w:sz w:val="20"/>
          <w:szCs w:val="20"/>
        </w:rPr>
        <w:t xml:space="preserve"> Zob. uchwała NSA z dnia 7 lipca 2014 r., II FPS 1/14, ONSAiWSA 2015, nr 1, poz. 3. W uchwale wyjaśniono, że ,,Unormowanie zawarte w art. 134 § 2 ustawy z dnia 30 sierpnia 2002 r. - Prawo o postępowaniu przed sądami administracyjnymi (tekst jedn. Dz.U. z 2012 r. poz. 270 z późn. zm.) nie ma zastosowania w przypadku zaskarżenia do sądu administracyjnego indywidualnej interpretacji przepisów prawa podatkowego.”</w:t>
      </w:r>
    </w:p>
  </w:footnote>
  <w:footnote w:id="525">
    <w:p w:rsidR="00BA4699" w:rsidRDefault="00BA4699" w:rsidP="00045CB9">
      <w:pPr>
        <w:autoSpaceDE w:val="0"/>
        <w:spacing w:before="60" w:after="60" w:line="240" w:lineRule="auto"/>
        <w:jc w:val="both"/>
      </w:pPr>
      <w:r w:rsidRPr="00BF4D71">
        <w:rPr>
          <w:rStyle w:val="Znakiprzypiswdolnych"/>
          <w:rFonts w:ascii="Times New Roman" w:hAnsi="Times New Roman"/>
          <w:sz w:val="20"/>
          <w:szCs w:val="20"/>
        </w:rPr>
        <w:footnoteRef/>
      </w:r>
      <w:r w:rsidRPr="00BF4D71">
        <w:rPr>
          <w:rFonts w:ascii="Times New Roman" w:hAnsi="Times New Roman"/>
          <w:sz w:val="20"/>
          <w:szCs w:val="20"/>
        </w:rPr>
        <w:t xml:space="preserve"> Zob. wyrok TK z dnia 25 września 2014 r., K 49/12; OTK-A 2014, nr 8, poz. 94. W wyroku TK stwierdził, że „Art. 14o § 1 ustawy z dnia 29 sierpnia 1997 r. - Ordynacja podatkowa (Dz. U. z 2012 r. poz. 749, 1101, 1342 i 1529, z 2013 r. poz. 35, 1027, 1036, 1145, 1149 i 1289 oraz z 2014 r. poz. 183, 567 i 915), rozumiany w ten sposób, że pojęcie „niewydanie interpretacji" nie oznacza braku jej doręczenia w terminie określonym w art. 14d powołanej ustawy, jest zgodny z zasadą zaufania obywateli do państwa i stanowionego przez nie prawa wynikającą z art. 2 Konstytucji Rzeczypospolitej Polskiej.” </w:t>
      </w:r>
    </w:p>
  </w:footnote>
  <w:footnote w:id="526">
    <w:p w:rsidR="00BA4699" w:rsidRDefault="00BA4699" w:rsidP="00045CB9">
      <w:pPr>
        <w:pStyle w:val="Tekstprzypisudolnego"/>
        <w:spacing w:before="60" w:after="60" w:line="240" w:lineRule="auto"/>
      </w:pPr>
      <w:r w:rsidRPr="00BF4D71">
        <w:rPr>
          <w:rStyle w:val="Znakiprzypiswdolnych"/>
        </w:rPr>
        <w:footnoteRef/>
      </w:r>
      <w:r w:rsidRPr="00BF4D71">
        <w:t xml:space="preserve"> P</w:t>
      </w:r>
      <w:r w:rsidRPr="00BF4D71">
        <w:rPr>
          <w:rStyle w:val="info-list-value-uzasadnienie"/>
          <w:rFonts w:eastAsia="Arial Unicode MS"/>
        </w:rPr>
        <w:t>or. wyroki NSA z 6 września 2013 r., II FSK 2616/11; z 27 września 2013 r., II FSK 330/12 i II FSK 334/12; z 6 lutego 2014 r., II FSK 201/13, CBOSA.</w:t>
      </w:r>
    </w:p>
  </w:footnote>
  <w:footnote w:id="527">
    <w:p w:rsidR="00BA4699"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W Morawski, Interpretacje prawa podatkowego i celnego - stabilność i zmiana, Warszawa 2012, s. 318 -330.</w:t>
      </w:r>
    </w:p>
  </w:footnote>
  <w:footnote w:id="528">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Por. </w:t>
      </w:r>
      <w:r w:rsidRPr="00BF4D71">
        <w:rPr>
          <w:rStyle w:val="warheader"/>
          <w:rFonts w:ascii="Times New Roman" w:hAnsi="Times New Roman"/>
          <w:sz w:val="20"/>
          <w:szCs w:val="20"/>
        </w:rPr>
        <w:t>prawomocny wyrok WSA we Wrocławiu z dnia 3 grudnia 2010 r., I SA/Wr 1178/10.</w:t>
      </w:r>
    </w:p>
  </w:footnote>
  <w:footnote w:id="529">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w:t>
      </w:r>
      <w:r w:rsidRPr="00BF4D71">
        <w:rPr>
          <w:rStyle w:val="info-list-value-uzasadnienie"/>
          <w:rFonts w:eastAsia="Arial Unicode MS"/>
          <w:sz w:val="20"/>
          <w:szCs w:val="20"/>
        </w:rPr>
        <w:t>Por. wyroki NSA: z dnia 17 listopada 2015 r., II FSK 2085/13; z dnia: 27 maja 2015 r., II FSK 884/13; z dnia 27 lutego 2013 r., II FSK 1385/11; z dnia 11 grudnia 2012 r., II FSK 830/11; z dnia 21 listopada 2012 r., II FSK 2486/11 i z dnia 10 maja 2012 r., II FSK 2046/10.</w:t>
      </w:r>
    </w:p>
  </w:footnote>
  <w:footnote w:id="530">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Ustawa z dnia 13 maja 2016 r. o zmianie ustawy - Ordynacja podatkowa oraz niektórych innych ustaw (Dz.U. poz. 846).</w:t>
      </w:r>
    </w:p>
  </w:footnote>
  <w:footnote w:id="531">
    <w:p w:rsidR="00BA4699" w:rsidRDefault="00BA4699" w:rsidP="00443800">
      <w:pPr>
        <w:pStyle w:val="Tekstprzypisudolnego"/>
        <w:spacing w:before="60" w:after="60" w:line="240" w:lineRule="auto"/>
      </w:pPr>
      <w:r w:rsidRPr="00BF4D71">
        <w:rPr>
          <w:rStyle w:val="Odwoanieprzypisudolnego"/>
        </w:rPr>
        <w:footnoteRef/>
      </w:r>
      <w:r w:rsidRPr="00BF4D71">
        <w:t xml:space="preserve"> Por. np. w USA </w:t>
      </w:r>
      <w:r w:rsidRPr="00BF4D71">
        <w:rPr>
          <w:i/>
          <w:iCs/>
        </w:rPr>
        <w:t>Pre-Filing Agreement Program</w:t>
      </w:r>
      <w:r w:rsidRPr="00BF4D71">
        <w:t xml:space="preserve"> </w:t>
      </w:r>
      <w:hyperlink r:id="rId34" w:history="1">
        <w:r w:rsidRPr="00BF4D71">
          <w:rPr>
            <w:rStyle w:val="Hipercze"/>
          </w:rPr>
          <w:t>http://www.irs.gov/Businesses/Pre-Filing-Agreement-Program</w:t>
        </w:r>
      </w:hyperlink>
      <w:r w:rsidRPr="00BF4D71">
        <w:t>; procedura ta może być stosowana przed złożeniem deklaracji podatkowej.</w:t>
      </w:r>
    </w:p>
  </w:footnote>
  <w:footnote w:id="532">
    <w:p w:rsidR="00BA4699" w:rsidRPr="00BF4D71" w:rsidRDefault="00BA4699" w:rsidP="00045CB9">
      <w:pPr>
        <w:spacing w:before="60" w:after="60" w:line="240" w:lineRule="auto"/>
        <w:jc w:val="both"/>
        <w:rPr>
          <w:rFonts w:ascii="Times New Roman" w:hAnsi="Times New Roman"/>
          <w:sz w:val="20"/>
          <w:szCs w:val="20"/>
        </w:rPr>
      </w:pPr>
      <w:r w:rsidRPr="00BF4D71">
        <w:rPr>
          <w:rStyle w:val="Odwoanieprzypisudolnego"/>
          <w:sz w:val="20"/>
          <w:szCs w:val="20"/>
        </w:rPr>
        <w:footnoteRef/>
      </w:r>
      <w:r w:rsidRPr="00BF4D71">
        <w:rPr>
          <w:rFonts w:ascii="Times New Roman" w:hAnsi="Times New Roman"/>
          <w:sz w:val="20"/>
          <w:szCs w:val="20"/>
        </w:rPr>
        <w:t xml:space="preserve"> Art. 3 pkt 30 ustawy z dnia 23 października 2018r. </w:t>
      </w:r>
      <w:r w:rsidRPr="00BF4D71">
        <w:rPr>
          <w:rFonts w:ascii="Times New Roman" w:hAnsi="Times New Roman"/>
          <w:sz w:val="20"/>
          <w:szCs w:val="20"/>
          <w:lang w:eastAsia="pl-PL"/>
        </w:rPr>
        <w:t>o zmianie ustawy o podatku dochodowym od osób fizycznych, ustawy o podatku dochodowym od osób prawnych, ustawy – Ordynacja podatkowa oraz niektórych innych ustaw (Dz. U. z 2018 r.  poz. 2193</w:t>
      </w:r>
      <w:r w:rsidRPr="00BF4D71">
        <w:rPr>
          <w:rFonts w:ascii="Times New Roman" w:hAnsi="Times New Roman"/>
          <w:color w:val="FF0000"/>
          <w:sz w:val="20"/>
          <w:szCs w:val="20"/>
          <w:lang w:eastAsia="pl-PL"/>
        </w:rPr>
        <w:t>).</w:t>
      </w:r>
    </w:p>
    <w:p w:rsidR="00BA4699" w:rsidRDefault="00BA4699" w:rsidP="00045CB9">
      <w:pPr>
        <w:spacing w:before="60" w:after="60" w:line="240" w:lineRule="auto"/>
        <w:jc w:val="both"/>
      </w:pPr>
    </w:p>
  </w:footnote>
  <w:footnote w:id="533">
    <w:p w:rsidR="00BA4699" w:rsidRDefault="00BA4699" w:rsidP="00045CB9">
      <w:pPr>
        <w:spacing w:before="60" w:after="60" w:line="240" w:lineRule="auto"/>
        <w:jc w:val="both"/>
      </w:pPr>
      <w:r w:rsidRPr="00BF4D71">
        <w:rPr>
          <w:rStyle w:val="Odwoanieprzypisudolnego"/>
          <w:sz w:val="20"/>
          <w:szCs w:val="20"/>
        </w:rPr>
        <w:footnoteRef/>
      </w:r>
      <w:r w:rsidRPr="00BF4D71">
        <w:rPr>
          <w:rFonts w:ascii="Times New Roman" w:hAnsi="Times New Roman"/>
          <w:sz w:val="20"/>
          <w:szCs w:val="20"/>
        </w:rPr>
        <w:t xml:space="preserve"> Art. 3 pkt 51 ustawy z dnia 23 października 2018r. o zmianie ustawy o podatku dochodowym od osób fizycznych, ustawy o podatku dochodowym od osób prawnych, ustawy – Ordynacja podatkowa oraz niektórych innych ustaw (Dz. U. z 2018 r.  poz. 2193</w:t>
      </w:r>
      <w:r w:rsidRPr="00BF4D71">
        <w:rPr>
          <w:rFonts w:ascii="Times New Roman" w:hAnsi="Times New Roman"/>
          <w:color w:val="FF0000"/>
          <w:sz w:val="20"/>
          <w:szCs w:val="20"/>
        </w:rPr>
        <w:t>).</w:t>
      </w:r>
    </w:p>
  </w:footnote>
  <w:footnote w:id="534">
    <w:p w:rsidR="00BA4699" w:rsidRPr="00BF4D71" w:rsidRDefault="00BA4699" w:rsidP="00045CB9">
      <w:pPr>
        <w:pStyle w:val="Tekstprzypisudolnego"/>
        <w:spacing w:before="60" w:after="60" w:line="240" w:lineRule="auto"/>
      </w:pPr>
      <w:r w:rsidRPr="00BF4D71">
        <w:rPr>
          <w:rStyle w:val="Odwoanieprzypisudolnego"/>
          <w:rFonts w:ascii="Calibri" w:hAnsi="Calibri" w:cs="Calibri"/>
        </w:rPr>
        <w:footnoteRef/>
      </w:r>
      <w:r w:rsidRPr="00BF4D71">
        <w:t xml:space="preserve"> Por. uzasadnienie Rządowego projektu ustawy o zmianie ustawy o podatku dochodowym od osób fizycznych, ustawy o podatku dochodowym od osób prawnych, ustawy – Ordynacja podatkowa oraz niektórych innych ustaw; Sejm RP VII kadencji, druk 2860.</w:t>
      </w:r>
    </w:p>
    <w:p w:rsidR="00BA4699" w:rsidRDefault="00BA4699" w:rsidP="00045CB9">
      <w:pPr>
        <w:pStyle w:val="Tekstprzypisudolnego"/>
        <w:spacing w:before="60" w:after="60" w:line="240" w:lineRule="auto"/>
      </w:pPr>
    </w:p>
  </w:footnote>
  <w:footnote w:id="535">
    <w:p w:rsidR="00BA4699" w:rsidRPr="00C54718" w:rsidRDefault="00BA4699" w:rsidP="004166B8">
      <w:pPr>
        <w:pStyle w:val="Tekstprzypisudolnego"/>
        <w:spacing w:line="240" w:lineRule="auto"/>
      </w:pPr>
      <w:r w:rsidRPr="00C54718">
        <w:rPr>
          <w:rStyle w:val="Odwoanieprzypisudolnego"/>
        </w:rPr>
        <w:footnoteRef/>
      </w:r>
      <w:r w:rsidRPr="00C54718">
        <w:rPr>
          <w:lang w:val="en-US"/>
        </w:rPr>
        <w:t xml:space="preserve"> Co-operative Compliance: A Framework. From Enhanced Relationship to Co-operative Compliance, OECD 2013, </w:t>
      </w:r>
      <w:r w:rsidRPr="00C40555">
        <w:rPr>
          <w:lang w:val="en-US"/>
        </w:rPr>
        <w:t>http://www.oecd.org/tax/administration/co-operative-compliance.htm</w:t>
      </w:r>
      <w:r w:rsidRPr="00C54718">
        <w:rPr>
          <w:lang w:val="en-US"/>
        </w:rPr>
        <w:t xml:space="preserve">. Por. także wcześniejszy raport Study into the Role of Tax Intermediaries, Forum on Tax Administration, OECD 2008, </w:t>
      </w:r>
      <w:r w:rsidRPr="00C40555">
        <w:rPr>
          <w:lang w:val="en-US"/>
        </w:rPr>
        <w:t>http://www.oecd.org/tax/administration/39882938.pdf</w:t>
      </w:r>
      <w:r w:rsidRPr="00C54718">
        <w:rPr>
          <w:lang w:val="en-US"/>
        </w:rPr>
        <w:t>; IFA Initiative on the Enhanced Relationship. Key Issues Report, International Fiscal Association 2012, http://</w:t>
      </w:r>
      <w:r w:rsidRPr="00C40555">
        <w:rPr>
          <w:lang w:val="en-US"/>
        </w:rPr>
        <w:t>www.ifa.nl</w:t>
      </w:r>
      <w:r w:rsidRPr="00C54718">
        <w:rPr>
          <w:lang w:val="en-US"/>
        </w:rPr>
        <w:t xml:space="preserve">; </w:t>
      </w:r>
      <w:r>
        <w:rPr>
          <w:lang w:val="en-US"/>
        </w:rPr>
        <w:t xml:space="preserve">K. </w:t>
      </w:r>
      <w:r w:rsidRPr="00C54718">
        <w:rPr>
          <w:lang w:val="en-US"/>
        </w:rPr>
        <w:t xml:space="preserve">Bronżewska, </w:t>
      </w:r>
      <w:r w:rsidRPr="00C54718">
        <w:rPr>
          <w:iCs/>
          <w:lang w:val="en-US"/>
        </w:rPr>
        <w:t>Cooperative Compliance. A</w:t>
      </w:r>
      <w:r>
        <w:rPr>
          <w:iCs/>
          <w:lang w:val="en-US"/>
        </w:rPr>
        <w:t xml:space="preserve"> </w:t>
      </w:r>
      <w:r w:rsidRPr="00C54718">
        <w:rPr>
          <w:iCs/>
          <w:lang w:val="en-US"/>
        </w:rPr>
        <w:t>New Approach to Managing Taxpayer Relations</w:t>
      </w:r>
      <w:r w:rsidRPr="00C54718">
        <w:rPr>
          <w:lang w:val="en-US"/>
        </w:rPr>
        <w:t xml:space="preserve">, IBFD 2016. W literaturze polskiej zob. </w:t>
      </w:r>
      <w:r w:rsidRPr="00C54718">
        <w:t>K. Bronżewska, Nadzór horyzontalny – kontrola najwyższą formą zaufania?, „Monitor Podatkowy” 2012, nr 5; H. Filipczyk, Program poprawnego rozliczenia opartego na współpracy (</w:t>
      </w:r>
      <w:r w:rsidRPr="00C54718">
        <w:rPr>
          <w:i/>
          <w:iCs/>
        </w:rPr>
        <w:t>cooperative compliance</w:t>
      </w:r>
      <w:r w:rsidRPr="00C54718">
        <w:t>) jako instrument zwalczania unikania opodatkowania, „Kwartalnik Prawa Podatkowego” 2014, nr 1.</w:t>
      </w:r>
    </w:p>
  </w:footnote>
  <w:footnote w:id="536">
    <w:p w:rsidR="00BA4699" w:rsidRPr="00C54718" w:rsidRDefault="00BA4699" w:rsidP="004166B8">
      <w:pPr>
        <w:pStyle w:val="Tekstprzypisudolnego"/>
        <w:spacing w:line="240" w:lineRule="auto"/>
        <w:rPr>
          <w:lang w:val="en-US"/>
        </w:rPr>
      </w:pPr>
      <w:r w:rsidRPr="00C54718">
        <w:rPr>
          <w:rStyle w:val="Odwoanieprzypisudolnego"/>
        </w:rPr>
        <w:footnoteRef/>
      </w:r>
      <w:r w:rsidRPr="00C54718">
        <w:rPr>
          <w:lang w:val="en-US"/>
        </w:rPr>
        <w:t xml:space="preserve"> Por. Co-operative Compliance…, </w:t>
      </w:r>
      <w:r w:rsidRPr="00C54718">
        <w:rPr>
          <w:i/>
          <w:iCs/>
          <w:lang w:val="en-US"/>
        </w:rPr>
        <w:t>op. cit</w:t>
      </w:r>
      <w:r w:rsidRPr="00C54718">
        <w:rPr>
          <w:lang w:val="en-US"/>
        </w:rPr>
        <w:t xml:space="preserve">., s. 19 i nast.; Study into the Role…, </w:t>
      </w:r>
      <w:r w:rsidRPr="00C54718">
        <w:rPr>
          <w:i/>
          <w:iCs/>
          <w:lang w:val="en-US"/>
        </w:rPr>
        <w:t>op. cit</w:t>
      </w:r>
      <w:r w:rsidRPr="00C54718">
        <w:rPr>
          <w:lang w:val="en-US"/>
        </w:rPr>
        <w:t>., rozdz. 7 i 8.</w:t>
      </w:r>
    </w:p>
  </w:footnote>
  <w:footnote w:id="537">
    <w:p w:rsidR="00BA4699" w:rsidRPr="00C54718" w:rsidRDefault="00BA4699" w:rsidP="004166B8">
      <w:pPr>
        <w:pStyle w:val="Tekstprzypisudolnego"/>
        <w:spacing w:line="240" w:lineRule="auto"/>
        <w:rPr>
          <w:lang w:val="en-US"/>
        </w:rPr>
      </w:pPr>
      <w:r w:rsidRPr="00C54718">
        <w:rPr>
          <w:rStyle w:val="Odwoanieprzypisudolnego"/>
        </w:rPr>
        <w:footnoteRef/>
      </w:r>
      <w:r w:rsidRPr="00C54718">
        <w:rPr>
          <w:lang w:val="en-US"/>
        </w:rPr>
        <w:t xml:space="preserve"> Program „horyzontalnego monitoringu” zob. Tax and Customs Administration, </w:t>
      </w:r>
      <w:r w:rsidRPr="00C54718">
        <w:rPr>
          <w:iCs/>
          <w:lang w:val="en-US"/>
        </w:rPr>
        <w:t>Guide to Horizontal Monitoring within the medium to very large businesses segment</w:t>
      </w:r>
      <w:r w:rsidRPr="00C54718">
        <w:rPr>
          <w:lang w:val="en-US"/>
        </w:rPr>
        <w:t xml:space="preserve">, Haga 2010. Zob. także H. Gribnau, </w:t>
      </w:r>
      <w:r w:rsidRPr="00C54718">
        <w:rPr>
          <w:iCs/>
          <w:lang w:val="en-US"/>
        </w:rPr>
        <w:t>Taxation, Reciprocity and Communicative Regulation</w:t>
      </w:r>
      <w:r w:rsidRPr="00C54718">
        <w:rPr>
          <w:lang w:val="en-US"/>
        </w:rPr>
        <w:t xml:space="preserve">, “Tilburg Law Review” 2015, nr 20, s. 191-212; H. Gribnau, </w:t>
      </w:r>
      <w:r w:rsidRPr="00C54718">
        <w:rPr>
          <w:iCs/>
          <w:lang w:val="en-US"/>
        </w:rPr>
        <w:t>Horizontal Monitoring: Some procedural tax law issues</w:t>
      </w:r>
      <w:r w:rsidRPr="00C54718">
        <w:rPr>
          <w:lang w:val="en-US"/>
        </w:rPr>
        <w:t xml:space="preserve"> (w:) R. Russo (red.), </w:t>
      </w:r>
      <w:r w:rsidRPr="00C54718">
        <w:rPr>
          <w:iCs/>
          <w:lang w:val="en-US"/>
        </w:rPr>
        <w:t>Tax Assurance</w:t>
      </w:r>
      <w:r w:rsidRPr="00C54718">
        <w:rPr>
          <w:lang w:val="en-US"/>
        </w:rPr>
        <w:t xml:space="preserve">, Deventer, 2015, s. 183-216; R. Happé, </w:t>
      </w:r>
      <w:r w:rsidRPr="00C54718">
        <w:rPr>
          <w:iCs/>
          <w:lang w:val="en-US"/>
        </w:rPr>
        <w:t>Multinationals, Enforcement Covenants, and Fair Share</w:t>
      </w:r>
      <w:r w:rsidRPr="00C54718">
        <w:rPr>
          <w:lang w:val="en-US"/>
        </w:rPr>
        <w:t xml:space="preserve"> (w:) J. Freedman (red.), </w:t>
      </w:r>
      <w:r w:rsidRPr="00C54718">
        <w:rPr>
          <w:iCs/>
          <w:lang w:val="en-US"/>
        </w:rPr>
        <w:t xml:space="preserve">Beyond Boundaries. Developing Approaches to Tax Avoidance and Tax Risk Management, </w:t>
      </w:r>
      <w:r w:rsidRPr="00C54718">
        <w:rPr>
          <w:lang w:val="en-US"/>
        </w:rPr>
        <w:t xml:space="preserve">Oxford University Centre for Business Taxation, Oxford 2008, s. 157-176; Committee Horizontal Monitoring Tax and Customs Administration, </w:t>
      </w:r>
      <w:r w:rsidRPr="00C54718">
        <w:rPr>
          <w:iCs/>
          <w:lang w:val="en-US"/>
        </w:rPr>
        <w:t>Tax supervision – Made to measure</w:t>
      </w:r>
      <w:r w:rsidRPr="00C54718">
        <w:rPr>
          <w:lang w:val="en-US"/>
        </w:rPr>
        <w:t>, Haga 2012.</w:t>
      </w:r>
    </w:p>
  </w:footnote>
  <w:footnote w:id="538">
    <w:p w:rsidR="00BA4699" w:rsidRPr="007E1238" w:rsidRDefault="00BA4699" w:rsidP="004166B8">
      <w:pPr>
        <w:pStyle w:val="Tekstprzypisudolnego"/>
        <w:spacing w:line="240" w:lineRule="auto"/>
      </w:pPr>
      <w:r w:rsidRPr="00C54718">
        <w:rPr>
          <w:rStyle w:val="Odwoanieprzypisudolnego"/>
        </w:rPr>
        <w:footnoteRef/>
      </w:r>
      <w:r w:rsidRPr="00C54718">
        <w:t xml:space="preserve"> Programy wdrożone w Australii, Holandii, Wielkiej Brytanii i USA opisano w: K. Bronżewska, </w:t>
      </w:r>
      <w:r w:rsidRPr="00C54718">
        <w:rPr>
          <w:iCs/>
        </w:rPr>
        <w:t xml:space="preserve">Cooperative Compliance…., </w:t>
      </w:r>
      <w:r w:rsidRPr="00C54718">
        <w:rPr>
          <w:i/>
          <w:iCs/>
        </w:rPr>
        <w:t>op. cit</w:t>
      </w:r>
      <w:r w:rsidRPr="00C54718">
        <w:t>., s. 104-228.</w:t>
      </w:r>
    </w:p>
  </w:footnote>
  <w:footnote w:id="539">
    <w:p w:rsidR="00BA4699" w:rsidRPr="007E1238" w:rsidRDefault="00BA4699" w:rsidP="004166B8">
      <w:pPr>
        <w:pStyle w:val="Tekstprzypisudolnego"/>
        <w:spacing w:line="240" w:lineRule="auto"/>
        <w:rPr>
          <w:lang w:val="en-AU"/>
        </w:rPr>
      </w:pPr>
      <w:r w:rsidRPr="00C54718">
        <w:rPr>
          <w:rStyle w:val="Odwoanieprzypisudolnego"/>
        </w:rPr>
        <w:footnoteRef/>
      </w:r>
      <w:r w:rsidRPr="00C54718">
        <w:rPr>
          <w:lang w:val="en-US"/>
        </w:rPr>
        <w:t xml:space="preserve"> OECD (2015), </w:t>
      </w:r>
      <w:r w:rsidRPr="00C54718">
        <w:rPr>
          <w:iCs/>
          <w:lang w:val="en-US"/>
        </w:rPr>
        <w:t>Tax Administration 2015: Comparative Information on OECD and Other Advanced and Emerging Economies</w:t>
      </w:r>
      <w:r w:rsidRPr="00C54718">
        <w:rPr>
          <w:lang w:val="en-US"/>
        </w:rPr>
        <w:t>, OECD Publishing, Paris 2015, s. 128-132</w:t>
      </w:r>
    </w:p>
  </w:footnote>
  <w:footnote w:id="540">
    <w:p w:rsidR="00BA4699" w:rsidRPr="007E1238" w:rsidRDefault="00BA4699" w:rsidP="004166B8">
      <w:pPr>
        <w:pStyle w:val="Tekstprzypisudolnego"/>
        <w:spacing w:line="240" w:lineRule="auto"/>
        <w:rPr>
          <w:lang w:val="en-AU"/>
        </w:rPr>
      </w:pPr>
      <w:r w:rsidRPr="00C54718">
        <w:rPr>
          <w:rStyle w:val="Odwoanieprzypisudolnego"/>
        </w:rPr>
        <w:footnoteRef/>
      </w:r>
      <w:r w:rsidRPr="00C54718">
        <w:rPr>
          <w:lang w:val="en-US"/>
        </w:rPr>
        <w:t xml:space="preserve"> Zob. J.L. Pemberton, A. Majdańska, </w:t>
      </w:r>
      <w:r w:rsidRPr="00C54718">
        <w:rPr>
          <w:iCs/>
          <w:lang w:val="en-US"/>
        </w:rPr>
        <w:t>Can Cooperative Compliance Help Developing Countries Address the Challenges of the OECD/G20 Base Erosion and Profit Shifting Initiative?</w:t>
      </w:r>
      <w:r w:rsidRPr="00C54718">
        <w:rPr>
          <w:lang w:val="en-US"/>
        </w:rPr>
        <w:t>, “Bulletin For International Taxation” 2016, vol. 70, s. 595-600.</w:t>
      </w:r>
    </w:p>
  </w:footnote>
  <w:footnote w:id="541">
    <w:p w:rsidR="00BA4699" w:rsidRDefault="00BA4699" w:rsidP="004166B8">
      <w:pPr>
        <w:pStyle w:val="Tekstprzypisudolnego"/>
        <w:spacing w:line="240" w:lineRule="auto"/>
      </w:pPr>
      <w:r>
        <w:rPr>
          <w:rStyle w:val="Odwoanieprzypisudolnego"/>
        </w:rPr>
        <w:footnoteRef/>
      </w:r>
      <w:r>
        <w:t xml:space="preserve"> Zob. H. Filipczyk, Program poprawnego rozliczenia opartego na współpracy (cooperative compliance) jako instrument zwalczania unikania opodatkowania, …..</w:t>
      </w:r>
    </w:p>
  </w:footnote>
  <w:footnote w:id="542">
    <w:p w:rsidR="00BA4699" w:rsidRPr="00C54718" w:rsidRDefault="00BA4699" w:rsidP="004166B8">
      <w:pPr>
        <w:pStyle w:val="Tekstprzypisudolnego"/>
        <w:spacing w:line="240" w:lineRule="auto"/>
        <w:contextualSpacing/>
      </w:pPr>
      <w:r w:rsidRPr="00C54718">
        <w:rPr>
          <w:rStyle w:val="Odwoanieprzypisudolnego"/>
        </w:rPr>
        <w:footnoteRef/>
      </w:r>
      <w:r w:rsidRPr="00C54718">
        <w:t xml:space="preserve"> Dokument ten przewiduje także „opracowanie i wdrożenie modelu segmentacji klientów KAS oraz określenie szczególnych kryteriów obsługi największych podmiotów gospodarczych (oraz osób fizycznych o wysokich przychodach)” (s. 9).</w:t>
      </w:r>
    </w:p>
  </w:footnote>
  <w:footnote w:id="543">
    <w:p w:rsidR="00BA4699" w:rsidRPr="00C54718" w:rsidRDefault="00BA4699" w:rsidP="004166B8">
      <w:pPr>
        <w:pStyle w:val="Tekstprzypisudolnego"/>
        <w:spacing w:line="240" w:lineRule="auto"/>
        <w:contextualSpacing/>
        <w:rPr>
          <w:lang w:val="en-US"/>
        </w:rPr>
      </w:pPr>
      <w:r w:rsidRPr="00C54718">
        <w:rPr>
          <w:rStyle w:val="Odwoanieprzypisudolnego"/>
        </w:rPr>
        <w:footnoteRef/>
      </w:r>
      <w:r w:rsidRPr="00C54718">
        <w:rPr>
          <w:lang w:val="en-US"/>
        </w:rPr>
        <w:t xml:space="preserve"> Study into the Role…, </w:t>
      </w:r>
      <w:r w:rsidRPr="00C54718">
        <w:rPr>
          <w:i/>
          <w:iCs/>
          <w:lang w:val="en-US"/>
        </w:rPr>
        <w:t>op. cit</w:t>
      </w:r>
      <w:r w:rsidRPr="00C54718">
        <w:rPr>
          <w:lang w:val="en-US"/>
        </w:rPr>
        <w:t xml:space="preserve">., s. 43. Zob. także OECD Tax Intermediaries Study, </w:t>
      </w:r>
      <w:r w:rsidRPr="00C54718">
        <w:rPr>
          <w:iCs/>
          <w:lang w:val="en-US"/>
        </w:rPr>
        <w:t>Working Paper 6 – The Enhanced Relationship</w:t>
      </w:r>
      <w:r w:rsidRPr="00C54718">
        <w:rPr>
          <w:lang w:val="en-US"/>
        </w:rPr>
        <w:t>, July 2007.</w:t>
      </w:r>
    </w:p>
  </w:footnote>
  <w:footnote w:id="544">
    <w:p w:rsidR="00BA4699" w:rsidRPr="00C54718" w:rsidRDefault="00BA4699" w:rsidP="004166B8">
      <w:pPr>
        <w:pStyle w:val="Tekstprzypisudolnego"/>
        <w:spacing w:line="240" w:lineRule="auto"/>
      </w:pPr>
      <w:r w:rsidRPr="00C54718">
        <w:rPr>
          <w:rStyle w:val="Odwoanieprzypisudolnego"/>
        </w:rPr>
        <w:footnoteRef/>
      </w:r>
      <w:r w:rsidRPr="00C54718">
        <w:t xml:space="preserve"> Praktyka w innych państwach jest zróżnicowana. W Wielkiej Brytanii i Irlandii nie zawiera się pisemnego porozumienia; w Holandii (w ramach tzw. </w:t>
      </w:r>
      <w:r w:rsidRPr="00C54718">
        <w:rPr>
          <w:i/>
          <w:iCs/>
        </w:rPr>
        <w:t>horizontal monitoring</w:t>
      </w:r>
      <w:r w:rsidRPr="00C54718">
        <w:t>) porozumienie  jest zawierane.</w:t>
      </w:r>
      <w:r>
        <w:t xml:space="preserve"> Pełni ono taką samą rolę co umowa o współdziałanie.</w:t>
      </w:r>
    </w:p>
  </w:footnote>
  <w:footnote w:id="545">
    <w:p w:rsidR="00BA4699" w:rsidRDefault="00BA4699" w:rsidP="00463D52">
      <w:pPr>
        <w:pStyle w:val="Tekstprzypisudolnego"/>
        <w:spacing w:line="240" w:lineRule="auto"/>
      </w:pPr>
      <w:r>
        <w:rPr>
          <w:rStyle w:val="Odwoanieprzypisudolnego"/>
        </w:rPr>
        <w:footnoteRef/>
      </w:r>
      <w:r>
        <w:t xml:space="preserve"> Zgodnie z art. 7 pkt 3 ww. ustawy za średniego przedsiębiorcę uważa się przedsiębiorcę, który w co najmniej jednym </w:t>
      </w:r>
      <w:r w:rsidRPr="00CA52CE">
        <w:t xml:space="preserve">roku z </w:t>
      </w:r>
      <w:r>
        <w:t>dwóch ostatnich lat obrotowych</w:t>
      </w:r>
      <w:r w:rsidRPr="00CA52CE">
        <w:rPr>
          <w:rFonts w:ascii="Calibri" w:hAnsi="Calibri"/>
          <w:sz w:val="22"/>
          <w:szCs w:val="22"/>
          <w:lang w:eastAsia="en-US"/>
        </w:rPr>
        <w:t xml:space="preserve"> </w:t>
      </w:r>
      <w:r w:rsidRPr="00CA52CE">
        <w:t>spełniał łącznie następujące warunki</w:t>
      </w:r>
      <w:r>
        <w:t>:</w:t>
      </w:r>
    </w:p>
    <w:p w:rsidR="00BA4699" w:rsidRDefault="00BA4699" w:rsidP="00463D52">
      <w:pPr>
        <w:pStyle w:val="Tekstprzypisudolnego"/>
        <w:spacing w:line="240" w:lineRule="auto"/>
      </w:pPr>
      <w:r>
        <w:t>1) zatrudniał średniorocznie mniej niż 250 pracowników oraz</w:t>
      </w:r>
    </w:p>
    <w:p w:rsidR="00BA4699" w:rsidRDefault="00BA4699" w:rsidP="00463D52">
      <w:pPr>
        <w:pStyle w:val="Tekstprzypisudolnego"/>
        <w:spacing w:line="240" w:lineRule="auto"/>
      </w:pPr>
      <w:r>
        <w:t>2) osiągnął roczny obrót netto ze sprzedaży towarów, wyrobów i usług oraz operacji finansowych nieprzekraczający równowartości w złotych 50 milionów euro, lub sumy aktywów jego bilansu sporządzonego na koniec jednego z tych lat nie przekroczyły równowartości w złotych 43 milionów euro</w:t>
      </w:r>
    </w:p>
    <w:p w:rsidR="00BA4699" w:rsidRPr="00CA52CE" w:rsidRDefault="00BA4699" w:rsidP="00463D52">
      <w:pPr>
        <w:pStyle w:val="Tekstprzypisudolnego"/>
        <w:spacing w:line="240" w:lineRule="auto"/>
      </w:pPr>
      <w:r w:rsidRPr="00CA52CE">
        <w:t>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w:t>
      </w:r>
    </w:p>
    <w:p w:rsidR="00BA4699" w:rsidRPr="00CA52CE" w:rsidRDefault="00BA4699" w:rsidP="00463D52">
      <w:pPr>
        <w:pStyle w:val="Tekstprzypisudolnego"/>
        <w:spacing w:line="240" w:lineRule="auto"/>
      </w:pPr>
      <w:r w:rsidRPr="00CA52CE">
        <w:t>- i który nie jest mikroprzedsiębiorcą ani małym przedsiębiorcą;</w:t>
      </w:r>
    </w:p>
    <w:p w:rsidR="00BA4699" w:rsidRDefault="00BA4699" w:rsidP="00463D52">
      <w:pPr>
        <w:pStyle w:val="Tekstprzypisudolnego"/>
        <w:spacing w:line="240" w:lineRule="auto"/>
      </w:pPr>
    </w:p>
  </w:footnote>
  <w:footnote w:id="546">
    <w:p w:rsidR="00BA4699" w:rsidRPr="000D779E" w:rsidRDefault="00BA4699" w:rsidP="00463D52">
      <w:pPr>
        <w:pStyle w:val="Tekstprzypisudolnego"/>
        <w:spacing w:line="240" w:lineRule="auto"/>
        <w:rPr>
          <w:lang w:val="en-GB"/>
        </w:rPr>
      </w:pPr>
      <w:r>
        <w:rPr>
          <w:rStyle w:val="Odwoanieprzypisudolnego"/>
        </w:rPr>
        <w:footnoteRef/>
      </w:r>
      <w:r w:rsidRPr="000D779E">
        <w:rPr>
          <w:lang w:val="en-GB"/>
        </w:rPr>
        <w:t xml:space="preserve"> Zob. wzór Individual Compliance Agreementhttps://download.belastingdienst.nl/belastingdienst/docs/ individual_compliance_agreement_dv4091z1edeng.pdf</w:t>
      </w:r>
    </w:p>
  </w:footnote>
  <w:footnote w:id="547">
    <w:p w:rsidR="00BA4699" w:rsidRDefault="00BA4699" w:rsidP="004166B8">
      <w:pPr>
        <w:pStyle w:val="Tekstprzypisudolnego"/>
        <w:spacing w:line="240" w:lineRule="auto"/>
      </w:pPr>
      <w:r>
        <w:rPr>
          <w:rStyle w:val="Odwoanieprzypisudolnego"/>
        </w:rPr>
        <w:footnoteRef/>
      </w:r>
      <w:r>
        <w:t xml:space="preserve"> Art.11 ust. 2 w związku z ust. 1 lit. d Rozporządzenia  Delegowanego  Komisji  (UE)  2015/2446 z  dnia  28  lipca  2015  r. uzupełniające  rozporządzenie  Parlamentu  Europejskiego  i  Rady  (UE)  nr  952/2013  w  odniesieniu  do  szczegółowych  zasad  dotyczących  niektórych  przepisów  unijnego  kodeksu  celnego. Przepisy mówią o braku możliwości ponownego przestąpienia do AEO przez 3 lata, jeśli cofnięcie statusu AEO nastąpiło z powodu naruszeń  wnioskodawcy.</w:t>
      </w:r>
    </w:p>
    <w:p w:rsidR="00BA4699" w:rsidRDefault="00BA4699" w:rsidP="004166B8">
      <w:pPr>
        <w:pStyle w:val="Tekstprzypisudolnego"/>
        <w:spacing w:line="240" w:lineRule="auto"/>
      </w:pPr>
      <w:r>
        <w:t>Art. 24    Rozporządzenia  Wykonawcze  Komisji  (UE)  2015/2447 z  dnia  24  listopada  2015  r. ustanawiające  szczegółowe  zasady  wykonania  niektórych  przepisów  rozporządzenia  Parlamentu  Europejskiego  i  Rady  (UE)  nr  952/2013  ustanawiającego  unijny  kodeks  celny (Dz.U.  L  343  z  29.12.2015,  s.  558) w związku z art. 39 Unijnego kodeksu celnego – przewiduje cofnięcie statusu AEO z powodu poważnego   lub   powtarzającego   się naruszenia   przepisów   prawa   celnego i podatkowego lub poważnego  przestępstwa karnego.</w:t>
      </w:r>
    </w:p>
  </w:footnote>
  <w:footnote w:id="548">
    <w:p w:rsidR="00BA4699" w:rsidRDefault="00BA4699" w:rsidP="008579C2">
      <w:pPr>
        <w:pStyle w:val="Tekstprzypisudolnego"/>
        <w:spacing w:before="60" w:after="60" w:line="240" w:lineRule="auto"/>
      </w:pPr>
      <w:r w:rsidRPr="00BF4D71">
        <w:rPr>
          <w:rStyle w:val="Odwoanieprzypisudolnego"/>
        </w:rPr>
        <w:footnoteRef/>
      </w:r>
      <w:r w:rsidRPr="00BF4D71">
        <w:t xml:space="preserve"> Zob. D. Strzelec, M. Łoboda, Kontrola przestrzegania przepisów prawa podatkowego, Warszawa 2017, s. 93.</w:t>
      </w:r>
    </w:p>
  </w:footnote>
  <w:footnote w:id="549">
    <w:p w:rsidR="00BA4699" w:rsidRDefault="00BA4699" w:rsidP="008579C2">
      <w:pPr>
        <w:pStyle w:val="Tekstprzypisudolnego"/>
        <w:spacing w:before="60" w:after="60" w:line="240" w:lineRule="auto"/>
      </w:pPr>
      <w:r w:rsidRPr="00BF4D71">
        <w:rPr>
          <w:rStyle w:val="Odwoanieprzypisudolnego"/>
        </w:rPr>
        <w:footnoteRef/>
      </w:r>
      <w:r w:rsidRPr="00BF4D71">
        <w:t xml:space="preserve"> Zob. B. Brzeziński, M. Kalinowski, A. Olesińska, Ordynacja podatkowa. Komentarz praktyczny. Warszawa 2015, s. 1124.</w:t>
      </w:r>
    </w:p>
  </w:footnote>
  <w:footnote w:id="550">
    <w:p w:rsidR="00BA4699" w:rsidRDefault="00BA4699" w:rsidP="008579C2">
      <w:pPr>
        <w:pStyle w:val="Tekstprzypisudolnego"/>
        <w:spacing w:before="60" w:after="60" w:line="240" w:lineRule="auto"/>
      </w:pPr>
      <w:r w:rsidRPr="00BF4D71">
        <w:rPr>
          <w:rStyle w:val="Odwoanieprzypisudolnego"/>
        </w:rPr>
        <w:footnoteRef/>
      </w:r>
      <w:r w:rsidRPr="00BF4D71">
        <w:t xml:space="preserve"> Por. wyrok z 3 lutego 2011 r., III SA/Wa 1452/10 oraz z 13 kwietnia 2004 r., I SA/Łd 620/03.</w:t>
      </w:r>
    </w:p>
  </w:footnote>
  <w:footnote w:id="551">
    <w:p w:rsidR="00BA4699" w:rsidRDefault="00BA4699" w:rsidP="008579C2">
      <w:pPr>
        <w:pStyle w:val="Tekstprzypisudolnego"/>
        <w:spacing w:before="60" w:after="60" w:line="240" w:lineRule="auto"/>
      </w:pPr>
      <w:r w:rsidRPr="00BF4D71">
        <w:rPr>
          <w:rStyle w:val="Odwoanieprzypisudolnego"/>
        </w:rPr>
        <w:footnoteRef/>
      </w:r>
      <w:r w:rsidRPr="00BF4D71">
        <w:t xml:space="preserve"> Por. R. Kubacki, Ordynacja podatkowa. Kontrola podatkowa, „Przegląd Podatkowy” 1998, nr 5 s. 31.</w:t>
      </w:r>
    </w:p>
  </w:footnote>
  <w:footnote w:id="552">
    <w:p w:rsidR="00BA4699" w:rsidRDefault="00BA4699" w:rsidP="008579C2">
      <w:pPr>
        <w:pStyle w:val="Tekstprzypisudolnego"/>
        <w:spacing w:before="60" w:after="60" w:line="240" w:lineRule="auto"/>
      </w:pPr>
      <w:r w:rsidRPr="00BF4D71">
        <w:rPr>
          <w:rStyle w:val="Odwoanieprzypisudolnego"/>
        </w:rPr>
        <w:footnoteRef/>
      </w:r>
      <w:r w:rsidRPr="00BF4D71">
        <w:t xml:space="preserve"> Zob. S. Babiarz, B. Dauter, B. Gruszczyński, R. Hauser, A. Kabat, M. Niezgódka-Medek, Ordynacja podatkowa – Komentarz, Warszawa 2013, s. 983 i nast.</w:t>
      </w:r>
    </w:p>
  </w:footnote>
  <w:footnote w:id="553">
    <w:p w:rsidR="00BA4699" w:rsidRDefault="00BA4699" w:rsidP="008579C2">
      <w:pPr>
        <w:pStyle w:val="Tekstprzypisudolnego"/>
        <w:spacing w:before="60" w:after="60" w:line="240" w:lineRule="auto"/>
      </w:pPr>
      <w:r w:rsidRPr="00BF4D71">
        <w:rPr>
          <w:rStyle w:val="Odwoanieprzypisudolnego"/>
        </w:rPr>
        <w:footnoteRef/>
      </w:r>
      <w:r w:rsidRPr="00BF4D71">
        <w:t xml:space="preserve"> M. Niezgódka-Medek (w:) S. Babiarz, Ordynacja podatkowa… </w:t>
      </w:r>
      <w:r w:rsidRPr="00BF4D71">
        <w:rPr>
          <w:i/>
        </w:rPr>
        <w:t>op. cit.</w:t>
      </w:r>
      <w:r w:rsidRPr="00BF4D71">
        <w:t>, s. 994.</w:t>
      </w:r>
    </w:p>
  </w:footnote>
  <w:footnote w:id="554">
    <w:p w:rsidR="00BA4699" w:rsidRDefault="00BA4699" w:rsidP="008579C2">
      <w:pPr>
        <w:pStyle w:val="Tekstprzypisudolnego"/>
        <w:spacing w:before="60" w:after="60" w:line="240" w:lineRule="auto"/>
      </w:pPr>
      <w:r w:rsidRPr="00BF4D71">
        <w:rPr>
          <w:rStyle w:val="Odwoanieprzypisudolnego"/>
        </w:rPr>
        <w:footnoteRef/>
      </w:r>
      <w:r w:rsidRPr="00BF4D71">
        <w:t xml:space="preserve"> Zob. D. Strzelec, Opodatkowanie przychodów nieznajdujących pokrycia w ujawnionych źródłach lub pochodzących ze źródeł nieujawnionych, wyd. 2, Warszawa 2015, s. 265.</w:t>
      </w:r>
    </w:p>
  </w:footnote>
  <w:footnote w:id="555">
    <w:p w:rsidR="00BA4699" w:rsidRDefault="00BA4699" w:rsidP="008579C2">
      <w:pPr>
        <w:pStyle w:val="Tekstprzypisudolnego"/>
        <w:spacing w:before="60" w:after="60" w:line="240" w:lineRule="auto"/>
      </w:pPr>
      <w:r w:rsidRPr="00BF4D71">
        <w:rPr>
          <w:rStyle w:val="Odwoanieprzypisudolnego"/>
        </w:rPr>
        <w:footnoteRef/>
      </w:r>
      <w:r w:rsidRPr="00BF4D71">
        <w:t xml:space="preserve"> Por. uchwały 7 sędziów NSA z dnia 22 kwietnia 2002 r., FPS 1/02 oraz FPS 5/02, ONSA 2002, nr 4, poz. 135 i 137, a także wyroki NSA z dnia 18 października 2013 r., I FSK 1479/12 oraz I FSK 1480/12. </w:t>
      </w:r>
    </w:p>
  </w:footnote>
  <w:footnote w:id="556">
    <w:p w:rsidR="00BA4699" w:rsidRDefault="00BA4699" w:rsidP="008579C2">
      <w:pPr>
        <w:autoSpaceDE w:val="0"/>
        <w:spacing w:before="60" w:after="60" w:line="240" w:lineRule="auto"/>
        <w:jc w:val="both"/>
      </w:pPr>
      <w:r w:rsidRPr="00BF4D71">
        <w:rPr>
          <w:rStyle w:val="Odwoanieprzypisudolnego"/>
          <w:b/>
          <w:sz w:val="20"/>
          <w:szCs w:val="20"/>
        </w:rPr>
        <w:footnoteRef/>
      </w:r>
      <w:r w:rsidRPr="00BF4D71">
        <w:rPr>
          <w:rFonts w:ascii="Times New Roman" w:hAnsi="Times New Roman"/>
          <w:b/>
          <w:sz w:val="20"/>
          <w:szCs w:val="20"/>
        </w:rPr>
        <w:t xml:space="preserve"> </w:t>
      </w:r>
      <w:r w:rsidRPr="00BF4D71">
        <w:rPr>
          <w:rFonts w:ascii="Times New Roman" w:hAnsi="Times New Roman"/>
          <w:sz w:val="20"/>
          <w:szCs w:val="20"/>
        </w:rPr>
        <w:t>D. Strzelec,</w:t>
      </w:r>
      <w:r w:rsidRPr="00BF4D71">
        <w:rPr>
          <w:rFonts w:ascii="Times New Roman" w:hAnsi="Times New Roman"/>
          <w:b/>
          <w:sz w:val="20"/>
          <w:szCs w:val="20"/>
        </w:rPr>
        <w:t xml:space="preserve"> </w:t>
      </w:r>
      <w:r w:rsidRPr="00BF4D71">
        <w:rPr>
          <w:rFonts w:ascii="Times New Roman" w:hAnsi="Times New Roman"/>
          <w:sz w:val="20"/>
          <w:szCs w:val="20"/>
        </w:rPr>
        <w:t xml:space="preserve">Nowe zasady kontroli przestrzegania przepisów prawa podatkowego – </w:t>
      </w:r>
      <w:r w:rsidRPr="00BF4D71">
        <w:rPr>
          <w:rFonts w:ascii="Times New Roman" w:hAnsi="Times New Roman"/>
          <w:bCs/>
          <w:sz w:val="20"/>
          <w:szCs w:val="20"/>
        </w:rPr>
        <w:t>realna czy iluzoryczna poprawa sytuacji kontrolowanych?, „Przegląd Podatkowy” 2017, nr 3.</w:t>
      </w:r>
    </w:p>
  </w:footnote>
  <w:footnote w:id="557">
    <w:p w:rsidR="00BA4699" w:rsidRDefault="00BA4699" w:rsidP="00181896">
      <w:pPr>
        <w:pStyle w:val="Tekstprzypisudolnego"/>
        <w:spacing w:before="60" w:after="60" w:line="240" w:lineRule="auto"/>
      </w:pPr>
      <w:r w:rsidRPr="00BF4D71">
        <w:rPr>
          <w:rStyle w:val="Odwoanieprzypisudolnego"/>
        </w:rPr>
        <w:footnoteRef/>
      </w:r>
      <w:r w:rsidRPr="00BF4D71">
        <w:t xml:space="preserve"> Zob. D. Strzelec, M. Łoboda, Kontrola przestrzegania przepisów prawa podatkowego, Warszawa 2017, s. 173 i nast.</w:t>
      </w:r>
    </w:p>
  </w:footnote>
  <w:footnote w:id="558">
    <w:p w:rsidR="00BA4699" w:rsidRDefault="00BA4699" w:rsidP="00181896">
      <w:pPr>
        <w:pStyle w:val="Tekstprzypisudolnego"/>
        <w:spacing w:before="60" w:after="60" w:line="240" w:lineRule="auto"/>
      </w:pPr>
      <w:r w:rsidRPr="00BF4D71">
        <w:rPr>
          <w:rStyle w:val="Odwoanieprzypisudolnego"/>
        </w:rPr>
        <w:footnoteRef/>
      </w:r>
      <w:r w:rsidRPr="00BF4D71">
        <w:t xml:space="preserve"> Dz. U. Nr 209, poz. 1318.</w:t>
      </w:r>
    </w:p>
  </w:footnote>
  <w:footnote w:id="559">
    <w:p w:rsidR="00BA4699" w:rsidRDefault="00BA4699" w:rsidP="00181896">
      <w:pPr>
        <w:pStyle w:val="Tekstprzypisudolnego"/>
        <w:spacing w:before="60" w:after="60" w:line="240" w:lineRule="auto"/>
      </w:pPr>
      <w:r w:rsidRPr="00BF4D71">
        <w:rPr>
          <w:rStyle w:val="Odwoanieprzypisudolnego"/>
        </w:rPr>
        <w:footnoteRef/>
      </w:r>
      <w:r w:rsidRPr="00BF4D71">
        <w:t xml:space="preserve"> Dz. U. z 2009 r. Nr 18, poz. 97.</w:t>
      </w:r>
    </w:p>
  </w:footnote>
  <w:footnote w:id="560">
    <w:p w:rsidR="00BA4699" w:rsidRDefault="00BA4699" w:rsidP="00181896">
      <w:pPr>
        <w:pStyle w:val="Tekstprzypisudolnego"/>
        <w:spacing w:before="60" w:after="60" w:line="240" w:lineRule="auto"/>
      </w:pPr>
      <w:r w:rsidRPr="00BF4D71">
        <w:rPr>
          <w:rStyle w:val="Odwoanieprzypisudolnego"/>
        </w:rPr>
        <w:footnoteRef/>
      </w:r>
      <w:r w:rsidRPr="00BF4D71">
        <w:t xml:space="preserve"> Zob. D. Strzelec, M. Łoboda, Kontrola przestrzegania przepisów prawa podatkowego, Warszawa 2017, s. 129.</w:t>
      </w:r>
    </w:p>
  </w:footnote>
  <w:footnote w:id="561">
    <w:p w:rsidR="00BA4699" w:rsidRDefault="00BA4699" w:rsidP="00181896">
      <w:pPr>
        <w:spacing w:before="60" w:after="60" w:line="240" w:lineRule="auto"/>
        <w:jc w:val="both"/>
      </w:pPr>
      <w:r w:rsidRPr="00BF4D71">
        <w:rPr>
          <w:rStyle w:val="Odwoanieprzypisudolnego"/>
        </w:rPr>
        <w:footnoteRef/>
      </w:r>
      <w:r w:rsidRPr="00BF4D71">
        <w:rPr>
          <w:rFonts w:ascii="Times New Roman" w:hAnsi="Times New Roman"/>
          <w:sz w:val="20"/>
          <w:szCs w:val="20"/>
        </w:rPr>
        <w:t xml:space="preserve"> Zgodnie z art. 97 k.c. osobę czynną w lokalu przedsiębiorstwa przeznaczonym do obsługiwania publiczności poczytuje się w razie wątpliwości za umocowaną do dokonywania czynności prawnych, które zazwyczaj bywają dokonywane z osobami korzystającymi z usług tego przedsiębiorstwa.</w:t>
      </w:r>
    </w:p>
  </w:footnote>
  <w:footnote w:id="562">
    <w:p w:rsidR="00BA4699" w:rsidRDefault="00BA4699" w:rsidP="006C38A8">
      <w:pPr>
        <w:spacing w:before="60" w:after="60" w:line="240" w:lineRule="auto"/>
        <w:jc w:val="both"/>
      </w:pPr>
      <w:r w:rsidRPr="00BF4D71">
        <w:rPr>
          <w:rStyle w:val="Odwoanieprzypisudolnego"/>
          <w:sz w:val="20"/>
          <w:szCs w:val="20"/>
          <w:lang w:eastAsia="pl-PL"/>
        </w:rPr>
        <w:footnoteRef/>
      </w:r>
      <w:r w:rsidRPr="00BF4D71">
        <w:rPr>
          <w:rFonts w:ascii="Times New Roman" w:hAnsi="Times New Roman"/>
          <w:sz w:val="20"/>
          <w:szCs w:val="20"/>
        </w:rPr>
        <w:t xml:space="preserve"> Art. 8 ustawy z dnia 28 lipca 1983 r. o podatku od spadków i darowizn (</w:t>
      </w:r>
      <w:r w:rsidRPr="00BF4D71">
        <w:rPr>
          <w:rFonts w:ascii="Times New Roman" w:hAnsi="Times New Roman"/>
          <w:bCs/>
          <w:sz w:val="20"/>
          <w:szCs w:val="20"/>
        </w:rPr>
        <w:t>Dz. U. z 2017 r. poz. 833</w:t>
      </w:r>
      <w:r>
        <w:rPr>
          <w:rFonts w:ascii="Times New Roman" w:hAnsi="Times New Roman"/>
          <w:bCs/>
          <w:sz w:val="20"/>
          <w:szCs w:val="20"/>
        </w:rPr>
        <w:t>,</w:t>
      </w:r>
      <w:r w:rsidRPr="00BF4D71">
        <w:rPr>
          <w:rFonts w:ascii="Times New Roman" w:hAnsi="Times New Roman"/>
          <w:bCs/>
          <w:sz w:val="20"/>
          <w:szCs w:val="20"/>
        </w:rPr>
        <w:t xml:space="preserve"> z późn. zm.).</w:t>
      </w:r>
    </w:p>
  </w:footnote>
  <w:footnote w:id="563">
    <w:p w:rsidR="00BA4699" w:rsidRPr="00463D52" w:rsidRDefault="00BA4699" w:rsidP="006C38A8">
      <w:pPr>
        <w:pStyle w:val="NoSpacing1"/>
        <w:spacing w:before="60" w:after="60"/>
        <w:jc w:val="both"/>
        <w:rPr>
          <w:lang w:val="pl-PL"/>
        </w:rPr>
      </w:pPr>
      <w:r w:rsidRPr="00BF4D71">
        <w:rPr>
          <w:rStyle w:val="Odwoanieprzypisudolnego"/>
          <w:sz w:val="20"/>
          <w:szCs w:val="20"/>
        </w:rPr>
        <w:footnoteRef/>
      </w:r>
      <w:r w:rsidRPr="00BF4D71">
        <w:rPr>
          <w:sz w:val="20"/>
          <w:szCs w:val="20"/>
          <w:lang w:val="pl-PL"/>
        </w:rPr>
        <w:t xml:space="preserve"> Art. 104 ustawy z dnia 6 grudnia 2008 r. o podatku akcyzowym (</w:t>
      </w:r>
      <w:r w:rsidRPr="00BF4D71">
        <w:rPr>
          <w:bCs/>
          <w:sz w:val="20"/>
          <w:szCs w:val="20"/>
          <w:lang w:val="pl-PL"/>
        </w:rPr>
        <w:t>Dz. U. z 2017 r. poz. 43</w:t>
      </w:r>
      <w:r>
        <w:rPr>
          <w:bCs/>
          <w:sz w:val="20"/>
          <w:szCs w:val="20"/>
          <w:lang w:val="pl-PL"/>
        </w:rPr>
        <w:t>,</w:t>
      </w:r>
      <w:r w:rsidRPr="00BF4D71">
        <w:rPr>
          <w:bCs/>
          <w:sz w:val="20"/>
          <w:szCs w:val="20"/>
          <w:lang w:val="pl-PL"/>
        </w:rPr>
        <w:t xml:space="preserve"> z późn. zm.). </w:t>
      </w:r>
    </w:p>
  </w:footnote>
  <w:footnote w:id="564">
    <w:p w:rsidR="00BA4699" w:rsidRPr="00463D52" w:rsidRDefault="00BA4699" w:rsidP="006C38A8">
      <w:pPr>
        <w:pStyle w:val="NoSpacing1"/>
        <w:spacing w:before="60" w:after="60"/>
        <w:jc w:val="both"/>
        <w:rPr>
          <w:lang w:val="pl-PL"/>
        </w:rPr>
      </w:pPr>
      <w:r w:rsidRPr="00BF4D71">
        <w:rPr>
          <w:rStyle w:val="Odwoanieprzypisudolnego"/>
          <w:sz w:val="20"/>
          <w:szCs w:val="20"/>
        </w:rPr>
        <w:footnoteRef/>
      </w:r>
      <w:r w:rsidRPr="00BF4D71">
        <w:rPr>
          <w:sz w:val="20"/>
          <w:szCs w:val="20"/>
          <w:lang w:val="pl-PL"/>
        </w:rPr>
        <w:t xml:space="preserve"> Art. 3 u</w:t>
      </w:r>
      <w:r w:rsidRPr="00BF4D71">
        <w:rPr>
          <w:bCs/>
          <w:sz w:val="20"/>
          <w:szCs w:val="20"/>
          <w:lang w:val="pl-PL"/>
        </w:rPr>
        <w:t xml:space="preserve">stawy z dnia 9 maja 2008 r. o zwrocie nadpłaty w podatku akcyzowym zapłaconym z tytułu nabycia wewnątrzwspólnotowego albo importu samochodu osobowego (Dz. U. Nr 118, poz. 745). </w:t>
      </w:r>
    </w:p>
  </w:footnote>
  <w:footnote w:id="565">
    <w:p w:rsidR="00BA4699" w:rsidRPr="00463D52" w:rsidRDefault="00BA4699" w:rsidP="006C38A8">
      <w:pPr>
        <w:pStyle w:val="NoSpacing1"/>
        <w:spacing w:before="60" w:after="60"/>
        <w:jc w:val="both"/>
        <w:rPr>
          <w:lang w:val="pl-PL"/>
        </w:rPr>
      </w:pPr>
      <w:r w:rsidRPr="00BF4D71">
        <w:rPr>
          <w:rStyle w:val="Odwoanieprzypisudolnego"/>
          <w:sz w:val="20"/>
          <w:szCs w:val="20"/>
        </w:rPr>
        <w:footnoteRef/>
      </w:r>
      <w:r w:rsidRPr="00BF4D71">
        <w:rPr>
          <w:sz w:val="20"/>
          <w:szCs w:val="20"/>
          <w:lang w:val="pl-PL"/>
        </w:rPr>
        <w:t xml:space="preserve"> Art. 19 ustawy z dnia 26 lipca 1991 r. o podatku dochodowym od osób fizycznych (</w:t>
      </w:r>
      <w:r w:rsidRPr="00BF4D71">
        <w:rPr>
          <w:bCs/>
          <w:sz w:val="20"/>
          <w:szCs w:val="20"/>
          <w:lang w:val="pl-PL"/>
        </w:rPr>
        <w:t>Dz. U. z 2016 r. poz. 2032</w:t>
      </w:r>
      <w:r>
        <w:rPr>
          <w:bCs/>
          <w:sz w:val="20"/>
          <w:szCs w:val="20"/>
          <w:lang w:val="pl-PL"/>
        </w:rPr>
        <w:t>,</w:t>
      </w:r>
      <w:r w:rsidRPr="00BF4D71">
        <w:rPr>
          <w:bCs/>
          <w:sz w:val="20"/>
          <w:szCs w:val="20"/>
          <w:lang w:val="pl-PL"/>
        </w:rPr>
        <w:t xml:space="preserve"> z późń. zm.).</w:t>
      </w:r>
    </w:p>
  </w:footnote>
  <w:footnote w:id="566">
    <w:p w:rsidR="00BA4699" w:rsidRPr="00463D52" w:rsidRDefault="00BA4699" w:rsidP="006C38A8">
      <w:pPr>
        <w:pStyle w:val="NoSpacing1"/>
        <w:spacing w:before="60" w:after="60"/>
        <w:jc w:val="both"/>
        <w:rPr>
          <w:lang w:val="pl-PL"/>
        </w:rPr>
      </w:pPr>
      <w:r w:rsidRPr="00BF4D71">
        <w:rPr>
          <w:rStyle w:val="Odwoanieprzypisudolnego"/>
          <w:sz w:val="20"/>
          <w:szCs w:val="20"/>
        </w:rPr>
        <w:footnoteRef/>
      </w:r>
      <w:r w:rsidRPr="00BF4D71">
        <w:rPr>
          <w:sz w:val="20"/>
          <w:szCs w:val="20"/>
          <w:lang w:val="pl-PL"/>
        </w:rPr>
        <w:t xml:space="preserve"> Art. 14 u</w:t>
      </w:r>
      <w:r w:rsidRPr="00BF4D71">
        <w:rPr>
          <w:bCs/>
          <w:sz w:val="20"/>
          <w:szCs w:val="20"/>
          <w:lang w:val="pl-PL"/>
        </w:rPr>
        <w:t>stawy z dnia 15 lutego 1992 r. o podatku dochodowym od osób prawnych (Dz. U. z 2016 r. poz. 1888</w:t>
      </w:r>
      <w:r>
        <w:rPr>
          <w:bCs/>
          <w:sz w:val="20"/>
          <w:szCs w:val="20"/>
          <w:lang w:val="pl-PL"/>
        </w:rPr>
        <w:t>,</w:t>
      </w:r>
      <w:r w:rsidRPr="00BF4D71">
        <w:rPr>
          <w:bCs/>
          <w:sz w:val="20"/>
          <w:szCs w:val="20"/>
          <w:lang w:val="pl-PL"/>
        </w:rPr>
        <w:t xml:space="preserve"> z późn. zm.). </w:t>
      </w:r>
    </w:p>
  </w:footnote>
  <w:footnote w:id="567">
    <w:p w:rsidR="00BA4699" w:rsidRPr="00463D52" w:rsidRDefault="00BA4699" w:rsidP="006C38A8">
      <w:pPr>
        <w:pStyle w:val="NoSpacing1"/>
        <w:spacing w:before="60" w:after="60"/>
        <w:jc w:val="both"/>
        <w:rPr>
          <w:lang w:val="pl-PL"/>
        </w:rPr>
      </w:pPr>
      <w:r w:rsidRPr="00BF4D71">
        <w:rPr>
          <w:rStyle w:val="Odwoanieprzypisudolnego"/>
          <w:sz w:val="20"/>
          <w:szCs w:val="20"/>
        </w:rPr>
        <w:footnoteRef/>
      </w:r>
      <w:r w:rsidRPr="00BF4D71">
        <w:rPr>
          <w:sz w:val="20"/>
          <w:szCs w:val="20"/>
          <w:lang w:val="pl-PL"/>
        </w:rPr>
        <w:t xml:space="preserve"> Art. 2 ustawy z dnia 11 marca 2004 r. o podatku od towarów i usług (</w:t>
      </w:r>
      <w:r w:rsidRPr="00BF4D71">
        <w:rPr>
          <w:bCs/>
          <w:sz w:val="20"/>
          <w:szCs w:val="20"/>
          <w:lang w:val="pl-PL"/>
        </w:rPr>
        <w:t>Dz. U. z 2017 r. poz. 1221</w:t>
      </w:r>
      <w:r>
        <w:rPr>
          <w:bCs/>
          <w:sz w:val="20"/>
          <w:szCs w:val="20"/>
          <w:lang w:val="pl-PL"/>
        </w:rPr>
        <w:t>,</w:t>
      </w:r>
      <w:r w:rsidRPr="00BF4D71">
        <w:rPr>
          <w:bCs/>
          <w:sz w:val="20"/>
          <w:szCs w:val="20"/>
          <w:lang w:val="pl-PL"/>
        </w:rPr>
        <w:t xml:space="preserve"> z późn. zm.).</w:t>
      </w:r>
    </w:p>
  </w:footnote>
  <w:footnote w:id="568">
    <w:p w:rsidR="00BA4699" w:rsidRDefault="00BA4699" w:rsidP="006C38A8">
      <w:pPr>
        <w:pStyle w:val="Tekstprzypisudolnego"/>
        <w:spacing w:before="60" w:after="60" w:line="240" w:lineRule="auto"/>
      </w:pPr>
      <w:r w:rsidRPr="00BF4D71">
        <w:rPr>
          <w:rStyle w:val="Odwoanieprzypisudolnego"/>
        </w:rPr>
        <w:footnoteRef/>
      </w:r>
      <w:r w:rsidRPr="00BF4D71">
        <w:t xml:space="preserve"> Art. 6 ustawy z dnia 9 września 2000 r. o podatku od czynności cywilnoprawnych (Dz. U z 2017 r. poz. 1150</w:t>
      </w:r>
      <w:r>
        <w:t>,</w:t>
      </w:r>
      <w:r w:rsidRPr="00BF4D71">
        <w:t xml:space="preserve"> z późn. zm.).</w:t>
      </w:r>
    </w:p>
  </w:footnote>
  <w:footnote w:id="569">
    <w:p w:rsidR="00BA4699" w:rsidRDefault="00BA4699" w:rsidP="006C38A8">
      <w:pPr>
        <w:autoSpaceDE w:val="0"/>
        <w:autoSpaceDN w:val="0"/>
        <w:adjustRightInd w:val="0"/>
        <w:spacing w:before="60" w:after="60" w:line="240" w:lineRule="auto"/>
        <w:jc w:val="both"/>
      </w:pPr>
      <w:r w:rsidRPr="00BF4D71">
        <w:rPr>
          <w:rStyle w:val="Odwoanieprzypisudolnego"/>
          <w:sz w:val="20"/>
          <w:szCs w:val="20"/>
          <w:lang w:eastAsia="pl-PL"/>
        </w:rPr>
        <w:footnoteRef/>
      </w:r>
      <w:r w:rsidRPr="00BF4D71">
        <w:rPr>
          <w:rFonts w:ascii="Times New Roman" w:hAnsi="Times New Roman"/>
          <w:sz w:val="20"/>
          <w:szCs w:val="20"/>
        </w:rPr>
        <w:t xml:space="preserve"> Por. B. Brzeziński, </w:t>
      </w:r>
      <w:r w:rsidRPr="00BF4D71">
        <w:rPr>
          <w:rFonts w:ascii="Times New Roman" w:eastAsia="Times New Roman,Italic" w:hAnsi="Times New Roman"/>
          <w:iCs/>
          <w:sz w:val="20"/>
          <w:szCs w:val="20"/>
        </w:rPr>
        <w:t>Wybrane problemy ustalania wartości rynkowej akcji spółek dla celów podatkowych</w:t>
      </w:r>
      <w:r w:rsidRPr="00BF4D71">
        <w:rPr>
          <w:rFonts w:ascii="Times New Roman" w:hAnsi="Times New Roman"/>
          <w:sz w:val="20"/>
          <w:szCs w:val="20"/>
        </w:rPr>
        <w:t>, „Kwartalnik Prawa Podatkowego” 2003, nr 4, s. 79-80.</w:t>
      </w:r>
    </w:p>
  </w:footnote>
  <w:footnote w:id="570">
    <w:p w:rsidR="00BA4699" w:rsidRPr="009B651D" w:rsidRDefault="00BA4699" w:rsidP="002D0DBC">
      <w:pPr>
        <w:pStyle w:val="Tekstprzypisudolnego"/>
      </w:pPr>
      <w:r w:rsidRPr="009B651D">
        <w:rPr>
          <w:rStyle w:val="Odwoanieprzypisudolnego"/>
        </w:rPr>
        <w:footnoteRef/>
      </w:r>
      <w:r w:rsidRPr="009B651D">
        <w:rPr>
          <w:vertAlign w:val="superscript"/>
        </w:rPr>
        <w:t>)</w:t>
      </w:r>
      <w:r w:rsidRPr="009B651D">
        <w:t xml:space="preserve"> Jest to średnia </w:t>
      </w:r>
      <w:r>
        <w:t>b</w:t>
      </w:r>
      <w:r w:rsidRPr="009B651D">
        <w:t xml:space="preserve">lokad </w:t>
      </w:r>
      <w:r>
        <w:t xml:space="preserve">na żądanie </w:t>
      </w:r>
      <w:r w:rsidRPr="009B651D">
        <w:t xml:space="preserve">Generalnego Inspektora Informacji Finansowej </w:t>
      </w:r>
      <w:r>
        <w:t>dokonanych w</w:t>
      </w:r>
      <w:r w:rsidRPr="009B651D">
        <w:t xml:space="preserve"> lat</w:t>
      </w:r>
      <w:r>
        <w:t>ach</w:t>
      </w:r>
      <w:r w:rsidRPr="009B651D">
        <w:t xml:space="preserve"> 2015-2017</w:t>
      </w:r>
      <w:r>
        <w:t>, źródło:</w:t>
      </w:r>
      <w:r w:rsidRPr="009B651D">
        <w:t xml:space="preserve"> </w:t>
      </w:r>
      <w:r w:rsidRPr="009A39A7">
        <w:t>https://www.mf.gov.pl</w:t>
      </w:r>
      <w:r>
        <w:t>.</w:t>
      </w:r>
    </w:p>
  </w:footnote>
  <w:footnote w:id="571">
    <w:p w:rsidR="00BA4699" w:rsidRPr="009B651D" w:rsidRDefault="00BA4699" w:rsidP="002D0DBC">
      <w:pPr>
        <w:pStyle w:val="Tekstprzypisudolnego"/>
      </w:pPr>
      <w:r w:rsidRPr="009B651D">
        <w:rPr>
          <w:rStyle w:val="Odwoanieprzypisudolnego"/>
        </w:rPr>
        <w:footnoteRef/>
      </w:r>
      <w:r w:rsidRPr="009B651D">
        <w:rPr>
          <w:vertAlign w:val="superscript"/>
        </w:rPr>
        <w:t>)</w:t>
      </w:r>
      <w:r w:rsidRPr="009B651D">
        <w:t xml:space="preserve"> http://sejm.gov.pl/Sejm8.nsf/PrzebiegProc.xsp?id=634548E5640B6BB3C12581AF00514941</w:t>
      </w:r>
    </w:p>
  </w:footnote>
  <w:footnote w:id="572">
    <w:p w:rsidR="00BA4699" w:rsidRPr="00ED380E" w:rsidRDefault="00BA4699" w:rsidP="002D0DBC">
      <w:pPr>
        <w:pStyle w:val="Tekstprzypisudolnego"/>
      </w:pPr>
      <w:r w:rsidRPr="00ED380E">
        <w:rPr>
          <w:rStyle w:val="Odwoanieprzypisudolnego"/>
        </w:rPr>
        <w:footnoteRef/>
      </w:r>
      <w:r w:rsidRPr="00ED380E">
        <w:t xml:space="preserve"> Uzasadnienie rządowego projektu ustawy o zmianie ustawy - Kodeks karny oraz niektórych innych ustaw (druk sejmowy nr 888), w wyniku którego uchwalono ustawę z dnia 10 lutego 2017 r. o zmianie ustawy - Kodeks karny oraz niektórych innych ustaw (Dz. U. poz. 244) wprowadzającą przepisy art. 270a</w:t>
      </w:r>
      <w:r>
        <w:t xml:space="preserve">, </w:t>
      </w:r>
      <w:r w:rsidRPr="00ED380E">
        <w:t xml:space="preserve"> </w:t>
      </w:r>
      <w:r>
        <w:t xml:space="preserve">art. </w:t>
      </w:r>
      <w:r w:rsidRPr="00ED380E">
        <w:t>271a</w:t>
      </w:r>
      <w:r>
        <w:t xml:space="preserve"> i art. 277a</w:t>
      </w:r>
      <w:r w:rsidRPr="00ED380E">
        <w:t xml:space="preserve"> Kodeksu karnego.</w:t>
      </w:r>
    </w:p>
  </w:footnote>
  <w:footnote w:id="573">
    <w:p w:rsidR="00BA4699" w:rsidRPr="00C46B8B" w:rsidRDefault="00BA4699" w:rsidP="002D0DBC">
      <w:pPr>
        <w:pStyle w:val="Tekstprzypisudolnego"/>
      </w:pPr>
      <w:r w:rsidRPr="00C46B8B">
        <w:rPr>
          <w:rStyle w:val="Odwoanieprzypisudolnego"/>
        </w:rPr>
        <w:footnoteRef/>
      </w:r>
      <w:r w:rsidRPr="00C46B8B">
        <w:t xml:space="preserve"> Źródło: https://www.nik.gov.pl/aktualnosci/nik-o-przeciwdzialaniu-wyludzaniu-vat.html</w:t>
      </w:r>
    </w:p>
  </w:footnote>
  <w:footnote w:id="574">
    <w:p w:rsidR="00BA4699" w:rsidRPr="00D707EE" w:rsidRDefault="00BA4699" w:rsidP="002D0DBC">
      <w:pPr>
        <w:pStyle w:val="Tekstprzypisudolnego"/>
      </w:pPr>
      <w:r w:rsidRPr="000806D7">
        <w:rPr>
          <w:rStyle w:val="Odwoanieprzypisudolnego"/>
        </w:rPr>
        <w:footnoteRef/>
      </w:r>
      <w:r w:rsidRPr="000806D7">
        <w:t xml:space="preserve"> np. Raport </w:t>
      </w:r>
      <w:r w:rsidRPr="000D37E6">
        <w:rPr>
          <w:color w:val="1D1D1B"/>
        </w:rPr>
        <w:t>UN Global Compact</w:t>
      </w:r>
      <w:r w:rsidRPr="000D37E6">
        <w:t>/EY</w:t>
      </w:r>
      <w:r w:rsidRPr="000806D7">
        <w:t>, Przeciwdziałanie szarej strefie w Polsce, K. Bodziony, Rola służb specjalnych w systemie instytucji odpowiedzialnych za bezpieczeństwo ekonomiczne państwa, Przegląd Bezpieczeństwa Wewnętrznego, s. 148-151, J. Więckowski, Cz. Jędrzejek, Skala finansowej przestępczości zorganizowanej w Polsce oraz metody, sposoby i efektywność jej zwalczania (w) K. Raczkowski (red. naukowy), Bezpieczeństwo ekonomicznego obrotu gospodarczego, Warszawa 2014, s. 435-473)</w:t>
      </w:r>
      <w:r>
        <w:t>, W</w:t>
      </w:r>
      <w:r w:rsidRPr="00C735B6">
        <w:t>ytyczn</w:t>
      </w:r>
      <w:r>
        <w:t>e</w:t>
      </w:r>
      <w:r w:rsidRPr="00C735B6">
        <w:t xml:space="preserve"> Prokuratora Generalnego </w:t>
      </w:r>
      <w:r>
        <w:t xml:space="preserve">nr 5/17 </w:t>
      </w:r>
      <w:r w:rsidRPr="00C735B6">
        <w:t xml:space="preserve">z dnia </w:t>
      </w:r>
      <w:r>
        <w:t>10</w:t>
      </w:r>
      <w:r w:rsidRPr="00C735B6">
        <w:t xml:space="preserve"> </w:t>
      </w:r>
      <w:r>
        <w:t>sierpnia</w:t>
      </w:r>
      <w:r w:rsidRPr="00C735B6">
        <w:t xml:space="preserve"> 201</w:t>
      </w:r>
      <w:r>
        <w:t>7</w:t>
      </w:r>
      <w:r w:rsidRPr="00C735B6">
        <w:t xml:space="preserve"> r. znak: PK I BP 02</w:t>
      </w:r>
      <w:r>
        <w:t>4</w:t>
      </w:r>
      <w:r w:rsidRPr="00C735B6">
        <w:t>.1</w:t>
      </w:r>
      <w:r>
        <w:t>3</w:t>
      </w:r>
      <w:r w:rsidRPr="00C735B6">
        <w:t>.201</w:t>
      </w:r>
      <w:r>
        <w:t>7</w:t>
      </w:r>
      <w:r w:rsidRPr="00C735B6">
        <w:t xml:space="preserve"> w sprawie zasad prowadzenia postępowań przygotowawczych w sprawach o przestępstwa związane z procederem wyłudzania nienależnego zwrotu podatku </w:t>
      </w:r>
      <w:r>
        <w:t>od towarów i usług (</w:t>
      </w:r>
      <w:r w:rsidRPr="00C735B6">
        <w:t>VAT</w:t>
      </w:r>
      <w:r>
        <w:t>)</w:t>
      </w:r>
      <w:r w:rsidRPr="00C735B6">
        <w:t xml:space="preserve"> oraz innych oszukańczych uszczupleń w tym podatku</w:t>
      </w:r>
      <w:r>
        <w:t xml:space="preserve">, </w:t>
      </w:r>
      <w:r w:rsidRPr="000806D7">
        <w:t xml:space="preserve">Sprawozdanie Generalnego Inspektora Informacji Finansowej </w:t>
      </w:r>
      <w:r>
        <w:t xml:space="preserve">z działalności </w:t>
      </w:r>
      <w:r w:rsidRPr="000806D7">
        <w:t>z</w:t>
      </w:r>
      <w:r>
        <w:t>a</w:t>
      </w:r>
      <w:r w:rsidRPr="000806D7">
        <w:t xml:space="preserve"> rok 201</w:t>
      </w:r>
      <w:r>
        <w:t>6 (</w:t>
      </w:r>
      <w:hyperlink r:id="rId35" w:history="1">
        <w:r w:rsidRPr="00285BA9">
          <w:rPr>
            <w:rStyle w:val="Hipercze"/>
          </w:rPr>
          <w:t>www.mf.gov.pl</w:t>
        </w:r>
      </w:hyperlink>
      <w:r>
        <w:t xml:space="preserve">), K. Wiciak, Przestępczość w obrocie paliwami płynnymi a proces karny (w) </w:t>
      </w:r>
      <w:r w:rsidRPr="000806D7">
        <w:t xml:space="preserve">K. Raczkowski (red. naukowy), Bezpieczeństwo ekonomicznego obrotu gospodarczego, Warszawa 2014, s. </w:t>
      </w:r>
      <w:r>
        <w:t>503-505</w:t>
      </w:r>
      <w:r w:rsidRPr="000806D7">
        <w:t>)</w:t>
      </w:r>
      <w:r w:rsidRPr="00D707EE">
        <w:t>.</w:t>
      </w:r>
    </w:p>
  </w:footnote>
  <w:footnote w:id="575">
    <w:p w:rsidR="00BA4699" w:rsidRPr="000806D7" w:rsidRDefault="00BA4699" w:rsidP="002D0DBC">
      <w:pPr>
        <w:pStyle w:val="Tekstprzypisudolnego"/>
      </w:pPr>
      <w:r w:rsidRPr="000806D7">
        <w:rPr>
          <w:rStyle w:val="Odwoanieprzypisudolnego"/>
        </w:rPr>
        <w:footnoteRef/>
      </w:r>
      <w:r w:rsidRPr="000806D7">
        <w:t xml:space="preserve"> Źródło: </w:t>
      </w:r>
      <w:hyperlink r:id="rId36" w:history="1">
        <w:r w:rsidRPr="000806D7">
          <w:rPr>
            <w:rStyle w:val="Hipercze"/>
          </w:rPr>
          <w:t>https://bip.mswia.gov.pl/bip/raport-o-stanie-bezpie/18405,Raport-o-stanie-bezpieczenstwa.html</w:t>
        </w:r>
      </w:hyperlink>
      <w:r w:rsidRPr="000806D7">
        <w:t>, s.</w:t>
      </w:r>
      <w:r>
        <w:t> </w:t>
      </w:r>
      <w:r w:rsidRPr="000806D7">
        <w:t>85.</w:t>
      </w:r>
    </w:p>
  </w:footnote>
  <w:footnote w:id="576">
    <w:p w:rsidR="00BA4699" w:rsidRPr="00C735B6" w:rsidRDefault="00BA4699" w:rsidP="002D0DBC">
      <w:pPr>
        <w:pStyle w:val="Tekstprzypisudolnego"/>
        <w:ind w:left="708" w:hanging="708"/>
      </w:pPr>
      <w:r>
        <w:rPr>
          <w:rStyle w:val="Odwoanieprzypisudolnego"/>
        </w:rPr>
        <w:footnoteRef/>
      </w:r>
      <w:r>
        <w:t xml:space="preserve"> </w:t>
      </w:r>
      <w:r w:rsidRPr="00C735B6">
        <w:t xml:space="preserve">Tezy 1 i 19 wytycznych. </w:t>
      </w:r>
    </w:p>
  </w:footnote>
  <w:footnote w:id="577">
    <w:p w:rsidR="00BA4699" w:rsidRPr="00C735B6" w:rsidRDefault="00BA4699" w:rsidP="002D0DBC">
      <w:pPr>
        <w:pStyle w:val="Tekstprzypisudolnego"/>
      </w:pPr>
      <w:r w:rsidRPr="00C735B6">
        <w:rPr>
          <w:rStyle w:val="Odwoanieprzypisudolnego"/>
        </w:rPr>
        <w:footnoteRef/>
      </w:r>
      <w:r w:rsidRPr="00C735B6">
        <w:t xml:space="preserve"> </w:t>
      </w:r>
      <w:r w:rsidRPr="004718FB">
        <w:t>Sprawozdanie Generalnego Inspektora Informacji Finansowej z działalności za rok 2016, s. 20-21.</w:t>
      </w:r>
    </w:p>
  </w:footnote>
  <w:footnote w:id="578">
    <w:p w:rsidR="00BA4699" w:rsidRPr="00C735B6" w:rsidRDefault="00BA4699" w:rsidP="002D0DBC">
      <w:pPr>
        <w:pStyle w:val="Tekstprzypisudolnego"/>
      </w:pPr>
      <w:r>
        <w:rPr>
          <w:rStyle w:val="Odwoanieprzypisudolnego"/>
        </w:rPr>
        <w:footnoteRef/>
      </w:r>
      <w:r>
        <w:t xml:space="preserve"> </w:t>
      </w:r>
      <w:r w:rsidRPr="00C735B6">
        <w:t xml:space="preserve">Sprawozdanie Generalnego Inspektora Informacji Finansowej z działalności za rok 2016, s. </w:t>
      </w:r>
      <w:r>
        <w:t>3</w:t>
      </w:r>
      <w:r w:rsidRPr="00C735B6">
        <w:t>.</w:t>
      </w:r>
    </w:p>
  </w:footnote>
  <w:footnote w:id="579">
    <w:p w:rsidR="00BA4699" w:rsidRPr="004442B1" w:rsidRDefault="00BA4699" w:rsidP="002D0DBC">
      <w:pPr>
        <w:pStyle w:val="Tekstprzypisudolnego"/>
      </w:pPr>
      <w:r>
        <w:rPr>
          <w:rStyle w:val="Odwoanieprzypisudolnego"/>
        </w:rPr>
        <w:footnoteRef/>
      </w:r>
      <w:r>
        <w:t xml:space="preserve"> </w:t>
      </w:r>
      <w:r w:rsidRPr="004442B1">
        <w:t xml:space="preserve">Wystąpienie Pokontrolne </w:t>
      </w:r>
      <w:r>
        <w:t xml:space="preserve">Prezesa </w:t>
      </w:r>
      <w:r w:rsidRPr="004442B1">
        <w:t xml:space="preserve">NIK </w:t>
      </w:r>
      <w:r>
        <w:t xml:space="preserve">z dnia 27 kwietnia 2017 r. znak: </w:t>
      </w:r>
      <w:r w:rsidRPr="004442B1">
        <w:t>P/17/001 - Wykonanie budżetu państwa w</w:t>
      </w:r>
      <w:r>
        <w:t> </w:t>
      </w:r>
      <w:r w:rsidRPr="004442B1">
        <w:t>2016 r. w części 77 - Podatki i inne wpłaty na rzecz budżetu państwa,  s. 3-4.</w:t>
      </w:r>
    </w:p>
  </w:footnote>
  <w:footnote w:id="580">
    <w:p w:rsidR="00BA4699" w:rsidRPr="00C735B6" w:rsidRDefault="00BA4699" w:rsidP="002D0DBC">
      <w:pPr>
        <w:pStyle w:val="Tekstprzypisudolnego"/>
      </w:pPr>
      <w:r>
        <w:rPr>
          <w:rStyle w:val="Odwoanieprzypisudolnego"/>
        </w:rPr>
        <w:footnoteRef/>
      </w:r>
      <w:r>
        <w:t xml:space="preserve"> </w:t>
      </w:r>
      <w:r w:rsidRPr="00C735B6">
        <w:t>np. wyrok TK z dnia 26 kwietnia 1995 r. K11/94</w:t>
      </w:r>
      <w:r w:rsidRPr="00867A67">
        <w:t xml:space="preserve">, </w:t>
      </w:r>
      <w:r>
        <w:t>w</w:t>
      </w:r>
      <w:r w:rsidRPr="00CA0801">
        <w:t xml:space="preserve">yrok </w:t>
      </w:r>
      <w:r>
        <w:t xml:space="preserve">TK </w:t>
      </w:r>
      <w:r w:rsidRPr="00CA0801">
        <w:t>z dnia 20 czerwca 2005 r. K 4/04</w:t>
      </w:r>
      <w:r>
        <w:t xml:space="preserve">.  </w:t>
      </w:r>
    </w:p>
  </w:footnote>
  <w:footnote w:id="581">
    <w:p w:rsidR="00BA4699" w:rsidRDefault="00BA4699" w:rsidP="00A07B28">
      <w:pPr>
        <w:pStyle w:val="Tekstprzypisudolnego"/>
        <w:spacing w:before="60" w:after="60" w:line="240" w:lineRule="auto"/>
      </w:pPr>
      <w:r w:rsidRPr="00BF4D71">
        <w:rPr>
          <w:rStyle w:val="Odwoanieprzypisudolnego"/>
        </w:rPr>
        <w:footnoteRef/>
      </w:r>
      <w:r w:rsidRPr="00BF4D71">
        <w:t xml:space="preserve"> Wyrok NSA z dnia 23 września 2016 r. (I FSK 1719/14); wyrok NSA z dnia 8 września 2016 r. (I FSK 349/15).</w:t>
      </w:r>
    </w:p>
  </w:footnote>
  <w:footnote w:id="582">
    <w:p w:rsidR="00BA4699" w:rsidRDefault="00BA4699" w:rsidP="00A07B28">
      <w:pPr>
        <w:pStyle w:val="Tekstprzypisudolnego"/>
        <w:spacing w:before="60" w:after="60" w:line="240" w:lineRule="auto"/>
      </w:pPr>
      <w:r w:rsidRPr="00BF4D71">
        <w:rPr>
          <w:rStyle w:val="Odwoanieprzypisudolnego"/>
        </w:rPr>
        <w:footnoteRef/>
      </w:r>
      <w:r w:rsidRPr="00BF4D71">
        <w:t xml:space="preserve"> Wyrok TK z dnia 8 października 2013 r. (SK 40/12); uchwała NSA z dnia 22 października 2011 r. (I FPS 1/11).</w:t>
      </w:r>
    </w:p>
  </w:footnote>
  <w:footnote w:id="583">
    <w:p w:rsidR="00BA4699" w:rsidRDefault="00BA4699" w:rsidP="00A07B28">
      <w:pPr>
        <w:pStyle w:val="Tekstprzypisudolnego"/>
        <w:spacing w:before="60" w:after="60" w:line="240" w:lineRule="auto"/>
      </w:pPr>
      <w:r w:rsidRPr="00BF4D71">
        <w:rPr>
          <w:rStyle w:val="Odwoanieprzypisudolnego"/>
        </w:rPr>
        <w:footnoteRef/>
      </w:r>
      <w:r w:rsidRPr="00BF4D71">
        <w:t xml:space="preserve"> W. Morawski, A. Nita, (w:) Zabezpieczenie wykonania zobowiązań podatkowych, Nowelizacja Ordynacji podatkowej, Warszawa 2016, s. 36.</w:t>
      </w:r>
    </w:p>
  </w:footnote>
  <w:footnote w:id="584">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C. Kosikowski (w:) J. Brolik, R. Dowgier, L. Etel, C. Kosikowski, P. Pietrasz, M. Popławski, S. Presnarowicz, W. Stachurski, Ordynacja podatkowa. Komentarz, Warszawa 2013, s. 1509.</w:t>
      </w:r>
    </w:p>
  </w:footnote>
  <w:footnote w:id="585">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Zob. K. Chorąży, Z.R. Kmiecik, Wydawanie zaświadczeń – kwestie nie rozstrzygnięte w literaturze, „Samorząd Terytorialny” 2000, nr 6, s. 70-76.</w:t>
      </w:r>
    </w:p>
  </w:footnote>
  <w:footnote w:id="586">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WSA w Warszawie z dnia 22 kwietnia 2009 r., III SA/Wa 331/08, CBOSA; wyrok WSA w Gliwicach z dnia 11 lutego 2011 r., III SA/Gl 1924/10, CBOSA; wyrok WSA w Bydgoszczy z dnia 11 maja 2010 r., I SA/Bd 289/10, CBOSA.</w:t>
      </w:r>
    </w:p>
  </w:footnote>
  <w:footnote w:id="587">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Art. 31 ustawy z dnia 13 października 1998 r. o systemie ubezpi</w:t>
      </w:r>
      <w:r>
        <w:t>eczeń społecznych (Dz. U. z 2017 r. poz. 1778</w:t>
      </w:r>
      <w:r w:rsidRPr="004970F9">
        <w:t xml:space="preserve"> z późn. zm.).</w:t>
      </w:r>
    </w:p>
  </w:footnote>
  <w:footnote w:id="588">
    <w:p w:rsidR="00BA4699" w:rsidRDefault="00BA4699" w:rsidP="00B2165B">
      <w:pPr>
        <w:pStyle w:val="Tekstprzypisudolnego"/>
        <w:spacing w:before="120" w:after="120" w:line="240" w:lineRule="auto"/>
      </w:pPr>
      <w:r w:rsidRPr="004970F9">
        <w:rPr>
          <w:rStyle w:val="Odwoanieprzypisudolnego"/>
          <w:rFonts w:ascii="Calibri" w:hAnsi="Calibri" w:cs="Calibri"/>
        </w:rPr>
        <w:footnoteRef/>
      </w:r>
      <w:r w:rsidRPr="004970F9">
        <w:t xml:space="preserve"> Zob. Słownik języka polskiego, red. M. Szymczak, Warszawa 1978, T. I, s. 999.</w:t>
      </w:r>
    </w:p>
  </w:footnote>
  <w:footnote w:id="589">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350</w:t>
      </w:r>
      <w:r w:rsidRPr="004970F9">
        <w:t>.</w:t>
      </w:r>
    </w:p>
  </w:footnote>
  <w:footnote w:id="590">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J. Borkowski (w:) B. Adamiak, J. Borkowski, Kodeks postępowania administracyjnego, Warszawa 2000, s. 735.</w:t>
      </w:r>
    </w:p>
  </w:footnote>
  <w:footnote w:id="591">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t xml:space="preserve"> Dz. U. z 2018 r. poz. 362</w:t>
      </w:r>
      <w:r w:rsidRPr="004970F9">
        <w:t>.</w:t>
      </w:r>
    </w:p>
  </w:footnote>
  <w:footnote w:id="592">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w:t>
      </w:r>
      <w:r>
        <w:t xml:space="preserve"> 2017 r. poz. 2097</w:t>
      </w:r>
      <w:r w:rsidRPr="004970F9">
        <w:t>; wyrok NSA z dnia 30 września 2011 r., I OSK 15/11, CBOSA; wyrok NSA z dnia 7 lutego 2014 r., I OSK 1791/12, CBOSA; wyrok NSA z dnia 23 września 2014 r., II FSK 2273/12, CBOSA.</w:t>
      </w:r>
    </w:p>
  </w:footnote>
  <w:footnote w:id="593">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8 września 2009 r., I OSK 104/09, CBOSA.</w:t>
      </w:r>
    </w:p>
  </w:footnote>
  <w:footnote w:id="594">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10 czerwca 2011 r., I OSK 1139/10, CBOSA.</w:t>
      </w:r>
    </w:p>
  </w:footnote>
  <w:footnote w:id="595">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Zob. uchwała TK z dnia 21 czerwca 1995 r., W 16/94, OTK 1995, nr 1, poz. 24.</w:t>
      </w:r>
    </w:p>
  </w:footnote>
  <w:footnote w:id="596">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Zob. np. wyrok NSA z dnia 8 sierpnia 2007 r., I OSK 1280/06, CBOSA; WSA w Warszawie z dnia 15 grudnia 209 r., II SA/Wa 1616/09, CBOSA; wyrok NSA z dnia 1 grudnia 2006 r., I OSK 1227/06, CBOSA; wyrok NSA z dnia 20 stycznia 2006 r., II FSK 528/05, CBOSA; wyrok WSA w Krakowie z dnia 9 marca 2011 r., I SA/Kr 1151/10, CBOSA; wyrok WSA w Warszawie z dnia 24 czerwca 2010 r., IV SA/Wa 661/10, „Wspólnota” 2010, nr 35, s. 44; wyrok NSA z dnia 2 kwietnia 2010 r., II FSK 1945/08.</w:t>
      </w:r>
    </w:p>
  </w:footnote>
  <w:footnote w:id="597">
    <w:p w:rsidR="00BA4699" w:rsidRDefault="00BA4699" w:rsidP="00B2165B">
      <w:pPr>
        <w:pStyle w:val="Tekstprzypisudolnego"/>
        <w:spacing w:before="120" w:after="120" w:line="240" w:lineRule="auto"/>
      </w:pPr>
      <w:r w:rsidRPr="004970F9">
        <w:rPr>
          <w:rStyle w:val="Odwoanieprzypisudolnego"/>
          <w:rFonts w:ascii="Calibri" w:hAnsi="Calibri" w:cs="Calibri"/>
        </w:rPr>
        <w:footnoteRef/>
      </w:r>
      <w:r w:rsidRPr="004970F9">
        <w:t xml:space="preserve"> Wyroki NSA; z dnia 19 maja 2009 r., II FSK 143/98, CBOSA; z dnia 16 stycznia 2009 r., I GSK 94/08, CBOSA; z dnia 20 stycznia 2006 r., I FSK 528/05, CBOSA; z dnia 20 października 2011 r., II FSK 723/10, CBOSA.</w:t>
      </w:r>
    </w:p>
  </w:footnote>
  <w:footnote w:id="598">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WSA w Poznaniu z dnia 26 maja 2011 r., I SA/Po 283/11, CBOSA.</w:t>
      </w:r>
    </w:p>
  </w:footnote>
  <w:footnote w:id="599">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2015 r. poz. 2355</w:t>
      </w:r>
      <w:r>
        <w:t>,</w:t>
      </w:r>
      <w:r w:rsidRPr="004970F9">
        <w:t xml:space="preserve"> z późn. zm.</w:t>
      </w:r>
    </w:p>
  </w:footnote>
  <w:footnote w:id="600">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Dz. U. z 2017 r. poz. 648</w:t>
      </w:r>
      <w:r>
        <w:t>, z późn. zm</w:t>
      </w:r>
      <w:r w:rsidRPr="004970F9">
        <w:t>.</w:t>
      </w:r>
    </w:p>
  </w:footnote>
  <w:footnote w:id="601">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Wyroki NSA: z dnia 19 września 2014 r., II FSK 2248/12, CBOSA; z dnia 26 sierpnia 2014 r., II FSK 2202/12, CBOSA; z dnia 12 marca 2013 r., I FSK 472/12, POP 2013, nr 3, s. 291-293.</w:t>
      </w:r>
    </w:p>
  </w:footnote>
  <w:footnote w:id="602">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Przepis ten  do ustawy o postępowaniu egzekucyjnym  w administracji został wprowadzony  przez art.  3 pkt 2 ustawy z dnia 2 kwietnia 2017 r. o zmianie niektórych ustaw  w celu ułatwienia dochodzenia wierzytelności  (Dz. U</w:t>
      </w:r>
      <w:r>
        <w:t>. z 2017 r., poz. 933) i wszedł</w:t>
      </w:r>
      <w:r w:rsidRPr="004970F9">
        <w:t xml:space="preserve"> on w  życie od dnia 1 stycznia 2018 r.</w:t>
      </w:r>
    </w:p>
  </w:footnote>
  <w:footnote w:id="603">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NSA z dnia 9 maja 2012 r., II FSK 2163/10, CBOSA.</w:t>
      </w:r>
    </w:p>
  </w:footnote>
  <w:footnote w:id="604">
    <w:p w:rsidR="00BA4699" w:rsidRDefault="00BA4699" w:rsidP="00B2165B">
      <w:pPr>
        <w:pStyle w:val="Tekstprzypisudolnego"/>
        <w:suppressAutoHyphens/>
        <w:spacing w:before="120" w:after="120" w:line="240" w:lineRule="auto"/>
      </w:pPr>
      <w:r w:rsidRPr="004970F9">
        <w:rPr>
          <w:rStyle w:val="Odwoanieprzypisudolnego"/>
          <w:rFonts w:ascii="Calibri" w:hAnsi="Calibri" w:cs="Calibri"/>
        </w:rPr>
        <w:footnoteRef/>
      </w:r>
      <w:r w:rsidRPr="004970F9">
        <w:t xml:space="preserve"> Wyrok WSA w Gliwicach z dnia 17 maja 2016 r., III SA/Gl 2500/15, CBOSA.</w:t>
      </w:r>
    </w:p>
  </w:footnote>
  <w:footnote w:id="605">
    <w:p w:rsidR="00BA4699" w:rsidRDefault="00BA4699" w:rsidP="00B2165B">
      <w:pPr>
        <w:pStyle w:val="Tekstprzypisudolnego"/>
        <w:spacing w:before="60" w:after="60" w:line="240" w:lineRule="auto"/>
      </w:pPr>
      <w:r w:rsidRPr="00BF4D71">
        <w:rPr>
          <w:rStyle w:val="Odwoanieprzypisudolnego"/>
        </w:rPr>
        <w:footnoteRef/>
      </w:r>
      <w:r w:rsidRPr="00BF4D71">
        <w:t xml:space="preserve"> M. Romańska (w:) T. Woś (red.), Prawo o postępowaniu przed sądami administracyjnymi. Komentarz, Warszawa 2008, s. 825 i nast.</w:t>
      </w:r>
    </w:p>
  </w:footnote>
  <w:footnote w:id="606">
    <w:p w:rsidR="00BA4699" w:rsidRDefault="00BA4699" w:rsidP="00B2165B">
      <w:pPr>
        <w:pStyle w:val="Tekstprzypisudolnego"/>
        <w:spacing w:before="60" w:after="60" w:line="240" w:lineRule="auto"/>
      </w:pPr>
      <w:r w:rsidRPr="00BF4D71">
        <w:rPr>
          <w:rStyle w:val="Odwoanieprzypisudolnego"/>
        </w:rPr>
        <w:footnoteRef/>
      </w:r>
      <w:r w:rsidRPr="00BF4D71">
        <w:t xml:space="preserve"> B. Pahl, Współuczestnictwo w procedurach podatkowych, Warszawa 2013, s. 292, 305, 382.</w:t>
      </w:r>
    </w:p>
  </w:footnote>
  <w:footnote w:id="607">
    <w:p w:rsidR="00BA4699" w:rsidRDefault="00BA4699" w:rsidP="00B2165B">
      <w:pPr>
        <w:pStyle w:val="Tekstprzypisudolnego"/>
        <w:spacing w:before="60" w:after="60" w:line="240" w:lineRule="auto"/>
      </w:pPr>
      <w:r w:rsidRPr="00BF4D71">
        <w:rPr>
          <w:rStyle w:val="Odwoanieprzypisudolnego"/>
        </w:rPr>
        <w:footnoteRef/>
      </w:r>
      <w:r w:rsidRPr="00BF4D71">
        <w:t xml:space="preserve"> D. Mączyński (w:) A. Gomułowicz, D. Mączyński, Podatki i prawo podatkowe, Warszawa 2016, s. 405.</w:t>
      </w:r>
    </w:p>
  </w:footnote>
  <w:footnote w:id="608">
    <w:p w:rsidR="00BA4699" w:rsidRDefault="00BA4699" w:rsidP="00B2165B">
      <w:pPr>
        <w:pStyle w:val="Tekstprzypisudolnego"/>
        <w:spacing w:before="60" w:after="60" w:line="240" w:lineRule="auto"/>
      </w:pPr>
      <w:r w:rsidRPr="00BF4D71">
        <w:rPr>
          <w:rStyle w:val="Odwoanieprzypisudolnego"/>
        </w:rPr>
        <w:footnoteRef/>
      </w:r>
      <w:r w:rsidRPr="00BF4D71">
        <w:t xml:space="preserve"> D. Mączyński, (w:) A. Gomułowicz, D.</w:t>
      </w:r>
      <w:r>
        <w:t xml:space="preserve"> Mączyński, Podatki i prawo …, </w:t>
      </w:r>
      <w:r w:rsidRPr="00BF4D71">
        <w:rPr>
          <w:i/>
          <w:iCs/>
        </w:rPr>
        <w:t>op. cit</w:t>
      </w:r>
      <w:r w:rsidRPr="00BF4D71">
        <w:t>., Warszawa 2016, s. 405.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3BA"/>
    <w:multiLevelType w:val="hybridMultilevel"/>
    <w:tmpl w:val="2E1A29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6500F"/>
    <w:multiLevelType w:val="hybridMultilevel"/>
    <w:tmpl w:val="06AEBA90"/>
    <w:lvl w:ilvl="0" w:tplc="8E0AA2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EB0B21"/>
    <w:multiLevelType w:val="hybridMultilevel"/>
    <w:tmpl w:val="56DED54C"/>
    <w:lvl w:ilvl="0" w:tplc="701C81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FB7F3C"/>
    <w:multiLevelType w:val="hybridMultilevel"/>
    <w:tmpl w:val="FA02E95E"/>
    <w:lvl w:ilvl="0" w:tplc="04150017">
      <w:start w:val="1"/>
      <w:numFmt w:val="lowerLetter"/>
      <w:lvlText w:val="%1)"/>
      <w:lvlJc w:val="left"/>
      <w:pPr>
        <w:ind w:left="1429" w:hanging="360"/>
      </w:pPr>
      <w:rPr>
        <w:rFonts w:cs="Times New Roman"/>
      </w:rPr>
    </w:lvl>
    <w:lvl w:ilvl="1" w:tplc="04150017">
      <w:start w:val="1"/>
      <w:numFmt w:val="lowerLetter"/>
      <w:lvlText w:val="%2)"/>
      <w:lvlJc w:val="left"/>
      <w:pPr>
        <w:ind w:left="1494" w:hanging="360"/>
      </w:pPr>
      <w:rPr>
        <w:rFonts w:cs="Times New Roman"/>
      </w:rPr>
    </w:lvl>
    <w:lvl w:ilvl="2" w:tplc="0415001B">
      <w:start w:val="1"/>
      <w:numFmt w:val="lowerRoman"/>
      <w:lvlText w:val="%3."/>
      <w:lvlJc w:val="right"/>
      <w:pPr>
        <w:ind w:left="2869" w:hanging="180"/>
      </w:pPr>
      <w:rPr>
        <w:rFonts w:cs="Times New Roman"/>
      </w:rPr>
    </w:lvl>
    <w:lvl w:ilvl="3" w:tplc="0415000F">
      <w:start w:val="1"/>
      <w:numFmt w:val="decimal"/>
      <w:lvlText w:val="%4."/>
      <w:lvlJc w:val="left"/>
      <w:pPr>
        <w:ind w:left="3589" w:hanging="360"/>
      </w:pPr>
      <w:rPr>
        <w:rFonts w:cs="Times New Roman"/>
      </w:rPr>
    </w:lvl>
    <w:lvl w:ilvl="4" w:tplc="04150019">
      <w:start w:val="1"/>
      <w:numFmt w:val="lowerLetter"/>
      <w:lvlText w:val="%5."/>
      <w:lvlJc w:val="left"/>
      <w:pPr>
        <w:ind w:left="4309" w:hanging="360"/>
      </w:pPr>
      <w:rPr>
        <w:rFonts w:cs="Times New Roman"/>
      </w:r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4" w15:restartNumberingAfterBreak="0">
    <w:nsid w:val="07E46C28"/>
    <w:multiLevelType w:val="hybridMultilevel"/>
    <w:tmpl w:val="231C656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9246150"/>
    <w:multiLevelType w:val="hybridMultilevel"/>
    <w:tmpl w:val="25EC1046"/>
    <w:lvl w:ilvl="0" w:tplc="9D2C0646">
      <w:start w:val="1"/>
      <w:numFmt w:val="bullet"/>
      <w:lvlText w:val="-"/>
      <w:lvlJc w:val="left"/>
      <w:pPr>
        <w:ind w:left="1069" w:hanging="360"/>
      </w:pPr>
      <w:rPr>
        <w:rFonts w:hint="default"/>
      </w:rPr>
    </w:lvl>
    <w:lvl w:ilvl="1" w:tplc="04150003" w:tentative="1">
      <w:start w:val="1"/>
      <w:numFmt w:val="bullet"/>
      <w:lvlText w:val="o"/>
      <w:lvlJc w:val="left"/>
      <w:pPr>
        <w:ind w:left="1789" w:hanging="360"/>
      </w:pPr>
      <w:rPr>
        <w:rFonts w:ascii="Courier New" w:hAnsi="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6" w15:restartNumberingAfterBreak="0">
    <w:nsid w:val="0C473F60"/>
    <w:multiLevelType w:val="hybridMultilevel"/>
    <w:tmpl w:val="1B863D42"/>
    <w:lvl w:ilvl="0" w:tplc="B27A73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15732C"/>
    <w:multiLevelType w:val="hybridMultilevel"/>
    <w:tmpl w:val="75A82A2A"/>
    <w:lvl w:ilvl="0" w:tplc="04150011">
      <w:start w:val="1"/>
      <w:numFmt w:val="decimal"/>
      <w:lvlText w:val="%1)"/>
      <w:lvlJc w:val="left"/>
      <w:pPr>
        <w:ind w:left="720" w:hanging="360"/>
      </w:pPr>
      <w:rPr>
        <w:rFonts w:cs="Times New Roman"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A4493A"/>
    <w:multiLevelType w:val="hybridMultilevel"/>
    <w:tmpl w:val="E2B4D2E6"/>
    <w:lvl w:ilvl="0" w:tplc="04150011">
      <w:start w:val="1"/>
      <w:numFmt w:val="decimal"/>
      <w:lvlText w:val="%1)"/>
      <w:lvlJc w:val="left"/>
      <w:pPr>
        <w:ind w:left="720" w:hanging="360"/>
      </w:pPr>
      <w:rPr>
        <w:rFonts w:cs="Times New Roman"/>
      </w:rPr>
    </w:lvl>
    <w:lvl w:ilvl="1" w:tplc="04150011">
      <w:start w:val="1"/>
      <w:numFmt w:val="decimal"/>
      <w:lvlText w:val="%2)"/>
      <w:lvlJc w:val="left"/>
      <w:pPr>
        <w:ind w:left="786"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10233A80"/>
    <w:multiLevelType w:val="hybridMultilevel"/>
    <w:tmpl w:val="0A409BB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14B7701D"/>
    <w:multiLevelType w:val="hybridMultilevel"/>
    <w:tmpl w:val="C7B64F66"/>
    <w:lvl w:ilvl="0" w:tplc="04150011">
      <w:start w:val="1"/>
      <w:numFmt w:val="decimal"/>
      <w:lvlText w:val="%1)"/>
      <w:lvlJc w:val="left"/>
      <w:pPr>
        <w:ind w:left="210" w:hanging="360"/>
      </w:pPr>
      <w:rPr>
        <w:rFonts w:cs="Times New Roman"/>
      </w:rPr>
    </w:lvl>
    <w:lvl w:ilvl="1" w:tplc="04150019" w:tentative="1">
      <w:start w:val="1"/>
      <w:numFmt w:val="lowerLetter"/>
      <w:lvlText w:val="%2."/>
      <w:lvlJc w:val="left"/>
      <w:pPr>
        <w:ind w:left="930" w:hanging="360"/>
      </w:pPr>
      <w:rPr>
        <w:rFonts w:cs="Times New Roman"/>
      </w:rPr>
    </w:lvl>
    <w:lvl w:ilvl="2" w:tplc="0415001B" w:tentative="1">
      <w:start w:val="1"/>
      <w:numFmt w:val="lowerRoman"/>
      <w:lvlText w:val="%3."/>
      <w:lvlJc w:val="right"/>
      <w:pPr>
        <w:ind w:left="1650" w:hanging="180"/>
      </w:pPr>
      <w:rPr>
        <w:rFonts w:cs="Times New Roman"/>
      </w:rPr>
    </w:lvl>
    <w:lvl w:ilvl="3" w:tplc="0415000F" w:tentative="1">
      <w:start w:val="1"/>
      <w:numFmt w:val="decimal"/>
      <w:lvlText w:val="%4."/>
      <w:lvlJc w:val="left"/>
      <w:pPr>
        <w:ind w:left="2370" w:hanging="360"/>
      </w:pPr>
      <w:rPr>
        <w:rFonts w:cs="Times New Roman"/>
      </w:rPr>
    </w:lvl>
    <w:lvl w:ilvl="4" w:tplc="04150019" w:tentative="1">
      <w:start w:val="1"/>
      <w:numFmt w:val="lowerLetter"/>
      <w:lvlText w:val="%5."/>
      <w:lvlJc w:val="left"/>
      <w:pPr>
        <w:ind w:left="3090" w:hanging="360"/>
      </w:pPr>
      <w:rPr>
        <w:rFonts w:cs="Times New Roman"/>
      </w:rPr>
    </w:lvl>
    <w:lvl w:ilvl="5" w:tplc="0415001B" w:tentative="1">
      <w:start w:val="1"/>
      <w:numFmt w:val="lowerRoman"/>
      <w:lvlText w:val="%6."/>
      <w:lvlJc w:val="right"/>
      <w:pPr>
        <w:ind w:left="3810" w:hanging="180"/>
      </w:pPr>
      <w:rPr>
        <w:rFonts w:cs="Times New Roman"/>
      </w:rPr>
    </w:lvl>
    <w:lvl w:ilvl="6" w:tplc="0415000F" w:tentative="1">
      <w:start w:val="1"/>
      <w:numFmt w:val="decimal"/>
      <w:lvlText w:val="%7."/>
      <w:lvlJc w:val="left"/>
      <w:pPr>
        <w:ind w:left="4530" w:hanging="360"/>
      </w:pPr>
      <w:rPr>
        <w:rFonts w:cs="Times New Roman"/>
      </w:rPr>
    </w:lvl>
    <w:lvl w:ilvl="7" w:tplc="04150019" w:tentative="1">
      <w:start w:val="1"/>
      <w:numFmt w:val="lowerLetter"/>
      <w:lvlText w:val="%8."/>
      <w:lvlJc w:val="left"/>
      <w:pPr>
        <w:ind w:left="5250" w:hanging="360"/>
      </w:pPr>
      <w:rPr>
        <w:rFonts w:cs="Times New Roman"/>
      </w:rPr>
    </w:lvl>
    <w:lvl w:ilvl="8" w:tplc="0415001B" w:tentative="1">
      <w:start w:val="1"/>
      <w:numFmt w:val="lowerRoman"/>
      <w:lvlText w:val="%9."/>
      <w:lvlJc w:val="right"/>
      <w:pPr>
        <w:ind w:left="5970" w:hanging="180"/>
      </w:pPr>
      <w:rPr>
        <w:rFonts w:cs="Times New Roman"/>
      </w:rPr>
    </w:lvl>
  </w:abstractNum>
  <w:abstractNum w:abstractNumId="11" w15:restartNumberingAfterBreak="0">
    <w:nsid w:val="16573A96"/>
    <w:multiLevelType w:val="hybridMultilevel"/>
    <w:tmpl w:val="AAC4C28E"/>
    <w:lvl w:ilvl="0" w:tplc="48F095D0">
      <w:start w:val="1"/>
      <w:numFmt w:val="lowerLetter"/>
      <w:lvlText w:val="%1)"/>
      <w:lvlJc w:val="left"/>
      <w:pPr>
        <w:ind w:left="72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83C5C7C"/>
    <w:multiLevelType w:val="hybridMultilevel"/>
    <w:tmpl w:val="0B620F72"/>
    <w:lvl w:ilvl="0" w:tplc="04150017">
      <w:start w:val="1"/>
      <w:numFmt w:val="lowerLetter"/>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1B3206A0"/>
    <w:multiLevelType w:val="hybridMultilevel"/>
    <w:tmpl w:val="95984FE8"/>
    <w:lvl w:ilvl="0" w:tplc="B27A739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1CBF0185"/>
    <w:multiLevelType w:val="hybridMultilevel"/>
    <w:tmpl w:val="90C2E8A6"/>
    <w:lvl w:ilvl="0" w:tplc="04150017">
      <w:start w:val="1"/>
      <w:numFmt w:val="lowerLetter"/>
      <w:lvlText w:val="%1)"/>
      <w:lvlJc w:val="left"/>
      <w:pPr>
        <w:ind w:left="360" w:hanging="360"/>
      </w:pPr>
      <w:rPr>
        <w:rFonts w:cs="Times New Roman"/>
      </w:rPr>
    </w:lvl>
    <w:lvl w:ilvl="1" w:tplc="D792780A">
      <w:start w:val="1"/>
      <w:numFmt w:val="decimal"/>
      <w:lvlText w:val="%2)"/>
      <w:lvlJc w:val="left"/>
      <w:pPr>
        <w:ind w:left="1425" w:hanging="705"/>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5" w15:restartNumberingAfterBreak="0">
    <w:nsid w:val="1E0F5036"/>
    <w:multiLevelType w:val="hybridMultilevel"/>
    <w:tmpl w:val="D83C3596"/>
    <w:lvl w:ilvl="0" w:tplc="B27A739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 w15:restartNumberingAfterBreak="0">
    <w:nsid w:val="1E9446C1"/>
    <w:multiLevelType w:val="hybridMultilevel"/>
    <w:tmpl w:val="291CA622"/>
    <w:lvl w:ilvl="0" w:tplc="04150011">
      <w:start w:val="1"/>
      <w:numFmt w:val="decimal"/>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7" w15:restartNumberingAfterBreak="0">
    <w:nsid w:val="1F8A3301"/>
    <w:multiLevelType w:val="hybridMultilevel"/>
    <w:tmpl w:val="F718062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5AE416F"/>
    <w:multiLevelType w:val="hybridMultilevel"/>
    <w:tmpl w:val="5C8A8A8A"/>
    <w:lvl w:ilvl="0" w:tplc="3B0ED76E">
      <w:start w:val="1"/>
      <w:numFmt w:val="decimal"/>
      <w:lvlText w:val="%1)"/>
      <w:lvlJc w:val="left"/>
      <w:pPr>
        <w:ind w:left="3552" w:hanging="360"/>
      </w:pPr>
      <w:rPr>
        <w:rFonts w:eastAsia="Times New Roman" w:cs="Times New Roman"/>
      </w:rPr>
    </w:lvl>
    <w:lvl w:ilvl="1" w:tplc="04150019">
      <w:start w:val="1"/>
      <w:numFmt w:val="lowerLetter"/>
      <w:lvlText w:val="%2."/>
      <w:lvlJc w:val="left"/>
      <w:pPr>
        <w:ind w:left="4272" w:hanging="360"/>
      </w:pPr>
      <w:rPr>
        <w:rFonts w:cs="Times New Roman"/>
      </w:rPr>
    </w:lvl>
    <w:lvl w:ilvl="2" w:tplc="0415001B">
      <w:start w:val="1"/>
      <w:numFmt w:val="lowerRoman"/>
      <w:lvlText w:val="%3."/>
      <w:lvlJc w:val="right"/>
      <w:pPr>
        <w:ind w:left="4992" w:hanging="180"/>
      </w:pPr>
      <w:rPr>
        <w:rFonts w:cs="Times New Roman"/>
      </w:rPr>
    </w:lvl>
    <w:lvl w:ilvl="3" w:tplc="0415000F">
      <w:start w:val="1"/>
      <w:numFmt w:val="decimal"/>
      <w:lvlText w:val="%4."/>
      <w:lvlJc w:val="left"/>
      <w:pPr>
        <w:ind w:left="5712" w:hanging="360"/>
      </w:pPr>
      <w:rPr>
        <w:rFonts w:cs="Times New Roman"/>
      </w:rPr>
    </w:lvl>
    <w:lvl w:ilvl="4" w:tplc="04150019">
      <w:start w:val="1"/>
      <w:numFmt w:val="lowerLetter"/>
      <w:lvlText w:val="%5."/>
      <w:lvlJc w:val="left"/>
      <w:pPr>
        <w:ind w:left="6432" w:hanging="360"/>
      </w:pPr>
      <w:rPr>
        <w:rFonts w:cs="Times New Roman"/>
      </w:rPr>
    </w:lvl>
    <w:lvl w:ilvl="5" w:tplc="0415001B">
      <w:start w:val="1"/>
      <w:numFmt w:val="lowerRoman"/>
      <w:lvlText w:val="%6."/>
      <w:lvlJc w:val="right"/>
      <w:pPr>
        <w:ind w:left="7152" w:hanging="180"/>
      </w:pPr>
      <w:rPr>
        <w:rFonts w:cs="Times New Roman"/>
      </w:rPr>
    </w:lvl>
    <w:lvl w:ilvl="6" w:tplc="0415000F">
      <w:start w:val="1"/>
      <w:numFmt w:val="decimal"/>
      <w:lvlText w:val="%7."/>
      <w:lvlJc w:val="left"/>
      <w:pPr>
        <w:ind w:left="7872" w:hanging="360"/>
      </w:pPr>
      <w:rPr>
        <w:rFonts w:cs="Times New Roman"/>
      </w:rPr>
    </w:lvl>
    <w:lvl w:ilvl="7" w:tplc="04150019">
      <w:start w:val="1"/>
      <w:numFmt w:val="lowerLetter"/>
      <w:lvlText w:val="%8."/>
      <w:lvlJc w:val="left"/>
      <w:pPr>
        <w:ind w:left="8592" w:hanging="360"/>
      </w:pPr>
      <w:rPr>
        <w:rFonts w:cs="Times New Roman"/>
      </w:rPr>
    </w:lvl>
    <w:lvl w:ilvl="8" w:tplc="0415001B">
      <w:start w:val="1"/>
      <w:numFmt w:val="lowerRoman"/>
      <w:lvlText w:val="%9."/>
      <w:lvlJc w:val="right"/>
      <w:pPr>
        <w:ind w:left="9312" w:hanging="180"/>
      </w:pPr>
      <w:rPr>
        <w:rFonts w:cs="Times New Roman"/>
      </w:rPr>
    </w:lvl>
  </w:abstractNum>
  <w:abstractNum w:abstractNumId="19" w15:restartNumberingAfterBreak="0">
    <w:nsid w:val="25B418D5"/>
    <w:multiLevelType w:val="hybridMultilevel"/>
    <w:tmpl w:val="CD8C0C76"/>
    <w:lvl w:ilvl="0" w:tplc="04150017">
      <w:start w:val="1"/>
      <w:numFmt w:val="lowerLetter"/>
      <w:lvlText w:val="%1)"/>
      <w:lvlJc w:val="left"/>
      <w:pPr>
        <w:ind w:left="720" w:hanging="360"/>
      </w:pPr>
      <w:rPr>
        <w:rFonts w:cs="Times New Roman"/>
      </w:rPr>
    </w:lvl>
    <w:lvl w:ilvl="1" w:tplc="7158C3AA">
      <w:start w:val="1"/>
      <w:numFmt w:val="decimal"/>
      <w:lvlText w:val="%2)"/>
      <w:lvlJc w:val="left"/>
      <w:pPr>
        <w:ind w:left="1785" w:hanging="70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74248C7"/>
    <w:multiLevelType w:val="hybridMultilevel"/>
    <w:tmpl w:val="96CED7A2"/>
    <w:lvl w:ilvl="0" w:tplc="04150017">
      <w:start w:val="1"/>
      <w:numFmt w:val="lowerLetter"/>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15:restartNumberingAfterBreak="0">
    <w:nsid w:val="2808016E"/>
    <w:multiLevelType w:val="hybridMultilevel"/>
    <w:tmpl w:val="521E9E30"/>
    <w:lvl w:ilvl="0" w:tplc="04150011">
      <w:start w:val="1"/>
      <w:numFmt w:val="decimal"/>
      <w:lvlText w:val="%1)"/>
      <w:lvlJc w:val="left"/>
      <w:pPr>
        <w:ind w:left="1069" w:hanging="360"/>
      </w:pPr>
      <w:rPr>
        <w:rFonts w:cs="Times New Roman"/>
      </w:rPr>
    </w:lvl>
    <w:lvl w:ilvl="1" w:tplc="04150019">
      <w:start w:val="1"/>
      <w:numFmt w:val="lowerLetter"/>
      <w:lvlText w:val="%2."/>
      <w:lvlJc w:val="left"/>
      <w:pPr>
        <w:ind w:left="1789" w:hanging="360"/>
      </w:pPr>
      <w:rPr>
        <w:rFonts w:cs="Times New Roman"/>
      </w:rPr>
    </w:lvl>
    <w:lvl w:ilvl="2" w:tplc="0415001B">
      <w:start w:val="1"/>
      <w:numFmt w:val="lowerRoman"/>
      <w:lvlText w:val="%3."/>
      <w:lvlJc w:val="right"/>
      <w:pPr>
        <w:ind w:left="2509" w:hanging="180"/>
      </w:pPr>
      <w:rPr>
        <w:rFonts w:cs="Times New Roman"/>
      </w:rPr>
    </w:lvl>
    <w:lvl w:ilvl="3" w:tplc="0415000F">
      <w:start w:val="1"/>
      <w:numFmt w:val="decimal"/>
      <w:lvlText w:val="%4."/>
      <w:lvlJc w:val="left"/>
      <w:pPr>
        <w:ind w:left="3229" w:hanging="360"/>
      </w:pPr>
      <w:rPr>
        <w:rFonts w:cs="Times New Roman"/>
      </w:rPr>
    </w:lvl>
    <w:lvl w:ilvl="4" w:tplc="04150019">
      <w:start w:val="1"/>
      <w:numFmt w:val="lowerLetter"/>
      <w:lvlText w:val="%5."/>
      <w:lvlJc w:val="left"/>
      <w:pPr>
        <w:ind w:left="3949" w:hanging="360"/>
      </w:pPr>
      <w:rPr>
        <w:rFonts w:cs="Times New Roman"/>
      </w:rPr>
    </w:lvl>
    <w:lvl w:ilvl="5" w:tplc="0415001B">
      <w:start w:val="1"/>
      <w:numFmt w:val="lowerRoman"/>
      <w:lvlText w:val="%6."/>
      <w:lvlJc w:val="right"/>
      <w:pPr>
        <w:ind w:left="4669" w:hanging="180"/>
      </w:pPr>
      <w:rPr>
        <w:rFonts w:cs="Times New Roman"/>
      </w:rPr>
    </w:lvl>
    <w:lvl w:ilvl="6" w:tplc="0415000F">
      <w:start w:val="1"/>
      <w:numFmt w:val="decimal"/>
      <w:lvlText w:val="%7."/>
      <w:lvlJc w:val="left"/>
      <w:pPr>
        <w:ind w:left="5389" w:hanging="360"/>
      </w:pPr>
      <w:rPr>
        <w:rFonts w:cs="Times New Roman"/>
      </w:rPr>
    </w:lvl>
    <w:lvl w:ilvl="7" w:tplc="04150019">
      <w:start w:val="1"/>
      <w:numFmt w:val="lowerLetter"/>
      <w:lvlText w:val="%8."/>
      <w:lvlJc w:val="left"/>
      <w:pPr>
        <w:ind w:left="6109" w:hanging="360"/>
      </w:pPr>
      <w:rPr>
        <w:rFonts w:cs="Times New Roman"/>
      </w:rPr>
    </w:lvl>
    <w:lvl w:ilvl="8" w:tplc="0415001B">
      <w:start w:val="1"/>
      <w:numFmt w:val="lowerRoman"/>
      <w:lvlText w:val="%9."/>
      <w:lvlJc w:val="right"/>
      <w:pPr>
        <w:ind w:left="6829" w:hanging="180"/>
      </w:pPr>
      <w:rPr>
        <w:rFonts w:cs="Times New Roman"/>
      </w:rPr>
    </w:lvl>
  </w:abstractNum>
  <w:abstractNum w:abstractNumId="22" w15:restartNumberingAfterBreak="0">
    <w:nsid w:val="28A335A6"/>
    <w:multiLevelType w:val="hybridMultilevel"/>
    <w:tmpl w:val="A9DE3E40"/>
    <w:lvl w:ilvl="0" w:tplc="78ACF968">
      <w:start w:val="1"/>
      <w:numFmt w:val="decimal"/>
      <w:lvlText w:val="%1)"/>
      <w:lvlJc w:val="left"/>
      <w:pPr>
        <w:ind w:left="735"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B2D1EDC"/>
    <w:multiLevelType w:val="hybridMultilevel"/>
    <w:tmpl w:val="4B16F76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B9C32D0"/>
    <w:multiLevelType w:val="hybridMultilevel"/>
    <w:tmpl w:val="A9DA96B4"/>
    <w:lvl w:ilvl="0" w:tplc="04150011">
      <w:start w:val="1"/>
      <w:numFmt w:val="decimal"/>
      <w:lvlText w:val="%1)"/>
      <w:lvlJc w:val="left"/>
      <w:pPr>
        <w:ind w:left="1069" w:hanging="360"/>
      </w:pPr>
      <w:rPr>
        <w:rFonts w:cs="Times New Roman"/>
      </w:rPr>
    </w:lvl>
    <w:lvl w:ilvl="1" w:tplc="147ACA44">
      <w:start w:val="1"/>
      <w:numFmt w:val="lowerLetter"/>
      <w:lvlText w:val="%2)"/>
      <w:lvlJc w:val="left"/>
      <w:pPr>
        <w:ind w:left="2134" w:hanging="705"/>
      </w:pPr>
      <w:rPr>
        <w:rFonts w:cs="Times New Roman" w:hint="default"/>
      </w:rPr>
    </w:lvl>
    <w:lvl w:ilvl="2" w:tplc="0415001B">
      <w:start w:val="1"/>
      <w:numFmt w:val="lowerRoman"/>
      <w:lvlText w:val="%3."/>
      <w:lvlJc w:val="right"/>
      <w:pPr>
        <w:ind w:left="2509" w:hanging="180"/>
      </w:pPr>
      <w:rPr>
        <w:rFonts w:cs="Times New Roman"/>
      </w:rPr>
    </w:lvl>
    <w:lvl w:ilvl="3" w:tplc="0415000F">
      <w:start w:val="1"/>
      <w:numFmt w:val="decimal"/>
      <w:lvlText w:val="%4."/>
      <w:lvlJc w:val="left"/>
      <w:pPr>
        <w:ind w:left="3229" w:hanging="360"/>
      </w:pPr>
      <w:rPr>
        <w:rFonts w:cs="Times New Roman"/>
      </w:rPr>
    </w:lvl>
    <w:lvl w:ilvl="4" w:tplc="04150019">
      <w:start w:val="1"/>
      <w:numFmt w:val="lowerLetter"/>
      <w:lvlText w:val="%5."/>
      <w:lvlJc w:val="left"/>
      <w:pPr>
        <w:ind w:left="3949" w:hanging="360"/>
      </w:pPr>
      <w:rPr>
        <w:rFonts w:cs="Times New Roman"/>
      </w:rPr>
    </w:lvl>
    <w:lvl w:ilvl="5" w:tplc="0415001B">
      <w:start w:val="1"/>
      <w:numFmt w:val="lowerRoman"/>
      <w:lvlText w:val="%6."/>
      <w:lvlJc w:val="right"/>
      <w:pPr>
        <w:ind w:left="4669" w:hanging="180"/>
      </w:pPr>
      <w:rPr>
        <w:rFonts w:cs="Times New Roman"/>
      </w:rPr>
    </w:lvl>
    <w:lvl w:ilvl="6" w:tplc="0415000F">
      <w:start w:val="1"/>
      <w:numFmt w:val="decimal"/>
      <w:lvlText w:val="%7."/>
      <w:lvlJc w:val="left"/>
      <w:pPr>
        <w:ind w:left="5389" w:hanging="360"/>
      </w:pPr>
      <w:rPr>
        <w:rFonts w:cs="Times New Roman"/>
      </w:rPr>
    </w:lvl>
    <w:lvl w:ilvl="7" w:tplc="04150019">
      <w:start w:val="1"/>
      <w:numFmt w:val="lowerLetter"/>
      <w:lvlText w:val="%8."/>
      <w:lvlJc w:val="left"/>
      <w:pPr>
        <w:ind w:left="6109" w:hanging="360"/>
      </w:pPr>
      <w:rPr>
        <w:rFonts w:cs="Times New Roman"/>
      </w:rPr>
    </w:lvl>
    <w:lvl w:ilvl="8" w:tplc="0415001B">
      <w:start w:val="1"/>
      <w:numFmt w:val="lowerRoman"/>
      <w:lvlText w:val="%9."/>
      <w:lvlJc w:val="right"/>
      <w:pPr>
        <w:ind w:left="6829" w:hanging="180"/>
      </w:pPr>
      <w:rPr>
        <w:rFonts w:cs="Times New Roman"/>
      </w:rPr>
    </w:lvl>
  </w:abstractNum>
  <w:abstractNum w:abstractNumId="25" w15:restartNumberingAfterBreak="0">
    <w:nsid w:val="2DFB2B7B"/>
    <w:multiLevelType w:val="hybridMultilevel"/>
    <w:tmpl w:val="B5E82616"/>
    <w:lvl w:ilvl="0" w:tplc="04150017">
      <w:start w:val="1"/>
      <w:numFmt w:val="lowerLetter"/>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6" w15:restartNumberingAfterBreak="0">
    <w:nsid w:val="2E646A9D"/>
    <w:multiLevelType w:val="hybridMultilevel"/>
    <w:tmpl w:val="D0109BAE"/>
    <w:lvl w:ilvl="0" w:tplc="04150011">
      <w:start w:val="1"/>
      <w:numFmt w:val="decimal"/>
      <w:lvlText w:val="%1)"/>
      <w:lvlJc w:val="left"/>
      <w:pPr>
        <w:ind w:left="1069" w:hanging="360"/>
      </w:pPr>
      <w:rPr>
        <w:rFonts w:cs="Times New Roman"/>
      </w:rPr>
    </w:lvl>
    <w:lvl w:ilvl="1" w:tplc="04150019">
      <w:start w:val="1"/>
      <w:numFmt w:val="lowerLetter"/>
      <w:lvlText w:val="%2."/>
      <w:lvlJc w:val="left"/>
      <w:pPr>
        <w:ind w:left="1789" w:hanging="360"/>
      </w:pPr>
      <w:rPr>
        <w:rFonts w:cs="Times New Roman"/>
      </w:rPr>
    </w:lvl>
    <w:lvl w:ilvl="2" w:tplc="0415001B">
      <w:start w:val="1"/>
      <w:numFmt w:val="lowerRoman"/>
      <w:lvlText w:val="%3."/>
      <w:lvlJc w:val="right"/>
      <w:pPr>
        <w:ind w:left="2509" w:hanging="180"/>
      </w:pPr>
      <w:rPr>
        <w:rFonts w:cs="Times New Roman"/>
      </w:rPr>
    </w:lvl>
    <w:lvl w:ilvl="3" w:tplc="0415000F">
      <w:start w:val="1"/>
      <w:numFmt w:val="decimal"/>
      <w:lvlText w:val="%4."/>
      <w:lvlJc w:val="left"/>
      <w:pPr>
        <w:ind w:left="3229" w:hanging="360"/>
      </w:pPr>
      <w:rPr>
        <w:rFonts w:cs="Times New Roman"/>
      </w:rPr>
    </w:lvl>
    <w:lvl w:ilvl="4" w:tplc="04150019">
      <w:start w:val="1"/>
      <w:numFmt w:val="lowerLetter"/>
      <w:lvlText w:val="%5."/>
      <w:lvlJc w:val="left"/>
      <w:pPr>
        <w:ind w:left="3949" w:hanging="360"/>
      </w:pPr>
      <w:rPr>
        <w:rFonts w:cs="Times New Roman"/>
      </w:rPr>
    </w:lvl>
    <w:lvl w:ilvl="5" w:tplc="0415001B">
      <w:start w:val="1"/>
      <w:numFmt w:val="lowerRoman"/>
      <w:lvlText w:val="%6."/>
      <w:lvlJc w:val="right"/>
      <w:pPr>
        <w:ind w:left="4669" w:hanging="180"/>
      </w:pPr>
      <w:rPr>
        <w:rFonts w:cs="Times New Roman"/>
      </w:rPr>
    </w:lvl>
    <w:lvl w:ilvl="6" w:tplc="0415000F">
      <w:start w:val="1"/>
      <w:numFmt w:val="decimal"/>
      <w:lvlText w:val="%7."/>
      <w:lvlJc w:val="left"/>
      <w:pPr>
        <w:ind w:left="5389" w:hanging="360"/>
      </w:pPr>
      <w:rPr>
        <w:rFonts w:cs="Times New Roman"/>
      </w:rPr>
    </w:lvl>
    <w:lvl w:ilvl="7" w:tplc="04150019">
      <w:start w:val="1"/>
      <w:numFmt w:val="lowerLetter"/>
      <w:lvlText w:val="%8."/>
      <w:lvlJc w:val="left"/>
      <w:pPr>
        <w:ind w:left="6109" w:hanging="360"/>
      </w:pPr>
      <w:rPr>
        <w:rFonts w:cs="Times New Roman"/>
      </w:rPr>
    </w:lvl>
    <w:lvl w:ilvl="8" w:tplc="0415001B">
      <w:start w:val="1"/>
      <w:numFmt w:val="lowerRoman"/>
      <w:lvlText w:val="%9."/>
      <w:lvlJc w:val="right"/>
      <w:pPr>
        <w:ind w:left="6829" w:hanging="180"/>
      </w:pPr>
      <w:rPr>
        <w:rFonts w:cs="Times New Roman"/>
      </w:rPr>
    </w:lvl>
  </w:abstractNum>
  <w:abstractNum w:abstractNumId="27" w15:restartNumberingAfterBreak="0">
    <w:nsid w:val="302B1D05"/>
    <w:multiLevelType w:val="hybridMultilevel"/>
    <w:tmpl w:val="F8EE6E9E"/>
    <w:lvl w:ilvl="0" w:tplc="7D1E654C">
      <w:start w:val="1"/>
      <w:numFmt w:val="bullet"/>
      <w:lvlText w:val=""/>
      <w:lvlJc w:val="left"/>
      <w:pPr>
        <w:ind w:left="1211" w:hanging="360"/>
      </w:pPr>
      <w:rPr>
        <w:rFonts w:ascii="Symbol" w:hAnsi="Symbol" w:hint="default"/>
      </w:rPr>
    </w:lvl>
    <w:lvl w:ilvl="1" w:tplc="04150003">
      <w:start w:val="1"/>
      <w:numFmt w:val="bullet"/>
      <w:lvlText w:val="o"/>
      <w:lvlJc w:val="left"/>
      <w:pPr>
        <w:ind w:left="1931" w:hanging="360"/>
      </w:pPr>
      <w:rPr>
        <w:rFonts w:ascii="Courier New" w:hAnsi="Courier New" w:hint="default"/>
      </w:rPr>
    </w:lvl>
    <w:lvl w:ilvl="2" w:tplc="04150005">
      <w:start w:val="1"/>
      <w:numFmt w:val="bullet"/>
      <w:lvlText w:val=""/>
      <w:lvlJc w:val="left"/>
      <w:pPr>
        <w:ind w:left="2651" w:hanging="360"/>
      </w:pPr>
      <w:rPr>
        <w:rFonts w:ascii="Wingdings" w:hAnsi="Wingdings" w:hint="default"/>
      </w:rPr>
    </w:lvl>
    <w:lvl w:ilvl="3" w:tplc="04150001">
      <w:start w:val="1"/>
      <w:numFmt w:val="bullet"/>
      <w:lvlText w:val=""/>
      <w:lvlJc w:val="left"/>
      <w:pPr>
        <w:ind w:left="3371" w:hanging="360"/>
      </w:pPr>
      <w:rPr>
        <w:rFonts w:ascii="Symbol" w:hAnsi="Symbol" w:hint="default"/>
      </w:rPr>
    </w:lvl>
    <w:lvl w:ilvl="4" w:tplc="04150003">
      <w:start w:val="1"/>
      <w:numFmt w:val="bullet"/>
      <w:lvlText w:val="o"/>
      <w:lvlJc w:val="left"/>
      <w:pPr>
        <w:ind w:left="4091" w:hanging="360"/>
      </w:pPr>
      <w:rPr>
        <w:rFonts w:ascii="Courier New" w:hAnsi="Courier New" w:hint="default"/>
      </w:rPr>
    </w:lvl>
    <w:lvl w:ilvl="5" w:tplc="04150005">
      <w:start w:val="1"/>
      <w:numFmt w:val="bullet"/>
      <w:lvlText w:val=""/>
      <w:lvlJc w:val="left"/>
      <w:pPr>
        <w:ind w:left="4811" w:hanging="360"/>
      </w:pPr>
      <w:rPr>
        <w:rFonts w:ascii="Wingdings" w:hAnsi="Wingdings" w:hint="default"/>
      </w:rPr>
    </w:lvl>
    <w:lvl w:ilvl="6" w:tplc="04150001">
      <w:start w:val="1"/>
      <w:numFmt w:val="bullet"/>
      <w:lvlText w:val=""/>
      <w:lvlJc w:val="left"/>
      <w:pPr>
        <w:ind w:left="5531" w:hanging="360"/>
      </w:pPr>
      <w:rPr>
        <w:rFonts w:ascii="Symbol" w:hAnsi="Symbol" w:hint="default"/>
      </w:rPr>
    </w:lvl>
    <w:lvl w:ilvl="7" w:tplc="04150003">
      <w:start w:val="1"/>
      <w:numFmt w:val="bullet"/>
      <w:lvlText w:val="o"/>
      <w:lvlJc w:val="left"/>
      <w:pPr>
        <w:ind w:left="6251" w:hanging="360"/>
      </w:pPr>
      <w:rPr>
        <w:rFonts w:ascii="Courier New" w:hAnsi="Courier New" w:hint="default"/>
      </w:rPr>
    </w:lvl>
    <w:lvl w:ilvl="8" w:tplc="04150005">
      <w:start w:val="1"/>
      <w:numFmt w:val="bullet"/>
      <w:lvlText w:val=""/>
      <w:lvlJc w:val="left"/>
      <w:pPr>
        <w:ind w:left="6971" w:hanging="360"/>
      </w:pPr>
      <w:rPr>
        <w:rFonts w:ascii="Wingdings" w:hAnsi="Wingdings" w:hint="default"/>
      </w:rPr>
    </w:lvl>
  </w:abstractNum>
  <w:abstractNum w:abstractNumId="28" w15:restartNumberingAfterBreak="0">
    <w:nsid w:val="31444D5B"/>
    <w:multiLevelType w:val="hybridMultilevel"/>
    <w:tmpl w:val="B9125B18"/>
    <w:lvl w:ilvl="0" w:tplc="48F095D0">
      <w:start w:val="1"/>
      <w:numFmt w:val="lowerLetter"/>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5715E2A"/>
    <w:multiLevelType w:val="hybridMultilevel"/>
    <w:tmpl w:val="CA7A5508"/>
    <w:lvl w:ilvl="0" w:tplc="04150017">
      <w:start w:val="1"/>
      <w:numFmt w:val="lowerLetter"/>
      <w:lvlText w:val="%1)"/>
      <w:lvlJc w:val="left"/>
      <w:pPr>
        <w:ind w:left="720" w:hanging="360"/>
      </w:pPr>
      <w:rPr>
        <w:rFonts w:cs="Times New Roman"/>
      </w:rPr>
    </w:lvl>
    <w:lvl w:ilvl="1" w:tplc="890E7332">
      <w:start w:val="1"/>
      <w:numFmt w:val="decimal"/>
      <w:lvlText w:val="%2)"/>
      <w:lvlJc w:val="left"/>
      <w:pPr>
        <w:ind w:left="1785" w:hanging="70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39E30B58"/>
    <w:multiLevelType w:val="hybridMultilevel"/>
    <w:tmpl w:val="1E74CDB4"/>
    <w:lvl w:ilvl="0" w:tplc="173218F6">
      <w:start w:val="1"/>
      <w:numFmt w:val="decimal"/>
      <w:lvlText w:val="%1)"/>
      <w:lvlJc w:val="left"/>
      <w:pPr>
        <w:ind w:left="1069" w:hanging="360"/>
      </w:pPr>
      <w:rPr>
        <w:rFonts w:cs="Times New Roman" w:hint="default"/>
      </w:rPr>
    </w:lvl>
    <w:lvl w:ilvl="1" w:tplc="04150019">
      <w:start w:val="1"/>
      <w:numFmt w:val="lowerLetter"/>
      <w:lvlText w:val="%2."/>
      <w:lvlJc w:val="left"/>
      <w:pPr>
        <w:ind w:left="1789" w:hanging="360"/>
      </w:pPr>
      <w:rPr>
        <w:rFonts w:cs="Times New Roman"/>
      </w:rPr>
    </w:lvl>
    <w:lvl w:ilvl="2" w:tplc="0415001B">
      <w:start w:val="1"/>
      <w:numFmt w:val="lowerRoman"/>
      <w:lvlText w:val="%3."/>
      <w:lvlJc w:val="right"/>
      <w:pPr>
        <w:ind w:left="2509" w:hanging="180"/>
      </w:pPr>
      <w:rPr>
        <w:rFonts w:cs="Times New Roman"/>
      </w:rPr>
    </w:lvl>
    <w:lvl w:ilvl="3" w:tplc="0415000F">
      <w:start w:val="1"/>
      <w:numFmt w:val="decimal"/>
      <w:lvlText w:val="%4."/>
      <w:lvlJc w:val="left"/>
      <w:pPr>
        <w:ind w:left="3229" w:hanging="360"/>
      </w:pPr>
      <w:rPr>
        <w:rFonts w:cs="Times New Roman"/>
      </w:rPr>
    </w:lvl>
    <w:lvl w:ilvl="4" w:tplc="04150019">
      <w:start w:val="1"/>
      <w:numFmt w:val="lowerLetter"/>
      <w:lvlText w:val="%5."/>
      <w:lvlJc w:val="left"/>
      <w:pPr>
        <w:ind w:left="3949" w:hanging="360"/>
      </w:pPr>
      <w:rPr>
        <w:rFonts w:cs="Times New Roman"/>
      </w:rPr>
    </w:lvl>
    <w:lvl w:ilvl="5" w:tplc="0415001B">
      <w:start w:val="1"/>
      <w:numFmt w:val="lowerRoman"/>
      <w:lvlText w:val="%6."/>
      <w:lvlJc w:val="right"/>
      <w:pPr>
        <w:ind w:left="4669" w:hanging="180"/>
      </w:pPr>
      <w:rPr>
        <w:rFonts w:cs="Times New Roman"/>
      </w:rPr>
    </w:lvl>
    <w:lvl w:ilvl="6" w:tplc="0415000F">
      <w:start w:val="1"/>
      <w:numFmt w:val="decimal"/>
      <w:lvlText w:val="%7."/>
      <w:lvlJc w:val="left"/>
      <w:pPr>
        <w:ind w:left="5389" w:hanging="360"/>
      </w:pPr>
      <w:rPr>
        <w:rFonts w:cs="Times New Roman"/>
      </w:rPr>
    </w:lvl>
    <w:lvl w:ilvl="7" w:tplc="04150019">
      <w:start w:val="1"/>
      <w:numFmt w:val="lowerLetter"/>
      <w:lvlText w:val="%8."/>
      <w:lvlJc w:val="left"/>
      <w:pPr>
        <w:ind w:left="6109" w:hanging="360"/>
      </w:pPr>
      <w:rPr>
        <w:rFonts w:cs="Times New Roman"/>
      </w:rPr>
    </w:lvl>
    <w:lvl w:ilvl="8" w:tplc="0415001B">
      <w:start w:val="1"/>
      <w:numFmt w:val="lowerRoman"/>
      <w:lvlText w:val="%9."/>
      <w:lvlJc w:val="right"/>
      <w:pPr>
        <w:ind w:left="6829" w:hanging="180"/>
      </w:pPr>
      <w:rPr>
        <w:rFonts w:cs="Times New Roman"/>
      </w:rPr>
    </w:lvl>
  </w:abstractNum>
  <w:abstractNum w:abstractNumId="31" w15:restartNumberingAfterBreak="0">
    <w:nsid w:val="3EF21BF1"/>
    <w:multiLevelType w:val="hybridMultilevel"/>
    <w:tmpl w:val="5FCEC926"/>
    <w:lvl w:ilvl="0" w:tplc="78ACF968">
      <w:start w:val="1"/>
      <w:numFmt w:val="decimal"/>
      <w:lvlText w:val="%1)"/>
      <w:lvlJc w:val="left"/>
      <w:pPr>
        <w:ind w:left="735" w:hanging="375"/>
      </w:pPr>
      <w:rPr>
        <w:rFonts w:cs="Times New Roman"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02A4CB9"/>
    <w:multiLevelType w:val="hybridMultilevel"/>
    <w:tmpl w:val="23A83058"/>
    <w:lvl w:ilvl="0" w:tplc="F0CECB72">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0CE689B"/>
    <w:multiLevelType w:val="hybridMultilevel"/>
    <w:tmpl w:val="99CEFC00"/>
    <w:lvl w:ilvl="0" w:tplc="B27A739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4" w15:restartNumberingAfterBreak="0">
    <w:nsid w:val="461D174D"/>
    <w:multiLevelType w:val="hybridMultilevel"/>
    <w:tmpl w:val="1442A0F0"/>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797" w:hanging="360"/>
      </w:pPr>
      <w:rPr>
        <w:rFonts w:cs="Times New Roman"/>
      </w:rPr>
    </w:lvl>
    <w:lvl w:ilvl="2" w:tplc="0415001B" w:tentative="1">
      <w:start w:val="1"/>
      <w:numFmt w:val="lowerRoman"/>
      <w:lvlText w:val="%3."/>
      <w:lvlJc w:val="right"/>
      <w:pPr>
        <w:ind w:left="1517" w:hanging="180"/>
      </w:pPr>
      <w:rPr>
        <w:rFonts w:cs="Times New Roman"/>
      </w:rPr>
    </w:lvl>
    <w:lvl w:ilvl="3" w:tplc="0415000F" w:tentative="1">
      <w:start w:val="1"/>
      <w:numFmt w:val="decimal"/>
      <w:lvlText w:val="%4."/>
      <w:lvlJc w:val="left"/>
      <w:pPr>
        <w:ind w:left="2237" w:hanging="360"/>
      </w:pPr>
      <w:rPr>
        <w:rFonts w:cs="Times New Roman"/>
      </w:rPr>
    </w:lvl>
    <w:lvl w:ilvl="4" w:tplc="04150019" w:tentative="1">
      <w:start w:val="1"/>
      <w:numFmt w:val="lowerLetter"/>
      <w:lvlText w:val="%5."/>
      <w:lvlJc w:val="left"/>
      <w:pPr>
        <w:ind w:left="2957" w:hanging="360"/>
      </w:pPr>
      <w:rPr>
        <w:rFonts w:cs="Times New Roman"/>
      </w:rPr>
    </w:lvl>
    <w:lvl w:ilvl="5" w:tplc="0415001B" w:tentative="1">
      <w:start w:val="1"/>
      <w:numFmt w:val="lowerRoman"/>
      <w:lvlText w:val="%6."/>
      <w:lvlJc w:val="right"/>
      <w:pPr>
        <w:ind w:left="3677" w:hanging="180"/>
      </w:pPr>
      <w:rPr>
        <w:rFonts w:cs="Times New Roman"/>
      </w:rPr>
    </w:lvl>
    <w:lvl w:ilvl="6" w:tplc="0415000F" w:tentative="1">
      <w:start w:val="1"/>
      <w:numFmt w:val="decimal"/>
      <w:lvlText w:val="%7."/>
      <w:lvlJc w:val="left"/>
      <w:pPr>
        <w:ind w:left="4397" w:hanging="360"/>
      </w:pPr>
      <w:rPr>
        <w:rFonts w:cs="Times New Roman"/>
      </w:rPr>
    </w:lvl>
    <w:lvl w:ilvl="7" w:tplc="04150019" w:tentative="1">
      <w:start w:val="1"/>
      <w:numFmt w:val="lowerLetter"/>
      <w:lvlText w:val="%8."/>
      <w:lvlJc w:val="left"/>
      <w:pPr>
        <w:ind w:left="5117" w:hanging="360"/>
      </w:pPr>
      <w:rPr>
        <w:rFonts w:cs="Times New Roman"/>
      </w:rPr>
    </w:lvl>
    <w:lvl w:ilvl="8" w:tplc="0415001B" w:tentative="1">
      <w:start w:val="1"/>
      <w:numFmt w:val="lowerRoman"/>
      <w:lvlText w:val="%9."/>
      <w:lvlJc w:val="right"/>
      <w:pPr>
        <w:ind w:left="5837" w:hanging="180"/>
      </w:pPr>
      <w:rPr>
        <w:rFonts w:cs="Times New Roman"/>
      </w:rPr>
    </w:lvl>
  </w:abstractNum>
  <w:abstractNum w:abstractNumId="35" w15:restartNumberingAfterBreak="0">
    <w:nsid w:val="46574A8B"/>
    <w:multiLevelType w:val="hybridMultilevel"/>
    <w:tmpl w:val="F9700222"/>
    <w:lvl w:ilvl="0" w:tplc="00201BD4">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46C110CA"/>
    <w:multiLevelType w:val="hybridMultilevel"/>
    <w:tmpl w:val="B0F08FC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495B65C1"/>
    <w:multiLevelType w:val="hybridMultilevel"/>
    <w:tmpl w:val="F38A860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4AF55F7B"/>
    <w:multiLevelType w:val="hybridMultilevel"/>
    <w:tmpl w:val="8C029068"/>
    <w:lvl w:ilvl="0" w:tplc="04150011">
      <w:start w:val="1"/>
      <w:numFmt w:val="decimal"/>
      <w:lvlText w:val="%1)"/>
      <w:lvlJc w:val="left"/>
      <w:pPr>
        <w:ind w:left="1429" w:hanging="360"/>
      </w:pPr>
      <w:rPr>
        <w:rFonts w:cs="Times New Roman"/>
      </w:rPr>
    </w:lvl>
    <w:lvl w:ilvl="1" w:tplc="04150019">
      <w:start w:val="1"/>
      <w:numFmt w:val="lowerLetter"/>
      <w:lvlText w:val="%2."/>
      <w:lvlJc w:val="left"/>
      <w:pPr>
        <w:ind w:left="2149" w:hanging="360"/>
      </w:pPr>
      <w:rPr>
        <w:rFonts w:cs="Times New Roman"/>
      </w:rPr>
    </w:lvl>
    <w:lvl w:ilvl="2" w:tplc="0415001B">
      <w:start w:val="1"/>
      <w:numFmt w:val="lowerRoman"/>
      <w:lvlText w:val="%3."/>
      <w:lvlJc w:val="right"/>
      <w:pPr>
        <w:ind w:left="2869" w:hanging="180"/>
      </w:pPr>
      <w:rPr>
        <w:rFonts w:cs="Times New Roman"/>
      </w:rPr>
    </w:lvl>
    <w:lvl w:ilvl="3" w:tplc="0415000F">
      <w:start w:val="1"/>
      <w:numFmt w:val="decimal"/>
      <w:lvlText w:val="%4."/>
      <w:lvlJc w:val="left"/>
      <w:pPr>
        <w:ind w:left="3589" w:hanging="360"/>
      </w:pPr>
      <w:rPr>
        <w:rFonts w:cs="Times New Roman"/>
      </w:rPr>
    </w:lvl>
    <w:lvl w:ilvl="4" w:tplc="04150019">
      <w:start w:val="1"/>
      <w:numFmt w:val="lowerLetter"/>
      <w:lvlText w:val="%5."/>
      <w:lvlJc w:val="left"/>
      <w:pPr>
        <w:ind w:left="4309" w:hanging="360"/>
      </w:pPr>
      <w:rPr>
        <w:rFonts w:cs="Times New Roman"/>
      </w:r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39" w15:restartNumberingAfterBreak="0">
    <w:nsid w:val="4CA75EE2"/>
    <w:multiLevelType w:val="hybridMultilevel"/>
    <w:tmpl w:val="B7329DF8"/>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4DF31B83"/>
    <w:multiLevelType w:val="hybridMultilevel"/>
    <w:tmpl w:val="4F840282"/>
    <w:lvl w:ilvl="0" w:tplc="78ACF968">
      <w:start w:val="1"/>
      <w:numFmt w:val="decimal"/>
      <w:lvlText w:val="%1)"/>
      <w:lvlJc w:val="left"/>
      <w:pPr>
        <w:ind w:left="735" w:hanging="375"/>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2196020"/>
    <w:multiLevelType w:val="hybridMultilevel"/>
    <w:tmpl w:val="F33E1CC0"/>
    <w:lvl w:ilvl="0" w:tplc="9D2C0646">
      <w:start w:val="1"/>
      <w:numFmt w:val="bullet"/>
      <w:lvlText w:val="-"/>
      <w:lvlJc w:val="left"/>
      <w:pPr>
        <w:ind w:left="1069" w:hanging="360"/>
      </w:pPr>
      <w:rPr>
        <w:rFonts w:hint="default"/>
      </w:rPr>
    </w:lvl>
    <w:lvl w:ilvl="1" w:tplc="04150003" w:tentative="1">
      <w:start w:val="1"/>
      <w:numFmt w:val="bullet"/>
      <w:lvlText w:val="o"/>
      <w:lvlJc w:val="left"/>
      <w:pPr>
        <w:ind w:left="1789" w:hanging="360"/>
      </w:pPr>
      <w:rPr>
        <w:rFonts w:ascii="Courier New" w:hAnsi="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2" w15:restartNumberingAfterBreak="0">
    <w:nsid w:val="52683462"/>
    <w:multiLevelType w:val="hybridMultilevel"/>
    <w:tmpl w:val="11BA7E28"/>
    <w:lvl w:ilvl="0" w:tplc="04150011">
      <w:start w:val="1"/>
      <w:numFmt w:val="decimal"/>
      <w:lvlText w:val="%1)"/>
      <w:lvlJc w:val="left"/>
      <w:pPr>
        <w:ind w:left="1069" w:hanging="360"/>
      </w:pPr>
      <w:rPr>
        <w:rFonts w:cs="Times New Roman"/>
      </w:rPr>
    </w:lvl>
    <w:lvl w:ilvl="1" w:tplc="04150017">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43" w15:restartNumberingAfterBreak="0">
    <w:nsid w:val="536340CB"/>
    <w:multiLevelType w:val="hybridMultilevel"/>
    <w:tmpl w:val="B95EDE4C"/>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4" w15:restartNumberingAfterBreak="0">
    <w:nsid w:val="549E08CD"/>
    <w:multiLevelType w:val="hybridMultilevel"/>
    <w:tmpl w:val="63784F0E"/>
    <w:lvl w:ilvl="0" w:tplc="54C2E8D4">
      <w:start w:val="1"/>
      <w:numFmt w:val="decimal"/>
      <w:lvlText w:val="%1)"/>
      <w:lvlJc w:val="center"/>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59205B02"/>
    <w:multiLevelType w:val="hybridMultilevel"/>
    <w:tmpl w:val="5CD4AC40"/>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BA644F"/>
    <w:multiLevelType w:val="hybridMultilevel"/>
    <w:tmpl w:val="12FC8F38"/>
    <w:lvl w:ilvl="0" w:tplc="8E0AA20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5FEA64B3"/>
    <w:multiLevelType w:val="hybridMultilevel"/>
    <w:tmpl w:val="02B094FC"/>
    <w:lvl w:ilvl="0" w:tplc="18DE509C">
      <w:start w:val="1"/>
      <w:numFmt w:val="decimal"/>
      <w:lvlText w:val="%1)"/>
      <w:lvlJc w:val="left"/>
      <w:pPr>
        <w:ind w:left="121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8" w15:restartNumberingAfterBreak="0">
    <w:nsid w:val="65135442"/>
    <w:multiLevelType w:val="hybridMultilevel"/>
    <w:tmpl w:val="71F0A45A"/>
    <w:lvl w:ilvl="0" w:tplc="04150017">
      <w:start w:val="1"/>
      <w:numFmt w:val="lowerLetter"/>
      <w:lvlText w:val="%1)"/>
      <w:lvlJc w:val="left"/>
      <w:pPr>
        <w:ind w:left="2137" w:hanging="360"/>
      </w:pPr>
      <w:rPr>
        <w:rFonts w:cs="Times New Roman"/>
      </w:rPr>
    </w:lvl>
    <w:lvl w:ilvl="1" w:tplc="04150017">
      <w:start w:val="1"/>
      <w:numFmt w:val="lowerLetter"/>
      <w:lvlText w:val="%2)"/>
      <w:lvlJc w:val="left"/>
      <w:pPr>
        <w:ind w:left="1494" w:hanging="360"/>
      </w:pPr>
      <w:rPr>
        <w:rFonts w:cs="Times New Roman"/>
      </w:rPr>
    </w:lvl>
    <w:lvl w:ilvl="2" w:tplc="0415001B">
      <w:start w:val="1"/>
      <w:numFmt w:val="lowerRoman"/>
      <w:lvlText w:val="%3."/>
      <w:lvlJc w:val="right"/>
      <w:pPr>
        <w:ind w:left="3577" w:hanging="180"/>
      </w:pPr>
      <w:rPr>
        <w:rFonts w:cs="Times New Roman"/>
      </w:rPr>
    </w:lvl>
    <w:lvl w:ilvl="3" w:tplc="0415000F">
      <w:start w:val="1"/>
      <w:numFmt w:val="decimal"/>
      <w:lvlText w:val="%4."/>
      <w:lvlJc w:val="left"/>
      <w:pPr>
        <w:ind w:left="4297" w:hanging="360"/>
      </w:pPr>
      <w:rPr>
        <w:rFonts w:cs="Times New Roman"/>
      </w:rPr>
    </w:lvl>
    <w:lvl w:ilvl="4" w:tplc="04150019">
      <w:start w:val="1"/>
      <w:numFmt w:val="lowerLetter"/>
      <w:lvlText w:val="%5."/>
      <w:lvlJc w:val="left"/>
      <w:pPr>
        <w:ind w:left="5017" w:hanging="360"/>
      </w:pPr>
      <w:rPr>
        <w:rFonts w:cs="Times New Roman"/>
      </w:rPr>
    </w:lvl>
    <w:lvl w:ilvl="5" w:tplc="0415001B">
      <w:start w:val="1"/>
      <w:numFmt w:val="lowerRoman"/>
      <w:lvlText w:val="%6."/>
      <w:lvlJc w:val="right"/>
      <w:pPr>
        <w:ind w:left="5737" w:hanging="180"/>
      </w:pPr>
      <w:rPr>
        <w:rFonts w:cs="Times New Roman"/>
      </w:rPr>
    </w:lvl>
    <w:lvl w:ilvl="6" w:tplc="0415000F">
      <w:start w:val="1"/>
      <w:numFmt w:val="decimal"/>
      <w:lvlText w:val="%7."/>
      <w:lvlJc w:val="left"/>
      <w:pPr>
        <w:ind w:left="6457" w:hanging="360"/>
      </w:pPr>
      <w:rPr>
        <w:rFonts w:cs="Times New Roman"/>
      </w:rPr>
    </w:lvl>
    <w:lvl w:ilvl="7" w:tplc="04150019">
      <w:start w:val="1"/>
      <w:numFmt w:val="lowerLetter"/>
      <w:lvlText w:val="%8."/>
      <w:lvlJc w:val="left"/>
      <w:pPr>
        <w:ind w:left="7177" w:hanging="360"/>
      </w:pPr>
      <w:rPr>
        <w:rFonts w:cs="Times New Roman"/>
      </w:rPr>
    </w:lvl>
    <w:lvl w:ilvl="8" w:tplc="0415001B">
      <w:start w:val="1"/>
      <w:numFmt w:val="lowerRoman"/>
      <w:lvlText w:val="%9."/>
      <w:lvlJc w:val="right"/>
      <w:pPr>
        <w:ind w:left="7897" w:hanging="180"/>
      </w:pPr>
      <w:rPr>
        <w:rFonts w:cs="Times New Roman"/>
      </w:rPr>
    </w:lvl>
  </w:abstractNum>
  <w:abstractNum w:abstractNumId="49" w15:restartNumberingAfterBreak="0">
    <w:nsid w:val="659128EB"/>
    <w:multiLevelType w:val="hybridMultilevel"/>
    <w:tmpl w:val="E87A519A"/>
    <w:lvl w:ilvl="0" w:tplc="78ACF968">
      <w:start w:val="1"/>
      <w:numFmt w:val="decimal"/>
      <w:lvlText w:val="%1)"/>
      <w:lvlJc w:val="left"/>
      <w:pPr>
        <w:ind w:left="735" w:hanging="375"/>
      </w:pPr>
      <w:rPr>
        <w:rFonts w:cs="Nirmala UI"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65BD46D1"/>
    <w:multiLevelType w:val="hybridMultilevel"/>
    <w:tmpl w:val="F9B2A7EE"/>
    <w:lvl w:ilvl="0" w:tplc="04150011">
      <w:start w:val="1"/>
      <w:numFmt w:val="decimal"/>
      <w:lvlText w:val="%1)"/>
      <w:lvlJc w:val="left"/>
      <w:pPr>
        <w:ind w:left="720" w:hanging="360"/>
      </w:pPr>
      <w:rPr>
        <w:rFonts w:cs="Times New Roman"/>
      </w:rPr>
    </w:lvl>
    <w:lvl w:ilvl="1" w:tplc="04150011">
      <w:start w:val="1"/>
      <w:numFmt w:val="decimal"/>
      <w:lvlText w:val="%2)"/>
      <w:lvlJc w:val="left"/>
      <w:pPr>
        <w:ind w:left="927"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668F5BD3"/>
    <w:multiLevelType w:val="hybridMultilevel"/>
    <w:tmpl w:val="D34A4F9A"/>
    <w:lvl w:ilvl="0" w:tplc="8E0AA20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69B2193F"/>
    <w:multiLevelType w:val="hybridMultilevel"/>
    <w:tmpl w:val="9CA846AE"/>
    <w:lvl w:ilvl="0" w:tplc="04150011">
      <w:start w:val="1"/>
      <w:numFmt w:val="decimal"/>
      <w:lvlText w:val="%1)"/>
      <w:lvlJc w:val="left"/>
      <w:pPr>
        <w:ind w:left="1429" w:hanging="360"/>
      </w:pPr>
      <w:rPr>
        <w:rFonts w:cs="Times New Roman"/>
      </w:rPr>
    </w:lvl>
    <w:lvl w:ilvl="1" w:tplc="04150017">
      <w:start w:val="1"/>
      <w:numFmt w:val="lowerLetter"/>
      <w:lvlText w:val="%2)"/>
      <w:lvlJc w:val="left"/>
      <w:pPr>
        <w:ind w:left="2149" w:hanging="360"/>
      </w:pPr>
      <w:rPr>
        <w:rFonts w:cs="Times New Roman"/>
      </w:rPr>
    </w:lvl>
    <w:lvl w:ilvl="2" w:tplc="0415001B">
      <w:start w:val="1"/>
      <w:numFmt w:val="lowerRoman"/>
      <w:lvlText w:val="%3."/>
      <w:lvlJc w:val="right"/>
      <w:pPr>
        <w:ind w:left="2869" w:hanging="180"/>
      </w:pPr>
      <w:rPr>
        <w:rFonts w:cs="Times New Roman"/>
      </w:rPr>
    </w:lvl>
    <w:lvl w:ilvl="3" w:tplc="0415000F">
      <w:start w:val="1"/>
      <w:numFmt w:val="decimal"/>
      <w:lvlText w:val="%4."/>
      <w:lvlJc w:val="left"/>
      <w:pPr>
        <w:ind w:left="3589" w:hanging="360"/>
      </w:pPr>
      <w:rPr>
        <w:rFonts w:cs="Times New Roman"/>
      </w:rPr>
    </w:lvl>
    <w:lvl w:ilvl="4" w:tplc="04150019">
      <w:start w:val="1"/>
      <w:numFmt w:val="lowerLetter"/>
      <w:lvlText w:val="%5."/>
      <w:lvlJc w:val="left"/>
      <w:pPr>
        <w:ind w:left="4309" w:hanging="360"/>
      </w:pPr>
      <w:rPr>
        <w:rFonts w:cs="Times New Roman"/>
      </w:r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53" w15:restartNumberingAfterBreak="0">
    <w:nsid w:val="6A285B73"/>
    <w:multiLevelType w:val="hybridMultilevel"/>
    <w:tmpl w:val="FA30BDDA"/>
    <w:lvl w:ilvl="0" w:tplc="B27A739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4" w15:restartNumberingAfterBreak="0">
    <w:nsid w:val="6A77367C"/>
    <w:multiLevelType w:val="hybridMultilevel"/>
    <w:tmpl w:val="FC783FA4"/>
    <w:lvl w:ilvl="0" w:tplc="04150017">
      <w:start w:val="1"/>
      <w:numFmt w:val="lowerLetter"/>
      <w:lvlText w:val="%1)"/>
      <w:lvlJc w:val="left"/>
      <w:pPr>
        <w:ind w:left="1383" w:hanging="360"/>
      </w:pPr>
      <w:rPr>
        <w:rFonts w:cs="Times New Roman"/>
      </w:rPr>
    </w:lvl>
    <w:lvl w:ilvl="1" w:tplc="04150019">
      <w:start w:val="1"/>
      <w:numFmt w:val="lowerLetter"/>
      <w:lvlText w:val="%2."/>
      <w:lvlJc w:val="left"/>
      <w:pPr>
        <w:ind w:left="2103" w:hanging="360"/>
      </w:pPr>
      <w:rPr>
        <w:rFonts w:cs="Times New Roman"/>
      </w:rPr>
    </w:lvl>
    <w:lvl w:ilvl="2" w:tplc="0415001B">
      <w:start w:val="1"/>
      <w:numFmt w:val="lowerRoman"/>
      <w:lvlText w:val="%3."/>
      <w:lvlJc w:val="right"/>
      <w:pPr>
        <w:ind w:left="2823" w:hanging="180"/>
      </w:pPr>
      <w:rPr>
        <w:rFonts w:cs="Times New Roman"/>
      </w:rPr>
    </w:lvl>
    <w:lvl w:ilvl="3" w:tplc="0415000F">
      <w:start w:val="1"/>
      <w:numFmt w:val="decimal"/>
      <w:lvlText w:val="%4."/>
      <w:lvlJc w:val="left"/>
      <w:pPr>
        <w:ind w:left="3543" w:hanging="360"/>
      </w:pPr>
      <w:rPr>
        <w:rFonts w:cs="Times New Roman"/>
      </w:rPr>
    </w:lvl>
    <w:lvl w:ilvl="4" w:tplc="04150019">
      <w:start w:val="1"/>
      <w:numFmt w:val="lowerLetter"/>
      <w:lvlText w:val="%5."/>
      <w:lvlJc w:val="left"/>
      <w:pPr>
        <w:ind w:left="4263" w:hanging="360"/>
      </w:pPr>
      <w:rPr>
        <w:rFonts w:cs="Times New Roman"/>
      </w:rPr>
    </w:lvl>
    <w:lvl w:ilvl="5" w:tplc="0415001B">
      <w:start w:val="1"/>
      <w:numFmt w:val="lowerRoman"/>
      <w:lvlText w:val="%6."/>
      <w:lvlJc w:val="right"/>
      <w:pPr>
        <w:ind w:left="4983" w:hanging="180"/>
      </w:pPr>
      <w:rPr>
        <w:rFonts w:cs="Times New Roman"/>
      </w:rPr>
    </w:lvl>
    <w:lvl w:ilvl="6" w:tplc="0415000F">
      <w:start w:val="1"/>
      <w:numFmt w:val="decimal"/>
      <w:lvlText w:val="%7."/>
      <w:lvlJc w:val="left"/>
      <w:pPr>
        <w:ind w:left="5703" w:hanging="360"/>
      </w:pPr>
      <w:rPr>
        <w:rFonts w:cs="Times New Roman"/>
      </w:rPr>
    </w:lvl>
    <w:lvl w:ilvl="7" w:tplc="04150019">
      <w:start w:val="1"/>
      <w:numFmt w:val="lowerLetter"/>
      <w:lvlText w:val="%8."/>
      <w:lvlJc w:val="left"/>
      <w:pPr>
        <w:ind w:left="6423" w:hanging="360"/>
      </w:pPr>
      <w:rPr>
        <w:rFonts w:cs="Times New Roman"/>
      </w:rPr>
    </w:lvl>
    <w:lvl w:ilvl="8" w:tplc="0415001B">
      <w:start w:val="1"/>
      <w:numFmt w:val="lowerRoman"/>
      <w:lvlText w:val="%9."/>
      <w:lvlJc w:val="right"/>
      <w:pPr>
        <w:ind w:left="7143" w:hanging="180"/>
      </w:pPr>
      <w:rPr>
        <w:rFonts w:cs="Times New Roman"/>
      </w:rPr>
    </w:lvl>
  </w:abstractNum>
  <w:abstractNum w:abstractNumId="55" w15:restartNumberingAfterBreak="0">
    <w:nsid w:val="6E6D0C2D"/>
    <w:multiLevelType w:val="hybridMultilevel"/>
    <w:tmpl w:val="8E68C5A2"/>
    <w:lvl w:ilvl="0" w:tplc="04150011">
      <w:start w:val="1"/>
      <w:numFmt w:val="decimal"/>
      <w:lvlText w:val="%1)"/>
      <w:lvlJc w:val="left"/>
      <w:pPr>
        <w:ind w:left="1429" w:hanging="360"/>
      </w:pPr>
      <w:rPr>
        <w:rFonts w:cs="Times New Roman"/>
      </w:rPr>
    </w:lvl>
    <w:lvl w:ilvl="1" w:tplc="04150019">
      <w:start w:val="1"/>
      <w:numFmt w:val="lowerLetter"/>
      <w:lvlText w:val="%2."/>
      <w:lvlJc w:val="left"/>
      <w:pPr>
        <w:ind w:left="2149" w:hanging="360"/>
      </w:pPr>
      <w:rPr>
        <w:rFonts w:cs="Times New Roman"/>
      </w:rPr>
    </w:lvl>
    <w:lvl w:ilvl="2" w:tplc="0415001B">
      <w:start w:val="1"/>
      <w:numFmt w:val="lowerRoman"/>
      <w:lvlText w:val="%3."/>
      <w:lvlJc w:val="right"/>
      <w:pPr>
        <w:ind w:left="2869" w:hanging="180"/>
      </w:pPr>
      <w:rPr>
        <w:rFonts w:cs="Times New Roman"/>
      </w:rPr>
    </w:lvl>
    <w:lvl w:ilvl="3" w:tplc="0415000F">
      <w:start w:val="1"/>
      <w:numFmt w:val="decimal"/>
      <w:lvlText w:val="%4."/>
      <w:lvlJc w:val="left"/>
      <w:pPr>
        <w:ind w:left="3589" w:hanging="360"/>
      </w:pPr>
      <w:rPr>
        <w:rFonts w:cs="Times New Roman"/>
      </w:rPr>
    </w:lvl>
    <w:lvl w:ilvl="4" w:tplc="04150019">
      <w:start w:val="1"/>
      <w:numFmt w:val="lowerLetter"/>
      <w:lvlText w:val="%5."/>
      <w:lvlJc w:val="left"/>
      <w:pPr>
        <w:ind w:left="4309" w:hanging="360"/>
      </w:pPr>
      <w:rPr>
        <w:rFonts w:cs="Times New Roman"/>
      </w:r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56" w15:restartNumberingAfterBreak="0">
    <w:nsid w:val="700C4B08"/>
    <w:multiLevelType w:val="hybridMultilevel"/>
    <w:tmpl w:val="94D2BE30"/>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7" w15:restartNumberingAfterBreak="0">
    <w:nsid w:val="70D9168C"/>
    <w:multiLevelType w:val="hybridMultilevel"/>
    <w:tmpl w:val="D2384DF0"/>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8" w15:restartNumberingAfterBreak="0">
    <w:nsid w:val="712B4DF7"/>
    <w:multiLevelType w:val="hybridMultilevel"/>
    <w:tmpl w:val="8A1481BC"/>
    <w:lvl w:ilvl="0" w:tplc="701C81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15D5F9B"/>
    <w:multiLevelType w:val="hybridMultilevel"/>
    <w:tmpl w:val="6F380F44"/>
    <w:lvl w:ilvl="0" w:tplc="04150011">
      <w:start w:val="1"/>
      <w:numFmt w:val="decimal"/>
      <w:lvlText w:val="%1)"/>
      <w:lvlJc w:val="left"/>
      <w:pPr>
        <w:ind w:left="720" w:hanging="360"/>
      </w:pPr>
      <w:rPr>
        <w:rFonts w:cs="Times New Roman" w:hint="default"/>
        <w:sz w:val="24"/>
        <w:szCs w:val="24"/>
      </w:rPr>
    </w:lvl>
    <w:lvl w:ilvl="1" w:tplc="2E8C162C">
      <w:start w:val="1"/>
      <w:numFmt w:val="lowerLetter"/>
      <w:lvlText w:val="%2)"/>
      <w:lvlJc w:val="left"/>
      <w:pPr>
        <w:ind w:left="1785" w:hanging="70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75785058"/>
    <w:multiLevelType w:val="hybridMultilevel"/>
    <w:tmpl w:val="2780C844"/>
    <w:lvl w:ilvl="0" w:tplc="00201BD4">
      <w:start w:val="1"/>
      <w:numFmt w:val="bullet"/>
      <w:lvlText w:val="-"/>
      <w:lvlJc w:val="left"/>
      <w:pPr>
        <w:ind w:left="862" w:hanging="360"/>
      </w:pPr>
      <w:rPr>
        <w:rFonts w:ascii="Arial" w:hAnsi="Arial" w:hint="default"/>
      </w:rPr>
    </w:lvl>
    <w:lvl w:ilvl="1" w:tplc="04150003">
      <w:start w:val="1"/>
      <w:numFmt w:val="bullet"/>
      <w:lvlText w:val="o"/>
      <w:lvlJc w:val="left"/>
      <w:pPr>
        <w:ind w:left="1582" w:hanging="360"/>
      </w:pPr>
      <w:rPr>
        <w:rFonts w:ascii="Courier New" w:hAnsi="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hint="default"/>
      </w:rPr>
    </w:lvl>
    <w:lvl w:ilvl="8" w:tplc="04150005">
      <w:start w:val="1"/>
      <w:numFmt w:val="bullet"/>
      <w:lvlText w:val=""/>
      <w:lvlJc w:val="left"/>
      <w:pPr>
        <w:ind w:left="6622" w:hanging="360"/>
      </w:pPr>
      <w:rPr>
        <w:rFonts w:ascii="Wingdings" w:hAnsi="Wingdings" w:hint="default"/>
      </w:rPr>
    </w:lvl>
  </w:abstractNum>
  <w:abstractNum w:abstractNumId="61" w15:restartNumberingAfterBreak="0">
    <w:nsid w:val="79657A4D"/>
    <w:multiLevelType w:val="hybridMultilevel"/>
    <w:tmpl w:val="73A29852"/>
    <w:lvl w:ilvl="0" w:tplc="18DE509C">
      <w:start w:val="1"/>
      <w:numFmt w:val="decimal"/>
      <w:lvlText w:val="%1)"/>
      <w:lvlJc w:val="left"/>
      <w:pPr>
        <w:ind w:left="121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2" w15:restartNumberingAfterBreak="0">
    <w:nsid w:val="7A096D9E"/>
    <w:multiLevelType w:val="hybridMultilevel"/>
    <w:tmpl w:val="108E7266"/>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7A63705E"/>
    <w:multiLevelType w:val="hybridMultilevel"/>
    <w:tmpl w:val="1CDEBBA4"/>
    <w:lvl w:ilvl="0" w:tplc="04150011">
      <w:start w:val="1"/>
      <w:numFmt w:val="decimal"/>
      <w:lvlText w:val="%1)"/>
      <w:lvlJc w:val="left"/>
      <w:pPr>
        <w:tabs>
          <w:tab w:val="num" w:pos="663"/>
        </w:tabs>
        <w:ind w:left="663"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4" w15:restartNumberingAfterBreak="0">
    <w:nsid w:val="7B07172B"/>
    <w:multiLevelType w:val="hybridMultilevel"/>
    <w:tmpl w:val="DFAA34AA"/>
    <w:lvl w:ilvl="0" w:tplc="3154AA72">
      <w:start w:val="1"/>
      <w:numFmt w:val="bullet"/>
      <w:lvlText w:val=""/>
      <w:lvlJc w:val="left"/>
      <w:pPr>
        <w:ind w:left="851" w:hanging="360"/>
      </w:pPr>
      <w:rPr>
        <w:rFonts w:ascii="Symbol" w:hAnsi="Symbol" w:hint="default"/>
      </w:rPr>
    </w:lvl>
    <w:lvl w:ilvl="1" w:tplc="04150003">
      <w:start w:val="1"/>
      <w:numFmt w:val="bullet"/>
      <w:lvlText w:val="o"/>
      <w:lvlJc w:val="left"/>
      <w:pPr>
        <w:ind w:left="1571" w:hanging="360"/>
      </w:pPr>
      <w:rPr>
        <w:rFonts w:ascii="Courier New" w:hAnsi="Courier New" w:hint="default"/>
      </w:rPr>
    </w:lvl>
    <w:lvl w:ilvl="2" w:tplc="04150005">
      <w:start w:val="1"/>
      <w:numFmt w:val="bullet"/>
      <w:lvlText w:val=""/>
      <w:lvlJc w:val="left"/>
      <w:pPr>
        <w:ind w:left="2291" w:hanging="360"/>
      </w:pPr>
      <w:rPr>
        <w:rFonts w:ascii="Wingdings" w:hAnsi="Wingdings" w:hint="default"/>
      </w:rPr>
    </w:lvl>
    <w:lvl w:ilvl="3" w:tplc="04150001">
      <w:start w:val="1"/>
      <w:numFmt w:val="bullet"/>
      <w:lvlText w:val=""/>
      <w:lvlJc w:val="left"/>
      <w:pPr>
        <w:ind w:left="3011" w:hanging="360"/>
      </w:pPr>
      <w:rPr>
        <w:rFonts w:ascii="Symbol" w:hAnsi="Symbol" w:hint="default"/>
      </w:rPr>
    </w:lvl>
    <w:lvl w:ilvl="4" w:tplc="04150003">
      <w:start w:val="1"/>
      <w:numFmt w:val="bullet"/>
      <w:lvlText w:val="o"/>
      <w:lvlJc w:val="left"/>
      <w:pPr>
        <w:ind w:left="3731" w:hanging="360"/>
      </w:pPr>
      <w:rPr>
        <w:rFonts w:ascii="Courier New" w:hAnsi="Courier New" w:hint="default"/>
      </w:rPr>
    </w:lvl>
    <w:lvl w:ilvl="5" w:tplc="04150005">
      <w:start w:val="1"/>
      <w:numFmt w:val="bullet"/>
      <w:lvlText w:val=""/>
      <w:lvlJc w:val="left"/>
      <w:pPr>
        <w:ind w:left="4451" w:hanging="360"/>
      </w:pPr>
      <w:rPr>
        <w:rFonts w:ascii="Wingdings" w:hAnsi="Wingdings" w:hint="default"/>
      </w:rPr>
    </w:lvl>
    <w:lvl w:ilvl="6" w:tplc="04150001">
      <w:start w:val="1"/>
      <w:numFmt w:val="bullet"/>
      <w:lvlText w:val=""/>
      <w:lvlJc w:val="left"/>
      <w:pPr>
        <w:ind w:left="5171" w:hanging="360"/>
      </w:pPr>
      <w:rPr>
        <w:rFonts w:ascii="Symbol" w:hAnsi="Symbol" w:hint="default"/>
      </w:rPr>
    </w:lvl>
    <w:lvl w:ilvl="7" w:tplc="04150003">
      <w:start w:val="1"/>
      <w:numFmt w:val="bullet"/>
      <w:lvlText w:val="o"/>
      <w:lvlJc w:val="left"/>
      <w:pPr>
        <w:ind w:left="5891" w:hanging="360"/>
      </w:pPr>
      <w:rPr>
        <w:rFonts w:ascii="Courier New" w:hAnsi="Courier New" w:hint="default"/>
      </w:rPr>
    </w:lvl>
    <w:lvl w:ilvl="8" w:tplc="04150005">
      <w:start w:val="1"/>
      <w:numFmt w:val="bullet"/>
      <w:lvlText w:val=""/>
      <w:lvlJc w:val="left"/>
      <w:pPr>
        <w:ind w:left="6611" w:hanging="360"/>
      </w:pPr>
      <w:rPr>
        <w:rFonts w:ascii="Wingdings" w:hAnsi="Wingdings" w:hint="default"/>
      </w:rPr>
    </w:lvl>
  </w:abstractNum>
  <w:abstractNum w:abstractNumId="65" w15:restartNumberingAfterBreak="0">
    <w:nsid w:val="7EB528AA"/>
    <w:multiLevelType w:val="hybridMultilevel"/>
    <w:tmpl w:val="5540E2E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60"/>
  </w:num>
  <w:num w:numId="2">
    <w:abstractNumId w:val="35"/>
  </w:num>
  <w:num w:numId="3">
    <w:abstractNumId w:val="53"/>
  </w:num>
  <w:num w:numId="4">
    <w:abstractNumId w:val="64"/>
  </w:num>
  <w:num w:numId="5">
    <w:abstractNumId w:val="15"/>
  </w:num>
  <w:num w:numId="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9"/>
  </w:num>
  <w:num w:numId="8">
    <w:abstractNumId w:val="10"/>
  </w:num>
  <w:num w:numId="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40"/>
  </w:num>
  <w:num w:numId="16">
    <w:abstractNumId w:val="22"/>
  </w:num>
  <w:num w:numId="17">
    <w:abstractNumId w:val="13"/>
  </w:num>
  <w:num w:numId="18">
    <w:abstractNumId w:val="30"/>
  </w:num>
  <w:num w:numId="19">
    <w:abstractNumId w:val="27"/>
  </w:num>
  <w:num w:numId="20">
    <w:abstractNumId w:val="21"/>
  </w:num>
  <w:num w:numId="21">
    <w:abstractNumId w:val="26"/>
  </w:num>
  <w:num w:numId="22">
    <w:abstractNumId w:val="24"/>
  </w:num>
  <w:num w:numId="23">
    <w:abstractNumId w:val="55"/>
  </w:num>
  <w:num w:numId="24">
    <w:abstractNumId w:val="52"/>
  </w:num>
  <w:num w:numId="25">
    <w:abstractNumId w:val="38"/>
  </w:num>
  <w:num w:numId="26">
    <w:abstractNumId w:val="12"/>
  </w:num>
  <w:num w:numId="27">
    <w:abstractNumId w:val="48"/>
  </w:num>
  <w:num w:numId="28">
    <w:abstractNumId w:val="3"/>
  </w:num>
  <w:num w:numId="29">
    <w:abstractNumId w:val="61"/>
  </w:num>
  <w:num w:numId="30">
    <w:abstractNumId w:val="47"/>
  </w:num>
  <w:num w:numId="31">
    <w:abstractNumId w:val="31"/>
  </w:num>
  <w:num w:numId="32">
    <w:abstractNumId w:val="11"/>
  </w:num>
  <w:num w:numId="33">
    <w:abstractNumId w:val="23"/>
  </w:num>
  <w:num w:numId="34">
    <w:abstractNumId w:val="34"/>
  </w:num>
  <w:num w:numId="35">
    <w:abstractNumId w:val="65"/>
  </w:num>
  <w:num w:numId="36">
    <w:abstractNumId w:val="32"/>
  </w:num>
  <w:num w:numId="37">
    <w:abstractNumId w:val="45"/>
  </w:num>
  <w:num w:numId="38">
    <w:abstractNumId w:val="43"/>
  </w:num>
  <w:num w:numId="39">
    <w:abstractNumId w:val="14"/>
  </w:num>
  <w:num w:numId="40">
    <w:abstractNumId w:val="8"/>
  </w:num>
  <w:num w:numId="41">
    <w:abstractNumId w:val="25"/>
  </w:num>
  <w:num w:numId="42">
    <w:abstractNumId w:val="7"/>
  </w:num>
  <w:num w:numId="43">
    <w:abstractNumId w:val="56"/>
  </w:num>
  <w:num w:numId="44">
    <w:abstractNumId w:val="19"/>
  </w:num>
  <w:num w:numId="45">
    <w:abstractNumId w:val="29"/>
  </w:num>
  <w:num w:numId="46">
    <w:abstractNumId w:val="5"/>
  </w:num>
  <w:num w:numId="47">
    <w:abstractNumId w:val="41"/>
  </w:num>
  <w:num w:numId="48">
    <w:abstractNumId w:val="9"/>
  </w:num>
  <w:num w:numId="49">
    <w:abstractNumId w:val="62"/>
  </w:num>
  <w:num w:numId="50">
    <w:abstractNumId w:val="50"/>
  </w:num>
  <w:num w:numId="51">
    <w:abstractNumId w:val="59"/>
  </w:num>
  <w:num w:numId="52">
    <w:abstractNumId w:val="17"/>
  </w:num>
  <w:num w:numId="53">
    <w:abstractNumId w:val="36"/>
  </w:num>
  <w:num w:numId="54">
    <w:abstractNumId w:val="46"/>
  </w:num>
  <w:num w:numId="55">
    <w:abstractNumId w:val="51"/>
  </w:num>
  <w:num w:numId="56">
    <w:abstractNumId w:val="1"/>
  </w:num>
  <w:num w:numId="57">
    <w:abstractNumId w:val="44"/>
  </w:num>
  <w:num w:numId="58">
    <w:abstractNumId w:val="4"/>
  </w:num>
  <w:num w:numId="59">
    <w:abstractNumId w:val="37"/>
  </w:num>
  <w:num w:numId="60">
    <w:abstractNumId w:val="39"/>
  </w:num>
  <w:num w:numId="61">
    <w:abstractNumId w:val="42"/>
  </w:num>
  <w:num w:numId="62">
    <w:abstractNumId w:val="0"/>
  </w:num>
  <w:num w:numId="63">
    <w:abstractNumId w:val="6"/>
  </w:num>
  <w:num w:numId="64">
    <w:abstractNumId w:val="58"/>
  </w:num>
  <w:num w:numId="65">
    <w:abstractNumId w:val="2"/>
  </w:num>
  <w:num w:numId="66">
    <w:abstractNumId w:val="3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26B"/>
    <w:rsid w:val="00000F64"/>
    <w:rsid w:val="00002855"/>
    <w:rsid w:val="000046FC"/>
    <w:rsid w:val="0000490E"/>
    <w:rsid w:val="00004A16"/>
    <w:rsid w:val="000057A7"/>
    <w:rsid w:val="00006B22"/>
    <w:rsid w:val="00010816"/>
    <w:rsid w:val="000117F5"/>
    <w:rsid w:val="00011CB9"/>
    <w:rsid w:val="00012CD3"/>
    <w:rsid w:val="000163B5"/>
    <w:rsid w:val="00017492"/>
    <w:rsid w:val="00017522"/>
    <w:rsid w:val="000201F4"/>
    <w:rsid w:val="000219DF"/>
    <w:rsid w:val="00023DBF"/>
    <w:rsid w:val="000313EF"/>
    <w:rsid w:val="000314C8"/>
    <w:rsid w:val="00033620"/>
    <w:rsid w:val="0003372A"/>
    <w:rsid w:val="0003410F"/>
    <w:rsid w:val="00034331"/>
    <w:rsid w:val="00034920"/>
    <w:rsid w:val="00034F46"/>
    <w:rsid w:val="000359CE"/>
    <w:rsid w:val="000363B1"/>
    <w:rsid w:val="00036576"/>
    <w:rsid w:val="00037A60"/>
    <w:rsid w:val="000415EF"/>
    <w:rsid w:val="0004201A"/>
    <w:rsid w:val="000456C4"/>
    <w:rsid w:val="000457F7"/>
    <w:rsid w:val="00045CB9"/>
    <w:rsid w:val="0005282A"/>
    <w:rsid w:val="000535B5"/>
    <w:rsid w:val="000573F3"/>
    <w:rsid w:val="00057A77"/>
    <w:rsid w:val="0006156D"/>
    <w:rsid w:val="0006179B"/>
    <w:rsid w:val="00063AE3"/>
    <w:rsid w:val="00063CFE"/>
    <w:rsid w:val="00064655"/>
    <w:rsid w:val="00066549"/>
    <w:rsid w:val="000721EE"/>
    <w:rsid w:val="0007435D"/>
    <w:rsid w:val="00074C73"/>
    <w:rsid w:val="00075110"/>
    <w:rsid w:val="000756B4"/>
    <w:rsid w:val="000802AD"/>
    <w:rsid w:val="00080423"/>
    <w:rsid w:val="00081971"/>
    <w:rsid w:val="00082AF2"/>
    <w:rsid w:val="00083FD8"/>
    <w:rsid w:val="00086A7C"/>
    <w:rsid w:val="000905CD"/>
    <w:rsid w:val="000919E0"/>
    <w:rsid w:val="00093292"/>
    <w:rsid w:val="0009383F"/>
    <w:rsid w:val="00093BAE"/>
    <w:rsid w:val="000944FD"/>
    <w:rsid w:val="00094582"/>
    <w:rsid w:val="00097CF5"/>
    <w:rsid w:val="00097EE2"/>
    <w:rsid w:val="000A1406"/>
    <w:rsid w:val="000A22EC"/>
    <w:rsid w:val="000A60A1"/>
    <w:rsid w:val="000A680B"/>
    <w:rsid w:val="000A7266"/>
    <w:rsid w:val="000A7AC6"/>
    <w:rsid w:val="000B1133"/>
    <w:rsid w:val="000B2993"/>
    <w:rsid w:val="000B3B22"/>
    <w:rsid w:val="000C131E"/>
    <w:rsid w:val="000C146C"/>
    <w:rsid w:val="000C211F"/>
    <w:rsid w:val="000C2D64"/>
    <w:rsid w:val="000C3816"/>
    <w:rsid w:val="000C44EE"/>
    <w:rsid w:val="000C6151"/>
    <w:rsid w:val="000D1380"/>
    <w:rsid w:val="000D5AFA"/>
    <w:rsid w:val="000E148A"/>
    <w:rsid w:val="000E15CD"/>
    <w:rsid w:val="000E1A83"/>
    <w:rsid w:val="000E1F42"/>
    <w:rsid w:val="000E21EA"/>
    <w:rsid w:val="000E2681"/>
    <w:rsid w:val="000E3AC9"/>
    <w:rsid w:val="000E4A1F"/>
    <w:rsid w:val="000E6EF2"/>
    <w:rsid w:val="000E7124"/>
    <w:rsid w:val="000F29F1"/>
    <w:rsid w:val="000F2CBF"/>
    <w:rsid w:val="000F329B"/>
    <w:rsid w:val="000F43E3"/>
    <w:rsid w:val="000F5B76"/>
    <w:rsid w:val="000F5F92"/>
    <w:rsid w:val="000F702B"/>
    <w:rsid w:val="000F7177"/>
    <w:rsid w:val="00100E0C"/>
    <w:rsid w:val="00104ADF"/>
    <w:rsid w:val="00104B7B"/>
    <w:rsid w:val="0010533B"/>
    <w:rsid w:val="00105B27"/>
    <w:rsid w:val="001066AA"/>
    <w:rsid w:val="00107193"/>
    <w:rsid w:val="00110FCB"/>
    <w:rsid w:val="00111E3F"/>
    <w:rsid w:val="00112763"/>
    <w:rsid w:val="001129BC"/>
    <w:rsid w:val="00112CE4"/>
    <w:rsid w:val="00114220"/>
    <w:rsid w:val="00116F3D"/>
    <w:rsid w:val="0012115F"/>
    <w:rsid w:val="00121F89"/>
    <w:rsid w:val="00123F8E"/>
    <w:rsid w:val="001274F3"/>
    <w:rsid w:val="00127ADA"/>
    <w:rsid w:val="00130B64"/>
    <w:rsid w:val="001312CA"/>
    <w:rsid w:val="00131803"/>
    <w:rsid w:val="00133267"/>
    <w:rsid w:val="00133704"/>
    <w:rsid w:val="00134919"/>
    <w:rsid w:val="00135639"/>
    <w:rsid w:val="001367DD"/>
    <w:rsid w:val="00140FE6"/>
    <w:rsid w:val="001439D7"/>
    <w:rsid w:val="0014451A"/>
    <w:rsid w:val="00145D07"/>
    <w:rsid w:val="00146DA9"/>
    <w:rsid w:val="00147281"/>
    <w:rsid w:val="00147EDA"/>
    <w:rsid w:val="00150F97"/>
    <w:rsid w:val="00151B85"/>
    <w:rsid w:val="00151D8E"/>
    <w:rsid w:val="0015284B"/>
    <w:rsid w:val="00152A18"/>
    <w:rsid w:val="001530FB"/>
    <w:rsid w:val="001536D8"/>
    <w:rsid w:val="0015384F"/>
    <w:rsid w:val="001540D6"/>
    <w:rsid w:val="00154D5C"/>
    <w:rsid w:val="001637B2"/>
    <w:rsid w:val="001675BC"/>
    <w:rsid w:val="00167B3A"/>
    <w:rsid w:val="00170CFD"/>
    <w:rsid w:val="001723D6"/>
    <w:rsid w:val="001725EB"/>
    <w:rsid w:val="00173D74"/>
    <w:rsid w:val="00174067"/>
    <w:rsid w:val="001760A0"/>
    <w:rsid w:val="0017668D"/>
    <w:rsid w:val="001805BB"/>
    <w:rsid w:val="001806CF"/>
    <w:rsid w:val="00180AA1"/>
    <w:rsid w:val="001815AA"/>
    <w:rsid w:val="0018161E"/>
    <w:rsid w:val="001817ED"/>
    <w:rsid w:val="00181896"/>
    <w:rsid w:val="00182393"/>
    <w:rsid w:val="00182A2C"/>
    <w:rsid w:val="001867C2"/>
    <w:rsid w:val="0018707E"/>
    <w:rsid w:val="00187A83"/>
    <w:rsid w:val="00190340"/>
    <w:rsid w:val="00190499"/>
    <w:rsid w:val="00191141"/>
    <w:rsid w:val="001913AB"/>
    <w:rsid w:val="00191782"/>
    <w:rsid w:val="00191D2B"/>
    <w:rsid w:val="00191DE7"/>
    <w:rsid w:val="00193CB1"/>
    <w:rsid w:val="00194519"/>
    <w:rsid w:val="00195AA7"/>
    <w:rsid w:val="00196A1B"/>
    <w:rsid w:val="00196C26"/>
    <w:rsid w:val="001A00D6"/>
    <w:rsid w:val="001A078D"/>
    <w:rsid w:val="001A1325"/>
    <w:rsid w:val="001A1F1D"/>
    <w:rsid w:val="001A4237"/>
    <w:rsid w:val="001A6B79"/>
    <w:rsid w:val="001A6BFE"/>
    <w:rsid w:val="001A7A79"/>
    <w:rsid w:val="001B1D40"/>
    <w:rsid w:val="001B3943"/>
    <w:rsid w:val="001B5342"/>
    <w:rsid w:val="001B5B68"/>
    <w:rsid w:val="001B5E59"/>
    <w:rsid w:val="001B6E0D"/>
    <w:rsid w:val="001B6EF3"/>
    <w:rsid w:val="001B7A6F"/>
    <w:rsid w:val="001B7BF5"/>
    <w:rsid w:val="001C089B"/>
    <w:rsid w:val="001C0E9C"/>
    <w:rsid w:val="001C1505"/>
    <w:rsid w:val="001C1CC2"/>
    <w:rsid w:val="001C52AE"/>
    <w:rsid w:val="001C5E2E"/>
    <w:rsid w:val="001C718D"/>
    <w:rsid w:val="001C73BA"/>
    <w:rsid w:val="001C7710"/>
    <w:rsid w:val="001C7DF6"/>
    <w:rsid w:val="001D16A8"/>
    <w:rsid w:val="001D182B"/>
    <w:rsid w:val="001D32BD"/>
    <w:rsid w:val="001D4719"/>
    <w:rsid w:val="001D5023"/>
    <w:rsid w:val="001D5BE6"/>
    <w:rsid w:val="001D5ED4"/>
    <w:rsid w:val="001D7469"/>
    <w:rsid w:val="001E06D1"/>
    <w:rsid w:val="001E0ADB"/>
    <w:rsid w:val="001E1AC2"/>
    <w:rsid w:val="001E2BC8"/>
    <w:rsid w:val="001E3E01"/>
    <w:rsid w:val="001E44E8"/>
    <w:rsid w:val="001E5179"/>
    <w:rsid w:val="001E7B86"/>
    <w:rsid w:val="001F0670"/>
    <w:rsid w:val="001F0B80"/>
    <w:rsid w:val="001F0D4F"/>
    <w:rsid w:val="001F2A7F"/>
    <w:rsid w:val="001F2DF6"/>
    <w:rsid w:val="001F691F"/>
    <w:rsid w:val="0020039E"/>
    <w:rsid w:val="00204DB8"/>
    <w:rsid w:val="00206408"/>
    <w:rsid w:val="0020728F"/>
    <w:rsid w:val="002078D8"/>
    <w:rsid w:val="00210895"/>
    <w:rsid w:val="00210F0D"/>
    <w:rsid w:val="00211AF9"/>
    <w:rsid w:val="002147F8"/>
    <w:rsid w:val="00214E4A"/>
    <w:rsid w:val="0021611F"/>
    <w:rsid w:val="00216D01"/>
    <w:rsid w:val="00216DAF"/>
    <w:rsid w:val="0021718F"/>
    <w:rsid w:val="00220842"/>
    <w:rsid w:val="00221816"/>
    <w:rsid w:val="00221BC0"/>
    <w:rsid w:val="00221E9A"/>
    <w:rsid w:val="00221F51"/>
    <w:rsid w:val="0022296F"/>
    <w:rsid w:val="00222D36"/>
    <w:rsid w:val="002256C3"/>
    <w:rsid w:val="00225934"/>
    <w:rsid w:val="0022666C"/>
    <w:rsid w:val="00230840"/>
    <w:rsid w:val="00230BCC"/>
    <w:rsid w:val="00231223"/>
    <w:rsid w:val="00231A58"/>
    <w:rsid w:val="00231FF6"/>
    <w:rsid w:val="002325C8"/>
    <w:rsid w:val="0023522E"/>
    <w:rsid w:val="00235DA5"/>
    <w:rsid w:val="00235FE4"/>
    <w:rsid w:val="00236E8F"/>
    <w:rsid w:val="00240631"/>
    <w:rsid w:val="00241989"/>
    <w:rsid w:val="002443B4"/>
    <w:rsid w:val="0024494F"/>
    <w:rsid w:val="00244F92"/>
    <w:rsid w:val="00247839"/>
    <w:rsid w:val="0025401E"/>
    <w:rsid w:val="0025561A"/>
    <w:rsid w:val="00256246"/>
    <w:rsid w:val="00256365"/>
    <w:rsid w:val="00256B75"/>
    <w:rsid w:val="002577E5"/>
    <w:rsid w:val="00257A03"/>
    <w:rsid w:val="00260A38"/>
    <w:rsid w:val="00261A02"/>
    <w:rsid w:val="00264D2D"/>
    <w:rsid w:val="00267490"/>
    <w:rsid w:val="002710EB"/>
    <w:rsid w:val="00271C02"/>
    <w:rsid w:val="00272598"/>
    <w:rsid w:val="002741C2"/>
    <w:rsid w:val="00275365"/>
    <w:rsid w:val="00276416"/>
    <w:rsid w:val="00280411"/>
    <w:rsid w:val="00283B67"/>
    <w:rsid w:val="00287DAF"/>
    <w:rsid w:val="002919BF"/>
    <w:rsid w:val="00296818"/>
    <w:rsid w:val="002A0C54"/>
    <w:rsid w:val="002A1BAD"/>
    <w:rsid w:val="002A20E9"/>
    <w:rsid w:val="002A2BD4"/>
    <w:rsid w:val="002A2F96"/>
    <w:rsid w:val="002A3273"/>
    <w:rsid w:val="002A3A1F"/>
    <w:rsid w:val="002A52EB"/>
    <w:rsid w:val="002A683E"/>
    <w:rsid w:val="002A6A35"/>
    <w:rsid w:val="002A78F3"/>
    <w:rsid w:val="002B0004"/>
    <w:rsid w:val="002B01F6"/>
    <w:rsid w:val="002B0322"/>
    <w:rsid w:val="002B1565"/>
    <w:rsid w:val="002B2888"/>
    <w:rsid w:val="002B38C8"/>
    <w:rsid w:val="002B4762"/>
    <w:rsid w:val="002B47AC"/>
    <w:rsid w:val="002B4B92"/>
    <w:rsid w:val="002B5B13"/>
    <w:rsid w:val="002B61F4"/>
    <w:rsid w:val="002B6543"/>
    <w:rsid w:val="002B739C"/>
    <w:rsid w:val="002B768C"/>
    <w:rsid w:val="002B76C1"/>
    <w:rsid w:val="002B7C8F"/>
    <w:rsid w:val="002C0CE2"/>
    <w:rsid w:val="002C0CEC"/>
    <w:rsid w:val="002C0F46"/>
    <w:rsid w:val="002C2D86"/>
    <w:rsid w:val="002C3077"/>
    <w:rsid w:val="002C3205"/>
    <w:rsid w:val="002C3FE4"/>
    <w:rsid w:val="002C4A5B"/>
    <w:rsid w:val="002C4F82"/>
    <w:rsid w:val="002C767C"/>
    <w:rsid w:val="002C781E"/>
    <w:rsid w:val="002C795B"/>
    <w:rsid w:val="002D0DBC"/>
    <w:rsid w:val="002D21ED"/>
    <w:rsid w:val="002D3268"/>
    <w:rsid w:val="002D3689"/>
    <w:rsid w:val="002D52D9"/>
    <w:rsid w:val="002D71C0"/>
    <w:rsid w:val="002E0810"/>
    <w:rsid w:val="002E32CF"/>
    <w:rsid w:val="002E52B6"/>
    <w:rsid w:val="002E618F"/>
    <w:rsid w:val="002E7C2C"/>
    <w:rsid w:val="002F08AB"/>
    <w:rsid w:val="002F0BC3"/>
    <w:rsid w:val="002F3F8A"/>
    <w:rsid w:val="002F6305"/>
    <w:rsid w:val="002F6F01"/>
    <w:rsid w:val="002F7832"/>
    <w:rsid w:val="002F7C33"/>
    <w:rsid w:val="003003AA"/>
    <w:rsid w:val="00301671"/>
    <w:rsid w:val="00301E2C"/>
    <w:rsid w:val="003030AB"/>
    <w:rsid w:val="00304F61"/>
    <w:rsid w:val="00305222"/>
    <w:rsid w:val="00305C49"/>
    <w:rsid w:val="00306673"/>
    <w:rsid w:val="00306D42"/>
    <w:rsid w:val="00307DF7"/>
    <w:rsid w:val="0031022A"/>
    <w:rsid w:val="00310BA0"/>
    <w:rsid w:val="003155C0"/>
    <w:rsid w:val="00317F7C"/>
    <w:rsid w:val="0032158C"/>
    <w:rsid w:val="00322B93"/>
    <w:rsid w:val="003232D1"/>
    <w:rsid w:val="003243E2"/>
    <w:rsid w:val="00324F16"/>
    <w:rsid w:val="003255D9"/>
    <w:rsid w:val="00325865"/>
    <w:rsid w:val="00326528"/>
    <w:rsid w:val="0033177E"/>
    <w:rsid w:val="0033231B"/>
    <w:rsid w:val="003325FE"/>
    <w:rsid w:val="00332631"/>
    <w:rsid w:val="00333294"/>
    <w:rsid w:val="00333F70"/>
    <w:rsid w:val="003346C9"/>
    <w:rsid w:val="003362E9"/>
    <w:rsid w:val="003365BE"/>
    <w:rsid w:val="003367D6"/>
    <w:rsid w:val="00341D93"/>
    <w:rsid w:val="003452C9"/>
    <w:rsid w:val="00345D11"/>
    <w:rsid w:val="00347139"/>
    <w:rsid w:val="00347540"/>
    <w:rsid w:val="00347CA6"/>
    <w:rsid w:val="00347D56"/>
    <w:rsid w:val="00354944"/>
    <w:rsid w:val="0035655D"/>
    <w:rsid w:val="00356D27"/>
    <w:rsid w:val="003579D9"/>
    <w:rsid w:val="00360343"/>
    <w:rsid w:val="00360701"/>
    <w:rsid w:val="00361C9A"/>
    <w:rsid w:val="00361E76"/>
    <w:rsid w:val="003626F2"/>
    <w:rsid w:val="00364BEF"/>
    <w:rsid w:val="003661A7"/>
    <w:rsid w:val="00366AE9"/>
    <w:rsid w:val="00370F72"/>
    <w:rsid w:val="00371143"/>
    <w:rsid w:val="0037173E"/>
    <w:rsid w:val="00371979"/>
    <w:rsid w:val="003730D8"/>
    <w:rsid w:val="00373F7C"/>
    <w:rsid w:val="0037501D"/>
    <w:rsid w:val="00376CAB"/>
    <w:rsid w:val="00377E0C"/>
    <w:rsid w:val="00380208"/>
    <w:rsid w:val="003810D1"/>
    <w:rsid w:val="003814B5"/>
    <w:rsid w:val="003820B8"/>
    <w:rsid w:val="00383EF6"/>
    <w:rsid w:val="003862BC"/>
    <w:rsid w:val="00387201"/>
    <w:rsid w:val="003908C3"/>
    <w:rsid w:val="00390F6C"/>
    <w:rsid w:val="003932B7"/>
    <w:rsid w:val="00394CF2"/>
    <w:rsid w:val="00396FCD"/>
    <w:rsid w:val="003979A1"/>
    <w:rsid w:val="003A0ECC"/>
    <w:rsid w:val="003A1218"/>
    <w:rsid w:val="003A20BF"/>
    <w:rsid w:val="003A2640"/>
    <w:rsid w:val="003A2A7F"/>
    <w:rsid w:val="003A35ED"/>
    <w:rsid w:val="003A382F"/>
    <w:rsid w:val="003A5470"/>
    <w:rsid w:val="003A6463"/>
    <w:rsid w:val="003A6C61"/>
    <w:rsid w:val="003A6E82"/>
    <w:rsid w:val="003B005E"/>
    <w:rsid w:val="003B0D99"/>
    <w:rsid w:val="003B129E"/>
    <w:rsid w:val="003B1AFA"/>
    <w:rsid w:val="003B2989"/>
    <w:rsid w:val="003B403E"/>
    <w:rsid w:val="003B507C"/>
    <w:rsid w:val="003B60CD"/>
    <w:rsid w:val="003B6206"/>
    <w:rsid w:val="003B713B"/>
    <w:rsid w:val="003B7187"/>
    <w:rsid w:val="003B7CF1"/>
    <w:rsid w:val="003C04C7"/>
    <w:rsid w:val="003C2640"/>
    <w:rsid w:val="003C2B4B"/>
    <w:rsid w:val="003C2C99"/>
    <w:rsid w:val="003C354E"/>
    <w:rsid w:val="003C42A3"/>
    <w:rsid w:val="003C43CA"/>
    <w:rsid w:val="003C4515"/>
    <w:rsid w:val="003C4679"/>
    <w:rsid w:val="003C58B9"/>
    <w:rsid w:val="003C599F"/>
    <w:rsid w:val="003C59A3"/>
    <w:rsid w:val="003C5D16"/>
    <w:rsid w:val="003C6517"/>
    <w:rsid w:val="003C6A68"/>
    <w:rsid w:val="003C7E76"/>
    <w:rsid w:val="003D1886"/>
    <w:rsid w:val="003D350D"/>
    <w:rsid w:val="003D3B22"/>
    <w:rsid w:val="003D5C1C"/>
    <w:rsid w:val="003D66A3"/>
    <w:rsid w:val="003D769C"/>
    <w:rsid w:val="003D76AD"/>
    <w:rsid w:val="003D76ED"/>
    <w:rsid w:val="003E4371"/>
    <w:rsid w:val="003E5CF2"/>
    <w:rsid w:val="003E6734"/>
    <w:rsid w:val="003F031F"/>
    <w:rsid w:val="003F0835"/>
    <w:rsid w:val="003F08B0"/>
    <w:rsid w:val="003F14C9"/>
    <w:rsid w:val="003F1B9F"/>
    <w:rsid w:val="003F2FA5"/>
    <w:rsid w:val="003F37C9"/>
    <w:rsid w:val="003F3A88"/>
    <w:rsid w:val="003F5CA3"/>
    <w:rsid w:val="003F662B"/>
    <w:rsid w:val="00401197"/>
    <w:rsid w:val="00402241"/>
    <w:rsid w:val="00403BE7"/>
    <w:rsid w:val="0040408B"/>
    <w:rsid w:val="004116A3"/>
    <w:rsid w:val="00411C2B"/>
    <w:rsid w:val="00411E4A"/>
    <w:rsid w:val="00413D5E"/>
    <w:rsid w:val="004142A6"/>
    <w:rsid w:val="00415745"/>
    <w:rsid w:val="004158F6"/>
    <w:rsid w:val="00415CF7"/>
    <w:rsid w:val="004166B8"/>
    <w:rsid w:val="00416BCC"/>
    <w:rsid w:val="00420C02"/>
    <w:rsid w:val="00420FE0"/>
    <w:rsid w:val="00422EF1"/>
    <w:rsid w:val="004235A4"/>
    <w:rsid w:val="00427ED0"/>
    <w:rsid w:val="00430F96"/>
    <w:rsid w:val="0043167F"/>
    <w:rsid w:val="00431C41"/>
    <w:rsid w:val="004321F9"/>
    <w:rsid w:val="00433CC6"/>
    <w:rsid w:val="00434978"/>
    <w:rsid w:val="00436673"/>
    <w:rsid w:val="00436CE7"/>
    <w:rsid w:val="00437128"/>
    <w:rsid w:val="00440FBF"/>
    <w:rsid w:val="00441342"/>
    <w:rsid w:val="00441734"/>
    <w:rsid w:val="0044194F"/>
    <w:rsid w:val="00442D60"/>
    <w:rsid w:val="00443800"/>
    <w:rsid w:val="0044444F"/>
    <w:rsid w:val="00450A2E"/>
    <w:rsid w:val="00450E1F"/>
    <w:rsid w:val="00452B83"/>
    <w:rsid w:val="004530A9"/>
    <w:rsid w:val="00455BB2"/>
    <w:rsid w:val="004565D8"/>
    <w:rsid w:val="00456A77"/>
    <w:rsid w:val="00457E64"/>
    <w:rsid w:val="00460CD7"/>
    <w:rsid w:val="004633BF"/>
    <w:rsid w:val="00463D52"/>
    <w:rsid w:val="00464788"/>
    <w:rsid w:val="00464EDE"/>
    <w:rsid w:val="00466E00"/>
    <w:rsid w:val="00467937"/>
    <w:rsid w:val="004704D3"/>
    <w:rsid w:val="004708C3"/>
    <w:rsid w:val="00470CCE"/>
    <w:rsid w:val="00473851"/>
    <w:rsid w:val="00473A4C"/>
    <w:rsid w:val="00473D39"/>
    <w:rsid w:val="00474A04"/>
    <w:rsid w:val="004750BD"/>
    <w:rsid w:val="004759C5"/>
    <w:rsid w:val="004774B3"/>
    <w:rsid w:val="00480F20"/>
    <w:rsid w:val="0048141B"/>
    <w:rsid w:val="00481BA6"/>
    <w:rsid w:val="00482002"/>
    <w:rsid w:val="004824F7"/>
    <w:rsid w:val="004835A4"/>
    <w:rsid w:val="00485C31"/>
    <w:rsid w:val="00486560"/>
    <w:rsid w:val="004865CD"/>
    <w:rsid w:val="0049069C"/>
    <w:rsid w:val="004930FA"/>
    <w:rsid w:val="00494743"/>
    <w:rsid w:val="00497ED1"/>
    <w:rsid w:val="00497FF3"/>
    <w:rsid w:val="004A00F4"/>
    <w:rsid w:val="004A0436"/>
    <w:rsid w:val="004A16B5"/>
    <w:rsid w:val="004A2CE8"/>
    <w:rsid w:val="004A3084"/>
    <w:rsid w:val="004A3CED"/>
    <w:rsid w:val="004A412F"/>
    <w:rsid w:val="004A6696"/>
    <w:rsid w:val="004A6F0A"/>
    <w:rsid w:val="004B0DBD"/>
    <w:rsid w:val="004B15CA"/>
    <w:rsid w:val="004B1E04"/>
    <w:rsid w:val="004B3F4C"/>
    <w:rsid w:val="004B42B4"/>
    <w:rsid w:val="004B46D9"/>
    <w:rsid w:val="004B572E"/>
    <w:rsid w:val="004C06F1"/>
    <w:rsid w:val="004C1429"/>
    <w:rsid w:val="004C1BA2"/>
    <w:rsid w:val="004C2DF4"/>
    <w:rsid w:val="004C3959"/>
    <w:rsid w:val="004C3A7E"/>
    <w:rsid w:val="004C4AD0"/>
    <w:rsid w:val="004C5331"/>
    <w:rsid w:val="004C53BC"/>
    <w:rsid w:val="004C5AAC"/>
    <w:rsid w:val="004C72E7"/>
    <w:rsid w:val="004D11D5"/>
    <w:rsid w:val="004D2643"/>
    <w:rsid w:val="004D2F19"/>
    <w:rsid w:val="004D311E"/>
    <w:rsid w:val="004D35CB"/>
    <w:rsid w:val="004D604B"/>
    <w:rsid w:val="004D6061"/>
    <w:rsid w:val="004D6FD8"/>
    <w:rsid w:val="004E09A1"/>
    <w:rsid w:val="004E2D5D"/>
    <w:rsid w:val="004E2F9D"/>
    <w:rsid w:val="004E6B2B"/>
    <w:rsid w:val="004F04ED"/>
    <w:rsid w:val="004F2063"/>
    <w:rsid w:val="004F27E1"/>
    <w:rsid w:val="004F2844"/>
    <w:rsid w:val="004F28C1"/>
    <w:rsid w:val="004F5448"/>
    <w:rsid w:val="004F73AF"/>
    <w:rsid w:val="00500BA6"/>
    <w:rsid w:val="00500EF9"/>
    <w:rsid w:val="00502BFC"/>
    <w:rsid w:val="0050399B"/>
    <w:rsid w:val="005046C5"/>
    <w:rsid w:val="005046F0"/>
    <w:rsid w:val="00504ABF"/>
    <w:rsid w:val="005062D3"/>
    <w:rsid w:val="00506BC2"/>
    <w:rsid w:val="00510418"/>
    <w:rsid w:val="00510670"/>
    <w:rsid w:val="00510894"/>
    <w:rsid w:val="00510EA6"/>
    <w:rsid w:val="0051148C"/>
    <w:rsid w:val="00511E14"/>
    <w:rsid w:val="00512032"/>
    <w:rsid w:val="00512724"/>
    <w:rsid w:val="00512A12"/>
    <w:rsid w:val="00514AD5"/>
    <w:rsid w:val="005167AC"/>
    <w:rsid w:val="00520B0E"/>
    <w:rsid w:val="00525291"/>
    <w:rsid w:val="00525459"/>
    <w:rsid w:val="00525AD2"/>
    <w:rsid w:val="00526DE1"/>
    <w:rsid w:val="005274A6"/>
    <w:rsid w:val="00531855"/>
    <w:rsid w:val="0053290D"/>
    <w:rsid w:val="00532B51"/>
    <w:rsid w:val="00533998"/>
    <w:rsid w:val="00533D3E"/>
    <w:rsid w:val="005351F0"/>
    <w:rsid w:val="00535570"/>
    <w:rsid w:val="005360C1"/>
    <w:rsid w:val="005363B7"/>
    <w:rsid w:val="00536C43"/>
    <w:rsid w:val="005412CC"/>
    <w:rsid w:val="005417CD"/>
    <w:rsid w:val="005429CE"/>
    <w:rsid w:val="00543969"/>
    <w:rsid w:val="00543BA9"/>
    <w:rsid w:val="00544B0B"/>
    <w:rsid w:val="00546BDB"/>
    <w:rsid w:val="00547FA3"/>
    <w:rsid w:val="0055037A"/>
    <w:rsid w:val="00551B3D"/>
    <w:rsid w:val="0055259D"/>
    <w:rsid w:val="005532A4"/>
    <w:rsid w:val="005552C3"/>
    <w:rsid w:val="00555914"/>
    <w:rsid w:val="005578CF"/>
    <w:rsid w:val="00561AE7"/>
    <w:rsid w:val="00562560"/>
    <w:rsid w:val="00562AF8"/>
    <w:rsid w:val="005631FE"/>
    <w:rsid w:val="00563603"/>
    <w:rsid w:val="00564317"/>
    <w:rsid w:val="005649FB"/>
    <w:rsid w:val="00566D08"/>
    <w:rsid w:val="0056715A"/>
    <w:rsid w:val="00567EBD"/>
    <w:rsid w:val="00572420"/>
    <w:rsid w:val="00572459"/>
    <w:rsid w:val="00572F0F"/>
    <w:rsid w:val="00573F6C"/>
    <w:rsid w:val="00574CBB"/>
    <w:rsid w:val="005758FE"/>
    <w:rsid w:val="005767D7"/>
    <w:rsid w:val="00576B7F"/>
    <w:rsid w:val="00576E23"/>
    <w:rsid w:val="00577A29"/>
    <w:rsid w:val="00580213"/>
    <w:rsid w:val="00580B2D"/>
    <w:rsid w:val="00580BD3"/>
    <w:rsid w:val="00581C5F"/>
    <w:rsid w:val="00582250"/>
    <w:rsid w:val="0058289D"/>
    <w:rsid w:val="005836AF"/>
    <w:rsid w:val="00583A02"/>
    <w:rsid w:val="00584EA4"/>
    <w:rsid w:val="005867E6"/>
    <w:rsid w:val="005875E8"/>
    <w:rsid w:val="005901E8"/>
    <w:rsid w:val="0059065B"/>
    <w:rsid w:val="005944F9"/>
    <w:rsid w:val="0059496A"/>
    <w:rsid w:val="00595CCD"/>
    <w:rsid w:val="00597863"/>
    <w:rsid w:val="00597AF7"/>
    <w:rsid w:val="00597E57"/>
    <w:rsid w:val="005A05C1"/>
    <w:rsid w:val="005A1F72"/>
    <w:rsid w:val="005A21BD"/>
    <w:rsid w:val="005A2E85"/>
    <w:rsid w:val="005A3D8B"/>
    <w:rsid w:val="005A5B10"/>
    <w:rsid w:val="005A7412"/>
    <w:rsid w:val="005B095D"/>
    <w:rsid w:val="005B098F"/>
    <w:rsid w:val="005B2E50"/>
    <w:rsid w:val="005B396B"/>
    <w:rsid w:val="005B5776"/>
    <w:rsid w:val="005B6B3C"/>
    <w:rsid w:val="005B7C2C"/>
    <w:rsid w:val="005C12A1"/>
    <w:rsid w:val="005C1F60"/>
    <w:rsid w:val="005C3D11"/>
    <w:rsid w:val="005C4D06"/>
    <w:rsid w:val="005C59B8"/>
    <w:rsid w:val="005C5B7C"/>
    <w:rsid w:val="005C61B5"/>
    <w:rsid w:val="005C768B"/>
    <w:rsid w:val="005D1313"/>
    <w:rsid w:val="005D143A"/>
    <w:rsid w:val="005D30EB"/>
    <w:rsid w:val="005D3591"/>
    <w:rsid w:val="005D4641"/>
    <w:rsid w:val="005D4AF2"/>
    <w:rsid w:val="005D4BB3"/>
    <w:rsid w:val="005D5A02"/>
    <w:rsid w:val="005D77C8"/>
    <w:rsid w:val="005E02C6"/>
    <w:rsid w:val="005E0367"/>
    <w:rsid w:val="005E05D2"/>
    <w:rsid w:val="005E0F8E"/>
    <w:rsid w:val="005E1ADF"/>
    <w:rsid w:val="005E1D26"/>
    <w:rsid w:val="005E33F5"/>
    <w:rsid w:val="005E3E6F"/>
    <w:rsid w:val="005E3EF4"/>
    <w:rsid w:val="005E557F"/>
    <w:rsid w:val="005E59E1"/>
    <w:rsid w:val="005F166C"/>
    <w:rsid w:val="005F5F43"/>
    <w:rsid w:val="005F69A8"/>
    <w:rsid w:val="005F6AB7"/>
    <w:rsid w:val="005F7D30"/>
    <w:rsid w:val="00600D0D"/>
    <w:rsid w:val="00602442"/>
    <w:rsid w:val="00603221"/>
    <w:rsid w:val="00603237"/>
    <w:rsid w:val="0060600C"/>
    <w:rsid w:val="00606ABC"/>
    <w:rsid w:val="0060725E"/>
    <w:rsid w:val="00614116"/>
    <w:rsid w:val="00614A43"/>
    <w:rsid w:val="00615680"/>
    <w:rsid w:val="006158E9"/>
    <w:rsid w:val="006224B7"/>
    <w:rsid w:val="00624069"/>
    <w:rsid w:val="00627E32"/>
    <w:rsid w:val="00630C2C"/>
    <w:rsid w:val="006318B5"/>
    <w:rsid w:val="00631C42"/>
    <w:rsid w:val="00631E9C"/>
    <w:rsid w:val="00633419"/>
    <w:rsid w:val="00633455"/>
    <w:rsid w:val="006335BD"/>
    <w:rsid w:val="00634162"/>
    <w:rsid w:val="006344DF"/>
    <w:rsid w:val="0063487D"/>
    <w:rsid w:val="0063521E"/>
    <w:rsid w:val="006354DB"/>
    <w:rsid w:val="00636DA9"/>
    <w:rsid w:val="00640FA6"/>
    <w:rsid w:val="006413DB"/>
    <w:rsid w:val="00641AA2"/>
    <w:rsid w:val="00641CD2"/>
    <w:rsid w:val="00641D67"/>
    <w:rsid w:val="00642AA5"/>
    <w:rsid w:val="00642DD6"/>
    <w:rsid w:val="00645343"/>
    <w:rsid w:val="0064707C"/>
    <w:rsid w:val="00647890"/>
    <w:rsid w:val="006507F2"/>
    <w:rsid w:val="00651371"/>
    <w:rsid w:val="006545FA"/>
    <w:rsid w:val="00655A6C"/>
    <w:rsid w:val="00657054"/>
    <w:rsid w:val="00660662"/>
    <w:rsid w:val="006625C1"/>
    <w:rsid w:val="00662BD9"/>
    <w:rsid w:val="00662D62"/>
    <w:rsid w:val="0066319C"/>
    <w:rsid w:val="00664D85"/>
    <w:rsid w:val="00665406"/>
    <w:rsid w:val="00665B5F"/>
    <w:rsid w:val="00667C82"/>
    <w:rsid w:val="0067439F"/>
    <w:rsid w:val="00676545"/>
    <w:rsid w:val="006772DD"/>
    <w:rsid w:val="006803CA"/>
    <w:rsid w:val="00680A3F"/>
    <w:rsid w:val="006822BE"/>
    <w:rsid w:val="006831FF"/>
    <w:rsid w:val="006855C9"/>
    <w:rsid w:val="00685E01"/>
    <w:rsid w:val="0068619D"/>
    <w:rsid w:val="0068687C"/>
    <w:rsid w:val="00690592"/>
    <w:rsid w:val="00691BF4"/>
    <w:rsid w:val="00692009"/>
    <w:rsid w:val="00693BA5"/>
    <w:rsid w:val="00695AD8"/>
    <w:rsid w:val="006964B8"/>
    <w:rsid w:val="006968E9"/>
    <w:rsid w:val="00696E06"/>
    <w:rsid w:val="006A0B46"/>
    <w:rsid w:val="006A0FFD"/>
    <w:rsid w:val="006A19B1"/>
    <w:rsid w:val="006A22B1"/>
    <w:rsid w:val="006A24B3"/>
    <w:rsid w:val="006A4441"/>
    <w:rsid w:val="006A486B"/>
    <w:rsid w:val="006A5C11"/>
    <w:rsid w:val="006A5C90"/>
    <w:rsid w:val="006A7568"/>
    <w:rsid w:val="006B07B4"/>
    <w:rsid w:val="006B0E12"/>
    <w:rsid w:val="006B2508"/>
    <w:rsid w:val="006B274A"/>
    <w:rsid w:val="006B4639"/>
    <w:rsid w:val="006B4720"/>
    <w:rsid w:val="006B4E66"/>
    <w:rsid w:val="006B5B1C"/>
    <w:rsid w:val="006B6099"/>
    <w:rsid w:val="006B665D"/>
    <w:rsid w:val="006C1690"/>
    <w:rsid w:val="006C266C"/>
    <w:rsid w:val="006C38A8"/>
    <w:rsid w:val="006C448B"/>
    <w:rsid w:val="006C5A40"/>
    <w:rsid w:val="006C62AB"/>
    <w:rsid w:val="006C779A"/>
    <w:rsid w:val="006D0CDA"/>
    <w:rsid w:val="006D1234"/>
    <w:rsid w:val="006D2089"/>
    <w:rsid w:val="006D38A1"/>
    <w:rsid w:val="006D3EE3"/>
    <w:rsid w:val="006D57A1"/>
    <w:rsid w:val="006D59A8"/>
    <w:rsid w:val="006D6B25"/>
    <w:rsid w:val="006E2123"/>
    <w:rsid w:val="006E394D"/>
    <w:rsid w:val="006E4E28"/>
    <w:rsid w:val="006E52ED"/>
    <w:rsid w:val="006E6526"/>
    <w:rsid w:val="006E6566"/>
    <w:rsid w:val="006E65CB"/>
    <w:rsid w:val="006E7ADD"/>
    <w:rsid w:val="006F0DAC"/>
    <w:rsid w:val="006F0FE0"/>
    <w:rsid w:val="006F2A32"/>
    <w:rsid w:val="006F3054"/>
    <w:rsid w:val="006F4707"/>
    <w:rsid w:val="006F55C6"/>
    <w:rsid w:val="006F70AD"/>
    <w:rsid w:val="006F7402"/>
    <w:rsid w:val="006F7835"/>
    <w:rsid w:val="006F7F52"/>
    <w:rsid w:val="00700A9B"/>
    <w:rsid w:val="00701A1D"/>
    <w:rsid w:val="00702C6F"/>
    <w:rsid w:val="00702CCB"/>
    <w:rsid w:val="00702E13"/>
    <w:rsid w:val="00702F37"/>
    <w:rsid w:val="00703322"/>
    <w:rsid w:val="00703581"/>
    <w:rsid w:val="00703605"/>
    <w:rsid w:val="00704CA3"/>
    <w:rsid w:val="00705127"/>
    <w:rsid w:val="00705BD9"/>
    <w:rsid w:val="00706A92"/>
    <w:rsid w:val="007071CA"/>
    <w:rsid w:val="00710C09"/>
    <w:rsid w:val="0071131F"/>
    <w:rsid w:val="00711E73"/>
    <w:rsid w:val="00711EFE"/>
    <w:rsid w:val="00713318"/>
    <w:rsid w:val="00714A99"/>
    <w:rsid w:val="00716833"/>
    <w:rsid w:val="00716C12"/>
    <w:rsid w:val="0071713A"/>
    <w:rsid w:val="007171A0"/>
    <w:rsid w:val="007205D7"/>
    <w:rsid w:val="00720CCC"/>
    <w:rsid w:val="007210D7"/>
    <w:rsid w:val="00722D8A"/>
    <w:rsid w:val="00723F80"/>
    <w:rsid w:val="00724131"/>
    <w:rsid w:val="007241DF"/>
    <w:rsid w:val="007249EF"/>
    <w:rsid w:val="00727917"/>
    <w:rsid w:val="00730A79"/>
    <w:rsid w:val="00730C93"/>
    <w:rsid w:val="00731485"/>
    <w:rsid w:val="00732096"/>
    <w:rsid w:val="007326A3"/>
    <w:rsid w:val="007337C8"/>
    <w:rsid w:val="007339D3"/>
    <w:rsid w:val="0073663C"/>
    <w:rsid w:val="00737345"/>
    <w:rsid w:val="007373F1"/>
    <w:rsid w:val="0073778D"/>
    <w:rsid w:val="0074123E"/>
    <w:rsid w:val="00741954"/>
    <w:rsid w:val="00741E5F"/>
    <w:rsid w:val="00742492"/>
    <w:rsid w:val="00742B69"/>
    <w:rsid w:val="007438D3"/>
    <w:rsid w:val="00743E54"/>
    <w:rsid w:val="0074422D"/>
    <w:rsid w:val="00744DB8"/>
    <w:rsid w:val="007454E2"/>
    <w:rsid w:val="00750FC1"/>
    <w:rsid w:val="00751283"/>
    <w:rsid w:val="00751828"/>
    <w:rsid w:val="00751848"/>
    <w:rsid w:val="0075205D"/>
    <w:rsid w:val="00752148"/>
    <w:rsid w:val="00752AE0"/>
    <w:rsid w:val="00752FD7"/>
    <w:rsid w:val="00754DCA"/>
    <w:rsid w:val="007555FF"/>
    <w:rsid w:val="00756515"/>
    <w:rsid w:val="00757BC9"/>
    <w:rsid w:val="00760409"/>
    <w:rsid w:val="00760F10"/>
    <w:rsid w:val="0076277C"/>
    <w:rsid w:val="00766CDA"/>
    <w:rsid w:val="00766DDC"/>
    <w:rsid w:val="007672E2"/>
    <w:rsid w:val="00767E9B"/>
    <w:rsid w:val="0077104F"/>
    <w:rsid w:val="00773247"/>
    <w:rsid w:val="00774D88"/>
    <w:rsid w:val="007770E9"/>
    <w:rsid w:val="007774C3"/>
    <w:rsid w:val="00777776"/>
    <w:rsid w:val="0078068A"/>
    <w:rsid w:val="00783023"/>
    <w:rsid w:val="0078491C"/>
    <w:rsid w:val="007849FD"/>
    <w:rsid w:val="007853C6"/>
    <w:rsid w:val="007873BD"/>
    <w:rsid w:val="007905B5"/>
    <w:rsid w:val="0079076B"/>
    <w:rsid w:val="00791349"/>
    <w:rsid w:val="00791997"/>
    <w:rsid w:val="00791BAD"/>
    <w:rsid w:val="00792FBD"/>
    <w:rsid w:val="007940D0"/>
    <w:rsid w:val="00794FA2"/>
    <w:rsid w:val="00795D35"/>
    <w:rsid w:val="00795F31"/>
    <w:rsid w:val="00795F95"/>
    <w:rsid w:val="0079675F"/>
    <w:rsid w:val="007A0BC6"/>
    <w:rsid w:val="007A1F05"/>
    <w:rsid w:val="007A2C73"/>
    <w:rsid w:val="007A2D0A"/>
    <w:rsid w:val="007A3463"/>
    <w:rsid w:val="007A383F"/>
    <w:rsid w:val="007A467C"/>
    <w:rsid w:val="007A4D6D"/>
    <w:rsid w:val="007A515F"/>
    <w:rsid w:val="007A697E"/>
    <w:rsid w:val="007A6D04"/>
    <w:rsid w:val="007B052C"/>
    <w:rsid w:val="007B250C"/>
    <w:rsid w:val="007B29CF"/>
    <w:rsid w:val="007B407B"/>
    <w:rsid w:val="007B4D25"/>
    <w:rsid w:val="007B4F21"/>
    <w:rsid w:val="007B6766"/>
    <w:rsid w:val="007B766E"/>
    <w:rsid w:val="007B792F"/>
    <w:rsid w:val="007C00E2"/>
    <w:rsid w:val="007C0591"/>
    <w:rsid w:val="007C0825"/>
    <w:rsid w:val="007C093D"/>
    <w:rsid w:val="007C0CC9"/>
    <w:rsid w:val="007C1611"/>
    <w:rsid w:val="007C1857"/>
    <w:rsid w:val="007C35DD"/>
    <w:rsid w:val="007C3A51"/>
    <w:rsid w:val="007C49D1"/>
    <w:rsid w:val="007C4DC1"/>
    <w:rsid w:val="007C5213"/>
    <w:rsid w:val="007C56F2"/>
    <w:rsid w:val="007C5834"/>
    <w:rsid w:val="007C6117"/>
    <w:rsid w:val="007C6869"/>
    <w:rsid w:val="007C6C97"/>
    <w:rsid w:val="007C7426"/>
    <w:rsid w:val="007D07CA"/>
    <w:rsid w:val="007D14CB"/>
    <w:rsid w:val="007D2FC8"/>
    <w:rsid w:val="007D38F2"/>
    <w:rsid w:val="007D7AF6"/>
    <w:rsid w:val="007E143B"/>
    <w:rsid w:val="007E1470"/>
    <w:rsid w:val="007E14BA"/>
    <w:rsid w:val="007E23AA"/>
    <w:rsid w:val="007E2E0B"/>
    <w:rsid w:val="007E3971"/>
    <w:rsid w:val="007E49D1"/>
    <w:rsid w:val="007E7F46"/>
    <w:rsid w:val="007F1D3E"/>
    <w:rsid w:val="007F30F0"/>
    <w:rsid w:val="007F3FF9"/>
    <w:rsid w:val="007F60A4"/>
    <w:rsid w:val="007F6C12"/>
    <w:rsid w:val="007F7371"/>
    <w:rsid w:val="00801D70"/>
    <w:rsid w:val="008020F6"/>
    <w:rsid w:val="00803AAD"/>
    <w:rsid w:val="0080601D"/>
    <w:rsid w:val="00807B91"/>
    <w:rsid w:val="00810008"/>
    <w:rsid w:val="0081039E"/>
    <w:rsid w:val="00810D84"/>
    <w:rsid w:val="00811051"/>
    <w:rsid w:val="008124DD"/>
    <w:rsid w:val="0081423D"/>
    <w:rsid w:val="00814E5E"/>
    <w:rsid w:val="00817B16"/>
    <w:rsid w:val="00823848"/>
    <w:rsid w:val="0082445A"/>
    <w:rsid w:val="0082447E"/>
    <w:rsid w:val="00825B16"/>
    <w:rsid w:val="0082626D"/>
    <w:rsid w:val="00826ACC"/>
    <w:rsid w:val="00826B20"/>
    <w:rsid w:val="0082776C"/>
    <w:rsid w:val="008306DE"/>
    <w:rsid w:val="00830ABD"/>
    <w:rsid w:val="008315B1"/>
    <w:rsid w:val="008359FD"/>
    <w:rsid w:val="0083774A"/>
    <w:rsid w:val="00840337"/>
    <w:rsid w:val="00840C43"/>
    <w:rsid w:val="00843C63"/>
    <w:rsid w:val="008455E8"/>
    <w:rsid w:val="00845652"/>
    <w:rsid w:val="00847167"/>
    <w:rsid w:val="008473E8"/>
    <w:rsid w:val="00851A08"/>
    <w:rsid w:val="0085226B"/>
    <w:rsid w:val="00852890"/>
    <w:rsid w:val="0085312C"/>
    <w:rsid w:val="00853EA1"/>
    <w:rsid w:val="00854AF9"/>
    <w:rsid w:val="0085545A"/>
    <w:rsid w:val="00855649"/>
    <w:rsid w:val="008579C2"/>
    <w:rsid w:val="0086221D"/>
    <w:rsid w:val="00862A8E"/>
    <w:rsid w:val="00862E48"/>
    <w:rsid w:val="0086469B"/>
    <w:rsid w:val="00866324"/>
    <w:rsid w:val="0086730C"/>
    <w:rsid w:val="00867D8C"/>
    <w:rsid w:val="00871D6A"/>
    <w:rsid w:val="008720E8"/>
    <w:rsid w:val="00872881"/>
    <w:rsid w:val="008736AF"/>
    <w:rsid w:val="008753A6"/>
    <w:rsid w:val="00875DA8"/>
    <w:rsid w:val="00876047"/>
    <w:rsid w:val="00876162"/>
    <w:rsid w:val="00882592"/>
    <w:rsid w:val="0088295D"/>
    <w:rsid w:val="00882B86"/>
    <w:rsid w:val="00884380"/>
    <w:rsid w:val="00884EF9"/>
    <w:rsid w:val="00885FCF"/>
    <w:rsid w:val="0088709A"/>
    <w:rsid w:val="008871F3"/>
    <w:rsid w:val="00887630"/>
    <w:rsid w:val="00887737"/>
    <w:rsid w:val="00891828"/>
    <w:rsid w:val="00893F4B"/>
    <w:rsid w:val="00894003"/>
    <w:rsid w:val="00894977"/>
    <w:rsid w:val="0089608D"/>
    <w:rsid w:val="00896752"/>
    <w:rsid w:val="00896E72"/>
    <w:rsid w:val="00897F55"/>
    <w:rsid w:val="008A04D0"/>
    <w:rsid w:val="008A2784"/>
    <w:rsid w:val="008A4042"/>
    <w:rsid w:val="008A40DE"/>
    <w:rsid w:val="008A43A1"/>
    <w:rsid w:val="008A636A"/>
    <w:rsid w:val="008A6629"/>
    <w:rsid w:val="008A73AA"/>
    <w:rsid w:val="008A79AE"/>
    <w:rsid w:val="008A7AA2"/>
    <w:rsid w:val="008A7C07"/>
    <w:rsid w:val="008B0663"/>
    <w:rsid w:val="008B0E4F"/>
    <w:rsid w:val="008B215F"/>
    <w:rsid w:val="008B31CE"/>
    <w:rsid w:val="008B39C5"/>
    <w:rsid w:val="008B4DE4"/>
    <w:rsid w:val="008B72B3"/>
    <w:rsid w:val="008C1043"/>
    <w:rsid w:val="008C2403"/>
    <w:rsid w:val="008C2F28"/>
    <w:rsid w:val="008C6FCB"/>
    <w:rsid w:val="008C76E4"/>
    <w:rsid w:val="008D0DCE"/>
    <w:rsid w:val="008D0F05"/>
    <w:rsid w:val="008D4026"/>
    <w:rsid w:val="008D451E"/>
    <w:rsid w:val="008D68CC"/>
    <w:rsid w:val="008D7A28"/>
    <w:rsid w:val="008D7F39"/>
    <w:rsid w:val="008E1295"/>
    <w:rsid w:val="008E5283"/>
    <w:rsid w:val="008E5C9D"/>
    <w:rsid w:val="008E6ACC"/>
    <w:rsid w:val="008F009B"/>
    <w:rsid w:val="008F062D"/>
    <w:rsid w:val="008F13BB"/>
    <w:rsid w:val="008F3359"/>
    <w:rsid w:val="008F5895"/>
    <w:rsid w:val="008F6A9D"/>
    <w:rsid w:val="008F7AC6"/>
    <w:rsid w:val="0090068D"/>
    <w:rsid w:val="0090075B"/>
    <w:rsid w:val="00902CBB"/>
    <w:rsid w:val="009032C7"/>
    <w:rsid w:val="009067B0"/>
    <w:rsid w:val="00911400"/>
    <w:rsid w:val="00912BD3"/>
    <w:rsid w:val="00914273"/>
    <w:rsid w:val="009144F2"/>
    <w:rsid w:val="00915856"/>
    <w:rsid w:val="00916145"/>
    <w:rsid w:val="00917657"/>
    <w:rsid w:val="0092017C"/>
    <w:rsid w:val="00920245"/>
    <w:rsid w:val="00921A7B"/>
    <w:rsid w:val="00922F24"/>
    <w:rsid w:val="00924289"/>
    <w:rsid w:val="0092496B"/>
    <w:rsid w:val="009251A4"/>
    <w:rsid w:val="009253E6"/>
    <w:rsid w:val="0092635A"/>
    <w:rsid w:val="00926A82"/>
    <w:rsid w:val="00927137"/>
    <w:rsid w:val="0093045C"/>
    <w:rsid w:val="00930A42"/>
    <w:rsid w:val="00931801"/>
    <w:rsid w:val="009325E9"/>
    <w:rsid w:val="00932BCD"/>
    <w:rsid w:val="009339D6"/>
    <w:rsid w:val="00934C34"/>
    <w:rsid w:val="00936C0F"/>
    <w:rsid w:val="009372BB"/>
    <w:rsid w:val="00937B3C"/>
    <w:rsid w:val="00940980"/>
    <w:rsid w:val="00941C8C"/>
    <w:rsid w:val="00942B70"/>
    <w:rsid w:val="0094586B"/>
    <w:rsid w:val="0094675C"/>
    <w:rsid w:val="009502AE"/>
    <w:rsid w:val="00951F15"/>
    <w:rsid w:val="00952CF1"/>
    <w:rsid w:val="0095395B"/>
    <w:rsid w:val="00955464"/>
    <w:rsid w:val="00956FEF"/>
    <w:rsid w:val="00960223"/>
    <w:rsid w:val="009611F2"/>
    <w:rsid w:val="00961BAA"/>
    <w:rsid w:val="009627AE"/>
    <w:rsid w:val="00962D25"/>
    <w:rsid w:val="00964C27"/>
    <w:rsid w:val="009650E1"/>
    <w:rsid w:val="009674E1"/>
    <w:rsid w:val="0096779E"/>
    <w:rsid w:val="009714F1"/>
    <w:rsid w:val="009739D7"/>
    <w:rsid w:val="009746BB"/>
    <w:rsid w:val="009750BC"/>
    <w:rsid w:val="00975144"/>
    <w:rsid w:val="00977D58"/>
    <w:rsid w:val="0098136D"/>
    <w:rsid w:val="00981ECC"/>
    <w:rsid w:val="00983E61"/>
    <w:rsid w:val="009840AA"/>
    <w:rsid w:val="00984655"/>
    <w:rsid w:val="00985C7D"/>
    <w:rsid w:val="00986CCB"/>
    <w:rsid w:val="00991933"/>
    <w:rsid w:val="00992032"/>
    <w:rsid w:val="009926DC"/>
    <w:rsid w:val="009937C6"/>
    <w:rsid w:val="009952C9"/>
    <w:rsid w:val="0099548E"/>
    <w:rsid w:val="00995572"/>
    <w:rsid w:val="009956C4"/>
    <w:rsid w:val="00995FEF"/>
    <w:rsid w:val="00996673"/>
    <w:rsid w:val="00997AAA"/>
    <w:rsid w:val="009A329D"/>
    <w:rsid w:val="009A3C86"/>
    <w:rsid w:val="009A3F32"/>
    <w:rsid w:val="009B0163"/>
    <w:rsid w:val="009B0923"/>
    <w:rsid w:val="009B1208"/>
    <w:rsid w:val="009B342F"/>
    <w:rsid w:val="009B3BC6"/>
    <w:rsid w:val="009B40F2"/>
    <w:rsid w:val="009B55F1"/>
    <w:rsid w:val="009B584D"/>
    <w:rsid w:val="009B6AD1"/>
    <w:rsid w:val="009B717E"/>
    <w:rsid w:val="009C02C0"/>
    <w:rsid w:val="009C1623"/>
    <w:rsid w:val="009C34A6"/>
    <w:rsid w:val="009C4592"/>
    <w:rsid w:val="009C481F"/>
    <w:rsid w:val="009C4CA3"/>
    <w:rsid w:val="009C511B"/>
    <w:rsid w:val="009C621E"/>
    <w:rsid w:val="009C6F31"/>
    <w:rsid w:val="009D04A0"/>
    <w:rsid w:val="009D052C"/>
    <w:rsid w:val="009D0D2B"/>
    <w:rsid w:val="009D0F17"/>
    <w:rsid w:val="009D14E4"/>
    <w:rsid w:val="009D22B0"/>
    <w:rsid w:val="009D28FF"/>
    <w:rsid w:val="009D3717"/>
    <w:rsid w:val="009D3D3F"/>
    <w:rsid w:val="009D597E"/>
    <w:rsid w:val="009E05C3"/>
    <w:rsid w:val="009E21A4"/>
    <w:rsid w:val="009E2C79"/>
    <w:rsid w:val="009E5038"/>
    <w:rsid w:val="009E5B7E"/>
    <w:rsid w:val="009E68AC"/>
    <w:rsid w:val="009E6ACF"/>
    <w:rsid w:val="009F119B"/>
    <w:rsid w:val="009F2762"/>
    <w:rsid w:val="009F2869"/>
    <w:rsid w:val="009F36F7"/>
    <w:rsid w:val="009F4C72"/>
    <w:rsid w:val="009F4C8E"/>
    <w:rsid w:val="009F602D"/>
    <w:rsid w:val="009F670E"/>
    <w:rsid w:val="009F70F7"/>
    <w:rsid w:val="009F7CF9"/>
    <w:rsid w:val="00A0038F"/>
    <w:rsid w:val="00A00815"/>
    <w:rsid w:val="00A00F27"/>
    <w:rsid w:val="00A016FC"/>
    <w:rsid w:val="00A027B9"/>
    <w:rsid w:val="00A02E6B"/>
    <w:rsid w:val="00A05A3B"/>
    <w:rsid w:val="00A05B5E"/>
    <w:rsid w:val="00A06A2F"/>
    <w:rsid w:val="00A07B28"/>
    <w:rsid w:val="00A07B60"/>
    <w:rsid w:val="00A07BFE"/>
    <w:rsid w:val="00A10644"/>
    <w:rsid w:val="00A10944"/>
    <w:rsid w:val="00A11CF0"/>
    <w:rsid w:val="00A12E4E"/>
    <w:rsid w:val="00A13128"/>
    <w:rsid w:val="00A13832"/>
    <w:rsid w:val="00A13856"/>
    <w:rsid w:val="00A20911"/>
    <w:rsid w:val="00A20D58"/>
    <w:rsid w:val="00A20FDA"/>
    <w:rsid w:val="00A2226F"/>
    <w:rsid w:val="00A232F0"/>
    <w:rsid w:val="00A25B3D"/>
    <w:rsid w:val="00A2792E"/>
    <w:rsid w:val="00A27AD5"/>
    <w:rsid w:val="00A27EE0"/>
    <w:rsid w:val="00A31AD7"/>
    <w:rsid w:val="00A3208B"/>
    <w:rsid w:val="00A3221E"/>
    <w:rsid w:val="00A33D41"/>
    <w:rsid w:val="00A3602A"/>
    <w:rsid w:val="00A37814"/>
    <w:rsid w:val="00A40A74"/>
    <w:rsid w:val="00A41A29"/>
    <w:rsid w:val="00A41CD2"/>
    <w:rsid w:val="00A41E26"/>
    <w:rsid w:val="00A421D2"/>
    <w:rsid w:val="00A43348"/>
    <w:rsid w:val="00A45319"/>
    <w:rsid w:val="00A45F20"/>
    <w:rsid w:val="00A46818"/>
    <w:rsid w:val="00A475F2"/>
    <w:rsid w:val="00A478C8"/>
    <w:rsid w:val="00A50965"/>
    <w:rsid w:val="00A5170F"/>
    <w:rsid w:val="00A54E92"/>
    <w:rsid w:val="00A5613A"/>
    <w:rsid w:val="00A56371"/>
    <w:rsid w:val="00A566D9"/>
    <w:rsid w:val="00A57DCE"/>
    <w:rsid w:val="00A605BF"/>
    <w:rsid w:val="00A608AC"/>
    <w:rsid w:val="00A60CF4"/>
    <w:rsid w:val="00A62961"/>
    <w:rsid w:val="00A63ADC"/>
    <w:rsid w:val="00A661F4"/>
    <w:rsid w:val="00A673E4"/>
    <w:rsid w:val="00A67725"/>
    <w:rsid w:val="00A716B9"/>
    <w:rsid w:val="00A7240C"/>
    <w:rsid w:val="00A7574D"/>
    <w:rsid w:val="00A764C8"/>
    <w:rsid w:val="00A76682"/>
    <w:rsid w:val="00A76AB0"/>
    <w:rsid w:val="00A77BED"/>
    <w:rsid w:val="00A80329"/>
    <w:rsid w:val="00A8042D"/>
    <w:rsid w:val="00A812D3"/>
    <w:rsid w:val="00A81BE0"/>
    <w:rsid w:val="00A828A9"/>
    <w:rsid w:val="00A85516"/>
    <w:rsid w:val="00A86957"/>
    <w:rsid w:val="00A86A02"/>
    <w:rsid w:val="00A90DD4"/>
    <w:rsid w:val="00A911B6"/>
    <w:rsid w:val="00A91838"/>
    <w:rsid w:val="00A91FDB"/>
    <w:rsid w:val="00A93E0D"/>
    <w:rsid w:val="00A94209"/>
    <w:rsid w:val="00A95AA7"/>
    <w:rsid w:val="00AA07D4"/>
    <w:rsid w:val="00AA1B8D"/>
    <w:rsid w:val="00AA1DE3"/>
    <w:rsid w:val="00AA1E92"/>
    <w:rsid w:val="00AA4E04"/>
    <w:rsid w:val="00AA56A2"/>
    <w:rsid w:val="00AA651C"/>
    <w:rsid w:val="00AA69E0"/>
    <w:rsid w:val="00AB5D8F"/>
    <w:rsid w:val="00AB61FD"/>
    <w:rsid w:val="00AB6ACC"/>
    <w:rsid w:val="00AB75F6"/>
    <w:rsid w:val="00AC045F"/>
    <w:rsid w:val="00AC0E33"/>
    <w:rsid w:val="00AC2214"/>
    <w:rsid w:val="00AC3233"/>
    <w:rsid w:val="00AC6CC1"/>
    <w:rsid w:val="00AC6E72"/>
    <w:rsid w:val="00AC7AA0"/>
    <w:rsid w:val="00AD05F5"/>
    <w:rsid w:val="00AD1422"/>
    <w:rsid w:val="00AD142E"/>
    <w:rsid w:val="00AD33CC"/>
    <w:rsid w:val="00AD5A8E"/>
    <w:rsid w:val="00AD60B0"/>
    <w:rsid w:val="00AD6660"/>
    <w:rsid w:val="00AE3826"/>
    <w:rsid w:val="00AE4E8F"/>
    <w:rsid w:val="00AE56F0"/>
    <w:rsid w:val="00AE7288"/>
    <w:rsid w:val="00AF0674"/>
    <w:rsid w:val="00AF22C3"/>
    <w:rsid w:val="00AF2454"/>
    <w:rsid w:val="00AF35AD"/>
    <w:rsid w:val="00AF4D79"/>
    <w:rsid w:val="00AF671E"/>
    <w:rsid w:val="00B002CF"/>
    <w:rsid w:val="00B009ED"/>
    <w:rsid w:val="00B0176B"/>
    <w:rsid w:val="00B017E9"/>
    <w:rsid w:val="00B01B79"/>
    <w:rsid w:val="00B02452"/>
    <w:rsid w:val="00B031EF"/>
    <w:rsid w:val="00B04002"/>
    <w:rsid w:val="00B045DC"/>
    <w:rsid w:val="00B04E11"/>
    <w:rsid w:val="00B078CE"/>
    <w:rsid w:val="00B10C0E"/>
    <w:rsid w:val="00B121FF"/>
    <w:rsid w:val="00B1683C"/>
    <w:rsid w:val="00B17C62"/>
    <w:rsid w:val="00B203E8"/>
    <w:rsid w:val="00B2144A"/>
    <w:rsid w:val="00B2165B"/>
    <w:rsid w:val="00B21BBD"/>
    <w:rsid w:val="00B227A0"/>
    <w:rsid w:val="00B2347C"/>
    <w:rsid w:val="00B24C10"/>
    <w:rsid w:val="00B30659"/>
    <w:rsid w:val="00B3069D"/>
    <w:rsid w:val="00B30ADA"/>
    <w:rsid w:val="00B314F8"/>
    <w:rsid w:val="00B34DE7"/>
    <w:rsid w:val="00B355D2"/>
    <w:rsid w:val="00B35B3D"/>
    <w:rsid w:val="00B35D10"/>
    <w:rsid w:val="00B36BDB"/>
    <w:rsid w:val="00B40A9F"/>
    <w:rsid w:val="00B40C4D"/>
    <w:rsid w:val="00B41347"/>
    <w:rsid w:val="00B43074"/>
    <w:rsid w:val="00B458AA"/>
    <w:rsid w:val="00B4629C"/>
    <w:rsid w:val="00B463A3"/>
    <w:rsid w:val="00B464B6"/>
    <w:rsid w:val="00B4686C"/>
    <w:rsid w:val="00B4755B"/>
    <w:rsid w:val="00B477CB"/>
    <w:rsid w:val="00B50DB2"/>
    <w:rsid w:val="00B5171B"/>
    <w:rsid w:val="00B5182D"/>
    <w:rsid w:val="00B51B6B"/>
    <w:rsid w:val="00B53BAC"/>
    <w:rsid w:val="00B55250"/>
    <w:rsid w:val="00B5585E"/>
    <w:rsid w:val="00B55CA6"/>
    <w:rsid w:val="00B57140"/>
    <w:rsid w:val="00B572B7"/>
    <w:rsid w:val="00B61AC8"/>
    <w:rsid w:val="00B61E25"/>
    <w:rsid w:val="00B61F93"/>
    <w:rsid w:val="00B63960"/>
    <w:rsid w:val="00B63B34"/>
    <w:rsid w:val="00B6474E"/>
    <w:rsid w:val="00B648FF"/>
    <w:rsid w:val="00B654F2"/>
    <w:rsid w:val="00B6699B"/>
    <w:rsid w:val="00B66B25"/>
    <w:rsid w:val="00B67450"/>
    <w:rsid w:val="00B709EE"/>
    <w:rsid w:val="00B7306D"/>
    <w:rsid w:val="00B73886"/>
    <w:rsid w:val="00B738BD"/>
    <w:rsid w:val="00B745DC"/>
    <w:rsid w:val="00B747FA"/>
    <w:rsid w:val="00B7488E"/>
    <w:rsid w:val="00B74B62"/>
    <w:rsid w:val="00B7734A"/>
    <w:rsid w:val="00B81410"/>
    <w:rsid w:val="00B818CA"/>
    <w:rsid w:val="00B8314A"/>
    <w:rsid w:val="00B84545"/>
    <w:rsid w:val="00B85EAB"/>
    <w:rsid w:val="00B86B74"/>
    <w:rsid w:val="00B87149"/>
    <w:rsid w:val="00B873F6"/>
    <w:rsid w:val="00B91434"/>
    <w:rsid w:val="00B91639"/>
    <w:rsid w:val="00B91972"/>
    <w:rsid w:val="00B929E9"/>
    <w:rsid w:val="00B93BD7"/>
    <w:rsid w:val="00B93F1D"/>
    <w:rsid w:val="00B956BC"/>
    <w:rsid w:val="00B95C99"/>
    <w:rsid w:val="00B9669A"/>
    <w:rsid w:val="00BA0712"/>
    <w:rsid w:val="00BA0733"/>
    <w:rsid w:val="00BA19A4"/>
    <w:rsid w:val="00BA3382"/>
    <w:rsid w:val="00BA3D33"/>
    <w:rsid w:val="00BA3F37"/>
    <w:rsid w:val="00BA436D"/>
    <w:rsid w:val="00BA4699"/>
    <w:rsid w:val="00BB0530"/>
    <w:rsid w:val="00BB0756"/>
    <w:rsid w:val="00BB2E64"/>
    <w:rsid w:val="00BB3F21"/>
    <w:rsid w:val="00BB4C39"/>
    <w:rsid w:val="00BB5CA4"/>
    <w:rsid w:val="00BC0850"/>
    <w:rsid w:val="00BC1DA2"/>
    <w:rsid w:val="00BC1FBD"/>
    <w:rsid w:val="00BC230D"/>
    <w:rsid w:val="00BC28D9"/>
    <w:rsid w:val="00BC324A"/>
    <w:rsid w:val="00BC32B3"/>
    <w:rsid w:val="00BC34E3"/>
    <w:rsid w:val="00BC3AE1"/>
    <w:rsid w:val="00BC3E9B"/>
    <w:rsid w:val="00BC494B"/>
    <w:rsid w:val="00BC4E1C"/>
    <w:rsid w:val="00BC6344"/>
    <w:rsid w:val="00BC6B3A"/>
    <w:rsid w:val="00BC6F57"/>
    <w:rsid w:val="00BD02C6"/>
    <w:rsid w:val="00BD047A"/>
    <w:rsid w:val="00BD047E"/>
    <w:rsid w:val="00BD0672"/>
    <w:rsid w:val="00BD06D3"/>
    <w:rsid w:val="00BD082A"/>
    <w:rsid w:val="00BD08FA"/>
    <w:rsid w:val="00BD22F1"/>
    <w:rsid w:val="00BD253B"/>
    <w:rsid w:val="00BD361E"/>
    <w:rsid w:val="00BD41BA"/>
    <w:rsid w:val="00BD4B29"/>
    <w:rsid w:val="00BD4EAB"/>
    <w:rsid w:val="00BD6581"/>
    <w:rsid w:val="00BD6A69"/>
    <w:rsid w:val="00BD6E1C"/>
    <w:rsid w:val="00BD71AC"/>
    <w:rsid w:val="00BD7219"/>
    <w:rsid w:val="00BE0828"/>
    <w:rsid w:val="00BE09D9"/>
    <w:rsid w:val="00BE1A43"/>
    <w:rsid w:val="00BE274F"/>
    <w:rsid w:val="00BE40B2"/>
    <w:rsid w:val="00BE44A1"/>
    <w:rsid w:val="00BE52C3"/>
    <w:rsid w:val="00BE7D4F"/>
    <w:rsid w:val="00BF3B8D"/>
    <w:rsid w:val="00BF3F94"/>
    <w:rsid w:val="00BF3FD2"/>
    <w:rsid w:val="00BF433B"/>
    <w:rsid w:val="00BF5478"/>
    <w:rsid w:val="00BF570C"/>
    <w:rsid w:val="00BF7084"/>
    <w:rsid w:val="00C00040"/>
    <w:rsid w:val="00C015E4"/>
    <w:rsid w:val="00C0316D"/>
    <w:rsid w:val="00C05B9A"/>
    <w:rsid w:val="00C06434"/>
    <w:rsid w:val="00C069DC"/>
    <w:rsid w:val="00C07CD5"/>
    <w:rsid w:val="00C07FA3"/>
    <w:rsid w:val="00C07FC9"/>
    <w:rsid w:val="00C11D31"/>
    <w:rsid w:val="00C12A89"/>
    <w:rsid w:val="00C14A2D"/>
    <w:rsid w:val="00C150F6"/>
    <w:rsid w:val="00C153E8"/>
    <w:rsid w:val="00C15443"/>
    <w:rsid w:val="00C15F11"/>
    <w:rsid w:val="00C17ACF"/>
    <w:rsid w:val="00C2090D"/>
    <w:rsid w:val="00C21ACF"/>
    <w:rsid w:val="00C22FA9"/>
    <w:rsid w:val="00C22FCC"/>
    <w:rsid w:val="00C234E8"/>
    <w:rsid w:val="00C25DC4"/>
    <w:rsid w:val="00C26165"/>
    <w:rsid w:val="00C262A9"/>
    <w:rsid w:val="00C26C63"/>
    <w:rsid w:val="00C26DEC"/>
    <w:rsid w:val="00C30416"/>
    <w:rsid w:val="00C31785"/>
    <w:rsid w:val="00C3231E"/>
    <w:rsid w:val="00C34AB1"/>
    <w:rsid w:val="00C36B9C"/>
    <w:rsid w:val="00C40EEF"/>
    <w:rsid w:val="00C4117D"/>
    <w:rsid w:val="00C41E49"/>
    <w:rsid w:val="00C42B00"/>
    <w:rsid w:val="00C431C3"/>
    <w:rsid w:val="00C436F1"/>
    <w:rsid w:val="00C43C4B"/>
    <w:rsid w:val="00C43CF9"/>
    <w:rsid w:val="00C43EFC"/>
    <w:rsid w:val="00C444F3"/>
    <w:rsid w:val="00C4455F"/>
    <w:rsid w:val="00C458BA"/>
    <w:rsid w:val="00C45ABB"/>
    <w:rsid w:val="00C5130D"/>
    <w:rsid w:val="00C51F62"/>
    <w:rsid w:val="00C52B65"/>
    <w:rsid w:val="00C53CAB"/>
    <w:rsid w:val="00C55E89"/>
    <w:rsid w:val="00C563B6"/>
    <w:rsid w:val="00C606A7"/>
    <w:rsid w:val="00C60B1F"/>
    <w:rsid w:val="00C61656"/>
    <w:rsid w:val="00C6326B"/>
    <w:rsid w:val="00C63E94"/>
    <w:rsid w:val="00C642DF"/>
    <w:rsid w:val="00C64C94"/>
    <w:rsid w:val="00C65DDB"/>
    <w:rsid w:val="00C66CEA"/>
    <w:rsid w:val="00C66F5B"/>
    <w:rsid w:val="00C672B3"/>
    <w:rsid w:val="00C7031B"/>
    <w:rsid w:val="00C70532"/>
    <w:rsid w:val="00C70E14"/>
    <w:rsid w:val="00C714E2"/>
    <w:rsid w:val="00C71FA2"/>
    <w:rsid w:val="00C72D16"/>
    <w:rsid w:val="00C749C9"/>
    <w:rsid w:val="00C751C4"/>
    <w:rsid w:val="00C76914"/>
    <w:rsid w:val="00C80F3F"/>
    <w:rsid w:val="00C8144B"/>
    <w:rsid w:val="00C82D0E"/>
    <w:rsid w:val="00C83C13"/>
    <w:rsid w:val="00C851EA"/>
    <w:rsid w:val="00C87F64"/>
    <w:rsid w:val="00C902AA"/>
    <w:rsid w:val="00C9126E"/>
    <w:rsid w:val="00C91950"/>
    <w:rsid w:val="00C920AF"/>
    <w:rsid w:val="00C92E6B"/>
    <w:rsid w:val="00C942CC"/>
    <w:rsid w:val="00C942FF"/>
    <w:rsid w:val="00C94453"/>
    <w:rsid w:val="00C94FEA"/>
    <w:rsid w:val="00C95110"/>
    <w:rsid w:val="00C96699"/>
    <w:rsid w:val="00C966BF"/>
    <w:rsid w:val="00C96DA2"/>
    <w:rsid w:val="00CA1676"/>
    <w:rsid w:val="00CA4AE1"/>
    <w:rsid w:val="00CA4D98"/>
    <w:rsid w:val="00CA52CE"/>
    <w:rsid w:val="00CA5AF8"/>
    <w:rsid w:val="00CA5C01"/>
    <w:rsid w:val="00CA5D70"/>
    <w:rsid w:val="00CA6001"/>
    <w:rsid w:val="00CA6B81"/>
    <w:rsid w:val="00CA6DEA"/>
    <w:rsid w:val="00CA70BD"/>
    <w:rsid w:val="00CA7437"/>
    <w:rsid w:val="00CA7754"/>
    <w:rsid w:val="00CA7781"/>
    <w:rsid w:val="00CB0049"/>
    <w:rsid w:val="00CB0A47"/>
    <w:rsid w:val="00CB0F8B"/>
    <w:rsid w:val="00CB1873"/>
    <w:rsid w:val="00CB230F"/>
    <w:rsid w:val="00CB2351"/>
    <w:rsid w:val="00CB29E5"/>
    <w:rsid w:val="00CB29FE"/>
    <w:rsid w:val="00CB3241"/>
    <w:rsid w:val="00CB4C39"/>
    <w:rsid w:val="00CC02CD"/>
    <w:rsid w:val="00CC3DB0"/>
    <w:rsid w:val="00CC4937"/>
    <w:rsid w:val="00CC4D60"/>
    <w:rsid w:val="00CC542B"/>
    <w:rsid w:val="00CC7219"/>
    <w:rsid w:val="00CC7E53"/>
    <w:rsid w:val="00CD15AF"/>
    <w:rsid w:val="00CD1A27"/>
    <w:rsid w:val="00CD2D2C"/>
    <w:rsid w:val="00CD4361"/>
    <w:rsid w:val="00CD5D3E"/>
    <w:rsid w:val="00CE0C9D"/>
    <w:rsid w:val="00CE0FA2"/>
    <w:rsid w:val="00CE231D"/>
    <w:rsid w:val="00CE3056"/>
    <w:rsid w:val="00CE3EC9"/>
    <w:rsid w:val="00CE4C57"/>
    <w:rsid w:val="00CE5C13"/>
    <w:rsid w:val="00CE6458"/>
    <w:rsid w:val="00CE65EC"/>
    <w:rsid w:val="00CE7740"/>
    <w:rsid w:val="00CE7AA5"/>
    <w:rsid w:val="00CF121E"/>
    <w:rsid w:val="00CF21D7"/>
    <w:rsid w:val="00CF3612"/>
    <w:rsid w:val="00CF4666"/>
    <w:rsid w:val="00CF4A66"/>
    <w:rsid w:val="00CF638F"/>
    <w:rsid w:val="00CF7AB2"/>
    <w:rsid w:val="00D02CE6"/>
    <w:rsid w:val="00D03CFD"/>
    <w:rsid w:val="00D071A9"/>
    <w:rsid w:val="00D07A8E"/>
    <w:rsid w:val="00D10093"/>
    <w:rsid w:val="00D103D1"/>
    <w:rsid w:val="00D120A0"/>
    <w:rsid w:val="00D13DCC"/>
    <w:rsid w:val="00D14787"/>
    <w:rsid w:val="00D14FD6"/>
    <w:rsid w:val="00D15277"/>
    <w:rsid w:val="00D155C1"/>
    <w:rsid w:val="00D15C8A"/>
    <w:rsid w:val="00D15D9C"/>
    <w:rsid w:val="00D16F26"/>
    <w:rsid w:val="00D20932"/>
    <w:rsid w:val="00D21137"/>
    <w:rsid w:val="00D21DCC"/>
    <w:rsid w:val="00D22552"/>
    <w:rsid w:val="00D233A3"/>
    <w:rsid w:val="00D23803"/>
    <w:rsid w:val="00D239AA"/>
    <w:rsid w:val="00D23C45"/>
    <w:rsid w:val="00D23DF1"/>
    <w:rsid w:val="00D24012"/>
    <w:rsid w:val="00D24C3B"/>
    <w:rsid w:val="00D25912"/>
    <w:rsid w:val="00D26950"/>
    <w:rsid w:val="00D26D63"/>
    <w:rsid w:val="00D27061"/>
    <w:rsid w:val="00D27366"/>
    <w:rsid w:val="00D27913"/>
    <w:rsid w:val="00D33613"/>
    <w:rsid w:val="00D33709"/>
    <w:rsid w:val="00D340A5"/>
    <w:rsid w:val="00D40A30"/>
    <w:rsid w:val="00D41485"/>
    <w:rsid w:val="00D418A4"/>
    <w:rsid w:val="00D4270C"/>
    <w:rsid w:val="00D43F7A"/>
    <w:rsid w:val="00D44198"/>
    <w:rsid w:val="00D44D4E"/>
    <w:rsid w:val="00D454AD"/>
    <w:rsid w:val="00D459DF"/>
    <w:rsid w:val="00D465E5"/>
    <w:rsid w:val="00D4668B"/>
    <w:rsid w:val="00D50A70"/>
    <w:rsid w:val="00D5591A"/>
    <w:rsid w:val="00D5684D"/>
    <w:rsid w:val="00D5690F"/>
    <w:rsid w:val="00D5737C"/>
    <w:rsid w:val="00D576D2"/>
    <w:rsid w:val="00D60B01"/>
    <w:rsid w:val="00D61391"/>
    <w:rsid w:val="00D616FA"/>
    <w:rsid w:val="00D62378"/>
    <w:rsid w:val="00D643C4"/>
    <w:rsid w:val="00D6561F"/>
    <w:rsid w:val="00D666D9"/>
    <w:rsid w:val="00D67229"/>
    <w:rsid w:val="00D7014B"/>
    <w:rsid w:val="00D7055F"/>
    <w:rsid w:val="00D71295"/>
    <w:rsid w:val="00D72552"/>
    <w:rsid w:val="00D72E74"/>
    <w:rsid w:val="00D73F06"/>
    <w:rsid w:val="00D74B77"/>
    <w:rsid w:val="00D769B9"/>
    <w:rsid w:val="00D803C0"/>
    <w:rsid w:val="00D80CF1"/>
    <w:rsid w:val="00D819A6"/>
    <w:rsid w:val="00D81EF5"/>
    <w:rsid w:val="00D824E5"/>
    <w:rsid w:val="00D82C4D"/>
    <w:rsid w:val="00D8363F"/>
    <w:rsid w:val="00D83799"/>
    <w:rsid w:val="00D8595D"/>
    <w:rsid w:val="00D85FA0"/>
    <w:rsid w:val="00D918B9"/>
    <w:rsid w:val="00D91B22"/>
    <w:rsid w:val="00D93A5D"/>
    <w:rsid w:val="00D947FD"/>
    <w:rsid w:val="00D94B97"/>
    <w:rsid w:val="00D95248"/>
    <w:rsid w:val="00D96072"/>
    <w:rsid w:val="00D96B9C"/>
    <w:rsid w:val="00D9738C"/>
    <w:rsid w:val="00D97F6F"/>
    <w:rsid w:val="00DA0264"/>
    <w:rsid w:val="00DA0295"/>
    <w:rsid w:val="00DA739A"/>
    <w:rsid w:val="00DB048D"/>
    <w:rsid w:val="00DB0A89"/>
    <w:rsid w:val="00DB14C8"/>
    <w:rsid w:val="00DB1E06"/>
    <w:rsid w:val="00DB2630"/>
    <w:rsid w:val="00DB265B"/>
    <w:rsid w:val="00DB3893"/>
    <w:rsid w:val="00DB40BD"/>
    <w:rsid w:val="00DB4A7A"/>
    <w:rsid w:val="00DB5B6B"/>
    <w:rsid w:val="00DB60B4"/>
    <w:rsid w:val="00DB7730"/>
    <w:rsid w:val="00DB7E46"/>
    <w:rsid w:val="00DC055C"/>
    <w:rsid w:val="00DC0ADB"/>
    <w:rsid w:val="00DC1061"/>
    <w:rsid w:val="00DC3273"/>
    <w:rsid w:val="00DC3B9C"/>
    <w:rsid w:val="00DC56C7"/>
    <w:rsid w:val="00DC5D6F"/>
    <w:rsid w:val="00DC7EAC"/>
    <w:rsid w:val="00DD0C19"/>
    <w:rsid w:val="00DD15AE"/>
    <w:rsid w:val="00DD1E98"/>
    <w:rsid w:val="00DD2E33"/>
    <w:rsid w:val="00DD3D2C"/>
    <w:rsid w:val="00DD5467"/>
    <w:rsid w:val="00DD5F3E"/>
    <w:rsid w:val="00DD6A0A"/>
    <w:rsid w:val="00DD7146"/>
    <w:rsid w:val="00DD7652"/>
    <w:rsid w:val="00DE09A5"/>
    <w:rsid w:val="00DE101E"/>
    <w:rsid w:val="00DE1ED7"/>
    <w:rsid w:val="00DE2E49"/>
    <w:rsid w:val="00DE365E"/>
    <w:rsid w:val="00DE47E1"/>
    <w:rsid w:val="00DE6DC3"/>
    <w:rsid w:val="00DE7263"/>
    <w:rsid w:val="00DF0886"/>
    <w:rsid w:val="00DF0FB8"/>
    <w:rsid w:val="00DF1552"/>
    <w:rsid w:val="00DF1F0C"/>
    <w:rsid w:val="00DF247B"/>
    <w:rsid w:val="00DF2663"/>
    <w:rsid w:val="00DF2AD2"/>
    <w:rsid w:val="00DF2DFF"/>
    <w:rsid w:val="00DF34F6"/>
    <w:rsid w:val="00DF3E59"/>
    <w:rsid w:val="00DF41FD"/>
    <w:rsid w:val="00DF4CC0"/>
    <w:rsid w:val="00DF4F27"/>
    <w:rsid w:val="00DF6A73"/>
    <w:rsid w:val="00DF6B8A"/>
    <w:rsid w:val="00DF6D9B"/>
    <w:rsid w:val="00DF7CCC"/>
    <w:rsid w:val="00E00EE5"/>
    <w:rsid w:val="00E02AE4"/>
    <w:rsid w:val="00E03891"/>
    <w:rsid w:val="00E0471F"/>
    <w:rsid w:val="00E05237"/>
    <w:rsid w:val="00E06704"/>
    <w:rsid w:val="00E07A51"/>
    <w:rsid w:val="00E1169C"/>
    <w:rsid w:val="00E12A19"/>
    <w:rsid w:val="00E1499B"/>
    <w:rsid w:val="00E14A91"/>
    <w:rsid w:val="00E15DB7"/>
    <w:rsid w:val="00E2124A"/>
    <w:rsid w:val="00E223B4"/>
    <w:rsid w:val="00E2404E"/>
    <w:rsid w:val="00E25628"/>
    <w:rsid w:val="00E259ED"/>
    <w:rsid w:val="00E2647A"/>
    <w:rsid w:val="00E26E0B"/>
    <w:rsid w:val="00E272DA"/>
    <w:rsid w:val="00E27507"/>
    <w:rsid w:val="00E30EFE"/>
    <w:rsid w:val="00E329D6"/>
    <w:rsid w:val="00E331BF"/>
    <w:rsid w:val="00E33471"/>
    <w:rsid w:val="00E34291"/>
    <w:rsid w:val="00E36F40"/>
    <w:rsid w:val="00E3773B"/>
    <w:rsid w:val="00E37FA5"/>
    <w:rsid w:val="00E40091"/>
    <w:rsid w:val="00E40A1F"/>
    <w:rsid w:val="00E422FA"/>
    <w:rsid w:val="00E42757"/>
    <w:rsid w:val="00E42B1E"/>
    <w:rsid w:val="00E43792"/>
    <w:rsid w:val="00E460CD"/>
    <w:rsid w:val="00E4667E"/>
    <w:rsid w:val="00E46F75"/>
    <w:rsid w:val="00E47256"/>
    <w:rsid w:val="00E474F8"/>
    <w:rsid w:val="00E476D1"/>
    <w:rsid w:val="00E47ED7"/>
    <w:rsid w:val="00E518AA"/>
    <w:rsid w:val="00E52636"/>
    <w:rsid w:val="00E53183"/>
    <w:rsid w:val="00E554F2"/>
    <w:rsid w:val="00E565E0"/>
    <w:rsid w:val="00E57419"/>
    <w:rsid w:val="00E61E1A"/>
    <w:rsid w:val="00E620A2"/>
    <w:rsid w:val="00E62936"/>
    <w:rsid w:val="00E632B5"/>
    <w:rsid w:val="00E63453"/>
    <w:rsid w:val="00E638D6"/>
    <w:rsid w:val="00E6400A"/>
    <w:rsid w:val="00E66245"/>
    <w:rsid w:val="00E718D7"/>
    <w:rsid w:val="00E71C6E"/>
    <w:rsid w:val="00E71D4C"/>
    <w:rsid w:val="00E73437"/>
    <w:rsid w:val="00E74F12"/>
    <w:rsid w:val="00E77F6D"/>
    <w:rsid w:val="00E80943"/>
    <w:rsid w:val="00E81CF0"/>
    <w:rsid w:val="00E85430"/>
    <w:rsid w:val="00E857E2"/>
    <w:rsid w:val="00E8792A"/>
    <w:rsid w:val="00E906DC"/>
    <w:rsid w:val="00E92F49"/>
    <w:rsid w:val="00E94348"/>
    <w:rsid w:val="00E952CD"/>
    <w:rsid w:val="00E95F5A"/>
    <w:rsid w:val="00E9683E"/>
    <w:rsid w:val="00E976DF"/>
    <w:rsid w:val="00EA0493"/>
    <w:rsid w:val="00EA1013"/>
    <w:rsid w:val="00EA10B9"/>
    <w:rsid w:val="00EA1115"/>
    <w:rsid w:val="00EA2E0E"/>
    <w:rsid w:val="00EA2F7E"/>
    <w:rsid w:val="00EA3933"/>
    <w:rsid w:val="00EA3B98"/>
    <w:rsid w:val="00EA3C86"/>
    <w:rsid w:val="00EA3F0E"/>
    <w:rsid w:val="00EA63D2"/>
    <w:rsid w:val="00EA7836"/>
    <w:rsid w:val="00EB022E"/>
    <w:rsid w:val="00EB106C"/>
    <w:rsid w:val="00EB2836"/>
    <w:rsid w:val="00EB39F8"/>
    <w:rsid w:val="00EB3A44"/>
    <w:rsid w:val="00EB4255"/>
    <w:rsid w:val="00EB58F5"/>
    <w:rsid w:val="00EB5A10"/>
    <w:rsid w:val="00EB5B8B"/>
    <w:rsid w:val="00EB630D"/>
    <w:rsid w:val="00EC0581"/>
    <w:rsid w:val="00EC0788"/>
    <w:rsid w:val="00EC084D"/>
    <w:rsid w:val="00EC2A7F"/>
    <w:rsid w:val="00EC34EE"/>
    <w:rsid w:val="00EC54AC"/>
    <w:rsid w:val="00EC7C46"/>
    <w:rsid w:val="00ED09EC"/>
    <w:rsid w:val="00ED1AD8"/>
    <w:rsid w:val="00ED24EF"/>
    <w:rsid w:val="00ED259F"/>
    <w:rsid w:val="00ED5380"/>
    <w:rsid w:val="00ED5540"/>
    <w:rsid w:val="00ED635B"/>
    <w:rsid w:val="00ED6B82"/>
    <w:rsid w:val="00EE037E"/>
    <w:rsid w:val="00EE049D"/>
    <w:rsid w:val="00EE068B"/>
    <w:rsid w:val="00EE1022"/>
    <w:rsid w:val="00EE208D"/>
    <w:rsid w:val="00EE329C"/>
    <w:rsid w:val="00EE5637"/>
    <w:rsid w:val="00EE5878"/>
    <w:rsid w:val="00EE6AA9"/>
    <w:rsid w:val="00EE6AD0"/>
    <w:rsid w:val="00EE75A7"/>
    <w:rsid w:val="00EF0308"/>
    <w:rsid w:val="00EF035A"/>
    <w:rsid w:val="00EF0BCF"/>
    <w:rsid w:val="00EF23AA"/>
    <w:rsid w:val="00EF3059"/>
    <w:rsid w:val="00EF365C"/>
    <w:rsid w:val="00EF40E0"/>
    <w:rsid w:val="00EF5461"/>
    <w:rsid w:val="00EF686C"/>
    <w:rsid w:val="00EF6961"/>
    <w:rsid w:val="00EF6C2C"/>
    <w:rsid w:val="00EF7012"/>
    <w:rsid w:val="00F02292"/>
    <w:rsid w:val="00F02F3A"/>
    <w:rsid w:val="00F0592B"/>
    <w:rsid w:val="00F05EDA"/>
    <w:rsid w:val="00F07EC8"/>
    <w:rsid w:val="00F106FA"/>
    <w:rsid w:val="00F11989"/>
    <w:rsid w:val="00F127BC"/>
    <w:rsid w:val="00F132CC"/>
    <w:rsid w:val="00F133ED"/>
    <w:rsid w:val="00F14E43"/>
    <w:rsid w:val="00F179F1"/>
    <w:rsid w:val="00F20B3D"/>
    <w:rsid w:val="00F21633"/>
    <w:rsid w:val="00F23496"/>
    <w:rsid w:val="00F23CB4"/>
    <w:rsid w:val="00F23E61"/>
    <w:rsid w:val="00F2417C"/>
    <w:rsid w:val="00F2572F"/>
    <w:rsid w:val="00F277B3"/>
    <w:rsid w:val="00F277DE"/>
    <w:rsid w:val="00F30068"/>
    <w:rsid w:val="00F30B50"/>
    <w:rsid w:val="00F30E1F"/>
    <w:rsid w:val="00F30E47"/>
    <w:rsid w:val="00F31F1E"/>
    <w:rsid w:val="00F3219F"/>
    <w:rsid w:val="00F3301E"/>
    <w:rsid w:val="00F3791E"/>
    <w:rsid w:val="00F40E76"/>
    <w:rsid w:val="00F42594"/>
    <w:rsid w:val="00F42BC1"/>
    <w:rsid w:val="00F4361F"/>
    <w:rsid w:val="00F451B1"/>
    <w:rsid w:val="00F451DD"/>
    <w:rsid w:val="00F46241"/>
    <w:rsid w:val="00F46AB6"/>
    <w:rsid w:val="00F46CA0"/>
    <w:rsid w:val="00F52AF3"/>
    <w:rsid w:val="00F53A3F"/>
    <w:rsid w:val="00F5482C"/>
    <w:rsid w:val="00F54E2D"/>
    <w:rsid w:val="00F554D1"/>
    <w:rsid w:val="00F55C6E"/>
    <w:rsid w:val="00F56574"/>
    <w:rsid w:val="00F5791F"/>
    <w:rsid w:val="00F57F83"/>
    <w:rsid w:val="00F60970"/>
    <w:rsid w:val="00F6204F"/>
    <w:rsid w:val="00F62610"/>
    <w:rsid w:val="00F64C74"/>
    <w:rsid w:val="00F6561A"/>
    <w:rsid w:val="00F65C2A"/>
    <w:rsid w:val="00F66658"/>
    <w:rsid w:val="00F6757D"/>
    <w:rsid w:val="00F70EA1"/>
    <w:rsid w:val="00F71431"/>
    <w:rsid w:val="00F7154F"/>
    <w:rsid w:val="00F7313A"/>
    <w:rsid w:val="00F73454"/>
    <w:rsid w:val="00F74759"/>
    <w:rsid w:val="00F76833"/>
    <w:rsid w:val="00F76A77"/>
    <w:rsid w:val="00F809F0"/>
    <w:rsid w:val="00F809FB"/>
    <w:rsid w:val="00F81179"/>
    <w:rsid w:val="00F81D4F"/>
    <w:rsid w:val="00F828C3"/>
    <w:rsid w:val="00F82B97"/>
    <w:rsid w:val="00F845E5"/>
    <w:rsid w:val="00F84725"/>
    <w:rsid w:val="00F85642"/>
    <w:rsid w:val="00F86130"/>
    <w:rsid w:val="00F86980"/>
    <w:rsid w:val="00F86D64"/>
    <w:rsid w:val="00F87355"/>
    <w:rsid w:val="00F91B5B"/>
    <w:rsid w:val="00F91DC2"/>
    <w:rsid w:val="00F92824"/>
    <w:rsid w:val="00F92AF8"/>
    <w:rsid w:val="00F95E28"/>
    <w:rsid w:val="00F97E3D"/>
    <w:rsid w:val="00F97EBF"/>
    <w:rsid w:val="00FA0DF9"/>
    <w:rsid w:val="00FA11F4"/>
    <w:rsid w:val="00FA1EAE"/>
    <w:rsid w:val="00FA30AA"/>
    <w:rsid w:val="00FA75BF"/>
    <w:rsid w:val="00FA7783"/>
    <w:rsid w:val="00FB0571"/>
    <w:rsid w:val="00FB0F82"/>
    <w:rsid w:val="00FB2AEF"/>
    <w:rsid w:val="00FB362F"/>
    <w:rsid w:val="00FB3D3A"/>
    <w:rsid w:val="00FB4F3F"/>
    <w:rsid w:val="00FB4F46"/>
    <w:rsid w:val="00FB6E9E"/>
    <w:rsid w:val="00FB7AFB"/>
    <w:rsid w:val="00FB7DA9"/>
    <w:rsid w:val="00FB7DE9"/>
    <w:rsid w:val="00FC2078"/>
    <w:rsid w:val="00FC32B5"/>
    <w:rsid w:val="00FC366C"/>
    <w:rsid w:val="00FC3913"/>
    <w:rsid w:val="00FC3A5C"/>
    <w:rsid w:val="00FC4905"/>
    <w:rsid w:val="00FC5E30"/>
    <w:rsid w:val="00FC6FC2"/>
    <w:rsid w:val="00FC7536"/>
    <w:rsid w:val="00FC7D6E"/>
    <w:rsid w:val="00FD09A3"/>
    <w:rsid w:val="00FD0A37"/>
    <w:rsid w:val="00FD19B5"/>
    <w:rsid w:val="00FD2726"/>
    <w:rsid w:val="00FD2A44"/>
    <w:rsid w:val="00FD33DA"/>
    <w:rsid w:val="00FD620C"/>
    <w:rsid w:val="00FD753E"/>
    <w:rsid w:val="00FE178B"/>
    <w:rsid w:val="00FE1BF3"/>
    <w:rsid w:val="00FE21DB"/>
    <w:rsid w:val="00FE433F"/>
    <w:rsid w:val="00FE4B09"/>
    <w:rsid w:val="00FE4B94"/>
    <w:rsid w:val="00FE5646"/>
    <w:rsid w:val="00FF11AE"/>
    <w:rsid w:val="00FF149C"/>
    <w:rsid w:val="00FF324E"/>
    <w:rsid w:val="00FF4CEF"/>
    <w:rsid w:val="00FF5F98"/>
    <w:rsid w:val="00FF6B79"/>
    <w:rsid w:val="00FF6FED"/>
    <w:rsid w:val="00FF77A7"/>
    <w:rsid w:val="00FF7D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metricconverter"/>
  <w:shapeDefaults>
    <o:shapedefaults v:ext="edit" spidmax="1026"/>
    <o:shapelayout v:ext="edit">
      <o:idmap v:ext="edit" data="1"/>
    </o:shapelayout>
  </w:shapeDefaults>
  <w:decimalSymbol w:val=","/>
  <w:listSeparator w:val=";"/>
  <w15:docId w15:val="{00A5A2C5-BB89-4C65-A737-08D09E7B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4C27"/>
    <w:pPr>
      <w:spacing w:after="200" w:line="276" w:lineRule="auto"/>
    </w:pPr>
    <w:rPr>
      <w:rFonts w:ascii="Calibri" w:hAnsi="Calibri" w:cs="Times New Roman"/>
    </w:rPr>
  </w:style>
  <w:style w:type="paragraph" w:styleId="Nagwek1">
    <w:name w:val="heading 1"/>
    <w:basedOn w:val="Normalny"/>
    <w:next w:val="Normalny"/>
    <w:link w:val="Nagwek1Znak"/>
    <w:qFormat/>
    <w:rsid w:val="00964C27"/>
    <w:pPr>
      <w:keepNext/>
      <w:keepLines/>
      <w:spacing w:before="240" w:after="0"/>
      <w:outlineLvl w:val="0"/>
    </w:pPr>
    <w:rPr>
      <w:rFonts w:ascii="Calibri Light" w:eastAsia="Times New Roman" w:hAnsi="Calibri Light"/>
      <w:color w:val="2E74B5"/>
      <w:sz w:val="32"/>
      <w:szCs w:val="32"/>
    </w:rPr>
  </w:style>
  <w:style w:type="paragraph" w:styleId="Nagwek2">
    <w:name w:val="heading 2"/>
    <w:basedOn w:val="Normalny"/>
    <w:next w:val="Normalny"/>
    <w:link w:val="Nagwek2Znak"/>
    <w:uiPriority w:val="9"/>
    <w:qFormat/>
    <w:rsid w:val="00964C27"/>
    <w:pPr>
      <w:keepNext/>
      <w:keepLines/>
      <w:spacing w:before="40" w:after="0"/>
      <w:outlineLvl w:val="1"/>
    </w:pPr>
    <w:rPr>
      <w:rFonts w:ascii="Calibri Light" w:eastAsia="Times New Roman" w:hAnsi="Calibri Light"/>
      <w:color w:val="2E74B5"/>
      <w:sz w:val="26"/>
      <w:szCs w:val="26"/>
    </w:rPr>
  </w:style>
  <w:style w:type="paragraph" w:styleId="Nagwek3">
    <w:name w:val="heading 3"/>
    <w:basedOn w:val="Normalny"/>
    <w:next w:val="Normalny"/>
    <w:link w:val="Nagwek3Znak"/>
    <w:uiPriority w:val="99"/>
    <w:unhideWhenUsed/>
    <w:qFormat/>
    <w:rsid w:val="00FA30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FA30A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64C27"/>
    <w:rPr>
      <w:rFonts w:ascii="Calibri Light" w:eastAsia="Times New Roman" w:hAnsi="Calibri Light" w:cs="Times New Roman"/>
      <w:color w:val="2E74B5"/>
      <w:sz w:val="32"/>
      <w:szCs w:val="32"/>
    </w:rPr>
  </w:style>
  <w:style w:type="character" w:customStyle="1" w:styleId="Nagwek2Znak">
    <w:name w:val="Nagłówek 2 Znak"/>
    <w:basedOn w:val="Domylnaczcionkaakapitu"/>
    <w:link w:val="Nagwek2"/>
    <w:uiPriority w:val="9"/>
    <w:rsid w:val="00964C27"/>
    <w:rPr>
      <w:rFonts w:ascii="Calibri Light" w:eastAsia="Times New Roman" w:hAnsi="Calibri Light" w:cs="Times New Roman"/>
      <w:color w:val="2E74B5"/>
      <w:sz w:val="26"/>
      <w:szCs w:val="26"/>
    </w:rPr>
  </w:style>
  <w:style w:type="character" w:styleId="Hipercze">
    <w:name w:val="Hyperlink"/>
    <w:basedOn w:val="Domylnaczcionkaakapitu"/>
    <w:uiPriority w:val="99"/>
    <w:rsid w:val="00964C27"/>
    <w:rPr>
      <w:rFonts w:ascii="Times New Roman" w:hAnsi="Times New Roman" w:cs="Times New Roman"/>
      <w:color w:val="0000FF"/>
      <w:u w:val="single"/>
    </w:rPr>
  </w:style>
  <w:style w:type="paragraph" w:styleId="Tekstprzypisudolnego">
    <w:name w:val="footnote text"/>
    <w:aliases w:val="Tekst przypisu Znak Znak,Tekst przypisu Znak Znak Znak,Tekst przypisu,Footnote Text Char Znak,Tekst przypisu dolnego Znak Char Znak,Tekst przypisu dolnego Znak1 Znak1 Char Znak,Tekst przypisu dolnego Znak Znak1 Znak1 Char Znak,Zna"/>
    <w:basedOn w:val="Normalny"/>
    <w:link w:val="TekstprzypisudolnegoZnak"/>
    <w:uiPriority w:val="99"/>
    <w:rsid w:val="00964C27"/>
    <w:pPr>
      <w:spacing w:after="0" w:line="360" w:lineRule="auto"/>
      <w:jc w:val="both"/>
    </w:pPr>
    <w:rPr>
      <w:rFonts w:ascii="Times New Roman" w:hAnsi="Times New Roman"/>
      <w:sz w:val="20"/>
      <w:szCs w:val="20"/>
      <w:lang w:eastAsia="pl-PL"/>
    </w:rPr>
  </w:style>
  <w:style w:type="character" w:customStyle="1" w:styleId="TekstprzypisudolnegoZnak">
    <w:name w:val="Tekst przypisu dolnego Znak"/>
    <w:aliases w:val="Tekst przypisu Znak Znak Znak1,Tekst przypisu Znak Znak Znak Znak,Tekst przypisu Znak,Footnote Text Char Znak Znak,Tekst przypisu dolnego Znak Char Znak Znak,Tekst przypisu dolnego Znak1 Znak1 Char Znak Znak,Zna Znak"/>
    <w:basedOn w:val="Domylnaczcionkaakapitu"/>
    <w:link w:val="Tekstprzypisudolnego"/>
    <w:uiPriority w:val="99"/>
    <w:rsid w:val="00964C27"/>
    <w:rPr>
      <w:rFonts w:ascii="Times New Roman" w:hAnsi="Times New Roman" w:cs="Times New Roman"/>
      <w:sz w:val="20"/>
      <w:szCs w:val="20"/>
      <w:lang w:eastAsia="pl-PL"/>
    </w:rPr>
  </w:style>
  <w:style w:type="paragraph" w:customStyle="1" w:styleId="Akapitzlist1">
    <w:name w:val="Akapit z listą1"/>
    <w:basedOn w:val="Normalny"/>
    <w:rsid w:val="00964C27"/>
    <w:pPr>
      <w:ind w:left="720"/>
      <w:jc w:val="both"/>
    </w:pPr>
    <w:rPr>
      <w:rFonts w:ascii="Times New Roman" w:eastAsia="Times New Roman" w:hAnsi="Times New Roman"/>
      <w:sz w:val="24"/>
      <w:szCs w:val="24"/>
      <w:lang w:eastAsia="pl-PL"/>
    </w:rPr>
  </w:style>
  <w:style w:type="character" w:styleId="Odwoanieprzypisudolnego">
    <w:name w:val="footnote reference"/>
    <w:aliases w:val="Odwołanie przypisu,FZ,(Voetnootmarkering),Footnote Reference_LVL6,Footnote Reference_LVL61,Footnote Reference_LVL62,Footnote Reference_LVL63,Footnote Reference_LVL64,Footnote Reference Number,Footnote symbol,Voetnootverwijzing"/>
    <w:basedOn w:val="Domylnaczcionkaakapitu"/>
    <w:uiPriority w:val="99"/>
    <w:rsid w:val="00964C27"/>
    <w:rPr>
      <w:rFonts w:ascii="Times New Roman" w:hAnsi="Times New Roman" w:cs="Times New Roman"/>
      <w:vertAlign w:val="superscript"/>
    </w:rPr>
  </w:style>
  <w:style w:type="paragraph" w:styleId="Tekstkomentarza">
    <w:name w:val="annotation text"/>
    <w:basedOn w:val="Normalny"/>
    <w:link w:val="TekstkomentarzaZnak"/>
    <w:uiPriority w:val="99"/>
    <w:rsid w:val="00964C27"/>
    <w:pPr>
      <w:spacing w:after="0" w:line="360" w:lineRule="auto"/>
      <w:jc w:val="both"/>
    </w:pPr>
    <w:rPr>
      <w:rFonts w:ascii="Times New Roman" w:eastAsia="Times New Roman" w:hAnsi="Times New Roman"/>
      <w:sz w:val="24"/>
      <w:szCs w:val="24"/>
      <w:lang w:eastAsia="pl-PL"/>
    </w:rPr>
  </w:style>
  <w:style w:type="character" w:customStyle="1" w:styleId="TekstkomentarzaZnak">
    <w:name w:val="Tekst komentarza Znak"/>
    <w:basedOn w:val="Domylnaczcionkaakapitu"/>
    <w:link w:val="Tekstkomentarza"/>
    <w:uiPriority w:val="99"/>
    <w:rsid w:val="00964C27"/>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AC221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C2214"/>
    <w:rPr>
      <w:rFonts w:ascii="Segoe UI" w:hAnsi="Segoe UI" w:cs="Segoe UI"/>
      <w:sz w:val="18"/>
      <w:szCs w:val="18"/>
    </w:rPr>
  </w:style>
  <w:style w:type="paragraph" w:styleId="NormalnyWeb">
    <w:name w:val="Normal (Web)"/>
    <w:basedOn w:val="Normalny"/>
    <w:rsid w:val="00A0038F"/>
    <w:rPr>
      <w:rFonts w:ascii="Times New Roman" w:hAnsi="Times New Roman"/>
      <w:sz w:val="24"/>
      <w:szCs w:val="24"/>
    </w:rPr>
  </w:style>
  <w:style w:type="paragraph" w:styleId="Nagwek">
    <w:name w:val="header"/>
    <w:basedOn w:val="Normalny"/>
    <w:link w:val="NagwekZnak"/>
    <w:uiPriority w:val="99"/>
    <w:unhideWhenUsed/>
    <w:rsid w:val="00A0038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038F"/>
    <w:rPr>
      <w:rFonts w:ascii="Calibri" w:hAnsi="Calibri" w:cs="Times New Roman"/>
    </w:rPr>
  </w:style>
  <w:style w:type="paragraph" w:styleId="Stopka">
    <w:name w:val="footer"/>
    <w:basedOn w:val="Normalny"/>
    <w:link w:val="StopkaZnak"/>
    <w:uiPriority w:val="99"/>
    <w:unhideWhenUsed/>
    <w:rsid w:val="00A003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38F"/>
    <w:rPr>
      <w:rFonts w:ascii="Calibri" w:hAnsi="Calibri" w:cs="Times New Roman"/>
    </w:rPr>
  </w:style>
  <w:style w:type="character" w:customStyle="1" w:styleId="Nagwek3Znak">
    <w:name w:val="Nagłówek 3 Znak"/>
    <w:basedOn w:val="Domylnaczcionkaakapitu"/>
    <w:link w:val="Nagwek3"/>
    <w:uiPriority w:val="99"/>
    <w:rsid w:val="00FA30AA"/>
    <w:rPr>
      <w:rFonts w:asciiTheme="majorHAnsi" w:eastAsiaTheme="majorEastAsia" w:hAnsiTheme="majorHAnsi" w:cstheme="majorBidi"/>
      <w:color w:val="1F4D78" w:themeColor="accent1" w:themeShade="7F"/>
      <w:sz w:val="24"/>
      <w:szCs w:val="24"/>
    </w:rPr>
  </w:style>
  <w:style w:type="character" w:customStyle="1" w:styleId="nowrap">
    <w:name w:val="nowrap"/>
    <w:rsid w:val="00FA30AA"/>
    <w:rPr>
      <w:rFonts w:ascii="Times New Roman" w:hAnsi="Times New Roman"/>
    </w:rPr>
  </w:style>
  <w:style w:type="character" w:customStyle="1" w:styleId="value">
    <w:name w:val="value"/>
    <w:rsid w:val="00FA30AA"/>
  </w:style>
  <w:style w:type="character" w:customStyle="1" w:styleId="Nagwek4Znak">
    <w:name w:val="Nagłówek 4 Znak"/>
    <w:basedOn w:val="Domylnaczcionkaakapitu"/>
    <w:link w:val="Nagwek4"/>
    <w:uiPriority w:val="9"/>
    <w:rsid w:val="00FA30AA"/>
    <w:rPr>
      <w:rFonts w:asciiTheme="majorHAnsi" w:eastAsiaTheme="majorEastAsia" w:hAnsiTheme="majorHAnsi" w:cstheme="majorBidi"/>
      <w:i/>
      <w:iCs/>
      <w:color w:val="2E74B5" w:themeColor="accent1" w:themeShade="BF"/>
    </w:rPr>
  </w:style>
  <w:style w:type="numbering" w:customStyle="1" w:styleId="Bezlisty1">
    <w:name w:val="Bez listy1"/>
    <w:next w:val="Bezlisty"/>
    <w:uiPriority w:val="99"/>
    <w:semiHidden/>
    <w:unhideWhenUsed/>
    <w:rsid w:val="00326528"/>
  </w:style>
  <w:style w:type="character" w:customStyle="1" w:styleId="apple-converted-space">
    <w:name w:val="apple-converted-space"/>
    <w:rsid w:val="00326528"/>
  </w:style>
  <w:style w:type="paragraph" w:customStyle="1" w:styleId="Default">
    <w:name w:val="Default"/>
    <w:rsid w:val="0032652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USTustnpkodeksu">
    <w:name w:val="UST(§) – ust. (§ np. kodeksu)"/>
    <w:basedOn w:val="Normalny"/>
    <w:uiPriority w:val="12"/>
    <w:qFormat/>
    <w:rsid w:val="00326528"/>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ARTartustawynprozporzdzenia">
    <w:name w:val="ART(§) – art. ustawy (§ np. rozporządzenia)"/>
    <w:uiPriority w:val="11"/>
    <w:qFormat/>
    <w:rsid w:val="0032652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PKTpunkt">
    <w:name w:val="PKT – punkt"/>
    <w:rsid w:val="00326528"/>
    <w:pPr>
      <w:spacing w:after="0" w:line="360" w:lineRule="auto"/>
      <w:ind w:left="510" w:hanging="510"/>
      <w:jc w:val="both"/>
    </w:pPr>
    <w:rPr>
      <w:rFonts w:ascii="Times" w:eastAsia="Times New Roman" w:hAnsi="Times" w:cs="Arial"/>
      <w:bCs/>
      <w:sz w:val="24"/>
      <w:szCs w:val="20"/>
      <w:lang w:eastAsia="pl-PL"/>
    </w:rPr>
  </w:style>
  <w:style w:type="character" w:customStyle="1" w:styleId="Ppogrubienie">
    <w:name w:val="_P_ – pogrubienie"/>
    <w:basedOn w:val="Domylnaczcionkaakapitu"/>
    <w:rsid w:val="00326528"/>
    <w:rPr>
      <w:rFonts w:cs="Times New Roman"/>
      <w:b/>
    </w:rPr>
  </w:style>
  <w:style w:type="character" w:styleId="Odwoaniedokomentarza">
    <w:name w:val="annotation reference"/>
    <w:basedOn w:val="Domylnaczcionkaakapitu"/>
    <w:uiPriority w:val="99"/>
    <w:rsid w:val="00326528"/>
    <w:rPr>
      <w:rFonts w:cs="Times New Roman"/>
      <w:sz w:val="16"/>
    </w:rPr>
  </w:style>
  <w:style w:type="character" w:styleId="Pogrubienie">
    <w:name w:val="Strong"/>
    <w:basedOn w:val="Domylnaczcionkaakapitu"/>
    <w:qFormat/>
    <w:rsid w:val="00326528"/>
    <w:rPr>
      <w:rFonts w:ascii="Times New Roman" w:hAnsi="Times New Roman" w:cs="Times New Roman"/>
      <w:b/>
    </w:rPr>
  </w:style>
  <w:style w:type="character" w:customStyle="1" w:styleId="txt-new">
    <w:name w:val="txt-new"/>
    <w:rsid w:val="00326528"/>
  </w:style>
  <w:style w:type="character" w:customStyle="1" w:styleId="alb">
    <w:name w:val="a_lb"/>
    <w:rsid w:val="00326528"/>
  </w:style>
  <w:style w:type="character" w:customStyle="1" w:styleId="text-justify">
    <w:name w:val="text-justify"/>
    <w:rsid w:val="00326528"/>
  </w:style>
  <w:style w:type="character" w:customStyle="1" w:styleId="hps">
    <w:name w:val="hps"/>
    <w:rsid w:val="00326528"/>
    <w:rPr>
      <w:rFonts w:ascii="Times New Roman" w:hAnsi="Times New Roman"/>
    </w:rPr>
  </w:style>
  <w:style w:type="paragraph" w:customStyle="1" w:styleId="tresc">
    <w:name w:val="tresc"/>
    <w:basedOn w:val="Normalny"/>
    <w:rsid w:val="00326528"/>
    <w:pPr>
      <w:spacing w:before="100" w:beforeAutospacing="1" w:after="100" w:afterAutospacing="1" w:line="360" w:lineRule="auto"/>
      <w:jc w:val="both"/>
    </w:pPr>
    <w:rPr>
      <w:rFonts w:ascii="Times New Roman" w:eastAsia="Times New Roman" w:hAnsi="Times New Roman"/>
      <w:sz w:val="24"/>
      <w:szCs w:val="24"/>
      <w:lang w:eastAsia="pl-PL"/>
    </w:rPr>
  </w:style>
  <w:style w:type="paragraph" w:customStyle="1" w:styleId="documento-tit">
    <w:name w:val="documento-tit"/>
    <w:basedOn w:val="Normalny"/>
    <w:rsid w:val="00326528"/>
    <w:pPr>
      <w:spacing w:before="100" w:beforeAutospacing="1" w:after="100" w:afterAutospacing="1" w:line="360" w:lineRule="auto"/>
      <w:jc w:val="both"/>
    </w:pPr>
    <w:rPr>
      <w:rFonts w:ascii="Times New Roman" w:eastAsia="Times New Roman" w:hAnsi="Times New Roman"/>
      <w:sz w:val="24"/>
      <w:szCs w:val="24"/>
      <w:lang w:eastAsia="pl-PL"/>
    </w:rPr>
  </w:style>
  <w:style w:type="paragraph" w:styleId="Akapitzlist">
    <w:name w:val="List Paragraph"/>
    <w:basedOn w:val="Normalny"/>
    <w:uiPriority w:val="34"/>
    <w:qFormat/>
    <w:rsid w:val="00326528"/>
    <w:pPr>
      <w:ind w:left="720"/>
      <w:contextualSpacing/>
    </w:pPr>
  </w:style>
  <w:style w:type="numbering" w:customStyle="1" w:styleId="Bezlisty2">
    <w:name w:val="Bez listy2"/>
    <w:next w:val="Bezlisty"/>
    <w:uiPriority w:val="99"/>
    <w:semiHidden/>
    <w:unhideWhenUsed/>
    <w:rsid w:val="0085545A"/>
  </w:style>
  <w:style w:type="character" w:customStyle="1" w:styleId="UyteHipercze1">
    <w:name w:val="UżyteHiperłącze1"/>
    <w:basedOn w:val="Domylnaczcionkaakapitu"/>
    <w:uiPriority w:val="99"/>
    <w:semiHidden/>
    <w:unhideWhenUsed/>
    <w:rsid w:val="0085545A"/>
    <w:rPr>
      <w:color w:val="800080"/>
      <w:u w:val="single"/>
    </w:rPr>
  </w:style>
  <w:style w:type="paragraph" w:styleId="Lista">
    <w:name w:val="List"/>
    <w:basedOn w:val="Normalny"/>
    <w:unhideWhenUsed/>
    <w:rsid w:val="0085545A"/>
    <w:pPr>
      <w:spacing w:after="0" w:line="360" w:lineRule="auto"/>
      <w:ind w:left="283" w:hanging="283"/>
      <w:jc w:val="both"/>
    </w:pPr>
    <w:rPr>
      <w:rFonts w:ascii="Times New Roman" w:eastAsia="Times New Roman" w:hAnsi="Times New Roman"/>
      <w:sz w:val="24"/>
      <w:szCs w:val="24"/>
      <w:lang w:eastAsia="pl-PL"/>
    </w:rPr>
  </w:style>
  <w:style w:type="paragraph" w:styleId="Lista2">
    <w:name w:val="List 2"/>
    <w:basedOn w:val="Normalny"/>
    <w:unhideWhenUsed/>
    <w:rsid w:val="0085545A"/>
    <w:pPr>
      <w:spacing w:after="0" w:line="360" w:lineRule="auto"/>
      <w:ind w:left="566" w:hanging="283"/>
      <w:jc w:val="both"/>
    </w:pPr>
    <w:rPr>
      <w:rFonts w:ascii="Times New Roman" w:eastAsia="Times New Roman" w:hAnsi="Times New Roman"/>
      <w:sz w:val="24"/>
      <w:szCs w:val="24"/>
      <w:lang w:eastAsia="pl-PL"/>
    </w:rPr>
  </w:style>
  <w:style w:type="paragraph" w:styleId="Tekstpodstawowy">
    <w:name w:val="Body Text"/>
    <w:basedOn w:val="Normalny"/>
    <w:link w:val="TekstpodstawowyZnak"/>
    <w:uiPriority w:val="99"/>
    <w:unhideWhenUsed/>
    <w:rsid w:val="0085545A"/>
    <w:pPr>
      <w:spacing w:after="12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uiPriority w:val="99"/>
    <w:rsid w:val="0085545A"/>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nhideWhenUsed/>
    <w:rsid w:val="0085545A"/>
    <w:pPr>
      <w:spacing w:after="0"/>
      <w:ind w:firstLine="360"/>
    </w:pPr>
    <w:rPr>
      <w:rFonts w:eastAsia="Calibri"/>
    </w:rPr>
  </w:style>
  <w:style w:type="character" w:customStyle="1" w:styleId="TekstpodstawowyzwciciemZnak">
    <w:name w:val="Tekst podstawowy z wcięciem Znak"/>
    <w:basedOn w:val="TekstpodstawowyZnak"/>
    <w:link w:val="Tekstpodstawowyzwciciem"/>
    <w:rsid w:val="0085545A"/>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85545A"/>
    <w:pPr>
      <w:spacing w:after="200" w:line="276" w:lineRule="auto"/>
      <w:jc w:val="left"/>
    </w:pPr>
    <w:rPr>
      <w:rFonts w:ascii="Calibri" w:eastAsia="Calibri" w:hAnsi="Calibri"/>
      <w:b/>
      <w:bCs/>
      <w:sz w:val="20"/>
      <w:szCs w:val="20"/>
      <w:lang w:eastAsia="en-US"/>
    </w:rPr>
  </w:style>
  <w:style w:type="character" w:customStyle="1" w:styleId="TematkomentarzaZnak">
    <w:name w:val="Temat komentarza Znak"/>
    <w:basedOn w:val="TekstkomentarzaZnak"/>
    <w:link w:val="Tematkomentarza"/>
    <w:uiPriority w:val="99"/>
    <w:semiHidden/>
    <w:rsid w:val="0085545A"/>
    <w:rPr>
      <w:rFonts w:ascii="Calibri" w:eastAsia="Times New Roman" w:hAnsi="Calibri" w:cs="Times New Roman"/>
      <w:b/>
      <w:bCs/>
      <w:sz w:val="20"/>
      <w:szCs w:val="20"/>
      <w:lang w:eastAsia="pl-PL"/>
    </w:rPr>
  </w:style>
  <w:style w:type="paragraph" w:styleId="Poprawka">
    <w:name w:val="Revision"/>
    <w:uiPriority w:val="99"/>
    <w:semiHidden/>
    <w:rsid w:val="0085545A"/>
    <w:pPr>
      <w:spacing w:after="0" w:line="240" w:lineRule="auto"/>
    </w:pPr>
    <w:rPr>
      <w:rFonts w:ascii="Calibri" w:hAnsi="Calibri" w:cs="Times New Roman"/>
    </w:rPr>
  </w:style>
  <w:style w:type="paragraph" w:customStyle="1" w:styleId="Standard">
    <w:name w:val="Standard"/>
    <w:rsid w:val="0085545A"/>
    <w:pPr>
      <w:suppressAutoHyphens/>
      <w:autoSpaceDN w:val="0"/>
      <w:spacing w:after="0" w:line="240" w:lineRule="auto"/>
    </w:pPr>
    <w:rPr>
      <w:rFonts w:ascii="Liberation Serif" w:eastAsia="SimSun" w:hAnsi="Liberation Serif" w:cs="Lucida Sans"/>
      <w:kern w:val="3"/>
      <w:sz w:val="24"/>
      <w:szCs w:val="24"/>
      <w:lang w:eastAsia="zh-CN" w:bidi="hi-IN"/>
    </w:rPr>
  </w:style>
  <w:style w:type="character" w:customStyle="1" w:styleId="Bodytext">
    <w:name w:val="Body text_"/>
    <w:link w:val="Tekstpodstawowy1"/>
    <w:locked/>
    <w:rsid w:val="0085545A"/>
    <w:rPr>
      <w:rFonts w:ascii="Times New Roman" w:hAnsi="Times New Roman" w:cs="Times New Roman"/>
      <w:sz w:val="23"/>
      <w:shd w:val="clear" w:color="auto" w:fill="FFFFFF"/>
    </w:rPr>
  </w:style>
  <w:style w:type="paragraph" w:customStyle="1" w:styleId="Tekstpodstawowy1">
    <w:name w:val="Tekst podstawowy1"/>
    <w:basedOn w:val="Normalny"/>
    <w:link w:val="Bodytext"/>
    <w:rsid w:val="0085545A"/>
    <w:pPr>
      <w:shd w:val="clear" w:color="auto" w:fill="FFFFFF"/>
      <w:spacing w:before="240" w:after="0" w:line="413" w:lineRule="exact"/>
      <w:jc w:val="both"/>
    </w:pPr>
    <w:rPr>
      <w:rFonts w:ascii="Times New Roman" w:hAnsi="Times New Roman"/>
      <w:sz w:val="23"/>
    </w:rPr>
  </w:style>
  <w:style w:type="paragraph" w:customStyle="1" w:styleId="Akapitzlist2">
    <w:name w:val="Akapit z listą2"/>
    <w:basedOn w:val="Normalny"/>
    <w:rsid w:val="0085545A"/>
    <w:pPr>
      <w:spacing w:after="0" w:line="360" w:lineRule="auto"/>
      <w:ind w:left="720"/>
      <w:contextualSpacing/>
      <w:jc w:val="both"/>
    </w:pPr>
    <w:rPr>
      <w:rFonts w:ascii="Times New Roman" w:eastAsia="Times New Roman" w:hAnsi="Times New Roman"/>
      <w:sz w:val="24"/>
      <w:szCs w:val="24"/>
      <w:lang w:eastAsia="pl-PL"/>
    </w:rPr>
  </w:style>
  <w:style w:type="paragraph" w:customStyle="1" w:styleId="LITlitera">
    <w:name w:val="LIT – litera"/>
    <w:basedOn w:val="PKTpunkt"/>
    <w:rsid w:val="0085545A"/>
    <w:pPr>
      <w:ind w:left="986" w:hanging="476"/>
    </w:pPr>
  </w:style>
  <w:style w:type="paragraph" w:customStyle="1" w:styleId="ROZDZODDZPRZEDMprzedmiotregulacjirozdziauluboddziau">
    <w:name w:val="ROZDZ(ODDZ)_PRZEDM – przedmiot regulacji rozdziału lub oddziału"/>
    <w:next w:val="ARTartustawynprozporzdzenia"/>
    <w:uiPriority w:val="10"/>
    <w:qFormat/>
    <w:rsid w:val="0085545A"/>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rsid w:val="0085545A"/>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ListParagraph1">
    <w:name w:val="List Paragraph1"/>
    <w:basedOn w:val="Normalny"/>
    <w:rsid w:val="0085545A"/>
    <w:pPr>
      <w:spacing w:after="0" w:line="360" w:lineRule="auto"/>
      <w:ind w:left="720"/>
      <w:contextualSpacing/>
      <w:jc w:val="both"/>
    </w:pPr>
    <w:rPr>
      <w:rFonts w:ascii="Times New Roman" w:hAnsi="Times New Roman"/>
      <w:sz w:val="24"/>
      <w:szCs w:val="24"/>
      <w:lang w:eastAsia="pl-PL"/>
    </w:rPr>
  </w:style>
  <w:style w:type="paragraph" w:customStyle="1" w:styleId="Bezodstpw2">
    <w:name w:val="Bez odstępów2"/>
    <w:rsid w:val="0085545A"/>
    <w:pPr>
      <w:spacing w:after="0" w:line="240" w:lineRule="auto"/>
    </w:pPr>
    <w:rPr>
      <w:rFonts w:ascii="Times New Roman" w:eastAsia="Times New Roman" w:hAnsi="Times New Roman" w:cs="Times New Roman"/>
      <w:lang w:val="en-US"/>
    </w:rPr>
  </w:style>
  <w:style w:type="character" w:customStyle="1" w:styleId="Teksttreci">
    <w:name w:val="Tekst treści_"/>
    <w:link w:val="Teksttreci0"/>
    <w:locked/>
    <w:rsid w:val="0085545A"/>
    <w:rPr>
      <w:rFonts w:ascii="Arial Unicode MS" w:eastAsia="Arial Unicode MS" w:hAnsi="Arial Unicode MS" w:cs="Arial Unicode MS"/>
      <w:sz w:val="23"/>
      <w:shd w:val="clear" w:color="auto" w:fill="FFFFFF"/>
    </w:rPr>
  </w:style>
  <w:style w:type="paragraph" w:customStyle="1" w:styleId="Teksttreci0">
    <w:name w:val="Tekst treści"/>
    <w:basedOn w:val="Normalny"/>
    <w:link w:val="Teksttreci"/>
    <w:rsid w:val="0085545A"/>
    <w:pPr>
      <w:widowControl w:val="0"/>
      <w:shd w:val="clear" w:color="auto" w:fill="FFFFFF"/>
      <w:spacing w:after="360" w:line="240" w:lineRule="atLeast"/>
      <w:jc w:val="right"/>
    </w:pPr>
    <w:rPr>
      <w:rFonts w:ascii="Arial Unicode MS" w:eastAsia="Arial Unicode MS" w:hAnsi="Arial Unicode MS" w:cs="Arial Unicode MS"/>
      <w:sz w:val="23"/>
    </w:rPr>
  </w:style>
  <w:style w:type="paragraph" w:customStyle="1" w:styleId="NoSpacing1">
    <w:name w:val="No Spacing1"/>
    <w:uiPriority w:val="99"/>
    <w:rsid w:val="0085545A"/>
    <w:pPr>
      <w:spacing w:after="0" w:line="240" w:lineRule="auto"/>
    </w:pPr>
    <w:rPr>
      <w:rFonts w:ascii="Times New Roman" w:eastAsia="Times New Roman" w:hAnsi="Times New Roman" w:cs="Times New Roman"/>
      <w:lang w:val="en-US"/>
    </w:rPr>
  </w:style>
  <w:style w:type="character" w:customStyle="1" w:styleId="Teksttreci2">
    <w:name w:val="Tekst treści (2)_"/>
    <w:basedOn w:val="Domylnaczcionkaakapitu"/>
    <w:link w:val="Teksttreci20"/>
    <w:locked/>
    <w:rsid w:val="0085545A"/>
    <w:rPr>
      <w:shd w:val="clear" w:color="auto" w:fill="FFFFFF"/>
    </w:rPr>
  </w:style>
  <w:style w:type="paragraph" w:customStyle="1" w:styleId="Teksttreci20">
    <w:name w:val="Tekst treści (2)"/>
    <w:basedOn w:val="Normalny"/>
    <w:link w:val="Teksttreci2"/>
    <w:rsid w:val="0085545A"/>
    <w:pPr>
      <w:widowControl w:val="0"/>
      <w:shd w:val="clear" w:color="auto" w:fill="FFFFFF"/>
      <w:spacing w:before="480" w:after="60" w:line="322" w:lineRule="exact"/>
      <w:ind w:hanging="460"/>
      <w:jc w:val="both"/>
    </w:pPr>
    <w:rPr>
      <w:rFonts w:asciiTheme="minorHAnsi" w:hAnsiTheme="minorHAnsi" w:cstheme="minorBidi"/>
    </w:rPr>
  </w:style>
  <w:style w:type="paragraph" w:customStyle="1" w:styleId="ZUSTzmustartykuempunktem">
    <w:name w:val="Z/UST(§) – zm. ust. (§) artykułem (punktem)"/>
    <w:basedOn w:val="Normalny"/>
    <w:uiPriority w:val="30"/>
    <w:qFormat/>
    <w:rsid w:val="0085545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ARTzmartartykuempunktem">
    <w:name w:val="Z/ART(§) – zm. art. (§) artykułem (punktem)"/>
    <w:basedOn w:val="ARTartustawynprozporzdzenia"/>
    <w:uiPriority w:val="30"/>
    <w:qFormat/>
    <w:rsid w:val="0085545A"/>
    <w:pPr>
      <w:spacing w:before="0"/>
      <w:ind w:left="510"/>
    </w:pPr>
  </w:style>
  <w:style w:type="paragraph" w:customStyle="1" w:styleId="ZPKTzmpktartykuempunktem">
    <w:name w:val="Z/PKT – zm. pkt artykułem (punktem)"/>
    <w:basedOn w:val="PKTpunkt"/>
    <w:uiPriority w:val="31"/>
    <w:qFormat/>
    <w:rsid w:val="0085545A"/>
    <w:pPr>
      <w:ind w:left="1020"/>
    </w:pPr>
  </w:style>
  <w:style w:type="paragraph" w:customStyle="1" w:styleId="Tekstpodstawowy2">
    <w:name w:val="Tekst podstawowy2"/>
    <w:basedOn w:val="Normalny"/>
    <w:rsid w:val="0085545A"/>
    <w:pPr>
      <w:shd w:val="clear" w:color="auto" w:fill="FFFFFF"/>
      <w:spacing w:before="60" w:after="0" w:line="240" w:lineRule="atLeast"/>
      <w:jc w:val="center"/>
    </w:pPr>
    <w:rPr>
      <w:rFonts w:eastAsia="Times New Roman"/>
      <w:sz w:val="24"/>
      <w:szCs w:val="24"/>
    </w:rPr>
  </w:style>
  <w:style w:type="character" w:styleId="Numerstrony">
    <w:name w:val="page number"/>
    <w:basedOn w:val="Domylnaczcionkaakapitu"/>
    <w:unhideWhenUsed/>
    <w:rsid w:val="0085545A"/>
    <w:rPr>
      <w:rFonts w:ascii="Times New Roman" w:hAnsi="Times New Roman" w:cs="Times New Roman" w:hint="default"/>
    </w:rPr>
  </w:style>
  <w:style w:type="character" w:customStyle="1" w:styleId="FootnoteTextChar">
    <w:name w:val="Footnote Text Char"/>
    <w:aliases w:val="Tekst przypisu Znak Znak Char,Tekst przypisu Znak Znak Znak Char,Tekst przypisu Char,Footnote Text Char Znak Char,Tekst przypisu dolnego Znak Char Znak Char,Tekst przypisu dolnego Znak1 Znak1 Char Znak Char,Zna Char"/>
    <w:locked/>
    <w:rsid w:val="0085545A"/>
    <w:rPr>
      <w:rFonts w:ascii="Times New Roman" w:hAnsi="Times New Roman" w:cs="Times New Roman" w:hint="default"/>
      <w:sz w:val="20"/>
      <w:lang w:eastAsia="pl-PL"/>
    </w:rPr>
  </w:style>
  <w:style w:type="character" w:customStyle="1" w:styleId="luchili">
    <w:name w:val="luc_hili"/>
    <w:rsid w:val="0085545A"/>
    <w:rPr>
      <w:rFonts w:ascii="Times New Roman" w:hAnsi="Times New Roman" w:cs="Times New Roman" w:hint="default"/>
    </w:rPr>
  </w:style>
  <w:style w:type="character" w:customStyle="1" w:styleId="outputecliaff">
    <w:name w:val="outputecliaff"/>
    <w:rsid w:val="0085545A"/>
    <w:rPr>
      <w:rFonts w:ascii="Times New Roman" w:hAnsi="Times New Roman" w:cs="Times New Roman" w:hint="default"/>
    </w:rPr>
  </w:style>
  <w:style w:type="character" w:customStyle="1" w:styleId="FontStyle12">
    <w:name w:val="Font Style12"/>
    <w:rsid w:val="0085545A"/>
    <w:rPr>
      <w:rFonts w:ascii="Times New Roman" w:hAnsi="Times New Roman" w:cs="Times New Roman" w:hint="default"/>
      <w:sz w:val="18"/>
    </w:rPr>
  </w:style>
  <w:style w:type="character" w:customStyle="1" w:styleId="info-list-value-uzasadnienie">
    <w:name w:val="info-list-value-uzasadnienie"/>
    <w:rsid w:val="0085545A"/>
    <w:rPr>
      <w:rFonts w:ascii="Times New Roman" w:hAnsi="Times New Roman" w:cs="Times New Roman" w:hint="default"/>
    </w:rPr>
  </w:style>
  <w:style w:type="character" w:customStyle="1" w:styleId="warheader1">
    <w:name w:val="war_header1"/>
    <w:rsid w:val="0085545A"/>
    <w:rPr>
      <w:rFonts w:ascii="Times New Roman" w:hAnsi="Times New Roman" w:cs="Times New Roman" w:hint="default"/>
      <w:b/>
      <w:bCs w:val="0"/>
      <w:sz w:val="29"/>
    </w:rPr>
  </w:style>
  <w:style w:type="character" w:customStyle="1" w:styleId="ppogrubienie0">
    <w:name w:val="ppogrubienie"/>
    <w:rsid w:val="0085545A"/>
  </w:style>
  <w:style w:type="character" w:customStyle="1" w:styleId="Znakiprzypiswdolnych">
    <w:name w:val="Znaki przypisów dolnych"/>
    <w:rsid w:val="0085545A"/>
    <w:rPr>
      <w:vertAlign w:val="superscript"/>
    </w:rPr>
  </w:style>
  <w:style w:type="character" w:customStyle="1" w:styleId="warheader">
    <w:name w:val="war_header"/>
    <w:rsid w:val="0085545A"/>
  </w:style>
  <w:style w:type="character" w:customStyle="1" w:styleId="ZnakZnak9">
    <w:name w:val="Znak Znak9"/>
    <w:locked/>
    <w:rsid w:val="0085545A"/>
    <w:rPr>
      <w:sz w:val="24"/>
      <w:lang w:val="pl-PL" w:eastAsia="pl-PL"/>
    </w:rPr>
  </w:style>
  <w:style w:type="character" w:customStyle="1" w:styleId="ZnakZnak11">
    <w:name w:val="Znak Znak11"/>
    <w:locked/>
    <w:rsid w:val="0085545A"/>
    <w:rPr>
      <w:sz w:val="24"/>
      <w:lang w:val="pl-PL" w:eastAsia="pl-PL"/>
    </w:rPr>
  </w:style>
  <w:style w:type="character" w:customStyle="1" w:styleId="ZnakZnak111">
    <w:name w:val="Znak Znak111"/>
    <w:locked/>
    <w:rsid w:val="0085545A"/>
    <w:rPr>
      <w:sz w:val="24"/>
      <w:lang w:val="pl-PL" w:eastAsia="pl-PL"/>
    </w:rPr>
  </w:style>
  <w:style w:type="character" w:customStyle="1" w:styleId="Teksttreci2Kursywa">
    <w:name w:val="Tekst treści (2) + Kursywa"/>
    <w:basedOn w:val="Domylnaczcionkaakapitu"/>
    <w:rsid w:val="0085545A"/>
    <w:rPr>
      <w:rFonts w:ascii="Calibri" w:hAnsi="Calibri" w:cs="Calibri" w:hint="default"/>
      <w:i/>
      <w:iCs/>
      <w:color w:val="000000"/>
      <w:spacing w:val="0"/>
      <w:w w:val="100"/>
      <w:position w:val="0"/>
      <w:shd w:val="clear" w:color="auto" w:fill="FFFFFF"/>
      <w:lang w:val="pl-PL" w:eastAsia="pl-PL"/>
    </w:rPr>
  </w:style>
  <w:style w:type="character" w:customStyle="1" w:styleId="Teksttreci2Pogrubienie1">
    <w:name w:val="Tekst treści (2) + Pogrubienie1"/>
    <w:basedOn w:val="Teksttreci2"/>
    <w:rsid w:val="0085545A"/>
    <w:rPr>
      <w:rFonts w:ascii="Times New Roman" w:hAnsi="Times New Roman" w:cs="Times New Roman" w:hint="default"/>
      <w:b/>
      <w:bCs/>
      <w:strike w:val="0"/>
      <w:dstrike w:val="0"/>
      <w:color w:val="000000"/>
      <w:spacing w:val="0"/>
      <w:w w:val="100"/>
      <w:position w:val="0"/>
      <w:sz w:val="24"/>
      <w:szCs w:val="24"/>
      <w:u w:val="none"/>
      <w:effect w:val="none"/>
      <w:shd w:val="clear" w:color="auto" w:fill="FFFFFF"/>
      <w:lang w:val="pl-PL" w:eastAsia="pl-PL"/>
    </w:rPr>
  </w:style>
  <w:style w:type="character" w:customStyle="1" w:styleId="Teksttreci2Pogrubienie">
    <w:name w:val="Tekst treści (2) + Pogrubienie"/>
    <w:aliases w:val="Kursywa"/>
    <w:basedOn w:val="Teksttreci2"/>
    <w:rsid w:val="0085545A"/>
    <w:rPr>
      <w:rFonts w:ascii="Calibri" w:hAnsi="Calibri" w:cs="Calibri" w:hint="default"/>
      <w:b/>
      <w:bCs/>
      <w:i/>
      <w:iCs/>
      <w:color w:val="000000"/>
      <w:spacing w:val="0"/>
      <w:w w:val="100"/>
      <w:position w:val="0"/>
      <w:shd w:val="clear" w:color="auto" w:fill="FFFFFF"/>
      <w:lang w:val="pl-PL" w:eastAsia="pl-PL"/>
    </w:rPr>
  </w:style>
  <w:style w:type="character" w:styleId="UyteHipercze">
    <w:name w:val="FollowedHyperlink"/>
    <w:basedOn w:val="Domylnaczcionkaakapitu"/>
    <w:uiPriority w:val="99"/>
    <w:semiHidden/>
    <w:unhideWhenUsed/>
    <w:rsid w:val="0085545A"/>
    <w:rPr>
      <w:color w:val="954F72" w:themeColor="followedHyperlink"/>
      <w:u w:val="single"/>
    </w:rPr>
  </w:style>
  <w:style w:type="numbering" w:customStyle="1" w:styleId="Bezlisty3">
    <w:name w:val="Bez listy3"/>
    <w:next w:val="Bezlisty"/>
    <w:semiHidden/>
    <w:rsid w:val="00045CB9"/>
  </w:style>
  <w:style w:type="paragraph" w:customStyle="1" w:styleId="Akapitzlist3">
    <w:name w:val="Akapit z listą3"/>
    <w:basedOn w:val="Normalny"/>
    <w:rsid w:val="00045CB9"/>
    <w:pPr>
      <w:spacing w:after="0" w:line="360" w:lineRule="auto"/>
      <w:ind w:left="720"/>
      <w:jc w:val="both"/>
    </w:pPr>
    <w:rPr>
      <w:rFonts w:ascii="Times New Roman" w:hAnsi="Times New Roman"/>
      <w:sz w:val="24"/>
      <w:szCs w:val="24"/>
      <w:lang w:eastAsia="pl-PL"/>
    </w:rPr>
  </w:style>
  <w:style w:type="paragraph" w:customStyle="1" w:styleId="Poprawka1">
    <w:name w:val="Poprawka1"/>
    <w:hidden/>
    <w:semiHidden/>
    <w:rsid w:val="00045CB9"/>
    <w:pPr>
      <w:spacing w:after="0" w:line="240" w:lineRule="auto"/>
    </w:pPr>
    <w:rPr>
      <w:rFonts w:ascii="Calibri" w:eastAsia="Times New Roman" w:hAnsi="Calibri" w:cs="Calibri"/>
    </w:rPr>
  </w:style>
  <w:style w:type="numbering" w:customStyle="1" w:styleId="Bezlisty4">
    <w:name w:val="Bez listy4"/>
    <w:next w:val="Bezlisty"/>
    <w:uiPriority w:val="99"/>
    <w:semiHidden/>
    <w:unhideWhenUsed/>
    <w:rsid w:val="004166B8"/>
  </w:style>
  <w:style w:type="paragraph" w:customStyle="1" w:styleId="ZCZWSPPKTzmczciwsppktartykuempunktem">
    <w:name w:val="Z/CZ_WSP_PKT – zm. części wsp. pkt artykułem (punktem)"/>
    <w:basedOn w:val="Normalny"/>
    <w:next w:val="ZARTzmartartykuempunktem"/>
    <w:uiPriority w:val="34"/>
    <w:qFormat/>
    <w:rsid w:val="004166B8"/>
    <w:pPr>
      <w:spacing w:after="0" w:line="360" w:lineRule="auto"/>
      <w:ind w:left="510"/>
      <w:jc w:val="both"/>
    </w:pPr>
    <w:rPr>
      <w:rFonts w:ascii="Times" w:eastAsia="Times New Roman" w:hAnsi="Times" w:cs="Arial"/>
      <w:bCs/>
      <w:sz w:val="24"/>
      <w:szCs w:val="20"/>
      <w:lang w:eastAsia="pl-PL"/>
    </w:rPr>
  </w:style>
  <w:style w:type="paragraph" w:styleId="Tekstprzypisukocowego">
    <w:name w:val="endnote text"/>
    <w:basedOn w:val="Normalny"/>
    <w:link w:val="TekstprzypisukocowegoZnak"/>
    <w:uiPriority w:val="99"/>
    <w:semiHidden/>
    <w:unhideWhenUsed/>
    <w:rsid w:val="004166B8"/>
    <w:pPr>
      <w:spacing w:after="0" w:line="240" w:lineRule="auto"/>
      <w:jc w:val="both"/>
    </w:pPr>
    <w:rPr>
      <w:rFonts w:ascii="Times New Roman" w:eastAsia="Times New Roman" w:hAnsi="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4166B8"/>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4166B8"/>
    <w:rPr>
      <w:vertAlign w:val="superscript"/>
    </w:rPr>
  </w:style>
  <w:style w:type="character" w:customStyle="1" w:styleId="TekstpodstawowyZnak1">
    <w:name w:val="Tekst podstawowy Znak1"/>
    <w:basedOn w:val="Domylnaczcionkaakapitu"/>
    <w:uiPriority w:val="99"/>
    <w:locked/>
    <w:rsid w:val="004166B8"/>
    <w:rPr>
      <w:rFonts w:ascii="Times New Roman" w:hAnsi="Times New Roman"/>
      <w:shd w:val="clear" w:color="auto" w:fill="FFFFFF"/>
    </w:rPr>
  </w:style>
  <w:style w:type="character" w:customStyle="1" w:styleId="BodytextBold19">
    <w:name w:val="Body text + Bold19"/>
    <w:basedOn w:val="TekstpodstawowyZnak1"/>
    <w:uiPriority w:val="99"/>
    <w:rsid w:val="004166B8"/>
    <w:rPr>
      <w:rFonts w:ascii="Times New Roman" w:hAnsi="Times New Roman"/>
      <w:b/>
      <w:bCs/>
      <w:shd w:val="clear" w:color="auto" w:fill="FFFFFF"/>
    </w:rPr>
  </w:style>
  <w:style w:type="character" w:customStyle="1" w:styleId="normaltextrunscx175207763">
    <w:name w:val="normaltextrun scx175207763"/>
    <w:basedOn w:val="Domylnaczcionkaakapitu"/>
    <w:rsid w:val="004166B8"/>
  </w:style>
  <w:style w:type="paragraph" w:customStyle="1" w:styleId="CZWSPPKTczwsplnapunktw">
    <w:name w:val="CZ_WSP_PKT – część wspólna punktów"/>
    <w:basedOn w:val="PKTpunkt"/>
    <w:next w:val="USTustnpkodeksu"/>
    <w:uiPriority w:val="16"/>
    <w:qFormat/>
    <w:rsid w:val="009B6AD1"/>
    <w:pPr>
      <w:ind w:left="0" w:firstLine="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140629">
      <w:bodyDiv w:val="1"/>
      <w:marLeft w:val="0"/>
      <w:marRight w:val="0"/>
      <w:marTop w:val="0"/>
      <w:marBottom w:val="0"/>
      <w:divBdr>
        <w:top w:val="none" w:sz="0" w:space="0" w:color="auto"/>
        <w:left w:val="none" w:sz="0" w:space="0" w:color="auto"/>
        <w:bottom w:val="none" w:sz="0" w:space="0" w:color="auto"/>
        <w:right w:val="none" w:sz="0" w:space="0" w:color="auto"/>
      </w:divBdr>
    </w:div>
    <w:div w:id="1017779420">
      <w:bodyDiv w:val="1"/>
      <w:marLeft w:val="0"/>
      <w:marRight w:val="0"/>
      <w:marTop w:val="0"/>
      <w:marBottom w:val="0"/>
      <w:divBdr>
        <w:top w:val="none" w:sz="0" w:space="0" w:color="auto"/>
        <w:left w:val="none" w:sz="0" w:space="0" w:color="auto"/>
        <w:bottom w:val="none" w:sz="0" w:space="0" w:color="auto"/>
        <w:right w:val="none" w:sz="0" w:space="0" w:color="auto"/>
      </w:divBdr>
      <w:divsChild>
        <w:div w:id="461189529">
          <w:marLeft w:val="720"/>
          <w:marRight w:val="0"/>
          <w:marTop w:val="0"/>
          <w:marBottom w:val="0"/>
          <w:divBdr>
            <w:top w:val="none" w:sz="0" w:space="0" w:color="auto"/>
            <w:left w:val="none" w:sz="0" w:space="0" w:color="auto"/>
            <w:bottom w:val="none" w:sz="0" w:space="0" w:color="auto"/>
            <w:right w:val="none" w:sz="0" w:space="0" w:color="auto"/>
          </w:divBdr>
        </w:div>
        <w:div w:id="1500925889">
          <w:marLeft w:val="720"/>
          <w:marRight w:val="0"/>
          <w:marTop w:val="0"/>
          <w:marBottom w:val="0"/>
          <w:divBdr>
            <w:top w:val="none" w:sz="0" w:space="0" w:color="auto"/>
            <w:left w:val="none" w:sz="0" w:space="0" w:color="auto"/>
            <w:bottom w:val="none" w:sz="0" w:space="0" w:color="auto"/>
            <w:right w:val="none" w:sz="0" w:space="0" w:color="auto"/>
          </w:divBdr>
        </w:div>
      </w:divsChild>
    </w:div>
    <w:div w:id="1661039823">
      <w:bodyDiv w:val="1"/>
      <w:marLeft w:val="0"/>
      <w:marRight w:val="0"/>
      <w:marTop w:val="0"/>
      <w:marBottom w:val="0"/>
      <w:divBdr>
        <w:top w:val="none" w:sz="0" w:space="0" w:color="auto"/>
        <w:left w:val="none" w:sz="0" w:space="0" w:color="auto"/>
        <w:bottom w:val="none" w:sz="0" w:space="0" w:color="auto"/>
        <w:right w:val="none" w:sz="0" w:space="0" w:color="auto"/>
      </w:divBdr>
    </w:div>
    <w:div w:id="1716469686">
      <w:bodyDiv w:val="1"/>
      <w:marLeft w:val="0"/>
      <w:marRight w:val="0"/>
      <w:marTop w:val="0"/>
      <w:marBottom w:val="0"/>
      <w:divBdr>
        <w:top w:val="none" w:sz="0" w:space="0" w:color="auto"/>
        <w:left w:val="none" w:sz="0" w:space="0" w:color="auto"/>
        <w:bottom w:val="none" w:sz="0" w:space="0" w:color="auto"/>
        <w:right w:val="none" w:sz="0" w:space="0" w:color="auto"/>
      </w:divBdr>
    </w:div>
    <w:div w:id="1886284086">
      <w:bodyDiv w:val="1"/>
      <w:marLeft w:val="0"/>
      <w:marRight w:val="0"/>
      <w:marTop w:val="0"/>
      <w:marBottom w:val="0"/>
      <w:divBdr>
        <w:top w:val="none" w:sz="0" w:space="0" w:color="auto"/>
        <w:left w:val="none" w:sz="0" w:space="0" w:color="auto"/>
        <w:bottom w:val="none" w:sz="0" w:space="0" w:color="auto"/>
        <w:right w:val="none" w:sz="0" w:space="0" w:color="auto"/>
      </w:divBdr>
    </w:div>
    <w:div w:id="2012751259">
      <w:bodyDiv w:val="1"/>
      <w:marLeft w:val="0"/>
      <w:marRight w:val="0"/>
      <w:marTop w:val="0"/>
      <w:marBottom w:val="0"/>
      <w:divBdr>
        <w:top w:val="none" w:sz="0" w:space="0" w:color="auto"/>
        <w:left w:val="none" w:sz="0" w:space="0" w:color="auto"/>
        <w:bottom w:val="none" w:sz="0" w:space="0" w:color="auto"/>
        <w:right w:val="none" w:sz="0" w:space="0" w:color="auto"/>
      </w:divBdr>
    </w:div>
    <w:div w:id="202709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urn:act:du:2015::613(art(70)par(8))/?created=Artur%2EZiemski:2017%2D05%2D19&amp;modified=Artur%2EZiemski:2017%2D05%2D19" TargetMode="Externa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urn:verd:SN:V%20CSK%20377%2F2015/?data=2016%2D03%2D17&amp;created=Artur%2EZiemski:2017%2D05%2D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10" Type="http://schemas.openxmlformats.org/officeDocument/2006/relationships/hyperlink" Target="urn:verd:NSA%20W%2Dwa:II%20FSK%20330%2F2015/?data=2016%2D04%2D12&amp;created=Artur%2EZiemski:2017%2D05%2D19" TargetMode="External"/><Relationship Id="rId19" Type="http://schemas.openxmlformats.org/officeDocument/2006/relationships/hyperlink" Target="https://sip.lex.p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urn:act:du:2015::613(art(70)par(6))/?data=2002%2D12%2D30&amp;created=Artur%2EZiemski:2017%2D05%2D19" TargetMode="External"/><Relationship Id="rId30" Type="http://schemas.openxmlformats.org/officeDocument/2006/relationships/hyperlink" Target="http://abc/scripts/A?../../du/2005/0060_000.htm" TargetMode="External"/><Relationship Id="rId8" Type="http://schemas.openxmlformats.org/officeDocument/2006/relationships/hyperlink" Target="https://sip.lex.pl/"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lexisnexis.fr/pdf/DO/charte.pdf" TargetMode="External"/><Relationship Id="rId18" Type="http://schemas.openxmlformats.org/officeDocument/2006/relationships/hyperlink" Target="http://www.ciat.org/index.php/en/products-and-services/ciatdata/tax-rates/145.html?task=view" TargetMode="External"/><Relationship Id="rId26" Type="http://schemas.openxmlformats.org/officeDocument/2006/relationships/hyperlink" Target="https://www.gov.uk/guidance/tax-disputes-alternative-dispute-resolution-adr" TargetMode="External"/><Relationship Id="rId3" Type="http://schemas.openxmlformats.org/officeDocument/2006/relationships/hyperlink" Target="http://www.ciat.org/index.php/en/products-and-services/ciatdata/tax-rates/145.html?task=view" TargetMode="External"/><Relationship Id="rId21" Type="http://schemas.openxmlformats.org/officeDocument/2006/relationships/hyperlink" Target="https://www.nik.gov.pl/plik/id.6783.vp.8611.pdf" TargetMode="External"/><Relationship Id="rId34" Type="http://schemas.openxmlformats.org/officeDocument/2006/relationships/hyperlink" Target="http://www.irs.gov/Businesses/Pre-Filing-Agreement-Program" TargetMode="External"/><Relationship Id="rId7" Type="http://schemas.openxmlformats.org/officeDocument/2006/relationships/hyperlink" Target="http://www.oecd.org/site/ctpfta/49428016.pdf" TargetMode="External"/><Relationship Id="rId12" Type="http://schemas.openxmlformats.org/officeDocument/2006/relationships/hyperlink" Target="http://www.boe.es/diario_boe/txt.php?id=BOE-A-2003-23186" TargetMode="External"/><Relationship Id="rId17" Type="http://schemas.openxmlformats.org/officeDocument/2006/relationships/hyperlink" Target="http://www.mf.gov.pl/c/document_library/get_file?uuid=6627246f-40c7-425b-86f4-6524544e9089&amp;groupId=764034" TargetMode="External"/><Relationship Id="rId25" Type="http://schemas.openxmlformats.org/officeDocument/2006/relationships/hyperlink" Target="https://www.ato.gov.au/Forms/Objection-form---for-taxpayers/" TargetMode="External"/><Relationship Id="rId33" Type="http://schemas.openxmlformats.org/officeDocument/2006/relationships/hyperlink" Target="http://www.nsa.gov.pl" TargetMode="External"/><Relationship Id="rId2" Type="http://schemas.openxmlformats.org/officeDocument/2006/relationships/hyperlink" Target="http://www.ciat.org/index.php/en/products-and-services/ciatdata/tax-rates/145.html?task=view" TargetMode="External"/><Relationship Id="rId16" Type="http://schemas.openxmlformats.org/officeDocument/2006/relationships/hyperlink" Target="http://www.coe.int" TargetMode="External"/><Relationship Id="rId20" Type="http://schemas.openxmlformats.org/officeDocument/2006/relationships/hyperlink" Target="http://www.ciat.org/index.php/en/products-and-services/ciatdata/tax-rates/145.html?task=view" TargetMode="External"/><Relationship Id="rId29" Type="http://schemas.openxmlformats.org/officeDocument/2006/relationships/hyperlink" Target="http://www.nsa.gov.pl/raport-ekspercki-kpa.php" TargetMode="External"/><Relationship Id="rId1" Type="http://schemas.openxmlformats.org/officeDocument/2006/relationships/hyperlink" Target="http://legislacja.rcl.gov.pl/projekt/12274851/katalog/12300341" TargetMode="External"/><Relationship Id="rId6" Type="http://schemas.openxmlformats.org/officeDocument/2006/relationships/hyperlink" Target="http://www.sejm.gov.pl" TargetMode="External"/><Relationship Id="rId11" Type="http://schemas.openxmlformats.org/officeDocument/2006/relationships/hyperlink" Target="https://www.ato.gov.au/About-ATO/About-us/In-detail/Taxpayers-charter/" TargetMode="External"/><Relationship Id="rId24" Type="http://schemas.openxmlformats.org/officeDocument/2006/relationships/hyperlink" Target="file:///C:\Users\wlogurba\AWLG\Desktop\KKOPP%20Post%20pod.%20WLG\%20https:\www.nik.gov.pl\kontrole\wyniki-kontroli-nik\pobierz,p_10_003-kolegia-odwolawcze,typ,kk.pdf+&amp;cd=1&amp;hl=pl&amp;ct=clnk&amp;gl=pl" TargetMode="External"/><Relationship Id="rId32" Type="http://schemas.openxmlformats.org/officeDocument/2006/relationships/hyperlink" Target="http://www.nsa.gov.pl/raport-ekspercki-kpa.php" TargetMode="External"/><Relationship Id="rId5" Type="http://schemas.openxmlformats.org/officeDocument/2006/relationships/hyperlink" Target="http://www.cfe-eutax.org/node/3134" TargetMode="External"/><Relationship Id="rId15" Type="http://schemas.openxmlformats.org/officeDocument/2006/relationships/hyperlink" Target="http://www.nsa.gov.pl/raport-ekspercki-kpa.php" TargetMode="External"/><Relationship Id="rId23" Type="http://schemas.openxmlformats.org/officeDocument/2006/relationships/hyperlink" Target="http://www.nsa.gov.pl/raport-ekspercki-kpa.php" TargetMode="External"/><Relationship Id="rId28" Type="http://schemas.openxmlformats.org/officeDocument/2006/relationships/hyperlink" Target="http://www.pwc.pl" TargetMode="External"/><Relationship Id="rId36" Type="http://schemas.openxmlformats.org/officeDocument/2006/relationships/hyperlink" Target="https://bip.mswia.gov.pl/bip/raport-o-stanie-bezpie/18405,Raport-o-stanie-bezpieczenstwa.html" TargetMode="External"/><Relationship Id="rId10" Type="http://schemas.openxmlformats.org/officeDocument/2006/relationships/hyperlink" Target="https://www.irs.gov/taxpayer-bill-of-rights" TargetMode="External"/><Relationship Id="rId19" Type="http://schemas.openxmlformats.org/officeDocument/2006/relationships/hyperlink" Target="http://www.poltax.pl/przebudowa_ordynacji_podatkowej/" TargetMode="External"/><Relationship Id="rId31" Type="http://schemas.openxmlformats.org/officeDocument/2006/relationships/hyperlink" Target="http://www.nsa.gov.pl/raport-ekspercko-kpa.php" TargetMode="External"/><Relationship Id="rId4" Type="http://schemas.openxmlformats.org/officeDocument/2006/relationships/hyperlink" Target="https://ec.europa.eu/taxation_customs/sites/taxation/files/guidelines_for_a_model_for_a_european_taxpayers_code_pl.pdf" TargetMode="External"/><Relationship Id="rId9" Type="http://schemas.openxmlformats.org/officeDocument/2006/relationships/hyperlink" Target="https://www.canada.ca/en/revenue-agency/corporate/about-canada-revenue-agency-cra/taxpayer-bill-rights.html" TargetMode="External"/><Relationship Id="rId14" Type="http://schemas.openxmlformats.org/officeDocument/2006/relationships/hyperlink" Target="https://www.gov.uk/government/publications/your-charter/your-charter" TargetMode="External"/><Relationship Id="rId22" Type="http://schemas.openxmlformats.org/officeDocument/2006/relationships/hyperlink" Target="http://legislacja.rcl.gov.pl/docs/6/12278502/12319080/dokument192445.pdf" TargetMode="External"/><Relationship Id="rId27" Type="http://schemas.openxmlformats.org/officeDocument/2006/relationships/hyperlink" Target="http://www.sejm.gov.pl" TargetMode="External"/><Relationship Id="rId30" Type="http://schemas.openxmlformats.org/officeDocument/2006/relationships/hyperlink" Target="http://legislacja.rcl.gov.pl/docs/6/12278502/12319080/dokument192445.pdf" TargetMode="External"/><Relationship Id="rId35" Type="http://schemas.openxmlformats.org/officeDocument/2006/relationships/hyperlink" Target="http://www.mf.gov.pl" TargetMode="External"/><Relationship Id="rId8" Type="http://schemas.openxmlformats.org/officeDocument/2006/relationships/hyperlink" Target="http://www.revenue.ie/en/corporate/information-about-revenue/customer-service/customer-charter/index.asp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2105A-34E8-4520-826F-3C0D0B596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693</Pages>
  <Words>252290</Words>
  <Characters>1513743</Characters>
  <Application>Microsoft Office Word</Application>
  <DocSecurity>0</DocSecurity>
  <Lines>12614</Lines>
  <Paragraphs>3525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Rektor</dc:creator>
  <cp:lastModifiedBy>Binkowska Joanna</cp:lastModifiedBy>
  <cp:revision>2</cp:revision>
  <dcterms:created xsi:type="dcterms:W3CDTF">2019-06-04T09:22:00Z</dcterms:created>
  <dcterms:modified xsi:type="dcterms:W3CDTF">2019-06-04T09:22:00Z</dcterms:modified>
</cp:coreProperties>
</file>