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01" w:rsidRPr="005E2DD6" w:rsidRDefault="009B0801" w:rsidP="009B0801">
      <w:pPr>
        <w:pStyle w:val="OZNPROJEKTUwskazaniedatylubwersjiprojektu"/>
      </w:pPr>
      <w:r>
        <w:t>Projekt</w:t>
      </w:r>
    </w:p>
    <w:p w:rsidR="009B0801" w:rsidRPr="005E2DD6" w:rsidRDefault="009B0801" w:rsidP="009B0801">
      <w:pPr>
        <w:pStyle w:val="OZNRODZAKTUtznustawalubrozporzdzenieiorganwydajcy"/>
      </w:pPr>
      <w:r w:rsidRPr="005E2DD6">
        <w:t>USTAWA</w:t>
      </w:r>
    </w:p>
    <w:p w:rsidR="009B0801" w:rsidRPr="005E2DD6" w:rsidRDefault="009B0801" w:rsidP="009B0801">
      <w:pPr>
        <w:pStyle w:val="DATAAKTUdatauchwalenialubwydaniaaktu"/>
      </w:pPr>
      <w:r w:rsidRPr="005E2DD6">
        <w:t xml:space="preserve">z dnia </w:t>
      </w:r>
    </w:p>
    <w:p w:rsidR="009B0801" w:rsidRPr="009B0801" w:rsidRDefault="009B0801" w:rsidP="009B0801">
      <w:pPr>
        <w:pStyle w:val="TYTUAKTUprzedmiotregulacjiustawylubrozporzdzenia"/>
      </w:pPr>
      <w:r w:rsidRPr="005E2DD6">
        <w:t>o zmianie ustawy – Prawo ochrony środowiska</w:t>
      </w:r>
      <w:r>
        <w:t xml:space="preserve"> oraz ustawy o Inspekcji Handlowej</w:t>
      </w:r>
      <w:r w:rsidRPr="00882DD5">
        <w:rPr>
          <w:rStyle w:val="IGPindeksgrnyipogrubienie"/>
        </w:rPr>
        <w:footnoteReference w:id="1"/>
      </w:r>
      <w:r>
        <w:rPr>
          <w:rStyle w:val="IGindeksgrny"/>
        </w:rPr>
        <w:t>)</w:t>
      </w:r>
    </w:p>
    <w:p w:rsidR="009B0801" w:rsidRDefault="009B0801" w:rsidP="009B0801">
      <w:pPr>
        <w:pStyle w:val="ARTartustawynprozporzdzenia"/>
      </w:pPr>
      <w:r w:rsidRPr="005E2DD6">
        <w:rPr>
          <w:rStyle w:val="Ppogrubienie"/>
        </w:rPr>
        <w:t>Art. 1.</w:t>
      </w:r>
      <w:r w:rsidRPr="005E2DD6">
        <w:t xml:space="preserve"> W ustawie z dnia 27 kwietnia 2001 r. – Prawo ochrony środowiska (Dz. U. z 201</w:t>
      </w:r>
      <w:r>
        <w:t>8</w:t>
      </w:r>
      <w:r w:rsidRPr="005E2DD6">
        <w:t> r. poz. </w:t>
      </w:r>
      <w:r>
        <w:t>799,</w:t>
      </w:r>
      <w:r w:rsidRPr="005E2DD6">
        <w:t xml:space="preserve"> z </w:t>
      </w:r>
      <w:proofErr w:type="spellStart"/>
      <w:r w:rsidRPr="005E2DD6">
        <w:t>późn</w:t>
      </w:r>
      <w:proofErr w:type="spellEnd"/>
      <w:r w:rsidRPr="005E2DD6">
        <w:t>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 w:rsidRPr="005E2DD6">
        <w:t>) wprowadza się następujące zmiany:</w:t>
      </w:r>
    </w:p>
    <w:p w:rsidR="009B0801" w:rsidRDefault="009B0801" w:rsidP="009B0801">
      <w:pPr>
        <w:pStyle w:val="PKTpunkt"/>
      </w:pPr>
      <w:r>
        <w:t>1)</w:t>
      </w:r>
      <w:r>
        <w:tab/>
        <w:t>po art. 168a dodaje się art. 168b w brzmieniu:</w:t>
      </w:r>
    </w:p>
    <w:p w:rsidR="009B0801" w:rsidRDefault="009B0801" w:rsidP="009B0801">
      <w:pPr>
        <w:pStyle w:val="ZARTzmartartykuempunktem"/>
      </w:pPr>
      <w:r>
        <w:t xml:space="preserve">„Art. 168b. 1. Kontrolę spełniania przez wprowadzony do obrotu kocioł na paliwo stałe </w:t>
      </w:r>
      <w:r w:rsidRPr="00F310EA">
        <w:t xml:space="preserve">o znamionowej mocy cieplnej nie </w:t>
      </w:r>
      <w:r w:rsidRPr="00F310EA">
        <w:rPr>
          <w:rFonts w:hint="eastAsia"/>
        </w:rPr>
        <w:t>większej</w:t>
      </w:r>
      <w:r w:rsidRPr="00F310EA">
        <w:t xml:space="preserve"> niż 500 kW </w:t>
      </w:r>
      <w:r>
        <w:t>wymagań określonych w przepisach wydanych na podstawie art. 169 ust. 1 prowadzą właściwe organy Inspekcji Handlowej</w:t>
      </w:r>
      <w:r w:rsidRPr="009B0801">
        <w:t xml:space="preserve"> </w:t>
      </w:r>
      <w:r w:rsidRPr="00CB0C6D">
        <w:t xml:space="preserve">na zasadach określonych w </w:t>
      </w:r>
      <w:r>
        <w:t xml:space="preserve">przepisach </w:t>
      </w:r>
      <w:r w:rsidRPr="00CB0C6D">
        <w:t>ustaw</w:t>
      </w:r>
      <w:r>
        <w:t>y z dnia 15 grudnia 2000 r. o </w:t>
      </w:r>
      <w:r w:rsidRPr="00CB0C6D">
        <w:t>Inspekcji Handlowej (Dz. U. z 2018 r. poz. 1930 i 2227)</w:t>
      </w:r>
      <w:r>
        <w:t>.</w:t>
      </w:r>
    </w:p>
    <w:p w:rsidR="009B0801" w:rsidRDefault="009B0801" w:rsidP="009B0801">
      <w:pPr>
        <w:pStyle w:val="ZARTzmartartykuempunktem"/>
      </w:pPr>
      <w:r>
        <w:t>2. Organy, o których mowa w ust. 1, przekazują do Prezesa Urzędu Ochrony Konkurencji i Konsumentów wyniki przeprowadzonych kontroli zawierające następujące dane:</w:t>
      </w:r>
    </w:p>
    <w:p w:rsidR="009B0801" w:rsidRPr="00BF5404" w:rsidRDefault="009B0801" w:rsidP="009B0801">
      <w:pPr>
        <w:pStyle w:val="ZPKTzmpktartykuempunktem"/>
      </w:pPr>
      <w:r>
        <w:t>1)</w:t>
      </w:r>
      <w:r>
        <w:tab/>
        <w:t>liczbę</w:t>
      </w:r>
      <w:r w:rsidRPr="00BF5404">
        <w:t xml:space="preserve"> przeprowadzonych kontroli</w:t>
      </w:r>
      <w:r>
        <w:t>;</w:t>
      </w:r>
    </w:p>
    <w:p w:rsidR="009B0801" w:rsidRPr="00BF5404" w:rsidRDefault="009B0801" w:rsidP="009B0801">
      <w:pPr>
        <w:pStyle w:val="ZPKTzmpktartykuempunktem"/>
      </w:pPr>
      <w:r>
        <w:t>2)</w:t>
      </w:r>
      <w:r>
        <w:tab/>
        <w:t>liczbę</w:t>
      </w:r>
      <w:r w:rsidRPr="00BF5404">
        <w:t xml:space="preserve"> skontrolowanych podmiotów</w:t>
      </w:r>
      <w:r>
        <w:t>;</w:t>
      </w:r>
    </w:p>
    <w:p w:rsidR="009B0801" w:rsidRPr="00BF5404" w:rsidRDefault="009B0801" w:rsidP="009B0801">
      <w:pPr>
        <w:pStyle w:val="ZPKTzmpktartykuempunktem"/>
      </w:pPr>
      <w:r>
        <w:t>3)</w:t>
      </w:r>
      <w:r>
        <w:tab/>
        <w:t>liczbę</w:t>
      </w:r>
      <w:r w:rsidRPr="00BF5404">
        <w:t xml:space="preserve"> skontrolowanych kotłów na paliwo stałe</w:t>
      </w:r>
      <w:r w:rsidRPr="009B0801">
        <w:t xml:space="preserve"> </w:t>
      </w:r>
      <w:r w:rsidRPr="00F310EA">
        <w:t xml:space="preserve">o znamionowej mocy cieplnej nie </w:t>
      </w:r>
      <w:r w:rsidRPr="00F310EA">
        <w:rPr>
          <w:rFonts w:hint="eastAsia"/>
        </w:rPr>
        <w:t>większej</w:t>
      </w:r>
      <w:r w:rsidRPr="00F310EA">
        <w:t xml:space="preserve"> niż 500 kW</w:t>
      </w:r>
      <w:r>
        <w:t>;</w:t>
      </w:r>
    </w:p>
    <w:p w:rsidR="009B0801" w:rsidRPr="00BF5404" w:rsidRDefault="009B0801" w:rsidP="009B0801">
      <w:pPr>
        <w:pStyle w:val="ZPKTzmpktartykuempunktem"/>
      </w:pPr>
      <w:r>
        <w:t>4)</w:t>
      </w:r>
      <w:r>
        <w:tab/>
        <w:t>liczbę i rodzaj</w:t>
      </w:r>
      <w:r w:rsidRPr="00BF5404">
        <w:t xml:space="preserve"> stwierdzonych nieprawidłowości</w:t>
      </w:r>
      <w:r>
        <w:t>;</w:t>
      </w:r>
    </w:p>
    <w:p w:rsidR="009B0801" w:rsidRDefault="009B0801" w:rsidP="009B0801">
      <w:pPr>
        <w:pStyle w:val="ZPKTzmpktartykuempunktem"/>
      </w:pPr>
      <w:r>
        <w:t>5)</w:t>
      </w:r>
      <w:r>
        <w:tab/>
        <w:t>liczbę</w:t>
      </w:r>
      <w:r w:rsidRPr="00BF5404">
        <w:t xml:space="preserve"> wydanych za</w:t>
      </w:r>
      <w:r>
        <w:t>leceń pokontrolnych oraz liczbę</w:t>
      </w:r>
      <w:r w:rsidRPr="00BF5404">
        <w:t xml:space="preserve"> i wartoś</w:t>
      </w:r>
      <w:r>
        <w:t>ć</w:t>
      </w:r>
      <w:r w:rsidRPr="00BF5404">
        <w:t xml:space="preserve"> nałożonych administracyjnych</w:t>
      </w:r>
      <w:r w:rsidRPr="00454361">
        <w:t xml:space="preserve"> </w:t>
      </w:r>
      <w:r w:rsidRPr="00BF5404">
        <w:t>kar</w:t>
      </w:r>
      <w:r>
        <w:t xml:space="preserve"> pieniężnych</w:t>
      </w:r>
      <w:r w:rsidRPr="00BF5404">
        <w:t>.</w:t>
      </w:r>
    </w:p>
    <w:p w:rsidR="009B0801" w:rsidRDefault="009B0801" w:rsidP="009B0801">
      <w:pPr>
        <w:pStyle w:val="ZARTzmartartykuempunktem"/>
      </w:pPr>
      <w:r>
        <w:t>3. Prezes Urzędu Ochrony Konkurencji i Konsumentów na podstawie danych, o których mowa w ust. 2, podaje do publicznej wiadomości, w terminie do końca marca roku następującego po roku, którego te dane dotyczą, zbiorczą informację zawierającą dane, o których mowa w ust. 2.”;</w:t>
      </w:r>
    </w:p>
    <w:p w:rsidR="009B0801" w:rsidRPr="00E4560B" w:rsidRDefault="009B0801" w:rsidP="009B0801">
      <w:pPr>
        <w:pStyle w:val="PKTpunkt"/>
      </w:pPr>
      <w:r w:rsidRPr="00E4560B">
        <w:lastRenderedPageBreak/>
        <w:t>2)</w:t>
      </w:r>
      <w:r>
        <w:tab/>
      </w:r>
      <w:r w:rsidRPr="00E4560B">
        <w:t>w art. 171b dotychczasową treść oznacza się jako ust. 1 i dodaje się ust. 2 w brzmieniu:</w:t>
      </w:r>
    </w:p>
    <w:p w:rsidR="009B0801" w:rsidRPr="009B0801" w:rsidRDefault="009B0801" w:rsidP="009B0801">
      <w:pPr>
        <w:pStyle w:val="ZARTzmartartykuempunktem"/>
      </w:pPr>
      <w:r w:rsidRPr="00E4560B">
        <w:t>„2. Uwzględniając potrzebę ograniczania negatywnego wpływu na środowisko oraz zdrowie i życie ludzi, przepisu ust. 1 nie stosuje się do kotłów na paliwo stałe</w:t>
      </w:r>
      <w:r>
        <w:t xml:space="preserve"> o </w:t>
      </w:r>
      <w:r w:rsidRPr="00E4560B">
        <w:t>znamionowej mocy cieplnej nie większej niż 500 kW, które nie spełniaj</w:t>
      </w:r>
      <w:r w:rsidRPr="00E4560B">
        <w:rPr>
          <w:rFonts w:hint="eastAsia"/>
        </w:rPr>
        <w:t>ą</w:t>
      </w:r>
      <w:r w:rsidRPr="00E4560B">
        <w:t xml:space="preserve"> wymagań określonych w przepisach wydanych na podstawie art. 169 ust. 1.”;</w:t>
      </w:r>
      <w:r>
        <w:t xml:space="preserve"> </w:t>
      </w:r>
    </w:p>
    <w:p w:rsidR="009B0801" w:rsidRPr="00E4560B" w:rsidRDefault="009B0801" w:rsidP="009B0801">
      <w:pPr>
        <w:pStyle w:val="PKTpunkt"/>
      </w:pPr>
      <w:r w:rsidRPr="00E4560B">
        <w:t>3)</w:t>
      </w:r>
      <w:r>
        <w:tab/>
      </w:r>
      <w:r w:rsidRPr="00E4560B">
        <w:t xml:space="preserve">w tytule III </w:t>
      </w:r>
      <w:r>
        <w:t xml:space="preserve">w </w:t>
      </w:r>
      <w:r w:rsidRPr="00E4560B">
        <w:t xml:space="preserve">dziale II </w:t>
      </w:r>
      <w:r>
        <w:t xml:space="preserve">w </w:t>
      </w:r>
      <w:r w:rsidRPr="00E4560B">
        <w:t xml:space="preserve">rozdziale </w:t>
      </w:r>
      <w:r>
        <w:t>3</w:t>
      </w:r>
      <w:r w:rsidRPr="00E4560B">
        <w:t xml:space="preserve"> po art. 172 dodaje się art. 172a w brzmieniu:</w:t>
      </w:r>
    </w:p>
    <w:p w:rsidR="009B0801" w:rsidRDefault="009B0801" w:rsidP="009B0801">
      <w:pPr>
        <w:pStyle w:val="ZARTzmartartykuempunktem"/>
      </w:pPr>
      <w:r>
        <w:t>„Art. 172a. Ilekroć w niniejszym rozdziale jest mowa o:</w:t>
      </w:r>
    </w:p>
    <w:p w:rsidR="009B0801" w:rsidRPr="009B0801" w:rsidRDefault="009B0801" w:rsidP="009B0801">
      <w:pPr>
        <w:pStyle w:val="ZPKTzmpktartykuempunktem"/>
      </w:pPr>
      <w:r w:rsidRPr="009B0801">
        <w:t>„1)</w:t>
      </w:r>
      <w:r>
        <w:tab/>
      </w:r>
      <w:r w:rsidRPr="009B0801">
        <w:t xml:space="preserve">kotle na paliwo stałe o znamionowej mocy cieplnej nie </w:t>
      </w:r>
      <w:r w:rsidRPr="009B0801">
        <w:rPr>
          <w:rFonts w:hint="eastAsia"/>
        </w:rPr>
        <w:t>większej</w:t>
      </w:r>
      <w:r w:rsidRPr="009B0801">
        <w:t xml:space="preserve"> niż 500 kW – rozumie się przez to kocioł na paliwo stałe o znamionowej mocy cieplnej nie większej niż 500 kW, w tym kocioł wchodzący w skład zestawów zawierających kocioł na paliwo stałe, ogrzewacze dodatkowe, regulatory temperatury i urządzenia słoneczne, o którym mowa w art. 1 ust. 2 lit. a i d rozporządzenia Komisji (UE) 2015/1189 z dnia 28 kwietnia 2015 r. w sprawie wykonania dyrektywy Parlamentu Europejskiego i Rady 2009/125/WE w odniesieniu do wymogów dotyczących </w:t>
      </w:r>
      <w:proofErr w:type="spellStart"/>
      <w:r w:rsidRPr="009B0801">
        <w:t>ekoprojektu</w:t>
      </w:r>
      <w:proofErr w:type="spellEnd"/>
      <w:r w:rsidRPr="009B0801">
        <w:t xml:space="preserve"> dla kotłów na paliwo stałe (Dz. Urz. UE </w:t>
      </w:r>
      <w:r w:rsidR="00DB35B7">
        <w:t>L 193 z 21.07.2015, str. 100, z </w:t>
      </w:r>
      <w:proofErr w:type="spellStart"/>
      <w:r w:rsidRPr="009B0801">
        <w:t>późn</w:t>
      </w:r>
      <w:proofErr w:type="spellEnd"/>
      <w:r w:rsidRPr="009B0801">
        <w:t>. zm.</w:t>
      </w:r>
      <w:r w:rsidR="00DB35B7">
        <w:rPr>
          <w:rStyle w:val="Odwoanieprzypisudolnego"/>
        </w:rPr>
        <w:footnoteReference w:id="3"/>
      </w:r>
      <w:r w:rsidR="00DB35B7">
        <w:rPr>
          <w:rStyle w:val="IGindeksgrny"/>
        </w:rPr>
        <w:t>)</w:t>
      </w:r>
      <w:r w:rsidR="00DB35B7">
        <w:t>)</w:t>
      </w:r>
      <w:r w:rsidRPr="009B0801">
        <w:t xml:space="preserve">, z wyłączeniem kotła </w:t>
      </w:r>
      <w:r w:rsidRPr="005D1F2D">
        <w:t>o znamionowej</w:t>
      </w:r>
      <w:r>
        <w:t xml:space="preserve"> mocy cieplnej większej niż 100 </w:t>
      </w:r>
      <w:r w:rsidRPr="005D1F2D">
        <w:t>kW z ręcznym zasilaniem balotami słomy</w:t>
      </w:r>
      <w:r>
        <w:t>;</w:t>
      </w:r>
      <w:r w:rsidRPr="005D1F2D">
        <w:t xml:space="preserve"> </w:t>
      </w:r>
    </w:p>
    <w:p w:rsidR="009B0801" w:rsidRDefault="009B0801" w:rsidP="009B0801">
      <w:pPr>
        <w:pStyle w:val="ZPKTzmpktartykuempunktem"/>
      </w:pPr>
      <w:r w:rsidRPr="009B0801">
        <w:t>2)</w:t>
      </w:r>
      <w:r>
        <w:tab/>
      </w:r>
      <w:r w:rsidRPr="009B0801">
        <w:t xml:space="preserve">wprowadzeniu do obrotu kotła na paliwo stałe o znamionowej mocy cieplnej nie </w:t>
      </w:r>
      <w:r w:rsidRPr="009B0801">
        <w:rPr>
          <w:rFonts w:hint="eastAsia"/>
        </w:rPr>
        <w:t>większej</w:t>
      </w:r>
      <w:r w:rsidRPr="009B0801">
        <w:t xml:space="preserve"> niż 500 kW – rozumie się przez to każde rozporządzenie kotłem na paliwo stałe o znamionowej mocy cieplnej nie </w:t>
      </w:r>
      <w:r w:rsidRPr="009B0801">
        <w:rPr>
          <w:rFonts w:hint="eastAsia"/>
        </w:rPr>
        <w:t>większej</w:t>
      </w:r>
      <w:r w:rsidRPr="009B0801">
        <w:t xml:space="preserve"> niż 500 kW na terytorium Rzeczypospolitej Polskiej przez dokonanie jakiejkolwiek czynności prawnej lub faktycznej, w tym najem oraz sprzedaż za pomocą środków porozumiewania się na odległość, w ramach prowadzonej </w:t>
      </w:r>
      <w:r w:rsidRPr="009B0801">
        <w:rPr>
          <w:rFonts w:hint="eastAsia"/>
        </w:rPr>
        <w:t>działalności</w:t>
      </w:r>
      <w:r>
        <w:t xml:space="preserve"> gospodarczej lub realizowane w </w:t>
      </w:r>
      <w:r w:rsidRPr="009B0801">
        <w:t>innej formie niż w ramach prowadzonej działalności gospodarczej.”;</w:t>
      </w:r>
    </w:p>
    <w:p w:rsidR="009B0801" w:rsidRDefault="009B0801" w:rsidP="009B0801">
      <w:pPr>
        <w:pStyle w:val="PKTpunkt"/>
      </w:pPr>
      <w:r>
        <w:t>4)</w:t>
      </w:r>
      <w:r>
        <w:tab/>
        <w:t>w</w:t>
      </w:r>
      <w:r w:rsidRPr="005E2DD6">
        <w:t xml:space="preserve"> tytule V </w:t>
      </w:r>
      <w:r>
        <w:t xml:space="preserve">dodaje się dział VI </w:t>
      </w:r>
      <w:r w:rsidRPr="005E2DD6">
        <w:t xml:space="preserve">w brzmieniu: </w:t>
      </w:r>
    </w:p>
    <w:p w:rsidR="009B0801" w:rsidRPr="009B0801" w:rsidRDefault="009B0801" w:rsidP="009B0801">
      <w:pPr>
        <w:pStyle w:val="ZTYTDZOZNzmozntytuudziauartykuempunktem"/>
      </w:pPr>
      <w:r w:rsidRPr="009B0801">
        <w:t>„Dział VI</w:t>
      </w:r>
    </w:p>
    <w:p w:rsidR="009B0801" w:rsidRPr="009B0801" w:rsidRDefault="009B0801" w:rsidP="009B0801">
      <w:pPr>
        <w:pStyle w:val="ZTYTDZPRZEDMzmprzedmtytuulubdziauartykuempunktem"/>
      </w:pPr>
      <w:r w:rsidRPr="009B0801">
        <w:t>Administracyjne kary pieniężne za naruszenie zakazu wprowadzania do obrotu kot</w:t>
      </w:r>
      <w:r w:rsidRPr="009B0801">
        <w:rPr>
          <w:rFonts w:hint="eastAsia"/>
        </w:rPr>
        <w:t>łó</w:t>
      </w:r>
      <w:r w:rsidRPr="009B0801">
        <w:t>w na paliwo sta</w:t>
      </w:r>
      <w:r w:rsidRPr="009B0801">
        <w:rPr>
          <w:rFonts w:hint="eastAsia"/>
        </w:rPr>
        <w:t>ł</w:t>
      </w:r>
      <w:r w:rsidRPr="009B0801">
        <w:t>e o znamionowej mocy cieplnej nie większej niż 500 kW niespełniających wymagań</w:t>
      </w:r>
    </w:p>
    <w:p w:rsidR="009B0801" w:rsidRPr="005E2DD6" w:rsidRDefault="009B0801" w:rsidP="009B0801">
      <w:pPr>
        <w:pStyle w:val="ZARTzmartartykuempunktem"/>
      </w:pPr>
      <w:r w:rsidRPr="005E2DD6">
        <w:t>Art. 3</w:t>
      </w:r>
      <w:r>
        <w:t>21k.</w:t>
      </w:r>
      <w:r w:rsidRPr="005E2DD6">
        <w:t xml:space="preserve"> 1. </w:t>
      </w:r>
      <w:r>
        <w:t xml:space="preserve">Przedsiębiorca, który narusza </w:t>
      </w:r>
      <w:r w:rsidRPr="005E2DD6">
        <w:t>zakaz określony w art. 171</w:t>
      </w:r>
      <w:r>
        <w:t xml:space="preserve"> przez wprowadzenie do obrotu kotła na paliwo stałe o znamionowej mocy cieplnej nie </w:t>
      </w:r>
      <w:r>
        <w:lastRenderedPageBreak/>
        <w:t>większej niż 500 kW w rozumieniu art. 172a pkt 2, który nie odpowiada wymaganiom określonym w przepisach wydanych na podstawie art. 169 ust. 1, podlega a</w:t>
      </w:r>
      <w:r w:rsidRPr="005E2DD6">
        <w:t>dministracyjnej karze pieniężnej.</w:t>
      </w:r>
    </w:p>
    <w:p w:rsidR="009B0801" w:rsidRDefault="009B0801" w:rsidP="009B0801">
      <w:pPr>
        <w:pStyle w:val="ZUSTzmustartykuempunktem"/>
      </w:pPr>
      <w:r w:rsidRPr="005E2DD6">
        <w:t xml:space="preserve">2. </w:t>
      </w:r>
      <w:r>
        <w:t xml:space="preserve">Administracyjna kara pieniężna wynosi do </w:t>
      </w:r>
      <w:r w:rsidRPr="00D4613D">
        <w:t>5% przychodu przedsi</w:t>
      </w:r>
      <w:r w:rsidRPr="00D4613D">
        <w:rPr>
          <w:rFonts w:hint="eastAsia"/>
        </w:rPr>
        <w:t>ę</w:t>
      </w:r>
      <w:r w:rsidRPr="00D4613D">
        <w:t>biorcy</w:t>
      </w:r>
      <w:r w:rsidRPr="00C6226B">
        <w:t xml:space="preserve"> osi</w:t>
      </w:r>
      <w:r w:rsidRPr="00C6226B">
        <w:rPr>
          <w:rFonts w:hint="eastAsia"/>
        </w:rPr>
        <w:t>ą</w:t>
      </w:r>
      <w:r w:rsidRPr="00C6226B">
        <w:t>gni</w:t>
      </w:r>
      <w:r w:rsidRPr="00C6226B">
        <w:rPr>
          <w:rFonts w:hint="eastAsia"/>
        </w:rPr>
        <w:t>ę</w:t>
      </w:r>
      <w:r w:rsidRPr="00C6226B">
        <w:t>tego w poprzednim roku kalendarzowym, nie mniej ni</w:t>
      </w:r>
      <w:r w:rsidRPr="00C6226B">
        <w:rPr>
          <w:rFonts w:hint="eastAsia"/>
        </w:rPr>
        <w:t>ż</w:t>
      </w:r>
      <w:r w:rsidRPr="00C6226B">
        <w:t xml:space="preserve"> 10 000 z</w:t>
      </w:r>
      <w:r w:rsidRPr="00C6226B">
        <w:rPr>
          <w:rFonts w:hint="eastAsia"/>
        </w:rPr>
        <w:t>ł</w:t>
      </w:r>
      <w:r>
        <w:t>.</w:t>
      </w:r>
    </w:p>
    <w:p w:rsidR="009B0801" w:rsidRPr="00C6226B" w:rsidRDefault="009B0801" w:rsidP="009B0801">
      <w:pPr>
        <w:pStyle w:val="ZUSTzmustartykuempunktem"/>
      </w:pPr>
      <w:r>
        <w:t>3. Jeżeli przedsiębiorca w poprzednim roku kalendarzowym nie osiągnął przychodu albo nie prowadził działalności gospodarczej administracyjna kara pieniężna wynosi 10 000 zł.</w:t>
      </w:r>
    </w:p>
    <w:p w:rsidR="009B0801" w:rsidRPr="0099034B" w:rsidRDefault="009B0801" w:rsidP="009B0801">
      <w:pPr>
        <w:pStyle w:val="ZUSTzmustartykuempunktem"/>
      </w:pPr>
      <w:r>
        <w:t>4</w:t>
      </w:r>
      <w:r w:rsidRPr="0099034B">
        <w:t xml:space="preserve">. </w:t>
      </w:r>
      <w:r>
        <w:t>A</w:t>
      </w:r>
      <w:r w:rsidRPr="0099034B">
        <w:t>dministracyjną karę pieniężną wymierza, w drodze decyzji, wojewódzki inspektor Inspekcji Handlowej właściwy ze względu na miejsce przeprowadzenia kontroli</w:t>
      </w:r>
      <w:r>
        <w:t>, o której mowa w art. 168b ust. 1</w:t>
      </w:r>
      <w:r w:rsidRPr="0099034B">
        <w:t>.</w:t>
      </w:r>
    </w:p>
    <w:p w:rsidR="009B0801" w:rsidRPr="0099034B" w:rsidRDefault="009B0801" w:rsidP="009B0801">
      <w:pPr>
        <w:pStyle w:val="ZUSTzmustartykuempunktem"/>
      </w:pPr>
      <w:r>
        <w:t>5</w:t>
      </w:r>
      <w:r w:rsidRPr="0099034B">
        <w:t>. Przedsi</w:t>
      </w:r>
      <w:r w:rsidRPr="0099034B">
        <w:rPr>
          <w:rFonts w:hint="eastAsia"/>
        </w:rPr>
        <w:t>ę</w:t>
      </w:r>
      <w:r w:rsidRPr="0099034B">
        <w:t>biorca jest obowi</w:t>
      </w:r>
      <w:r w:rsidRPr="0099034B">
        <w:rPr>
          <w:rFonts w:hint="eastAsia"/>
        </w:rPr>
        <w:t>ą</w:t>
      </w:r>
      <w:r w:rsidRPr="0099034B">
        <w:t>zany do dostarczenia wojewódzkiemu inspektorowi Inspekcji Handlowej</w:t>
      </w:r>
      <w:r w:rsidRPr="009B0801">
        <w:t xml:space="preserve"> </w:t>
      </w:r>
      <w:r w:rsidRPr="0099034B">
        <w:t xml:space="preserve">właściwemu ze względu na miejsce przeprowadzenia kontroli, </w:t>
      </w:r>
      <w:r>
        <w:t xml:space="preserve">o której mowa w art. 168b ust. 1, </w:t>
      </w:r>
      <w:r w:rsidRPr="0099034B">
        <w:t>na ka</w:t>
      </w:r>
      <w:r w:rsidRPr="0099034B">
        <w:rPr>
          <w:rFonts w:hint="eastAsia"/>
        </w:rPr>
        <w:t>ż</w:t>
      </w:r>
      <w:r w:rsidRPr="0099034B">
        <w:t xml:space="preserve">de jego </w:t>
      </w:r>
      <w:r>
        <w:t>wezwanie</w:t>
      </w:r>
      <w:r w:rsidRPr="0099034B">
        <w:t>, w terminie 30 dni od dnia otrzymania tego</w:t>
      </w:r>
      <w:r>
        <w:t xml:space="preserve"> wezwania</w:t>
      </w:r>
      <w:r w:rsidRPr="0099034B">
        <w:t>, danych niezb</w:t>
      </w:r>
      <w:r w:rsidRPr="0099034B">
        <w:rPr>
          <w:rFonts w:hint="eastAsia"/>
        </w:rPr>
        <w:t>ę</w:t>
      </w:r>
      <w:r w:rsidRPr="0099034B">
        <w:t>dnych do okre</w:t>
      </w:r>
      <w:r w:rsidRPr="0099034B">
        <w:rPr>
          <w:rFonts w:hint="eastAsia"/>
        </w:rPr>
        <w:t>ś</w:t>
      </w:r>
      <w:r w:rsidRPr="0099034B">
        <w:t>lenia podstawy wymiaru administracyjnej kary pieni</w:t>
      </w:r>
      <w:r w:rsidRPr="0099034B">
        <w:rPr>
          <w:rFonts w:hint="eastAsia"/>
        </w:rPr>
        <w:t>ęż</w:t>
      </w:r>
      <w:r w:rsidRPr="0099034B">
        <w:t>nej.</w:t>
      </w:r>
    </w:p>
    <w:p w:rsidR="009B0801" w:rsidRDefault="009B0801" w:rsidP="009B0801">
      <w:pPr>
        <w:pStyle w:val="ZUSTzmustartykuempunktem"/>
      </w:pPr>
      <w:r>
        <w:t>6</w:t>
      </w:r>
      <w:r w:rsidRPr="0099034B">
        <w:t>. Administracyjna kara pieni</w:t>
      </w:r>
      <w:r w:rsidRPr="0099034B">
        <w:rPr>
          <w:rFonts w:hint="eastAsia"/>
        </w:rPr>
        <w:t>ęż</w:t>
      </w:r>
      <w:r w:rsidRPr="0099034B">
        <w:t>na stanowi dochód bud</w:t>
      </w:r>
      <w:r w:rsidRPr="0099034B">
        <w:rPr>
          <w:rFonts w:hint="eastAsia"/>
        </w:rPr>
        <w:t>ż</w:t>
      </w:r>
      <w:r w:rsidRPr="0099034B">
        <w:t>etu pa</w:t>
      </w:r>
      <w:r w:rsidRPr="0099034B">
        <w:rPr>
          <w:rFonts w:hint="eastAsia"/>
        </w:rPr>
        <w:t>ń</w:t>
      </w:r>
      <w:r w:rsidRPr="0099034B">
        <w:t xml:space="preserve">stwa i jest wnoszona na rachunek bankowy </w:t>
      </w:r>
      <w:r>
        <w:t xml:space="preserve">właściwego </w:t>
      </w:r>
      <w:r w:rsidRPr="0099034B">
        <w:t xml:space="preserve">wojewódzkiego inspektoratu </w:t>
      </w:r>
      <w:r>
        <w:t>I</w:t>
      </w:r>
      <w:r w:rsidRPr="0099034B">
        <w:t xml:space="preserve">nspekcji </w:t>
      </w:r>
      <w:r>
        <w:t>H</w:t>
      </w:r>
      <w:r w:rsidRPr="0099034B">
        <w:t>andlowej.</w:t>
      </w:r>
      <w:r>
        <w:t>”;</w:t>
      </w:r>
    </w:p>
    <w:p w:rsidR="009B0801" w:rsidRPr="009B0801" w:rsidRDefault="009B0801" w:rsidP="009B0801">
      <w:pPr>
        <w:pStyle w:val="PKTpunkt"/>
      </w:pPr>
      <w:r>
        <w:t>5</w:t>
      </w:r>
      <w:r w:rsidRPr="009B0801">
        <w:t>)</w:t>
      </w:r>
      <w:r>
        <w:tab/>
      </w:r>
      <w:r w:rsidRPr="009B0801">
        <w:t>w art. 348 dodaje się ust. 3 w brzmieniu:</w:t>
      </w:r>
    </w:p>
    <w:p w:rsidR="009B0801" w:rsidRPr="00A341BC" w:rsidRDefault="009B0801" w:rsidP="009B0801">
      <w:pPr>
        <w:pStyle w:val="ZUSTzmustartykuempunktem"/>
      </w:pPr>
      <w:r w:rsidRPr="00A341BC">
        <w:t xml:space="preserve">„3. Przepisu ust. 1 nie stosuje </w:t>
      </w:r>
      <w:r w:rsidRPr="00A341BC">
        <w:rPr>
          <w:rFonts w:hint="eastAsia"/>
        </w:rPr>
        <w:t>się</w:t>
      </w:r>
      <w:r w:rsidRPr="00A341BC">
        <w:t xml:space="preserve"> do osoby fizycznej </w:t>
      </w:r>
      <w:r w:rsidRPr="00A341BC">
        <w:rPr>
          <w:rFonts w:hint="eastAsia"/>
        </w:rPr>
        <w:t>będącej</w:t>
      </w:r>
      <w:r w:rsidRPr="00A341BC">
        <w:t xml:space="preserve"> przedsiębiorcą, która </w:t>
      </w:r>
      <w:r>
        <w:t>dokonuje wprowadzenia do obrotu kotła</w:t>
      </w:r>
      <w:r w:rsidRPr="00A341BC">
        <w:t xml:space="preserve"> na paliwo stałe o znamionowej mocy cieplnej nie większej niż 500 kW</w:t>
      </w:r>
      <w:r>
        <w:t xml:space="preserve"> w rozumieniu art. 172a pkt 2</w:t>
      </w:r>
      <w:r w:rsidRPr="00A341BC">
        <w:t>, który nie odpowiada</w:t>
      </w:r>
      <w:r>
        <w:t xml:space="preserve"> wymaganiom określonym w przepisach wydanych na podstawie </w:t>
      </w:r>
      <w:r w:rsidRPr="00A341BC">
        <w:t>art. 169 ust. 1.”</w:t>
      </w:r>
      <w:r>
        <w:t>.</w:t>
      </w:r>
    </w:p>
    <w:p w:rsidR="009B0801" w:rsidRDefault="009B0801" w:rsidP="009B0801">
      <w:pPr>
        <w:pStyle w:val="ARTartustawynprozporzdzenia"/>
      </w:pPr>
      <w:r w:rsidRPr="005E2DD6">
        <w:rPr>
          <w:rStyle w:val="Ppogrubienie"/>
        </w:rPr>
        <w:t>Art. 2.</w:t>
      </w:r>
      <w:r w:rsidRPr="005E2DD6">
        <w:t xml:space="preserve"> W ustawie z dnia 15 grudnia 2000 r. o Inspekcji Handlowej </w:t>
      </w:r>
      <w:r>
        <w:t xml:space="preserve">(Dz. U. </w:t>
      </w:r>
      <w:r w:rsidR="00DB35B7">
        <w:t>z 2018 r. poz. </w:t>
      </w:r>
      <w:r>
        <w:t>1930 i 2227) w a</w:t>
      </w:r>
      <w:r w:rsidRPr="005E2DD6">
        <w:t xml:space="preserve">rt. </w:t>
      </w:r>
      <w:r>
        <w:t>3 w ust. 1</w:t>
      </w:r>
      <w:r w:rsidRPr="005E2DD6">
        <w:t xml:space="preserve"> </w:t>
      </w:r>
      <w:r>
        <w:t>po pkt 2d dodaje się pkt 2da w brzmieniu</w:t>
      </w:r>
      <w:r w:rsidRPr="005E2DD6">
        <w:t>:</w:t>
      </w:r>
    </w:p>
    <w:p w:rsidR="009B0801" w:rsidRDefault="009B0801" w:rsidP="009B0801">
      <w:pPr>
        <w:pStyle w:val="ZPKTzmpktartykuempunktem"/>
        <w:rPr>
          <w:rStyle w:val="Ppogrubienie"/>
        </w:rPr>
      </w:pPr>
      <w:r w:rsidRPr="00861FBA">
        <w:t>„2</w:t>
      </w:r>
      <w:r w:rsidRPr="00BE4E8E">
        <w:t>da</w:t>
      </w:r>
      <w:r w:rsidRPr="00861FBA">
        <w:t>)</w:t>
      </w:r>
      <w:r>
        <w:tab/>
        <w:t xml:space="preserve">przeprowadzanie </w:t>
      </w:r>
      <w:r w:rsidRPr="00861FBA">
        <w:t>kontrol</w:t>
      </w:r>
      <w:r>
        <w:t xml:space="preserve">i, o której mowa w art. 168b ust. 1 </w:t>
      </w:r>
      <w:r w:rsidRPr="009B0801">
        <w:t xml:space="preserve">ustawy </w:t>
      </w:r>
      <w:r>
        <w:t>z dnia 27 </w:t>
      </w:r>
      <w:r w:rsidRPr="009B0801">
        <w:t xml:space="preserve">kwietnia 2001 r. – </w:t>
      </w:r>
      <w:r w:rsidRPr="00861FBA">
        <w:t xml:space="preserve">Prawo ochrony </w:t>
      </w:r>
      <w:r w:rsidRPr="00861FBA">
        <w:rPr>
          <w:rFonts w:hint="eastAsia"/>
        </w:rPr>
        <w:t>ś</w:t>
      </w:r>
      <w:r w:rsidRPr="00861FBA">
        <w:t>rodowiska</w:t>
      </w:r>
      <w:r>
        <w:t>;</w:t>
      </w:r>
      <w:r w:rsidRPr="00861FBA">
        <w:t>”.</w:t>
      </w:r>
    </w:p>
    <w:p w:rsidR="009B0801" w:rsidRPr="009B0801" w:rsidRDefault="009B0801" w:rsidP="009B0801">
      <w:pPr>
        <w:pStyle w:val="ARTartustawynprozporzdzenia"/>
      </w:pPr>
      <w:r>
        <w:rPr>
          <w:rStyle w:val="Ppogrubienie"/>
        </w:rPr>
        <w:t>Art.</w:t>
      </w:r>
      <w:r w:rsidRPr="009B0801">
        <w:rPr>
          <w:rStyle w:val="Ppogrubienie"/>
        </w:rPr>
        <w:t xml:space="preserve"> </w:t>
      </w:r>
      <w:r>
        <w:rPr>
          <w:rStyle w:val="Ppogrubienie"/>
        </w:rPr>
        <w:t>3</w:t>
      </w:r>
      <w:r w:rsidRPr="00123A70">
        <w:rPr>
          <w:rStyle w:val="Ppogrubienie"/>
        </w:rPr>
        <w:t>.</w:t>
      </w:r>
      <w:r w:rsidRPr="009B0801">
        <w:rPr>
          <w:rStyle w:val="Ppogrubienie"/>
        </w:rPr>
        <w:t xml:space="preserve"> </w:t>
      </w:r>
      <w:r w:rsidRPr="009B0801">
        <w:rPr>
          <w:rStyle w:val="Ppogrubienie"/>
          <w:b w:val="0"/>
        </w:rPr>
        <w:t xml:space="preserve">Do dnia 31 grudnia 2019 r. przez kocioł na paliwo stałe o znamionowej mocy cieplnej nie większej niż 500 kW rozumie się kocioł na paliwo stałe o znamionowej mocy cieplnej nie większej niż 500 kW, </w:t>
      </w:r>
      <w:r w:rsidRPr="009B0801">
        <w:t xml:space="preserve">w tym kocioł wchodzący w skład zestawów zawierających </w:t>
      </w:r>
      <w:r w:rsidRPr="009B0801">
        <w:lastRenderedPageBreak/>
        <w:t>kocioł na paliwo stałe, ogrzewacze dodatkowe, regulatory temperatury i urządzenia słoneczne, z wyłączeniem kotła:</w:t>
      </w:r>
    </w:p>
    <w:p w:rsidR="009B0801" w:rsidRPr="009B0801" w:rsidRDefault="009B0801" w:rsidP="009B0801">
      <w:pPr>
        <w:pStyle w:val="PKTpunkt"/>
      </w:pPr>
      <w:r>
        <w:t>1)</w:t>
      </w:r>
      <w:r>
        <w:tab/>
      </w:r>
      <w:r w:rsidRPr="009B0801">
        <w:t>przeznaczonego do ogrzewania i rozprowadzania gazowych nośników ciepła, takich jak para wodna lub powietrze;</w:t>
      </w:r>
    </w:p>
    <w:p w:rsidR="009B0801" w:rsidRPr="009B0801" w:rsidRDefault="009B0801" w:rsidP="009B0801">
      <w:pPr>
        <w:pStyle w:val="PKTpunkt"/>
      </w:pPr>
      <w:r>
        <w:t>2)</w:t>
      </w:r>
      <w:r>
        <w:tab/>
      </w:r>
      <w:r w:rsidRPr="009B0801">
        <w:t>kogeneracyjnego na paliwo stałe o znamionowej mocy el</w:t>
      </w:r>
      <w:r>
        <w:t>ektrycznej nie mniejszej niż 50 </w:t>
      </w:r>
      <w:r w:rsidRPr="009B0801">
        <w:t>kW;</w:t>
      </w:r>
    </w:p>
    <w:p w:rsidR="009B0801" w:rsidRPr="009B0801" w:rsidRDefault="009B0801" w:rsidP="009B0801">
      <w:pPr>
        <w:pStyle w:val="PKTpunkt"/>
        <w:rPr>
          <w:rStyle w:val="Ppogrubienie"/>
        </w:rPr>
      </w:pPr>
      <w:r>
        <w:t>3)</w:t>
      </w:r>
      <w:r>
        <w:tab/>
      </w:r>
      <w:r w:rsidRPr="009B0801">
        <w:t>o znamionowej mocy cieplnej większej niż 100 kW z ręcznym zasilaniem balotami słomy.</w:t>
      </w:r>
      <w:r>
        <w:t xml:space="preserve"> </w:t>
      </w:r>
    </w:p>
    <w:p w:rsidR="009B0801" w:rsidRPr="009B0801" w:rsidRDefault="009B0801" w:rsidP="009B0801">
      <w:pPr>
        <w:pStyle w:val="ARTartustawynprozporzdzenia"/>
        <w:rPr>
          <w:rStyle w:val="Ppogrubienie"/>
          <w:b w:val="0"/>
        </w:rPr>
      </w:pPr>
      <w:r>
        <w:rPr>
          <w:rStyle w:val="Ppogrubienie"/>
        </w:rPr>
        <w:t>Art.</w:t>
      </w:r>
      <w:r w:rsidRPr="009B0801">
        <w:rPr>
          <w:rStyle w:val="Ppogrubienie"/>
        </w:rPr>
        <w:t xml:space="preserve"> </w:t>
      </w:r>
      <w:r>
        <w:rPr>
          <w:rStyle w:val="Ppogrubienie"/>
        </w:rPr>
        <w:t>4</w:t>
      </w:r>
      <w:r w:rsidRPr="00123A70">
        <w:rPr>
          <w:rStyle w:val="Ppogrubienie"/>
        </w:rPr>
        <w:t>.</w:t>
      </w:r>
      <w:r w:rsidRPr="009B0801">
        <w:rPr>
          <w:rStyle w:val="Ppogrubienie"/>
        </w:rPr>
        <w:t xml:space="preserve"> </w:t>
      </w:r>
      <w:r w:rsidRPr="009B0801">
        <w:rPr>
          <w:rStyle w:val="Ppogrubienie"/>
          <w:b w:val="0"/>
        </w:rPr>
        <w:t>Kontrole, o których mowa w art. 168b ust. 1 ustawy zmienianej w art. 1, dotyczące kotłów na paliwo stałe o znamionowej mocy cieplnej nie większej niż 500 kW</w:t>
      </w:r>
      <w:r>
        <w:rPr>
          <w:rStyle w:val="Ppogrubienie"/>
          <w:b w:val="0"/>
        </w:rPr>
        <w:t>, o </w:t>
      </w:r>
      <w:r w:rsidRPr="009B0801">
        <w:rPr>
          <w:rStyle w:val="Ppogrubienie"/>
          <w:b w:val="0"/>
        </w:rPr>
        <w:t>których mowa w art. 3 niniejszej ustawy, rozpoczęte przed dniem 1 stycznia 2020 r. są prowadzone do ich zakończenia.</w:t>
      </w:r>
    </w:p>
    <w:p w:rsidR="009B0801" w:rsidRPr="009B0801" w:rsidRDefault="009B0801" w:rsidP="009B0801">
      <w:pPr>
        <w:pStyle w:val="ARTartustawynprozporzdzenia"/>
        <w:rPr>
          <w:rStyle w:val="Ppogrubienie"/>
          <w:b w:val="0"/>
        </w:rPr>
      </w:pPr>
      <w:r w:rsidRPr="008B6FC4">
        <w:rPr>
          <w:rStyle w:val="Ppogrubienie"/>
        </w:rPr>
        <w:t xml:space="preserve">Art. </w:t>
      </w:r>
      <w:r>
        <w:rPr>
          <w:rStyle w:val="Ppogrubienie"/>
        </w:rPr>
        <w:t xml:space="preserve">5. </w:t>
      </w:r>
      <w:r w:rsidRPr="009B0801">
        <w:rPr>
          <w:rStyle w:val="Ppogrubienie"/>
          <w:b w:val="0"/>
        </w:rPr>
        <w:t xml:space="preserve">W przypadku gdy w wyniku kontroli, o której mowa w art. 168b ust. 1 ustawy zmienianej w art. 1, zostanie stwierdzone, że kocioł </w:t>
      </w:r>
      <w:bookmarkStart w:id="0" w:name="_GoBack"/>
      <w:bookmarkEnd w:id="0"/>
      <w:r w:rsidRPr="009B0801">
        <w:rPr>
          <w:rStyle w:val="Ppogrubienie"/>
          <w:b w:val="0"/>
        </w:rPr>
        <w:t>na paliwo stałe o znamionowej mocy cieplnej nie większej niż 500 kW, o którym mowa w art. 3 niniejszej ustawy, nie odpowiada wymaganiom określonym w przepisach wydanych na podstawie art. 169 ust. 1 ustawy zmienionej w art. 1, w brzmieniu obowiązującym w dniu 31 grudnia 2019 r., przepisy działu VI w tytule V ustawy zmienianej w art. 1 stosuje się.</w:t>
      </w:r>
    </w:p>
    <w:p w:rsidR="009B0801" w:rsidRDefault="009B0801" w:rsidP="009B0801">
      <w:pPr>
        <w:pStyle w:val="ARTartustawynprozporzdzenia"/>
      </w:pPr>
      <w:r w:rsidRPr="008B6FC4">
        <w:rPr>
          <w:rStyle w:val="Ppogrubienie"/>
        </w:rPr>
        <w:t xml:space="preserve">Art. </w:t>
      </w:r>
      <w:r>
        <w:rPr>
          <w:rStyle w:val="Ppogrubienie"/>
        </w:rPr>
        <w:t>6.</w:t>
      </w:r>
      <w:r>
        <w:t xml:space="preserve"> 1. W latach 2019–2028 m</w:t>
      </w:r>
      <w:r w:rsidRPr="00A43FA6">
        <w:t xml:space="preserve">aksymalny limit wydatków budżetu państwa </w:t>
      </w:r>
      <w:r>
        <w:t xml:space="preserve">przeznaczonych na realizację zadań Prezesa </w:t>
      </w:r>
      <w:r w:rsidRPr="00FF13F3">
        <w:t xml:space="preserve">Urzędu Ochrony Konkurencji i Konsumentów </w:t>
      </w:r>
      <w:r>
        <w:t xml:space="preserve">wynikających z ustawy </w:t>
      </w:r>
      <w:r w:rsidRPr="00A43FA6">
        <w:t>wynosi</w:t>
      </w:r>
      <w:r>
        <w:t xml:space="preserve"> 9 000 tys. zł, z tym że </w:t>
      </w:r>
      <w:r w:rsidRPr="00A43FA6">
        <w:t>w</w:t>
      </w:r>
      <w:r>
        <w:t xml:space="preserve"> roku</w:t>
      </w:r>
      <w:r w:rsidRPr="00A43FA6">
        <w:t xml:space="preserve">: </w:t>
      </w:r>
    </w:p>
    <w:p w:rsidR="009B0801" w:rsidRPr="009B0801" w:rsidRDefault="009B0801" w:rsidP="009B0801">
      <w:pPr>
        <w:pStyle w:val="PKTpunkt"/>
      </w:pPr>
      <w:r>
        <w:t>1)</w:t>
      </w:r>
      <w:r>
        <w:tab/>
      </w:r>
      <w:r w:rsidRPr="009B0801">
        <w:t xml:space="preserve">2019 – wynosi 900,00 tys. zł; </w:t>
      </w:r>
    </w:p>
    <w:p w:rsidR="009B0801" w:rsidRPr="009B0801" w:rsidRDefault="009B0801" w:rsidP="009B0801">
      <w:pPr>
        <w:pStyle w:val="PKTpunkt"/>
      </w:pPr>
      <w:r w:rsidRPr="009B0801">
        <w:t>2)</w:t>
      </w:r>
      <w:r w:rsidRPr="009B0801">
        <w:tab/>
        <w:t xml:space="preserve">2020 – wynosi 900,00 tys. zł; </w:t>
      </w:r>
    </w:p>
    <w:p w:rsidR="009B0801" w:rsidRPr="009B0801" w:rsidRDefault="009B0801" w:rsidP="009B0801">
      <w:pPr>
        <w:pStyle w:val="PKTpunkt"/>
      </w:pPr>
      <w:r w:rsidRPr="009B0801">
        <w:t>3)</w:t>
      </w:r>
      <w:r w:rsidRPr="009B0801">
        <w:tab/>
        <w:t>2021 – wynosi 900,00 tys. zł;</w:t>
      </w:r>
    </w:p>
    <w:p w:rsidR="009B0801" w:rsidRPr="009B0801" w:rsidRDefault="009B0801" w:rsidP="009B0801">
      <w:pPr>
        <w:pStyle w:val="PKTpunkt"/>
      </w:pPr>
      <w:r w:rsidRPr="009B0801">
        <w:t>4)</w:t>
      </w:r>
      <w:r w:rsidRPr="009B0801">
        <w:tab/>
        <w:t>2022 – wynosi 900,00 tys. zł;</w:t>
      </w:r>
    </w:p>
    <w:p w:rsidR="009B0801" w:rsidRPr="009B0801" w:rsidRDefault="009B0801" w:rsidP="009B0801">
      <w:pPr>
        <w:pStyle w:val="PKTpunkt"/>
      </w:pPr>
      <w:r w:rsidRPr="009B0801">
        <w:t>5)</w:t>
      </w:r>
      <w:r w:rsidRPr="009B0801">
        <w:tab/>
        <w:t>2023 – wynosi 900,00 tys. zł;</w:t>
      </w:r>
    </w:p>
    <w:p w:rsidR="009B0801" w:rsidRPr="009B0801" w:rsidRDefault="009B0801" w:rsidP="009B0801">
      <w:pPr>
        <w:pStyle w:val="PKTpunkt"/>
      </w:pPr>
      <w:r w:rsidRPr="009B0801">
        <w:t>6)</w:t>
      </w:r>
      <w:r w:rsidRPr="009B0801">
        <w:tab/>
        <w:t>2024 – wynosi 900,00 tys. zł;</w:t>
      </w:r>
    </w:p>
    <w:p w:rsidR="009B0801" w:rsidRPr="009B0801" w:rsidRDefault="009B0801" w:rsidP="009B0801">
      <w:pPr>
        <w:pStyle w:val="PKTpunkt"/>
      </w:pPr>
      <w:r w:rsidRPr="009B0801">
        <w:t>7)</w:t>
      </w:r>
      <w:r w:rsidRPr="009B0801">
        <w:tab/>
        <w:t>2025 – wynosi 900,00 tys. zł;</w:t>
      </w:r>
    </w:p>
    <w:p w:rsidR="009B0801" w:rsidRPr="009B0801" w:rsidRDefault="009B0801" w:rsidP="009B0801">
      <w:pPr>
        <w:pStyle w:val="PKTpunkt"/>
      </w:pPr>
      <w:r w:rsidRPr="009B0801">
        <w:t>8)</w:t>
      </w:r>
      <w:r w:rsidRPr="009B0801">
        <w:tab/>
        <w:t>2026 – wynosi 900,00 tys. zł;</w:t>
      </w:r>
    </w:p>
    <w:p w:rsidR="009B0801" w:rsidRPr="009B0801" w:rsidRDefault="009B0801" w:rsidP="009B0801">
      <w:pPr>
        <w:pStyle w:val="PKTpunkt"/>
      </w:pPr>
      <w:r w:rsidRPr="009B0801">
        <w:t>9)</w:t>
      </w:r>
      <w:r w:rsidRPr="009B0801">
        <w:tab/>
        <w:t>2027 – wynosi 900,00 tys. zł;</w:t>
      </w:r>
    </w:p>
    <w:p w:rsidR="009B0801" w:rsidRDefault="009B0801" w:rsidP="009B0801">
      <w:pPr>
        <w:pStyle w:val="PKTpunkt"/>
      </w:pPr>
      <w:r w:rsidRPr="009B0801">
        <w:t>10)</w:t>
      </w:r>
      <w:r w:rsidRPr="009B0801">
        <w:tab/>
        <w:t>2028 – wynosi 900</w:t>
      </w:r>
      <w:r>
        <w:t xml:space="preserve">,00 tys. </w:t>
      </w:r>
      <w:r w:rsidRPr="00A43FA6">
        <w:t>zł</w:t>
      </w:r>
      <w:r>
        <w:t>.</w:t>
      </w:r>
    </w:p>
    <w:p w:rsidR="009B0801" w:rsidRPr="00BE4E8E" w:rsidRDefault="009B0801" w:rsidP="009B0801">
      <w:pPr>
        <w:pStyle w:val="USTustnpkodeksu"/>
      </w:pPr>
      <w:r>
        <w:lastRenderedPageBreak/>
        <w:t>2</w:t>
      </w:r>
      <w:r w:rsidRPr="00BE4E8E">
        <w:t xml:space="preserve">. Prezes Urzędu Ochrony Konkurencji i Konsumentów monitoruje wykorzystanie limitów wydatków, o których mowa w ust. 1, oraz jest odpowiedzialny za wdrożenie mechanizmu korygującego, o którym mowa w ust. </w:t>
      </w:r>
      <w:r>
        <w:t>3</w:t>
      </w:r>
      <w:r w:rsidRPr="00BE4E8E">
        <w:t xml:space="preserve">. </w:t>
      </w:r>
    </w:p>
    <w:p w:rsidR="009B0801" w:rsidRPr="00BE4E8E" w:rsidRDefault="009B0801" w:rsidP="009B0801">
      <w:pPr>
        <w:pStyle w:val="USTustnpkodeksu"/>
      </w:pPr>
      <w:r>
        <w:t>3</w:t>
      </w:r>
      <w:r w:rsidRPr="00BE4E8E">
        <w:t>. W przypadku gdy wielkość wydatków po pierwszym półroczu danego roku budżetowego wyniesie więcej niż 65% limit</w:t>
      </w:r>
      <w:r>
        <w:t>u</w:t>
      </w:r>
      <w:r w:rsidRPr="00BE4E8E">
        <w:t xml:space="preserve"> wydatków przewidzianych na dany rok, Prezes Urzędu Ochrony Konkurencji i Konsumentów obniża wielkość środków przeznaczonych na wydatki w drugim półroczu o kwotę stanowiącą różnicę między wielkością tego limit</w:t>
      </w:r>
      <w:r>
        <w:t>u a </w:t>
      </w:r>
      <w:r w:rsidRPr="00BE4E8E">
        <w:t xml:space="preserve">kwotą przekroczenia wydatków. </w:t>
      </w:r>
    </w:p>
    <w:p w:rsidR="009B0801" w:rsidRDefault="009B0801" w:rsidP="009B0801">
      <w:pPr>
        <w:pStyle w:val="ARTartustawynprozporzdzenia"/>
      </w:pPr>
      <w:r w:rsidRPr="00BE4E8E">
        <w:rPr>
          <w:rStyle w:val="Ppogrubienie"/>
        </w:rPr>
        <w:t xml:space="preserve">Art. </w:t>
      </w:r>
      <w:r>
        <w:rPr>
          <w:rStyle w:val="Ppogrubienie"/>
        </w:rPr>
        <w:t>7</w:t>
      </w:r>
      <w:r w:rsidRPr="00BE4E8E">
        <w:rPr>
          <w:rStyle w:val="Ppogrubienie"/>
        </w:rPr>
        <w:t>.</w:t>
      </w:r>
      <w:r w:rsidRPr="00BE4E8E">
        <w:t xml:space="preserve"> Ustawa wchodzi w życie po upływie 14 dni od dnia ogłoszenia</w:t>
      </w:r>
      <w:r>
        <w:t xml:space="preserve">, z wyjątkiem art. 1 pkt 3 w zakresie art. 172a pkt 1, który wchodzi w życie z dniem 1 stycznia 2020 r. </w:t>
      </w:r>
    </w:p>
    <w:sectPr w:rsidR="009B0801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3F7" w:rsidRDefault="004433F7">
      <w:r>
        <w:separator/>
      </w:r>
    </w:p>
  </w:endnote>
  <w:endnote w:type="continuationSeparator" w:id="0">
    <w:p w:rsidR="004433F7" w:rsidRDefault="0044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3F7" w:rsidRDefault="004433F7">
      <w:r>
        <w:separator/>
      </w:r>
    </w:p>
  </w:footnote>
  <w:footnote w:type="continuationSeparator" w:id="0">
    <w:p w:rsidR="004433F7" w:rsidRDefault="004433F7">
      <w:r>
        <w:continuationSeparator/>
      </w:r>
    </w:p>
  </w:footnote>
  <w:footnote w:id="1">
    <w:p w:rsidR="009B0801" w:rsidRPr="009B0801" w:rsidRDefault="009B0801" w:rsidP="009B080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4508D">
        <w:t>Niniejsz</w:t>
      </w:r>
      <w:r>
        <w:t xml:space="preserve">a ustawa </w:t>
      </w:r>
      <w:r w:rsidRPr="0074508D">
        <w:t>został</w:t>
      </w:r>
      <w:r>
        <w:t>a</w:t>
      </w:r>
      <w:r w:rsidRPr="0074508D">
        <w:t xml:space="preserve"> notyfikowana Komisji Europejskiej </w:t>
      </w:r>
      <w:r>
        <w:t>w dniu</w:t>
      </w:r>
      <w:r w:rsidRPr="0074508D">
        <w:t xml:space="preserve"> </w:t>
      </w:r>
      <w:r>
        <w:t>… 2019 r.</w:t>
      </w:r>
      <w:r w:rsidRPr="0074508D">
        <w:t xml:space="preserve"> pod numerem </w:t>
      </w:r>
      <w:r>
        <w:t>…</w:t>
      </w:r>
      <w:r w:rsidR="00DB35B7">
        <w:t>, zgodnie z </w:t>
      </w:r>
      <w:r w:rsidRPr="009B0801">
        <w:t>§</w:t>
      </w:r>
      <w:r>
        <w:t xml:space="preserve"> 4 </w:t>
      </w:r>
      <w:r w:rsidRPr="0074508D">
        <w:t>rozporządzeni</w:t>
      </w:r>
      <w:r>
        <w:t xml:space="preserve">a </w:t>
      </w:r>
      <w:r w:rsidRPr="0074508D">
        <w:t>Rady Ministrów z dnia 23 grudnia 2002 r. w sprawie sposobu funkcjonowania krajowego systemu notyfikacji norm i aktów</w:t>
      </w:r>
      <w:r>
        <w:t xml:space="preserve"> </w:t>
      </w:r>
      <w:r w:rsidRPr="0074508D">
        <w:t xml:space="preserve">prawnych (Dz. U. poz. 2039 oraz z 2004 r. poz. 597), </w:t>
      </w:r>
      <w:r>
        <w:t xml:space="preserve">które </w:t>
      </w:r>
      <w:r w:rsidRPr="0074508D">
        <w:t>wdraża</w:t>
      </w:r>
      <w:r>
        <w:t xml:space="preserve"> dyrektywę</w:t>
      </w:r>
      <w:r w:rsidRPr="0074508D">
        <w:t xml:space="preserve"> </w:t>
      </w:r>
      <w:r>
        <w:t>(UE) 2015</w:t>
      </w:r>
      <w:r w:rsidRPr="0074508D">
        <w:t>/</w:t>
      </w:r>
      <w:r>
        <w:t>1535 Parlamentu Europejskiego i Rady</w:t>
      </w:r>
      <w:r w:rsidRPr="0074508D">
        <w:t xml:space="preserve"> z dnia </w:t>
      </w:r>
      <w:r>
        <w:t>9 września 2015 r.</w:t>
      </w:r>
      <w:r w:rsidRPr="0074508D">
        <w:t xml:space="preserve"> ustanawiając</w:t>
      </w:r>
      <w:r>
        <w:t>ą</w:t>
      </w:r>
      <w:r w:rsidRPr="0074508D">
        <w:t xml:space="preserve"> procedurę udzielania informacji w dziedzinie przepisów technicznych oraz zasad dotyczących usług</w:t>
      </w:r>
      <w:r>
        <w:t xml:space="preserve"> </w:t>
      </w:r>
      <w:r w:rsidRPr="0074508D">
        <w:t>społeczeństwa informacyjnego</w:t>
      </w:r>
      <w:r>
        <w:t xml:space="preserve"> </w:t>
      </w:r>
      <w:r w:rsidRPr="0074508D">
        <w:t xml:space="preserve">(Dz. Urz. </w:t>
      </w:r>
      <w:r>
        <w:t>UE</w:t>
      </w:r>
      <w:r w:rsidRPr="0074508D">
        <w:t xml:space="preserve"> L 2</w:t>
      </w:r>
      <w:r>
        <w:t>41</w:t>
      </w:r>
      <w:r w:rsidRPr="0074508D">
        <w:t xml:space="preserve"> z </w:t>
      </w:r>
      <w:r>
        <w:t>17</w:t>
      </w:r>
      <w:r w:rsidRPr="0074508D">
        <w:t>.0</w:t>
      </w:r>
      <w:r>
        <w:t>9</w:t>
      </w:r>
      <w:r w:rsidRPr="0074508D">
        <w:t>.</w:t>
      </w:r>
      <w:r>
        <w:t>2015, str. 1).</w:t>
      </w:r>
    </w:p>
  </w:footnote>
  <w:footnote w:id="2">
    <w:p w:rsidR="009B0801" w:rsidRPr="009B0801" w:rsidRDefault="009B0801" w:rsidP="009B080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4092A">
        <w:t>Zmiany tekstu jednolitego wymienionej ustawy zostały ogłoszone w Dz. U. z 201</w:t>
      </w:r>
      <w:r>
        <w:t>8</w:t>
      </w:r>
      <w:r w:rsidRPr="00D4092A">
        <w:t xml:space="preserve"> r. poz. </w:t>
      </w:r>
      <w:r>
        <w:t>1356, 1479, 1564, 1590, 1592, 1648, 1722, 2161 i 2533 oraz z 2019 r. poz. 42, 412 i 452.</w:t>
      </w:r>
    </w:p>
  </w:footnote>
  <w:footnote w:id="3">
    <w:p w:rsidR="00DB35B7" w:rsidRPr="00DB35B7" w:rsidRDefault="00DB35B7" w:rsidP="00DB35B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wymienionego rozporządzenia zostały ogłoszone w Dz. Urz. UE L 346 z 20.12.2016, str. 51.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26C14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0622FF8"/>
    <w:multiLevelType w:val="hybridMultilevel"/>
    <w:tmpl w:val="0BB6C4DC"/>
    <w:lvl w:ilvl="0" w:tplc="EC3ECB4E">
      <w:start w:val="1"/>
      <w:numFmt w:val="decimal"/>
      <w:lvlText w:val="%1)"/>
      <w:lvlJc w:val="left"/>
      <w:pPr>
        <w:ind w:left="870" w:hanging="360"/>
      </w:pPr>
      <w:rPr>
        <w:rFonts w:ascii="Times New Roman" w:hAnsi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ybkowska Bożena">
    <w15:presenceInfo w15:providerId="AD" w15:userId="S-1-5-21-1346247845-3881836822-2677420573-1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0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33F7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084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DD5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801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9CD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5B7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6C14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A7EE05-590B-4381-A9AD-352515FD7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1178</Words>
  <Characters>7071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pracownik</cp:lastModifiedBy>
  <cp:revision>4</cp:revision>
  <cp:lastPrinted>2012-04-23T06:39:00Z</cp:lastPrinted>
  <dcterms:created xsi:type="dcterms:W3CDTF">2019-05-22T08:22:00Z</dcterms:created>
  <dcterms:modified xsi:type="dcterms:W3CDTF">2019-05-22T08:25:00Z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