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86C" w:rsidRPr="0094086C" w:rsidRDefault="0094086C" w:rsidP="0094086C">
      <w:pPr>
        <w:pStyle w:val="p0"/>
        <w:spacing w:after="240" w:line="360" w:lineRule="auto"/>
        <w:jc w:val="center"/>
        <w:rPr>
          <w:rStyle w:val="Ppogrubienie"/>
          <w:rFonts w:ascii="Times New Roman" w:hAnsi="Times New Roman"/>
          <w:b w:val="0"/>
        </w:rPr>
      </w:pPr>
      <w:r w:rsidRPr="0094086C">
        <w:rPr>
          <w:rStyle w:val="Ppogrubienie"/>
          <w:rFonts w:ascii="Times New Roman" w:hAnsi="Times New Roman"/>
          <w:b w:val="0"/>
        </w:rPr>
        <w:t>UZASADNIENIE</w:t>
      </w:r>
    </w:p>
    <w:p w:rsidR="0094086C" w:rsidRPr="0094086C" w:rsidRDefault="0094086C" w:rsidP="0094086C">
      <w:pPr>
        <w:spacing w:after="60" w:line="360" w:lineRule="auto"/>
        <w:jc w:val="both"/>
      </w:pPr>
      <w:r w:rsidRPr="0094086C">
        <w:t xml:space="preserve">W 2017 r. na podstawie delegacji zawartej w art. 169 ust. 1 ustawy z dnia 27 kwietnia 2001 r. – Prawo ochrony środowiska (Dz. U. z 2018 r. poz. 799, z </w:t>
      </w:r>
      <w:proofErr w:type="spellStart"/>
      <w:r w:rsidRPr="0094086C">
        <w:t>późn</w:t>
      </w:r>
      <w:proofErr w:type="spellEnd"/>
      <w:r w:rsidRPr="0094086C">
        <w:t xml:space="preserve">. zm.) (dalej jako „POŚ”) wydane zostało rozporządzenie Ministra Rozwoju i Finansów z dnia 1 sierpnia 2017 r. </w:t>
      </w:r>
      <w:r w:rsidR="00D96546" w:rsidRPr="0094086C">
        <w:t>w</w:t>
      </w:r>
      <w:r w:rsidR="00D96546">
        <w:t> </w:t>
      </w:r>
      <w:r w:rsidRPr="0094086C">
        <w:t xml:space="preserve">sprawie wymagań dla kotłów na paliwo stałe (Dz. U. poz. 1690, z </w:t>
      </w:r>
      <w:proofErr w:type="spellStart"/>
      <w:r w:rsidRPr="0094086C">
        <w:t>późn</w:t>
      </w:r>
      <w:proofErr w:type="spellEnd"/>
      <w:r w:rsidRPr="0094086C">
        <w:t xml:space="preserve">. zm.) (dalej jako „Rozporządzenie”). Regulacja ta jest jednym z elementów przyjętych przez Radę Ministrów rekomendacji Komitetu Ekonomicznego Rady Ministrów – tzw. Programu „Czyste powietrze”. Rozporządzenie wprowadza do polskiego porządku prawnego restrykcyjne wymagania dla kotłów na paliwo stałe. Rozwiązania te dotyczą kotłów od 0 do 500 kW, czyli tych używanych w gospodarstwach domowych oraz małych i średnich zakładach i stanowią, że </w:t>
      </w:r>
      <w:r>
        <w:t>od 1 </w:t>
      </w:r>
      <w:r w:rsidRPr="0094086C">
        <w:t>października 2017 r. obowiązują krajowe wymagania dotyczące tlenku węgla, organicznych związków gazowych oraz pyłu, a także wprowadzony jest zakaz stosowania rusztu awaryjnego.</w:t>
      </w:r>
    </w:p>
    <w:p w:rsidR="0094086C" w:rsidRPr="0094086C" w:rsidRDefault="00D96546" w:rsidP="0094086C">
      <w:pPr>
        <w:spacing w:after="60" w:line="360" w:lineRule="auto"/>
        <w:jc w:val="both"/>
      </w:pPr>
      <w:r>
        <w:t>M</w:t>
      </w:r>
      <w:r w:rsidR="0094086C" w:rsidRPr="0094086C">
        <w:t xml:space="preserve">imo przeprowadzonej nowelizacji przepisów Rozporządzenia, której celem było zlikwidowanie niektórych </w:t>
      </w:r>
      <w:proofErr w:type="spellStart"/>
      <w:r w:rsidR="0094086C" w:rsidRPr="0094086C">
        <w:t>wyłączeń</w:t>
      </w:r>
      <w:proofErr w:type="spellEnd"/>
      <w:r w:rsidR="0094086C" w:rsidRPr="0094086C">
        <w:t xml:space="preserve"> stosowania jego przepisów oraz zmiana definicji wprowadzania kotłów na paliwo stałe do obrotu, które to zmiany miały na celu uniemożliwienie unikania stosowania przepisów Rozporządzenia i skuteczne uszczelnienie ww. przepisów (rozporządzenie Ministra Przedsiębiorczości i Technologii z dnia 21 lutego 2019 r. zmieniające rozporządzenie w sprawie wymagań dla kotłów na paliwo stałe (Dz. U. poz. 363)), niezbędne jest wprowadzanie zmian na poziomie ustawowym. </w:t>
      </w:r>
    </w:p>
    <w:p w:rsidR="0094086C" w:rsidRPr="0094086C" w:rsidRDefault="0094086C" w:rsidP="0094086C">
      <w:pPr>
        <w:spacing w:after="60" w:line="360" w:lineRule="auto"/>
        <w:jc w:val="both"/>
      </w:pPr>
      <w:r w:rsidRPr="0094086C">
        <w:t>Zmiany te są przedmiotem niniejszego projektu ustawy o zmianie ustawy – Prawo ochrony środowiska oraz ustawy o Inspekcji Handlowej (dalej jako „Projekt”).</w:t>
      </w:r>
    </w:p>
    <w:p w:rsidR="0094086C" w:rsidRPr="0094086C" w:rsidRDefault="0094086C" w:rsidP="0094086C">
      <w:pPr>
        <w:spacing w:after="60" w:line="360" w:lineRule="auto"/>
        <w:jc w:val="both"/>
      </w:pPr>
      <w:r w:rsidRPr="0094086C">
        <w:t xml:space="preserve">Wejście w życie przepisów będących przedmiotem Projektu spowoduje zwiększenie efektywności systemu kontroli przestrzegania przepisów Rozporządzenia m.in. przez powierzenie tego zadania organom Inspekcji Handlowej wraz z zapewnieniem tym organom odpowiednich zasobów finansowych na potrzeby jego realizacji w zakresie realizacji specjalistycznych badań kotłów na paliwo stałe. Pozwolą one na wykonywanie skutecznej kontroli spełniania przez przedsiębiorców wprowadzających do obrotu kotły na paliwo stałe </w:t>
      </w:r>
      <w:r>
        <w:t>o </w:t>
      </w:r>
      <w:r w:rsidRPr="0094086C">
        <w:t>znamionowej mocy cieplnej nie większej niż 500 kW wymagań zawartych w Rozporządzeniu. W przypadku ich niespełnienia pozwolą one organom Inspekcji Handlowej na ograniczenie wprowadzania urządzeń do obrotu oraz umożliwią nakładanie administracyjnych kar pieniężnych.</w:t>
      </w:r>
    </w:p>
    <w:p w:rsidR="0094086C" w:rsidRPr="0094086C" w:rsidRDefault="0094086C" w:rsidP="0094086C">
      <w:pPr>
        <w:spacing w:after="60" w:line="360" w:lineRule="auto"/>
        <w:jc w:val="both"/>
      </w:pPr>
      <w:r w:rsidRPr="0094086C">
        <w:lastRenderedPageBreak/>
        <w:t xml:space="preserve">Dodatkowo obecnie obowiązujący przepis art. 171b POŚ wskazuje, że wymagania określone w przepisach wydanych na podstawie art. 169 i art. 170 POŚ, w tym w Rozporządzeniu, nie mają zastosowania do produktów, które zostały zgodnie z prawem wyprodukowane lub dopuszczone do obrotu w innym państwie członkowskim Unii Europejskiej (UE) albo w Republice Turcji lub zgodnie z prawem wyprodukowane w państwie członkowskim Europejskiego Porozumienia o Wolnym Handlu (EFTA) będącym stroną umowy o Europejskim Obszarze Gospodarczym (EOG). </w:t>
      </w:r>
      <w:r w:rsidRPr="0094086C">
        <w:rPr>
          <w:i/>
        </w:rPr>
        <w:t>De facto</w:t>
      </w:r>
      <w:r w:rsidRPr="0094086C">
        <w:t xml:space="preserve"> wymagania dla kotłów na paliwo stałe i ograniczenia dotyczące wprowadzania do obrotu kotłów niespełniających tych wymagań, wynikające z Rozporządzenia, dotyczą obecnie wyłącznie krajowych producentów tych urządzeń. </w:t>
      </w:r>
    </w:p>
    <w:p w:rsidR="0094086C" w:rsidRPr="0094086C" w:rsidRDefault="0094086C" w:rsidP="0094086C">
      <w:pPr>
        <w:spacing w:after="60" w:line="360" w:lineRule="auto"/>
        <w:jc w:val="both"/>
      </w:pPr>
      <w:r w:rsidRPr="0094086C">
        <w:t xml:space="preserve">Projekt, w ramach proponowanych zmian przepisów art. 171b POŚ, wprowadza przepis umożliwiający ograniczenie wprowadzania do obrotu na terenie kraju kotłów na paliwo stałe </w:t>
      </w:r>
      <w:r>
        <w:t>o </w:t>
      </w:r>
      <w:r w:rsidRPr="0094086C">
        <w:t xml:space="preserve">znamionowej mocy cieplnej nie większej niż 500 kW niespełniających wymagań Rozporządzenia przez podmioty z innych państw UE, Turcji i państw EFTA będących stroną umowy o EOG. Zmiany te pozwolą na skuteczne zwalczanie nadużyć w zakresie wprowadzania i efektywne niedopuszczanie do obrotu kotłów niezgodnych z wymaganiami Rozporządzenia, w tym także kotłów importowanych z ww. obszarów, co pozwoli na ujednolicenie sytuacji podmiotów wprowadzających kotły na paliwo stałe do obrotu, niezależnie od tego, czy są podmiotami krajowymi czy zagranicznymi z ww. obszarów. </w:t>
      </w:r>
    </w:p>
    <w:p w:rsidR="0094086C" w:rsidRPr="0094086C" w:rsidRDefault="0094086C" w:rsidP="0094086C">
      <w:pPr>
        <w:spacing w:after="60" w:line="360" w:lineRule="auto"/>
        <w:jc w:val="both"/>
      </w:pPr>
      <w:r w:rsidRPr="0094086C">
        <w:t xml:space="preserve">Wprowadzenie ww. przepisów pozwoli na doszczelnienie systemu kontroli nad stosowaniem przepisów Rozporządzenia, regulujących wprowadzanie do obrotu kotłów na paliwo stałe, co przyczyni się do skuteczniejszej egzekucji jego przepisów mających na celu zmniejszenie emisji zanieczyszczeń powietrza z sektora komunalno-bytowego. </w:t>
      </w:r>
    </w:p>
    <w:p w:rsidR="0094086C" w:rsidRPr="0094086C" w:rsidRDefault="0094086C" w:rsidP="0094086C">
      <w:pPr>
        <w:autoSpaceDE w:val="0"/>
        <w:autoSpaceDN w:val="0"/>
        <w:adjustRightInd w:val="0"/>
        <w:spacing w:after="60" w:line="360" w:lineRule="auto"/>
        <w:jc w:val="both"/>
        <w:rPr>
          <w:b/>
        </w:rPr>
      </w:pPr>
      <w:r w:rsidRPr="0094086C">
        <w:rPr>
          <w:b/>
        </w:rPr>
        <w:t>I. W art. 1 Projektu zmieniany jest POŚ:</w:t>
      </w:r>
    </w:p>
    <w:p w:rsidR="0094086C" w:rsidRPr="0094086C" w:rsidRDefault="0094086C" w:rsidP="0094086C">
      <w:pPr>
        <w:autoSpaceDE w:val="0"/>
        <w:autoSpaceDN w:val="0"/>
        <w:adjustRightInd w:val="0"/>
        <w:spacing w:after="60" w:line="360" w:lineRule="auto"/>
        <w:jc w:val="both"/>
      </w:pPr>
      <w:r w:rsidRPr="0094086C">
        <w:t>1) w dodanym do POŚ art. 168b w ust. 1 wprowadza się obowiązek dla właściwych organów Inspekcji Handlowej (wojewódzkich inspektorów Inspekcji Handlowej) dotyczący kontrolowania spełniania przez kotły na paliwo stałe o znamionowej mocy cieplnej nie większej niż 500 kW wymagań przewidzianych w Rozporządzeniu. W celu uniknięcia jakichkolwiek wątpliwości wskazano też, że działania organów Inspekcji Handlowej w tym zakresie są prowadzone na zasadach określonych w usta</w:t>
      </w:r>
      <w:r>
        <w:t>wie z dnia 15 grudnia 2000 r. o </w:t>
      </w:r>
      <w:r w:rsidRPr="0094086C">
        <w:t xml:space="preserve">Inspekcji Handlowej (Dz. U. z 2018 r. poz. 1930, z </w:t>
      </w:r>
      <w:proofErr w:type="spellStart"/>
      <w:r w:rsidRPr="0094086C">
        <w:t>późn</w:t>
      </w:r>
      <w:proofErr w:type="spellEnd"/>
      <w:r w:rsidRPr="0094086C">
        <w:t xml:space="preserve">. zm.). </w:t>
      </w:r>
    </w:p>
    <w:p w:rsidR="0094086C" w:rsidRPr="0094086C" w:rsidRDefault="0094086C" w:rsidP="0094086C">
      <w:pPr>
        <w:autoSpaceDE w:val="0"/>
        <w:autoSpaceDN w:val="0"/>
        <w:adjustRightInd w:val="0"/>
        <w:spacing w:after="60" w:line="360" w:lineRule="auto"/>
        <w:jc w:val="both"/>
      </w:pPr>
      <w:r w:rsidRPr="0094086C">
        <w:lastRenderedPageBreak/>
        <w:t>Powyższe dodanie kompetencji organom Inspekcji Handlowej jest konieczne, aby umożliwić im przeprowadzanie kontroli, w wyniku których możliwe będzie wyeliminowanie z obrotu kotłów na paliwo stałe o znamionowej mocy cieplnej nie większej niż 500 kW niespełniających wymagań.</w:t>
      </w:r>
    </w:p>
    <w:p w:rsidR="0094086C" w:rsidRPr="0094086C" w:rsidRDefault="0094086C" w:rsidP="0094086C">
      <w:pPr>
        <w:autoSpaceDE w:val="0"/>
        <w:autoSpaceDN w:val="0"/>
        <w:adjustRightInd w:val="0"/>
        <w:spacing w:after="60" w:line="360" w:lineRule="auto"/>
        <w:jc w:val="both"/>
      </w:pPr>
      <w:r w:rsidRPr="0094086C">
        <w:t xml:space="preserve">Jednocześnie niezbędne jest w tym miejscu wskazanie, że po 1 stycznia 2020 r., tj. po rozpoczęciu stosowania w stosunku do kotłów na paliwo stałe wymagań rozporządzenia Komisji (UE) 2015/1189 z dnia 28 kwietnia 2015 r. w sprawie wykonania dyrektywy Parlamentu Europejskiego i Rady 2009/125/WE w odniesieniu do wymogów dotyczących </w:t>
      </w:r>
      <w:proofErr w:type="spellStart"/>
      <w:r w:rsidRPr="0094086C">
        <w:t>ekoprojektu</w:t>
      </w:r>
      <w:proofErr w:type="spellEnd"/>
      <w:r w:rsidRPr="0094086C">
        <w:t xml:space="preserve"> dla kotłów na paliwo stałe (Dz. Urz. UE L 193 z 21.07.2015, str. 100, z </w:t>
      </w:r>
      <w:proofErr w:type="spellStart"/>
      <w:r w:rsidRPr="0094086C">
        <w:t>późn</w:t>
      </w:r>
      <w:proofErr w:type="spellEnd"/>
      <w:r w:rsidRPr="0094086C">
        <w:t>. zm.) (dalej jako „rozporządzenie (UE) 2015/1189”):</w:t>
      </w:r>
    </w:p>
    <w:p w:rsidR="0094086C" w:rsidRPr="0094086C" w:rsidRDefault="0094086C" w:rsidP="0094086C">
      <w:pPr>
        <w:pStyle w:val="Akapitzlist"/>
        <w:numPr>
          <w:ilvl w:val="0"/>
          <w:numId w:val="1"/>
        </w:numPr>
        <w:autoSpaceDE w:val="0"/>
        <w:autoSpaceDN w:val="0"/>
        <w:adjustRightInd w:val="0"/>
        <w:spacing w:after="60" w:line="360" w:lineRule="auto"/>
        <w:ind w:left="426"/>
        <w:contextualSpacing w:val="0"/>
        <w:jc w:val="both"/>
        <w:rPr>
          <w:rFonts w:ascii="Times New Roman" w:hAnsi="Times New Roman"/>
          <w:sz w:val="24"/>
          <w:szCs w:val="24"/>
        </w:rPr>
      </w:pPr>
      <w:r w:rsidRPr="0094086C">
        <w:rPr>
          <w:rFonts w:ascii="Times New Roman" w:hAnsi="Times New Roman"/>
          <w:sz w:val="24"/>
          <w:szCs w:val="24"/>
        </w:rPr>
        <w:t xml:space="preserve">kontrole na podstawie art. 168b ust. 1 POŚ będą realizowane w zakresie kotłów na paliwo stałe o znamionowej mocy cieplnej nie większej niż 500 kW, </w:t>
      </w:r>
      <w:r w:rsidRPr="0094086C">
        <w:rPr>
          <w:rFonts w:ascii="Times New Roman" w:hAnsi="Times New Roman"/>
          <w:b/>
          <w:sz w:val="24"/>
          <w:szCs w:val="24"/>
        </w:rPr>
        <w:t>do których nie stosuje się przepisów rozporządzenia (UE) 2015/1189,</w:t>
      </w:r>
      <w:r w:rsidRPr="0094086C">
        <w:rPr>
          <w:rFonts w:ascii="Times New Roman" w:hAnsi="Times New Roman"/>
          <w:sz w:val="24"/>
          <w:szCs w:val="24"/>
        </w:rPr>
        <w:t xml:space="preserve"> przy jednoczesnym zastosowaniu krajowych przepisów Rozporządzenia, o czym szczegółowo mowa w pkt 3 uzasadnienia (poniżej) </w:t>
      </w:r>
      <w:r>
        <w:rPr>
          <w:rFonts w:ascii="Times New Roman" w:hAnsi="Times New Roman"/>
          <w:sz w:val="24"/>
          <w:szCs w:val="24"/>
        </w:rPr>
        <w:t>w </w:t>
      </w:r>
      <w:r w:rsidRPr="0094086C">
        <w:rPr>
          <w:rFonts w:ascii="Times New Roman" w:hAnsi="Times New Roman"/>
          <w:sz w:val="24"/>
          <w:szCs w:val="24"/>
        </w:rPr>
        <w:t>zakresie opisu nowych definicji w tytule III w dziale II w rozdziale 3 POŚ. W przypadku wykrycia nieprawidłowości, zastosowanie będą w tym przypadku miały nowo</w:t>
      </w:r>
      <w:r w:rsidR="00D96546">
        <w:rPr>
          <w:rFonts w:ascii="Times New Roman" w:hAnsi="Times New Roman"/>
          <w:sz w:val="24"/>
          <w:szCs w:val="24"/>
        </w:rPr>
        <w:t xml:space="preserve"> </w:t>
      </w:r>
      <w:r w:rsidRPr="0094086C">
        <w:rPr>
          <w:rFonts w:ascii="Times New Roman" w:hAnsi="Times New Roman"/>
          <w:sz w:val="24"/>
          <w:szCs w:val="24"/>
        </w:rPr>
        <w:t>wprowadzane w Projekcie przepisy art. 321k POŚ w zakresie administracyjnej kary pieniężnej,</w:t>
      </w:r>
    </w:p>
    <w:p w:rsidR="0094086C" w:rsidRPr="0094086C" w:rsidRDefault="0094086C" w:rsidP="0094086C">
      <w:pPr>
        <w:pStyle w:val="Akapitzlist"/>
        <w:numPr>
          <w:ilvl w:val="0"/>
          <w:numId w:val="1"/>
        </w:numPr>
        <w:autoSpaceDE w:val="0"/>
        <w:autoSpaceDN w:val="0"/>
        <w:adjustRightInd w:val="0"/>
        <w:spacing w:after="60" w:line="360" w:lineRule="auto"/>
        <w:ind w:left="426"/>
        <w:contextualSpacing w:val="0"/>
        <w:jc w:val="both"/>
        <w:rPr>
          <w:rFonts w:ascii="Times New Roman" w:hAnsi="Times New Roman"/>
          <w:sz w:val="24"/>
          <w:szCs w:val="24"/>
        </w:rPr>
      </w:pPr>
      <w:r w:rsidRPr="0094086C">
        <w:rPr>
          <w:rFonts w:ascii="Times New Roman" w:hAnsi="Times New Roman"/>
          <w:sz w:val="24"/>
          <w:szCs w:val="24"/>
        </w:rPr>
        <w:t>kontrole dotyczące kotłów na paliwo stałe objętych rozporządzeniem (UE) 2015/1189 po 1 stycznia 2020 r. będą realizowane na podstawie usta</w:t>
      </w:r>
      <w:r>
        <w:rPr>
          <w:rFonts w:ascii="Times New Roman" w:hAnsi="Times New Roman"/>
          <w:sz w:val="24"/>
          <w:szCs w:val="24"/>
        </w:rPr>
        <w:t>wy z dnia 30 sierpnia 2002 r. o </w:t>
      </w:r>
      <w:r w:rsidRPr="0094086C">
        <w:rPr>
          <w:rFonts w:ascii="Times New Roman" w:hAnsi="Times New Roman"/>
          <w:sz w:val="24"/>
          <w:szCs w:val="24"/>
        </w:rPr>
        <w:t>systemie oceny zgodności (Dz. U. z 2019 r. poz. 155) (dalej jako „ustawa o systemie ocen zgodności”). W przypadku wykrycia nieprawidłowości zastosowanie będą w tym przypadku miały grzywny wynikające z przepisów ustawy o systemie oceny zgodności.</w:t>
      </w:r>
    </w:p>
    <w:p w:rsidR="0094086C" w:rsidRPr="0094086C" w:rsidRDefault="0094086C" w:rsidP="0094086C">
      <w:pPr>
        <w:autoSpaceDE w:val="0"/>
        <w:autoSpaceDN w:val="0"/>
        <w:adjustRightInd w:val="0"/>
        <w:spacing w:after="60" w:line="360" w:lineRule="auto"/>
        <w:jc w:val="both"/>
      </w:pPr>
      <w:r w:rsidRPr="0094086C">
        <w:t>Wprowadzenie ww. rozróżnienia jest niezbędne, aby zapewnić spójność bezpośrednio stosowanych przepisów rozporządzenia (UE) 2015/1189, przepisów dotyczących nadzoru rynku określonych m.in. w ustawie o systemie oceny zgodności oraz przepisów POŚ, mając na uwadze cel, jakim jest wprowadzenie efektywnego systemu kontroli spełniania wymagań przez wprowadzane do obrotu kotły na paliwo stałe o znamionowej mocy cieplnej nie większej niż 500 kW, opartego na funkcjonowaniu organów Inspekcji Handlowej.</w:t>
      </w:r>
    </w:p>
    <w:p w:rsidR="0094086C" w:rsidRPr="0094086C" w:rsidRDefault="0094086C" w:rsidP="0094086C">
      <w:pPr>
        <w:autoSpaceDE w:val="0"/>
        <w:autoSpaceDN w:val="0"/>
        <w:adjustRightInd w:val="0"/>
        <w:spacing w:after="60" w:line="360" w:lineRule="auto"/>
        <w:jc w:val="both"/>
      </w:pPr>
      <w:r w:rsidRPr="0094086C">
        <w:t xml:space="preserve">Dodatkowo w celu wprowadzenia właściwej sprawozdawczości z realizacji zadań, o których mowa w art. 168b ust. 1, w ust. 2 i 3 wprowadza się obowiązek dla właściwych organów Inspekcji Handlowej (wojewódzcy inspektorzy Inspekcji Handlowej) przekazywania </w:t>
      </w:r>
      <w:r w:rsidRPr="0094086C">
        <w:lastRenderedPageBreak/>
        <w:t xml:space="preserve">wyszczególnionych danych z przeprowadzonych kontroli do Prezesa Urzędu Ochrony Konkurencji i Konsumentów (dalej jako „Prezes UOKiK”). Prezes UOKiK ma z kolei obowiązek podawania do publicznej wiadomości, w terminie do końca marca roku następującego po roku, którego te dane dotyczą, zbiorczych informacji zawierających dane </w:t>
      </w:r>
      <w:r>
        <w:t>z </w:t>
      </w:r>
      <w:r w:rsidRPr="0094086C">
        <w:t xml:space="preserve">kontroli przeprowadzonych przez wojewódzkich inspektorów Inspekcji Handlowej. Jednocześnie, zgodnie z deklaracją Urzędu Ochrony Konkurencji i Konsumentów, Prezes UOKiK w sposób analogiczny do zadania, o którym mowa w art. 168b ust. 3, będzie podawał do publicznej wiadomości, w terminie do końca marca roku następującego po roku, którego te informacje dotyczą, zbiorcze informacje zawierające dane z przeprowadzonych przez właściwe organy Inspekcji Handlowej kontroli spełniania wymagań przez wprowadzane do obrotu kotły na paliwo stałe objęte rozporządzeniem (UE) 2015/1189 po 1 stycznia 2020 r. na podstawie przepisów ustawy o systemie oceny zgodności. </w:t>
      </w:r>
    </w:p>
    <w:p w:rsidR="0094086C" w:rsidRPr="0094086C" w:rsidRDefault="0094086C" w:rsidP="0094086C">
      <w:pPr>
        <w:autoSpaceDE w:val="0"/>
        <w:autoSpaceDN w:val="0"/>
        <w:adjustRightInd w:val="0"/>
        <w:spacing w:after="60" w:line="360" w:lineRule="auto"/>
        <w:jc w:val="both"/>
      </w:pPr>
      <w:r w:rsidRPr="0094086C">
        <w:t>Powyższe działanie w zakresie sprawozdawczości jest niezbędne do oceny funkcjonowania systemu oraz jego efektywności</w:t>
      </w:r>
      <w:r w:rsidR="00D96546">
        <w:t>;</w:t>
      </w:r>
    </w:p>
    <w:p w:rsidR="0094086C" w:rsidRPr="0094086C" w:rsidRDefault="0094086C" w:rsidP="0094086C">
      <w:pPr>
        <w:autoSpaceDE w:val="0"/>
        <w:autoSpaceDN w:val="0"/>
        <w:adjustRightInd w:val="0"/>
        <w:spacing w:after="60" w:line="360" w:lineRule="auto"/>
        <w:jc w:val="both"/>
      </w:pPr>
      <w:r w:rsidRPr="0094086C">
        <w:t xml:space="preserve">2) </w:t>
      </w:r>
      <w:r w:rsidR="00D96546">
        <w:t>o</w:t>
      </w:r>
      <w:r w:rsidRPr="0094086C">
        <w:t>becny art. 171b POŚ przewiduje możliwość wprowadzania do obrotu produktów zgodnie z prawem wyprodukowanych lub dopuszczonych do obrotu w innym państwie członkowskim UE albo w Republice Turcji oraz zgodnie z prawem wyprodukowanych w państwie członkowskim EFTA będącym stroną umowy o EOG, z wyłączeniem krajowych przepisów ich dotyczących. Powoduje to, że możliwe jest wprowadzanie na polski rynek kotłów, które nie spełniają wymagań Rozporządzenia. Pozostawienie w obrocie zagranicznych kotłów niespełniających wymogów krajowych godzi w cel wprowadzanej regulacji, jakim jest poprawa jakości powietrza w Polsce.</w:t>
      </w:r>
    </w:p>
    <w:p w:rsidR="0094086C" w:rsidRPr="0094086C" w:rsidRDefault="0094086C" w:rsidP="0094086C">
      <w:pPr>
        <w:autoSpaceDE w:val="0"/>
        <w:autoSpaceDN w:val="0"/>
        <w:adjustRightInd w:val="0"/>
        <w:spacing w:after="60" w:line="360" w:lineRule="auto"/>
        <w:jc w:val="both"/>
      </w:pPr>
      <w:r w:rsidRPr="0094086C">
        <w:t xml:space="preserve">Przepis art. 36 Traktatu o Funkcjonowaniu Unii Europejskiej (TFUE) dopuszcza stosowanie zakazów lub ograniczeń przywozowych, wywozowych lub tranzytowych, uzasadnionych względami moralności publicznej, porządku publicznego, bezpieczeństwa publicznego, ochrony zdrowia i życia ludzi i zwierząt lub ochrony roślin, ochrony narodowych dóbr kultury o wartości artystycznej, historycznej lub archeologicznej, bądź ochrony własności przemysłowej i handlowej. Zgodnie z prawem UE możliwe jest ograniczenie swobody przepływu towarów. Państwa członkowskie mogą więc sprzeciwić się wprowadzaniu do obrotu towarów wprowadzonych legalnie do obrotu w innym państwie członkowskim UE, jeżeli takie ograniczenia są proporcjonalne do wyznaczonego celu i są uzasadnione względami określonymi w art. 36 TFUE lub tzw. wymogami imperatywnymi (koniecznymi). Cele regulacji wprowadzających na terenie Polski wymagania, które przyczyniają się do </w:t>
      </w:r>
      <w:r w:rsidRPr="0094086C">
        <w:lastRenderedPageBreak/>
        <w:t>ochrony środowiska, w tym zmniejszenia zanieczyszczenia powietrza, a tym samym do poprawy ochrony życia i zdrowia ludzi nie mogą zostać osiągnięte bez odstępstwa od unijnej zasady swobodnego przepływu towarów. Ochrona środowiska jest uznana przez Trybunał Sprawiedliwości UE jako usprawiedliwiająca regulacje krajowe ograniczające swobodę przepływu towarów (np. sprawa 302/85 – „duńskie butelki”). Ochrona zdrowia publicznego (wyraźnie również wymieniona w art. 36 TFUE) jest traktowana w prawie unijnym jako jedna z najważniejszych wartości z katalogu interesów, których ochrona uzasadnia wprowadzenie ograniczeń w funkcjonowaniu rynku wewnętrznego.</w:t>
      </w:r>
    </w:p>
    <w:p w:rsidR="0094086C" w:rsidRPr="0094086C" w:rsidRDefault="0094086C" w:rsidP="0094086C">
      <w:pPr>
        <w:autoSpaceDE w:val="0"/>
        <w:autoSpaceDN w:val="0"/>
        <w:adjustRightInd w:val="0"/>
        <w:spacing w:after="60" w:line="360" w:lineRule="auto"/>
        <w:jc w:val="both"/>
      </w:pPr>
      <w:r w:rsidRPr="0094086C">
        <w:t>Dodany w Projekcie do art. 171b POŚ ust. 2 umożliwia odstąpienie od wyrażonej w art. 171b zasady swobodnego przepływu towarów (która w dotychczasowym brzmieniu miała charakter bezwzględnie obowiązujący). W przedmiotowym ustępie wskazano konkretny produkt (tj. kotły na paliwo stałe o znamionowej mocy cieplnej nie większej niż 500 kW), do których nie będzie stosowana zasada swobodnego przepływu towarów określona w art. 171b POŚ, wskazując jednocześnie przesłanki takiego odstąpienia, którymi są potrzeba ograniczania negatywnego wpływu na środowisko oraz zdrowie i życie ludzi.</w:t>
      </w:r>
      <w:r>
        <w:t xml:space="preserve"> Tym samym ustalone w </w:t>
      </w:r>
      <w:r w:rsidRPr="0094086C">
        <w:t>Rozporządzeniu wymogi dla takich produktów będą wiążące również dla produktów zgodnie z prawem wyprodukowanych lub dopuszczonych do obrotu w innym państwie członkowskim UE albo w Republice Turcji oraz zgodnie z prawem wyprodukowanych w państwie członkowskim EFTA będącym stroną umowy o EOG.</w:t>
      </w:r>
    </w:p>
    <w:p w:rsidR="0094086C" w:rsidRPr="0094086C" w:rsidRDefault="0094086C" w:rsidP="0094086C">
      <w:pPr>
        <w:autoSpaceDE w:val="0"/>
        <w:autoSpaceDN w:val="0"/>
        <w:adjustRightInd w:val="0"/>
        <w:spacing w:after="60" w:line="360" w:lineRule="auto"/>
        <w:jc w:val="both"/>
      </w:pPr>
      <w:r w:rsidRPr="0094086C">
        <w:t>Biorąc pod uwagę specyficzną sytuację Polski na tle innych krajów UE w zakresie złej jakości powietrza, co jest potwierdzone raportami Najwyższej Izby Kontroli (NIK), Banku Światowego oraz Światowej Organizacji Zdrowia (WHO), projektowany środek jest odpowiedni i niezbędny do ochrony zdrowia i życia ludzi przed złą jakością powietrza. Wyniki ocen rocznych wskazują, że za nieodpowiedni stan jakości powietrza w Polsce odpowiada obecnie przede wszystkim zjawisko tzw. niskiej emisji, pocho</w:t>
      </w:r>
      <w:r>
        <w:t>dzącej w pierwszej kolejności z </w:t>
      </w:r>
      <w:r w:rsidRPr="0094086C">
        <w:t xml:space="preserve">sektora bytowo-komunalnego, a w dalszej kolejności z transportu. Emisja z sektora komunalno-bytowego jest spowodowana głównie używaniem przez znaczną liczbę gospodarstw domowych wysokoemisyjnych kotłów na paliwo stałe. Spalanie paliw w takich kotłach powoduje emisję pyłu zawieszonego i wielopierścieniowych węglowodorów aromatycznych. Dane naukowe potwierdzają negatywny wpływ ww. zanieczyszczeń na zdrowie ludzi. Pyły o frakcji PM10 mogą powodować negatywne reakcje ze strony organizmu, takie jak kaszel, trudności z oddychaniem i zadyszkę, szczególnie w czasie wysiłku fizycznego. Przyczyniają się do zwiększenia zagrożenia infekcjami układu </w:t>
      </w:r>
      <w:r w:rsidRPr="0094086C">
        <w:lastRenderedPageBreak/>
        <w:t>oddechowego oraz występowania zaostrzeń objawów chorób alergicznych np. astmy, kataru siennego i zapalenia spojówek. Z kolei drobne frakcje pyłów mogą przenikać do krwioobiegu, a dłuższe narażenie na wysokie stężenia pyłu może mieć istotny wpływ na przebieg chorób serca (nadciśnienie, zawał) lub nawet zwiększać ryzyko zachorowania na choroby nowotworowe, szczególnie płuc</w:t>
      </w:r>
      <w:r w:rsidRPr="0094086C">
        <w:rPr>
          <w:vertAlign w:val="superscript"/>
        </w:rPr>
        <w:footnoteReference w:id="1"/>
      </w:r>
      <w:r w:rsidRPr="0094086C">
        <w:rPr>
          <w:vertAlign w:val="superscript"/>
        </w:rPr>
        <w:t>)</w:t>
      </w:r>
      <w:r w:rsidRPr="0094086C">
        <w:t xml:space="preserve">. Z kolei wielopierścieniowe węglowodory aromatyczne (np. </w:t>
      </w:r>
      <w:proofErr w:type="spellStart"/>
      <w:r w:rsidRPr="0094086C">
        <w:t>benzo</w:t>
      </w:r>
      <w:proofErr w:type="spellEnd"/>
      <w:r w:rsidRPr="0094086C">
        <w:t>(a)</w:t>
      </w:r>
      <w:proofErr w:type="spellStart"/>
      <w:r w:rsidRPr="0094086C">
        <w:t>piren</w:t>
      </w:r>
      <w:proofErr w:type="spellEnd"/>
      <w:r w:rsidRPr="0094086C">
        <w:t>) mogą wywoływać nowotwory, powodować dziedziczne wady genetyczne, upośledzać płodność lub działać szkodliwie na dziecko w łonie matki</w:t>
      </w:r>
      <w:r w:rsidRPr="0094086C">
        <w:rPr>
          <w:vertAlign w:val="superscript"/>
        </w:rPr>
        <w:footnoteReference w:id="2"/>
      </w:r>
      <w:r w:rsidRPr="0094086C">
        <w:rPr>
          <w:vertAlign w:val="superscript"/>
        </w:rPr>
        <w:t>)</w:t>
      </w:r>
      <w:r w:rsidRPr="0094086C">
        <w:t>. W świetle powyższego konieczne jest całkowite wyeliminowanie wysokoemisyjnych kotłów na paliwo stałe z użycia w sektorze komunalno</w:t>
      </w:r>
      <w:r w:rsidR="00762783">
        <w:noBreakHyphen/>
      </w:r>
      <w:r w:rsidRPr="0094086C">
        <w:t xml:space="preserve">bytowym. </w:t>
      </w:r>
    </w:p>
    <w:p w:rsidR="0094086C" w:rsidRPr="0094086C" w:rsidRDefault="0094086C" w:rsidP="0094086C">
      <w:pPr>
        <w:autoSpaceDE w:val="0"/>
        <w:autoSpaceDN w:val="0"/>
        <w:adjustRightInd w:val="0"/>
        <w:spacing w:after="60" w:line="360" w:lineRule="auto"/>
        <w:jc w:val="both"/>
      </w:pPr>
      <w:r w:rsidRPr="0094086C">
        <w:t>WHO szacuje, że każdego roku zanieczyszczone powietrze w Polsce jest przyczyną przedwczesnej śmierci ok. 45 000 osób. Z kolei tzw. niska emisja (czyli zanieczyszczenia powietrza emitowane przez sektor komunalno-bytowy oraz małe zakłady produkcyjne, wykorzystujące w przeważnej ilości do ogrzewania kotły</w:t>
      </w:r>
      <w:r>
        <w:t xml:space="preserve"> na paliwo stałe) odpowiadała w </w:t>
      </w:r>
      <w:r w:rsidRPr="0094086C">
        <w:t>Polsce, zgodnie z raportem Ministerstwa Przedsiębiorczości i Technologii opublikowanym we wrześniu 2018 r., za ok. 19 000 przedwczesnych zgonów</w:t>
      </w:r>
      <w:r w:rsidRPr="0094086C">
        <w:rPr>
          <w:rStyle w:val="Odwoanieprzypisudolnego"/>
        </w:rPr>
        <w:footnoteReference w:id="3"/>
      </w:r>
      <w:r w:rsidRPr="0094086C">
        <w:rPr>
          <w:vertAlign w:val="superscript"/>
        </w:rPr>
        <w:t>)</w:t>
      </w:r>
      <w:r w:rsidRPr="0094086C">
        <w:t xml:space="preserve">. </w:t>
      </w:r>
    </w:p>
    <w:p w:rsidR="0094086C" w:rsidRPr="0094086C" w:rsidRDefault="0094086C" w:rsidP="0094086C">
      <w:pPr>
        <w:autoSpaceDE w:val="0"/>
        <w:autoSpaceDN w:val="0"/>
        <w:adjustRightInd w:val="0"/>
        <w:spacing w:after="60" w:line="360" w:lineRule="auto"/>
        <w:jc w:val="both"/>
      </w:pPr>
      <w:r w:rsidRPr="0094086C">
        <w:t>Konieczne jest tu także zwrócenie uwagi, że w grudniu 2015 r. Komisja Europejska wytoczyła Polsce sprawę przed Trybunałem Sprawiedliwości UE za brak działań w latach 2007–2015 na rzecz ograniczania zanieczyszczenia powietrza (w zakresie pyłów PM10). Podsumowaniem braku należytych działań administracji publicznej w tym obszarze jest wydanie przez Trybunał Sprawiedliwości UE dnia 22 lutego 2018 r. wyroku stwierdzającego, że Rzeczpospolita Polska w latach 2007–2015 nie ustanowiła skutecznego systemu ochrony swoich obywateli przed zanieczyszczonym powietrzem (C-336/16). Przepis art.</w:t>
      </w:r>
      <w:r>
        <w:t xml:space="preserve"> 171b ust. 2 POŚ w połączeniu z </w:t>
      </w:r>
      <w:r w:rsidRPr="0094086C">
        <w:t xml:space="preserve">przepisami Rozporządzenia, pozwoli na uszczelnienie obrotu kotłami na paliwo stałe </w:t>
      </w:r>
      <w:r w:rsidR="00762783" w:rsidRPr="0094086C">
        <w:t>w</w:t>
      </w:r>
      <w:r w:rsidR="00762783">
        <w:t> </w:t>
      </w:r>
      <w:r w:rsidRPr="0094086C">
        <w:t>Polsce, co przyczyni się do skuteczniejszej ochrony przed wprowadzeniem do obrotu kotłów na paliwo stałe niespełniających wymagań oraz wyeliminowania sytuacji, w której polscy producenci są objęci wymaganiami znacznie surowszymi od producentów zagranicznych.</w:t>
      </w:r>
    </w:p>
    <w:p w:rsidR="0094086C" w:rsidRPr="0094086C" w:rsidRDefault="0094086C" w:rsidP="0094086C">
      <w:pPr>
        <w:autoSpaceDE w:val="0"/>
        <w:autoSpaceDN w:val="0"/>
        <w:adjustRightInd w:val="0"/>
        <w:spacing w:after="60" w:line="360" w:lineRule="auto"/>
        <w:jc w:val="both"/>
      </w:pPr>
      <w:r w:rsidRPr="0094086C">
        <w:lastRenderedPageBreak/>
        <w:t>Projektowany środek jest proporcjonalny – jest odpowiedni i niezbędny do osiągnięcia zakładanego celu, jakim jest zmniejszenie zanieczyszczenia powietrza oraz poprawa ochrony życia i zdrowia ludzi. Bez rozszerzenia wymagań dotyczących emisyjności, konstrukcji oraz oznakowania kotłów, o których mowa w przepisach Rozporządzenia, na kotły na paliwo stałe pochodzące z innych państw członkowskich UE, Republiki Turcji oraz państw członkowskich EFTA będących stroną umowy o EOG, nie jest możliwe osiągnięcie ww. celu. Innymi słowy niewykonalne jest osiągniecie ww. celu, je</w:t>
      </w:r>
      <w:r w:rsidR="00D96546">
        <w:t>że</w:t>
      </w:r>
      <w:r w:rsidRPr="0094086C">
        <w:t>li dopuszcza się do sprzedaży w Polsce wyprodukowane lub dopuszczone do obrotu w innych państwach kotły niespełniające wymagań, o których mowa w przepisach Rozporządzenia. Umożliwienie sprzedaży takich kotłów może spowodować, że staną się one dla kupującyc</w:t>
      </w:r>
      <w:r>
        <w:t>h atrakcyjniejszą alternatywą w </w:t>
      </w:r>
      <w:r w:rsidRPr="0094086C">
        <w:t>stosunku do kotłów spełniających wymagania Rozporządzenia. Ze względu na elastyczność i dynamikę rynku kotłów na paliwo stałe w Polsce zjawisko zastępowania oferty droższych kotłów ofertą kotłów tańszych może następować w szybkim tempie. Adekwatność projektowanego środka z punktu widzenia celu ochrony życia i zdrowia ludzi nie budzi zatem żadnych wątpliwości.</w:t>
      </w:r>
    </w:p>
    <w:p w:rsidR="0094086C" w:rsidRPr="0094086C" w:rsidRDefault="0094086C" w:rsidP="0094086C">
      <w:pPr>
        <w:autoSpaceDE w:val="0"/>
        <w:autoSpaceDN w:val="0"/>
        <w:adjustRightInd w:val="0"/>
        <w:spacing w:after="60" w:line="360" w:lineRule="auto"/>
        <w:jc w:val="both"/>
      </w:pPr>
      <w:r w:rsidRPr="0094086C">
        <w:t xml:space="preserve">Ponadto nie jest możliwe osiągnięcie zakładanego celu za pomocą mniej restrykcyjnych środków lub środków ograniczających swobodę przepływu towarów w mniejszym zakresie. </w:t>
      </w:r>
      <w:r>
        <w:t>W </w:t>
      </w:r>
      <w:r w:rsidRPr="0094086C">
        <w:t>szczególności nie jest możliwe dopuszczenie sprzedaży na zasadzie wzajemnego uznawania tylko niektórych rodzajów kotłów pochodzących z zagranicy objętych zakresem przepisów wydanych na po</w:t>
      </w:r>
      <w:r w:rsidR="00D96546">
        <w:t>d</w:t>
      </w:r>
      <w:r w:rsidRPr="0094086C">
        <w:t>stawie art. 169 ust. 1 POŚ (np. kotłów wytwarzających ciepło wyłącznie na potrzeby ciepłej wody użytkowej lub kotłów na biomasę niedrzewną) lub też dopuszczenie sprzedaży zagranicznych kotłów niespełniających wymagań</w:t>
      </w:r>
      <w:r>
        <w:t xml:space="preserve"> określonych w ww. przepisach w </w:t>
      </w:r>
      <w:r w:rsidRPr="0094086C">
        <w:t xml:space="preserve">ograniczonym terytorialnie zakresie (np. wyłącznie w strefach, w których nie są odnotowywane przekroczenia poziomów dopuszczalnych zanieczyszczeń). Wszelkie tego rodzaju odstępstwa umożliwiałyby bowiem obchodzenie wymagań określonych w przepisach wydanych na postawie art. 169 ust. 1 POŚ i w konsekwencji prowadziłyby do zaprzepaszczenia celu, jakim jest całkowite wyeliminowanie ze sprzedaży i użytkowania kotłów wysokoemisyjnych. </w:t>
      </w:r>
    </w:p>
    <w:p w:rsidR="0094086C" w:rsidRPr="0094086C" w:rsidRDefault="0094086C" w:rsidP="0094086C">
      <w:pPr>
        <w:autoSpaceDE w:val="0"/>
        <w:autoSpaceDN w:val="0"/>
        <w:adjustRightInd w:val="0"/>
        <w:spacing w:after="60" w:line="360" w:lineRule="auto"/>
        <w:jc w:val="both"/>
      </w:pPr>
      <w:r w:rsidRPr="0094086C">
        <w:t>Omawiany środek jest także proporcjonalny w sensie ścisłym, ponieważ porównanie kosztów regulacji (ograniczenie wymiany wewnątrzunijnej i wynikająca stąd potencjalna utrata przychodów przez podmioty sprzedające na polskim rynku kotły niespełniające wymagań określonych w przepisach wydanych na postawie art. 169 ust. 1 POŚ) z zyskami jakie przyniesie (poprawa zdrowia i jakości życia obywateli) uzasadnia wprowadzane ograniczenia.</w:t>
      </w:r>
    </w:p>
    <w:p w:rsidR="0094086C" w:rsidRPr="0094086C" w:rsidRDefault="0094086C" w:rsidP="0094086C">
      <w:pPr>
        <w:autoSpaceDE w:val="0"/>
        <w:autoSpaceDN w:val="0"/>
        <w:adjustRightInd w:val="0"/>
        <w:spacing w:after="60" w:line="360" w:lineRule="auto"/>
        <w:jc w:val="both"/>
      </w:pPr>
      <w:r w:rsidRPr="0094086C">
        <w:lastRenderedPageBreak/>
        <w:t>Wreszcie należy podkreślić, że projektowany środek nie ma charakteru dyskryminującego, ponieważ wprowadzenie tego środka w życie spowoduje, że wymagania określone w przepisach wydanych na postawie art. 169 ust. 1 POŚ będą dotyczyły w takim samym zakresie produktów polskich, jak i produktów pochodzących z innych państw członkowskich UE, Republiki Turcji oraz państw członkowskich EFTA będących stroną umowy o EOG</w:t>
      </w:r>
      <w:r w:rsidR="00D96546">
        <w:t>;</w:t>
      </w:r>
    </w:p>
    <w:p w:rsidR="0094086C" w:rsidRPr="0094086C" w:rsidRDefault="0094086C" w:rsidP="0094086C">
      <w:pPr>
        <w:autoSpaceDE w:val="0"/>
        <w:autoSpaceDN w:val="0"/>
        <w:adjustRightInd w:val="0"/>
        <w:spacing w:after="60" w:line="360" w:lineRule="auto"/>
        <w:jc w:val="both"/>
      </w:pPr>
      <w:r w:rsidRPr="0094086C">
        <w:t xml:space="preserve">3) </w:t>
      </w:r>
      <w:r w:rsidR="00D96546">
        <w:t>w</w:t>
      </w:r>
      <w:r w:rsidRPr="0094086C">
        <w:t xml:space="preserve"> tytule III w dziale II w rozdziale 3 POŚ po art. 172 dodaje się art. 172a, w którym wprowadza się nowe definicje:</w:t>
      </w:r>
    </w:p>
    <w:p w:rsidR="0094086C" w:rsidRPr="0094086C" w:rsidRDefault="0094086C" w:rsidP="0094086C">
      <w:pPr>
        <w:pStyle w:val="Akapitzlist"/>
        <w:numPr>
          <w:ilvl w:val="0"/>
          <w:numId w:val="2"/>
        </w:numPr>
        <w:autoSpaceDE w:val="0"/>
        <w:autoSpaceDN w:val="0"/>
        <w:adjustRightInd w:val="0"/>
        <w:spacing w:after="60" w:line="360" w:lineRule="auto"/>
        <w:ind w:left="709"/>
        <w:contextualSpacing w:val="0"/>
        <w:jc w:val="both"/>
        <w:rPr>
          <w:rFonts w:ascii="Times New Roman" w:hAnsi="Times New Roman"/>
          <w:sz w:val="24"/>
          <w:szCs w:val="24"/>
        </w:rPr>
      </w:pPr>
      <w:r w:rsidRPr="0094086C">
        <w:rPr>
          <w:rFonts w:ascii="Times New Roman" w:hAnsi="Times New Roman"/>
          <w:sz w:val="24"/>
          <w:szCs w:val="24"/>
        </w:rPr>
        <w:t>kotła na paliwo stałe o znamionowej mocy cieplnej nie większej niż 500 kW w</w:t>
      </w:r>
      <w:r>
        <w:rPr>
          <w:rFonts w:ascii="Times New Roman" w:hAnsi="Times New Roman"/>
          <w:sz w:val="24"/>
          <w:szCs w:val="24"/>
        </w:rPr>
        <w:t> </w:t>
      </w:r>
      <w:r w:rsidRPr="0094086C">
        <w:rPr>
          <w:rFonts w:ascii="Times New Roman" w:hAnsi="Times New Roman"/>
          <w:sz w:val="24"/>
          <w:szCs w:val="24"/>
        </w:rPr>
        <w:t>brzmieniu bazującym na treści § 1 ust. 1 Rozporządzenia,</w:t>
      </w:r>
    </w:p>
    <w:p w:rsidR="0094086C" w:rsidRPr="0094086C" w:rsidRDefault="0094086C" w:rsidP="0094086C">
      <w:pPr>
        <w:pStyle w:val="Akapitzlist"/>
        <w:numPr>
          <w:ilvl w:val="0"/>
          <w:numId w:val="2"/>
        </w:numPr>
        <w:autoSpaceDE w:val="0"/>
        <w:autoSpaceDN w:val="0"/>
        <w:adjustRightInd w:val="0"/>
        <w:spacing w:after="60" w:line="360" w:lineRule="auto"/>
        <w:ind w:left="709"/>
        <w:contextualSpacing w:val="0"/>
        <w:jc w:val="both"/>
        <w:rPr>
          <w:rFonts w:ascii="Times New Roman" w:hAnsi="Times New Roman"/>
          <w:sz w:val="24"/>
          <w:szCs w:val="24"/>
        </w:rPr>
      </w:pPr>
      <w:r w:rsidRPr="0094086C">
        <w:rPr>
          <w:rFonts w:ascii="Times New Roman" w:hAnsi="Times New Roman"/>
          <w:sz w:val="24"/>
          <w:szCs w:val="24"/>
        </w:rPr>
        <w:t xml:space="preserve">wprowadzenia do obrotu kotła na paliwo stałe o znamionowej mocy cieplnej nie większej niż 500 kW, w brzmieniu bazującym na treści obecnie obowiązującej definicji zawartej w § 2 pkt 1 Rozporządzenia. </w:t>
      </w:r>
    </w:p>
    <w:p w:rsidR="0094086C" w:rsidRPr="0094086C" w:rsidRDefault="0094086C" w:rsidP="0094086C">
      <w:pPr>
        <w:autoSpaceDE w:val="0"/>
        <w:autoSpaceDN w:val="0"/>
        <w:adjustRightInd w:val="0"/>
        <w:spacing w:after="60" w:line="360" w:lineRule="auto"/>
        <w:jc w:val="both"/>
      </w:pPr>
      <w:r w:rsidRPr="0094086C">
        <w:t xml:space="preserve">Wprowadzenie ww. definicji ma na celu zapewnienie przejrzystości przepisów oraz ich maksymalnej skuteczności i jednoznaczności w świetle wprowadzanego mechanizmu kontroli i ewentualnego nakładania administracyjnych kar pieniężnych. W opinii resortów biorących udział w uzgodnieniach międzyresortowych, powinny one zostać zawarte w przepisach na poziomie ustawowym. </w:t>
      </w:r>
    </w:p>
    <w:p w:rsidR="0094086C" w:rsidRPr="0094086C" w:rsidRDefault="0094086C" w:rsidP="0094086C">
      <w:pPr>
        <w:autoSpaceDE w:val="0"/>
        <w:autoSpaceDN w:val="0"/>
        <w:adjustRightInd w:val="0"/>
        <w:spacing w:after="60" w:line="360" w:lineRule="auto"/>
        <w:jc w:val="both"/>
      </w:pPr>
      <w:r w:rsidRPr="0094086C">
        <w:t>Definicja kotła na paliwo stałe o znamionowej mocy cieplnej nie większej niż 500 kW wprowadzana Projektem w art. 172a pkt 1 POŚ będzie obowiązywała od 1 stycznia 2020 r. (po rozpoczęciu stosowania w stosunku do kotłów na paliwo stałe wymagań rozporządzenia (UE) 2015/1189) wyłącznie do kotłów, do których nie stosuje się przepisów rozporządzenia (UE) 2015/1189, przy jednoczesnym zastosowaniu krajowych przepisów Rozporządzenia.</w:t>
      </w:r>
    </w:p>
    <w:p w:rsidR="0094086C" w:rsidRPr="0094086C" w:rsidRDefault="0094086C" w:rsidP="0094086C">
      <w:pPr>
        <w:autoSpaceDE w:val="0"/>
        <w:autoSpaceDN w:val="0"/>
        <w:adjustRightInd w:val="0"/>
        <w:spacing w:after="60" w:line="360" w:lineRule="auto"/>
        <w:jc w:val="both"/>
      </w:pPr>
      <w:r w:rsidRPr="0094086C">
        <w:t xml:space="preserve">W efekcie powyższego, definicja wprowadzona w art. 172a pkt 1 POŚ będzie obowiązywać od 1 stycznia 2020 r. do kotłów, o których mowa w art. 1 ust. 2 lit. a i d rozporządzenia (UE) 2015/1189, z wyłączeniem kotła o znamionowej mocy cieplnej większej niż 100 kW z ręcznym zasilaniem balotami słomy. Z uwagi na istotne różnice konstrukcyjne i sposób działania urządzenia w porównaniu do urządzeń objętych definicją, uzasadnione jest, aby kotły na paliwo stałe o znamionowej mocy nie większej niż 500 kW: </w:t>
      </w:r>
    </w:p>
    <w:p w:rsidR="0094086C" w:rsidRPr="0094086C" w:rsidRDefault="0094086C" w:rsidP="0094086C">
      <w:pPr>
        <w:pStyle w:val="ARTartustawynprozporzdzenia"/>
        <w:numPr>
          <w:ilvl w:val="0"/>
          <w:numId w:val="3"/>
        </w:numPr>
        <w:spacing w:before="0" w:after="60"/>
        <w:rPr>
          <w:rFonts w:ascii="Times New Roman" w:hAnsi="Times New Roman" w:cs="Times New Roman"/>
          <w:b/>
          <w:szCs w:val="24"/>
        </w:rPr>
      </w:pPr>
      <w:r w:rsidRPr="0094086C">
        <w:rPr>
          <w:rFonts w:ascii="Times New Roman" w:hAnsi="Times New Roman" w:cs="Times New Roman"/>
          <w:bCs/>
          <w:szCs w:val="24"/>
        </w:rPr>
        <w:t>przeznaczone do ogrzewania i rozprowadzania gazowych nośników ciepła, takich jak para wodna lub powietrze,</w:t>
      </w:r>
    </w:p>
    <w:p w:rsidR="0094086C" w:rsidRPr="0094086C" w:rsidRDefault="0094086C" w:rsidP="0094086C">
      <w:pPr>
        <w:pStyle w:val="ARTartustawynprozporzdzenia"/>
        <w:numPr>
          <w:ilvl w:val="0"/>
          <w:numId w:val="3"/>
        </w:numPr>
        <w:spacing w:before="0" w:after="60"/>
        <w:rPr>
          <w:rFonts w:ascii="Times New Roman" w:hAnsi="Times New Roman" w:cs="Times New Roman"/>
          <w:b/>
          <w:szCs w:val="24"/>
        </w:rPr>
      </w:pPr>
      <w:r w:rsidRPr="0094086C">
        <w:rPr>
          <w:rFonts w:ascii="Times New Roman" w:hAnsi="Times New Roman" w:cs="Times New Roman"/>
          <w:bCs/>
          <w:szCs w:val="24"/>
        </w:rPr>
        <w:t>kogeneracyjne na paliwo stałe o znamionowej mocy el</w:t>
      </w:r>
      <w:r>
        <w:rPr>
          <w:rFonts w:ascii="Times New Roman" w:hAnsi="Times New Roman" w:cs="Times New Roman"/>
          <w:bCs/>
          <w:szCs w:val="24"/>
        </w:rPr>
        <w:t>ektrycznej nie mniejszej niż 50 </w:t>
      </w:r>
      <w:r w:rsidRPr="0094086C">
        <w:rPr>
          <w:rFonts w:ascii="Times New Roman" w:hAnsi="Times New Roman" w:cs="Times New Roman"/>
          <w:bCs/>
          <w:szCs w:val="24"/>
        </w:rPr>
        <w:t>kW,</w:t>
      </w:r>
    </w:p>
    <w:p w:rsidR="0094086C" w:rsidRPr="0094086C" w:rsidRDefault="0094086C" w:rsidP="0094086C">
      <w:pPr>
        <w:pStyle w:val="ARTartustawynprozporzdzenia"/>
        <w:numPr>
          <w:ilvl w:val="0"/>
          <w:numId w:val="3"/>
        </w:numPr>
        <w:spacing w:before="0" w:after="60"/>
        <w:rPr>
          <w:rFonts w:ascii="Times New Roman" w:hAnsi="Times New Roman" w:cs="Times New Roman"/>
          <w:b/>
          <w:szCs w:val="24"/>
        </w:rPr>
      </w:pPr>
      <w:r w:rsidRPr="0094086C">
        <w:rPr>
          <w:rFonts w:ascii="Times New Roman" w:hAnsi="Times New Roman" w:cs="Times New Roman"/>
          <w:bCs/>
          <w:szCs w:val="24"/>
        </w:rPr>
        <w:lastRenderedPageBreak/>
        <w:t>o znamionowej mocy cieplnej większej niż 100 kW z ręcznym zasilaniem balotami słomy</w:t>
      </w:r>
    </w:p>
    <w:p w:rsidR="0094086C" w:rsidRPr="0094086C" w:rsidRDefault="0094086C" w:rsidP="0094086C">
      <w:pPr>
        <w:pStyle w:val="ARTartustawynprozporzdzenia"/>
        <w:spacing w:before="0" w:after="60"/>
        <w:ind w:left="567" w:firstLine="0"/>
        <w:rPr>
          <w:rFonts w:ascii="Times New Roman" w:hAnsi="Times New Roman" w:cs="Times New Roman"/>
          <w:szCs w:val="24"/>
        </w:rPr>
      </w:pPr>
      <w:r w:rsidRPr="0094086C">
        <w:rPr>
          <w:rFonts w:ascii="Times New Roman" w:hAnsi="Times New Roman" w:cs="Times New Roman"/>
          <w:bCs/>
          <w:szCs w:val="24"/>
        </w:rPr>
        <w:t xml:space="preserve">– pozostały wyłączone spod przedmiotowej definicji, </w:t>
      </w:r>
      <w:r w:rsidRPr="008616E7">
        <w:rPr>
          <w:rStyle w:val="Ppogrubienie"/>
          <w:rFonts w:ascii="Times New Roman" w:hAnsi="Times New Roman" w:cs="Times New Roman"/>
          <w:b w:val="0"/>
          <w:szCs w:val="24"/>
        </w:rPr>
        <w:t xml:space="preserve">analogicznie </w:t>
      </w:r>
      <w:r w:rsidR="008616E7" w:rsidRPr="008616E7">
        <w:rPr>
          <w:rStyle w:val="Ppogrubienie"/>
          <w:rFonts w:ascii="Times New Roman" w:hAnsi="Times New Roman" w:cs="Times New Roman"/>
          <w:b w:val="0"/>
          <w:szCs w:val="24"/>
        </w:rPr>
        <w:t>do obowiązującego</w:t>
      </w:r>
      <w:r w:rsidRPr="0094086C">
        <w:rPr>
          <w:rStyle w:val="Ppogrubienie"/>
          <w:rFonts w:ascii="Times New Roman" w:hAnsi="Times New Roman" w:cs="Times New Roman"/>
          <w:szCs w:val="24"/>
        </w:rPr>
        <w:t xml:space="preserve"> </w:t>
      </w:r>
      <w:r w:rsidRPr="0094086C">
        <w:rPr>
          <w:rFonts w:ascii="Times New Roman" w:hAnsi="Times New Roman" w:cs="Times New Roman"/>
          <w:szCs w:val="24"/>
        </w:rPr>
        <w:t>Rozporządzeni</w:t>
      </w:r>
      <w:r w:rsidR="00D96546">
        <w:rPr>
          <w:rFonts w:ascii="Times New Roman" w:hAnsi="Times New Roman" w:cs="Times New Roman"/>
          <w:szCs w:val="24"/>
        </w:rPr>
        <w:t>a</w:t>
      </w:r>
      <w:r w:rsidRPr="0094086C">
        <w:rPr>
          <w:rFonts w:ascii="Times New Roman" w:hAnsi="Times New Roman" w:cs="Times New Roman"/>
          <w:szCs w:val="24"/>
        </w:rPr>
        <w:t>.</w:t>
      </w:r>
    </w:p>
    <w:p w:rsidR="0094086C" w:rsidRPr="0094086C" w:rsidRDefault="0094086C" w:rsidP="0094086C">
      <w:pPr>
        <w:pStyle w:val="ARTartustawynprozporzdzenia"/>
        <w:spacing w:before="0" w:after="60"/>
        <w:ind w:firstLine="0"/>
        <w:rPr>
          <w:rFonts w:ascii="Times New Roman" w:hAnsi="Times New Roman" w:cs="Times New Roman"/>
          <w:szCs w:val="24"/>
        </w:rPr>
      </w:pPr>
      <w:r w:rsidRPr="0094086C">
        <w:rPr>
          <w:rFonts w:ascii="Times New Roman" w:hAnsi="Times New Roman" w:cs="Times New Roman"/>
          <w:szCs w:val="24"/>
        </w:rPr>
        <w:t>Analogicznie definicja wprowadzenia do obrotu kotła na paliwo stałe o znamionowej mocy cieplnej nie większej niż 500 kW, wprowadzona w art. 172a pkt 2 POŚ od 1 stycznia 2020 r. (po rozpoczęciu stosowania w stosunku do kotłów na paliwo stałe wymagań rozporządzenia (UE) 2015/1189), będzie obowiązywała wyłącznie do kotłów, do których nie stosuje się przepisów rozporządzenia (UE) 2015/1189, przy jednoczesnym zastosowaniu krajowych przepisów Rozporządzenia.</w:t>
      </w:r>
    </w:p>
    <w:p w:rsidR="0094086C" w:rsidRPr="0094086C" w:rsidRDefault="0094086C" w:rsidP="0094086C">
      <w:pPr>
        <w:autoSpaceDE w:val="0"/>
        <w:autoSpaceDN w:val="0"/>
        <w:adjustRightInd w:val="0"/>
        <w:spacing w:after="60" w:line="360" w:lineRule="auto"/>
        <w:jc w:val="both"/>
      </w:pPr>
      <w:r w:rsidRPr="0094086C">
        <w:t>Z kolei do kotłów na paliwo stałe objętych rozporządzeniem (UE) 2015/1189 od 1 stycznia 2020 r. stosować się będzie definicję „kotła na paliwo stałe” w brzmieniu nadanym</w:t>
      </w:r>
      <w:r>
        <w:t xml:space="preserve"> w </w:t>
      </w:r>
      <w:r w:rsidRPr="0094086C">
        <w:t>rozporządzeniu (UE) 2015/1189 oraz definicję „wprowadzania do obrotu”</w:t>
      </w:r>
      <w:r>
        <w:t xml:space="preserve"> w brzmieniu art. </w:t>
      </w:r>
      <w:r w:rsidRPr="0094086C">
        <w:t>5 pkt 2 ustawy o systemie oceny zgodności, implementującą definicję wprowadzania do obrotu określoną w dyrektywie Parlamentu Europejskie</w:t>
      </w:r>
      <w:r>
        <w:t>go i Rady 2009/125/WE z dnia 21 </w:t>
      </w:r>
      <w:r w:rsidRPr="0094086C">
        <w:t xml:space="preserve">października 2009 r. ustanawiającą ogólne zasady ustalania wymogów dotyczących </w:t>
      </w:r>
      <w:proofErr w:type="spellStart"/>
      <w:r w:rsidRPr="0094086C">
        <w:t>ekoprojektu</w:t>
      </w:r>
      <w:proofErr w:type="spellEnd"/>
      <w:r w:rsidRPr="0094086C">
        <w:t xml:space="preserve"> dla produktów związanych z energią (Dz. Urz. UE L 285 z 31.10.2009, str. 10, z</w:t>
      </w:r>
      <w:r w:rsidR="00081F4F">
        <w:t> </w:t>
      </w:r>
      <w:proofErr w:type="spellStart"/>
      <w:r w:rsidRPr="0094086C">
        <w:t>późn</w:t>
      </w:r>
      <w:proofErr w:type="spellEnd"/>
      <w:r w:rsidRPr="0094086C">
        <w:t>. zm.) (dalej jako „dyrektywa PE i Rady 2009/125/WE”)</w:t>
      </w:r>
      <w:r w:rsidR="00D96546">
        <w:t>;</w:t>
      </w:r>
    </w:p>
    <w:p w:rsidR="0094086C" w:rsidRPr="0094086C" w:rsidRDefault="0094086C" w:rsidP="0094086C">
      <w:pPr>
        <w:autoSpaceDE w:val="0"/>
        <w:autoSpaceDN w:val="0"/>
        <w:adjustRightInd w:val="0"/>
        <w:spacing w:after="60" w:line="360" w:lineRule="auto"/>
        <w:jc w:val="both"/>
      </w:pPr>
      <w:r w:rsidRPr="0094086C">
        <w:t xml:space="preserve">4) </w:t>
      </w:r>
      <w:r w:rsidR="00D96546">
        <w:t>w</w:t>
      </w:r>
      <w:r w:rsidRPr="0094086C">
        <w:t xml:space="preserve"> tytule V POŚ wprowadza się nowy dział VI pt. „Administracyjne kary pieniężne za naruszenie zakazu wprowadzania do obrotu kotłów na paliwo stałe o znamionowej mocy cieplnej nie większej niż 500 kW niespełniających wymagań”, przewidujący możliwość nałożenia administracyjnych kar pieniężnych za naruszenie zakazu wprowadzania do obrotu kotłów na paliwo stałe niespełniających wymagań. </w:t>
      </w:r>
    </w:p>
    <w:p w:rsidR="0094086C" w:rsidRPr="0094086C" w:rsidRDefault="0094086C" w:rsidP="0094086C">
      <w:pPr>
        <w:autoSpaceDE w:val="0"/>
        <w:autoSpaceDN w:val="0"/>
        <w:adjustRightInd w:val="0"/>
        <w:spacing w:after="60" w:line="360" w:lineRule="auto"/>
        <w:jc w:val="both"/>
      </w:pPr>
      <w:r w:rsidRPr="0094086C">
        <w:t>W nowym art. 321k wprowadza się możliwość wymierzania przez wojewódzkich inspektorów Inspekcji Handlowej administracyjnych kar pieniężnych wobec przedsiębiorców wprowadzających kotły na paliwo stałe o znamionowej moc</w:t>
      </w:r>
      <w:r w:rsidR="00081F4F">
        <w:t>y cieplnej nie większej niż 500 </w:t>
      </w:r>
      <w:proofErr w:type="spellStart"/>
      <w:r w:rsidRPr="0094086C">
        <w:t>kW.</w:t>
      </w:r>
      <w:proofErr w:type="spellEnd"/>
      <w:r w:rsidRPr="0094086C">
        <w:t xml:space="preserve"> </w:t>
      </w:r>
    </w:p>
    <w:p w:rsidR="0094086C" w:rsidRPr="0094086C" w:rsidRDefault="0094086C" w:rsidP="0094086C">
      <w:pPr>
        <w:autoSpaceDE w:val="0"/>
        <w:autoSpaceDN w:val="0"/>
        <w:adjustRightInd w:val="0"/>
        <w:spacing w:after="60" w:line="360" w:lineRule="auto"/>
        <w:jc w:val="both"/>
      </w:pPr>
      <w:r w:rsidRPr="0094086C">
        <w:t xml:space="preserve">Administracyjną karą pieniężną zostaliby objęci wprowadzający do obrotu, wobec których w wyniku kontroli zostałoby wykazane, że wprowadzane przez nich do obrotu kotły na paliwo stałe nie spełniają wymagań Rozporządzenia. Kara taka stanowiłaby dochód budżetu państwa. Wysokość kary, o czym mowa w ust. 2, uzależniona będzie od przychodu danego przedsiębiorcy, osiągniętego w poprzednim roku kalendarzowym, jednakże nie będzie niższa </w:t>
      </w:r>
      <w:r w:rsidRPr="0094086C">
        <w:lastRenderedPageBreak/>
        <w:t xml:space="preserve">niż 10 000 zł (jest to średnia rynkowa wartość jednego kotła klasy 5). Jest to rozwiązanie przyjęte także w przepisach ustawy z dnia 16 lipca 2004 r. – Prawo telekomunikacyjne (Dz. U. z 2018 r. poz. 1954, z </w:t>
      </w:r>
      <w:proofErr w:type="spellStart"/>
      <w:r w:rsidRPr="0094086C">
        <w:t>późn</w:t>
      </w:r>
      <w:proofErr w:type="spellEnd"/>
      <w:r w:rsidRPr="0094086C">
        <w:t>. zm.). Jeżeli przedsiębiorca w poprzednim roku kalendarzowym nie osiągnął przychodu albo nie prowadził działalności gospodarczej, administracyjna kara pieniężna wyniesie 10 000 zł.</w:t>
      </w:r>
    </w:p>
    <w:p w:rsidR="0094086C" w:rsidRPr="0094086C" w:rsidRDefault="0094086C" w:rsidP="0094086C">
      <w:pPr>
        <w:autoSpaceDE w:val="0"/>
        <w:autoSpaceDN w:val="0"/>
        <w:adjustRightInd w:val="0"/>
        <w:spacing w:after="60" w:line="360" w:lineRule="auto"/>
        <w:jc w:val="both"/>
      </w:pPr>
      <w:r w:rsidRPr="0094086C">
        <w:t xml:space="preserve">Zgodnie z ust. 4 administracyjną karę pieniężną wymierza, w drodze decyzji, właściwy wojewódzki inspektor Inspekcji Handlowej. </w:t>
      </w:r>
    </w:p>
    <w:p w:rsidR="0094086C" w:rsidRPr="0094086C" w:rsidRDefault="0094086C" w:rsidP="0094086C">
      <w:pPr>
        <w:autoSpaceDE w:val="0"/>
        <w:autoSpaceDN w:val="0"/>
        <w:adjustRightInd w:val="0"/>
        <w:spacing w:after="60" w:line="360" w:lineRule="auto"/>
        <w:jc w:val="both"/>
      </w:pPr>
      <w:r w:rsidRPr="0094086C">
        <w:t xml:space="preserve">Właściwe organy Inspekcji Handlowej będą realizować swoje obowiązki w przedmiocie przepisów Projektu na zasadach określonych w ustawie z dnia 15 grudnia 2000 r. o Inspekcji Handlowej. </w:t>
      </w:r>
      <w:r w:rsidRPr="0094086C">
        <w:rPr>
          <w:bCs/>
        </w:rPr>
        <w:t>Jednocześnie w postępowaniach o nakładanie administracyjnych kar pieniężnych będą stosowane odpowiednie przepisy Kodeksu postępowania administracyjnego oraz przepisy o postępowaniu egzekucyjnym w administracji</w:t>
      </w:r>
      <w:r w:rsidR="00D96546">
        <w:rPr>
          <w:bCs/>
        </w:rPr>
        <w:t>;</w:t>
      </w:r>
    </w:p>
    <w:p w:rsidR="0094086C" w:rsidRPr="0094086C" w:rsidRDefault="0094086C" w:rsidP="0094086C">
      <w:pPr>
        <w:autoSpaceDE w:val="0"/>
        <w:autoSpaceDN w:val="0"/>
        <w:adjustRightInd w:val="0"/>
        <w:spacing w:after="60" w:line="360" w:lineRule="auto"/>
        <w:jc w:val="both"/>
      </w:pPr>
      <w:r w:rsidRPr="0094086C">
        <w:t xml:space="preserve">5) </w:t>
      </w:r>
      <w:r w:rsidR="00D96546">
        <w:t>w</w:t>
      </w:r>
      <w:r w:rsidRPr="0094086C">
        <w:t xml:space="preserve"> art. 348 POŚ, w </w:t>
      </w:r>
      <w:r w:rsidRPr="0094086C">
        <w:rPr>
          <w:bCs/>
        </w:rPr>
        <w:t xml:space="preserve">celu właściwego określenia i wyodrębnienia zadań i obowiązków organów Inspekcji Handlowej w zakresie kontroli wprowadzania do obrotu kotłów na paliwo stałe o mocy znamionowej nie większej niż 500 kW przez przedsiębiorców, dodaje się nowy ust. 3, w którym wskazuje się, że przepisów o karze grzywny, nie stosuje się do osoby fizycznej będącej przedsiębiorcą, która </w:t>
      </w:r>
      <w:r w:rsidRPr="0094086C">
        <w:t>wprowadza do obrotu kotły na paliwo stałe o znamionowej mocy cieplnej nie większej niż 500 kW, co oznacza, że osoba taka będzie podlegała administracyjnej karze pieniężnej, o której mowa w nowym art. 321k POŚ.</w:t>
      </w:r>
    </w:p>
    <w:p w:rsidR="0094086C" w:rsidRPr="0094086C" w:rsidRDefault="0094086C" w:rsidP="0094086C">
      <w:pPr>
        <w:autoSpaceDE w:val="0"/>
        <w:autoSpaceDN w:val="0"/>
        <w:adjustRightInd w:val="0"/>
        <w:spacing w:after="60" w:line="360" w:lineRule="auto"/>
        <w:jc w:val="both"/>
      </w:pPr>
      <w:r w:rsidRPr="0094086C">
        <w:t>Należy przy tym zauważyć, że co do zasady charakter przepisów dotyczących wykroczeń (tj. grzywien) wskazuje, że karami z tego tytułu nie są objęci przedsiębiorcy, lecz osoby fizyczne i dlatego nie ma potrzeby, aby w ramach ww. przepisu dokonywać wyłączenia tej grupy podmiotów.</w:t>
      </w:r>
    </w:p>
    <w:p w:rsidR="0094086C" w:rsidRPr="0094086C" w:rsidRDefault="0094086C" w:rsidP="0094086C">
      <w:pPr>
        <w:autoSpaceDE w:val="0"/>
        <w:autoSpaceDN w:val="0"/>
        <w:adjustRightInd w:val="0"/>
        <w:spacing w:after="60" w:line="360" w:lineRule="auto"/>
        <w:jc w:val="both"/>
        <w:rPr>
          <w:bCs/>
        </w:rPr>
      </w:pPr>
      <w:r w:rsidRPr="0094086C">
        <w:t>Jednocześnie, mając świadomość różnicy w wysokości sankcji nakładanych za niezgodne z</w:t>
      </w:r>
      <w:r w:rsidR="00081F4F">
        <w:t> </w:t>
      </w:r>
      <w:r w:rsidRPr="0094086C">
        <w:t xml:space="preserve">przepisami wprowadzenie do obrotu kotła na paliwo stałe </w:t>
      </w:r>
      <w:r w:rsidRPr="0094086C">
        <w:rPr>
          <w:bCs/>
        </w:rPr>
        <w:t>o znamionowej mocy cieplnej nie większej niż 500 kW</w:t>
      </w:r>
      <w:r w:rsidRPr="0094086C">
        <w:t xml:space="preserve">, tj. wysokości administracyjnej kary pieniężnej nakładanej z tego tytułu na </w:t>
      </w:r>
      <w:r w:rsidRPr="0094086C">
        <w:rPr>
          <w:bCs/>
        </w:rPr>
        <w:t>przedsiębiorców, w porównaniu do maksymalnej kary grzywny nakładanej z tego samego tytułu na osoby fizyczne, uzasadnione jest wprowadzenie takiego zróżnicowania. Przedsiębiorcy osiągają bowiem co do zasady z tytułu prowadzonej działalności gospodarczej zysk, a działalność ta ma charakter powtarzalny, ciągły i doty</w:t>
      </w:r>
      <w:r w:rsidR="00081F4F">
        <w:rPr>
          <w:bCs/>
        </w:rPr>
        <w:t xml:space="preserve">czy znacznej </w:t>
      </w:r>
      <w:r w:rsidR="00D96546">
        <w:rPr>
          <w:bCs/>
        </w:rPr>
        <w:t>liczby</w:t>
      </w:r>
      <w:r w:rsidR="00081F4F">
        <w:rPr>
          <w:bCs/>
        </w:rPr>
        <w:t xml:space="preserve"> urządzeń. Z </w:t>
      </w:r>
      <w:r w:rsidRPr="0094086C">
        <w:rPr>
          <w:bCs/>
        </w:rPr>
        <w:t xml:space="preserve">kolei osoba fizyczna, dla której sprzedaż </w:t>
      </w:r>
      <w:r w:rsidRPr="0094086C">
        <w:t xml:space="preserve">kotła na paliwo stałe niespełniającego wymagań </w:t>
      </w:r>
      <w:r w:rsidRPr="0094086C">
        <w:lastRenderedPageBreak/>
        <w:t xml:space="preserve">Rozporządzenia, może być okazjonalna i jednostkowa, nie osiąga z tego tytułu znacznego zysku. </w:t>
      </w:r>
    </w:p>
    <w:p w:rsidR="0094086C" w:rsidRPr="0094086C" w:rsidRDefault="0094086C" w:rsidP="0094086C">
      <w:pPr>
        <w:autoSpaceDE w:val="0"/>
        <w:autoSpaceDN w:val="0"/>
        <w:adjustRightInd w:val="0"/>
        <w:spacing w:after="60" w:line="360" w:lineRule="auto"/>
        <w:jc w:val="both"/>
      </w:pPr>
      <w:r w:rsidRPr="0094086C">
        <w:rPr>
          <w:bCs/>
        </w:rPr>
        <w:t xml:space="preserve">Z tego powodu kara </w:t>
      </w:r>
      <w:r w:rsidRPr="0094086C">
        <w:t xml:space="preserve">za niezgodne z przepisami wprowadzenie do obrotu kotła na paliwo stałe </w:t>
      </w:r>
      <w:r w:rsidRPr="0094086C">
        <w:rPr>
          <w:bCs/>
        </w:rPr>
        <w:t>o znamionowej mocy cieplnej nie większej niż 500 kW powinna być zróżnicowana w stosunku do przedsiębiorców oraz osób fizycznych.</w:t>
      </w:r>
    </w:p>
    <w:p w:rsidR="0094086C" w:rsidRPr="0094086C" w:rsidRDefault="0094086C" w:rsidP="0094086C">
      <w:pPr>
        <w:autoSpaceDE w:val="0"/>
        <w:autoSpaceDN w:val="0"/>
        <w:adjustRightInd w:val="0"/>
        <w:spacing w:after="60" w:line="360" w:lineRule="auto"/>
        <w:jc w:val="both"/>
      </w:pPr>
      <w:r w:rsidRPr="0094086C">
        <w:rPr>
          <w:b/>
        </w:rPr>
        <w:t>II. W art. 2</w:t>
      </w:r>
      <w:r w:rsidRPr="0094086C">
        <w:t xml:space="preserve"> Projektu jest zmieniana ustawa z dnia 15 grudnia 2000 r. o Inspekcji Handlowej przez dodanie do katalogu obowiązków organów Inspekcji Handlowej przeprowadzania kontroli, o których mowa w art. 168b ust. 1 POŚ, tj. kontroli przestrzegania przez przedsiębiorców wprowadzających do obrotu kotły na paliwo stałe o znamionowej mocy cieplnej nie większej niż 500 kW wymagań określonych w przepisach Rozporządzenia. </w:t>
      </w:r>
    </w:p>
    <w:p w:rsidR="0094086C" w:rsidRPr="0094086C" w:rsidRDefault="0094086C" w:rsidP="0094086C">
      <w:pPr>
        <w:autoSpaceDE w:val="0"/>
        <w:autoSpaceDN w:val="0"/>
        <w:adjustRightInd w:val="0"/>
        <w:spacing w:after="60" w:line="360" w:lineRule="auto"/>
        <w:jc w:val="both"/>
      </w:pPr>
      <w:r w:rsidRPr="0094086C">
        <w:t>Obowiązek wykonywania kontroli dotyczących kotłów na paliwo stałe objętych rozporządzeniem (UE) 2015/1189, od 1 stycznia 2020 r., będzie natomiast realizowany przez organy Inspekcji Handlowej na podstawie przepisów ustawy o systemie oceny zgodności, dlatego nie ma potrzeby dodatkowego wprowadzania tego zadania do katalogu obowiązków organów Inspekcji Handlowej.</w:t>
      </w:r>
    </w:p>
    <w:p w:rsidR="0094086C" w:rsidRPr="0094086C" w:rsidRDefault="0094086C" w:rsidP="0094086C">
      <w:pPr>
        <w:spacing w:after="60" w:line="360" w:lineRule="auto"/>
        <w:jc w:val="both"/>
      </w:pPr>
      <w:r w:rsidRPr="0094086C">
        <w:rPr>
          <w:b/>
        </w:rPr>
        <w:t>III. W art. 3</w:t>
      </w:r>
      <w:r w:rsidRPr="0094086C">
        <w:t xml:space="preserve"> Projektu wprowadzono przepis przejściowy, obowiązujący do dnia 31 grudnia 2019 r., tj. do rozpoczęcia (w dniu 1 stycznia 2020 r.) stosowania w stosunku do kotłów na paliwo stałe wymagań rozporządzenia (UE) 2015/1189. </w:t>
      </w:r>
    </w:p>
    <w:p w:rsidR="0094086C" w:rsidRPr="0094086C" w:rsidRDefault="0094086C" w:rsidP="0094086C">
      <w:pPr>
        <w:spacing w:after="60" w:line="360" w:lineRule="auto"/>
        <w:jc w:val="both"/>
      </w:pPr>
      <w:r w:rsidRPr="0094086C">
        <w:t xml:space="preserve">Zgodnie z ww. przepisem przejściowym, do tego dnia obowiązywać będzie szersza definicja kotła na paliwo stałe </w:t>
      </w:r>
      <w:r w:rsidRPr="0094086C">
        <w:rPr>
          <w:rStyle w:val="Ppogrubienie"/>
        </w:rPr>
        <w:t xml:space="preserve">o znamionowej mocy cieplnej nie większej niż 500 kW </w:t>
      </w:r>
      <w:r w:rsidRPr="0094086C">
        <w:t xml:space="preserve">w brzmieniu bazującym na treści nadanej w § 1 ust. 1 Rozporządzenia, </w:t>
      </w:r>
      <w:r w:rsidRPr="0094086C">
        <w:rPr>
          <w:rStyle w:val="Ppogrubienie"/>
        </w:rPr>
        <w:t xml:space="preserve">obejmująca kotły na paliwo stałe o znamionowej mocy cieplnej nie większej niż 500 kW, które od 1 stycznia 2020 r. </w:t>
      </w:r>
      <w:r w:rsidRPr="0094086C">
        <w:t>będą zarówno objęte, jak i nieobjęte rozporządzeniem (UE) 2015/1189.</w:t>
      </w:r>
      <w:r w:rsidRPr="0094086C">
        <w:rPr>
          <w:b/>
        </w:rPr>
        <w:t xml:space="preserve"> </w:t>
      </w:r>
      <w:r w:rsidRPr="0094086C">
        <w:t>Zastosowano tu jednocześnie obowiązujące wyłączenia niektórych rodzajów kotłów ze stosowania ww. definicji zgodnie z Rozporządzeniem z uwagi na istotne różnice konstrukcyjne i sposób działania przedmiotowych urządzeń w porównaniu do urządzeń objętych definicją.</w:t>
      </w:r>
    </w:p>
    <w:p w:rsidR="0094086C" w:rsidRPr="0094086C" w:rsidRDefault="0094086C" w:rsidP="0094086C">
      <w:pPr>
        <w:spacing w:after="60" w:line="360" w:lineRule="auto"/>
        <w:jc w:val="both"/>
      </w:pPr>
      <w:r w:rsidRPr="0094086C">
        <w:rPr>
          <w:b/>
        </w:rPr>
        <w:t>IV. W art. 4</w:t>
      </w:r>
      <w:r w:rsidRPr="0094086C">
        <w:t xml:space="preserve"> Projektu wprowadzono przepis przejściowy, który ma zapewnić ciągłość procedury związanej z realizacją przez organy Inspekcji Handlowej kontroli, o których mowa w art. 168b ust. 1 POŚ, dotyczących kotłów na paliwo stałe, o których mowa w art. 3 Projektu, rozpoczętych a niezakończonych przed dniem 1 stycznia 2020 r. – zgodnie z Projektem są one prowadzone po 1 stycznia 2020 r. do czasu ich zakończenia. </w:t>
      </w:r>
    </w:p>
    <w:p w:rsidR="0094086C" w:rsidRPr="0094086C" w:rsidRDefault="0094086C" w:rsidP="0094086C">
      <w:pPr>
        <w:spacing w:after="60" w:line="360" w:lineRule="auto"/>
        <w:jc w:val="both"/>
      </w:pPr>
      <w:r w:rsidRPr="0094086C">
        <w:rPr>
          <w:b/>
        </w:rPr>
        <w:lastRenderedPageBreak/>
        <w:t xml:space="preserve">V. W art. 5 </w:t>
      </w:r>
      <w:r w:rsidRPr="0094086C">
        <w:t>Projektu wprowadzono przepis przejściowy, który wskazuje sposób postępowania w przypadkach odnoszących się do postępowań w sprawie administracyjnej kary pieniężnej wszczętych w wyniku kontroli, o których mowa w art. 168b ust. 1 POŚ dotyczących kotłów na paliwo stałe, o których mowa w art. 3 Projektu.</w:t>
      </w:r>
    </w:p>
    <w:p w:rsidR="0094086C" w:rsidRPr="0094086C" w:rsidRDefault="0094086C" w:rsidP="0094086C">
      <w:pPr>
        <w:spacing w:after="60" w:line="360" w:lineRule="auto"/>
        <w:jc w:val="both"/>
      </w:pPr>
      <w:r w:rsidRPr="0094086C">
        <w:t>Przepis ten obejmuje zarówno przypadki, gdy kontrola taka nie została zakończona do dnia</w:t>
      </w:r>
      <w:r w:rsidR="00081F4F">
        <w:t xml:space="preserve"> 1 </w:t>
      </w:r>
      <w:r w:rsidRPr="0094086C">
        <w:t>stycznia 2020 r., a więc siłą rzeczy nie było jeszcze postępowania w sprawie administracyjnej kary pieniężnej, jak i przypadki gdy kontrola została już zakończona, a postępowanie w sprawie administracyjnej kary pieniężnej zostało wszczęte, ale niezakończone. Przepis art. 5 obejmie również przypadki, gdy kontrola Inspekcji Handlowej została już zakończona, a postępowanie w sprawie administracyjnej kary pieniężnej nie zostało jeszcze wszczęte.</w:t>
      </w:r>
    </w:p>
    <w:p w:rsidR="0094086C" w:rsidRPr="0094086C" w:rsidRDefault="0094086C" w:rsidP="0094086C">
      <w:pPr>
        <w:spacing w:after="60" w:line="360" w:lineRule="auto"/>
        <w:jc w:val="both"/>
      </w:pPr>
      <w:r w:rsidRPr="0094086C">
        <w:t>W ww. przypadkach, zgodnie z Projektem, stosuje się przepisy działu VI w tytule V POŚ, tj. prowadzi się post</w:t>
      </w:r>
      <w:r w:rsidR="00D96546">
        <w:t>ę</w:t>
      </w:r>
      <w:bookmarkStart w:id="0" w:name="_GoBack"/>
      <w:bookmarkEnd w:id="0"/>
      <w:r w:rsidRPr="0094086C">
        <w:t>powanie w sprawie nałożenia administracyjnej kary pieniężnej.</w:t>
      </w:r>
    </w:p>
    <w:p w:rsidR="0094086C" w:rsidRPr="0094086C" w:rsidRDefault="0094086C" w:rsidP="0094086C">
      <w:pPr>
        <w:spacing w:after="60" w:line="360" w:lineRule="auto"/>
        <w:jc w:val="both"/>
      </w:pPr>
      <w:r w:rsidRPr="0094086C">
        <w:t>Rozwiązanie takie, biorąc pod uwagę:</w:t>
      </w:r>
    </w:p>
    <w:p w:rsidR="0094086C" w:rsidRPr="0094086C" w:rsidRDefault="0094086C" w:rsidP="0094086C">
      <w:pPr>
        <w:pStyle w:val="Akapitzlist"/>
        <w:numPr>
          <w:ilvl w:val="0"/>
          <w:numId w:val="4"/>
        </w:numPr>
        <w:autoSpaceDE w:val="0"/>
        <w:autoSpaceDN w:val="0"/>
        <w:adjustRightInd w:val="0"/>
        <w:spacing w:after="60" w:line="360" w:lineRule="auto"/>
        <w:jc w:val="both"/>
        <w:rPr>
          <w:rFonts w:ascii="Times New Roman" w:hAnsi="Times New Roman"/>
          <w:sz w:val="24"/>
          <w:szCs w:val="24"/>
        </w:rPr>
      </w:pPr>
      <w:r w:rsidRPr="0094086C">
        <w:rPr>
          <w:rFonts w:ascii="Times New Roman" w:hAnsi="Times New Roman"/>
          <w:sz w:val="24"/>
          <w:szCs w:val="24"/>
        </w:rPr>
        <w:t xml:space="preserve">rozpoczęcie stosowania z dniem 1 stycznia 2020 r. w stosunku do kotłów na paliwo stałe wymagań rozporządzenia (UE) 2015/1189, które będzie bezpośrednio stosowane wyłącznie wobec kotłów na paliwo stałe o znamionowej mocy cieplnej nie większej niż 500kW objętych jego przepisami, </w:t>
      </w:r>
    </w:p>
    <w:p w:rsidR="0094086C" w:rsidRPr="0094086C" w:rsidRDefault="0094086C" w:rsidP="0094086C">
      <w:pPr>
        <w:pStyle w:val="Akapitzlist"/>
        <w:numPr>
          <w:ilvl w:val="0"/>
          <w:numId w:val="4"/>
        </w:numPr>
        <w:autoSpaceDE w:val="0"/>
        <w:autoSpaceDN w:val="0"/>
        <w:adjustRightInd w:val="0"/>
        <w:spacing w:after="60" w:line="360" w:lineRule="auto"/>
        <w:jc w:val="both"/>
        <w:rPr>
          <w:rFonts w:ascii="Times New Roman" w:hAnsi="Times New Roman"/>
          <w:sz w:val="24"/>
          <w:szCs w:val="24"/>
        </w:rPr>
      </w:pPr>
      <w:r w:rsidRPr="0094086C">
        <w:rPr>
          <w:rFonts w:ascii="Times New Roman" w:hAnsi="Times New Roman"/>
          <w:sz w:val="24"/>
          <w:szCs w:val="24"/>
        </w:rPr>
        <w:t xml:space="preserve">wynikającą z tego tytułu różnicę w podstawie prawnej do przeprowadzenia kontroli (POŚ wobec ustawy o systemie oceny zgodności) i charakteru nakładanej kary za nieprzestrzeganie wymagań dla wprowadzanych do </w:t>
      </w:r>
      <w:r w:rsidR="00081F4F">
        <w:rPr>
          <w:rFonts w:ascii="Times New Roman" w:hAnsi="Times New Roman"/>
          <w:sz w:val="24"/>
          <w:szCs w:val="24"/>
        </w:rPr>
        <w:t>obrotu kotłów na paliwo stałe o </w:t>
      </w:r>
      <w:r w:rsidRPr="0094086C">
        <w:rPr>
          <w:rFonts w:ascii="Times New Roman" w:hAnsi="Times New Roman"/>
          <w:sz w:val="24"/>
          <w:szCs w:val="24"/>
        </w:rPr>
        <w:t xml:space="preserve">znamionowej mocy cieplnej nie większej niż 500 kW, opisaną powyżej w pkt I </w:t>
      </w:r>
      <w:proofErr w:type="spellStart"/>
      <w:r w:rsidRPr="0094086C">
        <w:rPr>
          <w:rFonts w:ascii="Times New Roman" w:hAnsi="Times New Roman"/>
          <w:sz w:val="24"/>
          <w:szCs w:val="24"/>
        </w:rPr>
        <w:t>ppkt</w:t>
      </w:r>
      <w:proofErr w:type="spellEnd"/>
      <w:r w:rsidR="00081F4F">
        <w:rPr>
          <w:rFonts w:ascii="Times New Roman" w:hAnsi="Times New Roman"/>
          <w:sz w:val="24"/>
          <w:szCs w:val="24"/>
        </w:rPr>
        <w:t> </w:t>
      </w:r>
      <w:r w:rsidRPr="0094086C">
        <w:rPr>
          <w:rFonts w:ascii="Times New Roman" w:hAnsi="Times New Roman"/>
          <w:sz w:val="24"/>
          <w:szCs w:val="24"/>
        </w:rPr>
        <w:t xml:space="preserve">1, pkt I </w:t>
      </w:r>
      <w:proofErr w:type="spellStart"/>
      <w:r w:rsidRPr="0094086C">
        <w:rPr>
          <w:rFonts w:ascii="Times New Roman" w:hAnsi="Times New Roman"/>
          <w:sz w:val="24"/>
          <w:szCs w:val="24"/>
        </w:rPr>
        <w:t>ppkt</w:t>
      </w:r>
      <w:proofErr w:type="spellEnd"/>
      <w:r w:rsidRPr="0094086C">
        <w:rPr>
          <w:rFonts w:ascii="Times New Roman" w:hAnsi="Times New Roman"/>
          <w:sz w:val="24"/>
          <w:szCs w:val="24"/>
        </w:rPr>
        <w:t xml:space="preserve"> 3 oraz pkt IV niniejszego uzasadnienia (administracyjna kara pieniężna wobec grzywny)</w:t>
      </w:r>
    </w:p>
    <w:p w:rsidR="0094086C" w:rsidRPr="0094086C" w:rsidRDefault="0094086C" w:rsidP="0094086C">
      <w:pPr>
        <w:autoSpaceDE w:val="0"/>
        <w:autoSpaceDN w:val="0"/>
        <w:adjustRightInd w:val="0"/>
        <w:spacing w:after="60" w:line="360" w:lineRule="auto"/>
        <w:ind w:left="426"/>
        <w:jc w:val="both"/>
      </w:pPr>
      <w:r w:rsidRPr="0094086C">
        <w:t>– zapobiegnie ewentualnym niejasnościom po stronie przedsiębiorców i organów Inspekcji Handlowej po 1 stycznia 2020 r., a także uniemożliwi nieuczciwym podmiotom wykorzystywanie ww. okresu przejściowego do unikania uiszczenia administracyjnej kary pieniężnej.</w:t>
      </w:r>
    </w:p>
    <w:p w:rsidR="0094086C" w:rsidRPr="0094086C" w:rsidRDefault="0094086C" w:rsidP="0094086C">
      <w:pPr>
        <w:autoSpaceDE w:val="0"/>
        <w:autoSpaceDN w:val="0"/>
        <w:adjustRightInd w:val="0"/>
        <w:spacing w:after="60" w:line="360" w:lineRule="auto"/>
        <w:jc w:val="both"/>
      </w:pPr>
      <w:r w:rsidRPr="0094086C">
        <w:rPr>
          <w:b/>
        </w:rPr>
        <w:t>VI. W art. 6</w:t>
      </w:r>
      <w:r w:rsidRPr="0094086C">
        <w:t xml:space="preserve"> Projektu przewidziano maksymalne limity wydatków budżetu państwa będące skutkiem finansowym wejścia w życie ustawy wraz z mechanizmami korygującymi i organami monitorującymi.</w:t>
      </w:r>
    </w:p>
    <w:p w:rsidR="0094086C" w:rsidRPr="0094086C" w:rsidRDefault="0094086C" w:rsidP="0094086C">
      <w:pPr>
        <w:autoSpaceDE w:val="0"/>
        <w:autoSpaceDN w:val="0"/>
        <w:adjustRightInd w:val="0"/>
        <w:spacing w:after="60" w:line="360" w:lineRule="auto"/>
        <w:jc w:val="both"/>
      </w:pPr>
      <w:r w:rsidRPr="0094086C">
        <w:lastRenderedPageBreak/>
        <w:t>W celu skutecznej realizacji przez organy Inspekcji Handlowej nowych czynności kontrolnych przewidzianych w Projekcie, niezbędne jest przekazanie do Urzędu Ochrony Konkurencji i</w:t>
      </w:r>
      <w:r w:rsidR="00081F4F">
        <w:t> </w:t>
      </w:r>
      <w:r w:rsidRPr="0094086C">
        <w:t>Konsumentów dodatkowych środków finansowych. W Projekcie przyjęto, że konieczne jest zapewnienie środków finansowych niezbędnych do przeprowadzania badań laboratoryjnych kotłów.</w:t>
      </w:r>
    </w:p>
    <w:p w:rsidR="0094086C" w:rsidRPr="0094086C" w:rsidRDefault="0094086C" w:rsidP="0094086C">
      <w:pPr>
        <w:spacing w:after="60" w:line="360" w:lineRule="auto"/>
        <w:jc w:val="both"/>
      </w:pPr>
      <w:r w:rsidRPr="0094086C">
        <w:rPr>
          <w:b/>
        </w:rPr>
        <w:t xml:space="preserve">VI. W art. 7 </w:t>
      </w:r>
      <w:r w:rsidRPr="0094086C">
        <w:t>Projektu wskazano, że ustawa wchodzi w życie po upływie 14 dni od dnia ogłoszenia, z wyjątkiem art. 1 pkt 3 w zakresie art. 172a pkt 1 POŚ,</w:t>
      </w:r>
      <w:r w:rsidR="00081F4F">
        <w:t xml:space="preserve"> który wchodzi w życie z </w:t>
      </w:r>
      <w:r w:rsidRPr="0094086C">
        <w:t>dniem 1 stycznia 2020 r., co wynika z terminu rozpoczęcia stosowania w stosunku do kotłów na paliwo stałe wymagań rozporządzenia (UE) 2015/1189.</w:t>
      </w:r>
    </w:p>
    <w:p w:rsidR="0094086C" w:rsidRPr="0094086C" w:rsidRDefault="0094086C" w:rsidP="0094086C">
      <w:pPr>
        <w:spacing w:after="60" w:line="360" w:lineRule="auto"/>
        <w:jc w:val="both"/>
      </w:pPr>
      <w:r w:rsidRPr="0094086C">
        <w:t xml:space="preserve">Zgodnie z § 1 ust. 2 uchwały nr 20 Rady Ministrów z dnia 18 lutego 2014 r. </w:t>
      </w:r>
      <w:r w:rsidRPr="00081F4F">
        <w:t>w sprawie zaleceń ujednolicenia terminów wejścia w życie niektórych aktów normatywnych</w:t>
      </w:r>
      <w:r w:rsidRPr="0094086C">
        <w:rPr>
          <w:i/>
        </w:rPr>
        <w:t xml:space="preserve"> </w:t>
      </w:r>
      <w:r w:rsidRPr="0094086C">
        <w:t>(M.P. poz. 205) zdecydowano o odstąpieniu od wyznaczenia terminu wejścia w życie na dzień 1 stycznia albo 1 czerwca z uwagi na konieczność ochrony zdrowia przez przepisy projektowanej ustawy.</w:t>
      </w:r>
    </w:p>
    <w:p w:rsidR="0094086C" w:rsidRPr="0094086C" w:rsidRDefault="0094086C" w:rsidP="0094086C">
      <w:pPr>
        <w:spacing w:after="60" w:line="360" w:lineRule="auto"/>
        <w:jc w:val="both"/>
      </w:pPr>
      <w:r w:rsidRPr="0094086C">
        <w:t xml:space="preserve">Projekt zgodnie z przepisami rozporządzenia Rady Ministrów z dnia 23 grudnia 2002 r. </w:t>
      </w:r>
      <w:r w:rsidR="00081F4F" w:rsidRPr="00081F4F">
        <w:t>w </w:t>
      </w:r>
      <w:r w:rsidRPr="00081F4F">
        <w:t>sprawie sposobu funkcjonowania krajowego systemu notyfikacji norm i aktów prawnych</w:t>
      </w:r>
      <w:r w:rsidRPr="0094086C">
        <w:t xml:space="preserve"> (Dz. U. poz. 2039, z </w:t>
      </w:r>
      <w:proofErr w:type="spellStart"/>
      <w:r w:rsidRPr="0094086C">
        <w:t>późn</w:t>
      </w:r>
      <w:proofErr w:type="spellEnd"/>
      <w:r w:rsidRPr="0094086C">
        <w:t xml:space="preserve">. zm.) zostanie notyfikowany Komisji Europejskiej. </w:t>
      </w:r>
    </w:p>
    <w:p w:rsidR="0094086C" w:rsidRPr="0094086C" w:rsidRDefault="0094086C" w:rsidP="0094086C">
      <w:pPr>
        <w:spacing w:after="60" w:line="360" w:lineRule="auto"/>
        <w:jc w:val="both"/>
      </w:pPr>
      <w:r w:rsidRPr="0094086C">
        <w:t>Projekt nie wymaga przedstawienia innym organom i instytucjom UE, w tym Europejskiemu Bankowi Centralnemu.</w:t>
      </w:r>
    </w:p>
    <w:p w:rsidR="0094086C" w:rsidRPr="0094086C" w:rsidRDefault="0094086C" w:rsidP="0094086C">
      <w:pPr>
        <w:spacing w:after="60" w:line="360" w:lineRule="auto"/>
        <w:jc w:val="both"/>
      </w:pPr>
      <w:r w:rsidRPr="0094086C">
        <w:t>Projekt jest zgodny z prawem Unii Europejskiej.</w:t>
      </w:r>
    </w:p>
    <w:p w:rsidR="0094086C" w:rsidRPr="0094086C" w:rsidRDefault="0094086C" w:rsidP="0094086C">
      <w:pPr>
        <w:spacing w:after="60" w:line="360" w:lineRule="auto"/>
        <w:jc w:val="both"/>
      </w:pPr>
      <w:r w:rsidRPr="0094086C">
        <w:t xml:space="preserve">Stosownie do art. 5 ustawy z dnia 7 lipca 2005 r. </w:t>
      </w:r>
      <w:r w:rsidRPr="00081F4F">
        <w:rPr>
          <w:rStyle w:val="Kkursywa"/>
          <w:i w:val="0"/>
        </w:rPr>
        <w:t>o działalności lobbingowej w procesie stanowienia prawa</w:t>
      </w:r>
      <w:r w:rsidRPr="0094086C">
        <w:t xml:space="preserve"> (Dz. U. z 2017 r. poz. 248) Projekt został zamieszczony na stronie Biuletynu Informacji Publicznej Ministerstwa Przedsiębiorczości i Technologii oraz Rządowego Centrum Legislacji.</w:t>
      </w:r>
    </w:p>
    <w:sectPr w:rsidR="0094086C" w:rsidRPr="0094086C" w:rsidSect="0032582F">
      <w:headerReference w:type="default" r:id="rId8"/>
      <w:footerReference w:type="default" r:id="rId9"/>
      <w:footerReference w:type="first" r:id="rId10"/>
      <w:footnotePr>
        <w:numRestart w:val="eachSect"/>
      </w:footnotePr>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8E9" w:rsidRDefault="005258E9" w:rsidP="0094086C">
      <w:r>
        <w:separator/>
      </w:r>
    </w:p>
  </w:endnote>
  <w:endnote w:type="continuationSeparator" w:id="0">
    <w:p w:rsidR="005258E9" w:rsidRDefault="005258E9" w:rsidP="0094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360422"/>
      <w:docPartObj>
        <w:docPartGallery w:val="Page Numbers (Bottom of Page)"/>
        <w:docPartUnique/>
      </w:docPartObj>
    </w:sdtPr>
    <w:sdtEndPr/>
    <w:sdtContent>
      <w:p w:rsidR="000F7CAB" w:rsidRDefault="001C3879" w:rsidP="0094086C">
        <w:pPr>
          <w:pStyle w:val="Stopka"/>
          <w:jc w:val="center"/>
        </w:pPr>
        <w:r>
          <w:fldChar w:fldCharType="begin"/>
        </w:r>
        <w:r>
          <w:instrText>PAGE   \* MERGEFORMAT</w:instrText>
        </w:r>
        <w:r>
          <w:fldChar w:fldCharType="separate"/>
        </w:r>
        <w:r w:rsidR="00252B47">
          <w:rPr>
            <w:noProof/>
          </w:rPr>
          <w:t>13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CAB" w:rsidRPr="0032582F" w:rsidRDefault="005258E9">
    <w:pPr>
      <w:pStyle w:val="Stopka"/>
    </w:pPr>
  </w:p>
  <w:p w:rsidR="000F7CAB" w:rsidRDefault="005258E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8E9" w:rsidRDefault="005258E9" w:rsidP="0094086C">
      <w:r>
        <w:separator/>
      </w:r>
    </w:p>
  </w:footnote>
  <w:footnote w:type="continuationSeparator" w:id="0">
    <w:p w:rsidR="005258E9" w:rsidRDefault="005258E9" w:rsidP="0094086C">
      <w:r>
        <w:continuationSeparator/>
      </w:r>
    </w:p>
  </w:footnote>
  <w:footnote w:id="1">
    <w:p w:rsidR="0094086C" w:rsidRPr="003F6098" w:rsidRDefault="0094086C" w:rsidP="0094086C">
      <w:pPr>
        <w:pStyle w:val="Tekstprzypisudolnego"/>
        <w:ind w:left="142" w:hanging="142"/>
        <w:jc w:val="both"/>
        <w:rPr>
          <w:rFonts w:ascii="Times New Roman" w:hAnsi="Times New Roman"/>
          <w:sz w:val="20"/>
          <w:szCs w:val="20"/>
        </w:rPr>
      </w:pPr>
      <w:r w:rsidRPr="003F6098">
        <w:rPr>
          <w:rStyle w:val="Odwoanieprzypisudolnego"/>
          <w:rFonts w:ascii="Times New Roman" w:hAnsi="Times New Roman"/>
          <w:sz w:val="20"/>
          <w:szCs w:val="20"/>
        </w:rPr>
        <w:footnoteRef/>
      </w:r>
      <w:r>
        <w:rPr>
          <w:rFonts w:cs="Calibri"/>
          <w:vertAlign w:val="superscript"/>
        </w:rPr>
        <w:t>)</w:t>
      </w:r>
      <w:r w:rsidRPr="003F6098">
        <w:rPr>
          <w:rFonts w:ascii="Times New Roman" w:hAnsi="Times New Roman"/>
          <w:sz w:val="20"/>
          <w:szCs w:val="20"/>
        </w:rPr>
        <w:t xml:space="preserve"> Informacje </w:t>
      </w:r>
      <w:r w:rsidRPr="003F6098">
        <w:rPr>
          <w:rFonts w:ascii="Times New Roman" w:hAnsi="Times New Roman" w:hint="eastAsia"/>
          <w:sz w:val="20"/>
          <w:szCs w:val="20"/>
        </w:rPr>
        <w:t>Ś</w:t>
      </w:r>
      <w:r w:rsidRPr="003F6098">
        <w:rPr>
          <w:rFonts w:ascii="Times New Roman" w:hAnsi="Times New Roman"/>
          <w:sz w:val="20"/>
          <w:szCs w:val="20"/>
        </w:rPr>
        <w:t>wiatowej Organizacji Zdrowia n</w:t>
      </w:r>
      <w:r>
        <w:rPr>
          <w:rFonts w:ascii="Times New Roman" w:hAnsi="Times New Roman"/>
          <w:sz w:val="20"/>
          <w:szCs w:val="20"/>
        </w:rPr>
        <w:t>a temat</w:t>
      </w:r>
      <w:r w:rsidRPr="003F6098">
        <w:rPr>
          <w:rFonts w:ascii="Times New Roman" w:hAnsi="Times New Roman"/>
          <w:sz w:val="20"/>
          <w:szCs w:val="20"/>
        </w:rPr>
        <w:t xml:space="preserve"> wp</w:t>
      </w:r>
      <w:r w:rsidRPr="003F6098">
        <w:rPr>
          <w:rFonts w:ascii="Times New Roman" w:hAnsi="Times New Roman" w:hint="eastAsia"/>
          <w:sz w:val="20"/>
          <w:szCs w:val="20"/>
        </w:rPr>
        <w:t>ł</w:t>
      </w:r>
      <w:r w:rsidRPr="003F6098">
        <w:rPr>
          <w:rFonts w:ascii="Times New Roman" w:hAnsi="Times New Roman"/>
          <w:sz w:val="20"/>
          <w:szCs w:val="20"/>
        </w:rPr>
        <w:t xml:space="preserve">ywu zanieczyszczenia powietrza na zdrowie </w:t>
      </w:r>
    </w:p>
    <w:p w:rsidR="0094086C" w:rsidRPr="003F6098" w:rsidRDefault="0094086C" w:rsidP="0094086C">
      <w:pPr>
        <w:pStyle w:val="Tekstprzypisudolnego"/>
        <w:ind w:left="142" w:hanging="142"/>
        <w:jc w:val="both"/>
        <w:rPr>
          <w:rFonts w:ascii="Times New Roman" w:hAnsi="Times New Roman"/>
          <w:sz w:val="20"/>
          <w:szCs w:val="20"/>
        </w:rPr>
      </w:pPr>
      <w:r w:rsidRPr="00DD70CF">
        <w:rPr>
          <w:rFonts w:ascii="Times New Roman" w:hAnsi="Times New Roman"/>
          <w:sz w:val="20"/>
          <w:szCs w:val="20"/>
        </w:rPr>
        <w:t>http://www.who.int/phe/health_topics/outdoorair/databases/faqs_air_pollution.pdf?ua=1</w:t>
      </w:r>
      <w:r>
        <w:rPr>
          <w:rStyle w:val="Hipercze"/>
          <w:rFonts w:ascii="Times New Roman" w:hAnsi="Times New Roman"/>
          <w:sz w:val="20"/>
          <w:szCs w:val="20"/>
        </w:rPr>
        <w:t xml:space="preserve"> </w:t>
      </w:r>
    </w:p>
  </w:footnote>
  <w:footnote w:id="2">
    <w:p w:rsidR="0094086C" w:rsidRPr="003F6098" w:rsidRDefault="0094086C" w:rsidP="0094086C">
      <w:pPr>
        <w:pStyle w:val="Tekstprzypisudolnego"/>
        <w:ind w:left="142" w:hanging="142"/>
        <w:jc w:val="both"/>
        <w:rPr>
          <w:rFonts w:ascii="Times New Roman" w:hAnsi="Times New Roman"/>
          <w:sz w:val="20"/>
          <w:szCs w:val="20"/>
        </w:rPr>
      </w:pPr>
      <w:r w:rsidRPr="003F6098">
        <w:rPr>
          <w:rStyle w:val="Odwoanieprzypisudolnego"/>
          <w:rFonts w:ascii="Times New Roman" w:hAnsi="Times New Roman"/>
          <w:sz w:val="20"/>
          <w:szCs w:val="20"/>
        </w:rPr>
        <w:footnoteRef/>
      </w:r>
      <w:r>
        <w:rPr>
          <w:rFonts w:cs="Calibri"/>
          <w:vertAlign w:val="superscript"/>
        </w:rPr>
        <w:t>)</w:t>
      </w:r>
      <w:r w:rsidRPr="003F6098">
        <w:rPr>
          <w:rFonts w:ascii="Times New Roman" w:hAnsi="Times New Roman"/>
          <w:sz w:val="20"/>
          <w:szCs w:val="20"/>
        </w:rPr>
        <w:t xml:space="preserve"> Strona internetowa Wojewódzkiego Inspektoratu Ochrony </w:t>
      </w:r>
      <w:r w:rsidRPr="003F6098">
        <w:rPr>
          <w:rFonts w:ascii="Times New Roman" w:hAnsi="Times New Roman" w:hint="eastAsia"/>
          <w:sz w:val="20"/>
          <w:szCs w:val="20"/>
        </w:rPr>
        <w:t>Ś</w:t>
      </w:r>
      <w:r w:rsidRPr="003F6098">
        <w:rPr>
          <w:rFonts w:ascii="Times New Roman" w:hAnsi="Times New Roman"/>
          <w:sz w:val="20"/>
          <w:szCs w:val="20"/>
        </w:rPr>
        <w:t>rodowiska w Wa</w:t>
      </w:r>
      <w:r>
        <w:rPr>
          <w:rFonts w:ascii="Times New Roman" w:hAnsi="Times New Roman"/>
          <w:sz w:val="20"/>
          <w:szCs w:val="20"/>
        </w:rPr>
        <w:t xml:space="preserve">rszawie </w:t>
      </w:r>
      <w:r w:rsidR="00D96546">
        <w:rPr>
          <w:rFonts w:ascii="Times New Roman" w:hAnsi="Times New Roman"/>
          <w:sz w:val="20"/>
          <w:szCs w:val="20"/>
        </w:rPr>
        <w:t>–</w:t>
      </w:r>
      <w:r>
        <w:rPr>
          <w:rFonts w:ascii="Times New Roman" w:hAnsi="Times New Roman"/>
          <w:sz w:val="20"/>
          <w:szCs w:val="20"/>
        </w:rPr>
        <w:t xml:space="preserve"> Interaktywna ulotka o </w:t>
      </w:r>
      <w:r w:rsidRPr="003F6098">
        <w:rPr>
          <w:rFonts w:ascii="Times New Roman" w:hAnsi="Times New Roman"/>
          <w:sz w:val="20"/>
          <w:szCs w:val="20"/>
        </w:rPr>
        <w:t>jako</w:t>
      </w:r>
      <w:r w:rsidRPr="003F6098">
        <w:rPr>
          <w:rFonts w:ascii="Times New Roman" w:hAnsi="Times New Roman" w:hint="eastAsia"/>
          <w:sz w:val="20"/>
          <w:szCs w:val="20"/>
        </w:rPr>
        <w:t>ś</w:t>
      </w:r>
      <w:r w:rsidRPr="003F6098">
        <w:rPr>
          <w:rFonts w:ascii="Times New Roman" w:hAnsi="Times New Roman"/>
          <w:sz w:val="20"/>
          <w:szCs w:val="20"/>
        </w:rPr>
        <w:t>ci powietrza atmosferycznego</w:t>
      </w:r>
    </w:p>
    <w:p w:rsidR="0094086C" w:rsidRDefault="0094086C" w:rsidP="0094086C">
      <w:pPr>
        <w:pStyle w:val="Tekstprzypisudolnego"/>
        <w:ind w:left="142" w:hanging="142"/>
        <w:jc w:val="both"/>
      </w:pPr>
      <w:r w:rsidRPr="00DD70CF">
        <w:rPr>
          <w:rFonts w:ascii="Times New Roman" w:hAnsi="Times New Roman"/>
          <w:sz w:val="20"/>
          <w:szCs w:val="20"/>
        </w:rPr>
        <w:t>http://www.wios.warszawa.pl/pl/publikacje-wios/broszury-i-ulotki/1326,Interaktywna-ulotka-o-jakosci-powietrza-atmosferycznego.html</w:t>
      </w:r>
    </w:p>
  </w:footnote>
  <w:footnote w:id="3">
    <w:p w:rsidR="0094086C" w:rsidRDefault="0094086C" w:rsidP="0094086C">
      <w:pPr>
        <w:pStyle w:val="Tekstprzypisudolnego"/>
        <w:ind w:left="142" w:hanging="142"/>
        <w:jc w:val="both"/>
      </w:pPr>
      <w:r w:rsidRPr="00072B17">
        <w:rPr>
          <w:rStyle w:val="Odwoanieprzypisudolnego"/>
          <w:rFonts w:ascii="Times New Roman" w:hAnsi="Times New Roman"/>
          <w:sz w:val="20"/>
          <w:szCs w:val="20"/>
        </w:rPr>
        <w:footnoteRef/>
      </w:r>
      <w:r>
        <w:rPr>
          <w:rFonts w:cs="Calibri"/>
          <w:vertAlign w:val="superscript"/>
        </w:rPr>
        <w:t>)</w:t>
      </w:r>
      <w:r>
        <w:t xml:space="preserve"> „</w:t>
      </w:r>
      <w:r w:rsidRPr="00072B17">
        <w:rPr>
          <w:rFonts w:ascii="Times New Roman" w:hAnsi="Times New Roman"/>
          <w:sz w:val="20"/>
          <w:szCs w:val="20"/>
        </w:rPr>
        <w:t>Zewnętrzne koszty zdrowotne emisji zanieczyszczeń powietrza z sektora bytowo-komunalnego</w:t>
      </w:r>
      <w:r>
        <w:rPr>
          <w:rFonts w:ascii="Times New Roman" w:hAnsi="Times New Roman"/>
          <w:sz w:val="20"/>
          <w:szCs w:val="20"/>
        </w:rPr>
        <w:t xml:space="preserve">”, raport dostępny na stronie: </w:t>
      </w:r>
      <w:r w:rsidRPr="00DD70CF">
        <w:rPr>
          <w:rFonts w:ascii="Times New Roman" w:hAnsi="Times New Roman"/>
          <w:sz w:val="20"/>
          <w:szCs w:val="20"/>
        </w:rPr>
        <w:t>https://www.gov.pl/web/przedsiebiorczosc-technologia/czyste-powietrze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CAB" w:rsidRPr="00B371CC" w:rsidRDefault="005258E9"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24403D"/>
    <w:multiLevelType w:val="hybridMultilevel"/>
    <w:tmpl w:val="6EEA9EAE"/>
    <w:lvl w:ilvl="0" w:tplc="04150017">
      <w:start w:val="1"/>
      <w:numFmt w:val="lowerLetter"/>
      <w:lvlText w:val="%1)"/>
      <w:lvlJc w:val="left"/>
      <w:pPr>
        <w:ind w:left="870" w:hanging="360"/>
      </w:pPr>
      <w:rPr>
        <w:rFonts w:hint="default"/>
        <w:b w:val="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nsid w:val="6C3325CF"/>
    <w:multiLevelType w:val="hybridMultilevel"/>
    <w:tmpl w:val="D5C80914"/>
    <w:lvl w:ilvl="0" w:tplc="04150017">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
    <w:nsid w:val="70E5438A"/>
    <w:multiLevelType w:val="hybridMultilevel"/>
    <w:tmpl w:val="6E18FC06"/>
    <w:lvl w:ilvl="0" w:tplc="19ECDC80">
      <w:start w:val="1"/>
      <w:numFmt w:val="lowerLetter"/>
      <w:lvlText w:val="%1)"/>
      <w:lvlJc w:val="left"/>
      <w:pPr>
        <w:ind w:left="1429" w:hanging="360"/>
      </w:pPr>
      <w:rPr>
        <w:rFonts w:ascii="Times New Roman" w:hAnsi="Times New Roman" w:cs="Times New Roman" w:hint="default"/>
        <w:sz w:val="24"/>
        <w:szCs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nsid w:val="770F5022"/>
    <w:multiLevelType w:val="hybridMultilevel"/>
    <w:tmpl w:val="6532A43E"/>
    <w:lvl w:ilvl="0" w:tplc="7450A0F6">
      <w:start w:val="1"/>
      <w:numFmt w:val="lowerLetter"/>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bkowska Bożena">
    <w15:presenceInfo w15:providerId="AD" w15:userId="S-1-5-21-1346247845-3881836822-2677420573-1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86C"/>
    <w:rsid w:val="00081F4F"/>
    <w:rsid w:val="001C3879"/>
    <w:rsid w:val="00252B47"/>
    <w:rsid w:val="002734CB"/>
    <w:rsid w:val="00423B08"/>
    <w:rsid w:val="005258E9"/>
    <w:rsid w:val="005C0042"/>
    <w:rsid w:val="00762783"/>
    <w:rsid w:val="008616E7"/>
    <w:rsid w:val="0094086C"/>
    <w:rsid w:val="00CE57ED"/>
    <w:rsid w:val="00D96546"/>
    <w:rsid w:val="00E57002"/>
    <w:rsid w:val="00E9213F"/>
    <w:rsid w:val="00EF2F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4086C"/>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rsid w:val="0094086C"/>
    <w:rPr>
      <w:rFonts w:cs="Times New Roman"/>
      <w:vertAlign w:val="superscript"/>
    </w:rPr>
  </w:style>
  <w:style w:type="paragraph" w:styleId="Nagwek">
    <w:name w:val="header"/>
    <w:basedOn w:val="Normalny"/>
    <w:link w:val="NagwekZnak"/>
    <w:rsid w:val="0094086C"/>
    <w:pPr>
      <w:tabs>
        <w:tab w:val="center" w:pos="4536"/>
        <w:tab w:val="right" w:pos="9072"/>
      </w:tabs>
      <w:suppressAutoHyphens/>
    </w:pPr>
    <w:rPr>
      <w:rFonts w:ascii="Times" w:hAnsi="Times"/>
      <w:kern w:val="1"/>
      <w:lang w:eastAsia="ar-SA"/>
    </w:rPr>
  </w:style>
  <w:style w:type="character" w:customStyle="1" w:styleId="NagwekZnak">
    <w:name w:val="Nagłówek Znak"/>
    <w:basedOn w:val="Domylnaczcionkaakapitu"/>
    <w:link w:val="Nagwek"/>
    <w:rsid w:val="0094086C"/>
    <w:rPr>
      <w:rFonts w:ascii="Times" w:eastAsia="Times New Roman" w:hAnsi="Times" w:cs="Times New Roman"/>
      <w:kern w:val="1"/>
      <w:sz w:val="24"/>
      <w:szCs w:val="24"/>
      <w:lang w:eastAsia="ar-SA"/>
    </w:rPr>
  </w:style>
  <w:style w:type="paragraph" w:styleId="Stopka">
    <w:name w:val="footer"/>
    <w:basedOn w:val="Normalny"/>
    <w:link w:val="StopkaZnak"/>
    <w:uiPriority w:val="99"/>
    <w:rsid w:val="0094086C"/>
    <w:pPr>
      <w:tabs>
        <w:tab w:val="center" w:pos="4536"/>
        <w:tab w:val="right" w:pos="9072"/>
      </w:tabs>
      <w:suppressAutoHyphens/>
    </w:pPr>
    <w:rPr>
      <w:rFonts w:ascii="Times" w:hAnsi="Times"/>
      <w:kern w:val="1"/>
      <w:lang w:eastAsia="ar-SA"/>
    </w:rPr>
  </w:style>
  <w:style w:type="character" w:customStyle="1" w:styleId="StopkaZnak">
    <w:name w:val="Stopka Znak"/>
    <w:basedOn w:val="Domylnaczcionkaakapitu"/>
    <w:link w:val="Stopka"/>
    <w:uiPriority w:val="99"/>
    <w:rsid w:val="0094086C"/>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94086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rzypisudolnego">
    <w:name w:val="footnote text"/>
    <w:basedOn w:val="Normalny"/>
    <w:link w:val="TekstprzypisudolnegoZnak"/>
    <w:uiPriority w:val="99"/>
    <w:semiHidden/>
    <w:qFormat/>
    <w:rsid w:val="0094086C"/>
    <w:rPr>
      <w:rFonts w:ascii="Times" w:hAnsi="Times"/>
    </w:rPr>
  </w:style>
  <w:style w:type="character" w:customStyle="1" w:styleId="TekstprzypisudolnegoZnak">
    <w:name w:val="Tekst przypisu dolnego Znak"/>
    <w:basedOn w:val="Domylnaczcionkaakapitu"/>
    <w:link w:val="Tekstprzypisudolnego"/>
    <w:uiPriority w:val="99"/>
    <w:semiHidden/>
    <w:rsid w:val="0094086C"/>
    <w:rPr>
      <w:rFonts w:ascii="Times" w:eastAsia="Times New Roman" w:hAnsi="Times" w:cs="Times New Roman"/>
      <w:sz w:val="24"/>
      <w:szCs w:val="24"/>
      <w:lang w:eastAsia="pl-PL"/>
    </w:rPr>
  </w:style>
  <w:style w:type="character" w:customStyle="1" w:styleId="Ppogrubienie">
    <w:name w:val="_P_ – pogrubienie"/>
    <w:basedOn w:val="Domylnaczcionkaakapitu"/>
    <w:qFormat/>
    <w:rsid w:val="0094086C"/>
    <w:rPr>
      <w:b/>
    </w:rPr>
  </w:style>
  <w:style w:type="character" w:customStyle="1" w:styleId="Kkursywa">
    <w:name w:val="_K_ – kursywa"/>
    <w:basedOn w:val="Domylnaczcionkaakapitu"/>
    <w:uiPriority w:val="1"/>
    <w:qFormat/>
    <w:rsid w:val="0094086C"/>
    <w:rPr>
      <w:i/>
    </w:rPr>
  </w:style>
  <w:style w:type="paragraph" w:styleId="Akapitzlist">
    <w:name w:val="List Paragraph"/>
    <w:basedOn w:val="Normalny"/>
    <w:uiPriority w:val="34"/>
    <w:qFormat/>
    <w:rsid w:val="0094086C"/>
    <w:pPr>
      <w:spacing w:after="200" w:line="276" w:lineRule="auto"/>
      <w:ind w:left="720"/>
      <w:contextualSpacing/>
    </w:pPr>
    <w:rPr>
      <w:rFonts w:ascii="Calibri" w:eastAsia="Calibri" w:hAnsi="Calibri"/>
      <w:sz w:val="22"/>
      <w:szCs w:val="22"/>
      <w:lang w:eastAsia="en-US"/>
    </w:rPr>
  </w:style>
  <w:style w:type="paragraph" w:customStyle="1" w:styleId="p0">
    <w:name w:val="p0"/>
    <w:basedOn w:val="Normalny"/>
    <w:rsid w:val="0094086C"/>
    <w:pPr>
      <w:spacing w:after="300"/>
    </w:pPr>
    <w:rPr>
      <w:rFonts w:ascii="inherit" w:hAnsi="inherit"/>
    </w:rPr>
  </w:style>
  <w:style w:type="character" w:styleId="Hipercze">
    <w:name w:val="Hyperlink"/>
    <w:unhideWhenUsed/>
    <w:rsid w:val="0094086C"/>
    <w:rPr>
      <w:color w:val="0000FF"/>
      <w:u w:val="single"/>
    </w:rPr>
  </w:style>
  <w:style w:type="paragraph" w:styleId="Tekstdymka">
    <w:name w:val="Balloon Text"/>
    <w:basedOn w:val="Normalny"/>
    <w:link w:val="TekstdymkaZnak"/>
    <w:uiPriority w:val="99"/>
    <w:semiHidden/>
    <w:unhideWhenUsed/>
    <w:rsid w:val="008616E7"/>
    <w:rPr>
      <w:rFonts w:ascii="Tahoma" w:hAnsi="Tahoma" w:cs="Tahoma"/>
      <w:sz w:val="16"/>
      <w:szCs w:val="16"/>
    </w:rPr>
  </w:style>
  <w:style w:type="character" w:customStyle="1" w:styleId="TekstdymkaZnak">
    <w:name w:val="Tekst dymka Znak"/>
    <w:basedOn w:val="Domylnaczcionkaakapitu"/>
    <w:link w:val="Tekstdymka"/>
    <w:uiPriority w:val="99"/>
    <w:semiHidden/>
    <w:rsid w:val="008616E7"/>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4086C"/>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rsid w:val="0094086C"/>
    <w:rPr>
      <w:rFonts w:cs="Times New Roman"/>
      <w:vertAlign w:val="superscript"/>
    </w:rPr>
  </w:style>
  <w:style w:type="paragraph" w:styleId="Nagwek">
    <w:name w:val="header"/>
    <w:basedOn w:val="Normalny"/>
    <w:link w:val="NagwekZnak"/>
    <w:rsid w:val="0094086C"/>
    <w:pPr>
      <w:tabs>
        <w:tab w:val="center" w:pos="4536"/>
        <w:tab w:val="right" w:pos="9072"/>
      </w:tabs>
      <w:suppressAutoHyphens/>
    </w:pPr>
    <w:rPr>
      <w:rFonts w:ascii="Times" w:hAnsi="Times"/>
      <w:kern w:val="1"/>
      <w:lang w:eastAsia="ar-SA"/>
    </w:rPr>
  </w:style>
  <w:style w:type="character" w:customStyle="1" w:styleId="NagwekZnak">
    <w:name w:val="Nagłówek Znak"/>
    <w:basedOn w:val="Domylnaczcionkaakapitu"/>
    <w:link w:val="Nagwek"/>
    <w:rsid w:val="0094086C"/>
    <w:rPr>
      <w:rFonts w:ascii="Times" w:eastAsia="Times New Roman" w:hAnsi="Times" w:cs="Times New Roman"/>
      <w:kern w:val="1"/>
      <w:sz w:val="24"/>
      <w:szCs w:val="24"/>
      <w:lang w:eastAsia="ar-SA"/>
    </w:rPr>
  </w:style>
  <w:style w:type="paragraph" w:styleId="Stopka">
    <w:name w:val="footer"/>
    <w:basedOn w:val="Normalny"/>
    <w:link w:val="StopkaZnak"/>
    <w:uiPriority w:val="99"/>
    <w:rsid w:val="0094086C"/>
    <w:pPr>
      <w:tabs>
        <w:tab w:val="center" w:pos="4536"/>
        <w:tab w:val="right" w:pos="9072"/>
      </w:tabs>
      <w:suppressAutoHyphens/>
    </w:pPr>
    <w:rPr>
      <w:rFonts w:ascii="Times" w:hAnsi="Times"/>
      <w:kern w:val="1"/>
      <w:lang w:eastAsia="ar-SA"/>
    </w:rPr>
  </w:style>
  <w:style w:type="character" w:customStyle="1" w:styleId="StopkaZnak">
    <w:name w:val="Stopka Znak"/>
    <w:basedOn w:val="Domylnaczcionkaakapitu"/>
    <w:link w:val="Stopka"/>
    <w:uiPriority w:val="99"/>
    <w:rsid w:val="0094086C"/>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94086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rzypisudolnego">
    <w:name w:val="footnote text"/>
    <w:basedOn w:val="Normalny"/>
    <w:link w:val="TekstprzypisudolnegoZnak"/>
    <w:uiPriority w:val="99"/>
    <w:semiHidden/>
    <w:qFormat/>
    <w:rsid w:val="0094086C"/>
    <w:rPr>
      <w:rFonts w:ascii="Times" w:hAnsi="Times"/>
    </w:rPr>
  </w:style>
  <w:style w:type="character" w:customStyle="1" w:styleId="TekstprzypisudolnegoZnak">
    <w:name w:val="Tekst przypisu dolnego Znak"/>
    <w:basedOn w:val="Domylnaczcionkaakapitu"/>
    <w:link w:val="Tekstprzypisudolnego"/>
    <w:uiPriority w:val="99"/>
    <w:semiHidden/>
    <w:rsid w:val="0094086C"/>
    <w:rPr>
      <w:rFonts w:ascii="Times" w:eastAsia="Times New Roman" w:hAnsi="Times" w:cs="Times New Roman"/>
      <w:sz w:val="24"/>
      <w:szCs w:val="24"/>
      <w:lang w:eastAsia="pl-PL"/>
    </w:rPr>
  </w:style>
  <w:style w:type="character" w:customStyle="1" w:styleId="Ppogrubienie">
    <w:name w:val="_P_ – pogrubienie"/>
    <w:basedOn w:val="Domylnaczcionkaakapitu"/>
    <w:qFormat/>
    <w:rsid w:val="0094086C"/>
    <w:rPr>
      <w:b/>
    </w:rPr>
  </w:style>
  <w:style w:type="character" w:customStyle="1" w:styleId="Kkursywa">
    <w:name w:val="_K_ – kursywa"/>
    <w:basedOn w:val="Domylnaczcionkaakapitu"/>
    <w:uiPriority w:val="1"/>
    <w:qFormat/>
    <w:rsid w:val="0094086C"/>
    <w:rPr>
      <w:i/>
    </w:rPr>
  </w:style>
  <w:style w:type="paragraph" w:styleId="Akapitzlist">
    <w:name w:val="List Paragraph"/>
    <w:basedOn w:val="Normalny"/>
    <w:uiPriority w:val="34"/>
    <w:qFormat/>
    <w:rsid w:val="0094086C"/>
    <w:pPr>
      <w:spacing w:after="200" w:line="276" w:lineRule="auto"/>
      <w:ind w:left="720"/>
      <w:contextualSpacing/>
    </w:pPr>
    <w:rPr>
      <w:rFonts w:ascii="Calibri" w:eastAsia="Calibri" w:hAnsi="Calibri"/>
      <w:sz w:val="22"/>
      <w:szCs w:val="22"/>
      <w:lang w:eastAsia="en-US"/>
    </w:rPr>
  </w:style>
  <w:style w:type="paragraph" w:customStyle="1" w:styleId="p0">
    <w:name w:val="p0"/>
    <w:basedOn w:val="Normalny"/>
    <w:rsid w:val="0094086C"/>
    <w:pPr>
      <w:spacing w:after="300"/>
    </w:pPr>
    <w:rPr>
      <w:rFonts w:ascii="inherit" w:hAnsi="inherit"/>
    </w:rPr>
  </w:style>
  <w:style w:type="character" w:styleId="Hipercze">
    <w:name w:val="Hyperlink"/>
    <w:unhideWhenUsed/>
    <w:rsid w:val="0094086C"/>
    <w:rPr>
      <w:color w:val="0000FF"/>
      <w:u w:val="single"/>
    </w:rPr>
  </w:style>
  <w:style w:type="paragraph" w:styleId="Tekstdymka">
    <w:name w:val="Balloon Text"/>
    <w:basedOn w:val="Normalny"/>
    <w:link w:val="TekstdymkaZnak"/>
    <w:uiPriority w:val="99"/>
    <w:semiHidden/>
    <w:unhideWhenUsed/>
    <w:rsid w:val="008616E7"/>
    <w:rPr>
      <w:rFonts w:ascii="Tahoma" w:hAnsi="Tahoma" w:cs="Tahoma"/>
      <w:sz w:val="16"/>
      <w:szCs w:val="16"/>
    </w:rPr>
  </w:style>
  <w:style w:type="character" w:customStyle="1" w:styleId="TekstdymkaZnak">
    <w:name w:val="Tekst dymka Znak"/>
    <w:basedOn w:val="Domylnaczcionkaakapitu"/>
    <w:link w:val="Tekstdymka"/>
    <w:uiPriority w:val="99"/>
    <w:semiHidden/>
    <w:rsid w:val="008616E7"/>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4452</Words>
  <Characters>26715</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pracownik</cp:lastModifiedBy>
  <cp:revision>4</cp:revision>
  <dcterms:created xsi:type="dcterms:W3CDTF">2019-05-22T08:21:00Z</dcterms:created>
  <dcterms:modified xsi:type="dcterms:W3CDTF">2019-05-22T08:41:00Z</dcterms:modified>
</cp:coreProperties>
</file>