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F2B" w:rsidRPr="00E47C56" w:rsidRDefault="00E70E87" w:rsidP="00E47C56">
      <w:pPr>
        <w:pStyle w:val="NIEARTTEKSTtekstnieartykuowanynppodstprawnarozplubpreambua"/>
        <w:spacing w:before="0" w:after="240"/>
        <w:jc w:val="center"/>
      </w:pPr>
      <w:bookmarkStart w:id="0" w:name="_GoBack"/>
      <w:bookmarkEnd w:id="0"/>
      <w:r w:rsidRPr="00E47C56">
        <w:t>UZASADNIENIE</w:t>
      </w:r>
    </w:p>
    <w:p w:rsidR="003E50E9" w:rsidRPr="00F80DE3" w:rsidRDefault="00F80DE3" w:rsidP="00F80DE3">
      <w:pPr>
        <w:pStyle w:val="NIEARTTEKSTtekstnieartykuowanynppodstprawnarozplubpreambua"/>
        <w:jc w:val="center"/>
        <w:rPr>
          <w:b/>
        </w:rPr>
      </w:pPr>
      <w:r w:rsidRPr="00F80DE3">
        <w:rPr>
          <w:b/>
        </w:rPr>
        <w:t xml:space="preserve">Wdrożenie pakietu dyrektyw pasażerskich do krajowego porządku prawnego </w:t>
      </w:r>
    </w:p>
    <w:p w:rsidR="003E50E9" w:rsidRPr="003E50E9" w:rsidRDefault="003E50E9" w:rsidP="00E70E87">
      <w:pPr>
        <w:pStyle w:val="NIEARTTEKSTtekstnieartykuowanynppodstprawnarozplubpreambua"/>
      </w:pPr>
      <w:r>
        <w:t xml:space="preserve">Projekt </w:t>
      </w:r>
      <w:r w:rsidR="005E4785">
        <w:t xml:space="preserve">ustawy o zmianie ustawy o bezpieczeństwie morskim (dalej: „projekt ustawy”) </w:t>
      </w:r>
      <w:r w:rsidR="005E4785" w:rsidRPr="003E50E9">
        <w:t>zmieni d</w:t>
      </w:r>
      <w:r w:rsidR="005E4785">
        <w:t>otychczas obowiązującą ustawę z </w:t>
      </w:r>
      <w:r w:rsidR="005E4785" w:rsidRPr="003E50E9">
        <w:t>dnia 18 sierpnia 2011 r. o</w:t>
      </w:r>
      <w:r w:rsidR="005E4785">
        <w:t> </w:t>
      </w:r>
      <w:r w:rsidR="005E4785" w:rsidRPr="003E50E9">
        <w:t xml:space="preserve">bezpieczeństwie morskim </w:t>
      </w:r>
      <w:r w:rsidR="005E4785">
        <w:t>(Dz. U. z 2018 r. poz. 181, 1137</w:t>
      </w:r>
      <w:r w:rsidR="001F77A9">
        <w:t>,</w:t>
      </w:r>
      <w:r w:rsidR="005E4785">
        <w:t xml:space="preserve"> 1669</w:t>
      </w:r>
      <w:r w:rsidR="001F77A9">
        <w:t xml:space="preserve"> i 2245</w:t>
      </w:r>
      <w:r w:rsidR="005E4785">
        <w:t xml:space="preserve">) (dalej: „UBM”) </w:t>
      </w:r>
      <w:r>
        <w:t xml:space="preserve">w związku z potrzebą </w:t>
      </w:r>
      <w:r w:rsidRPr="003E50E9">
        <w:t xml:space="preserve">transpozycji do krajowego porządku prawnego </w:t>
      </w:r>
      <w:r w:rsidR="00B015AB">
        <w:t>dwóch</w:t>
      </w:r>
      <w:r w:rsidRPr="003E50E9">
        <w:t xml:space="preserve"> dyrektyw dot</w:t>
      </w:r>
      <w:r w:rsidR="008F6393">
        <w:t>yczących</w:t>
      </w:r>
      <w:r w:rsidRPr="003E50E9">
        <w:t xml:space="preserve"> statków pasażerskich:</w:t>
      </w:r>
    </w:p>
    <w:p w:rsidR="003E50E9" w:rsidRPr="003E50E9" w:rsidRDefault="003E50E9" w:rsidP="00E47C56">
      <w:pPr>
        <w:pStyle w:val="NIEARTTEKSTtekstnieartykuowanynppodstprawnarozplubpreambua"/>
        <w:numPr>
          <w:ilvl w:val="0"/>
          <w:numId w:val="16"/>
        </w:numPr>
        <w:ind w:left="426"/>
      </w:pPr>
      <w:r w:rsidRPr="003E50E9">
        <w:t>dyrektywy Parlamentu Europejskiego i Rady (UE) 2017/2109 z dnia 15 listopada 2017 r. zmieniając</w:t>
      </w:r>
      <w:r w:rsidR="001F77A9">
        <w:t>ej</w:t>
      </w:r>
      <w:r w:rsidRPr="003E50E9">
        <w:t xml:space="preserve"> dyrektywę Rady 98/41/WE w sprawie rejestracji osób podróżujących na pokładzie statków pasażerskich płynących do portów państ</w:t>
      </w:r>
      <w:r w:rsidR="00E5673B">
        <w:t>w członkowskich Wspólnoty lub z </w:t>
      </w:r>
      <w:r w:rsidRPr="003E50E9">
        <w:t>portów państw członkowskich Wspólnoty oraz dyrektywę Parlamentu Europejskiego i Rady 2010/65/UE w sprawie formalności sprawozdawczych dla statków wchodzących do lub wychodzących z portów państw członkowskich;</w:t>
      </w:r>
    </w:p>
    <w:p w:rsidR="003E50E9" w:rsidRPr="003E50E9" w:rsidRDefault="003E50E9" w:rsidP="00E47C56">
      <w:pPr>
        <w:pStyle w:val="NIEARTTEKSTtekstnieartykuowanynppodstprawnarozplubpreambua"/>
        <w:numPr>
          <w:ilvl w:val="0"/>
          <w:numId w:val="16"/>
        </w:numPr>
        <w:ind w:left="426"/>
      </w:pPr>
      <w:r w:rsidRPr="003E50E9">
        <w:t>dyrektywy Parlamentu Europejskiego i Rady (UE) 2017/2110 z dnia 15 listopada 2017</w:t>
      </w:r>
      <w:r w:rsidR="00F14EA2">
        <w:t> </w:t>
      </w:r>
      <w:r w:rsidRPr="003E50E9">
        <w:t>r. w sprawie systemu inspekcji na potrzeby bezpiecznej eksploatacji statków pasażerskich typu ro-ro i szybkich jednostek pasażerskich uprawiających żeglugę na linii regularnej oraz zmieniając</w:t>
      </w:r>
      <w:r w:rsidR="001F77A9">
        <w:t>ej</w:t>
      </w:r>
      <w:r w:rsidRPr="003E50E9">
        <w:t xml:space="preserve"> dyrektywę 2009/16/WE i uchylając</w:t>
      </w:r>
      <w:r w:rsidR="001F77A9">
        <w:t>ej</w:t>
      </w:r>
      <w:r w:rsidRPr="003E50E9">
        <w:t xml:space="preserve"> dyrektywę Rady 1999/35/WE.</w:t>
      </w:r>
    </w:p>
    <w:p w:rsidR="003E50E9" w:rsidRDefault="003E50E9" w:rsidP="00EB0C12">
      <w:pPr>
        <w:pStyle w:val="NIEARTTEKSTtekstnieartykuowanynppodstprawnarozplubpreambua"/>
      </w:pPr>
      <w:r w:rsidRPr="003E50E9">
        <w:t>Państwa członkowskie powinny wdrożyć przepisy dyrektyw do dnia 21 grudnia 20</w:t>
      </w:r>
      <w:r w:rsidR="00B015AB">
        <w:t>19</w:t>
      </w:r>
      <w:r w:rsidRPr="003E50E9">
        <w:t xml:space="preserve"> r.</w:t>
      </w:r>
    </w:p>
    <w:p w:rsidR="003A3A7F" w:rsidRDefault="00B015AB" w:rsidP="00222A3B">
      <w:pPr>
        <w:pStyle w:val="ARTartustawynprozporzdzenia"/>
      </w:pPr>
      <w:r>
        <w:t>Trzecia spośród pakietu dyrektyw pasażerskich:</w:t>
      </w:r>
      <w:r w:rsidR="00C620F9">
        <w:t xml:space="preserve"> </w:t>
      </w:r>
      <w:r>
        <w:rPr>
          <w:bCs/>
        </w:rPr>
        <w:t>dyrektywa</w:t>
      </w:r>
      <w:r w:rsidR="00E5673B">
        <w:rPr>
          <w:bCs/>
        </w:rPr>
        <w:t xml:space="preserve"> Parlamentu Europejskiego i </w:t>
      </w:r>
      <w:r w:rsidRPr="00B015AB">
        <w:rPr>
          <w:bCs/>
        </w:rPr>
        <w:t>Rady (UE) 2017/2108 z dnia 15 listopada 2017 r. zmieniając</w:t>
      </w:r>
      <w:r w:rsidR="006519B9">
        <w:rPr>
          <w:bCs/>
        </w:rPr>
        <w:t>a</w:t>
      </w:r>
      <w:r w:rsidRPr="00B015AB">
        <w:rPr>
          <w:bCs/>
        </w:rPr>
        <w:t xml:space="preserve"> dyrektywę Rady 2009/45/WE w sprawie regu</w:t>
      </w:r>
      <w:r>
        <w:rPr>
          <w:bCs/>
        </w:rPr>
        <w:t xml:space="preserve">ł i norm bezpieczeństwa statków pasażerskich, z uwagi na techniczny charakter zmian, zostanie wdrożona do krajowego porządku prawnego poprzez zmianę przepisów wykonawczych do </w:t>
      </w:r>
      <w:r w:rsidR="001A01C3">
        <w:rPr>
          <w:bCs/>
        </w:rPr>
        <w:t>UBM</w:t>
      </w:r>
      <w:r>
        <w:rPr>
          <w:bCs/>
        </w:rPr>
        <w:t xml:space="preserve"> oraz zmianę przepisów klasyfikacyjnych Polskiego Rejestru Statków.</w:t>
      </w:r>
    </w:p>
    <w:p w:rsidR="003E50E9" w:rsidRDefault="003E50E9" w:rsidP="005907D5">
      <w:pPr>
        <w:pStyle w:val="NIEARTTEKSTtekstnieartykuowanynppodstprawnarozplubpreambua"/>
        <w:rPr>
          <w:iCs/>
        </w:rPr>
      </w:pPr>
      <w:r w:rsidRPr="003E50E9">
        <w:t xml:space="preserve">Uchwalenie pakietu dyrektyw pasażerskich miało na celu </w:t>
      </w:r>
      <w:r w:rsidRPr="003E50E9">
        <w:rPr>
          <w:iCs/>
        </w:rPr>
        <w:t>uproszczenie i</w:t>
      </w:r>
      <w:r w:rsidR="00F14EA2">
        <w:rPr>
          <w:iCs/>
        </w:rPr>
        <w:t> </w:t>
      </w:r>
      <w:r w:rsidRPr="003E50E9">
        <w:rPr>
          <w:iCs/>
        </w:rPr>
        <w:t>uporządkowanie istniejących unijnych ram prawnych dotyczących bezpieczeń</w:t>
      </w:r>
      <w:r w:rsidR="00E5673B">
        <w:rPr>
          <w:iCs/>
        </w:rPr>
        <w:t>stwa na statkach pasażerskich w </w:t>
      </w:r>
      <w:r w:rsidRPr="003E50E9">
        <w:rPr>
          <w:iCs/>
        </w:rPr>
        <w:t>taki sposób, aby utrzymać przepisy unijne, w przypadkach gdy są potrzebne i proporcjonalne, zapewnić ich właściwe stosowanie oraz wyeliminować potencjalne nakładanie się obowiązków i występowanie niespójności między powiązanymi aktami prawnymi, zgodnie z programem sprawności i wydajności regulacyjnej REFIT (Regulatory Fitness and Performance Program).</w:t>
      </w:r>
    </w:p>
    <w:p w:rsidR="003E50E9" w:rsidRDefault="003E50E9" w:rsidP="00EB0C12">
      <w:pPr>
        <w:pStyle w:val="NIEARTTEKSTtekstnieartykuowanynppodstprawnarozplubpreambua"/>
        <w:rPr>
          <w:iCs/>
        </w:rPr>
      </w:pPr>
      <w:r>
        <w:rPr>
          <w:iCs/>
        </w:rPr>
        <w:t xml:space="preserve">Aby dokonać całościowego wdrożenia przepisów pakietu </w:t>
      </w:r>
      <w:r w:rsidR="00F80DE3">
        <w:rPr>
          <w:iCs/>
        </w:rPr>
        <w:t xml:space="preserve">3 </w:t>
      </w:r>
      <w:r>
        <w:rPr>
          <w:iCs/>
        </w:rPr>
        <w:t>dyrektyw dot</w:t>
      </w:r>
      <w:r w:rsidR="002501FD">
        <w:rPr>
          <w:iCs/>
        </w:rPr>
        <w:t>yczących</w:t>
      </w:r>
      <w:r>
        <w:rPr>
          <w:iCs/>
        </w:rPr>
        <w:t xml:space="preserve"> bezpieczeństwa statków pasażerskich do krajowego porządku prawnego</w:t>
      </w:r>
      <w:r w:rsidR="00D12655">
        <w:rPr>
          <w:iCs/>
        </w:rPr>
        <w:t>,</w:t>
      </w:r>
      <w:r>
        <w:rPr>
          <w:iCs/>
        </w:rPr>
        <w:t xml:space="preserve"> </w:t>
      </w:r>
      <w:r w:rsidR="00BF5F25">
        <w:rPr>
          <w:iCs/>
        </w:rPr>
        <w:t xml:space="preserve">będzie </w:t>
      </w:r>
      <w:r>
        <w:rPr>
          <w:iCs/>
        </w:rPr>
        <w:t xml:space="preserve">potrzebna zmiana przepisów </w:t>
      </w:r>
      <w:r w:rsidR="001A01C3">
        <w:rPr>
          <w:iCs/>
        </w:rPr>
        <w:t>UBM</w:t>
      </w:r>
      <w:r w:rsidR="00C620F9">
        <w:rPr>
          <w:iCs/>
        </w:rPr>
        <w:t xml:space="preserve"> </w:t>
      </w:r>
      <w:r>
        <w:rPr>
          <w:iCs/>
        </w:rPr>
        <w:t xml:space="preserve">oraz sześciu rozporządzeń </w:t>
      </w:r>
      <w:r w:rsidR="009A498C">
        <w:rPr>
          <w:iCs/>
        </w:rPr>
        <w:t>wydanych na podstawie UBM</w:t>
      </w:r>
      <w:r>
        <w:rPr>
          <w:iCs/>
        </w:rPr>
        <w:t>:</w:t>
      </w:r>
    </w:p>
    <w:p w:rsidR="003E50E9" w:rsidRPr="003E50E9" w:rsidRDefault="00F170B7" w:rsidP="00E47C56">
      <w:pPr>
        <w:pStyle w:val="NIEARTTEKSTtekstnieartykuowanynppodstprawnarozplubpreambua"/>
        <w:numPr>
          <w:ilvl w:val="0"/>
          <w:numId w:val="19"/>
        </w:numPr>
        <w:ind w:left="426"/>
        <w:rPr>
          <w:iCs/>
        </w:rPr>
      </w:pPr>
      <w:r>
        <w:rPr>
          <w:iCs/>
        </w:rPr>
        <w:lastRenderedPageBreak/>
        <w:t>r</w:t>
      </w:r>
      <w:r w:rsidR="00D12655">
        <w:rPr>
          <w:iCs/>
        </w:rPr>
        <w:t>ozporządzenia</w:t>
      </w:r>
      <w:r w:rsidR="003E50E9" w:rsidRPr="003E50E9">
        <w:rPr>
          <w:iCs/>
        </w:rPr>
        <w:t xml:space="preserve"> Ministra Transportu, Budownictwa </w:t>
      </w:r>
      <w:r w:rsidR="00E47C56">
        <w:rPr>
          <w:iCs/>
        </w:rPr>
        <w:t>i Gospodarki Morskiej z dnia 13 </w:t>
      </w:r>
      <w:r w:rsidR="003E50E9" w:rsidRPr="003E50E9">
        <w:rPr>
          <w:iCs/>
        </w:rPr>
        <w:t>listopada 2012 r. w sprawie inspekcji i audytów oraz certyfikatów statku morskiego</w:t>
      </w:r>
      <w:r w:rsidR="00A315B7">
        <w:rPr>
          <w:iCs/>
        </w:rPr>
        <w:t xml:space="preserve"> </w:t>
      </w:r>
      <w:r w:rsidR="003E50E9" w:rsidRPr="003E50E9">
        <w:rPr>
          <w:iCs/>
        </w:rPr>
        <w:t>(Dz.</w:t>
      </w:r>
      <w:r w:rsidR="00F14EA2">
        <w:rPr>
          <w:iCs/>
        </w:rPr>
        <w:t> </w:t>
      </w:r>
      <w:r w:rsidR="003E50E9" w:rsidRPr="003E50E9">
        <w:rPr>
          <w:iCs/>
        </w:rPr>
        <w:t>U.</w:t>
      </w:r>
      <w:r w:rsidR="00F14EA2">
        <w:rPr>
          <w:iCs/>
        </w:rPr>
        <w:t> </w:t>
      </w:r>
      <w:r w:rsidR="003E50E9" w:rsidRPr="003E50E9">
        <w:rPr>
          <w:iCs/>
        </w:rPr>
        <w:t>poz.</w:t>
      </w:r>
      <w:r w:rsidR="00F14EA2">
        <w:rPr>
          <w:iCs/>
        </w:rPr>
        <w:t> </w:t>
      </w:r>
      <w:r w:rsidR="003E50E9" w:rsidRPr="003E50E9">
        <w:rPr>
          <w:iCs/>
        </w:rPr>
        <w:t>1313)</w:t>
      </w:r>
      <w:r>
        <w:rPr>
          <w:iCs/>
        </w:rPr>
        <w:t>;</w:t>
      </w:r>
    </w:p>
    <w:p w:rsidR="003E50E9" w:rsidRPr="003E50E9" w:rsidRDefault="00F170B7" w:rsidP="00E47C56">
      <w:pPr>
        <w:pStyle w:val="NIEARTTEKSTtekstnieartykuowanynppodstprawnarozplubpreambua"/>
        <w:numPr>
          <w:ilvl w:val="0"/>
          <w:numId w:val="19"/>
        </w:numPr>
        <w:ind w:left="426"/>
        <w:rPr>
          <w:iCs/>
        </w:rPr>
      </w:pPr>
      <w:r>
        <w:rPr>
          <w:iCs/>
        </w:rPr>
        <w:t>r</w:t>
      </w:r>
      <w:r w:rsidR="00D12655">
        <w:rPr>
          <w:iCs/>
        </w:rPr>
        <w:t>ozporządzenia</w:t>
      </w:r>
      <w:r w:rsidR="003E50E9" w:rsidRPr="003E50E9">
        <w:rPr>
          <w:iCs/>
        </w:rPr>
        <w:t xml:space="preserve"> Ministra Transportu, Budownictwa i Gospodarki Morskiej z dnia</w:t>
      </w:r>
      <w:r w:rsidR="00F14EA2">
        <w:rPr>
          <w:iCs/>
        </w:rPr>
        <w:t> </w:t>
      </w:r>
      <w:r w:rsidR="003E50E9" w:rsidRPr="003E50E9">
        <w:rPr>
          <w:iCs/>
        </w:rPr>
        <w:t>28 marca 2012 r. w sprawie inspekcji państwa portu (Dz. U. z 2016 r. poz. 1357)</w:t>
      </w:r>
      <w:r w:rsidR="00F14EA2">
        <w:rPr>
          <w:iCs/>
        </w:rPr>
        <w:t>;</w:t>
      </w:r>
    </w:p>
    <w:p w:rsidR="003E50E9" w:rsidRPr="003E50E9" w:rsidRDefault="00F14EA2" w:rsidP="00E47C56">
      <w:pPr>
        <w:pStyle w:val="NIEARTTEKSTtekstnieartykuowanynppodstprawnarozplubpreambua"/>
        <w:numPr>
          <w:ilvl w:val="0"/>
          <w:numId w:val="19"/>
        </w:numPr>
        <w:ind w:left="426"/>
        <w:rPr>
          <w:iCs/>
        </w:rPr>
      </w:pPr>
      <w:r>
        <w:rPr>
          <w:iCs/>
        </w:rPr>
        <w:t>r</w:t>
      </w:r>
      <w:r w:rsidR="00D12655">
        <w:rPr>
          <w:iCs/>
        </w:rPr>
        <w:t>ozporządzenia</w:t>
      </w:r>
      <w:r w:rsidR="003E50E9" w:rsidRPr="003E50E9">
        <w:rPr>
          <w:iCs/>
        </w:rPr>
        <w:t xml:space="preserve"> Ministra Transportu, Budownictwa </w:t>
      </w:r>
      <w:r w:rsidR="00E47C56">
        <w:rPr>
          <w:iCs/>
        </w:rPr>
        <w:t>i Gospodarki Morskiej z dnia 23 </w:t>
      </w:r>
      <w:r w:rsidR="003E50E9" w:rsidRPr="003E50E9">
        <w:rPr>
          <w:iCs/>
        </w:rPr>
        <w:t>kwietnia 2013 r. w sprawie liczenia i systemu rejestracji osób odbywających podróż morską (Dz. U. poz. 586)</w:t>
      </w:r>
      <w:r w:rsidR="00F170B7">
        <w:rPr>
          <w:iCs/>
        </w:rPr>
        <w:t>;</w:t>
      </w:r>
    </w:p>
    <w:p w:rsidR="003E50E9" w:rsidRPr="003E50E9" w:rsidRDefault="00F170B7" w:rsidP="00E47C56">
      <w:pPr>
        <w:pStyle w:val="NIEARTTEKSTtekstnieartykuowanynppodstprawnarozplubpreambua"/>
        <w:numPr>
          <w:ilvl w:val="0"/>
          <w:numId w:val="19"/>
        </w:numPr>
        <w:ind w:left="426"/>
        <w:rPr>
          <w:iCs/>
        </w:rPr>
      </w:pPr>
      <w:r>
        <w:rPr>
          <w:iCs/>
        </w:rPr>
        <w:t>r</w:t>
      </w:r>
      <w:r w:rsidR="00D12655">
        <w:rPr>
          <w:iCs/>
        </w:rPr>
        <w:t>ozporządzenia</w:t>
      </w:r>
      <w:r w:rsidR="003E50E9" w:rsidRPr="003E50E9">
        <w:rPr>
          <w:iCs/>
        </w:rPr>
        <w:t xml:space="preserve"> Ministra Gospodarki Morskiej i Żeglugi Śródlądowej z</w:t>
      </w:r>
      <w:r w:rsidR="00F14EA2">
        <w:rPr>
          <w:iCs/>
        </w:rPr>
        <w:t> </w:t>
      </w:r>
      <w:r w:rsidR="003E50E9" w:rsidRPr="003E50E9">
        <w:rPr>
          <w:iCs/>
        </w:rPr>
        <w:t>dnia</w:t>
      </w:r>
      <w:r w:rsidR="00F14EA2">
        <w:rPr>
          <w:iCs/>
        </w:rPr>
        <w:t> </w:t>
      </w:r>
      <w:r w:rsidR="003E50E9" w:rsidRPr="003E50E9">
        <w:rPr>
          <w:iCs/>
        </w:rPr>
        <w:t>9 sierpnia 2016 r. w sprawie zwolnienia statku z wymagań w zakresie wyposażenia</w:t>
      </w:r>
      <w:r w:rsidR="00F14EA2">
        <w:rPr>
          <w:iCs/>
        </w:rPr>
        <w:t> </w:t>
      </w:r>
      <w:r w:rsidR="003E50E9" w:rsidRPr="003E50E9">
        <w:rPr>
          <w:iCs/>
        </w:rPr>
        <w:t>i konstrukcji lub zastosowania środków równoważnych (Dz. U. poz. 1319)</w:t>
      </w:r>
      <w:r w:rsidR="00B279AF">
        <w:rPr>
          <w:iCs/>
        </w:rPr>
        <w:t>;</w:t>
      </w:r>
    </w:p>
    <w:p w:rsidR="003E50E9" w:rsidRPr="003E50E9" w:rsidRDefault="00F170B7" w:rsidP="00E47C56">
      <w:pPr>
        <w:pStyle w:val="NIEARTTEKSTtekstnieartykuowanynppodstprawnarozplubpreambua"/>
        <w:numPr>
          <w:ilvl w:val="0"/>
          <w:numId w:val="19"/>
        </w:numPr>
        <w:ind w:left="426"/>
        <w:rPr>
          <w:iCs/>
        </w:rPr>
      </w:pPr>
      <w:r>
        <w:rPr>
          <w:iCs/>
        </w:rPr>
        <w:t>r</w:t>
      </w:r>
      <w:r w:rsidR="00D12655">
        <w:rPr>
          <w:iCs/>
        </w:rPr>
        <w:t>ozporządzenia</w:t>
      </w:r>
      <w:r w:rsidR="003E50E9" w:rsidRPr="003E50E9">
        <w:rPr>
          <w:iCs/>
        </w:rPr>
        <w:t xml:space="preserve"> Ministra Transportu, Budownictwa i Gospodarki Morskiej z dnia </w:t>
      </w:r>
      <w:r w:rsidR="006C64D0">
        <w:rPr>
          <w:iCs/>
        </w:rPr>
        <w:t>3 </w:t>
      </w:r>
      <w:r w:rsidR="003E50E9" w:rsidRPr="003E50E9">
        <w:rPr>
          <w:iCs/>
        </w:rPr>
        <w:t>sierpnia 2012 r. w sprawie wykazów polskich obszarów morskich, po których pływają promy pasażerskie typu ro-ro</w:t>
      </w:r>
      <w:r w:rsidR="00881F0B">
        <w:rPr>
          <w:iCs/>
        </w:rPr>
        <w:t xml:space="preserve"> </w:t>
      </w:r>
      <w:r w:rsidR="003E50E9" w:rsidRPr="003E50E9">
        <w:rPr>
          <w:iCs/>
        </w:rPr>
        <w:t>(Dz. U. poz. 955)</w:t>
      </w:r>
      <w:r>
        <w:rPr>
          <w:iCs/>
        </w:rPr>
        <w:t>;</w:t>
      </w:r>
    </w:p>
    <w:p w:rsidR="003E50E9" w:rsidRPr="003E50E9" w:rsidRDefault="00F170B7" w:rsidP="00E47C56">
      <w:pPr>
        <w:pStyle w:val="NIEARTTEKSTtekstnieartykuowanynppodstprawnarozplubpreambua"/>
        <w:numPr>
          <w:ilvl w:val="0"/>
          <w:numId w:val="19"/>
        </w:numPr>
        <w:ind w:left="426"/>
        <w:rPr>
          <w:iCs/>
        </w:rPr>
      </w:pPr>
      <w:r>
        <w:rPr>
          <w:iCs/>
        </w:rPr>
        <w:t>r</w:t>
      </w:r>
      <w:r w:rsidR="00D12655">
        <w:rPr>
          <w:iCs/>
        </w:rPr>
        <w:t>ozporządzenia</w:t>
      </w:r>
      <w:r w:rsidR="003E50E9" w:rsidRPr="003E50E9">
        <w:rPr>
          <w:iCs/>
        </w:rPr>
        <w:t xml:space="preserve"> Ministra Infrastruktury i Rozwoju z dnia 9 grudnia 2014 r. w sprawie szczegółowych warunków bezpiecznego uprawiania żeglugi przez statki morskie</w:t>
      </w:r>
      <w:r w:rsidR="00881F0B">
        <w:rPr>
          <w:iCs/>
        </w:rPr>
        <w:t xml:space="preserve"> </w:t>
      </w:r>
      <w:r w:rsidR="006C64D0">
        <w:rPr>
          <w:iCs/>
        </w:rPr>
        <w:t>(Dz. U. z </w:t>
      </w:r>
      <w:r w:rsidR="003E50E9" w:rsidRPr="003E50E9">
        <w:rPr>
          <w:iCs/>
        </w:rPr>
        <w:t>2015 r. poz. 48)</w:t>
      </w:r>
      <w:r w:rsidR="003C0EB1">
        <w:rPr>
          <w:iCs/>
        </w:rPr>
        <w:t>.</w:t>
      </w:r>
    </w:p>
    <w:p w:rsidR="00D12655" w:rsidRDefault="003E50E9" w:rsidP="00EB0C12">
      <w:pPr>
        <w:pStyle w:val="NIEARTTEKSTtekstnieartykuowanynppodstprawnarozplubpreambua"/>
      </w:pPr>
      <w:r w:rsidRPr="003E50E9">
        <w:t xml:space="preserve">Projekt </w:t>
      </w:r>
      <w:r w:rsidR="00F80DE3">
        <w:t xml:space="preserve">ustawy </w:t>
      </w:r>
      <w:r w:rsidRPr="003E50E9">
        <w:t>ma na celu</w:t>
      </w:r>
      <w:r w:rsidR="00C620F9">
        <w:t xml:space="preserve"> </w:t>
      </w:r>
      <w:r w:rsidRPr="003E50E9">
        <w:t xml:space="preserve">zapewnienie jednolitego i zharmonizowanego stosowania zasad w zakresie przeprowadzania </w:t>
      </w:r>
      <w:r w:rsidR="00D12655">
        <w:t xml:space="preserve">przeglądów i </w:t>
      </w:r>
      <w:r w:rsidRPr="003E50E9">
        <w:t xml:space="preserve">inspekcji na statkach </w:t>
      </w:r>
      <w:r w:rsidR="00D12655" w:rsidRPr="003E50E9">
        <w:t xml:space="preserve">pasażerskich typu ro-ro </w:t>
      </w:r>
      <w:r w:rsidR="003C0EB1">
        <w:t>oraz szybkich statkach</w:t>
      </w:r>
      <w:r w:rsidR="00D12655">
        <w:t xml:space="preserve"> pasażerskich </w:t>
      </w:r>
      <w:r w:rsidR="00D12655" w:rsidRPr="003E50E9">
        <w:t>w żegludze na linii</w:t>
      </w:r>
      <w:r w:rsidR="00D12655">
        <w:t xml:space="preserve"> regularnej oraz pełnego włączenia inspekcji przeprowadzanych na tego typu statkach w system inspekcji przeprowadzanych przez państwo portu.</w:t>
      </w:r>
    </w:p>
    <w:p w:rsidR="00500860" w:rsidRDefault="001A01C3" w:rsidP="00F56F1B">
      <w:pPr>
        <w:pStyle w:val="ARTartustawynprozporzdzenia"/>
        <w:rPr>
          <w:rFonts w:eastAsia="Times New Roman"/>
          <w:sz w:val="20"/>
        </w:rPr>
      </w:pPr>
      <w:r>
        <w:t xml:space="preserve">Wszystkie proponowane w projekcie ustawy zmiany </w:t>
      </w:r>
      <w:r w:rsidR="007B0641">
        <w:t xml:space="preserve">przepisów UBM </w:t>
      </w:r>
      <w:r>
        <w:t>przyczynią się, zgodnie z duchem dyrektyw, do zwiększenia bezpieczeństwa morskiego oraz uproszczenia i ujednolicenia przepisów w tym zakresie.</w:t>
      </w:r>
      <w:r w:rsidR="00F80DE3" w:rsidRPr="00F80DE3">
        <w:rPr>
          <w:rFonts w:eastAsia="Times New Roman"/>
          <w:sz w:val="20"/>
        </w:rPr>
        <w:t xml:space="preserve"> </w:t>
      </w:r>
    </w:p>
    <w:p w:rsidR="003A3A7F" w:rsidRPr="00F80DE3" w:rsidRDefault="003A3A7F" w:rsidP="00E47C56">
      <w:pPr>
        <w:pStyle w:val="ARTartustawynprozporzdzenia"/>
        <w:keepNext/>
        <w:keepLines/>
        <w:jc w:val="center"/>
        <w:rPr>
          <w:b/>
        </w:rPr>
      </w:pPr>
      <w:r w:rsidRPr="00F80DE3">
        <w:rPr>
          <w:b/>
        </w:rPr>
        <w:lastRenderedPageBreak/>
        <w:t>Szczegółowe omówienie projektowanych zmian</w:t>
      </w:r>
    </w:p>
    <w:p w:rsidR="00990E58" w:rsidRDefault="00990E58" w:rsidP="005907D5">
      <w:pPr>
        <w:pStyle w:val="NIEARTTEKSTtekstnieartykuowanynppodstprawnarozplubpreambua"/>
      </w:pPr>
      <w:r>
        <w:t xml:space="preserve">Zmiana w odnośniku nr 1 do </w:t>
      </w:r>
      <w:r w:rsidR="00BA11F5">
        <w:t>UBM</w:t>
      </w:r>
      <w:r>
        <w:t xml:space="preserve"> </w:t>
      </w:r>
      <w:r w:rsidR="00794765">
        <w:t>wiąże</w:t>
      </w:r>
      <w:r>
        <w:t xml:space="preserve"> się z potrzebą wskazania</w:t>
      </w:r>
      <w:r w:rsidR="00E5673B">
        <w:t>, że przepisy UBM po zmianach będą dokonywać</w:t>
      </w:r>
      <w:r>
        <w:t xml:space="preserve"> </w:t>
      </w:r>
      <w:r w:rsidR="00794765">
        <w:t>transpozycji</w:t>
      </w:r>
      <w:r>
        <w:t xml:space="preserve"> do krajowego porządku prawnego dyrektywy 2017/2109</w:t>
      </w:r>
      <w:r w:rsidR="00FF3B9A">
        <w:t>/UE</w:t>
      </w:r>
      <w:r>
        <w:t xml:space="preserve"> oraz </w:t>
      </w:r>
      <w:r w:rsidR="002105EA">
        <w:t xml:space="preserve">dyrektywy </w:t>
      </w:r>
      <w:r>
        <w:t>2017/2110</w:t>
      </w:r>
      <w:r w:rsidR="00FF3B9A">
        <w:t>/UE</w:t>
      </w:r>
      <w:r>
        <w:t>.</w:t>
      </w:r>
    </w:p>
    <w:p w:rsidR="00E47C56" w:rsidRDefault="00D12655" w:rsidP="00E47C56">
      <w:pPr>
        <w:pStyle w:val="NIEARTTEKSTtekstnieartykuowanynppodstprawnarozplubpreambua"/>
      </w:pPr>
      <w:r>
        <w:t xml:space="preserve">System inspekcji na </w:t>
      </w:r>
      <w:r w:rsidRPr="00D12655">
        <w:t xml:space="preserve">statkach pasażerskich typu ro-ro </w:t>
      </w:r>
      <w:r>
        <w:t>oraz szybkich statkach</w:t>
      </w:r>
      <w:r w:rsidRPr="00D12655">
        <w:t xml:space="preserve"> pasażerskich w żegludze na linii regularnej</w:t>
      </w:r>
      <w:r>
        <w:t xml:space="preserve"> obejmuje coroczne inspekcje wykonywane</w:t>
      </w:r>
      <w:r w:rsidR="00C620F9">
        <w:t xml:space="preserve"> </w:t>
      </w:r>
      <w:r>
        <w:t>w</w:t>
      </w:r>
      <w:r w:rsidR="00F14EA2">
        <w:t> </w:t>
      </w:r>
      <w:r>
        <w:t xml:space="preserve">trakcie uprawiania żeglugi. Stąd konieczna jest zmiana </w:t>
      </w:r>
      <w:r w:rsidRPr="00D12655">
        <w:t xml:space="preserve">w art. 3 </w:t>
      </w:r>
      <w:r w:rsidR="00E84DB3">
        <w:t>UBM</w:t>
      </w:r>
      <w:r>
        <w:t xml:space="preserve">, która ma na celu umożliwienie przeprowadzania przez organ inspekcyjny inspekcji w trakcie trwania </w:t>
      </w:r>
      <w:r w:rsidR="00E20DFA">
        <w:t>podróży</w:t>
      </w:r>
      <w:r w:rsidR="00F14EA2">
        <w:t>, także poza polskimi obszarami morskimi</w:t>
      </w:r>
      <w:r>
        <w:t>.</w:t>
      </w:r>
    </w:p>
    <w:p w:rsidR="00E84DB3" w:rsidRDefault="00D12655" w:rsidP="00E47C56">
      <w:pPr>
        <w:pStyle w:val="NIEARTTEKSTtekstnieartykuowanynppodstprawnarozplubpreambua"/>
      </w:pPr>
      <w:r>
        <w:t xml:space="preserve">Projektowane zmiany w art. 5 </w:t>
      </w:r>
      <w:r w:rsidR="00E84DB3">
        <w:t>UBM</w:t>
      </w:r>
      <w:r w:rsidR="00C620F9">
        <w:t xml:space="preserve"> </w:t>
      </w:r>
      <w:r>
        <w:t xml:space="preserve">mają na celu </w:t>
      </w:r>
      <w:r w:rsidR="00641F50">
        <w:t xml:space="preserve">dostosowanie i ujednolicenie słownictwa. Potrzebne będą zmiany </w:t>
      </w:r>
      <w:r w:rsidR="000633F4">
        <w:t xml:space="preserve">(albo wprowadzenie) </w:t>
      </w:r>
      <w:r w:rsidR="00641F50">
        <w:t>definicji statku pasażerskiego</w:t>
      </w:r>
      <w:r w:rsidRPr="00D12655">
        <w:t xml:space="preserve"> typu ro-ro</w:t>
      </w:r>
      <w:r w:rsidR="00641F50">
        <w:t xml:space="preserve">, </w:t>
      </w:r>
      <w:r w:rsidRPr="00D12655">
        <w:t>szybki</w:t>
      </w:r>
      <w:r w:rsidR="00641F50">
        <w:t>ego</w:t>
      </w:r>
      <w:r w:rsidR="00C620F9">
        <w:t xml:space="preserve"> </w:t>
      </w:r>
      <w:r w:rsidR="00641F50" w:rsidRPr="00D12655">
        <w:t>statku</w:t>
      </w:r>
      <w:r w:rsidRPr="00D12655">
        <w:t xml:space="preserve"> pasażerski</w:t>
      </w:r>
      <w:r w:rsidR="00641F50">
        <w:t xml:space="preserve">ego, </w:t>
      </w:r>
      <w:r w:rsidRPr="00D12655">
        <w:t>żeglu</w:t>
      </w:r>
      <w:r w:rsidR="00641F50">
        <w:t>gi na linii regularnej,</w:t>
      </w:r>
      <w:r w:rsidR="00F14EA2">
        <w:t xml:space="preserve"> a także</w:t>
      </w:r>
      <w:r w:rsidR="00443006">
        <w:t xml:space="preserve"> </w:t>
      </w:r>
      <w:r w:rsidR="003B68FC">
        <w:t>systemu</w:t>
      </w:r>
      <w:r w:rsidRPr="00D12655">
        <w:t xml:space="preserve"> THETIS</w:t>
      </w:r>
      <w:r w:rsidR="00F14EA2">
        <w:t xml:space="preserve"> EU</w:t>
      </w:r>
      <w:r w:rsidR="00443006">
        <w:t>,</w:t>
      </w:r>
      <w:r w:rsidR="00F14EA2">
        <w:t xml:space="preserve"> do którego </w:t>
      </w:r>
      <w:r w:rsidR="0040455D">
        <w:t xml:space="preserve">będą </w:t>
      </w:r>
      <w:r w:rsidR="00F14EA2">
        <w:t>rapor</w:t>
      </w:r>
      <w:r w:rsidR="00C4593A">
        <w:t>towane wyniki inspekcji stat</w:t>
      </w:r>
      <w:r w:rsidR="00F14EA2">
        <w:t>ków pasażerskich w</w:t>
      </w:r>
      <w:r w:rsidR="006C0C50">
        <w:t> </w:t>
      </w:r>
      <w:r w:rsidR="00F14EA2">
        <w:t>żegludze krajowej</w:t>
      </w:r>
      <w:r w:rsidR="00641F50">
        <w:t>. W związku z</w:t>
      </w:r>
      <w:r w:rsidR="003B68FC">
        <w:t> </w:t>
      </w:r>
      <w:r w:rsidR="00641F50" w:rsidRPr="00641F50">
        <w:t>uchyl</w:t>
      </w:r>
      <w:r w:rsidR="00641F50">
        <w:t xml:space="preserve">eniem dyrektywy </w:t>
      </w:r>
      <w:r w:rsidR="00641F50" w:rsidRPr="00641F50">
        <w:t>1999/35/WE</w:t>
      </w:r>
      <w:r w:rsidR="00641F50">
        <w:t xml:space="preserve"> </w:t>
      </w:r>
      <w:r w:rsidRPr="00D12655">
        <w:t xml:space="preserve">uchyla się </w:t>
      </w:r>
      <w:r w:rsidR="00641F50">
        <w:t>definicję zakazu używania statku.</w:t>
      </w:r>
    </w:p>
    <w:p w:rsidR="00C54736" w:rsidRPr="00C54736" w:rsidRDefault="00641F50" w:rsidP="00983CAF">
      <w:pPr>
        <w:pStyle w:val="NIEARTTEKSTtekstnieartykuowanynppodstprawnarozplubpreambua"/>
      </w:pPr>
      <w:r>
        <w:t xml:space="preserve">Projektowane zmiany w art. </w:t>
      </w:r>
      <w:r w:rsidR="00D12655" w:rsidRPr="00D12655">
        <w:t>20</w:t>
      </w:r>
      <w:r w:rsidR="006C0C50">
        <w:t xml:space="preserve"> </w:t>
      </w:r>
      <w:r w:rsidR="00E84DB3">
        <w:t xml:space="preserve">UBM </w:t>
      </w:r>
      <w:r>
        <w:t xml:space="preserve">mają na celu zharmonizowanie systemu inspekcji </w:t>
      </w:r>
      <w:r w:rsidR="00487A73">
        <w:t>na statkach</w:t>
      </w:r>
      <w:r>
        <w:t xml:space="preserve"> pasażerskich w żegludze krajowej i umożliwienie łączenia inspekcji przeprowadzany</w:t>
      </w:r>
      <w:r w:rsidR="00B3081E">
        <w:t>ch</w:t>
      </w:r>
      <w:r>
        <w:t xml:space="preserve"> na tych statkach zgodnie z dyrektywą 2017/2010/UE z </w:t>
      </w:r>
      <w:r w:rsidR="003B68FC">
        <w:t>przeglądami i</w:t>
      </w:r>
      <w:r w:rsidR="00F14EA2">
        <w:t> </w:t>
      </w:r>
      <w:r>
        <w:t xml:space="preserve">inspekcjami państwa bandery. </w:t>
      </w:r>
      <w:r w:rsidR="00E84DB3">
        <w:t>Z uwagi na fakt, że delegacja do wydania rozporządzenia zawarta w art. 23 ust. 4 UBM przewiduje określenie terminów</w:t>
      </w:r>
      <w:r w:rsidR="00E84DB3" w:rsidRPr="00E84DB3">
        <w:t xml:space="preserve"> przeprowadzania poszczególnych rodzajów inspekcji i audytów</w:t>
      </w:r>
      <w:r w:rsidR="00E84DB3">
        <w:t>, zrezygnowa</w:t>
      </w:r>
      <w:r w:rsidR="00E5673B">
        <w:t>no ze szczegółowych przepisów w </w:t>
      </w:r>
      <w:r w:rsidR="00E84DB3">
        <w:t xml:space="preserve">tym zakresie w UBM. </w:t>
      </w:r>
      <w:r w:rsidR="00C54736">
        <w:t xml:space="preserve">Katalog obowiązkowych inspekcji został rozszerzony o inspekcję </w:t>
      </w:r>
      <w:r w:rsidR="00E5673B">
        <w:t>w </w:t>
      </w:r>
      <w:r w:rsidR="00C54736" w:rsidRPr="00C54736">
        <w:t>trakcie uprawiania żeglugi na linii regularnej</w:t>
      </w:r>
      <w:r w:rsidR="00C54736">
        <w:t>, która będzie przeprowadzana</w:t>
      </w:r>
      <w:r w:rsidR="00C54736" w:rsidRPr="00C54736">
        <w:t xml:space="preserve"> w trakcie podróży na statkach pasażerskich typu ro-ro i szybkich statkach pasażerskich</w:t>
      </w:r>
      <w:r w:rsidR="00C54736">
        <w:t xml:space="preserve"> zgodnie z art. </w:t>
      </w:r>
      <w:r w:rsidR="00983CAF">
        <w:t>5</w:t>
      </w:r>
      <w:r w:rsidR="00011DA9">
        <w:t xml:space="preserve"> ust. </w:t>
      </w:r>
      <w:r w:rsidR="00983CAF">
        <w:t>1 lit</w:t>
      </w:r>
      <w:r w:rsidR="002C66D6">
        <w:t>.</w:t>
      </w:r>
      <w:r w:rsidR="00983CAF">
        <w:t xml:space="preserve"> b dyrektywy 2017/2110</w:t>
      </w:r>
      <w:r w:rsidR="00FF3B9A">
        <w:t>/UE</w:t>
      </w:r>
      <w:r w:rsidR="00983CAF">
        <w:t>. Mając na uwadze zakres stosowania określony w art. 1 ww.</w:t>
      </w:r>
      <w:r w:rsidR="00C54736" w:rsidRPr="00C54736">
        <w:t xml:space="preserve"> </w:t>
      </w:r>
      <w:r w:rsidR="00983CAF">
        <w:t xml:space="preserve">dyrektywy, inspekcja  w trakcie uprawiania żeglugi na linii regularnej będzie przeprowadzana na statkach o polskiej przynależności </w:t>
      </w:r>
      <w:r w:rsidR="00C54736" w:rsidRPr="00C54736">
        <w:t>uprawiających żeglugę:</w:t>
      </w:r>
    </w:p>
    <w:p w:rsidR="00C54736" w:rsidRPr="00C54736" w:rsidRDefault="00C54736" w:rsidP="00715058">
      <w:pPr>
        <w:pStyle w:val="NIEARTTEKSTtekstnieartykuowanynppodstprawnarozplubpreambua"/>
        <w:numPr>
          <w:ilvl w:val="0"/>
          <w:numId w:val="11"/>
        </w:numPr>
      </w:pPr>
      <w:r w:rsidRPr="00C54736">
        <w:t>między portem na terytorium Rzeczypospolitej Polskiej a portem leżącym na terytorium państwa trzeciego albo</w:t>
      </w:r>
    </w:p>
    <w:p w:rsidR="00990E58" w:rsidRDefault="00C54736" w:rsidP="00715058">
      <w:pPr>
        <w:pStyle w:val="NIEARTTEKSTtekstnieartykuowanynppodstprawnarozplubpreambua"/>
        <w:numPr>
          <w:ilvl w:val="0"/>
          <w:numId w:val="11"/>
        </w:numPr>
      </w:pPr>
      <w:r w:rsidRPr="00C54736">
        <w:t>na obszarach morskich Rzeczypospolitej Polskiej, na których mogą pływać statki pasażerskie klasy A zgodnie z przepisami wydanymi na podstawie art. 86 ust. 10</w:t>
      </w:r>
      <w:r w:rsidR="00983CAF">
        <w:t xml:space="preserve"> </w:t>
      </w:r>
      <w:r w:rsidR="000A4A49">
        <w:t>UBM</w:t>
      </w:r>
      <w:r w:rsidR="00983CAF">
        <w:t xml:space="preserve">, </w:t>
      </w:r>
      <w:r w:rsidR="00D71436">
        <w:br/>
      </w:r>
      <w:r w:rsidR="00983CAF">
        <w:t>a zatem na statkach pasażerskich typu ro-ro i szybkich statkach pasażerskich, na których nie będzie</w:t>
      </w:r>
      <w:r w:rsidR="00D71436">
        <w:t xml:space="preserve"> </w:t>
      </w:r>
      <w:r w:rsidR="00983CAF">
        <w:t>ona przeprowadzana przez inspekcję państwa portu.</w:t>
      </w:r>
    </w:p>
    <w:p w:rsidR="00E47C56" w:rsidRDefault="009A08C2" w:rsidP="00E47C56">
      <w:pPr>
        <w:pStyle w:val="NIEARTTEKSTtekstnieartykuowanynppodstprawnarozplubpreambua"/>
      </w:pPr>
      <w:r w:rsidRPr="00990E58">
        <w:lastRenderedPageBreak/>
        <w:t xml:space="preserve">Zmiana polegająca na dodaniu </w:t>
      </w:r>
      <w:r>
        <w:t>ust. 2a w art. 23</w:t>
      </w:r>
      <w:r w:rsidRPr="00990E58">
        <w:t xml:space="preserve"> UBM ma na celu uregulowanie sytuacji, </w:t>
      </w:r>
      <w:r w:rsidR="00742649">
        <w:t>w której</w:t>
      </w:r>
      <w:r w:rsidRPr="00990E58">
        <w:t xml:space="preserve"> konsul działa jako organ inspekcyjny. W takim przypadku </w:t>
      </w:r>
      <w:r>
        <w:t>k</w:t>
      </w:r>
      <w:r w:rsidRPr="00990E58">
        <w:t xml:space="preserve">onsul pobiera opłatę zgodnie z przepisami wydanymi na podstawie art. 118 ustawy z dnia 25 czerwca 2015 r. </w:t>
      </w:r>
      <w:r w:rsidR="006312E6">
        <w:t>–</w:t>
      </w:r>
      <w:r w:rsidRPr="00990E58">
        <w:t xml:space="preserve"> Prawo konsularne (Dz. U. </w:t>
      </w:r>
      <w:r w:rsidR="002C66D6">
        <w:t xml:space="preserve"> z 2018 r. poz. 2141 oraz z 2019 r. poz. 60).</w:t>
      </w:r>
      <w:r>
        <w:t xml:space="preserve"> </w:t>
      </w:r>
    </w:p>
    <w:p w:rsidR="00E47C56" w:rsidRDefault="00E84DB3" w:rsidP="00E47C56">
      <w:pPr>
        <w:pStyle w:val="NIEARTTEKSTtekstnieartykuowanynppodstprawnarozplubpreambua"/>
      </w:pPr>
      <w:r w:rsidRPr="00E84DB3">
        <w:t xml:space="preserve">Projektowane zmiany w art. </w:t>
      </w:r>
      <w:r>
        <w:t>25</w:t>
      </w:r>
      <w:r w:rsidRPr="00E84DB3">
        <w:t xml:space="preserve"> UBM mają na celu</w:t>
      </w:r>
      <w:r>
        <w:t xml:space="preserve"> wskazanie, że choć statki pasażerskie typu ro-ro oraz szybkie statki pasażerskie jako jedyny rodzaj statku</w:t>
      </w:r>
      <w:r w:rsidR="000119BA">
        <w:t xml:space="preserve"> </w:t>
      </w:r>
      <w:r>
        <w:t>podlegają 2 i</w:t>
      </w:r>
      <w:r w:rsidR="00D71436">
        <w:t xml:space="preserve">nspekcjom w ciągu jednego roku, </w:t>
      </w:r>
      <w:r>
        <w:t xml:space="preserve">to przeglądy na tych statkach odbywają się jeden raz w roku. </w:t>
      </w:r>
    </w:p>
    <w:p w:rsidR="00D71436" w:rsidRPr="00D71436" w:rsidRDefault="00D71436" w:rsidP="00E47C56">
      <w:pPr>
        <w:pStyle w:val="NIEARTTEKSTtekstnieartykuowanynppodstprawnarozplubpreambua"/>
      </w:pPr>
      <w:r>
        <w:t>N</w:t>
      </w:r>
      <w:r w:rsidRPr="00D71436">
        <w:t>ależy zauważyć, że</w:t>
      </w:r>
      <w:r w:rsidR="000D2F85">
        <w:t>:</w:t>
      </w:r>
    </w:p>
    <w:p w:rsidR="00D71436" w:rsidRDefault="00D71436" w:rsidP="00715058">
      <w:pPr>
        <w:pStyle w:val="ARTartustawynprozporzdzenia"/>
        <w:numPr>
          <w:ilvl w:val="0"/>
          <w:numId w:val="13"/>
        </w:numPr>
      </w:pPr>
      <w:r w:rsidRPr="00D71436">
        <w:t xml:space="preserve">zgodnie z art. 20 ust. 1 pkt 2 </w:t>
      </w:r>
      <w:r>
        <w:t>UBM</w:t>
      </w:r>
      <w:r w:rsidRPr="00D71436">
        <w:t xml:space="preserve"> statki pasażerskie typu ro-ro oraz szybkie statki pasażerskie</w:t>
      </w:r>
      <w:r w:rsidRPr="00D71436">
        <w:rPr>
          <w:b/>
        </w:rPr>
        <w:t xml:space="preserve"> </w:t>
      </w:r>
      <w:r w:rsidRPr="00D71436">
        <w:t>podlegają inspekcjom rocznym, które zgodnie z art. 25 ust. 1 UBM muszą być poprzedzone przeglądem technicznym przeprowadzonym przez uznaną organizację sprawującą nadzór techniczny nad statkiem, a zatem świadectwo klasy, o którym mowa  w art. 25 ust. 3 UBM, nie może być wydane na okres dłuższy niż 1 rok;</w:t>
      </w:r>
    </w:p>
    <w:p w:rsidR="00D71436" w:rsidRDefault="00D71436" w:rsidP="00715058">
      <w:pPr>
        <w:pStyle w:val="ARTartustawynprozporzdzenia"/>
        <w:numPr>
          <w:ilvl w:val="0"/>
          <w:numId w:val="13"/>
        </w:numPr>
      </w:pPr>
      <w:r w:rsidRPr="00D71436">
        <w:t>statki pasażerskie typu ro-ro oraz szybkie statki pasażerskie jako jedyny typ statków podlegają więcej niż jednej inspekcji obowiązkowej w okresie jednego roku, bowiem prócz inspekcji na lądzie podlegają obowiązkowym inspekcjom w trakcie uprawiania żeglugi na linii regularnej (projektowany art. 20 ust. 1 pkt 6</w:t>
      </w:r>
      <w:r w:rsidR="00FE02BD">
        <w:t xml:space="preserve"> UBM</w:t>
      </w:r>
      <w:r w:rsidRPr="00D71436">
        <w:t>), które mogą odbywać się w okresie nie krótszym niż 4 miesięcy i nie dłuższym niż 8 miesięcy po inspekcji rocznej;</w:t>
      </w:r>
    </w:p>
    <w:p w:rsidR="003A3A7F" w:rsidRDefault="00D71436" w:rsidP="00715058">
      <w:pPr>
        <w:pStyle w:val="ARTartustawynprozporzdzenia"/>
        <w:numPr>
          <w:ilvl w:val="0"/>
          <w:numId w:val="13"/>
        </w:numPr>
      </w:pPr>
      <w:r w:rsidRPr="00D71436">
        <w:t xml:space="preserve">intencją </w:t>
      </w:r>
      <w:r w:rsidR="007C14F7">
        <w:t>projektodawcy</w:t>
      </w:r>
      <w:r w:rsidRPr="00D71436">
        <w:t xml:space="preserve"> było wskazanie, że statki pasażerskie typu ro-ro oraz szybkie statki pasażerskie podlegają, tak jak inne statki, jednemu przeglądowi technicznemu w ciągu roku, a zatem nie ma obowiązku przeprowadzenia dodatkowego przeglądu technicznego poprzedzającego inspekcję w trakcie uprawiania żeglugi na linii regularnej.</w:t>
      </w:r>
    </w:p>
    <w:p w:rsidR="00E47C56" w:rsidRDefault="00641F50" w:rsidP="00E47C56">
      <w:pPr>
        <w:pStyle w:val="NIEARTTEKSTtekstnieartykuowanynppodstprawnarozplubpreambua"/>
      </w:pPr>
      <w:r>
        <w:t xml:space="preserve">Zmiany w art. 27 </w:t>
      </w:r>
      <w:r w:rsidR="00E84DB3">
        <w:t>UBM</w:t>
      </w:r>
      <w:r w:rsidR="00C620F9">
        <w:t xml:space="preserve"> </w:t>
      </w:r>
      <w:r>
        <w:t>dotyczą sytuacji, w</w:t>
      </w:r>
      <w:r w:rsidR="003B68FC">
        <w:t> </w:t>
      </w:r>
      <w:r>
        <w:t xml:space="preserve">których podczas </w:t>
      </w:r>
      <w:r w:rsidR="00D12655" w:rsidRPr="00D12655">
        <w:t xml:space="preserve">inspekcji </w:t>
      </w:r>
      <w:r>
        <w:t>stwierdzono,</w:t>
      </w:r>
      <w:r w:rsidR="00D12655" w:rsidRPr="00D12655">
        <w:t xml:space="preserve"> że stan statku lub sposób jego załadowania stwarza zagrożenie dla bezpieczeństwa na morzu, poważne zagrożenie dla zdrowia, życia lub środowiska morskiego, albo warunki pracy lub życia marynarzy nie spełniają wymagań określonych w Konwencji</w:t>
      </w:r>
      <w:r w:rsidR="00C620F9">
        <w:t xml:space="preserve"> </w:t>
      </w:r>
      <w:r w:rsidR="008E6317">
        <w:t>o</w:t>
      </w:r>
      <w:r w:rsidR="003B68FC">
        <w:t> </w:t>
      </w:r>
      <w:r w:rsidR="008E6317">
        <w:t xml:space="preserve">pracy na morzu (Konwencji </w:t>
      </w:r>
      <w:r w:rsidR="00D12655" w:rsidRPr="00D12655">
        <w:t>MLC</w:t>
      </w:r>
      <w:r w:rsidR="008E6317">
        <w:t>)</w:t>
      </w:r>
      <w:r w:rsidR="008E086C">
        <w:t>. Organ inspekcyjny wydaje decyzję o</w:t>
      </w:r>
      <w:r w:rsidR="003B68FC">
        <w:t> </w:t>
      </w:r>
      <w:r w:rsidR="008E086C">
        <w:t xml:space="preserve">zatrzymaniu statku, która może zostać </w:t>
      </w:r>
      <w:r w:rsidR="00D12655" w:rsidRPr="00D12655">
        <w:t>zniesiona dopiero wtedy, gdy nieprawidłowości i zagrożenia zostaną usunięte lub organ inspekcyjny stwierdzi, że statek lub jednostka może,</w:t>
      </w:r>
      <w:r w:rsidR="00C620F9">
        <w:t xml:space="preserve"> </w:t>
      </w:r>
      <w:r w:rsidR="00D12655" w:rsidRPr="00D12655">
        <w:t>z</w:t>
      </w:r>
      <w:r w:rsidR="003B68FC">
        <w:t> </w:t>
      </w:r>
      <w:r w:rsidR="00D12655" w:rsidRPr="00D12655">
        <w:t>zastrzeżeniem wszelkich niezbędnych warunków, wypłynąć w morze lub jego eksploatacja może zostać wznowiona bez zagrożenia dla bezpieczeństwa i zdrowia pasażerów lub załogi, lub zagrożenia dla statku pasażerskiego typu ro-ro lub szybkiej jednostki pasażerskiej, lub dla innych statków.</w:t>
      </w:r>
      <w:r w:rsidR="008E086C">
        <w:t xml:space="preserve"> Przepisy </w:t>
      </w:r>
      <w:r w:rsidR="008E086C">
        <w:lastRenderedPageBreak/>
        <w:t>przewidują też możliwość zezwolenia</w:t>
      </w:r>
      <w:r w:rsidR="00D12655" w:rsidRPr="00D12655">
        <w:t xml:space="preserve"> na przepłynięcie </w:t>
      </w:r>
      <w:r w:rsidR="008E086C">
        <w:t xml:space="preserve">statku </w:t>
      </w:r>
      <w:r w:rsidR="00D12655" w:rsidRPr="00D12655">
        <w:t xml:space="preserve">do </w:t>
      </w:r>
      <w:r w:rsidR="008E086C">
        <w:t>odpowiedniej stoczni remontowej lub wydania zgody</w:t>
      </w:r>
      <w:r w:rsidR="00D12655" w:rsidRPr="00D12655">
        <w:t xml:space="preserve"> na przemieszczenie zatrzymaneg</w:t>
      </w:r>
      <w:r w:rsidR="008E086C">
        <w:t xml:space="preserve">o statku do innej części portu w celu zmniejszenia </w:t>
      </w:r>
      <w:r w:rsidR="00D12655" w:rsidRPr="00D12655">
        <w:t>istniejącego lub mogącego powstać zatłoczenia</w:t>
      </w:r>
      <w:r w:rsidR="00CC2158">
        <w:t xml:space="preserve">. Na </w:t>
      </w:r>
      <w:r w:rsidR="00CC2158" w:rsidRPr="00CC2158">
        <w:t xml:space="preserve">podmiot zarządzający portem </w:t>
      </w:r>
      <w:r w:rsidR="00CC2158">
        <w:t xml:space="preserve">został nałożony obowiązek współpracy </w:t>
      </w:r>
      <w:r w:rsidR="003E72AA">
        <w:t>w celu</w:t>
      </w:r>
      <w:r w:rsidR="00CC2158">
        <w:t xml:space="preserve"> </w:t>
      </w:r>
      <w:r w:rsidR="00CC2158" w:rsidRPr="00CC2158">
        <w:t>ułatwia</w:t>
      </w:r>
      <w:r w:rsidR="00CC2158">
        <w:t>nia działań</w:t>
      </w:r>
      <w:r w:rsidR="00CC2158" w:rsidRPr="00CC2158">
        <w:t xml:space="preserve"> zmierzają</w:t>
      </w:r>
      <w:r w:rsidR="00CC2158">
        <w:t>cych</w:t>
      </w:r>
      <w:r w:rsidR="00CC2158" w:rsidRPr="00CC2158">
        <w:t xml:space="preserve"> do zmniejszenia zatłoczenia.</w:t>
      </w:r>
      <w:r w:rsidR="009A08C2">
        <w:t xml:space="preserve"> Może również zaistnieć potrzeba zawieszenia inspekcji statku (</w:t>
      </w:r>
      <w:r w:rsidR="0084710E">
        <w:t xml:space="preserve">projektowany </w:t>
      </w:r>
      <w:r w:rsidR="009A08C2">
        <w:t xml:space="preserve">art. 27 ust. 5 UBM). W takim przypadku zgodnie z </w:t>
      </w:r>
      <w:r w:rsidR="0084710E">
        <w:t xml:space="preserve">projektowanym </w:t>
      </w:r>
      <w:r w:rsidR="00E47C56">
        <w:t>art. 27 ust. </w:t>
      </w:r>
      <w:r w:rsidR="009A08C2">
        <w:t xml:space="preserve">6 UBM organ inspekcyjny wydaje decyzję o zatrzymaniu statku, a w konsekwencji zastosowanie będą miały również </w:t>
      </w:r>
      <w:r w:rsidR="0084710E">
        <w:t xml:space="preserve">projektowane </w:t>
      </w:r>
      <w:r w:rsidR="009A08C2">
        <w:t xml:space="preserve">przepisy art. 27a i 27b </w:t>
      </w:r>
      <w:r w:rsidR="0084710E">
        <w:t xml:space="preserve">UBM </w:t>
      </w:r>
      <w:r w:rsidR="009A08C2">
        <w:t>dotyczące konieczności przeprowadzeni</w:t>
      </w:r>
      <w:r w:rsidR="001C431E">
        <w:t>a</w:t>
      </w:r>
      <w:r w:rsidR="009A08C2">
        <w:t xml:space="preserve"> ponownej inspekcji po uiszczeniu przez armatora opłat związanych z inspekcją i postojem statku w porcie</w:t>
      </w:r>
      <w:r w:rsidR="00E95B88">
        <w:t>,</w:t>
      </w:r>
      <w:r w:rsidR="009A08C2">
        <w:t xml:space="preserve"> a także zamieszczenia odpowiednich informacji w bazie danych wyników inspekcji.</w:t>
      </w:r>
    </w:p>
    <w:p w:rsidR="00E47C56" w:rsidRDefault="00377962" w:rsidP="00E47C56">
      <w:pPr>
        <w:pStyle w:val="NIEARTTEKSTtekstnieartykuowanynppodstprawnarozplubpreambua"/>
      </w:pPr>
      <w:r>
        <w:t>Projektowany p</w:t>
      </w:r>
      <w:r w:rsidR="00CC2158">
        <w:t>rzepis</w:t>
      </w:r>
      <w:r w:rsidR="00C620F9">
        <w:t xml:space="preserve"> </w:t>
      </w:r>
      <w:r w:rsidR="00CC2158">
        <w:t>art.</w:t>
      </w:r>
      <w:r w:rsidR="006C0C50">
        <w:t xml:space="preserve"> </w:t>
      </w:r>
      <w:r w:rsidR="00CC2158">
        <w:t>27 ust. 9 UBM przewiduj</w:t>
      </w:r>
      <w:r>
        <w:t>e</w:t>
      </w:r>
      <w:r w:rsidR="00CC2158">
        <w:t xml:space="preserve"> również</w:t>
      </w:r>
      <w:r w:rsidR="00FA1477">
        <w:t xml:space="preserve">, w </w:t>
      </w:r>
      <w:r w:rsidR="00C620F9">
        <w:t>ślad</w:t>
      </w:r>
      <w:r w:rsidR="00FA1477">
        <w:t xml:space="preserve"> za preambułą do dyrektywy 2017/2010/UE</w:t>
      </w:r>
      <w:r w:rsidR="00CC2158">
        <w:t>, że p</w:t>
      </w:r>
      <w:r w:rsidR="00CC2158" w:rsidRPr="00CC2158">
        <w:t xml:space="preserve">rzy wykonywaniu </w:t>
      </w:r>
      <w:r w:rsidR="00CC2158">
        <w:t xml:space="preserve">swoich </w:t>
      </w:r>
      <w:r w:rsidR="00CC2158" w:rsidRPr="00CC2158">
        <w:t>obowiązków organ inspekcyjny podejmuje wszelkie środki, aby uniknąć bezpodstawnego zatrzymania lub opóźnienia statku w porcie. W</w:t>
      </w:r>
      <w:r w:rsidR="00E5673B">
        <w:t> </w:t>
      </w:r>
      <w:r w:rsidR="00CC2158" w:rsidRPr="00CC2158">
        <w:t xml:space="preserve">przypadku gdy statek jest bezpodstawnie zatrzymany lub opóźniony, armatorowi statku przysługuje odszkodowanie zgodnie z przepisami Kodeksu cywilnego. W </w:t>
      </w:r>
      <w:r w:rsidR="00CC2158">
        <w:t>takim przypadku</w:t>
      </w:r>
      <w:r w:rsidR="00C620F9">
        <w:t xml:space="preserve"> </w:t>
      </w:r>
      <w:r w:rsidR="00CC2158" w:rsidRPr="00CC2158">
        <w:t>ciężar dowodu spoczywa na armatorze statku.</w:t>
      </w:r>
    </w:p>
    <w:p w:rsidR="003A3A7F" w:rsidRDefault="00CC2158" w:rsidP="00E47C56">
      <w:pPr>
        <w:pStyle w:val="NIEARTTEKSTtekstnieartykuowanynppodstprawnarozplubpreambua"/>
      </w:pPr>
      <w:r>
        <w:t xml:space="preserve">Zgodnie z </w:t>
      </w:r>
      <w:r w:rsidR="00386A8B">
        <w:t xml:space="preserve">projektowanymi </w:t>
      </w:r>
      <w:r>
        <w:t xml:space="preserve">przepisami art. 27a UBM </w:t>
      </w:r>
      <w:r w:rsidRPr="00CC2158">
        <w:t> </w:t>
      </w:r>
      <w:r w:rsidR="008C3F53">
        <w:t>d</w:t>
      </w:r>
      <w:r w:rsidRPr="00CC2158">
        <w:t xml:space="preserve">ecyzję o zwolnieniu statku z zatrzymania oraz decyzję o cofnięciu wstrzymania operacji wydaje organ inspekcyjny po ponownej inspekcji </w:t>
      </w:r>
      <w:r w:rsidR="00E5673B">
        <w:t>i </w:t>
      </w:r>
      <w:r>
        <w:t xml:space="preserve">tylko, jeśli </w:t>
      </w:r>
      <w:r w:rsidRPr="00CC2158">
        <w:t>stwierdził usunięcie uchybień.</w:t>
      </w:r>
      <w:r w:rsidR="00B02DB2">
        <w:t xml:space="preserve"> </w:t>
      </w:r>
      <w:r w:rsidRPr="00CC2158">
        <w:t>Za przeprowadzenie ponownej inspekcji o</w:t>
      </w:r>
      <w:r>
        <w:t xml:space="preserve">rgan inspekcyjny pobiera opłatę, która stanowi </w:t>
      </w:r>
      <w:r w:rsidRPr="00CC2158">
        <w:t>dochód budżetu państwa.</w:t>
      </w:r>
      <w:r>
        <w:t xml:space="preserve"> Również k</w:t>
      </w:r>
      <w:r w:rsidRPr="00CC2158">
        <w:t>oszty postoju statku w porcie powstałe w związku z zatrzymaniem statku pokrywa armator</w:t>
      </w:r>
      <w:r>
        <w:t>.</w:t>
      </w:r>
    </w:p>
    <w:p w:rsidR="003A3A7F" w:rsidRDefault="008E086C">
      <w:pPr>
        <w:pStyle w:val="NIEARTTEKSTtekstnieartykuowanynppodstprawnarozplubpreambua"/>
      </w:pPr>
      <w:r>
        <w:t>System</w:t>
      </w:r>
      <w:r w:rsidR="00E20DFA">
        <w:t>y</w:t>
      </w:r>
      <w:r>
        <w:t xml:space="preserve"> THETIS</w:t>
      </w:r>
      <w:r w:rsidR="00E20DFA">
        <w:t xml:space="preserve"> i THETIS</w:t>
      </w:r>
      <w:r w:rsidR="00C14034">
        <w:t xml:space="preserve"> </w:t>
      </w:r>
      <w:r w:rsidR="00E20DFA">
        <w:t>EU</w:t>
      </w:r>
      <w:r>
        <w:t xml:space="preserve"> zostan</w:t>
      </w:r>
      <w:r w:rsidR="00E20DFA">
        <w:t>ą</w:t>
      </w:r>
      <w:r w:rsidR="00C620F9">
        <w:t xml:space="preserve"> </w:t>
      </w:r>
      <w:r w:rsidR="00E20DFA">
        <w:t>dostosowane przez</w:t>
      </w:r>
      <w:r>
        <w:t xml:space="preserve"> administratora, którym jest </w:t>
      </w:r>
      <w:r w:rsidR="00E20DFA">
        <w:t>Europejska Agencja Bezpieczeństwa Morskiego (EMSA)</w:t>
      </w:r>
      <w:r>
        <w:t>, tak aby odpowiadał</w:t>
      </w:r>
      <w:r w:rsidR="00E20DFA">
        <w:t>y</w:t>
      </w:r>
      <w:r>
        <w:t xml:space="preserve"> potrzebom gromadzenia i przekazywania informacji dotyczących inspekcji na statkach pasażerskich</w:t>
      </w:r>
      <w:r w:rsidR="0047346B">
        <w:t>,</w:t>
      </w:r>
      <w:r>
        <w:t xml:space="preserve"> oraz rozszerzon</w:t>
      </w:r>
      <w:r w:rsidR="00E20DFA">
        <w:t>e</w:t>
      </w:r>
      <w:r>
        <w:t xml:space="preserve"> o moduł dotyczący statków pasażerskich w żegludze krajowej, a na organ inspekcyjny zostaną nałożone nowe obowiązki </w:t>
      </w:r>
      <w:r w:rsidR="00B02DB2">
        <w:t>(</w:t>
      </w:r>
      <w:r w:rsidR="00CF14AA">
        <w:t xml:space="preserve">projektowany </w:t>
      </w:r>
      <w:r w:rsidR="00B02DB2">
        <w:t>art. 27</w:t>
      </w:r>
      <w:r w:rsidR="00CC2158">
        <w:t xml:space="preserve">b UBM) </w:t>
      </w:r>
      <w:r>
        <w:t xml:space="preserve">dotyczące </w:t>
      </w:r>
      <w:r w:rsidR="00D12655" w:rsidRPr="00D12655">
        <w:t>zamieszcza</w:t>
      </w:r>
      <w:r>
        <w:t>nia informacji</w:t>
      </w:r>
      <w:r w:rsidR="00C620F9">
        <w:t xml:space="preserve"> </w:t>
      </w:r>
      <w:r>
        <w:t>o</w:t>
      </w:r>
      <w:r w:rsidR="003B68FC">
        <w:t> </w:t>
      </w:r>
      <w:r w:rsidR="00D12655" w:rsidRPr="00D12655">
        <w:t>wynikach inspekcji statków  pasażerskich typu ro-ro i szybkich statków pasażerskich</w:t>
      </w:r>
      <w:r w:rsidR="00C620F9">
        <w:t xml:space="preserve"> </w:t>
      </w:r>
      <w:r w:rsidR="008E6317">
        <w:t>w</w:t>
      </w:r>
      <w:r w:rsidR="003B68FC">
        <w:t> </w:t>
      </w:r>
      <w:r w:rsidR="008E6317">
        <w:t xml:space="preserve">żegludze krajowej </w:t>
      </w:r>
      <w:r>
        <w:t xml:space="preserve">oraz </w:t>
      </w:r>
      <w:r w:rsidR="00D12655" w:rsidRPr="00D12655">
        <w:t>wydaniu decyzji o zatrzymaniu statku pasażerskiego typu ro-ro albo szybkiego statku pasażerskiego</w:t>
      </w:r>
      <w:r w:rsidR="00C620F9">
        <w:t xml:space="preserve"> </w:t>
      </w:r>
      <w:r w:rsidR="00D12655" w:rsidRPr="00D12655">
        <w:t xml:space="preserve">oraz o każdej </w:t>
      </w:r>
      <w:r>
        <w:t>zmianie dotyczącej tych decyzji, a także potwierdzania tych informacji w terminie 72 godzin.</w:t>
      </w:r>
      <w:r w:rsidR="00CC2158">
        <w:t xml:space="preserve"> Należy zauważyć, że system THETIS EU został również zdefiniowany w art. 4 pkt 9 ustawy </w:t>
      </w:r>
      <w:r w:rsidR="00E47C56">
        <w:t>z dnia 16 marca 1995 </w:t>
      </w:r>
      <w:r w:rsidR="00CC2158" w:rsidRPr="00CC2158">
        <w:t>r.</w:t>
      </w:r>
      <w:r w:rsidR="00C620F9">
        <w:t xml:space="preserve"> </w:t>
      </w:r>
      <w:r w:rsidR="00E5673B">
        <w:t>o </w:t>
      </w:r>
      <w:r w:rsidR="00CC2158">
        <w:t>zapobieganiu</w:t>
      </w:r>
      <w:r w:rsidR="00512E10">
        <w:t xml:space="preserve"> zanieczyszczaniu </w:t>
      </w:r>
      <w:r w:rsidR="00CC2158">
        <w:t xml:space="preserve">morza przez statki (Dz. U. z 2017 </w:t>
      </w:r>
      <w:r w:rsidR="0054446C">
        <w:t xml:space="preserve">r. </w:t>
      </w:r>
      <w:r w:rsidR="00CC2158">
        <w:t xml:space="preserve">poz. </w:t>
      </w:r>
      <w:r w:rsidR="00CC2158">
        <w:lastRenderedPageBreak/>
        <w:t xml:space="preserve">2000) </w:t>
      </w:r>
      <w:r w:rsidR="000668A9">
        <w:t>(</w:t>
      </w:r>
      <w:r w:rsidR="00CC2158">
        <w:t>d</w:t>
      </w:r>
      <w:r w:rsidR="00512E10">
        <w:t>alej: „UZZMPS”</w:t>
      </w:r>
      <w:r w:rsidR="000668A9">
        <w:t>)</w:t>
      </w:r>
      <w:r w:rsidR="00CC2158">
        <w:t xml:space="preserve">. Treść definicji </w:t>
      </w:r>
      <w:r w:rsidR="00512E10">
        <w:t>zawartych w UZZM</w:t>
      </w:r>
      <w:r w:rsidR="000668A9">
        <w:t>P</w:t>
      </w:r>
      <w:r w:rsidR="00512E10">
        <w:t xml:space="preserve">S i </w:t>
      </w:r>
      <w:r w:rsidR="000668A9">
        <w:t xml:space="preserve">w </w:t>
      </w:r>
      <w:r w:rsidR="003F4525">
        <w:t>projektowanym</w:t>
      </w:r>
      <w:r w:rsidR="000668A9">
        <w:t xml:space="preserve"> art. 5 pkt 26a </w:t>
      </w:r>
      <w:r w:rsidR="00512E10">
        <w:t>UBM nie została ujednolicona</w:t>
      </w:r>
      <w:r w:rsidR="000668A9">
        <w:t>,</w:t>
      </w:r>
      <w:r w:rsidR="00512E10">
        <w:t xml:space="preserve"> ponieważ definicja zawarta w UZZM</w:t>
      </w:r>
      <w:r w:rsidR="000668A9">
        <w:t>P</w:t>
      </w:r>
      <w:r w:rsidR="00512E10">
        <w:t>S odnosi się do obowiązków informacyjnych z zakresu ochrony środowiska zawartych w UZZM</w:t>
      </w:r>
      <w:r w:rsidR="000668A9">
        <w:t>P</w:t>
      </w:r>
      <w:r w:rsidR="00512E10">
        <w:t xml:space="preserve">S oraz </w:t>
      </w:r>
      <w:r w:rsidR="003A3A7F" w:rsidRPr="00222A3B">
        <w:t>ustaw</w:t>
      </w:r>
      <w:r w:rsidR="00512E10" w:rsidRPr="00512E10">
        <w:t>ie</w:t>
      </w:r>
      <w:r w:rsidR="00E47C56">
        <w:t xml:space="preserve"> z dnia 12 </w:t>
      </w:r>
      <w:r w:rsidR="00CC2158" w:rsidRPr="00CC2158">
        <w:t>września 2002 r. o portowych urządzeniach do odbioru odpadów oraz pozostałości ładunkowych ze statków</w:t>
      </w:r>
      <w:r w:rsidR="0054446C">
        <w:t xml:space="preserve"> (Dz. U. poz. 1361</w:t>
      </w:r>
      <w:r w:rsidR="00181086">
        <w:t>, z późn. zm.)</w:t>
      </w:r>
      <w:r w:rsidR="00512E10">
        <w:t xml:space="preserve">, a także </w:t>
      </w:r>
      <w:r w:rsidR="007738B9">
        <w:t xml:space="preserve">w </w:t>
      </w:r>
      <w:r w:rsidR="00512E10">
        <w:t>przepis</w:t>
      </w:r>
      <w:r w:rsidR="007738B9">
        <w:t>ach</w:t>
      </w:r>
      <w:r w:rsidR="00512E10">
        <w:t xml:space="preserve"> U</w:t>
      </w:r>
      <w:r w:rsidR="00831747">
        <w:t xml:space="preserve">nii </w:t>
      </w:r>
      <w:r w:rsidR="00512E10">
        <w:t>E</w:t>
      </w:r>
      <w:r w:rsidR="00831747">
        <w:t>uropejskiej</w:t>
      </w:r>
      <w:r w:rsidR="00512E10">
        <w:t xml:space="preserve"> dotyczących</w:t>
      </w:r>
      <w:r w:rsidR="00C620F9">
        <w:t xml:space="preserve"> </w:t>
      </w:r>
      <w:r w:rsidR="00CC2158" w:rsidRPr="00CC2158">
        <w:t>pobierania próbek i sprawozdawczości w zakresie zawartości siarki w paliwach żeglugowych oraz emisji dwutlen</w:t>
      </w:r>
      <w:r w:rsidR="00512E10">
        <w:t xml:space="preserve">ku węgla z transportu morskiego. Natomiast </w:t>
      </w:r>
      <w:r w:rsidR="003F4525">
        <w:t xml:space="preserve">projektowany art. 5 pkt 26a </w:t>
      </w:r>
      <w:r w:rsidR="00512E10">
        <w:t>UBM definiuje THETIS EU jako platformę</w:t>
      </w:r>
      <w:r w:rsidR="00C620F9">
        <w:t xml:space="preserve"> </w:t>
      </w:r>
      <w:r w:rsidR="00512E10">
        <w:t xml:space="preserve">służącą wymianie informacji i raportowaniu </w:t>
      </w:r>
      <w:r w:rsidR="00512E10" w:rsidRPr="00512E10">
        <w:t>o wynikach inspekcji i kontroli</w:t>
      </w:r>
      <w:r w:rsidR="00512E10">
        <w:t xml:space="preserve"> statków.</w:t>
      </w:r>
      <w:r w:rsidR="00C620F9">
        <w:t xml:space="preserve"> </w:t>
      </w:r>
      <w:r w:rsidR="003C0C81">
        <w:t>Mając na względzie, iż:</w:t>
      </w:r>
    </w:p>
    <w:p w:rsidR="003A3A7F" w:rsidRDefault="003C0C81" w:rsidP="00715058">
      <w:pPr>
        <w:pStyle w:val="NIEARTTEKSTtekstnieartykuowanynppodstprawnarozplubpreambua"/>
        <w:numPr>
          <w:ilvl w:val="0"/>
          <w:numId w:val="14"/>
        </w:numPr>
      </w:pPr>
      <w:r>
        <w:t>n</w:t>
      </w:r>
      <w:r w:rsidR="00512E10">
        <w:t>ie jest pewne, w jaki sposób systemy informacyjne, których administratorem jest EMSA</w:t>
      </w:r>
      <w:r w:rsidR="0052754C">
        <w:t>,</w:t>
      </w:r>
      <w:r w:rsidR="00512E10">
        <w:t xml:space="preserve"> będą</w:t>
      </w:r>
      <w:r w:rsidR="00C620F9">
        <w:t xml:space="preserve"> </w:t>
      </w:r>
      <w:r w:rsidR="00512E10">
        <w:t>dalej rozwijane</w:t>
      </w:r>
      <w:r>
        <w:t>,</w:t>
      </w:r>
    </w:p>
    <w:p w:rsidR="003A3A7F" w:rsidRDefault="0052754C" w:rsidP="00715058">
      <w:pPr>
        <w:pStyle w:val="NIEARTTEKSTtekstnieartykuowanynppodstprawnarozplubpreambua"/>
        <w:numPr>
          <w:ilvl w:val="0"/>
          <w:numId w:val="14"/>
        </w:numPr>
      </w:pPr>
      <w:r>
        <w:t xml:space="preserve">implementowane </w:t>
      </w:r>
      <w:r w:rsidR="003C0C81">
        <w:t>dyrektyw</w:t>
      </w:r>
      <w:r>
        <w:t>y</w:t>
      </w:r>
      <w:r w:rsidR="003C0C81">
        <w:t xml:space="preserve"> nie posługują się pojęciami „system T</w:t>
      </w:r>
      <w:r w:rsidR="00E5673B">
        <w:t>HETIS” ani „system THETIS EU”</w:t>
      </w:r>
      <w:r>
        <w:t>,</w:t>
      </w:r>
      <w:r w:rsidR="00E5673B">
        <w:t xml:space="preserve"> a </w:t>
      </w:r>
      <w:r w:rsidR="003C0C81">
        <w:t>jedynie opisowymi</w:t>
      </w:r>
      <w:r w:rsidR="00DD17D3">
        <w:t>,</w:t>
      </w:r>
      <w:r w:rsidR="003C0C81">
        <w:t xml:space="preserve"> np. „baza</w:t>
      </w:r>
      <w:r w:rsidR="003C0C81" w:rsidRPr="003C0C81">
        <w:t xml:space="preserve"> danych wyników inspekcji, z którą </w:t>
      </w:r>
      <w:r w:rsidR="00BF5F25">
        <w:t xml:space="preserve">są </w:t>
      </w:r>
      <w:r w:rsidR="003C0C81" w:rsidRPr="003C0C81">
        <w:t>połączone wszystkie państwa członkowskie i która zawiera wszystkie informacje wymagane do wdrożenia systemu inspekcji przewidzianego w niniejszej dyrektywie</w:t>
      </w:r>
      <w:r w:rsidR="003C0C81">
        <w:t>”,</w:t>
      </w:r>
    </w:p>
    <w:p w:rsidR="00DD17D3" w:rsidRDefault="003C0C81" w:rsidP="00715058">
      <w:pPr>
        <w:pStyle w:val="ARTartustawynprozporzdzenia"/>
        <w:numPr>
          <w:ilvl w:val="0"/>
          <w:numId w:val="14"/>
        </w:numPr>
      </w:pPr>
      <w:r>
        <w:t>poszczególne funkcjonalności i moduły tych systemów mogą być</w:t>
      </w:r>
      <w:r w:rsidR="00C620F9">
        <w:t xml:space="preserve"> </w:t>
      </w:r>
      <w:r>
        <w:t>wydzielane lub łączone</w:t>
      </w:r>
      <w:r w:rsidR="00DD17D3">
        <w:t>,</w:t>
      </w:r>
      <w:r>
        <w:t xml:space="preserve"> np. w chwili obecnej osoby posiadające dostęp do systemów THETIS, THETIS EU, </w:t>
      </w:r>
      <w:proofErr w:type="spellStart"/>
      <w:r>
        <w:t>CleanSeaNet</w:t>
      </w:r>
      <w:proofErr w:type="spellEnd"/>
      <w:r>
        <w:t xml:space="preserve">, </w:t>
      </w:r>
      <w:proofErr w:type="spellStart"/>
      <w:r>
        <w:t>RuleCheck</w:t>
      </w:r>
      <w:proofErr w:type="spellEnd"/>
      <w:r>
        <w:t xml:space="preserve"> mogą się logować za pomocą jednego</w:t>
      </w:r>
      <w:r w:rsidR="00C620F9">
        <w:t xml:space="preserve"> </w:t>
      </w:r>
      <w:r>
        <w:t>panelu</w:t>
      </w:r>
    </w:p>
    <w:p w:rsidR="005B72E0" w:rsidRDefault="00E47C56" w:rsidP="00E47C56">
      <w:pPr>
        <w:pStyle w:val="ARTartustawynprozporzdzenia"/>
        <w:ind w:firstLine="0"/>
      </w:pPr>
      <w:r>
        <w:t xml:space="preserve">– </w:t>
      </w:r>
      <w:r w:rsidR="003C0C81">
        <w:t xml:space="preserve">dążenie do zharmonizowania obu definicji, które odnoszą się do odmiennego zakresu obowiązków uregulowanych </w:t>
      </w:r>
      <w:r w:rsidR="00FA1477">
        <w:t>w</w:t>
      </w:r>
      <w:r w:rsidR="003C0C81">
        <w:t xml:space="preserve"> innych aktach prawnych, nie wydaje się zasadne i celowe.</w:t>
      </w:r>
    </w:p>
    <w:p w:rsidR="00B02DB2" w:rsidRPr="00B02DB2" w:rsidRDefault="00B02DB2" w:rsidP="00DE54B7">
      <w:pPr>
        <w:pStyle w:val="ARTartustawynprozporzdzenia"/>
        <w:ind w:firstLine="0"/>
        <w:rPr>
          <w:bCs/>
        </w:rPr>
      </w:pPr>
      <w:r w:rsidRPr="00B02DB2">
        <w:rPr>
          <w:bCs/>
        </w:rPr>
        <w:t>Należy mieć na względzie, że zakres przedmiotowy projektowan</w:t>
      </w:r>
      <w:r w:rsidR="00EE78F4">
        <w:rPr>
          <w:bCs/>
        </w:rPr>
        <w:t>ych</w:t>
      </w:r>
      <w:r w:rsidRPr="00B02DB2">
        <w:rPr>
          <w:bCs/>
        </w:rPr>
        <w:t xml:space="preserve"> </w:t>
      </w:r>
      <w:r w:rsidR="00EE78F4">
        <w:rPr>
          <w:bCs/>
        </w:rPr>
        <w:t xml:space="preserve">przepisów </w:t>
      </w:r>
      <w:r w:rsidRPr="00B02DB2">
        <w:rPr>
          <w:bCs/>
        </w:rPr>
        <w:t>art. 27 o</w:t>
      </w:r>
      <w:r w:rsidR="00E47C56">
        <w:rPr>
          <w:bCs/>
        </w:rPr>
        <w:t>raz art. </w:t>
      </w:r>
      <w:r w:rsidRPr="00B02DB2">
        <w:rPr>
          <w:bCs/>
        </w:rPr>
        <w:t xml:space="preserve">27b UBM jest różny. </w:t>
      </w:r>
      <w:r w:rsidR="00EE78F4">
        <w:rPr>
          <w:bCs/>
        </w:rPr>
        <w:t>Projektowany a</w:t>
      </w:r>
      <w:r w:rsidRPr="00B02DB2">
        <w:rPr>
          <w:bCs/>
        </w:rPr>
        <w:t>rt. 27 UBM odnosi się do wszystkich typów statków, podczas gdy obowiązek zamieszczania informacji w systemie THETIS EU dotyczy tylko statków pasażerskich, które nie przewożą towarów. Dodatkowo należy zauważyć, że system THETIS EU jest systemem informacyjnym opracowanym i obsługiwanym przez Europejską Agencję Bezpieczeństwa Morskiego (EMSA). Przepisy dyrek</w:t>
      </w:r>
      <w:r w:rsidR="00E5673B">
        <w:rPr>
          <w:bCs/>
        </w:rPr>
        <w:t>tywy 2017/2110</w:t>
      </w:r>
      <w:r w:rsidR="00FF3B9A">
        <w:rPr>
          <w:bCs/>
        </w:rPr>
        <w:t>/UE</w:t>
      </w:r>
      <w:r w:rsidR="00E5673B">
        <w:rPr>
          <w:bCs/>
        </w:rPr>
        <w:t xml:space="preserve"> nie przewidują w </w:t>
      </w:r>
      <w:r w:rsidRPr="00B02DB2">
        <w:rPr>
          <w:bCs/>
        </w:rPr>
        <w:t>odniesieniu do statków pasażerskich typu ro-ro i szybkich statków pasażerskich wydania decyzji innej niż zakaz wyjścia z portu (</w:t>
      </w:r>
      <w:proofErr w:type="spellStart"/>
      <w:r w:rsidRPr="00B02DB2">
        <w:rPr>
          <w:bCs/>
        </w:rPr>
        <w:t>prohibition</w:t>
      </w:r>
      <w:proofErr w:type="spellEnd"/>
      <w:r w:rsidRPr="00B02DB2">
        <w:rPr>
          <w:bCs/>
        </w:rPr>
        <w:t xml:space="preserve"> of </w:t>
      </w:r>
      <w:proofErr w:type="spellStart"/>
      <w:r w:rsidRPr="00B02DB2">
        <w:rPr>
          <w:bCs/>
        </w:rPr>
        <w:t>deparure</w:t>
      </w:r>
      <w:proofErr w:type="spellEnd"/>
      <w:r w:rsidRPr="00B02DB2">
        <w:rPr>
          <w:bCs/>
        </w:rPr>
        <w:t xml:space="preserve"> order</w:t>
      </w:r>
      <w:r>
        <w:rPr>
          <w:bCs/>
        </w:rPr>
        <w:t xml:space="preserve"> </w:t>
      </w:r>
      <w:r w:rsidRPr="00B02DB2">
        <w:rPr>
          <w:bCs/>
        </w:rPr>
        <w:t>– art. 7</w:t>
      </w:r>
      <w:r w:rsidR="00D51C31">
        <w:rPr>
          <w:bCs/>
        </w:rPr>
        <w:t xml:space="preserve"> ust</w:t>
      </w:r>
      <w:r w:rsidRPr="00B02DB2">
        <w:rPr>
          <w:bCs/>
        </w:rPr>
        <w:t>.</w:t>
      </w:r>
      <w:r w:rsidR="00D51C31">
        <w:rPr>
          <w:bCs/>
        </w:rPr>
        <w:t xml:space="preserve"> </w:t>
      </w:r>
      <w:r w:rsidRPr="00B02DB2">
        <w:rPr>
          <w:bCs/>
        </w:rPr>
        <w:t>2) ani obowiązków przekazywania danych innych niż informacje o stwierdzonych w trakcie inspekcji uchybieniach i wydaniu decyzji o zatrzymaniu statku (art. 10</w:t>
      </w:r>
      <w:r w:rsidR="00B15ABF">
        <w:rPr>
          <w:bCs/>
        </w:rPr>
        <w:t xml:space="preserve"> ust</w:t>
      </w:r>
      <w:r w:rsidRPr="00B02DB2">
        <w:rPr>
          <w:bCs/>
        </w:rPr>
        <w:t>.</w:t>
      </w:r>
      <w:r w:rsidR="00B15ABF">
        <w:rPr>
          <w:bCs/>
        </w:rPr>
        <w:t xml:space="preserve"> </w:t>
      </w:r>
      <w:r w:rsidRPr="00B02DB2">
        <w:rPr>
          <w:bCs/>
        </w:rPr>
        <w:t>2).</w:t>
      </w:r>
    </w:p>
    <w:p w:rsidR="005B72E0" w:rsidRDefault="005B72E0" w:rsidP="007D31DD">
      <w:pPr>
        <w:pStyle w:val="ARTartustawynprozporzdzenia"/>
        <w:ind w:firstLine="0"/>
      </w:pPr>
      <w:r>
        <w:t>Zmiana polegająca na dodaniu a</w:t>
      </w:r>
      <w:r w:rsidRPr="005B72E0">
        <w:t>rt.</w:t>
      </w:r>
      <w:r>
        <w:t xml:space="preserve"> 27c UBM ma n</w:t>
      </w:r>
      <w:r w:rsidR="00B02DB2">
        <w:t xml:space="preserve">a celu uregulowanie sytuacji, </w:t>
      </w:r>
      <w:r>
        <w:t>kiedy to konsul działa jako organ inspekcyjny. W takim przypadku</w:t>
      </w:r>
      <w:r w:rsidRPr="005B72E0">
        <w:t xml:space="preserve"> stosuje się przepisy ustawy </w:t>
      </w:r>
      <w:r w:rsidR="009A5D06">
        <w:t>–</w:t>
      </w:r>
      <w:r w:rsidR="00846AC1">
        <w:t xml:space="preserve"> </w:t>
      </w:r>
      <w:r w:rsidRPr="005B72E0">
        <w:lastRenderedPageBreak/>
        <w:t xml:space="preserve">Prawo konsularne. </w:t>
      </w:r>
      <w:r w:rsidR="009A5D06">
        <w:t xml:space="preserve">Projektowany art. 27c ust. 2 </w:t>
      </w:r>
      <w:r>
        <w:t>UBM wskazuje również, że w razie odwołania ww.</w:t>
      </w:r>
      <w:r w:rsidRPr="005B72E0">
        <w:t xml:space="preserve"> sprawach organem wyższego stopnia jest minister właściwy</w:t>
      </w:r>
      <w:r>
        <w:t xml:space="preserve"> do spraw gospodarki morskiej, a zatem to on będzie rozpatrywać ewentualne odwołania od decyzji wydanych przez konsula. </w:t>
      </w:r>
    </w:p>
    <w:p w:rsidR="00D85032" w:rsidRDefault="008E086C" w:rsidP="00BB2819">
      <w:pPr>
        <w:pStyle w:val="NIEARTTEKSTtekstnieartykuowanynppodstprawnarozplubpreambua"/>
      </w:pPr>
      <w:r>
        <w:t>Zmiany w a</w:t>
      </w:r>
      <w:r w:rsidR="00D12655" w:rsidRPr="00D12655">
        <w:t xml:space="preserve">rt. </w:t>
      </w:r>
      <w:r w:rsidR="00C33C5E">
        <w:t xml:space="preserve">38 </w:t>
      </w:r>
      <w:r w:rsidR="00AF3D24">
        <w:t xml:space="preserve">i art. </w:t>
      </w:r>
      <w:r w:rsidR="00C33C5E">
        <w:t>41</w:t>
      </w:r>
      <w:r w:rsidR="00AF3D24">
        <w:t xml:space="preserve"> UBM</w:t>
      </w:r>
      <w:r w:rsidR="00C33C5E">
        <w:t xml:space="preserve">, </w:t>
      </w:r>
      <w:r w:rsidR="00AF3D24">
        <w:t xml:space="preserve">uchylenie art. </w:t>
      </w:r>
      <w:r w:rsidR="00C33C5E">
        <w:t>46</w:t>
      </w:r>
      <w:r w:rsidR="00AF3D24">
        <w:t xml:space="preserve"> UBM</w:t>
      </w:r>
      <w:r w:rsidR="00C33C5E">
        <w:t xml:space="preserve">, </w:t>
      </w:r>
      <w:r w:rsidR="00AF3D24">
        <w:t xml:space="preserve">a także zmiany w art. </w:t>
      </w:r>
      <w:r w:rsidR="00D12655" w:rsidRPr="00D12655">
        <w:t>47</w:t>
      </w:r>
      <w:r w:rsidR="00AF3D24">
        <w:t>,</w:t>
      </w:r>
      <w:r w:rsidR="00D12655" w:rsidRPr="00D12655">
        <w:t xml:space="preserve"> </w:t>
      </w:r>
      <w:r w:rsidR="00AF3D24">
        <w:t xml:space="preserve">art. </w:t>
      </w:r>
      <w:r>
        <w:t>48</w:t>
      </w:r>
      <w:r w:rsidR="003C084E">
        <w:t xml:space="preserve">, </w:t>
      </w:r>
      <w:r w:rsidR="00AF3D24">
        <w:t xml:space="preserve">art. </w:t>
      </w:r>
      <w:r w:rsidR="003C084E">
        <w:t xml:space="preserve">53 i </w:t>
      </w:r>
      <w:r w:rsidR="00AF3D24">
        <w:t xml:space="preserve">art. </w:t>
      </w:r>
      <w:r w:rsidR="003C084E">
        <w:t>58</w:t>
      </w:r>
      <w:r w:rsidR="003C0C81">
        <w:t xml:space="preserve"> UBM</w:t>
      </w:r>
      <w:r w:rsidR="00C620F9">
        <w:t xml:space="preserve"> </w:t>
      </w:r>
      <w:r w:rsidR="00431E83">
        <w:t>wiążą się z potrzebą pełnego zharmonizowania systemu inspekcji statków pasażerskich typu ro-ro i szybkich statków pasażerskich</w:t>
      </w:r>
      <w:r w:rsidR="00905F1D">
        <w:t xml:space="preserve"> o obcej przynależności z inspekcjami przepro</w:t>
      </w:r>
      <w:r w:rsidR="00E5673B">
        <w:t>wadzanymi przez państwo portu w </w:t>
      </w:r>
      <w:r w:rsidR="00905F1D">
        <w:t>regionie Memorandum Paryskiego</w:t>
      </w:r>
      <w:r w:rsidR="00C33C5E">
        <w:t xml:space="preserve"> oraz ujednoliceni</w:t>
      </w:r>
      <w:r w:rsidR="001D14E6">
        <w:t>a</w:t>
      </w:r>
      <w:r w:rsidR="00C33C5E">
        <w:t xml:space="preserve"> słownictwa po uchyleniu dyrektywy 1999/35/WE</w:t>
      </w:r>
      <w:r w:rsidR="00905F1D">
        <w:t xml:space="preserve">. </w:t>
      </w:r>
      <w:r w:rsidR="00D12655" w:rsidRPr="00D12655">
        <w:t xml:space="preserve">Wyniki inspekcji statków pasażerskich typu ro-ro i szybkich statków pasażerskich uprawiających żeglugę regularną </w:t>
      </w:r>
      <w:r w:rsidR="00905F1D">
        <w:t xml:space="preserve">będą </w:t>
      </w:r>
      <w:r w:rsidR="00D12655" w:rsidRPr="00D12655">
        <w:t>wprowadza</w:t>
      </w:r>
      <w:r w:rsidR="00905F1D">
        <w:t xml:space="preserve">ne </w:t>
      </w:r>
      <w:r w:rsidR="006C64D0">
        <w:t>do systemu THETIS i </w:t>
      </w:r>
      <w:r w:rsidR="00D12655" w:rsidRPr="00D12655">
        <w:t>uwzględnia</w:t>
      </w:r>
      <w:r w:rsidR="00905F1D">
        <w:t>ne</w:t>
      </w:r>
      <w:r w:rsidR="00D12655" w:rsidRPr="00D12655">
        <w:t xml:space="preserve"> podczas kalk</w:t>
      </w:r>
      <w:r w:rsidR="00905F1D">
        <w:t>ulowania profilu ryzyka statku</w:t>
      </w:r>
      <w:r w:rsidR="00D12655" w:rsidRPr="00D12655">
        <w:t>, a także do celów obliczania udziału Rzeczypospolitej Polskiej w ogólnej liczbie inspekcji przeprowadzan</w:t>
      </w:r>
      <w:r w:rsidR="006C0C50">
        <w:t>ych corocznie w </w:t>
      </w:r>
      <w:r w:rsidR="00D12655" w:rsidRPr="00D12655">
        <w:t>regionie Memorandum Paryskiego</w:t>
      </w:r>
      <w:r w:rsidR="00905F1D">
        <w:t>.</w:t>
      </w:r>
    </w:p>
    <w:p w:rsidR="0007547D" w:rsidRPr="0007547D" w:rsidRDefault="0007547D" w:rsidP="0007547D">
      <w:pPr>
        <w:pStyle w:val="NIEARTTEKSTtekstnieartykuowanynppodstprawnarozplubpreambua"/>
      </w:pPr>
      <w:r w:rsidRPr="0007547D">
        <w:t xml:space="preserve">Zmiany w art. 86 UBM mają na celu zharmonizowanie słownictwa stosowanego w </w:t>
      </w:r>
      <w:r w:rsidR="009944B9">
        <w:t>UBM</w:t>
      </w:r>
      <w:r w:rsidRPr="0007547D">
        <w:t>, podobnie jak miało to miejsce w przepisach U</w:t>
      </w:r>
      <w:r w:rsidR="00EF2C37">
        <w:t xml:space="preserve">nii </w:t>
      </w:r>
      <w:r w:rsidRPr="0007547D">
        <w:t>E</w:t>
      </w:r>
      <w:r w:rsidR="00EF2C37">
        <w:t>uropejskiej</w:t>
      </w:r>
      <w:r w:rsidRPr="0007547D">
        <w:t>. Poj</w:t>
      </w:r>
      <w:r>
        <w:t xml:space="preserve">ęcie promu pasażerskiego typu </w:t>
      </w:r>
      <w:r w:rsidRPr="0007547D">
        <w:t>r</w:t>
      </w:r>
      <w:r>
        <w:t>o</w:t>
      </w:r>
      <w:r w:rsidRPr="0007547D">
        <w:t>-ro zostało zastąpione pojęciem statku pasażerskiego typu ro-ro.</w:t>
      </w:r>
    </w:p>
    <w:p w:rsidR="008A5317" w:rsidRDefault="008A5317" w:rsidP="005907D5">
      <w:pPr>
        <w:pStyle w:val="NIEARTTEKSTtekstnieartykuowanynppodstprawnarozplubpreambua"/>
      </w:pPr>
      <w:r>
        <w:t xml:space="preserve">Zmiany w art. 91, </w:t>
      </w:r>
      <w:r w:rsidR="00045EC2">
        <w:t xml:space="preserve">art. </w:t>
      </w:r>
      <w:r>
        <w:t xml:space="preserve">103 i </w:t>
      </w:r>
      <w:r w:rsidR="00045EC2">
        <w:t xml:space="preserve">art. </w:t>
      </w:r>
      <w:r>
        <w:t>104</w:t>
      </w:r>
      <w:r w:rsidR="00045EC2">
        <w:t xml:space="preserve"> UBM</w:t>
      </w:r>
      <w:r w:rsidR="003B68FC">
        <w:t xml:space="preserve">, </w:t>
      </w:r>
      <w:r w:rsidR="00045EC2">
        <w:t xml:space="preserve">dodanie w UBM przepisów art. </w:t>
      </w:r>
      <w:r w:rsidR="003B68FC">
        <w:t xml:space="preserve">104a </w:t>
      </w:r>
      <w:r w:rsidR="00045EC2">
        <w:t xml:space="preserve">i </w:t>
      </w:r>
      <w:r w:rsidR="007F7050">
        <w:t xml:space="preserve">art. </w:t>
      </w:r>
      <w:r w:rsidR="003B68FC">
        <w:t>104b</w:t>
      </w:r>
      <w:r w:rsidR="00045EC2">
        <w:t>, a także</w:t>
      </w:r>
      <w:r w:rsidR="003B68FC">
        <w:t xml:space="preserve"> </w:t>
      </w:r>
      <w:r w:rsidR="00045EC2">
        <w:t xml:space="preserve">zmiana w art. </w:t>
      </w:r>
      <w:r w:rsidR="003B68FC">
        <w:t>106</w:t>
      </w:r>
      <w:r>
        <w:t xml:space="preserve"> </w:t>
      </w:r>
      <w:r w:rsidR="00054CC4">
        <w:t xml:space="preserve">UBM </w:t>
      </w:r>
      <w:r w:rsidR="00BF5F25">
        <w:t xml:space="preserve">są </w:t>
      </w:r>
      <w:r>
        <w:t>związane bezpośrednio z potrzebą implementacji dyrektywy 2017/2109/UE. Z</w:t>
      </w:r>
      <w:r w:rsidRPr="008A5317">
        <w:t xml:space="preserve">apewnienie właściwego i terminowego przekazywania informacji o liczbie oraz o tożsamości osób znajdujących się na pokładzie statku </w:t>
      </w:r>
      <w:r>
        <w:t xml:space="preserve">jest niezmiernie istotne </w:t>
      </w:r>
      <w:r w:rsidRPr="008A5317">
        <w:t>z uwagi na znaczenie tych</w:t>
      </w:r>
      <w:r w:rsidR="006C0C50">
        <w:t xml:space="preserve"> informacji dla przygotowania i </w:t>
      </w:r>
      <w:r w:rsidRPr="008A5317">
        <w:t xml:space="preserve">skuteczności operacji poszukiwawczych i </w:t>
      </w:r>
      <w:r>
        <w:t>ratunkowych.</w:t>
      </w:r>
    </w:p>
    <w:p w:rsidR="003C084E" w:rsidRDefault="00905F1D" w:rsidP="00D653B2">
      <w:pPr>
        <w:pStyle w:val="ARTartustawynprozporzdzenia"/>
      </w:pPr>
      <w:r>
        <w:t xml:space="preserve">Zmiana w art. 91 </w:t>
      </w:r>
      <w:r w:rsidR="00054CC4">
        <w:t>UBM</w:t>
      </w:r>
      <w:r>
        <w:t xml:space="preserve"> ma na celu </w:t>
      </w:r>
      <w:r w:rsidR="003C084E">
        <w:t xml:space="preserve">opisanie w porządku prawnym </w:t>
      </w:r>
      <w:r>
        <w:t>Krajowego Pojedynczego</w:t>
      </w:r>
      <w:r w:rsidR="00D12655" w:rsidRPr="00D12655">
        <w:t xml:space="preserve"> Punkt</w:t>
      </w:r>
      <w:r>
        <w:t>u Kontaktowego</w:t>
      </w:r>
      <w:r w:rsidR="00D12655" w:rsidRPr="00D12655">
        <w:t xml:space="preserve"> (</w:t>
      </w:r>
      <w:proofErr w:type="spellStart"/>
      <w:r w:rsidR="00D12655" w:rsidRPr="00D12655">
        <w:t>National</w:t>
      </w:r>
      <w:proofErr w:type="spellEnd"/>
      <w:r w:rsidR="00D12655" w:rsidRPr="00D12655">
        <w:t xml:space="preserve"> Single </w:t>
      </w:r>
      <w:proofErr w:type="spellStart"/>
      <w:r w:rsidR="00D12655" w:rsidRPr="00D12655">
        <w:t>Window</w:t>
      </w:r>
      <w:proofErr w:type="spellEnd"/>
      <w:r w:rsidR="00D12655" w:rsidRPr="00D12655">
        <w:t>)</w:t>
      </w:r>
      <w:r>
        <w:t xml:space="preserve"> </w:t>
      </w:r>
      <w:r w:rsidR="00C52B1B">
        <w:t>(</w:t>
      </w:r>
      <w:r w:rsidR="00D12655" w:rsidRPr="00D12655">
        <w:t>dalej</w:t>
      </w:r>
      <w:r w:rsidR="00C52B1B">
        <w:t>:</w:t>
      </w:r>
      <w:r w:rsidR="00D12655" w:rsidRPr="00D12655">
        <w:t xml:space="preserve"> </w:t>
      </w:r>
      <w:r w:rsidR="00C52B1B">
        <w:t>„</w:t>
      </w:r>
      <w:r w:rsidR="00E20DFA">
        <w:t xml:space="preserve">pojedynczy </w:t>
      </w:r>
      <w:r w:rsidR="00D12655" w:rsidRPr="00D12655">
        <w:t>punkt kontaktowy</w:t>
      </w:r>
      <w:r w:rsidR="00C52B1B">
        <w:t>”</w:t>
      </w:r>
      <w:r w:rsidR="00A60647">
        <w:t>)</w:t>
      </w:r>
      <w:r>
        <w:t xml:space="preserve"> będącego</w:t>
      </w:r>
      <w:r w:rsidR="00D12655" w:rsidRPr="00D12655">
        <w:t xml:space="preserve"> platformą elektroniczną</w:t>
      </w:r>
      <w:r>
        <w:t>, łącząc</w:t>
      </w:r>
      <w:r w:rsidR="00D12AB2">
        <w:t>ą</w:t>
      </w:r>
      <w:r>
        <w:t xml:space="preserve"> </w:t>
      </w:r>
      <w:r w:rsidR="004460F4">
        <w:t>Narodowy S</w:t>
      </w:r>
      <w:r>
        <w:t xml:space="preserve">ystem SafeSeaNet </w:t>
      </w:r>
      <w:r w:rsidR="00E5673B">
        <w:t>i </w:t>
      </w:r>
      <w:r w:rsidR="00D12655" w:rsidRPr="00D12655">
        <w:t>systemy elektroniczne</w:t>
      </w:r>
      <w:r w:rsidR="00804B70" w:rsidRPr="00804B70">
        <w:t xml:space="preserve"> podmiotów obowiązanych do przekazywania danych zgodnie z przepisami </w:t>
      </w:r>
      <w:r w:rsidR="002D585F" w:rsidRPr="00804B70">
        <w:t>UBM</w:t>
      </w:r>
      <w:r w:rsidR="002D585F" w:rsidRPr="00804B70" w:rsidDel="00FA1477">
        <w:t xml:space="preserve"> </w:t>
      </w:r>
      <w:r w:rsidR="00FA1477">
        <w:t>(informacj</w:t>
      </w:r>
      <w:r w:rsidR="00846AC1">
        <w:t>i</w:t>
      </w:r>
      <w:r w:rsidR="00FA1477">
        <w:t xml:space="preserve"> </w:t>
      </w:r>
      <w:r w:rsidR="00804B70" w:rsidRPr="00804B70">
        <w:t>dot</w:t>
      </w:r>
      <w:r w:rsidR="00846AC1">
        <w:t>yczących</w:t>
      </w:r>
      <w:r w:rsidR="00804B70" w:rsidRPr="00804B70">
        <w:t xml:space="preserve"> </w:t>
      </w:r>
      <w:r w:rsidR="00FA1477">
        <w:t>osób podróżujących drogą morską</w:t>
      </w:r>
      <w:r w:rsidR="00804B70" w:rsidRPr="00804B70">
        <w:t xml:space="preserve">  i formularz</w:t>
      </w:r>
      <w:r w:rsidR="000C0B35">
        <w:t>y</w:t>
      </w:r>
      <w:r w:rsidR="00804B70" w:rsidRPr="00804B70">
        <w:t xml:space="preserve"> FAL</w:t>
      </w:r>
      <w:r w:rsidR="000C0B35">
        <w:t xml:space="preserve"> – zgodnie z przepisami odpowiednio art. 103 i art. 108 UBM</w:t>
      </w:r>
      <w:r w:rsidR="00804B70" w:rsidRPr="00804B70">
        <w:t>). Są to zatem systemy elektroniczne armatorów i agentów</w:t>
      </w:r>
      <w:r w:rsidR="00C33C5E">
        <w:t xml:space="preserve"> statków</w:t>
      </w:r>
      <w:r w:rsidR="00804B70">
        <w:t>. Poprzez tę platformę elektroniczną, jaką jest pojedynczy punkt kontaktowy</w:t>
      </w:r>
      <w:r w:rsidR="00D12655" w:rsidRPr="00D12655">
        <w:t xml:space="preserve">, </w:t>
      </w:r>
      <w:r>
        <w:t xml:space="preserve">statki przekazują </w:t>
      </w:r>
      <w:r w:rsidR="00D12655" w:rsidRPr="00D12655">
        <w:t xml:space="preserve">informacje wymagane </w:t>
      </w:r>
      <w:r>
        <w:t xml:space="preserve">przepisami </w:t>
      </w:r>
      <w:r w:rsidR="00DC37B4">
        <w:t>UBM</w:t>
      </w:r>
      <w:r>
        <w:t>, a</w:t>
      </w:r>
      <w:r w:rsidR="003B68FC">
        <w:t> </w:t>
      </w:r>
      <w:r>
        <w:t xml:space="preserve">następnie są one </w:t>
      </w:r>
      <w:r w:rsidR="00D12655" w:rsidRPr="00D12655">
        <w:t>udostępniane właściwym podmiotom</w:t>
      </w:r>
      <w:r>
        <w:t xml:space="preserve"> zgodnie z dyrektywą 2010/65/UE</w:t>
      </w:r>
      <w:r w:rsidR="00D12655" w:rsidRPr="00D12655">
        <w:t>.</w:t>
      </w:r>
      <w:r>
        <w:t xml:space="preserve"> Zmiana ma na </w:t>
      </w:r>
      <w:r w:rsidRPr="00D12655">
        <w:t xml:space="preserve">celu </w:t>
      </w:r>
      <w:r w:rsidR="00A0220E">
        <w:t>zmniejszenie</w:t>
      </w:r>
      <w:r w:rsidRPr="00D12655">
        <w:t xml:space="preserve"> obciążeń</w:t>
      </w:r>
      <w:r>
        <w:t xml:space="preserve"> biurokratycznych</w:t>
      </w:r>
      <w:r w:rsidR="0069636D">
        <w:t xml:space="preserve"> armatorów statków</w:t>
      </w:r>
      <w:r w:rsidRPr="00D12655">
        <w:t xml:space="preserve">, </w:t>
      </w:r>
      <w:r w:rsidR="00A0220E">
        <w:t>zapewnienie</w:t>
      </w:r>
      <w:r w:rsidRPr="00D12655">
        <w:t xml:space="preserve"> </w:t>
      </w:r>
      <w:r w:rsidRPr="00D12655">
        <w:lastRenderedPageBreak/>
        <w:t>możli</w:t>
      </w:r>
      <w:r w:rsidR="006C0C50">
        <w:t>woś</w:t>
      </w:r>
      <w:r w:rsidR="00970EC2">
        <w:t>ci</w:t>
      </w:r>
      <w:r w:rsidR="006C0C50">
        <w:t xml:space="preserve"> przekazywania informacji i </w:t>
      </w:r>
      <w:r w:rsidRPr="00D12655">
        <w:t xml:space="preserve">dokumentów dotyczących statku drogą elektroniczną oraz </w:t>
      </w:r>
      <w:r>
        <w:t xml:space="preserve">zapewnienie, że przekazania informacji wymaga się tylko raz. </w:t>
      </w:r>
    </w:p>
    <w:p w:rsidR="00D653B2" w:rsidRPr="00B5343D" w:rsidRDefault="002D585F" w:rsidP="00D653B2">
      <w:pPr>
        <w:pStyle w:val="ARTartustawynprozporzdzenia"/>
      </w:pPr>
      <w:r>
        <w:t>Z</w:t>
      </w:r>
      <w:r w:rsidR="00D653B2" w:rsidRPr="00B5343D">
        <w:t xml:space="preserve">godnie z art. 5 dyrektywy </w:t>
      </w:r>
      <w:r w:rsidR="003C084E" w:rsidRPr="00C33C5E">
        <w:t xml:space="preserve">2010/65/UE </w:t>
      </w:r>
      <w:r w:rsidR="00D653B2" w:rsidRPr="00B5343D">
        <w:t>państwa członkowskie U</w:t>
      </w:r>
      <w:r w:rsidR="00016062">
        <w:t xml:space="preserve">nii </w:t>
      </w:r>
      <w:r w:rsidR="00D653B2" w:rsidRPr="00B5343D">
        <w:t>E</w:t>
      </w:r>
      <w:r w:rsidR="00016062">
        <w:t>uropejskiej</w:t>
      </w:r>
      <w:r w:rsidR="00D653B2" w:rsidRPr="00B5343D">
        <w:t xml:space="preserve"> są obowiązane akceptować dopełnianie formalności sprawozdawczych drogą elektroniczną i ich przekazywanie za pośrednictwem pojedynczego punktu konta</w:t>
      </w:r>
      <w:r w:rsidR="00D653B2">
        <w:t>ktowego możliwie najszybciej, a </w:t>
      </w:r>
      <w:r w:rsidR="00D653B2" w:rsidRPr="00B5343D">
        <w:t>w każdym razie nie później niż z dniem 1 czerwca 2015 r.</w:t>
      </w:r>
    </w:p>
    <w:p w:rsidR="00893862" w:rsidRDefault="00C33C5E" w:rsidP="00D653B2">
      <w:pPr>
        <w:pStyle w:val="ARTartustawynprozporzdzenia"/>
      </w:pPr>
      <w:r>
        <w:t xml:space="preserve">Zgodnie z </w:t>
      </w:r>
      <w:r w:rsidR="00804B70">
        <w:t>art</w:t>
      </w:r>
      <w:r>
        <w:t xml:space="preserve">. 5 </w:t>
      </w:r>
      <w:r w:rsidR="00820BE4">
        <w:t>ust.</w:t>
      </w:r>
      <w:r>
        <w:t xml:space="preserve"> 1 ww. </w:t>
      </w:r>
      <w:r w:rsidR="00804B70">
        <w:t>d</w:t>
      </w:r>
      <w:r>
        <w:t>yrektywy</w:t>
      </w:r>
      <w:r w:rsidR="00D653B2">
        <w:t xml:space="preserve"> t</w:t>
      </w:r>
      <w:r w:rsidRPr="00C33C5E">
        <w:t xml:space="preserve">a platforma elektroniczna, łącząca system SafeSeaNet, elektroniczny system administracji celnej i inne systemy elektroniczne, jest miejscem, przez które, zgodnie z </w:t>
      </w:r>
      <w:r w:rsidR="00BF3355">
        <w:t>tą</w:t>
      </w:r>
      <w:r w:rsidRPr="00C33C5E">
        <w:t xml:space="preserve"> dyrektywą, wszystkie informacje będą jednorazowo przekazywane i udostępniane różnym właściwym organom państw członkowskich.</w:t>
      </w:r>
      <w:r w:rsidR="00804B70">
        <w:t xml:space="preserve"> Zgodnie z art. 6 dyrektywy 2010/65/UE p</w:t>
      </w:r>
      <w:r w:rsidRPr="00C33C5E">
        <w:t xml:space="preserve">aństwa członkowskie zapewniają, aby informacje otrzymane zgodnie z formalnościami sprawozdawczymi przewidzianymi w aktach prawnych Unii </w:t>
      </w:r>
      <w:r w:rsidR="00351DC3">
        <w:t xml:space="preserve">Europejskiej </w:t>
      </w:r>
      <w:r w:rsidRPr="00C33C5E">
        <w:t>zostały udostępnione w ich krajowych systemach SafeSeaNet oraz udostępniają istotne części takich informacji innym państwom członkowskim za po</w:t>
      </w:r>
      <w:r w:rsidR="00804B70">
        <w:t xml:space="preserve">średnictwem systemu SafeSeaNet oraz </w:t>
      </w:r>
      <w:r w:rsidRPr="00C33C5E">
        <w:t xml:space="preserve">zapewniają, aby </w:t>
      </w:r>
      <w:r w:rsidR="00804B70" w:rsidRPr="00C33C5E">
        <w:t>otrzymane</w:t>
      </w:r>
      <w:r w:rsidR="000456F1">
        <w:t xml:space="preserve"> </w:t>
      </w:r>
      <w:r w:rsidRPr="00C33C5E">
        <w:t>informacje były udostępniane stosownym organom krajowym.</w:t>
      </w:r>
    </w:p>
    <w:p w:rsidR="00893862" w:rsidRPr="00893862" w:rsidRDefault="00893862" w:rsidP="00893862">
      <w:pPr>
        <w:pStyle w:val="ARTartustawynprozporzdzenia"/>
        <w:rPr>
          <w:bCs/>
        </w:rPr>
      </w:pPr>
      <w:r w:rsidRPr="00B5343D">
        <w:t xml:space="preserve">W praktyce </w:t>
      </w:r>
      <w:r w:rsidR="00081418">
        <w:t>p</w:t>
      </w:r>
      <w:r w:rsidRPr="00B5343D">
        <w:t xml:space="preserve">ojedynczy </w:t>
      </w:r>
      <w:r w:rsidR="00081418">
        <w:t>p</w:t>
      </w:r>
      <w:r w:rsidRPr="00B5343D">
        <w:t xml:space="preserve">unkt </w:t>
      </w:r>
      <w:r w:rsidR="00081418">
        <w:t>k</w:t>
      </w:r>
      <w:r w:rsidRPr="00B5343D">
        <w:t>ontaktowy funkcjonuje, ale do tej pory nie miał umocowania ustawowego.</w:t>
      </w:r>
      <w:r w:rsidR="00C620F9">
        <w:t xml:space="preserve"> </w:t>
      </w:r>
      <w:r w:rsidRPr="00893862">
        <w:rPr>
          <w:bCs/>
        </w:rPr>
        <w:t xml:space="preserve">Realizacja koncepcji „single </w:t>
      </w:r>
      <w:proofErr w:type="spellStart"/>
      <w:r w:rsidRPr="00893862">
        <w:rPr>
          <w:bCs/>
        </w:rPr>
        <w:t>window</w:t>
      </w:r>
      <w:proofErr w:type="spellEnd"/>
      <w:r w:rsidRPr="00893862">
        <w:rPr>
          <w:bCs/>
        </w:rPr>
        <w:t xml:space="preserve">” w Polsce następuje poprzez wdrożenie i rozwijanie </w:t>
      </w:r>
      <w:r w:rsidR="004460F4">
        <w:rPr>
          <w:bCs/>
        </w:rPr>
        <w:t>N</w:t>
      </w:r>
      <w:r w:rsidRPr="00893862">
        <w:rPr>
          <w:bCs/>
        </w:rPr>
        <w:t xml:space="preserve">arodowego </w:t>
      </w:r>
      <w:r w:rsidR="004460F4">
        <w:rPr>
          <w:bCs/>
        </w:rPr>
        <w:t>S</w:t>
      </w:r>
      <w:r w:rsidRPr="00893862">
        <w:rPr>
          <w:bCs/>
        </w:rPr>
        <w:t>ystemu SafeSeaNet. Na infrastrukturę techniczną umożliwiającą wymianę informacji drogą elektroniczną składają się dwa podsystemy: opracowany przez Urząd Morski w Szczecinie system kontrolno-informacyjny dla portów polskich (PHICS) oraz opracowany przez Urząd Morski w Gdyni system wymiany informacji bezpieczeństwa żeglugi (SWIBŻ).</w:t>
      </w:r>
    </w:p>
    <w:p w:rsidR="00895446" w:rsidRPr="00893862" w:rsidRDefault="00893862" w:rsidP="00895446">
      <w:pPr>
        <w:pStyle w:val="ARTartustawynprozporzdzenia"/>
        <w:rPr>
          <w:bCs/>
        </w:rPr>
      </w:pPr>
      <w:r w:rsidRPr="00893862">
        <w:rPr>
          <w:bCs/>
        </w:rPr>
        <w:t xml:space="preserve">Dostęp do </w:t>
      </w:r>
      <w:r w:rsidR="004460F4">
        <w:rPr>
          <w:bCs/>
        </w:rPr>
        <w:t>N</w:t>
      </w:r>
      <w:r w:rsidRPr="00893862">
        <w:rPr>
          <w:bCs/>
        </w:rPr>
        <w:t xml:space="preserve">arodowego </w:t>
      </w:r>
      <w:r w:rsidR="004460F4">
        <w:rPr>
          <w:bCs/>
        </w:rPr>
        <w:t>S</w:t>
      </w:r>
      <w:r w:rsidRPr="00893862">
        <w:rPr>
          <w:bCs/>
        </w:rPr>
        <w:t>ystemu SafeSeaNet, w tym do podsystemu SWIBŻ, umożliwiającego dostęp do informacji istotnych z punktu widzenia kontroli ruchu statków, skuteczności prowadzenia akcji ratowniczych i oceny zagr</w:t>
      </w:r>
      <w:r w:rsidR="006C64D0">
        <w:rPr>
          <w:bCs/>
        </w:rPr>
        <w:t>ożeń ekologicznych związanych z </w:t>
      </w:r>
      <w:r w:rsidRPr="00893862">
        <w:rPr>
          <w:bCs/>
        </w:rPr>
        <w:t>transportem ładunków niebezpiecznych drogą morską, posiada administracja morska oraz służby ratownicze i porządkowe, m.in. dyrektorzy urzędów morskich, służby VTS, kapitanaty i bosmanaty portów, inspektoraty bandery i inspektoraty portu, inspektoraty ochrony środowiska, służba SAR</w:t>
      </w:r>
      <w:r w:rsidR="008C00F9">
        <w:rPr>
          <w:bCs/>
        </w:rPr>
        <w:t>,</w:t>
      </w:r>
      <w:r w:rsidRPr="00893862">
        <w:rPr>
          <w:bCs/>
        </w:rPr>
        <w:t xml:space="preserve"> </w:t>
      </w:r>
      <w:r w:rsidR="00C93E97">
        <w:rPr>
          <w:bCs/>
        </w:rPr>
        <w:t>S</w:t>
      </w:r>
      <w:r w:rsidRPr="00893862">
        <w:rPr>
          <w:bCs/>
        </w:rPr>
        <w:t xml:space="preserve">traż </w:t>
      </w:r>
      <w:r w:rsidR="00C93E97">
        <w:rPr>
          <w:bCs/>
        </w:rPr>
        <w:t>G</w:t>
      </w:r>
      <w:r w:rsidRPr="00893862">
        <w:rPr>
          <w:bCs/>
        </w:rPr>
        <w:t xml:space="preserve">raniczna. PHICS jest ogólnopolskim systemem elektronicznej wymiany dokumentów i umożliwia kapitanom, armatorom statków oraz agentom morskim, działającym w ich imieniu, realizowanie obowiązku przekazywania informacji odpowiednim służbom, a tym samym dostarczanie danych do systemu. System </w:t>
      </w:r>
      <w:r w:rsidRPr="00893862">
        <w:rPr>
          <w:bCs/>
        </w:rPr>
        <w:lastRenderedPageBreak/>
        <w:t>zawiera wzory wszystkich dokumentów IMO Fal. W praktyce oznacza to, iż agent statkowy może zrealizować swoje obowiązki tylko za pomocą elektronicznego trybu obiegu dokumentów. Przekazywanie danych</w:t>
      </w:r>
      <w:r w:rsidR="005E5CD2">
        <w:rPr>
          <w:bCs/>
        </w:rPr>
        <w:t>,</w:t>
      </w:r>
      <w:r w:rsidRPr="00893862">
        <w:rPr>
          <w:bCs/>
        </w:rPr>
        <w:t xml:space="preserve"> takich jak zgłoszenie statku awizowanego do Centrum VTS, zgłoszenie spodziewanego czasu przybycia statku (ETA), informacje w zakresie ochrony statku stosownie do wymagań kodeksu ISPS, informacje o przewożonych ładunkach niebezpiecznych i zanieczyszczających, zgłoszenie statku do </w:t>
      </w:r>
      <w:r w:rsidR="00BE5C73">
        <w:rPr>
          <w:bCs/>
        </w:rPr>
        <w:t>k</w:t>
      </w:r>
      <w:r w:rsidRPr="00893862">
        <w:rPr>
          <w:bCs/>
        </w:rPr>
        <w:t xml:space="preserve">apitanatu </w:t>
      </w:r>
      <w:r w:rsidR="00BE5C73">
        <w:rPr>
          <w:bCs/>
        </w:rPr>
        <w:t>p</w:t>
      </w:r>
      <w:r w:rsidRPr="00893862">
        <w:rPr>
          <w:bCs/>
        </w:rPr>
        <w:t>ortu, odbywa się poprzez wypełnienie odpowiedniego arkusza elektronicznego. System jest dodatkowo wyposażony w interaktywny komunikator działający na zasadzie poczty e-mail, który daje możliwość wymiany informacji pomiędzy użytkownikami systemu w formie uzupełnień i korekt.</w:t>
      </w:r>
      <w:r w:rsidR="00C620F9">
        <w:rPr>
          <w:bCs/>
        </w:rPr>
        <w:t xml:space="preserve"> </w:t>
      </w:r>
      <w:r w:rsidRPr="00893862">
        <w:rPr>
          <w:bCs/>
        </w:rPr>
        <w:t>Jedno</w:t>
      </w:r>
      <w:r w:rsidR="006C64D0">
        <w:rPr>
          <w:bCs/>
        </w:rPr>
        <w:t>cześnie system pozwala m.in. na </w:t>
      </w:r>
      <w:r w:rsidRPr="00893862">
        <w:rPr>
          <w:bCs/>
        </w:rPr>
        <w:t>prowadzenie skoordynowanej ewidencji i rejestracji jednostek pasażerskich, jednostek przewożących materiały niebezpieczne oraz na szybką wymianę informacji o wynikach inspekcji (zatrzymania, zakazy wstępu do portów). Umożliwia także potwierdzanie dokumentów kwalifikacyjnych marynarzy zarejestrowanych w poszczególnych urzędach morskich.</w:t>
      </w:r>
      <w:r w:rsidR="00C620F9">
        <w:rPr>
          <w:bCs/>
        </w:rPr>
        <w:t xml:space="preserve"> </w:t>
      </w:r>
      <w:r w:rsidRPr="00893862">
        <w:rPr>
          <w:bCs/>
        </w:rPr>
        <w:t>Środowisko informatyczne pojedynczego punktu kontaktowego zostało w związku z praktycznym wdrożeniem dyrektywy 2010/65</w:t>
      </w:r>
      <w:r w:rsidR="00FF3B9A">
        <w:rPr>
          <w:bCs/>
        </w:rPr>
        <w:t>/UE</w:t>
      </w:r>
      <w:r w:rsidRPr="00893862">
        <w:rPr>
          <w:bCs/>
        </w:rPr>
        <w:t xml:space="preserve"> rozszerzone o dodatkowy interfejs przekazywania danych i formalności sprawozdawczych. Obok interfejsu graficznego (web </w:t>
      </w:r>
      <w:proofErr w:type="spellStart"/>
      <w:r w:rsidRPr="00893862">
        <w:rPr>
          <w:bCs/>
        </w:rPr>
        <w:t>user</w:t>
      </w:r>
      <w:proofErr w:type="spellEnd"/>
      <w:r w:rsidRPr="00893862">
        <w:rPr>
          <w:bCs/>
        </w:rPr>
        <w:t xml:space="preserve"> </w:t>
      </w:r>
      <w:proofErr w:type="spellStart"/>
      <w:r w:rsidRPr="00893862">
        <w:rPr>
          <w:bCs/>
        </w:rPr>
        <w:t>interface</w:t>
      </w:r>
      <w:proofErr w:type="spellEnd"/>
      <w:r w:rsidRPr="00893862">
        <w:rPr>
          <w:bCs/>
        </w:rPr>
        <w:t xml:space="preserve">), z którego korzystają agenci (opisany powyżej system PHICS), pojawił się interfejs systemowy (system-to-system), z którego korzystają obecnie armatorzy 12 statków (interfejs administrowany przez UMG). </w:t>
      </w:r>
      <w:r w:rsidR="00895446">
        <w:rPr>
          <w:bCs/>
        </w:rPr>
        <w:t>Obecne zmiany w dyrektywie 2017/210</w:t>
      </w:r>
      <w:r w:rsidR="00895446" w:rsidRPr="00893862">
        <w:rPr>
          <w:bCs/>
        </w:rPr>
        <w:t>9</w:t>
      </w:r>
      <w:r w:rsidR="00EB0C12">
        <w:rPr>
          <w:bCs/>
        </w:rPr>
        <w:t>/UE</w:t>
      </w:r>
      <w:r w:rsidR="00895446" w:rsidRPr="00893862">
        <w:rPr>
          <w:bCs/>
        </w:rPr>
        <w:t xml:space="preserve"> nie dotyczą podmiotów</w:t>
      </w:r>
      <w:r w:rsidR="00943BEB">
        <w:rPr>
          <w:bCs/>
        </w:rPr>
        <w:t>,</w:t>
      </w:r>
      <w:r w:rsidR="00895446" w:rsidRPr="00893862">
        <w:rPr>
          <w:bCs/>
        </w:rPr>
        <w:t xml:space="preserve"> do których trafiają informacje (już w tej chwili armatorzy statków pasażerskich muszą je przekazywać i</w:t>
      </w:r>
      <w:r w:rsidR="00AC1C98">
        <w:rPr>
          <w:bCs/>
        </w:rPr>
        <w:t>,</w:t>
      </w:r>
      <w:r w:rsidR="00895446" w:rsidRPr="00893862">
        <w:rPr>
          <w:bCs/>
        </w:rPr>
        <w:t xml:space="preserve"> jak wyjaśniano powyżej, poprzez Narodowy System SafeSeaNet </w:t>
      </w:r>
      <w:r w:rsidR="00895446">
        <w:rPr>
          <w:bCs/>
        </w:rPr>
        <w:t xml:space="preserve">mają do nich dostęp uprawnione podmioty, </w:t>
      </w:r>
      <w:r w:rsidR="00895446" w:rsidRPr="00893862">
        <w:rPr>
          <w:bCs/>
        </w:rPr>
        <w:t>co się nie zmieni), a jedyn</w:t>
      </w:r>
      <w:r w:rsidR="00895446">
        <w:rPr>
          <w:bCs/>
        </w:rPr>
        <w:t xml:space="preserve">ie sposobu </w:t>
      </w:r>
      <w:r w:rsidR="00895446" w:rsidRPr="00893862">
        <w:rPr>
          <w:bCs/>
        </w:rPr>
        <w:t xml:space="preserve">przekazywania tych informacji przez armatorów statków pasażerskich (np. obowiązek przekazywania </w:t>
      </w:r>
      <w:r w:rsidR="00895446">
        <w:rPr>
          <w:bCs/>
        </w:rPr>
        <w:t xml:space="preserve">informacji </w:t>
      </w:r>
      <w:r w:rsidR="00895446" w:rsidRPr="00893862">
        <w:rPr>
          <w:bCs/>
        </w:rPr>
        <w:t>bezpośrednio do pojedynczego punktu kontaktowego, a nie do dyrektora urzędu morskiego,</w:t>
      </w:r>
      <w:r w:rsidR="00895446">
        <w:rPr>
          <w:bCs/>
        </w:rPr>
        <w:t xml:space="preserve"> skrócenie czasu na przekazanie informacji z 30 do </w:t>
      </w:r>
      <w:r w:rsidR="00895446" w:rsidRPr="00893862">
        <w:rPr>
          <w:bCs/>
        </w:rPr>
        <w:t>15 min</w:t>
      </w:r>
      <w:r w:rsidR="006D1416">
        <w:rPr>
          <w:bCs/>
        </w:rPr>
        <w:t>ut</w:t>
      </w:r>
      <w:r w:rsidR="00895446" w:rsidRPr="00893862">
        <w:rPr>
          <w:bCs/>
        </w:rPr>
        <w:t xml:space="preserve"> od wyjścia z portu</w:t>
      </w:r>
      <w:r w:rsidR="00895446">
        <w:rPr>
          <w:bCs/>
        </w:rPr>
        <w:t>, wprowadzon</w:t>
      </w:r>
      <w:r w:rsidR="00CF4246">
        <w:rPr>
          <w:bCs/>
        </w:rPr>
        <w:t>e</w:t>
      </w:r>
      <w:r w:rsidR="00895446">
        <w:rPr>
          <w:bCs/>
        </w:rPr>
        <w:t xml:space="preserve"> </w:t>
      </w:r>
      <w:r w:rsidR="00895446" w:rsidRPr="00893862">
        <w:rPr>
          <w:bCs/>
        </w:rPr>
        <w:t>właśnie ze względu na elektronizację i uproszczenie sp</w:t>
      </w:r>
      <w:r w:rsidR="00895446">
        <w:rPr>
          <w:bCs/>
        </w:rPr>
        <w:t>osobu przekazywania informacji</w:t>
      </w:r>
      <w:r w:rsidR="00895446" w:rsidRPr="00893862">
        <w:rPr>
          <w:bCs/>
        </w:rPr>
        <w:t>).</w:t>
      </w:r>
    </w:p>
    <w:p w:rsidR="00893862" w:rsidRDefault="00893862" w:rsidP="005270D1">
      <w:pPr>
        <w:pStyle w:val="ARTartustawynprozporzdzenia"/>
        <w:ind w:firstLine="0"/>
        <w:rPr>
          <w:bCs/>
        </w:rPr>
      </w:pPr>
      <w:r w:rsidRPr="00893862">
        <w:rPr>
          <w:bCs/>
        </w:rPr>
        <w:t xml:space="preserve">Podsumowując, </w:t>
      </w:r>
      <w:r>
        <w:rPr>
          <w:bCs/>
        </w:rPr>
        <w:t xml:space="preserve">projektowane przepisy uwzględniają </w:t>
      </w:r>
      <w:r w:rsidRPr="00893862">
        <w:rPr>
          <w:bCs/>
        </w:rPr>
        <w:t>zmiany w aktach prawnych U</w:t>
      </w:r>
      <w:r w:rsidR="00016062">
        <w:rPr>
          <w:bCs/>
        </w:rPr>
        <w:t xml:space="preserve">nii </w:t>
      </w:r>
      <w:r w:rsidRPr="00893862">
        <w:rPr>
          <w:bCs/>
        </w:rPr>
        <w:t>E</w:t>
      </w:r>
      <w:r w:rsidR="00016062">
        <w:rPr>
          <w:bCs/>
        </w:rPr>
        <w:t>uropejskiej</w:t>
      </w:r>
      <w:r w:rsidRPr="00893862">
        <w:rPr>
          <w:bCs/>
        </w:rPr>
        <w:t xml:space="preserve"> oraz praktyczny rozwój</w:t>
      </w:r>
      <w:r>
        <w:rPr>
          <w:bCs/>
        </w:rPr>
        <w:t xml:space="preserve"> systemów elektronicznych.</w:t>
      </w:r>
      <w:r w:rsidR="00C620F9">
        <w:rPr>
          <w:bCs/>
        </w:rPr>
        <w:t xml:space="preserve"> </w:t>
      </w:r>
      <w:r w:rsidR="00D653B2" w:rsidRPr="00D653B2">
        <w:rPr>
          <w:bCs/>
        </w:rPr>
        <w:t>Należy pamiętać, że przepisy UBM</w:t>
      </w:r>
      <w:r w:rsidR="007A7A3E">
        <w:rPr>
          <w:bCs/>
        </w:rPr>
        <w:t>,</w:t>
      </w:r>
      <w:r w:rsidR="00D653B2" w:rsidRPr="00D653B2">
        <w:rPr>
          <w:bCs/>
        </w:rPr>
        <w:t xml:space="preserve"> ustawy o zapobiegani</w:t>
      </w:r>
      <w:r w:rsidR="005E6333">
        <w:rPr>
          <w:bCs/>
        </w:rPr>
        <w:t>u</w:t>
      </w:r>
      <w:r w:rsidR="00D653B2" w:rsidRPr="00D653B2">
        <w:rPr>
          <w:bCs/>
        </w:rPr>
        <w:t xml:space="preserve"> zanieczyszczaniu morza przez statki i ustawy o ochronie żeglugi i portów </w:t>
      </w:r>
      <w:r w:rsidR="00EE0A9A">
        <w:rPr>
          <w:bCs/>
        </w:rPr>
        <w:t xml:space="preserve">morskich (Dz. U. z 2019 r. poz. 692) </w:t>
      </w:r>
      <w:r w:rsidR="00D653B2" w:rsidRPr="00D653B2">
        <w:rPr>
          <w:bCs/>
        </w:rPr>
        <w:t xml:space="preserve">precyzują obowiązki informacyjne oraz podmioty (organy administracji morskiej, Morska Służba Poszukiwania i Ratownictwa), którym poszczególne rodzaje informacji są udostępniane. W praktyce dzieje się to w oparciu o prawa dostępu do Narodowego Systemu SafeSeaNet, których udziela </w:t>
      </w:r>
      <w:r w:rsidR="00D653B2" w:rsidRPr="00D653B2">
        <w:rPr>
          <w:bCs/>
        </w:rPr>
        <w:lastRenderedPageBreak/>
        <w:t>administrator systemu w odniesieniu do danych, które zgodnie z przepisami powinny trafić do danego podmiotu.</w:t>
      </w:r>
    </w:p>
    <w:p w:rsidR="002B1804" w:rsidRPr="00B5343D" w:rsidRDefault="002B1804" w:rsidP="005270D1">
      <w:pPr>
        <w:pStyle w:val="ARTartustawynprozporzdzenia"/>
        <w:ind w:firstLine="0"/>
        <w:rPr>
          <w:bCs/>
        </w:rPr>
      </w:pPr>
      <w:r>
        <w:rPr>
          <w:bCs/>
        </w:rPr>
        <w:t>Zmiana w art. 92</w:t>
      </w:r>
      <w:r w:rsidR="007A56BB">
        <w:rPr>
          <w:bCs/>
        </w:rPr>
        <w:t xml:space="preserve"> </w:t>
      </w:r>
      <w:r w:rsidR="003F1153">
        <w:rPr>
          <w:bCs/>
        </w:rPr>
        <w:t>UBM</w:t>
      </w:r>
      <w:r>
        <w:rPr>
          <w:bCs/>
        </w:rPr>
        <w:t xml:space="preserve"> jest zmianą wynikową związaną z dodaniem </w:t>
      </w:r>
      <w:r w:rsidR="003F1153">
        <w:rPr>
          <w:bCs/>
        </w:rPr>
        <w:t xml:space="preserve">pkt 26a w </w:t>
      </w:r>
      <w:r>
        <w:rPr>
          <w:bCs/>
        </w:rPr>
        <w:t>art. 5 UBM.</w:t>
      </w:r>
    </w:p>
    <w:p w:rsidR="00990E58" w:rsidRPr="00990E58" w:rsidRDefault="00990E58" w:rsidP="00990E58">
      <w:pPr>
        <w:pStyle w:val="NIEARTTEKSTtekstnieartykuowanynppodstprawnarozplubpreambua"/>
      </w:pPr>
      <w:r w:rsidRPr="00990E58">
        <w:t>Informacje dot</w:t>
      </w:r>
      <w:r w:rsidR="00FB51BC">
        <w:t>yczące</w:t>
      </w:r>
      <w:r w:rsidRPr="00990E58">
        <w:t xml:space="preserve"> osób podróżujących na statkach wymagane zgodnie z art. 103 UBM będą przekazywane bezpośrednio do pojedynczego punktu kontaktowego, </w:t>
      </w:r>
      <w:r w:rsidR="00B450CC">
        <w:t>zostaną zniesione</w:t>
      </w:r>
      <w:r w:rsidRPr="00990E58">
        <w:t xml:space="preserve"> natomiast istniejące w chwili obecnej wymogi prowadzenia przez armatorów systemów rejestracji informacji dotyczących pasażerów. Systemy te są zatwierdzane i kontrolowane przez dyrektorów urzędów morskich. Przekazywanie ww. informacji bezpośrednio do pojedynczego punktu kontaktowego umożliwi natychmiastowe ich udostępnienie </w:t>
      </w:r>
      <w:r w:rsidR="00EB1237">
        <w:t>(</w:t>
      </w:r>
      <w:r w:rsidRPr="00990E58">
        <w:t>np. w razie wypadku</w:t>
      </w:r>
      <w:r w:rsidR="00EB1237">
        <w:t>)</w:t>
      </w:r>
      <w:r w:rsidRPr="00990E58">
        <w:t xml:space="preserve"> Morskiej Służbie Poszukiwania i Ratownictwa oraz </w:t>
      </w:r>
      <w:r w:rsidR="00E5673B">
        <w:t>innym podmiotom zaangażowanym w </w:t>
      </w:r>
      <w:r w:rsidRPr="00990E58">
        <w:t>akcję poszukiwawczo-ratowniczą. W razie wypadku będą one mogły również zostać przekazane podmiotom ustawowo umocowanym do badania wypadków morskich: P</w:t>
      </w:r>
      <w:r w:rsidR="00C55562">
        <w:t xml:space="preserve">aństwowej </w:t>
      </w:r>
      <w:r w:rsidRPr="00990E58">
        <w:t>K</w:t>
      </w:r>
      <w:r w:rsidR="00C55562">
        <w:t xml:space="preserve">omisji </w:t>
      </w:r>
      <w:r w:rsidRPr="00990E58">
        <w:t>B</w:t>
      </w:r>
      <w:r w:rsidR="00C55562">
        <w:t xml:space="preserve">adania </w:t>
      </w:r>
      <w:r w:rsidRPr="00990E58">
        <w:t>W</w:t>
      </w:r>
      <w:r w:rsidR="00C55562">
        <w:t xml:space="preserve">ypadków </w:t>
      </w:r>
      <w:r w:rsidRPr="00990E58">
        <w:t>M</w:t>
      </w:r>
      <w:r w:rsidR="00C55562">
        <w:t>orskich</w:t>
      </w:r>
      <w:r w:rsidRPr="00990E58">
        <w:t xml:space="preserve"> oraz izbom morskim.</w:t>
      </w:r>
    </w:p>
    <w:p w:rsidR="00A56307" w:rsidRDefault="00990E58" w:rsidP="00E5673B">
      <w:pPr>
        <w:pStyle w:val="NIEARTTEKSTtekstnieartykuowanynppodstprawnarozplubpreambua"/>
      </w:pPr>
      <w:r w:rsidRPr="00990E58">
        <w:t xml:space="preserve">Korekty wymagał katalog informacji dotyczących osób podróżujących drogą morską zbieranych i przekazywanych przez armatora (art. 103 ust. 2 UBM). W odniesieniu do informacji wymienionych w </w:t>
      </w:r>
      <w:r w:rsidR="00CE659B">
        <w:t xml:space="preserve">projektowanych przepisach art. 103 ust. 2 </w:t>
      </w:r>
      <w:r w:rsidRPr="00990E58">
        <w:t xml:space="preserve">pkt 6 i 7 </w:t>
      </w:r>
      <w:r w:rsidR="00CE659B">
        <w:t xml:space="preserve">UBM </w:t>
      </w:r>
      <w:r w:rsidRPr="00990E58">
        <w:t>(szczególnych wymagań w zakresie opieki lub pomocy w nagłych wypadkach oraz numeru kontaktowego w nagłych wypadkach) należy zauważyć, że będą to dane podawane dobrowolnie. Natomiast w przypadku, w którym pasażer poda takie informacje, będzie to rodzić obowiązek po stronie armatora,</w:t>
      </w:r>
      <w:r w:rsidR="00E5673B">
        <w:t xml:space="preserve"> aby były one zarejestrowane, a </w:t>
      </w:r>
      <w:r w:rsidRPr="00990E58">
        <w:t>następnie przekazane kapitanowi statku (</w:t>
      </w:r>
      <w:r w:rsidR="00A757F2">
        <w:t xml:space="preserve">projektowany </w:t>
      </w:r>
      <w:r w:rsidRPr="00990E58">
        <w:t xml:space="preserve">art. 104 ust. 3 UBM). </w:t>
      </w:r>
    </w:p>
    <w:p w:rsidR="008E6317" w:rsidRPr="00D12655" w:rsidRDefault="008E6317" w:rsidP="005907D5">
      <w:pPr>
        <w:pStyle w:val="NIEARTTEKSTtekstnieartykuowanynppodstprawnarozplubpreambua"/>
      </w:pPr>
      <w:r>
        <w:t>W odniesieniu do armatorów jachtów komercyjnych przewiduje się, że będą oni mieli możliwość przekazywania informacji dot</w:t>
      </w:r>
      <w:r w:rsidR="006D1416">
        <w:t>yczących</w:t>
      </w:r>
      <w:r>
        <w:t xml:space="preserve"> pasażerów przy użyciu aplikacji mobilnej</w:t>
      </w:r>
      <w:r w:rsidR="00D0167E">
        <w:t>, a w okresie przejściowym (art.</w:t>
      </w:r>
      <w:r w:rsidR="002B1804">
        <w:t xml:space="preserve"> 4</w:t>
      </w:r>
      <w:r w:rsidR="006A03D7">
        <w:t xml:space="preserve"> projektu ustawy</w:t>
      </w:r>
      <w:r w:rsidR="00D0167E">
        <w:t>) również w postaci papierowej, tak jak dotychczas</w:t>
      </w:r>
      <w:r>
        <w:t>.</w:t>
      </w:r>
      <w:r w:rsidR="00C620F9">
        <w:t xml:space="preserve"> </w:t>
      </w:r>
      <w:r w:rsidR="008A0A33">
        <w:t xml:space="preserve">Jachty komercyjne nie są obsługiwane </w:t>
      </w:r>
      <w:r w:rsidR="00895446">
        <w:t xml:space="preserve">przez agentów i </w:t>
      </w:r>
      <w:r w:rsidR="008A0A33">
        <w:t xml:space="preserve">stąd </w:t>
      </w:r>
      <w:r w:rsidR="00895446">
        <w:t xml:space="preserve">przekazanie informacji poprzez system PHICS </w:t>
      </w:r>
      <w:r w:rsidR="008A0A33">
        <w:t>nie byłoby w zasadzie możliwe</w:t>
      </w:r>
      <w:r w:rsidR="00895446">
        <w:t xml:space="preserve">. Koszt </w:t>
      </w:r>
      <w:r w:rsidR="0069636D">
        <w:t xml:space="preserve">wyprodukowania oraz wdrożenia do użytkowania </w:t>
      </w:r>
      <w:r w:rsidR="00895446">
        <w:t xml:space="preserve">aplikacji mobilnej </w:t>
      </w:r>
      <w:r w:rsidR="00F60D14">
        <w:t xml:space="preserve">oszacowany został </w:t>
      </w:r>
      <w:r w:rsidR="0069636D">
        <w:t xml:space="preserve">na 300 000 zł. </w:t>
      </w:r>
      <w:r w:rsidR="002D585F">
        <w:t>W przyszłości będzie mogła ona zostać rozszerzona o dodatkowe funkcjonalności zwiększające bezpieczeństwo, takie jak dystrybucja ostrzeżeń nawigacyjnych i meteorologicznych, czy możliwość wzywania pomocy wraz z przesłaniem pozycji.</w:t>
      </w:r>
    </w:p>
    <w:p w:rsidR="003B68FC" w:rsidRDefault="008A5317" w:rsidP="003B68FC">
      <w:pPr>
        <w:pStyle w:val="NIEARTTEKSTtekstnieartykuowanynppodstprawnarozplubpreambua"/>
      </w:pPr>
      <w:r w:rsidRPr="0001103A">
        <w:t>Przewidziano również</w:t>
      </w:r>
      <w:r w:rsidR="009B0B80" w:rsidRPr="0001103A">
        <w:t xml:space="preserve"> (</w:t>
      </w:r>
      <w:r w:rsidR="00872987">
        <w:t xml:space="preserve">projektowany </w:t>
      </w:r>
      <w:r w:rsidR="009B0B80" w:rsidRPr="0001103A">
        <w:t>art. 104a UBM)</w:t>
      </w:r>
      <w:r w:rsidRPr="0001103A">
        <w:t xml:space="preserve">, że dane osobowe pasażerów </w:t>
      </w:r>
      <w:r w:rsidR="00D12655" w:rsidRPr="0001103A">
        <w:t xml:space="preserve">nie mogą być przetwarzane ani wykorzystywane w jakimkolwiek innym celu niż określony </w:t>
      </w:r>
      <w:r w:rsidR="00D12655" w:rsidRPr="0001103A">
        <w:lastRenderedPageBreak/>
        <w:t xml:space="preserve">przepisami </w:t>
      </w:r>
      <w:r w:rsidR="00226EE3">
        <w:t>UBM</w:t>
      </w:r>
      <w:r w:rsidR="00D12655" w:rsidRPr="0001103A">
        <w:t xml:space="preserve"> i zostają automatycznie i niezwłocznie usunięte po bezpiecznym zakończeniu rejsu, ale nie później ni</w:t>
      </w:r>
      <w:r w:rsidRPr="0001103A">
        <w:t>ż 60 dni po rozpoczęciu rejsu.</w:t>
      </w:r>
      <w:r w:rsidR="00C620F9" w:rsidRPr="0001103A">
        <w:t xml:space="preserve"> </w:t>
      </w:r>
      <w:r w:rsidR="0069636D" w:rsidRPr="0001103A">
        <w:t xml:space="preserve">Z tego względu </w:t>
      </w:r>
      <w:r w:rsidR="00BF5F25">
        <w:rPr>
          <w:rFonts w:hint="eastAsia"/>
        </w:rPr>
        <w:t>będą</w:t>
      </w:r>
      <w:r w:rsidR="00BF5F25">
        <w:t xml:space="preserve"> </w:t>
      </w:r>
      <w:r w:rsidR="0069636D" w:rsidRPr="0001103A">
        <w:t>konieczne zmiany w systemie kontrolno</w:t>
      </w:r>
      <w:r w:rsidR="006D1416" w:rsidRPr="0001103A">
        <w:t>-</w:t>
      </w:r>
      <w:r w:rsidR="0069636D" w:rsidRPr="0001103A">
        <w:t xml:space="preserve">informacyjnym dla portów polskich (PHICS), tak </w:t>
      </w:r>
      <w:r w:rsidR="0082070E">
        <w:t>a</w:t>
      </w:r>
      <w:r w:rsidR="0069636D" w:rsidRPr="0001103A">
        <w:t>by zapewnić automatyczne usuwanie danych pasażerów z systemu, po bezpiecznym zakończeniu podróży. Koszt wdrożenia ww. funkcjonalności został oszacowany na 35 000 zł.</w:t>
      </w:r>
      <w:r w:rsidR="00B72235">
        <w:t xml:space="preserve"> Obowiązek usunięcia danych osobowych będzie obejmował systemy teleinformatyczne i bazy danych podmiotów, którym dane te zostaną udostępnione</w:t>
      </w:r>
      <w:r w:rsidR="00070889">
        <w:t>.</w:t>
      </w:r>
    </w:p>
    <w:p w:rsidR="00893862" w:rsidRDefault="00893862" w:rsidP="005907D5">
      <w:pPr>
        <w:pStyle w:val="ARTartustawynprozporzdzenia"/>
      </w:pPr>
      <w:r w:rsidRPr="00893862">
        <w:t xml:space="preserve">Należy ponownie podkreślić, że </w:t>
      </w:r>
      <w:r w:rsidR="004F77E2">
        <w:t>p</w:t>
      </w:r>
      <w:r w:rsidRPr="00893862">
        <w:t xml:space="preserve">ojedynczy </w:t>
      </w:r>
      <w:r w:rsidR="004F77E2">
        <w:t>p</w:t>
      </w:r>
      <w:r w:rsidRPr="00893862">
        <w:t xml:space="preserve">unkt </w:t>
      </w:r>
      <w:r w:rsidR="004F77E2">
        <w:t>k</w:t>
      </w:r>
      <w:r w:rsidRPr="00893862">
        <w:t xml:space="preserve">ontaktowy funkcjonuje, ale do tej pory nie miał umocowania </w:t>
      </w:r>
      <w:r w:rsidR="009B0B80" w:rsidRPr="00893862">
        <w:t>ustawowego</w:t>
      </w:r>
      <w:r w:rsidR="006C0C50">
        <w:t>. Zmiany w </w:t>
      </w:r>
      <w:r w:rsidR="009B0B80">
        <w:t>zakresie przepisów o rejestracji pasażerów będą wymagały wydania nowego rozporządzenia w tej materii na podstawie zmienionej delegacji ustawowej (</w:t>
      </w:r>
      <w:r w:rsidR="00872987">
        <w:t xml:space="preserve">projektowany </w:t>
      </w:r>
      <w:r w:rsidR="009B0B80">
        <w:t>art. 106 UBM).</w:t>
      </w:r>
    </w:p>
    <w:p w:rsidR="002B1804" w:rsidRPr="00893862" w:rsidRDefault="002B1804" w:rsidP="005907D5">
      <w:pPr>
        <w:pStyle w:val="ARTartustawynprozporzdzenia"/>
      </w:pPr>
      <w:r>
        <w:t>Powyżej opisane zmiany związane z wdrożeniem dyrektywy 2017/2109</w:t>
      </w:r>
      <w:r w:rsidR="00EB0C12">
        <w:t>/UE</w:t>
      </w:r>
      <w:r>
        <w:t xml:space="preserve"> wymagają również zmiany delegacji do wydania </w:t>
      </w:r>
      <w:r w:rsidR="00526985">
        <w:t>aktu</w:t>
      </w:r>
      <w:r>
        <w:t xml:space="preserve"> wykonawczego zawartej w art. 106 UBM.</w:t>
      </w:r>
    </w:p>
    <w:p w:rsidR="0047553A" w:rsidRDefault="00E20DFA" w:rsidP="005907D5">
      <w:pPr>
        <w:pStyle w:val="NIEARTTEKSTtekstnieartykuowanynppodstprawnarozplubpreambua"/>
      </w:pPr>
      <w:r>
        <w:t>Zmian</w:t>
      </w:r>
      <w:r w:rsidR="00144C32">
        <w:t>a</w:t>
      </w:r>
      <w:r w:rsidR="0047553A" w:rsidRPr="0047553A">
        <w:t xml:space="preserve"> w art. 126 pkt 5 </w:t>
      </w:r>
      <w:r w:rsidR="00607918">
        <w:t xml:space="preserve">UBM </w:t>
      </w:r>
      <w:r w:rsidR="00144C32">
        <w:t>jest</w:t>
      </w:r>
      <w:r>
        <w:t xml:space="preserve"> spowodowan</w:t>
      </w:r>
      <w:r w:rsidR="00144C32">
        <w:t>a</w:t>
      </w:r>
      <w:r>
        <w:t xml:space="preserve"> koniecznością ujednolicenia słownictwa („statek” zamiast „prom”).</w:t>
      </w:r>
    </w:p>
    <w:p w:rsidR="00B568E3" w:rsidRPr="00B568E3" w:rsidRDefault="00E20DFA" w:rsidP="00B568E3">
      <w:pPr>
        <w:pStyle w:val="NIEARTTEKSTtekstnieartykuowanynppodstprawnarozplubpreambua"/>
      </w:pPr>
      <w:r>
        <w:t xml:space="preserve">Zmiany </w:t>
      </w:r>
      <w:r w:rsidR="0047553A" w:rsidRPr="0047553A">
        <w:t xml:space="preserve">w załączniku do </w:t>
      </w:r>
      <w:r w:rsidR="00BC1916">
        <w:t>UBM</w:t>
      </w:r>
      <w:r w:rsidR="0047553A" w:rsidRPr="0047553A">
        <w:t xml:space="preserve"> </w:t>
      </w:r>
      <w:r>
        <w:t>umożliwią pobieranie opłat z</w:t>
      </w:r>
      <w:r w:rsidR="0047553A" w:rsidRPr="0047553A">
        <w:t xml:space="preserve">a </w:t>
      </w:r>
      <w:r w:rsidR="0007547D">
        <w:t xml:space="preserve">inspekcję w trakcie uprawiania żeglugi na linii regularnej oraz za </w:t>
      </w:r>
      <w:r w:rsidR="0047553A" w:rsidRPr="0047553A">
        <w:t>ponowną inspekcję statku zatrzymanego przez organ inspekcyjny</w:t>
      </w:r>
      <w:r>
        <w:t>,</w:t>
      </w:r>
      <w:r w:rsidR="00C620F9">
        <w:t xml:space="preserve"> </w:t>
      </w:r>
      <w:r>
        <w:t xml:space="preserve">także w przypadku zatrzymania </w:t>
      </w:r>
      <w:r w:rsidR="006C0C50">
        <w:t>statku o </w:t>
      </w:r>
      <w:r w:rsidR="002002A2">
        <w:t xml:space="preserve">polskiej przynależności </w:t>
      </w:r>
      <w:r>
        <w:t>przez inspekcję państwa bandery.</w:t>
      </w:r>
      <w:r w:rsidR="00B568E3">
        <w:t xml:space="preserve"> </w:t>
      </w:r>
      <w:r w:rsidR="00B568E3" w:rsidRPr="00B568E3">
        <w:t xml:space="preserve">W odniesieniu do </w:t>
      </w:r>
      <w:r w:rsidR="00B568E3">
        <w:t>szacowanych</w:t>
      </w:r>
      <w:r w:rsidR="00B568E3" w:rsidRPr="00B568E3">
        <w:t xml:space="preserve"> skutków umożliwienia pobierania </w:t>
      </w:r>
      <w:r w:rsidR="00B568E3">
        <w:t xml:space="preserve">ww. </w:t>
      </w:r>
      <w:r w:rsidR="00B568E3" w:rsidRPr="00B568E3">
        <w:t>opłat należy zauważyć, że:</w:t>
      </w:r>
    </w:p>
    <w:p w:rsidR="00B568E3" w:rsidRPr="00B568E3" w:rsidRDefault="00B568E3" w:rsidP="00B568E3">
      <w:pPr>
        <w:pStyle w:val="ARTartustawynprozporzdzenia"/>
        <w:numPr>
          <w:ilvl w:val="0"/>
          <w:numId w:val="5"/>
        </w:numPr>
      </w:pPr>
      <w:r w:rsidRPr="00B568E3">
        <w:t>w chwili obecnej nie ma żadnego statku pasażerskiego pod polską banderą, który podlegałby obowiązkowym inspekcjom w trakcie uprawiania regularnej żeglugi zgodnie z dyrektywą 2017/2110</w:t>
      </w:r>
      <w:r w:rsidR="00EB0C12">
        <w:t>/UE</w:t>
      </w:r>
      <w:r w:rsidRPr="00B568E3">
        <w:t xml:space="preserve">; </w:t>
      </w:r>
    </w:p>
    <w:p w:rsidR="00B568E3" w:rsidRPr="00B568E3" w:rsidRDefault="00B568E3" w:rsidP="00B568E3">
      <w:pPr>
        <w:pStyle w:val="ARTartustawynprozporzdzenia"/>
        <w:numPr>
          <w:ilvl w:val="0"/>
          <w:numId w:val="5"/>
        </w:numPr>
      </w:pPr>
      <w:r w:rsidRPr="00B568E3">
        <w:t>na przestrzeni wielu lat nie odnotowano żadnego przypadku zatrzymania statku o polskiej przynależności przez inspekcję państwa bandery, a w konsekwencji – potrzeby przeprowadzenia ponownej inspekcji;</w:t>
      </w:r>
    </w:p>
    <w:p w:rsidR="00D71436" w:rsidRPr="00D71436" w:rsidRDefault="00B568E3" w:rsidP="00B568E3">
      <w:pPr>
        <w:pStyle w:val="ARTartustawynprozporzdzenia"/>
        <w:numPr>
          <w:ilvl w:val="0"/>
          <w:numId w:val="5"/>
        </w:numPr>
      </w:pPr>
      <w:r w:rsidRPr="00B568E3">
        <w:t xml:space="preserve">mając na uwadze powyższe, potencjalne </w:t>
      </w:r>
      <w:r>
        <w:t>wpływy z opłat</w:t>
      </w:r>
      <w:r w:rsidR="007A32BD">
        <w:t>,</w:t>
      </w:r>
      <w:r w:rsidRPr="00B568E3">
        <w:t xml:space="preserve"> nawet jeżeli zostaną odnotowane, będą nieodczuwalne dla budżetu państwa (kilka tysięcy zł rocznie).</w:t>
      </w:r>
    </w:p>
    <w:p w:rsidR="00C84415" w:rsidRDefault="00363B10" w:rsidP="00222A3B">
      <w:pPr>
        <w:pStyle w:val="NIEARTTEKSTtekstnieartykuowanynppodstprawnarozplubpreambua"/>
      </w:pPr>
      <w:r w:rsidRPr="00363B10">
        <w:t xml:space="preserve">W art. </w:t>
      </w:r>
      <w:r w:rsidR="005036B1">
        <w:t>2</w:t>
      </w:r>
      <w:r w:rsidR="00E70E87">
        <w:t>–</w:t>
      </w:r>
      <w:r w:rsidR="002B1804">
        <w:t>4</w:t>
      </w:r>
      <w:r w:rsidR="00E70E87">
        <w:t xml:space="preserve"> </w:t>
      </w:r>
      <w:r w:rsidR="006F3428">
        <w:t xml:space="preserve">projektu ustawy </w:t>
      </w:r>
      <w:r w:rsidRPr="00363B10">
        <w:t>wprowadzono przepis</w:t>
      </w:r>
      <w:r w:rsidR="00125B24">
        <w:t>y</w:t>
      </w:r>
      <w:r w:rsidRPr="00363B10">
        <w:t xml:space="preserve"> przejściow</w:t>
      </w:r>
      <w:r w:rsidR="00125B24">
        <w:t>e</w:t>
      </w:r>
      <w:r w:rsidR="00455B0C">
        <w:t>.</w:t>
      </w:r>
      <w:r w:rsidR="00455B0C" w:rsidRPr="00C71781">
        <w:t xml:space="preserve"> </w:t>
      </w:r>
      <w:r w:rsidR="00455B0C">
        <w:t xml:space="preserve">Do inspekcji statków rozpoczętych i niezakończonych przed dniem wejścia w życie </w:t>
      </w:r>
      <w:r w:rsidR="006A545F">
        <w:t xml:space="preserve">projektowanej </w:t>
      </w:r>
      <w:r w:rsidR="00455B0C">
        <w:t>ustawy stosuje się przepisy dotychczasowe.</w:t>
      </w:r>
    </w:p>
    <w:p w:rsidR="00455B0C" w:rsidRDefault="00455B0C" w:rsidP="00455B0C">
      <w:pPr>
        <w:pStyle w:val="ARTartustawynprozporzdzenia"/>
      </w:pPr>
      <w:r>
        <w:lastRenderedPageBreak/>
        <w:t xml:space="preserve">W </w:t>
      </w:r>
      <w:r w:rsidR="002B1804">
        <w:t xml:space="preserve">art. 3 </w:t>
      </w:r>
      <w:r w:rsidR="006F3428">
        <w:t>projektu ustawy p</w:t>
      </w:r>
      <w:r>
        <w:t>rzewiduje się, że d</w:t>
      </w:r>
      <w:r w:rsidRPr="0095562C">
        <w:t>okumenty wydane na podstawie przepisów dotychczasowych zachowują ważność przez okres, na jaki zostały wydane.</w:t>
      </w:r>
      <w:r w:rsidR="00C620F9">
        <w:t xml:space="preserve"> </w:t>
      </w:r>
    </w:p>
    <w:p w:rsidR="00455B0C" w:rsidRDefault="00455B0C" w:rsidP="003449A7">
      <w:pPr>
        <w:pStyle w:val="ARTartustawynprozporzdzenia"/>
      </w:pPr>
      <w:r>
        <w:t xml:space="preserve">Armatorzy jachtów komercyjnych </w:t>
      </w:r>
      <w:r w:rsidRPr="00AE24AE">
        <w:t>do dnia 31 grudnia 2020 r</w:t>
      </w:r>
      <w:r w:rsidR="001F02C2">
        <w:t>.</w:t>
      </w:r>
      <w:r>
        <w:t xml:space="preserve"> </w:t>
      </w:r>
      <w:r w:rsidRPr="00AE24AE">
        <w:t xml:space="preserve">mogą przekazywać </w:t>
      </w:r>
      <w:r>
        <w:t>informacje dotyczące osób podróżujących na jachcie za pośrednictwem kapitanat</w:t>
      </w:r>
      <w:r w:rsidR="006C0C50">
        <w:t>ów i </w:t>
      </w:r>
      <w:r>
        <w:t>bosmanatów portów</w:t>
      </w:r>
      <w:r w:rsidRPr="00AE24AE">
        <w:t xml:space="preserve"> w postaci papierowej</w:t>
      </w:r>
      <w:r w:rsidR="00E70E87">
        <w:t>,</w:t>
      </w:r>
      <w:r w:rsidR="006C0C50">
        <w:t xml:space="preserve"> tak jak to czynili dotychczas</w:t>
      </w:r>
      <w:r w:rsidR="00E70E87">
        <w:t xml:space="preserve"> (art. 4 projektu ustawy)</w:t>
      </w:r>
      <w:r>
        <w:t>.</w:t>
      </w:r>
    </w:p>
    <w:p w:rsidR="0047553A" w:rsidRPr="00D12655" w:rsidRDefault="00455B0C" w:rsidP="005907D5">
      <w:pPr>
        <w:pStyle w:val="NIEARTTEKSTtekstnieartykuowanynppodstprawnarozplubpreambua"/>
      </w:pPr>
      <w:r>
        <w:t xml:space="preserve">Przepisy przejściowe </w:t>
      </w:r>
      <w:r w:rsidR="00363B10" w:rsidRPr="00363B10">
        <w:t>maj</w:t>
      </w:r>
      <w:r w:rsidR="0001103A">
        <w:t>ą również</w:t>
      </w:r>
      <w:r w:rsidR="00363B10" w:rsidRPr="00363B10">
        <w:t xml:space="preserve"> na celu </w:t>
      </w:r>
      <w:r w:rsidR="0007547D">
        <w:t>utrzymanie</w:t>
      </w:r>
      <w:r w:rsidR="00363B10" w:rsidRPr="00363B10">
        <w:t xml:space="preserve"> w mocy dotychczasowych przepisów wykonawczych wydawanych na podstawie zmienianych delegacji ustawowych</w:t>
      </w:r>
      <w:r w:rsidR="00405148">
        <w:t xml:space="preserve"> (art. 5 projektu ustawy)</w:t>
      </w:r>
      <w:r w:rsidR="00363B10" w:rsidRPr="00363B10">
        <w:t xml:space="preserve">. W konsekwencji zmiany delegacji ustawowych </w:t>
      </w:r>
      <w:r w:rsidR="00BF5F25">
        <w:rPr>
          <w:rFonts w:hint="eastAsia"/>
        </w:rPr>
        <w:t>będzie</w:t>
      </w:r>
      <w:r w:rsidR="00BF5F25">
        <w:t xml:space="preserve"> </w:t>
      </w:r>
      <w:r w:rsidR="00363B10" w:rsidRPr="00363B10">
        <w:t xml:space="preserve">konieczne wydanie nowych rozporządzeń. Nie przewiduje się zasadniczych zmian w przedmiotowych rozporządzeniach, a ewentualnie uzupełnienia o zmiany wprowadzane w </w:t>
      </w:r>
      <w:r w:rsidR="006C0C50">
        <w:t xml:space="preserve">delegacji ustawowej. </w:t>
      </w:r>
      <w:r w:rsidR="0001103A">
        <w:t xml:space="preserve">W odniesieniu do trzech </w:t>
      </w:r>
      <w:r w:rsidR="00526985">
        <w:t>aktów</w:t>
      </w:r>
      <w:r w:rsidR="0001103A">
        <w:t xml:space="preserve"> wykonawczych przewidziano, że okres ich ważności nie może potrwać dłużej niż 12 miesięcy</w:t>
      </w:r>
      <w:r w:rsidR="00F52B03">
        <w:t xml:space="preserve"> od dnia wejścia w życie projektowanej ustawy</w:t>
      </w:r>
      <w:r w:rsidR="0001103A">
        <w:t xml:space="preserve">. Są to rozporządzenia, które będą </w:t>
      </w:r>
      <w:r w:rsidR="0007547D">
        <w:t>wdrażać przepisy dyrektyw dot</w:t>
      </w:r>
      <w:r w:rsidR="00607918">
        <w:t>yczące</w:t>
      </w:r>
      <w:r w:rsidR="0007547D">
        <w:t xml:space="preserve"> statków pasażerskich. W odniesieniu do rozporządzenia wydawanego </w:t>
      </w:r>
      <w:r w:rsidR="00D73E2A">
        <w:t>na podstawie</w:t>
      </w:r>
      <w:r w:rsidR="0007547D">
        <w:t xml:space="preserve"> delegacji zawartej w art. 86 ust. 12 </w:t>
      </w:r>
      <w:r w:rsidR="00D73E2A">
        <w:t>UBM</w:t>
      </w:r>
      <w:r w:rsidR="0007547D">
        <w:t xml:space="preserve"> zaproponowano utrzymanie go w mocy przez 24 </w:t>
      </w:r>
      <w:r w:rsidR="00607918">
        <w:t xml:space="preserve">miesiące </w:t>
      </w:r>
      <w:r w:rsidR="00DF1154">
        <w:t>od dnia wejścia w życie projektowanej ustawy</w:t>
      </w:r>
      <w:r w:rsidR="0007547D">
        <w:t>. Rozporządzenie to nie wymaga zmian poza ujednoliceniem słownictwa.</w:t>
      </w:r>
    </w:p>
    <w:p w:rsidR="00A548A4" w:rsidRDefault="0066060C" w:rsidP="00222A3B">
      <w:pPr>
        <w:pStyle w:val="NIEARTTEKSTtekstnieartykuowanynppodstprawnarozplubpreambua"/>
      </w:pPr>
      <w:r>
        <w:t xml:space="preserve">Przewiduje się, że </w:t>
      </w:r>
      <w:r w:rsidR="00B47F0C">
        <w:t xml:space="preserve">projektowana </w:t>
      </w:r>
      <w:r w:rsidR="003E50E9">
        <w:t>ustawa</w:t>
      </w:r>
      <w:r w:rsidR="00316A0B" w:rsidRPr="00316A0B">
        <w:t xml:space="preserve"> w</w:t>
      </w:r>
      <w:r>
        <w:t>ejdzie</w:t>
      </w:r>
      <w:r w:rsidR="00316A0B" w:rsidRPr="00316A0B">
        <w:t xml:space="preserve"> w życie w dniu </w:t>
      </w:r>
      <w:r w:rsidR="003E50E9">
        <w:t>21 grudnia 201</w:t>
      </w:r>
      <w:r w:rsidR="00455B0C">
        <w:t>9</w:t>
      </w:r>
      <w:r w:rsidR="00C55E4D">
        <w:t xml:space="preserve"> r. </w:t>
      </w:r>
      <w:r w:rsidR="00D57848">
        <w:t xml:space="preserve">– </w:t>
      </w:r>
      <w:r w:rsidR="00C55E4D">
        <w:t>do tego dnia państwa członkowskie maj</w:t>
      </w:r>
      <w:r w:rsidR="00607918">
        <w:t>ą</w:t>
      </w:r>
      <w:r w:rsidR="00C55E4D">
        <w:t xml:space="preserve"> obowiązek wdrożyć przepisy pakietu dyrektyw pasażerskich i stosować nowe wymagania w tym zakresie. Od tego dnia EMSA udostępni bazy danych wyników inspekcji</w:t>
      </w:r>
      <w:r w:rsidR="00D91DF7">
        <w:t>,</w:t>
      </w:r>
      <w:r w:rsidR="00C55E4D">
        <w:t xml:space="preserve"> aby państwa członkowskie mogły realizować obowiązki sprawozdawcze.</w:t>
      </w:r>
      <w:r w:rsidR="001376B6">
        <w:t xml:space="preserve"> </w:t>
      </w:r>
    </w:p>
    <w:p w:rsidR="00F170B7" w:rsidRPr="008664CC" w:rsidRDefault="00F170B7" w:rsidP="005907D5">
      <w:pPr>
        <w:pStyle w:val="NIEARTTEKSTtekstnieartykuowanynppodstprawnarozplubpreambua"/>
      </w:pPr>
      <w:r w:rsidRPr="008664CC">
        <w:t xml:space="preserve">Nie zachodzi konieczność przedstawiania projektu </w:t>
      </w:r>
      <w:r w:rsidR="00ED4633">
        <w:t>ustawy</w:t>
      </w:r>
      <w:r>
        <w:t xml:space="preserve"> właściwym instytucjom </w:t>
      </w:r>
      <w:r w:rsidRPr="008664CC">
        <w:t xml:space="preserve">i organom Unii Europejskiej zgodnie z § 39 </w:t>
      </w:r>
      <w:r w:rsidR="00ED4633">
        <w:t xml:space="preserve">ust. 1 </w:t>
      </w:r>
      <w:r w:rsidRPr="008664CC">
        <w:t>uchwały nr 190 Rady Ministrów</w:t>
      </w:r>
      <w:r w:rsidR="00C620F9">
        <w:t xml:space="preserve"> </w:t>
      </w:r>
      <w:r w:rsidRPr="008664CC">
        <w:t>z</w:t>
      </w:r>
      <w:r w:rsidR="00C67192">
        <w:t> </w:t>
      </w:r>
      <w:r w:rsidR="00E47C56">
        <w:t>dnia 29 </w:t>
      </w:r>
      <w:r w:rsidRPr="008664CC">
        <w:t>października 2013 r. – Regulamin pracy Rady Ministrów (M.P. z 2016 r. poz. 1006, z późn. zm.).</w:t>
      </w:r>
    </w:p>
    <w:p w:rsidR="00F170B7" w:rsidRPr="008664CC" w:rsidRDefault="00F170B7" w:rsidP="005907D5">
      <w:pPr>
        <w:pStyle w:val="NIEARTTEKSTtekstnieartykuowanynppodstprawnarozplubpreambua"/>
      </w:pPr>
      <w:r w:rsidRPr="008664CC">
        <w:t>Przedmiotowa regulacja nie wywiera wpływu na działalność mikroprzedsiębiorców, małych i średnich przedsiębiorców.</w:t>
      </w:r>
    </w:p>
    <w:p w:rsidR="00F170B7" w:rsidRPr="008664CC" w:rsidRDefault="0032132D" w:rsidP="005907D5">
      <w:pPr>
        <w:pStyle w:val="NIEARTTEKSTtekstnieartykuowanynppodstprawnarozplubpreambua"/>
      </w:pPr>
      <w:r>
        <w:t>Projekt ustawy</w:t>
      </w:r>
      <w:r w:rsidR="00F170B7" w:rsidRPr="008664CC">
        <w:t xml:space="preserve"> nie podlega notyfikacji Komisji Europejskiej zgodnie z § 4 rozporządzenia Rady Ministrów z dnia 23 grudnia 2002 r. w sprawie sposobu funkcjonowania krajowego systemu notyfikacji norm i aktów prawnych (Dz. U. poz. 2039</w:t>
      </w:r>
      <w:r w:rsidR="00E71F28">
        <w:t xml:space="preserve"> oraz z 2004 r. poz. 597</w:t>
      </w:r>
      <w:r w:rsidR="00F170B7" w:rsidRPr="008664CC">
        <w:t>).</w:t>
      </w:r>
    </w:p>
    <w:p w:rsidR="00F170B7" w:rsidRPr="008664CC" w:rsidRDefault="00F170B7" w:rsidP="005907D5">
      <w:pPr>
        <w:pStyle w:val="NIEARTTEKSTtekstnieartykuowanynppodstprawnarozplubpreambua"/>
      </w:pPr>
      <w:r w:rsidRPr="008664CC">
        <w:lastRenderedPageBreak/>
        <w:t xml:space="preserve">Stosownie do art. 5 ustawy z dnia 7 lipca 2005 r. o działalności lobbingowej w procesie stanowienia prawa (Dz. U. z 2017 r. poz. 248) projekt </w:t>
      </w:r>
      <w:r w:rsidR="0007547D">
        <w:t>ustawy</w:t>
      </w:r>
      <w:r w:rsidRPr="008664CC">
        <w:t xml:space="preserve"> został zamieszczony </w:t>
      </w:r>
      <w:r w:rsidR="006C64D0">
        <w:t>w </w:t>
      </w:r>
      <w:r w:rsidRPr="008664CC">
        <w:t xml:space="preserve">Biuletynie Informacji Publicznej Ministerstwa Gospodarki Morskiej i Żeglugi Śródlądowej. Projekt </w:t>
      </w:r>
      <w:r w:rsidR="00146833">
        <w:t>ustawy</w:t>
      </w:r>
      <w:r w:rsidRPr="008664CC">
        <w:t xml:space="preserve"> został zamieszczony również na stronie internetowej Rządowego Centrum Legislacji w zakładce Rządowy Proces Legislacyjny. </w:t>
      </w:r>
    </w:p>
    <w:p w:rsidR="00F170B7" w:rsidRPr="00F170B7" w:rsidRDefault="006203E7" w:rsidP="005907D5">
      <w:pPr>
        <w:pStyle w:val="NIEARTTEKSTtekstnieartykuowanynppodstprawnarozplubpreambua"/>
      </w:pPr>
      <w:r>
        <w:t>Projekt ustawy</w:t>
      </w:r>
      <w:r w:rsidR="00F170B7" w:rsidRPr="008664CC">
        <w:t xml:space="preserve"> jest zgodny z prawem Unii Europejskiej.</w:t>
      </w:r>
    </w:p>
    <w:sectPr w:rsidR="00F170B7" w:rsidRPr="00F170B7" w:rsidSect="00E47C56">
      <w:headerReference w:type="default" r:id="rId8"/>
      <w:footerReference w:type="default" r:id="rId9"/>
      <w:pgSz w:w="11906" w:h="16838"/>
      <w:pgMar w:top="1276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5E4" w:rsidRDefault="00F445E4" w:rsidP="00A548A4">
      <w:pPr>
        <w:spacing w:after="0" w:line="240" w:lineRule="auto"/>
      </w:pPr>
      <w:r>
        <w:separator/>
      </w:r>
    </w:p>
  </w:endnote>
  <w:endnote w:type="continuationSeparator" w:id="0">
    <w:p w:rsidR="00F445E4" w:rsidRDefault="00F445E4" w:rsidP="00A54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7938861"/>
      <w:docPartObj>
        <w:docPartGallery w:val="Page Numbers (Bottom of Page)"/>
        <w:docPartUnique/>
      </w:docPartObj>
    </w:sdtPr>
    <w:sdtEndPr/>
    <w:sdtContent>
      <w:p w:rsidR="00715058" w:rsidRDefault="00715058" w:rsidP="0071505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093">
          <w:rPr>
            <w:noProof/>
          </w:rPr>
          <w:t>13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5E4" w:rsidRDefault="00F445E4" w:rsidP="00A548A4">
      <w:pPr>
        <w:spacing w:after="0" w:line="240" w:lineRule="auto"/>
      </w:pPr>
      <w:r>
        <w:separator/>
      </w:r>
    </w:p>
  </w:footnote>
  <w:footnote w:type="continuationSeparator" w:id="0">
    <w:p w:rsidR="00F445E4" w:rsidRDefault="00F445E4" w:rsidP="00A54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47D" w:rsidRDefault="0007547D" w:rsidP="0007547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BE9"/>
    <w:multiLevelType w:val="hybridMultilevel"/>
    <w:tmpl w:val="6960EB1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D2A06"/>
    <w:multiLevelType w:val="hybridMultilevel"/>
    <w:tmpl w:val="4CCA4DEC"/>
    <w:lvl w:ilvl="0" w:tplc="EBD4A8E6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0B37FD5"/>
    <w:multiLevelType w:val="hybridMultilevel"/>
    <w:tmpl w:val="C7A451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B26A8"/>
    <w:multiLevelType w:val="hybridMultilevel"/>
    <w:tmpl w:val="6A12917E"/>
    <w:lvl w:ilvl="0" w:tplc="EE2481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68587C"/>
    <w:multiLevelType w:val="hybridMultilevel"/>
    <w:tmpl w:val="0ECE76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70992"/>
    <w:multiLevelType w:val="hybridMultilevel"/>
    <w:tmpl w:val="347005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043671"/>
    <w:multiLevelType w:val="hybridMultilevel"/>
    <w:tmpl w:val="75EC481C"/>
    <w:lvl w:ilvl="0" w:tplc="E078135E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3BE62036"/>
    <w:multiLevelType w:val="hybridMultilevel"/>
    <w:tmpl w:val="EF041348"/>
    <w:lvl w:ilvl="0" w:tplc="EBD4A8E6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8" w15:restartNumberingAfterBreak="0">
    <w:nsid w:val="41C856D1"/>
    <w:multiLevelType w:val="hybridMultilevel"/>
    <w:tmpl w:val="D8AAAB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EA02DF"/>
    <w:multiLevelType w:val="hybridMultilevel"/>
    <w:tmpl w:val="81B0C4B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5D4259"/>
    <w:multiLevelType w:val="hybridMultilevel"/>
    <w:tmpl w:val="2F3A2A68"/>
    <w:lvl w:ilvl="0" w:tplc="5AA295D6">
      <w:start w:val="1"/>
      <w:numFmt w:val="lowerLetter"/>
      <w:lvlText w:val="%1)"/>
      <w:lvlJc w:val="left"/>
      <w:pPr>
        <w:ind w:left="720" w:hanging="360"/>
      </w:pPr>
      <w:rPr>
        <w:rFonts w:ascii="Times" w:eastAsiaTheme="minorEastAsia" w:hAnsi="Times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16A68"/>
    <w:multiLevelType w:val="hybridMultilevel"/>
    <w:tmpl w:val="E2F0AD1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415210"/>
    <w:multiLevelType w:val="hybridMultilevel"/>
    <w:tmpl w:val="09EC0C02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3" w15:restartNumberingAfterBreak="0">
    <w:nsid w:val="621C0D38"/>
    <w:multiLevelType w:val="hybridMultilevel"/>
    <w:tmpl w:val="F6B07704"/>
    <w:lvl w:ilvl="0" w:tplc="C9740B68">
      <w:start w:val="1"/>
      <w:numFmt w:val="decimal"/>
      <w:lvlText w:val="%1)"/>
      <w:lvlJc w:val="left"/>
      <w:pPr>
        <w:ind w:left="1305" w:hanging="7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4" w15:restartNumberingAfterBreak="0">
    <w:nsid w:val="73915C45"/>
    <w:multiLevelType w:val="hybridMultilevel"/>
    <w:tmpl w:val="027457EC"/>
    <w:lvl w:ilvl="0" w:tplc="EBD4A8E6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5" w15:restartNumberingAfterBreak="0">
    <w:nsid w:val="788B4837"/>
    <w:multiLevelType w:val="hybridMultilevel"/>
    <w:tmpl w:val="33BE4B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9D0343"/>
    <w:multiLevelType w:val="hybridMultilevel"/>
    <w:tmpl w:val="C3369C1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8D31A7C"/>
    <w:multiLevelType w:val="hybridMultilevel"/>
    <w:tmpl w:val="DF1E26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4A1EF4"/>
    <w:multiLevelType w:val="hybridMultilevel"/>
    <w:tmpl w:val="C95EA78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0"/>
  </w:num>
  <w:num w:numId="5">
    <w:abstractNumId w:val="9"/>
  </w:num>
  <w:num w:numId="6">
    <w:abstractNumId w:val="3"/>
  </w:num>
  <w:num w:numId="7">
    <w:abstractNumId w:val="8"/>
  </w:num>
  <w:num w:numId="8">
    <w:abstractNumId w:val="2"/>
  </w:num>
  <w:num w:numId="9">
    <w:abstractNumId w:val="11"/>
  </w:num>
  <w:num w:numId="10">
    <w:abstractNumId w:val="13"/>
  </w:num>
  <w:num w:numId="11">
    <w:abstractNumId w:val="0"/>
  </w:num>
  <w:num w:numId="12">
    <w:abstractNumId w:val="4"/>
  </w:num>
  <w:num w:numId="13">
    <w:abstractNumId w:val="16"/>
  </w:num>
  <w:num w:numId="14">
    <w:abstractNumId w:val="18"/>
  </w:num>
  <w:num w:numId="15">
    <w:abstractNumId w:val="5"/>
  </w:num>
  <w:num w:numId="16">
    <w:abstractNumId w:val="12"/>
  </w:num>
  <w:num w:numId="17">
    <w:abstractNumId w:val="14"/>
  </w:num>
  <w:num w:numId="18">
    <w:abstractNumId w:val="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8A4"/>
    <w:rsid w:val="0001103A"/>
    <w:rsid w:val="000119BA"/>
    <w:rsid w:val="00011DA9"/>
    <w:rsid w:val="00016062"/>
    <w:rsid w:val="00021562"/>
    <w:rsid w:val="000248EE"/>
    <w:rsid w:val="00035E5C"/>
    <w:rsid w:val="0004281F"/>
    <w:rsid w:val="0004294C"/>
    <w:rsid w:val="000456F1"/>
    <w:rsid w:val="00045EC2"/>
    <w:rsid w:val="00054CC4"/>
    <w:rsid w:val="000633F4"/>
    <w:rsid w:val="000668A9"/>
    <w:rsid w:val="000704BF"/>
    <w:rsid w:val="00070889"/>
    <w:rsid w:val="0007547D"/>
    <w:rsid w:val="00081418"/>
    <w:rsid w:val="000979D5"/>
    <w:rsid w:val="000A4809"/>
    <w:rsid w:val="000A4A49"/>
    <w:rsid w:val="000A6292"/>
    <w:rsid w:val="000B67E0"/>
    <w:rsid w:val="000C0A3F"/>
    <w:rsid w:val="000C0B35"/>
    <w:rsid w:val="000D2F85"/>
    <w:rsid w:val="000E65C5"/>
    <w:rsid w:val="000F73C0"/>
    <w:rsid w:val="00117BDC"/>
    <w:rsid w:val="00125B24"/>
    <w:rsid w:val="00127F2C"/>
    <w:rsid w:val="00136952"/>
    <w:rsid w:val="001376B6"/>
    <w:rsid w:val="00144C32"/>
    <w:rsid w:val="00146833"/>
    <w:rsid w:val="001523B3"/>
    <w:rsid w:val="001563B2"/>
    <w:rsid w:val="001626C9"/>
    <w:rsid w:val="001732C0"/>
    <w:rsid w:val="00181086"/>
    <w:rsid w:val="001932B7"/>
    <w:rsid w:val="001A01C3"/>
    <w:rsid w:val="001A7243"/>
    <w:rsid w:val="001A7728"/>
    <w:rsid w:val="001B42F8"/>
    <w:rsid w:val="001C431E"/>
    <w:rsid w:val="001C6212"/>
    <w:rsid w:val="001D14E6"/>
    <w:rsid w:val="001E7A81"/>
    <w:rsid w:val="001F02C2"/>
    <w:rsid w:val="001F77A9"/>
    <w:rsid w:val="002002A2"/>
    <w:rsid w:val="0020495D"/>
    <w:rsid w:val="002105EA"/>
    <w:rsid w:val="00211CFC"/>
    <w:rsid w:val="00222A3B"/>
    <w:rsid w:val="0022397B"/>
    <w:rsid w:val="00226EE3"/>
    <w:rsid w:val="00227843"/>
    <w:rsid w:val="00232ED5"/>
    <w:rsid w:val="002370DA"/>
    <w:rsid w:val="002501FD"/>
    <w:rsid w:val="002771C9"/>
    <w:rsid w:val="00280EC2"/>
    <w:rsid w:val="002812AB"/>
    <w:rsid w:val="002856AC"/>
    <w:rsid w:val="00285B06"/>
    <w:rsid w:val="0029777A"/>
    <w:rsid w:val="002A63DB"/>
    <w:rsid w:val="002B1804"/>
    <w:rsid w:val="002B2AE2"/>
    <w:rsid w:val="002B5674"/>
    <w:rsid w:val="002B6A09"/>
    <w:rsid w:val="002C66D6"/>
    <w:rsid w:val="002D585F"/>
    <w:rsid w:val="003002AB"/>
    <w:rsid w:val="00316A0B"/>
    <w:rsid w:val="0032132D"/>
    <w:rsid w:val="00330FFD"/>
    <w:rsid w:val="003449A7"/>
    <w:rsid w:val="00351DC3"/>
    <w:rsid w:val="0035597A"/>
    <w:rsid w:val="00363B10"/>
    <w:rsid w:val="00367E8D"/>
    <w:rsid w:val="00374FBC"/>
    <w:rsid w:val="00377962"/>
    <w:rsid w:val="00386754"/>
    <w:rsid w:val="00386A8B"/>
    <w:rsid w:val="003914A6"/>
    <w:rsid w:val="003A3A7F"/>
    <w:rsid w:val="003B5C91"/>
    <w:rsid w:val="003B68FC"/>
    <w:rsid w:val="003C049E"/>
    <w:rsid w:val="003C084E"/>
    <w:rsid w:val="003C0C81"/>
    <w:rsid w:val="003C0EB1"/>
    <w:rsid w:val="003E3C64"/>
    <w:rsid w:val="003E50E9"/>
    <w:rsid w:val="003E72AA"/>
    <w:rsid w:val="003F1153"/>
    <w:rsid w:val="003F4525"/>
    <w:rsid w:val="0040455D"/>
    <w:rsid w:val="00405148"/>
    <w:rsid w:val="00410D73"/>
    <w:rsid w:val="00416F4F"/>
    <w:rsid w:val="00420727"/>
    <w:rsid w:val="00420820"/>
    <w:rsid w:val="00424A90"/>
    <w:rsid w:val="0042515D"/>
    <w:rsid w:val="00431E83"/>
    <w:rsid w:val="00443006"/>
    <w:rsid w:val="0044498D"/>
    <w:rsid w:val="004460F4"/>
    <w:rsid w:val="00455B0C"/>
    <w:rsid w:val="0047346B"/>
    <w:rsid w:val="0047553A"/>
    <w:rsid w:val="004860E3"/>
    <w:rsid w:val="00487A73"/>
    <w:rsid w:val="004A676D"/>
    <w:rsid w:val="004D04D5"/>
    <w:rsid w:val="004D33C5"/>
    <w:rsid w:val="004D3758"/>
    <w:rsid w:val="004E093B"/>
    <w:rsid w:val="004F352D"/>
    <w:rsid w:val="004F395A"/>
    <w:rsid w:val="004F5403"/>
    <w:rsid w:val="004F77E2"/>
    <w:rsid w:val="00500860"/>
    <w:rsid w:val="005036B1"/>
    <w:rsid w:val="0050580F"/>
    <w:rsid w:val="00510F4F"/>
    <w:rsid w:val="00512E10"/>
    <w:rsid w:val="00517B42"/>
    <w:rsid w:val="00526985"/>
    <w:rsid w:val="005270D1"/>
    <w:rsid w:val="0052754C"/>
    <w:rsid w:val="0054446C"/>
    <w:rsid w:val="005456E2"/>
    <w:rsid w:val="005609D5"/>
    <w:rsid w:val="0057565F"/>
    <w:rsid w:val="00577617"/>
    <w:rsid w:val="00580749"/>
    <w:rsid w:val="005907D5"/>
    <w:rsid w:val="00590FBD"/>
    <w:rsid w:val="00596632"/>
    <w:rsid w:val="00596DCE"/>
    <w:rsid w:val="005A1BC2"/>
    <w:rsid w:val="005A364C"/>
    <w:rsid w:val="005B72E0"/>
    <w:rsid w:val="005E4785"/>
    <w:rsid w:val="005E5CD2"/>
    <w:rsid w:val="005E6333"/>
    <w:rsid w:val="005E7890"/>
    <w:rsid w:val="005F0D05"/>
    <w:rsid w:val="005F5856"/>
    <w:rsid w:val="006019DE"/>
    <w:rsid w:val="00607918"/>
    <w:rsid w:val="006079C1"/>
    <w:rsid w:val="006203E7"/>
    <w:rsid w:val="006312E6"/>
    <w:rsid w:val="006325F3"/>
    <w:rsid w:val="00641F50"/>
    <w:rsid w:val="00642A72"/>
    <w:rsid w:val="006474C3"/>
    <w:rsid w:val="006519B9"/>
    <w:rsid w:val="0066060C"/>
    <w:rsid w:val="0066602E"/>
    <w:rsid w:val="0067068D"/>
    <w:rsid w:val="00680D80"/>
    <w:rsid w:val="00681DEE"/>
    <w:rsid w:val="00686D0C"/>
    <w:rsid w:val="00692968"/>
    <w:rsid w:val="00693DC4"/>
    <w:rsid w:val="0069636D"/>
    <w:rsid w:val="006A03D7"/>
    <w:rsid w:val="006A545F"/>
    <w:rsid w:val="006B2265"/>
    <w:rsid w:val="006B22CB"/>
    <w:rsid w:val="006C0C50"/>
    <w:rsid w:val="006C64D0"/>
    <w:rsid w:val="006D085A"/>
    <w:rsid w:val="006D1416"/>
    <w:rsid w:val="006E0555"/>
    <w:rsid w:val="006E0F83"/>
    <w:rsid w:val="006E22E0"/>
    <w:rsid w:val="006F3428"/>
    <w:rsid w:val="00715058"/>
    <w:rsid w:val="007338C7"/>
    <w:rsid w:val="007367B4"/>
    <w:rsid w:val="00736920"/>
    <w:rsid w:val="007411D7"/>
    <w:rsid w:val="00742649"/>
    <w:rsid w:val="00745A53"/>
    <w:rsid w:val="007556D3"/>
    <w:rsid w:val="00755D8D"/>
    <w:rsid w:val="00767260"/>
    <w:rsid w:val="0077205B"/>
    <w:rsid w:val="007738B9"/>
    <w:rsid w:val="00775156"/>
    <w:rsid w:val="00775268"/>
    <w:rsid w:val="00782A56"/>
    <w:rsid w:val="00786F27"/>
    <w:rsid w:val="00791796"/>
    <w:rsid w:val="00794765"/>
    <w:rsid w:val="007A32BD"/>
    <w:rsid w:val="007A56BB"/>
    <w:rsid w:val="007A5EB5"/>
    <w:rsid w:val="007A7778"/>
    <w:rsid w:val="007A7941"/>
    <w:rsid w:val="007A7A3E"/>
    <w:rsid w:val="007B0641"/>
    <w:rsid w:val="007B299B"/>
    <w:rsid w:val="007C14F7"/>
    <w:rsid w:val="007C4CDA"/>
    <w:rsid w:val="007D1FED"/>
    <w:rsid w:val="007D31DD"/>
    <w:rsid w:val="007D627F"/>
    <w:rsid w:val="007E22CD"/>
    <w:rsid w:val="007E7462"/>
    <w:rsid w:val="007F7050"/>
    <w:rsid w:val="007F77C1"/>
    <w:rsid w:val="00802554"/>
    <w:rsid w:val="008026DB"/>
    <w:rsid w:val="00804B70"/>
    <w:rsid w:val="0081610A"/>
    <w:rsid w:val="0082070E"/>
    <w:rsid w:val="00820BE4"/>
    <w:rsid w:val="0082383C"/>
    <w:rsid w:val="00825B0A"/>
    <w:rsid w:val="00831747"/>
    <w:rsid w:val="00841728"/>
    <w:rsid w:val="0084614A"/>
    <w:rsid w:val="00846AC1"/>
    <w:rsid w:val="0084710E"/>
    <w:rsid w:val="00847A92"/>
    <w:rsid w:val="008502B8"/>
    <w:rsid w:val="00860445"/>
    <w:rsid w:val="008605F0"/>
    <w:rsid w:val="008634E2"/>
    <w:rsid w:val="00864BB3"/>
    <w:rsid w:val="00872987"/>
    <w:rsid w:val="00880624"/>
    <w:rsid w:val="00881F0B"/>
    <w:rsid w:val="0088700B"/>
    <w:rsid w:val="008918F9"/>
    <w:rsid w:val="00893862"/>
    <w:rsid w:val="00894DFC"/>
    <w:rsid w:val="00895446"/>
    <w:rsid w:val="008A0A33"/>
    <w:rsid w:val="008A5317"/>
    <w:rsid w:val="008B6F6C"/>
    <w:rsid w:val="008B7041"/>
    <w:rsid w:val="008C00F9"/>
    <w:rsid w:val="008C3F53"/>
    <w:rsid w:val="008D0369"/>
    <w:rsid w:val="008D7B84"/>
    <w:rsid w:val="008E086C"/>
    <w:rsid w:val="008E3CB1"/>
    <w:rsid w:val="008E6317"/>
    <w:rsid w:val="008F6393"/>
    <w:rsid w:val="0090166F"/>
    <w:rsid w:val="00902D0F"/>
    <w:rsid w:val="00905F1D"/>
    <w:rsid w:val="0090721F"/>
    <w:rsid w:val="00917453"/>
    <w:rsid w:val="0092763B"/>
    <w:rsid w:val="0093423E"/>
    <w:rsid w:val="00941198"/>
    <w:rsid w:val="00943BEB"/>
    <w:rsid w:val="00944F90"/>
    <w:rsid w:val="009605E2"/>
    <w:rsid w:val="00966C4B"/>
    <w:rsid w:val="00970EC2"/>
    <w:rsid w:val="009743BD"/>
    <w:rsid w:val="009764C3"/>
    <w:rsid w:val="00983CAF"/>
    <w:rsid w:val="009868BA"/>
    <w:rsid w:val="00990E58"/>
    <w:rsid w:val="009944B9"/>
    <w:rsid w:val="009957F7"/>
    <w:rsid w:val="009A08C2"/>
    <w:rsid w:val="009A15D8"/>
    <w:rsid w:val="009A1928"/>
    <w:rsid w:val="009A304A"/>
    <w:rsid w:val="009A3629"/>
    <w:rsid w:val="009A498C"/>
    <w:rsid w:val="009A5D06"/>
    <w:rsid w:val="009A78CF"/>
    <w:rsid w:val="009B0572"/>
    <w:rsid w:val="009B0B80"/>
    <w:rsid w:val="009B50E8"/>
    <w:rsid w:val="009D7D97"/>
    <w:rsid w:val="009F2CF6"/>
    <w:rsid w:val="009F7EB2"/>
    <w:rsid w:val="00A0220E"/>
    <w:rsid w:val="00A13920"/>
    <w:rsid w:val="00A21AA3"/>
    <w:rsid w:val="00A223A5"/>
    <w:rsid w:val="00A27DDD"/>
    <w:rsid w:val="00A315B7"/>
    <w:rsid w:val="00A403C1"/>
    <w:rsid w:val="00A40A3B"/>
    <w:rsid w:val="00A44898"/>
    <w:rsid w:val="00A548A4"/>
    <w:rsid w:val="00A56307"/>
    <w:rsid w:val="00A60647"/>
    <w:rsid w:val="00A70B34"/>
    <w:rsid w:val="00A719FE"/>
    <w:rsid w:val="00A757F2"/>
    <w:rsid w:val="00A77331"/>
    <w:rsid w:val="00A84CBF"/>
    <w:rsid w:val="00A8794A"/>
    <w:rsid w:val="00AA71F2"/>
    <w:rsid w:val="00AB0FAD"/>
    <w:rsid w:val="00AC1C98"/>
    <w:rsid w:val="00AC756D"/>
    <w:rsid w:val="00AC7605"/>
    <w:rsid w:val="00AD4D3C"/>
    <w:rsid w:val="00AD716E"/>
    <w:rsid w:val="00AF3D24"/>
    <w:rsid w:val="00B015AB"/>
    <w:rsid w:val="00B02DB2"/>
    <w:rsid w:val="00B0428C"/>
    <w:rsid w:val="00B05BEC"/>
    <w:rsid w:val="00B07295"/>
    <w:rsid w:val="00B15ABF"/>
    <w:rsid w:val="00B279AF"/>
    <w:rsid w:val="00B3081E"/>
    <w:rsid w:val="00B31AE3"/>
    <w:rsid w:val="00B35DF4"/>
    <w:rsid w:val="00B450CC"/>
    <w:rsid w:val="00B47F0C"/>
    <w:rsid w:val="00B568E3"/>
    <w:rsid w:val="00B72235"/>
    <w:rsid w:val="00B93D52"/>
    <w:rsid w:val="00B97A3B"/>
    <w:rsid w:val="00BA03AD"/>
    <w:rsid w:val="00BA11F5"/>
    <w:rsid w:val="00BA1615"/>
    <w:rsid w:val="00BA213F"/>
    <w:rsid w:val="00BB05BE"/>
    <w:rsid w:val="00BB44EB"/>
    <w:rsid w:val="00BC1916"/>
    <w:rsid w:val="00BC52D9"/>
    <w:rsid w:val="00BD3C3F"/>
    <w:rsid w:val="00BE5C73"/>
    <w:rsid w:val="00BF0A23"/>
    <w:rsid w:val="00BF3355"/>
    <w:rsid w:val="00BF3CE2"/>
    <w:rsid w:val="00BF5F25"/>
    <w:rsid w:val="00BF7CA1"/>
    <w:rsid w:val="00C0789F"/>
    <w:rsid w:val="00C14034"/>
    <w:rsid w:val="00C15FB9"/>
    <w:rsid w:val="00C33C5E"/>
    <w:rsid w:val="00C36E0F"/>
    <w:rsid w:val="00C43905"/>
    <w:rsid w:val="00C4593A"/>
    <w:rsid w:val="00C52B1B"/>
    <w:rsid w:val="00C53EA9"/>
    <w:rsid w:val="00C54736"/>
    <w:rsid w:val="00C55562"/>
    <w:rsid w:val="00C55E4D"/>
    <w:rsid w:val="00C60F8D"/>
    <w:rsid w:val="00C620F9"/>
    <w:rsid w:val="00C631DE"/>
    <w:rsid w:val="00C67192"/>
    <w:rsid w:val="00C67A7F"/>
    <w:rsid w:val="00C82129"/>
    <w:rsid w:val="00C84415"/>
    <w:rsid w:val="00C876CE"/>
    <w:rsid w:val="00C93E97"/>
    <w:rsid w:val="00CA44EB"/>
    <w:rsid w:val="00CB0174"/>
    <w:rsid w:val="00CB5AF9"/>
    <w:rsid w:val="00CB7BBC"/>
    <w:rsid w:val="00CC2158"/>
    <w:rsid w:val="00CD3567"/>
    <w:rsid w:val="00CE659B"/>
    <w:rsid w:val="00CF14AA"/>
    <w:rsid w:val="00CF4246"/>
    <w:rsid w:val="00D0167E"/>
    <w:rsid w:val="00D12655"/>
    <w:rsid w:val="00D12AB2"/>
    <w:rsid w:val="00D142E9"/>
    <w:rsid w:val="00D2628E"/>
    <w:rsid w:val="00D36044"/>
    <w:rsid w:val="00D446F3"/>
    <w:rsid w:val="00D4603B"/>
    <w:rsid w:val="00D4772C"/>
    <w:rsid w:val="00D51C31"/>
    <w:rsid w:val="00D57848"/>
    <w:rsid w:val="00D63263"/>
    <w:rsid w:val="00D64730"/>
    <w:rsid w:val="00D653B2"/>
    <w:rsid w:val="00D666D9"/>
    <w:rsid w:val="00D7089B"/>
    <w:rsid w:val="00D71436"/>
    <w:rsid w:val="00D73E2A"/>
    <w:rsid w:val="00D756B5"/>
    <w:rsid w:val="00D85032"/>
    <w:rsid w:val="00D91DF7"/>
    <w:rsid w:val="00D93093"/>
    <w:rsid w:val="00D95421"/>
    <w:rsid w:val="00DA1952"/>
    <w:rsid w:val="00DA65ED"/>
    <w:rsid w:val="00DC37B4"/>
    <w:rsid w:val="00DD17D3"/>
    <w:rsid w:val="00DE54B7"/>
    <w:rsid w:val="00DF074E"/>
    <w:rsid w:val="00DF1154"/>
    <w:rsid w:val="00DF5AFF"/>
    <w:rsid w:val="00E068AD"/>
    <w:rsid w:val="00E16D75"/>
    <w:rsid w:val="00E20DFA"/>
    <w:rsid w:val="00E3056E"/>
    <w:rsid w:val="00E347FB"/>
    <w:rsid w:val="00E43F2B"/>
    <w:rsid w:val="00E46176"/>
    <w:rsid w:val="00E47C56"/>
    <w:rsid w:val="00E506B5"/>
    <w:rsid w:val="00E5673B"/>
    <w:rsid w:val="00E64443"/>
    <w:rsid w:val="00E7048C"/>
    <w:rsid w:val="00E70E87"/>
    <w:rsid w:val="00E71F28"/>
    <w:rsid w:val="00E7787B"/>
    <w:rsid w:val="00E810FA"/>
    <w:rsid w:val="00E8461E"/>
    <w:rsid w:val="00E84DB3"/>
    <w:rsid w:val="00E9476C"/>
    <w:rsid w:val="00E95B88"/>
    <w:rsid w:val="00EA1535"/>
    <w:rsid w:val="00EA5B7B"/>
    <w:rsid w:val="00EB0C12"/>
    <w:rsid w:val="00EB1237"/>
    <w:rsid w:val="00EB39EE"/>
    <w:rsid w:val="00ED4633"/>
    <w:rsid w:val="00EE0A9A"/>
    <w:rsid w:val="00EE30BA"/>
    <w:rsid w:val="00EE78F4"/>
    <w:rsid w:val="00EF0D54"/>
    <w:rsid w:val="00EF2C37"/>
    <w:rsid w:val="00F03E24"/>
    <w:rsid w:val="00F03F7E"/>
    <w:rsid w:val="00F14EA2"/>
    <w:rsid w:val="00F170B7"/>
    <w:rsid w:val="00F23F37"/>
    <w:rsid w:val="00F445E4"/>
    <w:rsid w:val="00F44D94"/>
    <w:rsid w:val="00F52B03"/>
    <w:rsid w:val="00F56F1B"/>
    <w:rsid w:val="00F60D14"/>
    <w:rsid w:val="00F61CBC"/>
    <w:rsid w:val="00F73957"/>
    <w:rsid w:val="00F770F8"/>
    <w:rsid w:val="00F778D4"/>
    <w:rsid w:val="00F80DE3"/>
    <w:rsid w:val="00F80FBF"/>
    <w:rsid w:val="00F822FE"/>
    <w:rsid w:val="00F87F95"/>
    <w:rsid w:val="00F90504"/>
    <w:rsid w:val="00F90D41"/>
    <w:rsid w:val="00F933D9"/>
    <w:rsid w:val="00FA1477"/>
    <w:rsid w:val="00FB51BC"/>
    <w:rsid w:val="00FC28A8"/>
    <w:rsid w:val="00FC57A8"/>
    <w:rsid w:val="00FC6896"/>
    <w:rsid w:val="00FD0DDA"/>
    <w:rsid w:val="00FE02BD"/>
    <w:rsid w:val="00FE5EFE"/>
    <w:rsid w:val="00FE7DE3"/>
    <w:rsid w:val="00FF07CD"/>
    <w:rsid w:val="00FF0AAD"/>
    <w:rsid w:val="00FF3B9A"/>
    <w:rsid w:val="00FF3E76"/>
    <w:rsid w:val="00FF45D9"/>
    <w:rsid w:val="00FF55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3BD916-73E5-435C-B545-EFC9ECAE8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0624"/>
  </w:style>
  <w:style w:type="paragraph" w:styleId="Nagwek1">
    <w:name w:val="heading 1"/>
    <w:basedOn w:val="Normalny"/>
    <w:next w:val="Normalny"/>
    <w:link w:val="Nagwek1Znak"/>
    <w:qFormat/>
    <w:rsid w:val="00A548A4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A548A4"/>
    <w:pPr>
      <w:tabs>
        <w:tab w:val="num" w:pos="567"/>
      </w:tabs>
      <w:spacing w:before="60" w:after="0" w:line="200" w:lineRule="atLeast"/>
      <w:ind w:left="567" w:hanging="567"/>
      <w:jc w:val="both"/>
      <w:outlineLvl w:val="1"/>
    </w:pPr>
    <w:rPr>
      <w:rFonts w:ascii="Arial" w:eastAsia="Times New Roman" w:hAnsi="Arial" w:cs="Times New Roman"/>
      <w:sz w:val="18"/>
      <w:szCs w:val="20"/>
      <w:lang w:val="en-GB" w:eastAsia="pl-PL"/>
    </w:rPr>
  </w:style>
  <w:style w:type="paragraph" w:styleId="Nagwek3">
    <w:name w:val="heading 3"/>
    <w:basedOn w:val="Normalny"/>
    <w:next w:val="Normalny"/>
    <w:link w:val="Nagwek3Znak"/>
    <w:qFormat/>
    <w:rsid w:val="00A548A4"/>
    <w:pPr>
      <w:keepNext/>
      <w:tabs>
        <w:tab w:val="num" w:pos="720"/>
      </w:tabs>
      <w:spacing w:before="240" w:after="60" w:line="200" w:lineRule="atLeast"/>
      <w:jc w:val="both"/>
      <w:outlineLvl w:val="2"/>
    </w:pPr>
    <w:rPr>
      <w:rFonts w:ascii="Arial" w:eastAsia="Times New Roman" w:hAnsi="Arial" w:cs="Times New Roman"/>
      <w:sz w:val="24"/>
      <w:szCs w:val="20"/>
      <w:lang w:val="en-GB" w:eastAsia="pl-PL"/>
    </w:rPr>
  </w:style>
  <w:style w:type="paragraph" w:styleId="Nagwek4">
    <w:name w:val="heading 4"/>
    <w:basedOn w:val="Normalny"/>
    <w:next w:val="Normalny"/>
    <w:link w:val="Nagwek4Znak"/>
    <w:qFormat/>
    <w:rsid w:val="00A548A4"/>
    <w:pPr>
      <w:keepNext/>
      <w:tabs>
        <w:tab w:val="num" w:pos="0"/>
      </w:tabs>
      <w:spacing w:before="240" w:after="60" w:line="200" w:lineRule="atLeast"/>
      <w:jc w:val="both"/>
      <w:outlineLvl w:val="3"/>
    </w:pPr>
    <w:rPr>
      <w:rFonts w:ascii="Arial" w:eastAsia="Times New Roman" w:hAnsi="Arial" w:cs="Times New Roman"/>
      <w:b/>
      <w:sz w:val="24"/>
      <w:szCs w:val="20"/>
      <w:lang w:val="en-GB" w:eastAsia="pl-PL"/>
    </w:rPr>
  </w:style>
  <w:style w:type="paragraph" w:styleId="Nagwek5">
    <w:name w:val="heading 5"/>
    <w:basedOn w:val="Normalny"/>
    <w:next w:val="Normalny"/>
    <w:link w:val="Nagwek5Znak"/>
    <w:qFormat/>
    <w:rsid w:val="00A548A4"/>
    <w:pPr>
      <w:tabs>
        <w:tab w:val="num" w:pos="0"/>
      </w:tabs>
      <w:spacing w:before="240" w:after="60" w:line="200" w:lineRule="atLeast"/>
      <w:jc w:val="both"/>
      <w:outlineLvl w:val="4"/>
    </w:pPr>
    <w:rPr>
      <w:rFonts w:ascii="Arial" w:eastAsia="Times New Roman" w:hAnsi="Arial" w:cs="Times New Roman"/>
      <w:szCs w:val="20"/>
      <w:lang w:val="en-GB" w:eastAsia="pl-PL"/>
    </w:rPr>
  </w:style>
  <w:style w:type="paragraph" w:styleId="Nagwek6">
    <w:name w:val="heading 6"/>
    <w:basedOn w:val="Normalny"/>
    <w:next w:val="Normalny"/>
    <w:link w:val="Nagwek6Znak"/>
    <w:qFormat/>
    <w:rsid w:val="00A548A4"/>
    <w:pPr>
      <w:tabs>
        <w:tab w:val="num" w:pos="0"/>
      </w:tabs>
      <w:spacing w:before="240" w:after="60" w:line="200" w:lineRule="atLeast"/>
      <w:jc w:val="both"/>
      <w:outlineLvl w:val="5"/>
    </w:pPr>
    <w:rPr>
      <w:rFonts w:ascii="Times New Roman" w:eastAsia="Times New Roman" w:hAnsi="Times New Roman" w:cs="Times New Roman"/>
      <w:i/>
      <w:szCs w:val="20"/>
      <w:lang w:val="en-GB" w:eastAsia="pl-PL"/>
    </w:rPr>
  </w:style>
  <w:style w:type="paragraph" w:styleId="Nagwek7">
    <w:name w:val="heading 7"/>
    <w:basedOn w:val="Normalny"/>
    <w:next w:val="Normalny"/>
    <w:link w:val="Nagwek7Znak"/>
    <w:qFormat/>
    <w:rsid w:val="00A548A4"/>
    <w:pPr>
      <w:tabs>
        <w:tab w:val="num" w:pos="0"/>
      </w:tabs>
      <w:spacing w:before="240" w:after="60" w:line="200" w:lineRule="atLeast"/>
      <w:jc w:val="both"/>
      <w:outlineLvl w:val="6"/>
    </w:pPr>
    <w:rPr>
      <w:rFonts w:ascii="Arial" w:eastAsia="Times New Roman" w:hAnsi="Arial" w:cs="Times New Roman"/>
      <w:sz w:val="20"/>
      <w:szCs w:val="20"/>
      <w:lang w:val="en-GB" w:eastAsia="pl-PL"/>
    </w:rPr>
  </w:style>
  <w:style w:type="paragraph" w:styleId="Nagwek8">
    <w:name w:val="heading 8"/>
    <w:basedOn w:val="Normalny"/>
    <w:next w:val="Normalny"/>
    <w:link w:val="Nagwek8Znak"/>
    <w:qFormat/>
    <w:rsid w:val="00A548A4"/>
    <w:pPr>
      <w:tabs>
        <w:tab w:val="num" w:pos="0"/>
      </w:tabs>
      <w:spacing w:before="240" w:after="60" w:line="200" w:lineRule="atLeast"/>
      <w:jc w:val="both"/>
      <w:outlineLvl w:val="7"/>
    </w:pPr>
    <w:rPr>
      <w:rFonts w:ascii="Arial" w:eastAsia="Times New Roman" w:hAnsi="Arial" w:cs="Times New Roman"/>
      <w:i/>
      <w:sz w:val="20"/>
      <w:szCs w:val="20"/>
      <w:lang w:val="en-GB" w:eastAsia="pl-PL"/>
    </w:rPr>
  </w:style>
  <w:style w:type="paragraph" w:styleId="Nagwek9">
    <w:name w:val="heading 9"/>
    <w:basedOn w:val="Normalny"/>
    <w:next w:val="Normalny"/>
    <w:link w:val="Nagwek9Znak"/>
    <w:qFormat/>
    <w:rsid w:val="00A548A4"/>
    <w:pPr>
      <w:tabs>
        <w:tab w:val="num" w:pos="0"/>
      </w:tabs>
      <w:spacing w:before="240" w:after="60" w:line="200" w:lineRule="atLeast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548A4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rsid w:val="00A548A4"/>
    <w:rPr>
      <w:rFonts w:ascii="Arial" w:eastAsia="Times New Roman" w:hAnsi="Arial" w:cs="Times New Roman"/>
      <w:sz w:val="18"/>
      <w:szCs w:val="20"/>
      <w:lang w:val="en-GB" w:eastAsia="pl-PL"/>
    </w:rPr>
  </w:style>
  <w:style w:type="character" w:customStyle="1" w:styleId="Nagwek3Znak">
    <w:name w:val="Nagłówek 3 Znak"/>
    <w:basedOn w:val="Domylnaczcionkaakapitu"/>
    <w:link w:val="Nagwek3"/>
    <w:rsid w:val="00A548A4"/>
    <w:rPr>
      <w:rFonts w:ascii="Arial" w:eastAsia="Times New Roman" w:hAnsi="Arial" w:cs="Times New Roman"/>
      <w:sz w:val="24"/>
      <w:szCs w:val="20"/>
      <w:lang w:val="en-GB" w:eastAsia="pl-PL"/>
    </w:rPr>
  </w:style>
  <w:style w:type="character" w:customStyle="1" w:styleId="Nagwek4Znak">
    <w:name w:val="Nagłówek 4 Znak"/>
    <w:basedOn w:val="Domylnaczcionkaakapitu"/>
    <w:link w:val="Nagwek4"/>
    <w:rsid w:val="00A548A4"/>
    <w:rPr>
      <w:rFonts w:ascii="Arial" w:eastAsia="Times New Roman" w:hAnsi="Arial" w:cs="Times New Roman"/>
      <w:b/>
      <w:sz w:val="24"/>
      <w:szCs w:val="20"/>
      <w:lang w:val="en-GB" w:eastAsia="pl-PL"/>
    </w:rPr>
  </w:style>
  <w:style w:type="character" w:customStyle="1" w:styleId="Nagwek5Znak">
    <w:name w:val="Nagłówek 5 Znak"/>
    <w:basedOn w:val="Domylnaczcionkaakapitu"/>
    <w:link w:val="Nagwek5"/>
    <w:rsid w:val="00A548A4"/>
    <w:rPr>
      <w:rFonts w:ascii="Arial" w:eastAsia="Times New Roman" w:hAnsi="Arial" w:cs="Times New Roman"/>
      <w:szCs w:val="20"/>
      <w:lang w:val="en-GB" w:eastAsia="pl-PL"/>
    </w:rPr>
  </w:style>
  <w:style w:type="character" w:customStyle="1" w:styleId="Nagwek6Znak">
    <w:name w:val="Nagłówek 6 Znak"/>
    <w:basedOn w:val="Domylnaczcionkaakapitu"/>
    <w:link w:val="Nagwek6"/>
    <w:rsid w:val="00A548A4"/>
    <w:rPr>
      <w:rFonts w:ascii="Times New Roman" w:eastAsia="Times New Roman" w:hAnsi="Times New Roman" w:cs="Times New Roman"/>
      <w:i/>
      <w:szCs w:val="20"/>
      <w:lang w:val="en-GB" w:eastAsia="pl-PL"/>
    </w:rPr>
  </w:style>
  <w:style w:type="character" w:customStyle="1" w:styleId="Nagwek7Znak">
    <w:name w:val="Nagłówek 7 Znak"/>
    <w:basedOn w:val="Domylnaczcionkaakapitu"/>
    <w:link w:val="Nagwek7"/>
    <w:rsid w:val="00A548A4"/>
    <w:rPr>
      <w:rFonts w:ascii="Arial" w:eastAsia="Times New Roman" w:hAnsi="Arial" w:cs="Times New Roman"/>
      <w:sz w:val="20"/>
      <w:szCs w:val="20"/>
      <w:lang w:val="en-GB" w:eastAsia="pl-PL"/>
    </w:rPr>
  </w:style>
  <w:style w:type="character" w:customStyle="1" w:styleId="Nagwek8Znak">
    <w:name w:val="Nagłówek 8 Znak"/>
    <w:basedOn w:val="Domylnaczcionkaakapitu"/>
    <w:link w:val="Nagwek8"/>
    <w:rsid w:val="00A548A4"/>
    <w:rPr>
      <w:rFonts w:ascii="Arial" w:eastAsia="Times New Roman" w:hAnsi="Arial" w:cs="Times New Roman"/>
      <w:i/>
      <w:sz w:val="20"/>
      <w:szCs w:val="20"/>
      <w:lang w:val="en-GB" w:eastAsia="pl-PL"/>
    </w:rPr>
  </w:style>
  <w:style w:type="character" w:customStyle="1" w:styleId="Nagwek9Znak">
    <w:name w:val="Nagłówek 9 Znak"/>
    <w:basedOn w:val="Domylnaczcionkaakapitu"/>
    <w:link w:val="Nagwek9"/>
    <w:rsid w:val="00A548A4"/>
    <w:rPr>
      <w:rFonts w:ascii="Arial" w:eastAsia="Times New Roman" w:hAnsi="Arial" w:cs="Times New Roman"/>
      <w:b/>
      <w:i/>
      <w:sz w:val="18"/>
      <w:szCs w:val="20"/>
      <w:lang w:val="en-GB" w:eastAsia="pl-PL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A548A4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A548A4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A548A4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A548A4"/>
    <w:pPr>
      <w:ind w:left="1780"/>
    </w:pPr>
  </w:style>
  <w:style w:type="character" w:styleId="Odwoanieprzypisudolnego">
    <w:name w:val="footnote reference"/>
    <w:semiHidden/>
    <w:rsid w:val="00A548A4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A548A4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A548A4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A548A4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A548A4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semiHidden/>
    <w:rsid w:val="00A548A4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semiHidden/>
    <w:rsid w:val="00A548A4"/>
    <w:rPr>
      <w:rFonts w:ascii="Tahoma" w:eastAsia="Times New Roman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A548A4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A548A4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A548A4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A548A4"/>
  </w:style>
  <w:style w:type="paragraph" w:styleId="Bezodstpw">
    <w:name w:val="No Spacing"/>
    <w:uiPriority w:val="99"/>
    <w:rsid w:val="00A548A4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A548A4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A548A4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A548A4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A548A4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A548A4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548A4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A548A4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A548A4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A548A4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A548A4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A548A4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A548A4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A548A4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A548A4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A548A4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A548A4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A548A4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A548A4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A548A4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A548A4"/>
    <w:pPr>
      <w:keepNext/>
      <w:spacing w:before="120" w:after="0" w:line="360" w:lineRule="auto"/>
      <w:jc w:val="center"/>
    </w:pPr>
    <w:rPr>
      <w:rFonts w:ascii="Times" w:eastAsiaTheme="minorEastAsia" w:hAnsi="Times" w:cs="Arial"/>
      <w:bCs/>
      <w:caps/>
      <w:kern w:val="24"/>
      <w:sz w:val="24"/>
      <w:szCs w:val="24"/>
      <w:lang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A548A4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A548A4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A548A4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A548A4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A548A4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A548A4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A548A4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A548A4"/>
    <w:pPr>
      <w:keepNext/>
      <w:suppressAutoHyphens/>
      <w:spacing w:after="0" w:line="360" w:lineRule="auto"/>
      <w:ind w:left="51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A548A4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A548A4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A548A4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A548A4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A548A4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A548A4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A548A4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A548A4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A548A4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A548A4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A548A4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A548A4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48A4"/>
    <w:rPr>
      <w:rFonts w:ascii="Times" w:eastAsia="Times New Roman" w:hAnsi="Times" w:cs="Times New Roman"/>
      <w:sz w:val="24"/>
      <w:szCs w:val="24"/>
      <w:lang w:eastAsia="pl-PL"/>
    </w:rPr>
  </w:style>
  <w:style w:type="paragraph" w:customStyle="1" w:styleId="ZTIRLITzmlittiret">
    <w:name w:val="Z_TIR/LIT – zm. lit. tiret"/>
    <w:basedOn w:val="LITlitera"/>
    <w:uiPriority w:val="57"/>
    <w:qFormat/>
    <w:rsid w:val="00A548A4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A548A4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A548A4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A548A4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A548A4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A548A4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A548A4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A548A4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A548A4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A548A4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A548A4"/>
  </w:style>
  <w:style w:type="paragraph" w:customStyle="1" w:styleId="ZTIR2TIRzmpodwtirtiret">
    <w:name w:val="Z_TIR/2TIR – zm. podw. tir. tiret"/>
    <w:basedOn w:val="TIRtiret"/>
    <w:uiPriority w:val="78"/>
    <w:qFormat/>
    <w:rsid w:val="00A548A4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A548A4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A548A4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A548A4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A548A4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A548A4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A548A4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A548A4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A548A4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A548A4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A548A4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A548A4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A548A4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A548A4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A548A4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A548A4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A548A4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A548A4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A548A4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A548A4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A548A4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A548A4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A548A4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A548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548A4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48A4"/>
    <w:rPr>
      <w:rFonts w:ascii="Times" w:eastAsia="Times New Roman" w:hAnsi="Times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548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548A4"/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A548A4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A548A4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A548A4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A548A4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A548A4"/>
    <w:pPr>
      <w:ind w:left="2404"/>
    </w:pPr>
  </w:style>
  <w:style w:type="paragraph" w:customStyle="1" w:styleId="ODNONIKtreodnonika">
    <w:name w:val="ODNOŚNIK – treść odnośnika"/>
    <w:uiPriority w:val="19"/>
    <w:qFormat/>
    <w:rsid w:val="00A548A4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A548A4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A548A4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A548A4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A548A4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A548A4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A548A4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A548A4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A548A4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A548A4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A548A4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A548A4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A548A4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A548A4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A548A4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A548A4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A548A4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A548A4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A548A4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A548A4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A548A4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A548A4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A548A4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A548A4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A548A4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A548A4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A548A4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A548A4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A548A4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A548A4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A548A4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A548A4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A548A4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A548A4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A548A4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A548A4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A548A4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A548A4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A548A4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A548A4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A548A4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A548A4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A548A4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A548A4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A548A4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A548A4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A548A4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A548A4"/>
  </w:style>
  <w:style w:type="paragraph" w:customStyle="1" w:styleId="ZZUSTzmianazmust">
    <w:name w:val="ZZ/UST(§) – zmiana zm. ust. (§)"/>
    <w:basedOn w:val="ZZARTzmianazmart"/>
    <w:uiPriority w:val="65"/>
    <w:qFormat/>
    <w:rsid w:val="00A548A4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A548A4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A548A4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A548A4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A548A4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A548A4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A548A4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A548A4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A548A4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A548A4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A548A4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A548A4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A548A4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A548A4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A548A4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A548A4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A548A4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A548A4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A548A4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A548A4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A548A4"/>
    <w:pPr>
      <w:spacing w:after="0" w:line="360" w:lineRule="auto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A548A4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A548A4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A548A4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A548A4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A548A4"/>
  </w:style>
  <w:style w:type="paragraph" w:customStyle="1" w:styleId="TEKSTZacznikido">
    <w:name w:val="TEKST&quot;Załącznik(i) do ...&quot;"/>
    <w:uiPriority w:val="28"/>
    <w:qFormat/>
    <w:rsid w:val="00A548A4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A548A4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A548A4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A548A4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A548A4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A548A4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A548A4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A548A4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A548A4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A548A4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A548A4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A548A4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A548A4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A548A4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A548A4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A548A4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A548A4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A548A4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A548A4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A548A4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A548A4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A548A4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A548A4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A548A4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A548A4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A548A4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A548A4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A548A4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A548A4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A548A4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A548A4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A548A4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A548A4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A548A4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A548A4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A548A4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A548A4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A548A4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A548A4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A548A4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A548A4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A548A4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548A4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A548A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A548A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A548A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548A4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548A4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A548A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A548A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A548A4"/>
    <w:rPr>
      <w:b/>
    </w:rPr>
  </w:style>
  <w:style w:type="character" w:customStyle="1" w:styleId="Kkursywa">
    <w:name w:val="_K_ – kursywa"/>
    <w:basedOn w:val="Domylnaczcionkaakapitu"/>
    <w:uiPriority w:val="1"/>
    <w:qFormat/>
    <w:rsid w:val="00A548A4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A548A4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A548A4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A548A4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548A4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A548A4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A548A4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A548A4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A548A4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A548A4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A548A4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A548A4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A548A4"/>
    <w:pPr>
      <w:spacing w:after="0" w:line="360" w:lineRule="auto"/>
      <w:jc w:val="center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A548A4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A548A4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A548A4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A548A4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A548A4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A548A4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A548A4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A548A4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548A4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A548A4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A548A4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548A4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548A4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548A4"/>
    <w:pPr>
      <w:ind w:left="1780"/>
    </w:pPr>
  </w:style>
  <w:style w:type="table" w:styleId="Tabela-Siatka">
    <w:name w:val="Table Grid"/>
    <w:basedOn w:val="Standardowy"/>
    <w:rsid w:val="00A548A4"/>
    <w:pPr>
      <w:spacing w:after="0" w:line="240" w:lineRule="auto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A548A4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A548A4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A548A4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A548A4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A548A4"/>
    <w:rPr>
      <w:color w:val="808080"/>
    </w:rPr>
  </w:style>
  <w:style w:type="character" w:styleId="Hipercze">
    <w:name w:val="Hyperlink"/>
    <w:uiPriority w:val="99"/>
    <w:rsid w:val="00A548A4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semiHidden/>
    <w:rsid w:val="00A548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548A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548A4"/>
    <w:pPr>
      <w:spacing w:after="0" w:line="360" w:lineRule="auto"/>
      <w:ind w:left="567"/>
      <w:jc w:val="both"/>
    </w:pPr>
    <w:rPr>
      <w:rFonts w:ascii="Times New Roman" w:eastAsia="Times New Roman" w:hAnsi="Times New Roman" w:cs="Times New Roman"/>
      <w:color w:val="0D182F"/>
      <w:sz w:val="24"/>
      <w:szCs w:val="18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548A4"/>
    <w:rPr>
      <w:rFonts w:ascii="Times New Roman" w:eastAsia="Times New Roman" w:hAnsi="Times New Roman" w:cs="Times New Roman"/>
      <w:color w:val="0D182F"/>
      <w:sz w:val="24"/>
      <w:szCs w:val="18"/>
      <w:lang w:eastAsia="pl-PL"/>
    </w:rPr>
  </w:style>
  <w:style w:type="paragraph" w:styleId="Tekstpodstawowy">
    <w:name w:val="Body Text"/>
    <w:basedOn w:val="Normalny"/>
    <w:link w:val="TekstpodstawowyZnak"/>
    <w:rsid w:val="00A548A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548A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blokowy">
    <w:name w:val="Block Text"/>
    <w:basedOn w:val="Normalny"/>
    <w:rsid w:val="00A548A4"/>
    <w:pPr>
      <w:spacing w:after="0" w:line="240" w:lineRule="auto"/>
      <w:ind w:left="900" w:right="-46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wydatnienie">
    <w:name w:val="Emphasis"/>
    <w:qFormat/>
    <w:rsid w:val="00A548A4"/>
    <w:rPr>
      <w:i/>
      <w:iCs/>
    </w:rPr>
  </w:style>
  <w:style w:type="paragraph" w:styleId="Tytu">
    <w:name w:val="Title"/>
    <w:basedOn w:val="Normalny"/>
    <w:link w:val="TytuZnak"/>
    <w:qFormat/>
    <w:rsid w:val="00A548A4"/>
    <w:pPr>
      <w:spacing w:before="120" w:after="0" w:line="400" w:lineRule="atLeast"/>
      <w:jc w:val="center"/>
      <w:outlineLvl w:val="0"/>
    </w:pPr>
    <w:rPr>
      <w:rFonts w:ascii="Arial" w:eastAsia="Times New Roman" w:hAnsi="Arial" w:cs="Times New Roman"/>
      <w:b/>
      <w:caps/>
      <w:color w:val="000080"/>
      <w:kern w:val="28"/>
      <w:sz w:val="28"/>
      <w:szCs w:val="20"/>
      <w:lang w:val="en-GB" w:eastAsia="pl-PL"/>
    </w:rPr>
  </w:style>
  <w:style w:type="character" w:customStyle="1" w:styleId="TytuZnak">
    <w:name w:val="Tytuł Znak"/>
    <w:basedOn w:val="Domylnaczcionkaakapitu"/>
    <w:link w:val="Tytu"/>
    <w:rsid w:val="00A548A4"/>
    <w:rPr>
      <w:rFonts w:ascii="Arial" w:eastAsia="Times New Roman" w:hAnsi="Arial" w:cs="Times New Roman"/>
      <w:b/>
      <w:caps/>
      <w:color w:val="000080"/>
      <w:kern w:val="28"/>
      <w:sz w:val="28"/>
      <w:szCs w:val="20"/>
      <w:lang w:val="en-GB" w:eastAsia="pl-PL"/>
    </w:rPr>
  </w:style>
  <w:style w:type="paragraph" w:styleId="Listanumerowana">
    <w:name w:val="List Number"/>
    <w:basedOn w:val="Normalny"/>
    <w:rsid w:val="00A548A4"/>
    <w:pPr>
      <w:tabs>
        <w:tab w:val="num" w:pos="709"/>
      </w:tabs>
      <w:spacing w:before="60" w:after="0" w:line="200" w:lineRule="atLeast"/>
      <w:ind w:left="709" w:hanging="425"/>
      <w:jc w:val="both"/>
    </w:pPr>
    <w:rPr>
      <w:rFonts w:ascii="Arial" w:eastAsia="Times New Roman" w:hAnsi="Arial" w:cs="Times New Roman"/>
      <w:sz w:val="18"/>
      <w:szCs w:val="20"/>
      <w:lang w:val="en-GB" w:eastAsia="pl-PL"/>
    </w:rPr>
  </w:style>
  <w:style w:type="character" w:styleId="Numerstrony">
    <w:name w:val="page number"/>
    <w:rsid w:val="00A548A4"/>
    <w:rPr>
      <w:sz w:val="18"/>
    </w:rPr>
  </w:style>
  <w:style w:type="paragraph" w:styleId="Podtytu">
    <w:name w:val="Subtitle"/>
    <w:basedOn w:val="Normalny"/>
    <w:link w:val="PodtytuZnak"/>
    <w:qFormat/>
    <w:rsid w:val="00A548A4"/>
    <w:pPr>
      <w:spacing w:before="120" w:after="0" w:line="240" w:lineRule="atLeast"/>
      <w:jc w:val="center"/>
      <w:outlineLvl w:val="1"/>
    </w:pPr>
    <w:rPr>
      <w:rFonts w:ascii="Arial" w:eastAsia="Times New Roman" w:hAnsi="Arial" w:cs="Times New Roman"/>
      <w:b/>
      <w:color w:val="000080"/>
      <w:sz w:val="20"/>
      <w:szCs w:val="20"/>
      <w:lang w:val="en-GB" w:eastAsia="pl-PL"/>
    </w:rPr>
  </w:style>
  <w:style w:type="character" w:customStyle="1" w:styleId="PodtytuZnak">
    <w:name w:val="Podtytuł Znak"/>
    <w:basedOn w:val="Domylnaczcionkaakapitu"/>
    <w:link w:val="Podtytu"/>
    <w:rsid w:val="00A548A4"/>
    <w:rPr>
      <w:rFonts w:ascii="Arial" w:eastAsia="Times New Roman" w:hAnsi="Arial" w:cs="Times New Roman"/>
      <w:b/>
      <w:color w:val="000080"/>
      <w:sz w:val="20"/>
      <w:szCs w:val="20"/>
      <w:lang w:val="en-GB" w:eastAsia="pl-PL"/>
    </w:rPr>
  </w:style>
  <w:style w:type="paragraph" w:styleId="Tekstpodstawowy2">
    <w:name w:val="Body Text 2"/>
    <w:basedOn w:val="Normalny"/>
    <w:link w:val="Tekstpodstawowy2Znak"/>
    <w:rsid w:val="00A548A4"/>
    <w:pPr>
      <w:spacing w:after="0" w:line="240" w:lineRule="exact"/>
      <w:jc w:val="center"/>
    </w:pPr>
    <w:rPr>
      <w:rFonts w:ascii="Arial" w:eastAsia="Times New Roman" w:hAnsi="Arial" w:cs="Times New Roman"/>
      <w:b/>
      <w:color w:val="000080"/>
      <w:sz w:val="20"/>
      <w:szCs w:val="20"/>
      <w:lang w:val="en-GB"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548A4"/>
    <w:rPr>
      <w:rFonts w:ascii="Arial" w:eastAsia="Times New Roman" w:hAnsi="Arial" w:cs="Times New Roman"/>
      <w:b/>
      <w:color w:val="000080"/>
      <w:sz w:val="20"/>
      <w:szCs w:val="20"/>
      <w:lang w:val="en-GB" w:eastAsia="pl-PL"/>
    </w:rPr>
  </w:style>
  <w:style w:type="paragraph" w:styleId="Tekstpodstawowywcity">
    <w:name w:val="Body Text Indent"/>
    <w:basedOn w:val="Normalny"/>
    <w:link w:val="TekstpodstawowywcityZnak"/>
    <w:rsid w:val="00A548A4"/>
    <w:pPr>
      <w:tabs>
        <w:tab w:val="left" w:pos="567"/>
      </w:tabs>
      <w:spacing w:before="240" w:after="0" w:line="200" w:lineRule="atLeast"/>
      <w:ind w:left="851" w:hanging="851"/>
      <w:jc w:val="both"/>
    </w:pPr>
    <w:rPr>
      <w:rFonts w:ascii="Arial" w:eastAsia="Times New Roman" w:hAnsi="Arial" w:cs="Times New Roman"/>
      <w:snapToGrid w:val="0"/>
      <w:sz w:val="18"/>
      <w:szCs w:val="20"/>
      <w:lang w:val="en-GB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548A4"/>
    <w:rPr>
      <w:rFonts w:ascii="Arial" w:eastAsia="Times New Roman" w:hAnsi="Arial" w:cs="Times New Roman"/>
      <w:snapToGrid w:val="0"/>
      <w:sz w:val="18"/>
      <w:szCs w:val="20"/>
      <w:lang w:val="en-GB" w:eastAsia="pl-PL"/>
    </w:rPr>
  </w:style>
  <w:style w:type="paragraph" w:styleId="Akapitzlist">
    <w:name w:val="List Paragraph"/>
    <w:basedOn w:val="Normalny"/>
    <w:uiPriority w:val="34"/>
    <w:qFormat/>
    <w:rsid w:val="00A548A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A548A4"/>
    <w:rPr>
      <w:vertAlign w:val="superscript"/>
    </w:rPr>
  </w:style>
  <w:style w:type="paragraph" w:styleId="Poprawka">
    <w:name w:val="Revision"/>
    <w:hidden/>
    <w:uiPriority w:val="99"/>
    <w:semiHidden/>
    <w:rsid w:val="00A548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5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9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2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0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29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6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58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99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5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0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6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542CC-B511-4ACC-A223-469A11B16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4337</Words>
  <Characters>26027</Characters>
  <Application>Microsoft Office Word</Application>
  <DocSecurity>0</DocSecurity>
  <Lines>216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Knobloch-Sieradzka</dc:creator>
  <cp:lastModifiedBy>Binkowska Joanna</cp:lastModifiedBy>
  <cp:revision>2</cp:revision>
  <cp:lastPrinted>2019-05-11T08:35:00Z</cp:lastPrinted>
  <dcterms:created xsi:type="dcterms:W3CDTF">2019-06-12T07:52:00Z</dcterms:created>
  <dcterms:modified xsi:type="dcterms:W3CDTF">2019-06-12T07:52:00Z</dcterms:modified>
</cp:coreProperties>
</file>