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8F549" w14:textId="0BCB7CF9" w:rsidR="00AC1495" w:rsidRPr="00136F65" w:rsidRDefault="00AC1495" w:rsidP="00737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7A1D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UZASADNIENIE</w:t>
      </w:r>
    </w:p>
    <w:p w14:paraId="08943AE4" w14:textId="1029B9AF" w:rsidR="00AC1495" w:rsidRPr="00136F65" w:rsidRDefault="00A0759D" w:rsidP="00737E3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AC1495" w:rsidRPr="0013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Potrzeba i cel </w:t>
      </w:r>
      <w:r w:rsidR="000157B8" w:rsidRPr="0013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wydania aktu normatywnego</w:t>
      </w:r>
    </w:p>
    <w:p w14:paraId="602A1ECF" w14:textId="4903FA4F" w:rsidR="00AC1495" w:rsidRPr="00136F65" w:rsidRDefault="00AB6EA7" w:rsidP="007A1DC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65">
        <w:rPr>
          <w:rFonts w:ascii="Times New Roman" w:eastAsia="Times New Roman" w:hAnsi="Times New Roman" w:cs="Times New Roman"/>
          <w:sz w:val="24"/>
          <w:szCs w:val="24"/>
        </w:rPr>
        <w:t>Projekt ustawy o zmianie ustawy</w:t>
      </w:r>
      <w:r w:rsidR="00AC1495" w:rsidRPr="00136F65">
        <w:rPr>
          <w:rFonts w:ascii="Times New Roman" w:eastAsia="Times New Roman" w:hAnsi="Times New Roman" w:cs="Times New Roman"/>
          <w:sz w:val="24"/>
          <w:szCs w:val="24"/>
        </w:rPr>
        <w:t xml:space="preserve"> o ochronie konkurencji i konsumentów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oraz niektórych innych ustaw ma na celu</w:t>
      </w:r>
      <w:r w:rsidR="00AC1495" w:rsidRPr="00136F6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AECDCF1" w14:textId="079EE912" w:rsidR="00AC1495" w:rsidRPr="00136F65" w:rsidRDefault="00AC1495" w:rsidP="007A1DC1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65">
        <w:rPr>
          <w:rFonts w:ascii="Times New Roman" w:eastAsia="Times New Roman" w:hAnsi="Times New Roman" w:cs="Times New Roman"/>
          <w:sz w:val="24"/>
          <w:szCs w:val="24"/>
        </w:rPr>
        <w:t>dostosowani</w:t>
      </w:r>
      <w:r w:rsidR="00AB6EA7" w:rsidRPr="00136F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 prawa</w:t>
      </w:r>
      <w:r w:rsidR="00AB6EA7" w:rsidRPr="00136F65">
        <w:rPr>
          <w:rFonts w:ascii="Times New Roman" w:eastAsia="Times New Roman" w:hAnsi="Times New Roman" w:cs="Times New Roman"/>
          <w:sz w:val="24"/>
          <w:szCs w:val="24"/>
        </w:rPr>
        <w:t xml:space="preserve"> krajowego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 do przepisów rozporządzenia Parlamentu Europejskiego i Rady 2018/302 w sprawie </w:t>
      </w:r>
      <w:r w:rsidR="001F3AC1">
        <w:rPr>
          <w:rFonts w:ascii="Times New Roman" w:eastAsia="Times New Roman" w:hAnsi="Times New Roman" w:cs="Times New Roman"/>
          <w:sz w:val="24"/>
          <w:szCs w:val="24"/>
        </w:rPr>
        <w:t xml:space="preserve">nieuzasadnionego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blokowania geograficznego oraz innych form dyskryminacji </w:t>
      </w:r>
      <w:r w:rsidR="00AB6EA7" w:rsidRPr="00136F65">
        <w:rPr>
          <w:rFonts w:ascii="Times New Roman" w:eastAsia="Times New Roman" w:hAnsi="Times New Roman" w:cs="Times New Roman"/>
          <w:sz w:val="24"/>
          <w:szCs w:val="24"/>
        </w:rPr>
        <w:t xml:space="preserve">klientów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ze względu na przynależność państwową, miejsce zamieszkania lub miejsce prowadzenia działalności na rynku wewnętrznym oraz w sprawie zmiany rozporządze</w:t>
      </w:r>
      <w:r w:rsidR="00AB6EA7" w:rsidRPr="00136F65">
        <w:rPr>
          <w:rFonts w:ascii="Times New Roman" w:eastAsia="Times New Roman" w:hAnsi="Times New Roman" w:cs="Times New Roman"/>
          <w:sz w:val="24"/>
          <w:szCs w:val="24"/>
        </w:rPr>
        <w:t>ń</w:t>
      </w:r>
      <w:r w:rsidR="00930256">
        <w:rPr>
          <w:rFonts w:ascii="Times New Roman" w:eastAsia="Times New Roman" w:hAnsi="Times New Roman" w:cs="Times New Roman"/>
          <w:sz w:val="24"/>
          <w:szCs w:val="24"/>
        </w:rPr>
        <w:t xml:space="preserve"> (WE) nr 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2006/2004 </w:t>
      </w:r>
      <w:r w:rsidR="00685E1F" w:rsidRPr="00136F65">
        <w:rPr>
          <w:rFonts w:ascii="Times New Roman" w:eastAsia="Times New Roman" w:hAnsi="Times New Roman" w:cs="Times New Roman"/>
          <w:sz w:val="24"/>
          <w:szCs w:val="24"/>
        </w:rPr>
        <w:t xml:space="preserve">oraz (UE) 2017/2394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i dyrektywy 2009/22/WE</w:t>
      </w:r>
      <w:r w:rsidR="009C4702" w:rsidRPr="00136F65">
        <w:rPr>
          <w:rFonts w:ascii="Times New Roman" w:eastAsia="Times New Roman" w:hAnsi="Times New Roman" w:cs="Times New Roman"/>
          <w:sz w:val="24"/>
          <w:szCs w:val="24"/>
        </w:rPr>
        <w:t xml:space="preserve"> (Dz. Urz. UE L 60 I z</w:t>
      </w:r>
      <w:r w:rsidR="0005037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91D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9C4702" w:rsidRPr="00136F65">
        <w:rPr>
          <w:rFonts w:ascii="Times New Roman" w:eastAsia="Times New Roman" w:hAnsi="Times New Roman" w:cs="Times New Roman"/>
          <w:sz w:val="24"/>
          <w:szCs w:val="24"/>
        </w:rPr>
        <w:t xml:space="preserve">2.03.2018, str. 1 oraz Dz. Urz. UE L 66 z </w:t>
      </w:r>
      <w:r w:rsidR="00AC397B">
        <w:rPr>
          <w:rFonts w:ascii="Times New Roman" w:eastAsia="Times New Roman" w:hAnsi="Times New Roman" w:cs="Times New Roman"/>
          <w:sz w:val="24"/>
          <w:szCs w:val="24"/>
        </w:rPr>
        <w:t>0</w:t>
      </w:r>
      <w:r w:rsidR="009C4702" w:rsidRPr="00136F65">
        <w:rPr>
          <w:rFonts w:ascii="Times New Roman" w:eastAsia="Times New Roman" w:hAnsi="Times New Roman" w:cs="Times New Roman"/>
          <w:sz w:val="24"/>
          <w:szCs w:val="24"/>
        </w:rPr>
        <w:t>8.03.2018, str.</w:t>
      </w:r>
      <w:r w:rsidR="000503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702" w:rsidRPr="00136F65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4021">
        <w:rPr>
          <w:rFonts w:ascii="Times New Roman" w:eastAsia="Times New Roman" w:hAnsi="Times New Roman" w:cs="Times New Roman"/>
          <w:sz w:val="24"/>
          <w:szCs w:val="24"/>
        </w:rPr>
        <w:t xml:space="preserve"> zwanego dalej „rozporządzeniem 2018/302”;</w:t>
      </w:r>
    </w:p>
    <w:p w14:paraId="156796DA" w14:textId="07AF6D6E" w:rsidR="00AC1495" w:rsidRPr="00136F65" w:rsidRDefault="00AC1495" w:rsidP="007A1DC1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65">
        <w:rPr>
          <w:rFonts w:ascii="Times New Roman" w:eastAsia="Times New Roman" w:hAnsi="Times New Roman" w:cs="Times New Roman"/>
          <w:sz w:val="24"/>
          <w:szCs w:val="24"/>
        </w:rPr>
        <w:t>umożliwieni</w:t>
      </w:r>
      <w:r w:rsidR="009C4702" w:rsidRPr="00136F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 Prezesowi U</w:t>
      </w:r>
      <w:r w:rsidR="00711D28">
        <w:rPr>
          <w:rFonts w:ascii="Times New Roman" w:eastAsia="Times New Roman" w:hAnsi="Times New Roman" w:cs="Times New Roman"/>
          <w:sz w:val="24"/>
          <w:szCs w:val="24"/>
        </w:rPr>
        <w:t xml:space="preserve">rzędu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O</w:t>
      </w:r>
      <w:r w:rsidR="00711D28">
        <w:rPr>
          <w:rFonts w:ascii="Times New Roman" w:eastAsia="Times New Roman" w:hAnsi="Times New Roman" w:cs="Times New Roman"/>
          <w:sz w:val="24"/>
          <w:szCs w:val="24"/>
        </w:rPr>
        <w:t xml:space="preserve">chrony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K</w:t>
      </w:r>
      <w:r w:rsidR="00711D28">
        <w:rPr>
          <w:rFonts w:ascii="Times New Roman" w:eastAsia="Times New Roman" w:hAnsi="Times New Roman" w:cs="Times New Roman"/>
          <w:sz w:val="24"/>
          <w:szCs w:val="24"/>
        </w:rPr>
        <w:t xml:space="preserve">onkurencji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i</w:t>
      </w:r>
      <w:r w:rsidR="00711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K</w:t>
      </w:r>
      <w:r w:rsidR="00711D28">
        <w:rPr>
          <w:rFonts w:ascii="Times New Roman" w:eastAsia="Times New Roman" w:hAnsi="Times New Roman" w:cs="Times New Roman"/>
          <w:sz w:val="24"/>
          <w:szCs w:val="24"/>
        </w:rPr>
        <w:t>onsumentów, zwanego dalej „UOKiK”</w:t>
      </w:r>
      <w:r w:rsidR="0005037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 bardziej elastycznego, w stosunku do stanu obecnego, kształtowania struktury wewnętrznej UOKiK – w szczególności w odniesieniu do delegatur </w:t>
      </w:r>
      <w:r w:rsidR="009C4702" w:rsidRPr="00136F65">
        <w:rPr>
          <w:rFonts w:ascii="Times New Roman" w:eastAsia="Times New Roman" w:hAnsi="Times New Roman" w:cs="Times New Roman"/>
          <w:sz w:val="24"/>
          <w:szCs w:val="24"/>
        </w:rPr>
        <w:t>UOKiK</w:t>
      </w:r>
      <w:r w:rsidR="008A40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12D57A" w14:textId="4BBE7AD4" w:rsidR="00AC1495" w:rsidRPr="00136F65" w:rsidRDefault="00AC1495" w:rsidP="007A1DC1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65">
        <w:rPr>
          <w:rFonts w:ascii="Times New Roman" w:eastAsia="Times New Roman" w:hAnsi="Times New Roman" w:cs="Times New Roman"/>
          <w:sz w:val="24"/>
          <w:szCs w:val="24"/>
        </w:rPr>
        <w:t>popraw</w:t>
      </w:r>
      <w:r w:rsidR="009C4702" w:rsidRPr="00136F65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 skuteczności wykrywania naruszeń </w:t>
      </w:r>
      <w:r w:rsidR="009C4702" w:rsidRPr="00136F65">
        <w:rPr>
          <w:rFonts w:ascii="Times New Roman" w:eastAsia="Times New Roman" w:hAnsi="Times New Roman" w:cs="Times New Roman"/>
          <w:sz w:val="24"/>
          <w:szCs w:val="24"/>
        </w:rPr>
        <w:t xml:space="preserve">przepisów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ustawy </w:t>
      </w:r>
      <w:r w:rsidR="00930256">
        <w:rPr>
          <w:rFonts w:ascii="Times New Roman" w:eastAsia="Times New Roman" w:hAnsi="Times New Roman" w:cs="Times New Roman"/>
          <w:sz w:val="24"/>
          <w:szCs w:val="24"/>
        </w:rPr>
        <w:t>z dnia 16 lutego 2007 </w:t>
      </w:r>
      <w:r w:rsidR="009129A9" w:rsidRPr="00136F65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o ochronie konkurencji i konsumentów </w:t>
      </w:r>
      <w:r w:rsidR="009129A9" w:rsidRPr="00136F65">
        <w:rPr>
          <w:rFonts w:ascii="Times New Roman" w:eastAsia="Times New Roman" w:hAnsi="Times New Roman" w:cs="Times New Roman"/>
          <w:sz w:val="24"/>
          <w:szCs w:val="24"/>
        </w:rPr>
        <w:t>(Dz. U. z 201</w:t>
      </w:r>
      <w:r w:rsidR="00673E66">
        <w:rPr>
          <w:rFonts w:ascii="Times New Roman" w:eastAsia="Times New Roman" w:hAnsi="Times New Roman" w:cs="Times New Roman"/>
          <w:sz w:val="24"/>
          <w:szCs w:val="24"/>
        </w:rPr>
        <w:t>9 r. poz. 369</w:t>
      </w:r>
      <w:r w:rsidR="009129A9" w:rsidRPr="00136F6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823" w:rsidRPr="00136F65">
        <w:rPr>
          <w:rFonts w:ascii="Times New Roman" w:eastAsia="Times New Roman" w:hAnsi="Times New Roman" w:cs="Times New Roman"/>
          <w:sz w:val="24"/>
          <w:szCs w:val="24"/>
        </w:rPr>
        <w:t>, zwane</w:t>
      </w:r>
      <w:r w:rsidR="007268AF" w:rsidRPr="00136F65">
        <w:rPr>
          <w:rFonts w:ascii="Times New Roman" w:eastAsia="Times New Roman" w:hAnsi="Times New Roman" w:cs="Times New Roman"/>
          <w:sz w:val="24"/>
          <w:szCs w:val="24"/>
        </w:rPr>
        <w:t>j</w:t>
      </w:r>
      <w:r w:rsidR="00042823" w:rsidRPr="00136F65">
        <w:rPr>
          <w:rFonts w:ascii="Times New Roman" w:eastAsia="Times New Roman" w:hAnsi="Times New Roman" w:cs="Times New Roman"/>
          <w:sz w:val="24"/>
          <w:szCs w:val="24"/>
        </w:rPr>
        <w:t xml:space="preserve"> dalej „ustawą o ochronie konkurencji i konsumentów”,</w:t>
      </w:r>
      <w:r w:rsidR="009129A9" w:rsidRPr="00136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przez dostęp do tajemnic prawnie chronionych, takich jak tajemnica skarbowa i tajemnica bankowa</w:t>
      </w:r>
      <w:r w:rsidR="008A40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36C25F" w14:textId="657B03CF" w:rsidR="00042823" w:rsidRDefault="00AC1495" w:rsidP="007A1DC1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65">
        <w:rPr>
          <w:rFonts w:ascii="Times New Roman" w:eastAsia="Times New Roman" w:hAnsi="Times New Roman" w:cs="Times New Roman"/>
          <w:sz w:val="24"/>
          <w:szCs w:val="24"/>
        </w:rPr>
        <w:t>dostosowani</w:t>
      </w:r>
      <w:r w:rsidR="007C4D36" w:rsidRPr="00136F65">
        <w:rPr>
          <w:rFonts w:ascii="Times New Roman" w:eastAsia="Times New Roman" w:hAnsi="Times New Roman" w:cs="Times New Roman"/>
          <w:sz w:val="24"/>
          <w:szCs w:val="24"/>
        </w:rPr>
        <w:t>e przepisów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 ustawy o ochronie konkurencji i konsumentów oraz ustawy </w:t>
      </w:r>
      <w:r w:rsidR="00656622" w:rsidRPr="00136F65">
        <w:rPr>
          <w:rFonts w:ascii="Times New Roman" w:eastAsia="Times New Roman" w:hAnsi="Times New Roman" w:cs="Times New Roman"/>
          <w:sz w:val="24"/>
          <w:szCs w:val="24"/>
        </w:rPr>
        <w:t xml:space="preserve">z dnia 15 grudnia 2016 r.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o przeciwdziałaniu nieuczciwemu wykorzystywaniu przewagi kontraktowej w obrocie produktami rolnymi i spożywczymi </w:t>
      </w:r>
      <w:r w:rsidR="00783CC3">
        <w:rPr>
          <w:rFonts w:ascii="Times New Roman" w:eastAsia="Times New Roman" w:hAnsi="Times New Roman" w:cs="Times New Roman"/>
          <w:sz w:val="24"/>
          <w:szCs w:val="24"/>
        </w:rPr>
        <w:t>(Dz. U. z 2019 r. poz. 517</w:t>
      </w:r>
      <w:r w:rsidR="00656622" w:rsidRPr="00136F65">
        <w:rPr>
          <w:rFonts w:ascii="Times New Roman" w:eastAsia="Times New Roman" w:hAnsi="Times New Roman" w:cs="Times New Roman"/>
          <w:sz w:val="24"/>
          <w:szCs w:val="24"/>
        </w:rPr>
        <w:t>)</w:t>
      </w:r>
      <w:r w:rsidR="00995B52" w:rsidRPr="00136F65">
        <w:rPr>
          <w:rFonts w:ascii="Times New Roman" w:eastAsia="Times New Roman" w:hAnsi="Times New Roman" w:cs="Times New Roman"/>
          <w:sz w:val="24"/>
          <w:szCs w:val="24"/>
        </w:rPr>
        <w:t>, zwanej dalej „</w:t>
      </w:r>
      <w:r w:rsidR="00724AFC" w:rsidRPr="00136F65">
        <w:rPr>
          <w:rFonts w:ascii="Times New Roman" w:hAnsi="Times New Roman" w:cs="Times New Roman"/>
          <w:sz w:val="24"/>
          <w:szCs w:val="24"/>
        </w:rPr>
        <w:t>ustawą</w:t>
      </w:r>
      <w:r w:rsidR="00995B52" w:rsidRPr="00136F65">
        <w:rPr>
          <w:rFonts w:ascii="Times New Roman" w:hAnsi="Times New Roman" w:cs="Times New Roman"/>
          <w:sz w:val="24"/>
          <w:szCs w:val="24"/>
        </w:rPr>
        <w:t xml:space="preserve"> o </w:t>
      </w:r>
      <w:r w:rsidR="00724AFC" w:rsidRPr="00136F65">
        <w:rPr>
          <w:rFonts w:ascii="Times New Roman" w:eastAsia="Times New Roman" w:hAnsi="Times New Roman" w:cs="Times New Roman"/>
          <w:sz w:val="24"/>
          <w:szCs w:val="24"/>
        </w:rPr>
        <w:t>przeciwdziałaniu nieuczciwemu wykorzystywaniu przewagi kontraktowej w obrocie produktami rolnymi i spożywczymi</w:t>
      </w:r>
      <w:r w:rsidR="00995B52" w:rsidRPr="00136F65">
        <w:rPr>
          <w:rFonts w:ascii="Times New Roman" w:hAnsi="Times New Roman" w:cs="Times New Roman"/>
          <w:sz w:val="24"/>
          <w:szCs w:val="24"/>
        </w:rPr>
        <w:t>”</w:t>
      </w:r>
      <w:r w:rsidR="00724AFC" w:rsidRPr="00136F65">
        <w:rPr>
          <w:rFonts w:ascii="Times New Roman" w:hAnsi="Times New Roman" w:cs="Times New Roman"/>
          <w:sz w:val="24"/>
          <w:szCs w:val="24"/>
        </w:rPr>
        <w:t>,</w:t>
      </w:r>
      <w:r w:rsidR="00656622" w:rsidRPr="00136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do aktualnego stanu prawnego przez m.in. usunięcie odesłań do nieobowiązujących przepisów (np. </w:t>
      </w:r>
      <w:r w:rsidR="00656622" w:rsidRPr="00136F6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art. 113 ustawy o ochronie konkurencji i konsumentów).</w:t>
      </w:r>
    </w:p>
    <w:p w14:paraId="497B166B" w14:textId="3B4E1283" w:rsidR="00AC1495" w:rsidRPr="00136F65" w:rsidRDefault="00AC1495" w:rsidP="00737E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65">
        <w:rPr>
          <w:rFonts w:ascii="Times New Roman" w:eastAsia="Times New Roman" w:hAnsi="Times New Roman" w:cs="Times New Roman"/>
          <w:sz w:val="24"/>
          <w:szCs w:val="24"/>
        </w:rPr>
        <w:t>Ad.</w:t>
      </w:r>
      <w:r w:rsidR="0052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021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7328978" w14:textId="66A69580" w:rsidR="00137D9F" w:rsidRPr="00136F65" w:rsidRDefault="00AC1495" w:rsidP="007A1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22 marca 2018 r. weszło w życie </w:t>
      </w:r>
      <w:r w:rsidR="005107F7" w:rsidRPr="00136F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ozporządzenie </w:t>
      </w:r>
      <w:r w:rsidR="00E91F8B" w:rsidRPr="00136F65">
        <w:rPr>
          <w:rFonts w:ascii="Times New Roman" w:eastAsia="Times New Roman" w:hAnsi="Times New Roman" w:cs="Times New Roman"/>
          <w:sz w:val="24"/>
          <w:szCs w:val="24"/>
        </w:rPr>
        <w:t>2018/302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51FFC4" w14:textId="3D28FE29" w:rsidR="00137D9F" w:rsidRPr="00136F65" w:rsidRDefault="00AC1495" w:rsidP="00A124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Rozporządzenie </w:t>
      </w:r>
      <w:r w:rsidR="00211627" w:rsidRPr="00136F65">
        <w:rPr>
          <w:rFonts w:ascii="Times New Roman" w:eastAsia="Times New Roman" w:hAnsi="Times New Roman" w:cs="Times New Roman"/>
          <w:sz w:val="24"/>
          <w:szCs w:val="24"/>
        </w:rPr>
        <w:t xml:space="preserve">2018/302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to jeden z dokumentów z pakietu Komisji Europejskiej dotyczącego handlu elektronicznego (tzw. e-commerce package), opublikowanego 25</w:t>
      </w:r>
      <w:r w:rsidR="00C662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maja 2016 r. w ramach realizacji inicjatyw zapowiedzianych w Strategii </w:t>
      </w:r>
      <w:r w:rsidR="00941174">
        <w:rPr>
          <w:rFonts w:ascii="Times New Roman" w:eastAsia="Times New Roman" w:hAnsi="Times New Roman" w:cs="Times New Roman"/>
          <w:sz w:val="24"/>
          <w:szCs w:val="24"/>
        </w:rPr>
        <w:t>J</w:t>
      </w:r>
      <w:r w:rsidR="00147EC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dnolitego </w:t>
      </w:r>
      <w:r w:rsidR="00941174">
        <w:rPr>
          <w:rFonts w:ascii="Times New Roman" w:eastAsia="Times New Roman" w:hAnsi="Times New Roman" w:cs="Times New Roman"/>
          <w:sz w:val="24"/>
          <w:szCs w:val="24"/>
        </w:rPr>
        <w:lastRenderedPageBreak/>
        <w:t>R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ynku </w:t>
      </w:r>
      <w:r w:rsidR="0094117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yfrowego (DSM – Digital Single Market) oraz w Strategii </w:t>
      </w:r>
      <w:r w:rsidR="00941174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ednolitego </w:t>
      </w:r>
      <w:r w:rsidR="0094117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ynku na rzecz towarów i usług (SMS – Single Market Strategy). Przepisy </w:t>
      </w:r>
      <w:r w:rsidR="00211627" w:rsidRPr="00136F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ozporządzenia </w:t>
      </w:r>
      <w:r w:rsidR="00783CC3">
        <w:rPr>
          <w:rFonts w:ascii="Times New Roman" w:eastAsia="Times New Roman" w:hAnsi="Times New Roman" w:cs="Times New Roman"/>
          <w:sz w:val="24"/>
          <w:szCs w:val="24"/>
        </w:rPr>
        <w:t>2018/302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 stosowane </w:t>
      </w:r>
      <w:r w:rsidR="00783CC3">
        <w:rPr>
          <w:rFonts w:ascii="Times New Roman" w:eastAsia="Times New Roman" w:hAnsi="Times New Roman" w:cs="Times New Roman"/>
          <w:sz w:val="24"/>
          <w:szCs w:val="24"/>
        </w:rPr>
        <w:t xml:space="preserve">są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od 3 grudnia 2018 r.</w:t>
      </w:r>
    </w:p>
    <w:p w14:paraId="522551B2" w14:textId="508CE0BF" w:rsidR="00137D9F" w:rsidRPr="00136F65" w:rsidRDefault="00AC1495" w:rsidP="00A124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Celem rozporządzenia </w:t>
      </w:r>
      <w:r w:rsidR="00211627" w:rsidRPr="00136F65">
        <w:rPr>
          <w:rFonts w:ascii="Times New Roman" w:eastAsia="Times New Roman" w:hAnsi="Times New Roman" w:cs="Times New Roman"/>
          <w:sz w:val="24"/>
          <w:szCs w:val="24"/>
        </w:rPr>
        <w:t xml:space="preserve">2018/302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jest zapewnienie konsumentom, niezależnie od ich przynależności państwowej lub miejsca zamieszkania bądź prowadzenia działalności w UE, lepszego dostępu do towarów i usług na jednolitym rynku przez zapobieganie bezpośredniej i pośredniej dyskryminacji w transgranicznym handlu elektronicznym (przy dokonywaniu zakupów online), jak również podczas podróży do innych państw członkowskich w celu nabycia to</w:t>
      </w:r>
      <w:r w:rsidR="00137D9F" w:rsidRPr="00136F65">
        <w:rPr>
          <w:rFonts w:ascii="Times New Roman" w:eastAsia="Times New Roman" w:hAnsi="Times New Roman" w:cs="Times New Roman"/>
          <w:sz w:val="24"/>
          <w:szCs w:val="24"/>
        </w:rPr>
        <w:t>warów lub skorzystania z usług.</w:t>
      </w:r>
    </w:p>
    <w:p w14:paraId="3D1F7B21" w14:textId="4796DFAB" w:rsidR="00137D9F" w:rsidRPr="00136F65" w:rsidRDefault="00AC1495" w:rsidP="00A124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65">
        <w:rPr>
          <w:rFonts w:ascii="Times New Roman" w:eastAsia="Times New Roman" w:hAnsi="Times New Roman" w:cs="Times New Roman"/>
          <w:sz w:val="24"/>
          <w:szCs w:val="24"/>
        </w:rPr>
        <w:t>Założeniem tej regulacji jest również umożliwienie przedsiębiorcom rozszerzenia ich działalności na nowe rynki i zainteresowania swoją ofertą nowych klientów. Podkreślić należy, że w przypadku tego rozporządzenia przedsiębiorcy traktowani są na równi z konsumentami, jeśli występują w tej roli w ramach czynności zakupu dóbr lub usług. Oznacza to, iż mają takie sam</w:t>
      </w:r>
      <w:r w:rsidR="00C6621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 prawa jak konsumenci, jeśli chcą kupić jakiś towar l</w:t>
      </w:r>
      <w:r w:rsidR="00137D9F" w:rsidRPr="00136F65">
        <w:rPr>
          <w:rFonts w:ascii="Times New Roman" w:eastAsia="Times New Roman" w:hAnsi="Times New Roman" w:cs="Times New Roman"/>
          <w:sz w:val="24"/>
          <w:szCs w:val="24"/>
        </w:rPr>
        <w:t xml:space="preserve">ub usługę w innym </w:t>
      </w:r>
      <w:r w:rsidR="00B91DA6">
        <w:rPr>
          <w:rFonts w:ascii="Times New Roman" w:eastAsia="Times New Roman" w:hAnsi="Times New Roman" w:cs="Times New Roman"/>
          <w:sz w:val="24"/>
          <w:szCs w:val="24"/>
        </w:rPr>
        <w:t xml:space="preserve">państwie </w:t>
      </w:r>
      <w:r w:rsidR="00137D9F" w:rsidRPr="00136F65">
        <w:rPr>
          <w:rFonts w:ascii="Times New Roman" w:eastAsia="Times New Roman" w:hAnsi="Times New Roman" w:cs="Times New Roman"/>
          <w:sz w:val="24"/>
          <w:szCs w:val="24"/>
        </w:rPr>
        <w:t>członkowskim.</w:t>
      </w:r>
    </w:p>
    <w:p w14:paraId="5769472B" w14:textId="24B528CA" w:rsidR="00137D9F" w:rsidRPr="00136F65" w:rsidRDefault="00AC1495" w:rsidP="00A124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Rozporządzenie </w:t>
      </w:r>
      <w:r w:rsidR="00211627" w:rsidRPr="00136F65">
        <w:rPr>
          <w:rFonts w:ascii="Times New Roman" w:eastAsia="Times New Roman" w:hAnsi="Times New Roman" w:cs="Times New Roman"/>
          <w:sz w:val="24"/>
          <w:szCs w:val="24"/>
        </w:rPr>
        <w:t xml:space="preserve">2018/302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obejmuje transakcje (zakup dóbr i usług) zawierane zarówno on-line</w:t>
      </w:r>
      <w:r w:rsidR="001A74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 jak i off-line oraz w ramach połączenia tych dwóch kanałów (tzw. omni-channel). Usługi wyłączone z zakresu: transportowe, finansowe, audiowizualne.</w:t>
      </w:r>
    </w:p>
    <w:p w14:paraId="109198EC" w14:textId="6A0564E8" w:rsidR="00137D9F" w:rsidRPr="00136F65" w:rsidRDefault="00AC1495" w:rsidP="00A124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Nieuzasadnione geoblokowanie i dyskryminacja ze względu na miejsce zamieszkania </w:t>
      </w:r>
      <w:r w:rsidR="00B91DA6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 niezgodne z samą ideą jednolitego rynku i </w:t>
      </w:r>
      <w:r w:rsidR="00941174">
        <w:rPr>
          <w:rFonts w:ascii="Times New Roman" w:eastAsia="Times New Roman" w:hAnsi="Times New Roman" w:cs="Times New Roman"/>
          <w:sz w:val="24"/>
          <w:szCs w:val="24"/>
        </w:rPr>
        <w:t xml:space="preserve">są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przyczyną niskiej skali transgranicznego handlu elektronicznego. Rozporządzenie </w:t>
      </w:r>
      <w:r w:rsidR="00211627" w:rsidRPr="00136F65">
        <w:rPr>
          <w:rFonts w:ascii="Times New Roman" w:eastAsia="Times New Roman" w:hAnsi="Times New Roman" w:cs="Times New Roman"/>
          <w:sz w:val="24"/>
          <w:szCs w:val="24"/>
        </w:rPr>
        <w:t xml:space="preserve">2018/302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jako wspólna część Strategii Jednolitego Rynku Cyfrowego oraz Strategii Jednolitego Rynku stanowi ważny element polityki działań eliminujących bariery w transgranicznym handlu elektronicznym. Dzięki tej oraz pozostałym, korespondującym inicjatywom w ramach ww. strategii, zasady sprzedaży transgranicznej zostaną uproszczone z punktu widzenia przedsiębiorców, w szczególności MŚP, co przyczyni się do zapewnienia konsumentom i przedsiębiorcom większego wyboru i wyższej jakości towarów i usług oraz pobudzi rozwój całej branży e-commerce. Co prawda zakaz dyskryminacji został ustanowiony w przepisach dyrektywy usługowej</w:t>
      </w:r>
      <w:r w:rsidR="00B91DA6">
        <w:rPr>
          <w:rFonts w:ascii="Times New Roman" w:eastAsia="Times New Roman" w:hAnsi="Times New Roman" w:cs="Times New Roman"/>
          <w:sz w:val="24"/>
          <w:szCs w:val="24"/>
        </w:rPr>
        <w:t xml:space="preserve"> (d</w:t>
      </w:r>
      <w:r w:rsidR="00B91DA6" w:rsidRPr="00B91DA6">
        <w:rPr>
          <w:rFonts w:ascii="Times New Roman" w:eastAsia="Times New Roman" w:hAnsi="Times New Roman" w:cs="Times New Roman"/>
          <w:sz w:val="24"/>
          <w:szCs w:val="24"/>
        </w:rPr>
        <w:t xml:space="preserve">yrektywa </w:t>
      </w:r>
      <w:r w:rsidR="00B91DA6">
        <w:rPr>
          <w:rFonts w:ascii="Times New Roman" w:eastAsia="Times New Roman" w:hAnsi="Times New Roman" w:cs="Times New Roman"/>
          <w:sz w:val="24"/>
          <w:szCs w:val="24"/>
        </w:rPr>
        <w:t>2006/123</w:t>
      </w:r>
      <w:r w:rsidR="00F9642A">
        <w:rPr>
          <w:rFonts w:ascii="Times New Roman" w:eastAsia="Times New Roman" w:hAnsi="Times New Roman" w:cs="Times New Roman"/>
          <w:sz w:val="24"/>
          <w:szCs w:val="24"/>
        </w:rPr>
        <w:t>/WE</w:t>
      </w:r>
      <w:r w:rsidR="00886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DA6" w:rsidRPr="00B91DA6">
        <w:rPr>
          <w:rFonts w:ascii="Times New Roman" w:eastAsia="Times New Roman" w:hAnsi="Times New Roman" w:cs="Times New Roman"/>
          <w:sz w:val="24"/>
          <w:szCs w:val="24"/>
        </w:rPr>
        <w:t>Parlamentu Europejskiego i Rady z dnia 12 grudnia 2006 r. dotycząca usług na rynku wewnętrznym</w:t>
      </w:r>
      <w:r w:rsidR="00F9642A">
        <w:rPr>
          <w:rFonts w:ascii="Times New Roman" w:eastAsia="Times New Roman" w:hAnsi="Times New Roman" w:cs="Times New Roman"/>
          <w:sz w:val="24"/>
          <w:szCs w:val="24"/>
        </w:rPr>
        <w:t>, Dz. Urz. UE L 376 z 27.12.2006, str. 36</w:t>
      </w:r>
      <w:r w:rsidR="00B91DA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, niemniej jednak jego stosowanie zależy od oceny działań danego przedsiębiorcy na zasadzie case by case. Dzięki przepisom rozporządzenia </w:t>
      </w:r>
      <w:r w:rsidR="00211627" w:rsidRPr="00136F65">
        <w:rPr>
          <w:rFonts w:ascii="Times New Roman" w:eastAsia="Times New Roman" w:hAnsi="Times New Roman" w:cs="Times New Roman"/>
          <w:sz w:val="24"/>
          <w:szCs w:val="24"/>
        </w:rPr>
        <w:t xml:space="preserve">2018/302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zarówno firmy, jak i konsumenci zyskają większą pewność prawną dzięki wskazaniu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konkretnych okoliczności zakazu dyskryminacji, co jednocześnie poprawi wykonalność tych </w:t>
      </w:r>
      <w:r w:rsidR="00137D9F" w:rsidRPr="00136F65">
        <w:rPr>
          <w:rFonts w:ascii="Times New Roman" w:eastAsia="Times New Roman" w:hAnsi="Times New Roman" w:cs="Times New Roman"/>
          <w:sz w:val="24"/>
          <w:szCs w:val="24"/>
        </w:rPr>
        <w:t>przepisów.</w:t>
      </w:r>
    </w:p>
    <w:p w14:paraId="437693D1" w14:textId="551AB815" w:rsidR="00617078" w:rsidRDefault="00AC1495" w:rsidP="00A124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Rozporządzenie </w:t>
      </w:r>
      <w:r w:rsidR="00211627" w:rsidRPr="00136F65">
        <w:rPr>
          <w:rFonts w:ascii="Times New Roman" w:eastAsia="Times New Roman" w:hAnsi="Times New Roman" w:cs="Times New Roman"/>
          <w:sz w:val="24"/>
          <w:szCs w:val="24"/>
        </w:rPr>
        <w:t xml:space="preserve">2018/302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obowiązuje bezpośrednio i co do zasady nie wymaga transpozycji do prawa krajowego. Jednakże art. 7 i </w:t>
      </w:r>
      <w:r w:rsidR="00211627" w:rsidRPr="00136F65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211627" w:rsidRPr="00136F65">
        <w:rPr>
          <w:rFonts w:ascii="Times New Roman" w:eastAsia="Times New Roman" w:hAnsi="Times New Roman" w:cs="Times New Roman"/>
          <w:sz w:val="24"/>
          <w:szCs w:val="24"/>
        </w:rPr>
        <w:t xml:space="preserve">tego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rozporządzenia nakładają na państwa członkowskie określone obowiązki związane z egzekwowaniem jego przepisów i udzielaniem pomocy konsumentom w przypadku sporów dotyczących jego stosowania, tj. wyznaczenie na gruncie przepisów krajowych organu, który będzie odpowiedzialny za egzekwowanie naruszeń przepisów rozporządzenia</w:t>
      </w:r>
      <w:r w:rsidR="00211627" w:rsidRPr="00136F65">
        <w:rPr>
          <w:rFonts w:ascii="Times New Roman" w:eastAsia="Times New Roman" w:hAnsi="Times New Roman" w:cs="Times New Roman"/>
          <w:sz w:val="24"/>
          <w:szCs w:val="24"/>
        </w:rPr>
        <w:t xml:space="preserve"> 2018/302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, jak też określeni</w:t>
      </w:r>
      <w:r w:rsidR="00B91D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 podmiotu powołanego do udzielania pomocy konsumentom w zakresie wynikającym ze stosowania tego rozporządzenia.</w:t>
      </w:r>
      <w:r w:rsidR="00134EC7" w:rsidRPr="00136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5D47" w:rsidRPr="00136F65">
        <w:rPr>
          <w:rFonts w:ascii="Times New Roman" w:eastAsia="Times New Roman" w:hAnsi="Times New Roman" w:cs="Times New Roman"/>
          <w:sz w:val="24"/>
          <w:szCs w:val="24"/>
        </w:rPr>
        <w:t>Za egzekwowanie p</w:t>
      </w:r>
      <w:r w:rsidR="00E07EB6">
        <w:rPr>
          <w:rFonts w:ascii="Times New Roman" w:eastAsia="Times New Roman" w:hAnsi="Times New Roman" w:cs="Times New Roman"/>
          <w:sz w:val="24"/>
          <w:szCs w:val="24"/>
        </w:rPr>
        <w:t>rzepisów rozporządzenia odpowiedzialn</w:t>
      </w:r>
      <w:r w:rsidR="00E7573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07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5D47" w:rsidRPr="00136F65">
        <w:rPr>
          <w:rFonts w:ascii="Times New Roman" w:eastAsia="Times New Roman" w:hAnsi="Times New Roman" w:cs="Times New Roman"/>
          <w:sz w:val="24"/>
          <w:szCs w:val="24"/>
        </w:rPr>
        <w:t>będą</w:t>
      </w:r>
      <w:r w:rsidR="00E7573B">
        <w:rPr>
          <w:rFonts w:ascii="Times New Roman" w:eastAsia="Times New Roman" w:hAnsi="Times New Roman" w:cs="Times New Roman"/>
          <w:sz w:val="24"/>
          <w:szCs w:val="24"/>
        </w:rPr>
        <w:t>:</w:t>
      </w:r>
      <w:r w:rsidR="003F2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73B">
        <w:rPr>
          <w:rFonts w:ascii="Times New Roman" w:eastAsia="Times New Roman" w:hAnsi="Times New Roman" w:cs="Times New Roman"/>
          <w:sz w:val="24"/>
          <w:szCs w:val="24"/>
        </w:rPr>
        <w:t>Prezes UOKiK</w:t>
      </w:r>
      <w:r w:rsidR="00E7573B" w:rsidRPr="00136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73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3F24EE" w:rsidRPr="00136F65">
        <w:rPr>
          <w:rFonts w:ascii="Times New Roman" w:eastAsia="Times New Roman" w:hAnsi="Times New Roman" w:cs="Times New Roman"/>
          <w:sz w:val="24"/>
          <w:szCs w:val="24"/>
        </w:rPr>
        <w:t>sądy powszechne</w:t>
      </w:r>
      <w:r w:rsidR="00C75D47" w:rsidRPr="00136F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BC9455C" w14:textId="7345D1B8" w:rsidR="00617078" w:rsidRPr="005403D9" w:rsidRDefault="00617078" w:rsidP="00A124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Prezes UOKiK będzie organem odpowiedzialnym </w:t>
      </w:r>
      <w:r w:rsidRPr="00136F65">
        <w:rPr>
          <w:rFonts w:ascii="Times New Roman" w:hAnsi="Times New Roman" w:cs="Times New Roman"/>
          <w:color w:val="222222"/>
          <w:sz w:val="24"/>
          <w:szCs w:val="24"/>
        </w:rPr>
        <w:t>w relacji przedsiębiorca-konsument (B2C) w zakresie naruszeń zbiorowych interesów konsumentów.</w:t>
      </w:r>
      <w:r w:rsidR="0088605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36F65">
        <w:rPr>
          <w:rFonts w:ascii="Times New Roman" w:hAnsi="Times New Roman" w:cs="Times New Roman"/>
          <w:color w:val="222222"/>
          <w:sz w:val="24"/>
          <w:szCs w:val="24"/>
        </w:rPr>
        <w:t>Działania Prezes</w:t>
      </w:r>
      <w:r w:rsidR="00D70CA3">
        <w:rPr>
          <w:rFonts w:ascii="Times New Roman" w:hAnsi="Times New Roman" w:cs="Times New Roman"/>
          <w:color w:val="222222"/>
          <w:sz w:val="24"/>
          <w:szCs w:val="24"/>
        </w:rPr>
        <w:t>a</w:t>
      </w:r>
      <w:r w:rsidRPr="00136F65">
        <w:rPr>
          <w:rFonts w:ascii="Times New Roman" w:hAnsi="Times New Roman" w:cs="Times New Roman"/>
          <w:color w:val="222222"/>
          <w:sz w:val="24"/>
          <w:szCs w:val="24"/>
        </w:rPr>
        <w:t xml:space="preserve"> UOKiK dotyczyć będą konsumentów w rozumieniu</w:t>
      </w:r>
      <w:r w:rsidR="0088605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36F65">
        <w:rPr>
          <w:rFonts w:ascii="Times New Roman" w:hAnsi="Times New Roman" w:cs="Times New Roman"/>
          <w:color w:val="222222"/>
          <w:sz w:val="24"/>
          <w:szCs w:val="24"/>
        </w:rPr>
        <w:t>art.</w:t>
      </w:r>
      <w:r w:rsidR="0088605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36F65">
        <w:rPr>
          <w:rFonts w:ascii="Times New Roman" w:hAnsi="Times New Roman" w:cs="Times New Roman"/>
          <w:color w:val="222222"/>
          <w:sz w:val="24"/>
          <w:szCs w:val="24"/>
        </w:rPr>
        <w:t>22</w:t>
      </w:r>
      <w:r w:rsidRPr="00136F65">
        <w:rPr>
          <w:rFonts w:ascii="Times New Roman" w:hAnsi="Times New Roman" w:cs="Times New Roman"/>
          <w:color w:val="222222"/>
          <w:sz w:val="24"/>
          <w:szCs w:val="24"/>
          <w:vertAlign w:val="superscript"/>
        </w:rPr>
        <w:t>1</w:t>
      </w:r>
      <w:r w:rsidRPr="00136F65">
        <w:rPr>
          <w:rFonts w:ascii="Times New Roman" w:hAnsi="Times New Roman" w:cs="Times New Roman"/>
          <w:color w:val="222222"/>
          <w:sz w:val="24"/>
          <w:szCs w:val="24"/>
        </w:rPr>
        <w:t xml:space="preserve"> ustawy z dnia 23 kwietnia 1964 r. – Kodeks cywilny</w:t>
      </w:r>
      <w:r w:rsidR="00D70CA3">
        <w:rPr>
          <w:rFonts w:ascii="Times New Roman" w:hAnsi="Times New Roman" w:cs="Times New Roman"/>
          <w:color w:val="222222"/>
          <w:sz w:val="24"/>
          <w:szCs w:val="24"/>
        </w:rPr>
        <w:t xml:space="preserve"> (Dz. U. z 2018 r. poz. 1025, z późn.</w:t>
      </w:r>
      <w:r w:rsidR="00C6621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70CA3">
        <w:rPr>
          <w:rFonts w:ascii="Times New Roman" w:hAnsi="Times New Roman" w:cs="Times New Roman"/>
          <w:color w:val="222222"/>
          <w:sz w:val="24"/>
          <w:szCs w:val="24"/>
        </w:rPr>
        <w:t>zm.)</w:t>
      </w:r>
      <w:r w:rsidRPr="00136F65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88605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36F65">
        <w:rPr>
          <w:rFonts w:ascii="Times New Roman" w:hAnsi="Times New Roman" w:cs="Times New Roman"/>
          <w:color w:val="222222"/>
          <w:sz w:val="24"/>
          <w:szCs w:val="24"/>
        </w:rPr>
        <w:t>Z</w:t>
      </w:r>
      <w:r w:rsidR="0088605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36F65">
        <w:rPr>
          <w:rFonts w:ascii="Times New Roman" w:hAnsi="Times New Roman" w:cs="Times New Roman"/>
          <w:color w:val="222222"/>
          <w:sz w:val="24"/>
          <w:szCs w:val="24"/>
        </w:rPr>
        <w:t xml:space="preserve">kolei, w zakresie relacji przedsiębiorca-przedsiębiorca (B2B), Prezes UOKiK będzie organem odpowiedzialnym w przypadku, gdy geoblokowanie stanowić będzie praktykę ograniczającą konkurencję. 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>W związku z powyższym niezbędne jest wprowadzenie do ustawy o ochronie konkurencji i konsumentów przepisów umożliwiających Prezesowi UOKiK wykonywanie tych obowiązków.</w:t>
      </w:r>
    </w:p>
    <w:p w14:paraId="266D7D02" w14:textId="3BAB508B" w:rsidR="00AC1495" w:rsidRPr="005403D9" w:rsidRDefault="00050280" w:rsidP="00A124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sądów powszechnych </w:t>
      </w:r>
      <w:r w:rsidR="005403D9">
        <w:rPr>
          <w:rFonts w:ascii="Times New Roman" w:eastAsia="Times New Roman" w:hAnsi="Times New Roman" w:cs="Times New Roman"/>
          <w:sz w:val="24"/>
          <w:szCs w:val="24"/>
        </w:rPr>
        <w:t xml:space="preserve">zastosowanie będą miały przepisy </w:t>
      </w:r>
      <w:r w:rsidR="005307B7">
        <w:rPr>
          <w:rFonts w:ascii="Times New Roman" w:eastAsia="Times New Roman" w:hAnsi="Times New Roman" w:cs="Times New Roman"/>
          <w:sz w:val="24"/>
          <w:szCs w:val="24"/>
        </w:rPr>
        <w:t>ustawy z dnia 23 </w:t>
      </w:r>
      <w:r w:rsidR="005403D9" w:rsidRPr="005403D9">
        <w:rPr>
          <w:rFonts w:ascii="Times New Roman" w:eastAsia="Times New Roman" w:hAnsi="Times New Roman" w:cs="Times New Roman"/>
          <w:sz w:val="24"/>
          <w:szCs w:val="24"/>
        </w:rPr>
        <w:t>kwietnia 1964 r. – Kodeks cywilny</w:t>
      </w:r>
      <w:r w:rsidR="00F008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403D9">
        <w:rPr>
          <w:rFonts w:ascii="Times New Roman" w:eastAsia="Times New Roman" w:hAnsi="Times New Roman" w:cs="Times New Roman"/>
          <w:sz w:val="24"/>
          <w:szCs w:val="24"/>
        </w:rPr>
        <w:t>a uprawnienia wynikające z</w:t>
      </w:r>
      <w:r w:rsidR="00886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3D9">
        <w:rPr>
          <w:rFonts w:ascii="Times New Roman" w:eastAsia="Times New Roman" w:hAnsi="Times New Roman" w:cs="Times New Roman"/>
          <w:sz w:val="24"/>
          <w:szCs w:val="24"/>
        </w:rPr>
        <w:t xml:space="preserve">tych przepisów będą dochodzone w oparciu o przepisy ustawy z dnia 17 listopada 1964 r. – </w:t>
      </w:r>
      <w:r w:rsidR="005403D9" w:rsidRPr="005403D9">
        <w:rPr>
          <w:rFonts w:ascii="Times New Roman" w:eastAsia="Times New Roman" w:hAnsi="Times New Roman" w:cs="Times New Roman"/>
          <w:sz w:val="24"/>
          <w:szCs w:val="24"/>
        </w:rPr>
        <w:t>Kodeks postępowania cywilnego</w:t>
      </w:r>
      <w:r w:rsidR="005403D9">
        <w:rPr>
          <w:rFonts w:ascii="Times New Roman" w:eastAsia="Times New Roman" w:hAnsi="Times New Roman" w:cs="Times New Roman"/>
          <w:sz w:val="24"/>
          <w:szCs w:val="24"/>
        </w:rPr>
        <w:t xml:space="preserve"> (Dz. U. z 2018 r. poz.</w:t>
      </w:r>
      <w:r w:rsidR="00E757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3D9">
        <w:rPr>
          <w:rFonts w:ascii="Times New Roman" w:eastAsia="Times New Roman" w:hAnsi="Times New Roman" w:cs="Times New Roman"/>
          <w:sz w:val="24"/>
          <w:szCs w:val="24"/>
        </w:rPr>
        <w:t>1360, z późn. zm.).</w:t>
      </w:r>
      <w:r w:rsidR="005403D9" w:rsidRPr="00540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40CC1C" w14:textId="020F8CA0" w:rsidR="00AC1495" w:rsidRPr="00136F65" w:rsidRDefault="000F274B" w:rsidP="007A1DC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Ad. </w:t>
      </w:r>
      <w:r w:rsidR="00F9642A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4CE30BEA" w14:textId="33321ECE" w:rsidR="00AC1495" w:rsidRPr="00136F65" w:rsidRDefault="00AC1495" w:rsidP="007A1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F65">
        <w:rPr>
          <w:rFonts w:ascii="Times New Roman" w:eastAsia="Times New Roman" w:hAnsi="Times New Roman" w:cs="Times New Roman"/>
          <w:sz w:val="24"/>
          <w:szCs w:val="24"/>
        </w:rPr>
        <w:t>Ponadto</w:t>
      </w:r>
      <w:r w:rsidR="004501C3" w:rsidRPr="00136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CA3">
        <w:rPr>
          <w:rFonts w:ascii="Times New Roman" w:eastAsia="Times New Roman" w:hAnsi="Times New Roman" w:cs="Times New Roman"/>
          <w:sz w:val="24"/>
          <w:szCs w:val="24"/>
        </w:rPr>
        <w:t>projekt ustawy</w:t>
      </w:r>
      <w:r w:rsidR="004501C3" w:rsidRPr="00136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F65">
        <w:rPr>
          <w:rFonts w:ascii="Times New Roman" w:hAnsi="Times New Roman" w:cs="Times New Roman"/>
          <w:sz w:val="24"/>
          <w:szCs w:val="24"/>
        </w:rPr>
        <w:t xml:space="preserve">przewiduje zmiany w zakresie struktury wewnętrznej </w:t>
      </w:r>
      <w:r w:rsidR="004501C3" w:rsidRPr="00136F65">
        <w:rPr>
          <w:rFonts w:ascii="Times New Roman" w:hAnsi="Times New Roman" w:cs="Times New Roman"/>
          <w:sz w:val="24"/>
          <w:szCs w:val="24"/>
        </w:rPr>
        <w:t>UOKiK</w:t>
      </w:r>
      <w:r w:rsidRPr="00136F65">
        <w:rPr>
          <w:rFonts w:ascii="Times New Roman" w:hAnsi="Times New Roman" w:cs="Times New Roman"/>
          <w:sz w:val="24"/>
          <w:szCs w:val="24"/>
        </w:rPr>
        <w:t xml:space="preserve">. Zgodnie z art. 29 ust. 6 ustawy o ochronie konkurencji i konsumentów, Prezes UOKiK wykonuje swoje zadania przy pomocy Urzędu Ochrony Konkurencji i Konsumentów. Obecnie w skład </w:t>
      </w:r>
      <w:r w:rsidR="004501C3" w:rsidRPr="00136F65">
        <w:rPr>
          <w:rFonts w:ascii="Times New Roman" w:hAnsi="Times New Roman" w:cs="Times New Roman"/>
          <w:sz w:val="24"/>
          <w:szCs w:val="24"/>
        </w:rPr>
        <w:t>UOKiK</w:t>
      </w:r>
      <w:r w:rsidRPr="00136F65">
        <w:rPr>
          <w:rFonts w:ascii="Times New Roman" w:hAnsi="Times New Roman" w:cs="Times New Roman"/>
          <w:sz w:val="24"/>
          <w:szCs w:val="24"/>
        </w:rPr>
        <w:t xml:space="preserve"> wchodz</w:t>
      </w:r>
      <w:r w:rsidR="00FA66A8">
        <w:rPr>
          <w:rFonts w:ascii="Times New Roman" w:hAnsi="Times New Roman" w:cs="Times New Roman"/>
          <w:sz w:val="24"/>
          <w:szCs w:val="24"/>
        </w:rPr>
        <w:t>ą</w:t>
      </w:r>
      <w:r w:rsidRPr="00136F65">
        <w:rPr>
          <w:rFonts w:ascii="Times New Roman" w:hAnsi="Times New Roman" w:cs="Times New Roman"/>
          <w:sz w:val="24"/>
          <w:szCs w:val="24"/>
        </w:rPr>
        <w:t xml:space="preserve"> Centrala w Warszawie, laboratoria nadzorowane przez Prezesa </w:t>
      </w:r>
      <w:r w:rsidR="004501C3" w:rsidRPr="00136F65">
        <w:rPr>
          <w:rFonts w:ascii="Times New Roman" w:hAnsi="Times New Roman" w:cs="Times New Roman"/>
          <w:sz w:val="24"/>
          <w:szCs w:val="24"/>
        </w:rPr>
        <w:t xml:space="preserve">UOKiK </w:t>
      </w:r>
      <w:r w:rsidRPr="00136F65">
        <w:rPr>
          <w:rFonts w:ascii="Times New Roman" w:hAnsi="Times New Roman" w:cs="Times New Roman"/>
          <w:sz w:val="24"/>
          <w:szCs w:val="24"/>
        </w:rPr>
        <w:t>oraz 9 delegatur</w:t>
      </w:r>
      <w:r w:rsidR="00990D5A" w:rsidRPr="00136F65">
        <w:rPr>
          <w:rFonts w:ascii="Times New Roman" w:hAnsi="Times New Roman" w:cs="Times New Roman"/>
          <w:sz w:val="24"/>
          <w:szCs w:val="24"/>
        </w:rPr>
        <w:t xml:space="preserve"> </w:t>
      </w:r>
      <w:r w:rsidRPr="00136F65">
        <w:rPr>
          <w:rFonts w:ascii="Times New Roman" w:hAnsi="Times New Roman" w:cs="Times New Roman"/>
          <w:sz w:val="24"/>
          <w:szCs w:val="24"/>
        </w:rPr>
        <w:t xml:space="preserve">– w Bydgoszczy, Gdańsku, Katowicach, Krakowie, Lublinie, Łodzi, Poznaniu, Warszawie i </w:t>
      </w:r>
      <w:r w:rsidR="00990D5A" w:rsidRPr="00136F65">
        <w:rPr>
          <w:rFonts w:ascii="Times New Roman" w:hAnsi="Times New Roman" w:cs="Times New Roman"/>
          <w:sz w:val="24"/>
          <w:szCs w:val="24"/>
        </w:rPr>
        <w:t xml:space="preserve">we </w:t>
      </w:r>
      <w:r w:rsidRPr="00136F65">
        <w:rPr>
          <w:rFonts w:ascii="Times New Roman" w:hAnsi="Times New Roman" w:cs="Times New Roman"/>
          <w:sz w:val="24"/>
          <w:szCs w:val="24"/>
        </w:rPr>
        <w:t xml:space="preserve">Wrocławiu (art. 33 ust. 1 ustawy o ochronie konkurencji i konsumentów). Projekt zmian ma na celu wprowadzenie większej elastyczności w zakresie tworzenia oraz przydzielania zadań przez Prezesa UOKiK </w:t>
      </w:r>
      <w:r w:rsidRPr="00136F65">
        <w:rPr>
          <w:rFonts w:ascii="Times New Roman" w:hAnsi="Times New Roman" w:cs="Times New Roman"/>
          <w:sz w:val="24"/>
          <w:szCs w:val="24"/>
        </w:rPr>
        <w:lastRenderedPageBreak/>
        <w:t>jednostkom terenowym U</w:t>
      </w:r>
      <w:r w:rsidR="00CA5AD1">
        <w:rPr>
          <w:rFonts w:ascii="Times New Roman" w:hAnsi="Times New Roman" w:cs="Times New Roman"/>
          <w:sz w:val="24"/>
          <w:szCs w:val="24"/>
        </w:rPr>
        <w:t>OKiK,</w:t>
      </w:r>
      <w:r w:rsidRPr="00136F65">
        <w:rPr>
          <w:rFonts w:ascii="Times New Roman" w:hAnsi="Times New Roman" w:cs="Times New Roman"/>
          <w:sz w:val="24"/>
          <w:szCs w:val="24"/>
        </w:rPr>
        <w:t xml:space="preserve"> tj. delegaturom</w:t>
      </w:r>
      <w:r w:rsidR="00990D5A" w:rsidRPr="00136F65">
        <w:rPr>
          <w:rFonts w:ascii="Times New Roman" w:hAnsi="Times New Roman" w:cs="Times New Roman"/>
          <w:sz w:val="24"/>
          <w:szCs w:val="24"/>
        </w:rPr>
        <w:t>.</w:t>
      </w:r>
      <w:r w:rsidRPr="00136F65">
        <w:rPr>
          <w:rFonts w:ascii="Times New Roman" w:hAnsi="Times New Roman" w:cs="Times New Roman"/>
          <w:sz w:val="24"/>
          <w:szCs w:val="24"/>
        </w:rPr>
        <w:t xml:space="preserve"> </w:t>
      </w:r>
      <w:r w:rsidR="00D70CA3">
        <w:rPr>
          <w:rFonts w:ascii="Times New Roman" w:hAnsi="Times New Roman" w:cs="Times New Roman"/>
          <w:sz w:val="24"/>
          <w:szCs w:val="24"/>
        </w:rPr>
        <w:t xml:space="preserve">Projekt zakłada </w:t>
      </w:r>
      <w:r w:rsidR="00F9642A">
        <w:rPr>
          <w:rFonts w:ascii="Times New Roman" w:hAnsi="Times New Roman" w:cs="Times New Roman"/>
          <w:sz w:val="24"/>
          <w:szCs w:val="24"/>
        </w:rPr>
        <w:t>zmianę koncepcji funkcjonowania</w:t>
      </w:r>
      <w:r w:rsidR="00886058">
        <w:rPr>
          <w:rFonts w:ascii="Times New Roman" w:hAnsi="Times New Roman" w:cs="Times New Roman"/>
          <w:sz w:val="24"/>
          <w:szCs w:val="24"/>
        </w:rPr>
        <w:t xml:space="preserve"> </w:t>
      </w:r>
      <w:r w:rsidR="00D70CA3">
        <w:rPr>
          <w:rFonts w:ascii="Times New Roman" w:hAnsi="Times New Roman" w:cs="Times New Roman"/>
          <w:sz w:val="24"/>
          <w:szCs w:val="24"/>
        </w:rPr>
        <w:t>UOKiK</w:t>
      </w:r>
      <w:r w:rsidR="00F9642A">
        <w:rPr>
          <w:rFonts w:ascii="Times New Roman" w:hAnsi="Times New Roman" w:cs="Times New Roman"/>
          <w:sz w:val="24"/>
          <w:szCs w:val="24"/>
        </w:rPr>
        <w:t>, których zadania uregulowane zostaną</w:t>
      </w:r>
      <w:r w:rsidR="00D70CA3">
        <w:rPr>
          <w:rFonts w:ascii="Times New Roman" w:hAnsi="Times New Roman" w:cs="Times New Roman"/>
          <w:sz w:val="24"/>
          <w:szCs w:val="24"/>
        </w:rPr>
        <w:t xml:space="preserve"> w</w:t>
      </w:r>
      <w:r w:rsidRPr="00136F65">
        <w:rPr>
          <w:rFonts w:ascii="Times New Roman" w:hAnsi="Times New Roman" w:cs="Times New Roman"/>
          <w:sz w:val="24"/>
          <w:szCs w:val="24"/>
        </w:rPr>
        <w:t xml:space="preserve"> statu</w:t>
      </w:r>
      <w:r w:rsidR="00D70CA3">
        <w:rPr>
          <w:rFonts w:ascii="Times New Roman" w:hAnsi="Times New Roman" w:cs="Times New Roman"/>
          <w:sz w:val="24"/>
          <w:szCs w:val="24"/>
        </w:rPr>
        <w:t>cie</w:t>
      </w:r>
      <w:r w:rsidRPr="00136F65">
        <w:rPr>
          <w:rFonts w:ascii="Times New Roman" w:hAnsi="Times New Roman" w:cs="Times New Roman"/>
          <w:sz w:val="24"/>
          <w:szCs w:val="24"/>
        </w:rPr>
        <w:t xml:space="preserve"> U</w:t>
      </w:r>
      <w:r w:rsidR="00193238" w:rsidRPr="00136F65">
        <w:rPr>
          <w:rFonts w:ascii="Times New Roman" w:hAnsi="Times New Roman" w:cs="Times New Roman"/>
          <w:sz w:val="24"/>
          <w:szCs w:val="24"/>
        </w:rPr>
        <w:t>OKiK</w:t>
      </w:r>
      <w:r w:rsidR="00E90EB8" w:rsidRPr="00136F65">
        <w:rPr>
          <w:rFonts w:ascii="Times New Roman" w:hAnsi="Times New Roman" w:cs="Times New Roman"/>
          <w:sz w:val="24"/>
          <w:szCs w:val="24"/>
        </w:rPr>
        <w:t>, wydawan</w:t>
      </w:r>
      <w:r w:rsidR="00D70CA3">
        <w:rPr>
          <w:rFonts w:ascii="Times New Roman" w:hAnsi="Times New Roman" w:cs="Times New Roman"/>
          <w:sz w:val="24"/>
          <w:szCs w:val="24"/>
        </w:rPr>
        <w:t>ym</w:t>
      </w:r>
      <w:r w:rsidR="00E90EB8" w:rsidRPr="00136F65">
        <w:rPr>
          <w:rFonts w:ascii="Times New Roman" w:hAnsi="Times New Roman" w:cs="Times New Roman"/>
          <w:sz w:val="24"/>
          <w:szCs w:val="24"/>
        </w:rPr>
        <w:t xml:space="preserve"> w drodze zarządzenia Prezesa Rady Ministrów</w:t>
      </w:r>
      <w:r w:rsidRPr="00136F65">
        <w:rPr>
          <w:rFonts w:ascii="Times New Roman" w:hAnsi="Times New Roman" w:cs="Times New Roman"/>
          <w:sz w:val="24"/>
          <w:szCs w:val="24"/>
        </w:rPr>
        <w:t>. Rozwiązania te są wzorowane na przepisach dotyczących innych regulatorów</w:t>
      </w:r>
      <w:r w:rsidR="00193238" w:rsidRPr="00136F65">
        <w:rPr>
          <w:rFonts w:ascii="Times New Roman" w:hAnsi="Times New Roman" w:cs="Times New Roman"/>
          <w:sz w:val="24"/>
          <w:szCs w:val="24"/>
        </w:rPr>
        <w:t>,</w:t>
      </w:r>
      <w:r w:rsidRPr="00136F65">
        <w:rPr>
          <w:rFonts w:ascii="Times New Roman" w:hAnsi="Times New Roman" w:cs="Times New Roman"/>
          <w:sz w:val="24"/>
          <w:szCs w:val="24"/>
        </w:rPr>
        <w:t xml:space="preserve"> w szczególności Prezesa U</w:t>
      </w:r>
      <w:r w:rsidR="00FA66A8">
        <w:rPr>
          <w:rFonts w:ascii="Times New Roman" w:hAnsi="Times New Roman" w:cs="Times New Roman"/>
          <w:sz w:val="24"/>
          <w:szCs w:val="24"/>
        </w:rPr>
        <w:t xml:space="preserve">rzędu </w:t>
      </w:r>
      <w:r w:rsidRPr="00136F65">
        <w:rPr>
          <w:rFonts w:ascii="Times New Roman" w:hAnsi="Times New Roman" w:cs="Times New Roman"/>
          <w:sz w:val="24"/>
          <w:szCs w:val="24"/>
        </w:rPr>
        <w:t>K</w:t>
      </w:r>
      <w:r w:rsidR="00FA66A8">
        <w:rPr>
          <w:rFonts w:ascii="Times New Roman" w:hAnsi="Times New Roman" w:cs="Times New Roman"/>
          <w:sz w:val="24"/>
          <w:szCs w:val="24"/>
        </w:rPr>
        <w:t xml:space="preserve">omunikacji </w:t>
      </w:r>
      <w:r w:rsidRPr="00136F65">
        <w:rPr>
          <w:rFonts w:ascii="Times New Roman" w:hAnsi="Times New Roman" w:cs="Times New Roman"/>
          <w:sz w:val="24"/>
          <w:szCs w:val="24"/>
        </w:rPr>
        <w:t>E</w:t>
      </w:r>
      <w:r w:rsidR="00FA66A8">
        <w:rPr>
          <w:rFonts w:ascii="Times New Roman" w:hAnsi="Times New Roman" w:cs="Times New Roman"/>
          <w:sz w:val="24"/>
          <w:szCs w:val="24"/>
        </w:rPr>
        <w:t>lektronicznej</w:t>
      </w:r>
      <w:r w:rsidR="00193238" w:rsidRPr="00136F65">
        <w:rPr>
          <w:rFonts w:ascii="Times New Roman" w:hAnsi="Times New Roman" w:cs="Times New Roman"/>
          <w:sz w:val="24"/>
          <w:szCs w:val="24"/>
        </w:rPr>
        <w:t xml:space="preserve"> </w:t>
      </w:r>
      <w:r w:rsidR="00C46A13">
        <w:rPr>
          <w:rFonts w:ascii="Times New Roman" w:hAnsi="Times New Roman" w:cs="Times New Roman"/>
          <w:sz w:val="24"/>
          <w:szCs w:val="24"/>
        </w:rPr>
        <w:t xml:space="preserve">(UKE) </w:t>
      </w:r>
      <w:r w:rsidR="00886058">
        <w:rPr>
          <w:rFonts w:ascii="Times New Roman" w:hAnsi="Times New Roman" w:cs="Times New Roman"/>
          <w:sz w:val="24"/>
          <w:szCs w:val="24"/>
        </w:rPr>
        <w:t>–</w:t>
      </w:r>
      <w:r w:rsidR="00D70CA3">
        <w:rPr>
          <w:rFonts w:ascii="Times New Roman" w:hAnsi="Times New Roman" w:cs="Times New Roman"/>
          <w:sz w:val="24"/>
          <w:szCs w:val="24"/>
        </w:rPr>
        <w:t xml:space="preserve"> </w:t>
      </w:r>
      <w:r w:rsidR="00193238" w:rsidRPr="00136F65">
        <w:rPr>
          <w:rFonts w:ascii="Times New Roman" w:hAnsi="Times New Roman" w:cs="Times New Roman"/>
          <w:sz w:val="24"/>
          <w:szCs w:val="24"/>
        </w:rPr>
        <w:t>art.</w:t>
      </w:r>
      <w:r w:rsidR="00886058">
        <w:rPr>
          <w:rFonts w:ascii="Times New Roman" w:hAnsi="Times New Roman" w:cs="Times New Roman"/>
          <w:sz w:val="24"/>
          <w:szCs w:val="24"/>
        </w:rPr>
        <w:t xml:space="preserve"> </w:t>
      </w:r>
      <w:r w:rsidR="00193238" w:rsidRPr="00136F65">
        <w:rPr>
          <w:rFonts w:ascii="Times New Roman" w:hAnsi="Times New Roman" w:cs="Times New Roman"/>
          <w:sz w:val="24"/>
          <w:szCs w:val="24"/>
        </w:rPr>
        <w:t>1</w:t>
      </w:r>
      <w:r w:rsidR="004969DC" w:rsidRPr="00136F65">
        <w:rPr>
          <w:rFonts w:ascii="Times New Roman" w:hAnsi="Times New Roman" w:cs="Times New Roman"/>
          <w:sz w:val="24"/>
          <w:szCs w:val="24"/>
        </w:rPr>
        <w:t xml:space="preserve">93 </w:t>
      </w:r>
      <w:r w:rsidR="00193238" w:rsidRPr="00136F65">
        <w:rPr>
          <w:rFonts w:ascii="Times New Roman" w:hAnsi="Times New Roman" w:cs="Times New Roman"/>
          <w:sz w:val="24"/>
          <w:szCs w:val="24"/>
        </w:rPr>
        <w:t>ustawy z dnia 16 lipca 2004 r. – Prawo telekomunikacyjne</w:t>
      </w:r>
      <w:r w:rsidR="00D70CA3">
        <w:rPr>
          <w:rFonts w:ascii="Times New Roman" w:hAnsi="Times New Roman" w:cs="Times New Roman"/>
          <w:sz w:val="24"/>
          <w:szCs w:val="24"/>
        </w:rPr>
        <w:t xml:space="preserve"> (Dz. U. </w:t>
      </w:r>
      <w:r w:rsidR="00D70CA3" w:rsidRPr="00D70CA3">
        <w:rPr>
          <w:rFonts w:ascii="Times New Roman" w:hAnsi="Times New Roman" w:cs="Times New Roman"/>
          <w:sz w:val="24"/>
          <w:szCs w:val="24"/>
        </w:rPr>
        <w:t xml:space="preserve">z </w:t>
      </w:r>
      <w:r w:rsidR="00D70CA3">
        <w:rPr>
          <w:rFonts w:ascii="Times New Roman" w:hAnsi="Times New Roman" w:cs="Times New Roman"/>
          <w:sz w:val="24"/>
          <w:szCs w:val="24"/>
        </w:rPr>
        <w:t xml:space="preserve">2018 r. poz. 1954, </w:t>
      </w:r>
      <w:r w:rsidR="00DD3C4E">
        <w:rPr>
          <w:rFonts w:ascii="Times New Roman" w:hAnsi="Times New Roman" w:cs="Times New Roman"/>
          <w:sz w:val="24"/>
          <w:szCs w:val="24"/>
        </w:rPr>
        <w:t>z późn. zm.</w:t>
      </w:r>
      <w:r w:rsidR="00FA66A8">
        <w:rPr>
          <w:rFonts w:ascii="Times New Roman" w:hAnsi="Times New Roman" w:cs="Times New Roman"/>
          <w:sz w:val="24"/>
          <w:szCs w:val="24"/>
        </w:rPr>
        <w:t>)</w:t>
      </w:r>
      <w:r w:rsidR="00193238" w:rsidRPr="00136F65">
        <w:rPr>
          <w:rFonts w:ascii="Times New Roman" w:hAnsi="Times New Roman" w:cs="Times New Roman"/>
          <w:sz w:val="24"/>
          <w:szCs w:val="24"/>
        </w:rPr>
        <w:t xml:space="preserve"> oraz </w:t>
      </w:r>
      <w:r w:rsidRPr="00136F65">
        <w:rPr>
          <w:rFonts w:ascii="Times New Roman" w:hAnsi="Times New Roman" w:cs="Times New Roman"/>
          <w:sz w:val="24"/>
          <w:szCs w:val="24"/>
        </w:rPr>
        <w:t>Prezesa U</w:t>
      </w:r>
      <w:r w:rsidR="00FA66A8">
        <w:rPr>
          <w:rFonts w:ascii="Times New Roman" w:hAnsi="Times New Roman" w:cs="Times New Roman"/>
          <w:sz w:val="24"/>
          <w:szCs w:val="24"/>
        </w:rPr>
        <w:t xml:space="preserve">rzędu </w:t>
      </w:r>
      <w:r w:rsidRPr="00136F65">
        <w:rPr>
          <w:rFonts w:ascii="Times New Roman" w:hAnsi="Times New Roman" w:cs="Times New Roman"/>
          <w:sz w:val="24"/>
          <w:szCs w:val="24"/>
        </w:rPr>
        <w:t>L</w:t>
      </w:r>
      <w:r w:rsidR="00FA66A8">
        <w:rPr>
          <w:rFonts w:ascii="Times New Roman" w:hAnsi="Times New Roman" w:cs="Times New Roman"/>
          <w:sz w:val="24"/>
          <w:szCs w:val="24"/>
        </w:rPr>
        <w:t xml:space="preserve">otnictwa </w:t>
      </w:r>
      <w:r w:rsidRPr="00136F65">
        <w:rPr>
          <w:rFonts w:ascii="Times New Roman" w:hAnsi="Times New Roman" w:cs="Times New Roman"/>
          <w:sz w:val="24"/>
          <w:szCs w:val="24"/>
        </w:rPr>
        <w:t>C</w:t>
      </w:r>
      <w:r w:rsidR="00FA66A8">
        <w:rPr>
          <w:rFonts w:ascii="Times New Roman" w:hAnsi="Times New Roman" w:cs="Times New Roman"/>
          <w:sz w:val="24"/>
          <w:szCs w:val="24"/>
        </w:rPr>
        <w:t>ywilnego</w:t>
      </w:r>
      <w:r w:rsidR="00193238" w:rsidRPr="00136F65">
        <w:rPr>
          <w:rFonts w:ascii="Times New Roman" w:hAnsi="Times New Roman" w:cs="Times New Roman"/>
          <w:sz w:val="24"/>
          <w:szCs w:val="24"/>
        </w:rPr>
        <w:t xml:space="preserve"> </w:t>
      </w:r>
      <w:r w:rsidR="00C46A13">
        <w:rPr>
          <w:rFonts w:ascii="Times New Roman" w:hAnsi="Times New Roman" w:cs="Times New Roman"/>
          <w:sz w:val="24"/>
          <w:szCs w:val="24"/>
        </w:rPr>
        <w:t xml:space="preserve">(ULC) </w:t>
      </w:r>
      <w:r w:rsidR="00886058">
        <w:rPr>
          <w:rFonts w:ascii="Times New Roman" w:hAnsi="Times New Roman" w:cs="Times New Roman"/>
          <w:sz w:val="24"/>
          <w:szCs w:val="24"/>
        </w:rPr>
        <w:t>–</w:t>
      </w:r>
      <w:r w:rsidR="00D70CA3">
        <w:rPr>
          <w:rFonts w:ascii="Times New Roman" w:hAnsi="Times New Roman" w:cs="Times New Roman"/>
          <w:sz w:val="24"/>
          <w:szCs w:val="24"/>
        </w:rPr>
        <w:t xml:space="preserve"> </w:t>
      </w:r>
      <w:r w:rsidR="00193238" w:rsidRPr="00136F65">
        <w:rPr>
          <w:rFonts w:ascii="Times New Roman" w:hAnsi="Times New Roman" w:cs="Times New Roman"/>
          <w:sz w:val="24"/>
          <w:szCs w:val="24"/>
        </w:rPr>
        <w:t>art.</w:t>
      </w:r>
      <w:r w:rsidR="00886058">
        <w:rPr>
          <w:rFonts w:ascii="Times New Roman" w:hAnsi="Times New Roman" w:cs="Times New Roman"/>
          <w:sz w:val="24"/>
          <w:szCs w:val="24"/>
        </w:rPr>
        <w:t xml:space="preserve"> </w:t>
      </w:r>
      <w:r w:rsidR="00193238" w:rsidRPr="00136F65">
        <w:rPr>
          <w:rFonts w:ascii="Times New Roman" w:hAnsi="Times New Roman" w:cs="Times New Roman"/>
          <w:sz w:val="24"/>
          <w:szCs w:val="24"/>
        </w:rPr>
        <w:t>22 ustawy z dnia 3 lipca 2002 r. – Prawo lotnicze</w:t>
      </w:r>
      <w:r w:rsidR="00D70CA3">
        <w:rPr>
          <w:rFonts w:ascii="Times New Roman" w:hAnsi="Times New Roman" w:cs="Times New Roman"/>
          <w:sz w:val="24"/>
          <w:szCs w:val="24"/>
        </w:rPr>
        <w:t xml:space="preserve"> (Dz. U. z 2018 r. poz. 1183,</w:t>
      </w:r>
      <w:r w:rsidR="00353060">
        <w:rPr>
          <w:rFonts w:ascii="Times New Roman" w:hAnsi="Times New Roman" w:cs="Times New Roman"/>
          <w:sz w:val="24"/>
          <w:szCs w:val="24"/>
        </w:rPr>
        <w:t xml:space="preserve"> </w:t>
      </w:r>
      <w:r w:rsidR="00DD3C4E">
        <w:rPr>
          <w:rFonts w:ascii="Times New Roman" w:hAnsi="Times New Roman" w:cs="Times New Roman"/>
          <w:sz w:val="24"/>
          <w:szCs w:val="24"/>
        </w:rPr>
        <w:t>z późn. zm.)</w:t>
      </w:r>
      <w:r w:rsidR="00193238" w:rsidRPr="00136F65">
        <w:rPr>
          <w:rFonts w:ascii="Times New Roman" w:hAnsi="Times New Roman" w:cs="Times New Roman"/>
          <w:sz w:val="24"/>
          <w:szCs w:val="24"/>
        </w:rPr>
        <w:t>.</w:t>
      </w:r>
    </w:p>
    <w:p w14:paraId="3D4CDD42" w14:textId="29928003" w:rsidR="00AC1495" w:rsidRPr="00136F65" w:rsidRDefault="000F274B" w:rsidP="007A1DC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</w:t>
      </w:r>
      <w:r w:rsidR="00DD3C4E">
        <w:rPr>
          <w:rFonts w:ascii="Times New Roman" w:hAnsi="Times New Roman" w:cs="Times New Roman"/>
          <w:sz w:val="24"/>
          <w:szCs w:val="24"/>
        </w:rPr>
        <w:t>3</w:t>
      </w:r>
    </w:p>
    <w:p w14:paraId="48D1113B" w14:textId="2EAB574E" w:rsidR="00AC1495" w:rsidRPr="00136F65" w:rsidRDefault="00AC1495" w:rsidP="007A1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F65">
        <w:rPr>
          <w:rFonts w:ascii="Times New Roman" w:hAnsi="Times New Roman" w:cs="Times New Roman"/>
          <w:sz w:val="24"/>
          <w:szCs w:val="24"/>
        </w:rPr>
        <w:t>W celu skutecznego pozyskania informacji mogących stanowić dowód w postępowaniu i pozwalających na szybsze wyeliminowanie z obrotu niedozwolonych praktyk naruszających interesy przedsiębiorców i konsumentów potrzebne są zmiany pozwalające Prezesowi UOKiK na dostęp do tajemnicy skarbowej w postępowaniach prowadzonych na podstawie ustawy o ochronie konkurencji i konsumentów oraz ustawy o przeciwdziałaniu nieuczciwemu wykorzystywaniu przewagi kontraktowej w obrocie produktami rolnymi i spożywczymi</w:t>
      </w:r>
      <w:r w:rsidR="004501C3" w:rsidRPr="00136F65">
        <w:rPr>
          <w:rFonts w:ascii="Times New Roman" w:hAnsi="Times New Roman" w:cs="Times New Roman"/>
          <w:sz w:val="24"/>
          <w:szCs w:val="24"/>
        </w:rPr>
        <w:t>, a także</w:t>
      </w:r>
      <w:r w:rsidRPr="00136F65">
        <w:rPr>
          <w:rFonts w:ascii="Times New Roman" w:hAnsi="Times New Roman" w:cs="Times New Roman"/>
          <w:sz w:val="24"/>
          <w:szCs w:val="24"/>
        </w:rPr>
        <w:t xml:space="preserve"> do tajemnicy bankowej w przypadku drugiej z wymienionych ustaw.</w:t>
      </w:r>
    </w:p>
    <w:p w14:paraId="5F25B2C6" w14:textId="7445BB2C" w:rsidR="00AC1495" w:rsidRPr="00136F65" w:rsidRDefault="000F274B" w:rsidP="007A1DC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</w:t>
      </w:r>
      <w:r w:rsidR="00DD3C4E">
        <w:rPr>
          <w:rFonts w:ascii="Times New Roman" w:hAnsi="Times New Roman" w:cs="Times New Roman"/>
          <w:sz w:val="24"/>
          <w:szCs w:val="24"/>
        </w:rPr>
        <w:t>4</w:t>
      </w:r>
    </w:p>
    <w:p w14:paraId="444831DE" w14:textId="0B2A12E6" w:rsidR="00AC1495" w:rsidRPr="00136F65" w:rsidRDefault="00AC1495" w:rsidP="007A1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65">
        <w:rPr>
          <w:rFonts w:ascii="Times New Roman" w:hAnsi="Times New Roman" w:cs="Times New Roman"/>
          <w:sz w:val="24"/>
          <w:szCs w:val="24"/>
        </w:rPr>
        <w:t xml:space="preserve">Konieczne jest wprowadzenie zmian dostosowujących ustawę o ochronie konkurencji i konsumentów do aktualnego stanu prawnego, np. w zakresie odesłań do aktualnych przepisów (w art. 113 ust. 3) czy zamiany Rzecznika Ubezpieczonych na Rzecznika Finansowego </w:t>
      </w:r>
      <w:r w:rsidR="00724AFC" w:rsidRPr="00136F65">
        <w:rPr>
          <w:rFonts w:ascii="Times New Roman" w:hAnsi="Times New Roman" w:cs="Times New Roman"/>
          <w:sz w:val="24"/>
          <w:szCs w:val="24"/>
        </w:rPr>
        <w:t>(</w:t>
      </w:r>
      <w:r w:rsidRPr="00136F65">
        <w:rPr>
          <w:rFonts w:ascii="Times New Roman" w:hAnsi="Times New Roman" w:cs="Times New Roman"/>
          <w:sz w:val="24"/>
          <w:szCs w:val="24"/>
        </w:rPr>
        <w:t>w art. 99a</w:t>
      </w:r>
      <w:r w:rsidR="00724AFC" w:rsidRPr="00136F65">
        <w:rPr>
          <w:rFonts w:ascii="Times New Roman" w:hAnsi="Times New Roman" w:cs="Times New Roman"/>
          <w:sz w:val="24"/>
          <w:szCs w:val="24"/>
        </w:rPr>
        <w:t>)</w:t>
      </w:r>
      <w:r w:rsidRPr="00136F65">
        <w:rPr>
          <w:rFonts w:ascii="Times New Roman" w:hAnsi="Times New Roman" w:cs="Times New Roman"/>
          <w:sz w:val="24"/>
          <w:szCs w:val="24"/>
        </w:rPr>
        <w:t>. Zmiany o podobnym charakterze obejmą także ustawę o przeciwdziałaniu nieuczciwemu wykorzystywaniu przewagi kontraktowej w obrocie produktami rolnymi i spożywczymi.</w:t>
      </w:r>
    </w:p>
    <w:p w14:paraId="4A75147D" w14:textId="02450B5A" w:rsidR="00AC1495" w:rsidRDefault="00A0759D" w:rsidP="007A1DC1">
      <w:pPr>
        <w:spacing w:before="24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="00AC1495" w:rsidRPr="00136F65">
        <w:rPr>
          <w:rFonts w:ascii="Times New Roman" w:hAnsi="Times New Roman" w:cs="Times New Roman"/>
          <w:b/>
          <w:color w:val="000000"/>
          <w:sz w:val="24"/>
          <w:szCs w:val="24"/>
        </w:rPr>
        <w:t>. Opis proponowanych rozwiązań</w:t>
      </w:r>
    </w:p>
    <w:p w14:paraId="089FD821" w14:textId="0AB1391B" w:rsidR="00AC1495" w:rsidRPr="00F62784" w:rsidRDefault="00A0759D" w:rsidP="007A1DC1">
      <w:p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124A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AC1495" w:rsidRPr="00F62784">
        <w:rPr>
          <w:rFonts w:ascii="Times New Roman" w:hAnsi="Times New Roman" w:cs="Times New Roman"/>
          <w:b/>
          <w:sz w:val="24"/>
          <w:szCs w:val="24"/>
        </w:rPr>
        <w:t xml:space="preserve">drożenie rozporządzenia </w:t>
      </w:r>
      <w:r w:rsidR="00211627" w:rsidRPr="00F62784">
        <w:rPr>
          <w:rFonts w:ascii="Times New Roman" w:eastAsia="Times New Roman" w:hAnsi="Times New Roman" w:cs="Times New Roman"/>
          <w:b/>
          <w:sz w:val="24"/>
          <w:szCs w:val="24"/>
        </w:rPr>
        <w:t>2018/302</w:t>
      </w:r>
    </w:p>
    <w:p w14:paraId="316F265F" w14:textId="20C299F4" w:rsidR="00422812" w:rsidRPr="00136F65" w:rsidRDefault="00AC1495" w:rsidP="007A1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F65">
        <w:rPr>
          <w:rFonts w:ascii="Times New Roman" w:hAnsi="Times New Roman" w:cs="Times New Roman"/>
          <w:sz w:val="24"/>
          <w:szCs w:val="24"/>
        </w:rPr>
        <w:t xml:space="preserve">Wdrożenie art. 7 ust. 1 rozporządzenia </w:t>
      </w:r>
      <w:r w:rsidR="00211627" w:rsidRPr="00136F65">
        <w:rPr>
          <w:rFonts w:ascii="Times New Roman" w:eastAsia="Times New Roman" w:hAnsi="Times New Roman" w:cs="Times New Roman"/>
          <w:sz w:val="24"/>
          <w:szCs w:val="24"/>
        </w:rPr>
        <w:t xml:space="preserve">2018/302 </w:t>
      </w:r>
      <w:r w:rsidRPr="00136F65">
        <w:rPr>
          <w:rFonts w:ascii="Times New Roman" w:hAnsi="Times New Roman" w:cs="Times New Roman"/>
          <w:sz w:val="24"/>
          <w:szCs w:val="24"/>
        </w:rPr>
        <w:t>będzie wymagać interwencji legisl</w:t>
      </w:r>
      <w:r w:rsidR="006A5EA8">
        <w:rPr>
          <w:rFonts w:ascii="Times New Roman" w:hAnsi="Times New Roman" w:cs="Times New Roman"/>
          <w:sz w:val="24"/>
          <w:szCs w:val="24"/>
        </w:rPr>
        <w:t>acyjnej w art. 4, art. 29</w:t>
      </w:r>
      <w:r w:rsidRPr="00136F65">
        <w:rPr>
          <w:rFonts w:ascii="Times New Roman" w:hAnsi="Times New Roman" w:cs="Times New Roman"/>
          <w:sz w:val="24"/>
          <w:szCs w:val="24"/>
        </w:rPr>
        <w:t xml:space="preserve"> oraz w art. 31 ustawy o ochronie konkurencji i konsumentów, w zakresie wyznaczenia Prezesa UOKiK jako organu odpowiedzialnego za egzekwowanie przepisów rozporządzenia</w:t>
      </w:r>
      <w:r w:rsidR="00E90EB8" w:rsidRPr="00136F65">
        <w:rPr>
          <w:rFonts w:ascii="Times New Roman" w:hAnsi="Times New Roman" w:cs="Times New Roman"/>
          <w:sz w:val="24"/>
          <w:szCs w:val="24"/>
        </w:rPr>
        <w:t>, w zakresie kompe</w:t>
      </w:r>
      <w:r w:rsidR="006626B4">
        <w:rPr>
          <w:rFonts w:ascii="Times New Roman" w:hAnsi="Times New Roman" w:cs="Times New Roman"/>
          <w:sz w:val="24"/>
          <w:szCs w:val="24"/>
        </w:rPr>
        <w:t>tencji</w:t>
      </w:r>
      <w:r w:rsidR="00E90EB8" w:rsidRPr="00136F65">
        <w:rPr>
          <w:rFonts w:ascii="Times New Roman" w:hAnsi="Times New Roman" w:cs="Times New Roman"/>
          <w:sz w:val="24"/>
          <w:szCs w:val="24"/>
        </w:rPr>
        <w:t xml:space="preserve"> określonych w ustawie o ochronie konkurencji i konsumentów</w:t>
      </w:r>
      <w:r w:rsidRPr="00136F65">
        <w:rPr>
          <w:rFonts w:ascii="Times New Roman" w:hAnsi="Times New Roman" w:cs="Times New Roman"/>
          <w:sz w:val="24"/>
          <w:szCs w:val="24"/>
        </w:rPr>
        <w:t>.</w:t>
      </w:r>
      <w:r w:rsidR="001E6894">
        <w:rPr>
          <w:rFonts w:ascii="Times New Roman" w:hAnsi="Times New Roman" w:cs="Times New Roman"/>
          <w:sz w:val="24"/>
          <w:szCs w:val="24"/>
        </w:rPr>
        <w:t xml:space="preserve"> W</w:t>
      </w:r>
      <w:r w:rsidR="001E6894" w:rsidRPr="001E6894">
        <w:rPr>
          <w:rFonts w:ascii="Times New Roman" w:hAnsi="Times New Roman" w:cs="Times New Roman"/>
          <w:sz w:val="24"/>
          <w:szCs w:val="24"/>
        </w:rPr>
        <w:t xml:space="preserve"> art. 29 </w:t>
      </w:r>
      <w:r w:rsidR="001E6894" w:rsidRPr="00136F65">
        <w:rPr>
          <w:rFonts w:ascii="Times New Roman" w:hAnsi="Times New Roman" w:cs="Times New Roman"/>
          <w:sz w:val="24"/>
          <w:szCs w:val="24"/>
        </w:rPr>
        <w:t>ustawy o ochronie konkurencji i konsumentów</w:t>
      </w:r>
      <w:r w:rsidR="001E6894" w:rsidRPr="001E6894">
        <w:rPr>
          <w:rFonts w:ascii="Times New Roman" w:hAnsi="Times New Roman" w:cs="Times New Roman"/>
          <w:sz w:val="24"/>
          <w:szCs w:val="24"/>
        </w:rPr>
        <w:t xml:space="preserve"> </w:t>
      </w:r>
      <w:r w:rsidR="001E6894">
        <w:rPr>
          <w:rFonts w:ascii="Times New Roman" w:hAnsi="Times New Roman" w:cs="Times New Roman"/>
          <w:sz w:val="24"/>
          <w:szCs w:val="24"/>
        </w:rPr>
        <w:t xml:space="preserve">proponuje się </w:t>
      </w:r>
      <w:r w:rsidR="001E6894" w:rsidRPr="001E6894">
        <w:rPr>
          <w:rFonts w:ascii="Times New Roman" w:hAnsi="Times New Roman" w:cs="Times New Roman"/>
          <w:sz w:val="24"/>
          <w:szCs w:val="24"/>
        </w:rPr>
        <w:t xml:space="preserve">po ust. 2 </w:t>
      </w:r>
      <w:r w:rsidR="00E91B9F">
        <w:rPr>
          <w:rFonts w:ascii="Times New Roman" w:hAnsi="Times New Roman" w:cs="Times New Roman"/>
          <w:sz w:val="24"/>
          <w:szCs w:val="24"/>
        </w:rPr>
        <w:t>dodanie ust. 2a</w:t>
      </w:r>
      <w:r w:rsidR="001E6894">
        <w:rPr>
          <w:rFonts w:ascii="Times New Roman" w:hAnsi="Times New Roman" w:cs="Times New Roman"/>
          <w:sz w:val="24"/>
          <w:szCs w:val="24"/>
        </w:rPr>
        <w:t xml:space="preserve"> stanowiącego, iż Prezes Urzędu</w:t>
      </w:r>
      <w:r w:rsidR="001E6894" w:rsidRPr="001E6894">
        <w:rPr>
          <w:rFonts w:ascii="Times New Roman" w:hAnsi="Times New Roman" w:cs="Times New Roman"/>
          <w:sz w:val="24"/>
          <w:szCs w:val="24"/>
        </w:rPr>
        <w:t xml:space="preserve"> </w:t>
      </w:r>
      <w:r w:rsidR="001E6894" w:rsidRPr="001E6894">
        <w:rPr>
          <w:rFonts w:ascii="Times New Roman" w:hAnsi="Times New Roman" w:cs="Times New Roman"/>
          <w:sz w:val="24"/>
          <w:szCs w:val="24"/>
        </w:rPr>
        <w:lastRenderedPageBreak/>
        <w:t xml:space="preserve">jest organem odpowiedzialnym w rozumieniu art. 7 ust. 1 rozporządzenia 2018/302 w zakresie przeciwdziałania praktykom ograniczającym konkurencję oraz praktykom naruszającym </w:t>
      </w:r>
      <w:r w:rsidR="001E6894">
        <w:rPr>
          <w:rFonts w:ascii="Times New Roman" w:hAnsi="Times New Roman" w:cs="Times New Roman"/>
          <w:sz w:val="24"/>
          <w:szCs w:val="24"/>
        </w:rPr>
        <w:t xml:space="preserve">zbiorowe interesy konsumentów. </w:t>
      </w:r>
      <w:r w:rsidR="009842C3">
        <w:rPr>
          <w:rFonts w:ascii="Times New Roman" w:hAnsi="Times New Roman" w:cs="Times New Roman"/>
          <w:sz w:val="24"/>
          <w:szCs w:val="24"/>
        </w:rPr>
        <w:t xml:space="preserve">Podobnie konieczne jest uzupełnienie katalogu zadań Prezesa UOKiK zawartego w art. 31 ww. ustawy o zadania dotyczące wykonywania zadań wynikających z rozporządzenia 2018/302. </w:t>
      </w:r>
    </w:p>
    <w:p w14:paraId="4344E274" w14:textId="37358423" w:rsidR="00E84EFF" w:rsidRDefault="00AC1495" w:rsidP="00A12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F65">
        <w:rPr>
          <w:rFonts w:ascii="Times New Roman" w:hAnsi="Times New Roman" w:cs="Times New Roman"/>
          <w:sz w:val="24"/>
          <w:szCs w:val="24"/>
        </w:rPr>
        <w:t xml:space="preserve">Proponuje się, aby w zakresie relacji przedsiębiorca-konsument (B2C) organem odpowiedzialnym za egzekwowanie przepisów </w:t>
      </w:r>
      <w:r w:rsidR="00A0759D">
        <w:rPr>
          <w:rFonts w:ascii="Times New Roman" w:hAnsi="Times New Roman" w:cs="Times New Roman"/>
          <w:sz w:val="24"/>
          <w:szCs w:val="24"/>
        </w:rPr>
        <w:t xml:space="preserve">ww. </w:t>
      </w:r>
      <w:r w:rsidRPr="00136F65">
        <w:rPr>
          <w:rFonts w:ascii="Times New Roman" w:hAnsi="Times New Roman" w:cs="Times New Roman"/>
          <w:sz w:val="24"/>
          <w:szCs w:val="24"/>
        </w:rPr>
        <w:t xml:space="preserve">rozporządzenia był Prezes UOKiK, jednakże tylko w zakresie naruszeń zbiorowych interesów konsumentów. Należy w tym miejscu wskazać, że Prezes UOKiK chroni konsumentów w rozumieniu art. </w:t>
      </w:r>
      <w:r w:rsidR="00A45AC4" w:rsidRPr="00136F65">
        <w:rPr>
          <w:rFonts w:ascii="Times New Roman" w:hAnsi="Times New Roman" w:cs="Times New Roman"/>
          <w:color w:val="222222"/>
          <w:sz w:val="24"/>
          <w:szCs w:val="24"/>
        </w:rPr>
        <w:t>22</w:t>
      </w:r>
      <w:r w:rsidR="00A45AC4" w:rsidRPr="00136F65">
        <w:rPr>
          <w:rFonts w:ascii="Times New Roman" w:hAnsi="Times New Roman" w:cs="Times New Roman"/>
          <w:color w:val="222222"/>
          <w:sz w:val="24"/>
          <w:szCs w:val="24"/>
          <w:vertAlign w:val="superscript"/>
        </w:rPr>
        <w:t>1</w:t>
      </w:r>
      <w:r w:rsidRPr="00136F65">
        <w:rPr>
          <w:rFonts w:ascii="Times New Roman" w:hAnsi="Times New Roman" w:cs="Times New Roman"/>
          <w:sz w:val="24"/>
          <w:szCs w:val="24"/>
        </w:rPr>
        <w:t xml:space="preserve"> ustawy z </w:t>
      </w:r>
      <w:r w:rsidR="00A45AC4" w:rsidRPr="00136F65">
        <w:rPr>
          <w:rFonts w:ascii="Times New Roman" w:hAnsi="Times New Roman" w:cs="Times New Roman"/>
          <w:sz w:val="24"/>
          <w:szCs w:val="24"/>
        </w:rPr>
        <w:t xml:space="preserve">dnia </w:t>
      </w:r>
      <w:r w:rsidRPr="00136F65">
        <w:rPr>
          <w:rFonts w:ascii="Times New Roman" w:hAnsi="Times New Roman" w:cs="Times New Roman"/>
          <w:sz w:val="24"/>
          <w:szCs w:val="24"/>
        </w:rPr>
        <w:t xml:space="preserve">23 kwietnia 1964 r. – Kodeks cywilny. W zakresie relacji przedsiębiorca-przedsiębiorca (B2B) Prezes UOKiK będzie organem odpowiedzialnym jedynie w przypadku, gdy geoblokowanie stanowić będzie praktykę ograniczającą konkurencję. Niektóre bowiem z ograniczeń terytorialnych mogą wzbudzać obawy z punktu widzenia prawa antymonopolowego, np. ograniczenia umowne dotyczące obszaru, na jakim dystrybutor może sprzedawać określone produkty, </w:t>
      </w:r>
      <w:r w:rsidR="00A0759D">
        <w:rPr>
          <w:rFonts w:ascii="Times New Roman" w:hAnsi="Times New Roman" w:cs="Times New Roman"/>
          <w:sz w:val="24"/>
          <w:szCs w:val="24"/>
        </w:rPr>
        <w:t xml:space="preserve">które </w:t>
      </w:r>
      <w:r w:rsidRPr="00136F65">
        <w:rPr>
          <w:rFonts w:ascii="Times New Roman" w:hAnsi="Times New Roman" w:cs="Times New Roman"/>
          <w:sz w:val="24"/>
          <w:szCs w:val="24"/>
        </w:rPr>
        <w:t>są zazwyczaj uznawane za ograniczenie konkurencji. Blokowanie geograficzne oparte na jednostronnych decyzjach przedsiębiorców niezajmujących pozycji dominującej nie będ</w:t>
      </w:r>
      <w:r w:rsidR="00A0759D">
        <w:rPr>
          <w:rFonts w:ascii="Times New Roman" w:hAnsi="Times New Roman" w:cs="Times New Roman"/>
          <w:sz w:val="24"/>
          <w:szCs w:val="24"/>
        </w:rPr>
        <w:t xml:space="preserve">zie </w:t>
      </w:r>
      <w:r w:rsidRPr="00136F65">
        <w:rPr>
          <w:rFonts w:ascii="Times New Roman" w:hAnsi="Times New Roman" w:cs="Times New Roman"/>
          <w:sz w:val="24"/>
          <w:szCs w:val="24"/>
        </w:rPr>
        <w:t xml:space="preserve">się mieścić w zakresie zakazu praktyk antykonkurencyjnych. </w:t>
      </w:r>
    </w:p>
    <w:p w14:paraId="0B285E2F" w14:textId="2987FD9E" w:rsidR="00D042A4" w:rsidRPr="00136F65" w:rsidRDefault="00AC1495" w:rsidP="00A12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F65">
        <w:rPr>
          <w:rFonts w:ascii="Times New Roman" w:hAnsi="Times New Roman" w:cs="Times New Roman"/>
          <w:sz w:val="24"/>
          <w:szCs w:val="24"/>
        </w:rPr>
        <w:t xml:space="preserve">W odniesieniu do geoblokowania niebędącego praktykami ograniczającymi konkurencję w rozumieniu ustawy o ochronie konkurencji i konsumentów lub prawa UE bądź niestanowiącego naruszenia zbiorowych interesów konsumentów, </w:t>
      </w:r>
      <w:r w:rsidRPr="00E07EB6">
        <w:rPr>
          <w:rFonts w:ascii="Times New Roman" w:hAnsi="Times New Roman" w:cs="Times New Roman"/>
          <w:sz w:val="24"/>
          <w:szCs w:val="24"/>
        </w:rPr>
        <w:t xml:space="preserve">właściwe w przypadku </w:t>
      </w:r>
      <w:r w:rsidR="00E07EB6" w:rsidRPr="00E07EB6">
        <w:rPr>
          <w:rFonts w:ascii="Times New Roman" w:hAnsi="Times New Roman" w:cs="Times New Roman"/>
          <w:sz w:val="24"/>
          <w:szCs w:val="24"/>
        </w:rPr>
        <w:t xml:space="preserve">wniesienia powództwa odszkodowawczego lub o zobowiązanie do złożenia określonego oświadczenia woli </w:t>
      </w:r>
      <w:r w:rsidRPr="00E07EB6">
        <w:rPr>
          <w:rFonts w:ascii="Times New Roman" w:hAnsi="Times New Roman" w:cs="Times New Roman"/>
          <w:sz w:val="24"/>
          <w:szCs w:val="24"/>
        </w:rPr>
        <w:t>będą sądy powszechne.</w:t>
      </w:r>
      <w:r w:rsidR="004F65ED" w:rsidRPr="00E07EB6">
        <w:rPr>
          <w:rFonts w:ascii="Times New Roman" w:hAnsi="Times New Roman" w:cs="Times New Roman"/>
          <w:sz w:val="24"/>
          <w:szCs w:val="24"/>
        </w:rPr>
        <w:t xml:space="preserve"> </w:t>
      </w:r>
      <w:r w:rsidR="004F65ED" w:rsidRPr="004F65ED">
        <w:rPr>
          <w:rFonts w:ascii="Times New Roman" w:hAnsi="Times New Roman" w:cs="Times New Roman"/>
          <w:sz w:val="24"/>
          <w:szCs w:val="24"/>
        </w:rPr>
        <w:t>W zakresie tym zastosowanie będą miały przepisy ustawy z dnia 23 kwi</w:t>
      </w:r>
      <w:r w:rsidR="004F65ED">
        <w:rPr>
          <w:rFonts w:ascii="Times New Roman" w:hAnsi="Times New Roman" w:cs="Times New Roman"/>
          <w:sz w:val="24"/>
          <w:szCs w:val="24"/>
        </w:rPr>
        <w:t xml:space="preserve">etnia 1964 r. – Kodeks cywilny oraz </w:t>
      </w:r>
      <w:r w:rsidR="004F65ED" w:rsidRPr="004F65ED">
        <w:rPr>
          <w:rFonts w:ascii="Times New Roman" w:hAnsi="Times New Roman" w:cs="Times New Roman"/>
          <w:sz w:val="24"/>
          <w:szCs w:val="24"/>
        </w:rPr>
        <w:t>ustawy z</w:t>
      </w:r>
      <w:r w:rsidR="00F678B2">
        <w:rPr>
          <w:rFonts w:ascii="Times New Roman" w:hAnsi="Times New Roman" w:cs="Times New Roman"/>
          <w:sz w:val="24"/>
          <w:szCs w:val="24"/>
        </w:rPr>
        <w:t xml:space="preserve"> dnia 17</w:t>
      </w:r>
      <w:r w:rsidR="00886058">
        <w:rPr>
          <w:rFonts w:ascii="Times New Roman" w:hAnsi="Times New Roman" w:cs="Times New Roman"/>
          <w:sz w:val="24"/>
          <w:szCs w:val="24"/>
        </w:rPr>
        <w:t xml:space="preserve"> </w:t>
      </w:r>
      <w:r w:rsidR="004F65ED" w:rsidRPr="004F65ED">
        <w:rPr>
          <w:rFonts w:ascii="Times New Roman" w:hAnsi="Times New Roman" w:cs="Times New Roman"/>
          <w:sz w:val="24"/>
          <w:szCs w:val="24"/>
        </w:rPr>
        <w:t>listopada 1964 r. – Kodeks postępowania cywilnego.</w:t>
      </w:r>
      <w:r w:rsidR="00E07E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A3D86" w14:textId="19372E9C" w:rsidR="00B64E81" w:rsidRPr="00136F65" w:rsidRDefault="00736615" w:rsidP="00A12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F65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art. 7 ust. 2 rozporządzenia </w:t>
      </w:r>
      <w:r w:rsidR="000E6CF5" w:rsidRPr="00136F65">
        <w:rPr>
          <w:rFonts w:ascii="Times New Roman" w:eastAsia="Times New Roman" w:hAnsi="Times New Roman" w:cs="Times New Roman"/>
          <w:sz w:val="24"/>
          <w:szCs w:val="24"/>
        </w:rPr>
        <w:t xml:space="preserve">2018/302, który nakłada obowiązek 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ustanowienia przepisów określających sankcje za naruszenie przepisów </w:t>
      </w:r>
      <w:r w:rsidRPr="00136F65">
        <w:rPr>
          <w:rFonts w:ascii="Times New Roman" w:hAnsi="Times New Roman" w:cs="Times New Roman"/>
          <w:sz w:val="24"/>
          <w:szCs w:val="24"/>
        </w:rPr>
        <w:t xml:space="preserve">tego 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rozporządzenia, interwencja legislacyjna nie jest konieczna w zakresie, w jakim naruszenia te odnoszą się </w:t>
      </w:r>
      <w:r w:rsidR="00C6621F">
        <w:rPr>
          <w:rFonts w:ascii="Times New Roman" w:hAnsi="Times New Roman" w:cs="Times New Roman"/>
          <w:sz w:val="24"/>
          <w:szCs w:val="24"/>
        </w:rPr>
        <w:t xml:space="preserve">do 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zbiorowych interesów konsumentów. Odpowiednie mechanizmy i narzędzia w tym zakresie przewiduje ustawa o ochronie konkurencji i konsumentów (np. art. 26 i art. 27). Podobnie, w relacji B2B, obowiązujące przepisy z zakresu prawa antymonopolowego (art. 6 i </w:t>
      </w:r>
      <w:r w:rsidR="007424AE" w:rsidRPr="00136F65">
        <w:rPr>
          <w:rFonts w:ascii="Times New Roman" w:hAnsi="Times New Roman" w:cs="Times New Roman"/>
          <w:sz w:val="24"/>
          <w:szCs w:val="24"/>
        </w:rPr>
        <w:t xml:space="preserve">art. </w:t>
      </w:r>
      <w:r w:rsidR="00AC1495" w:rsidRPr="00136F65">
        <w:rPr>
          <w:rFonts w:ascii="Times New Roman" w:hAnsi="Times New Roman" w:cs="Times New Roman"/>
          <w:sz w:val="24"/>
          <w:szCs w:val="24"/>
        </w:rPr>
        <w:t>9 ustawy</w:t>
      </w:r>
      <w:r w:rsidR="007424AE" w:rsidRPr="00136F65">
        <w:rPr>
          <w:rFonts w:ascii="Times New Roman" w:hAnsi="Times New Roman" w:cs="Times New Roman"/>
          <w:sz w:val="24"/>
          <w:szCs w:val="24"/>
        </w:rPr>
        <w:t xml:space="preserve"> o ochronie konkurencji i </w:t>
      </w:r>
      <w:r w:rsidR="007424AE" w:rsidRPr="00136F65">
        <w:rPr>
          <w:rFonts w:ascii="Times New Roman" w:hAnsi="Times New Roman" w:cs="Times New Roman"/>
          <w:sz w:val="24"/>
          <w:szCs w:val="24"/>
        </w:rPr>
        <w:lastRenderedPageBreak/>
        <w:t xml:space="preserve">konsumentów 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oraz art. 101 i </w:t>
      </w:r>
      <w:r w:rsidR="007424AE" w:rsidRPr="00136F65">
        <w:rPr>
          <w:rFonts w:ascii="Times New Roman" w:hAnsi="Times New Roman" w:cs="Times New Roman"/>
          <w:sz w:val="24"/>
          <w:szCs w:val="24"/>
        </w:rPr>
        <w:t xml:space="preserve">art. 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102 Traktatu o funkcjonowaniu Unii Europejskiej) regulują te kwestie wystarczająco </w:t>
      </w:r>
      <w:r w:rsidR="00D042A4" w:rsidRPr="00136F65">
        <w:rPr>
          <w:rFonts w:ascii="Times New Roman" w:hAnsi="Times New Roman" w:cs="Times New Roman"/>
          <w:sz w:val="24"/>
          <w:szCs w:val="24"/>
        </w:rPr>
        <w:t>i nie wymagają zmiany.</w:t>
      </w:r>
    </w:p>
    <w:p w14:paraId="44F4DD4F" w14:textId="3AD7A0DD" w:rsidR="00AC1495" w:rsidRPr="00136F65" w:rsidRDefault="00CC36A1" w:rsidP="00A12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F65">
        <w:rPr>
          <w:rFonts w:ascii="Times New Roman" w:hAnsi="Times New Roman" w:cs="Times New Roman"/>
          <w:sz w:val="24"/>
          <w:szCs w:val="24"/>
        </w:rPr>
        <w:t>Zgodnie z</w:t>
      </w:r>
      <w:r w:rsidR="00EB2FA8" w:rsidRPr="00136F65">
        <w:rPr>
          <w:rFonts w:ascii="Times New Roman" w:hAnsi="Times New Roman" w:cs="Times New Roman"/>
          <w:sz w:val="24"/>
          <w:szCs w:val="24"/>
        </w:rPr>
        <w:t xml:space="preserve"> art. 8 r</w:t>
      </w:r>
      <w:r w:rsidR="00AC1495" w:rsidRPr="00136F65">
        <w:rPr>
          <w:rFonts w:ascii="Times New Roman" w:hAnsi="Times New Roman" w:cs="Times New Roman"/>
          <w:sz w:val="24"/>
          <w:szCs w:val="24"/>
        </w:rPr>
        <w:t>ozporządzeni</w:t>
      </w:r>
      <w:r w:rsidRPr="00136F65">
        <w:rPr>
          <w:rFonts w:ascii="Times New Roman" w:hAnsi="Times New Roman" w:cs="Times New Roman"/>
          <w:sz w:val="24"/>
          <w:szCs w:val="24"/>
        </w:rPr>
        <w:t>a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 </w:t>
      </w:r>
      <w:r w:rsidR="009C6AD6" w:rsidRPr="00136F65">
        <w:rPr>
          <w:rFonts w:ascii="Times New Roman" w:eastAsia="Times New Roman" w:hAnsi="Times New Roman" w:cs="Times New Roman"/>
          <w:sz w:val="24"/>
          <w:szCs w:val="24"/>
        </w:rPr>
        <w:t>2018/302, państwa</w:t>
      </w:r>
      <w:r w:rsidRPr="00136F65">
        <w:rPr>
          <w:rFonts w:ascii="Times New Roman" w:eastAsia="Times New Roman" w:hAnsi="Times New Roman" w:cs="Times New Roman"/>
          <w:sz w:val="24"/>
          <w:szCs w:val="24"/>
        </w:rPr>
        <w:t xml:space="preserve"> członkowskie ma</w:t>
      </w:r>
      <w:r w:rsidR="009C6AD6" w:rsidRPr="00136F65">
        <w:rPr>
          <w:rFonts w:ascii="Times New Roman" w:eastAsia="Times New Roman" w:hAnsi="Times New Roman" w:cs="Times New Roman"/>
          <w:sz w:val="24"/>
          <w:szCs w:val="24"/>
        </w:rPr>
        <w:t>ją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 obowiązek wyznaczenia organu odpowiedzialnego za udzielanie konsumentom praktycznej pomocy w przypadku sporu pomiędzy konsumentem a przedsiębiorcą.</w:t>
      </w:r>
      <w:r w:rsidR="00EB2FA8" w:rsidRPr="00136F65">
        <w:rPr>
          <w:rFonts w:ascii="Times New Roman" w:hAnsi="Times New Roman" w:cs="Times New Roman"/>
          <w:sz w:val="24"/>
          <w:szCs w:val="24"/>
        </w:rPr>
        <w:t xml:space="preserve"> </w:t>
      </w:r>
      <w:r w:rsidR="009C6AD6" w:rsidRPr="00136F65">
        <w:rPr>
          <w:rFonts w:ascii="Times New Roman" w:hAnsi="Times New Roman" w:cs="Times New Roman"/>
          <w:sz w:val="24"/>
          <w:szCs w:val="24"/>
        </w:rPr>
        <w:t xml:space="preserve">Pomocy tej będzie udzielał Punkt Kontaktowy ds. ADR/ODR (podmiot ds. pozasądowego rozwiązywania sporów konsumenckich oraz internetowego systemu rozwiązywania sporów konsumenckich) przy Prezesie UOKiK. 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Realizacja planowanych zadań Punktu Kontaktowego </w:t>
      </w:r>
      <w:r w:rsidR="009C6AD6" w:rsidRPr="00136F65">
        <w:rPr>
          <w:rFonts w:ascii="Times New Roman" w:hAnsi="Times New Roman" w:cs="Times New Roman"/>
          <w:sz w:val="24"/>
          <w:szCs w:val="24"/>
        </w:rPr>
        <w:t xml:space="preserve">ds. </w:t>
      </w:r>
      <w:r w:rsidR="00AC1495" w:rsidRPr="00136F65">
        <w:rPr>
          <w:rFonts w:ascii="Times New Roman" w:hAnsi="Times New Roman" w:cs="Times New Roman"/>
          <w:sz w:val="24"/>
          <w:szCs w:val="24"/>
        </w:rPr>
        <w:t>ADR/ODR</w:t>
      </w:r>
      <w:r w:rsidR="00684C1F" w:rsidRPr="00136F65">
        <w:rPr>
          <w:rFonts w:ascii="Times New Roman" w:hAnsi="Times New Roman" w:cs="Times New Roman"/>
          <w:sz w:val="24"/>
          <w:szCs w:val="24"/>
        </w:rPr>
        <w:t>,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 w zakresie wynikającym z rozporządzenia </w:t>
      </w:r>
      <w:r w:rsidR="009C6AD6" w:rsidRPr="00136F65">
        <w:rPr>
          <w:rFonts w:ascii="Times New Roman" w:hAnsi="Times New Roman" w:cs="Times New Roman"/>
          <w:sz w:val="24"/>
          <w:szCs w:val="24"/>
        </w:rPr>
        <w:t>2018/302</w:t>
      </w:r>
      <w:r w:rsidR="00684C1F" w:rsidRPr="00136F65">
        <w:rPr>
          <w:rFonts w:ascii="Times New Roman" w:hAnsi="Times New Roman" w:cs="Times New Roman"/>
          <w:sz w:val="24"/>
          <w:szCs w:val="24"/>
        </w:rPr>
        <w:t>,</w:t>
      </w:r>
      <w:r w:rsidR="009C6AD6" w:rsidRPr="00136F65">
        <w:rPr>
          <w:rFonts w:ascii="Times New Roman" w:hAnsi="Times New Roman" w:cs="Times New Roman"/>
          <w:sz w:val="24"/>
          <w:szCs w:val="24"/>
        </w:rPr>
        <w:t xml:space="preserve"> </w:t>
      </w:r>
      <w:r w:rsidR="00AC1495" w:rsidRPr="00136F65">
        <w:rPr>
          <w:rFonts w:ascii="Times New Roman" w:hAnsi="Times New Roman" w:cs="Times New Roman"/>
          <w:sz w:val="24"/>
          <w:szCs w:val="24"/>
        </w:rPr>
        <w:t>będzie obejmować w szczególności:</w:t>
      </w:r>
    </w:p>
    <w:p w14:paraId="00DB077B" w14:textId="500F230F" w:rsidR="00AC1495" w:rsidRPr="00136F65" w:rsidRDefault="00A124A8" w:rsidP="007A1DC1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AC1495" w:rsidRPr="00136F65">
        <w:rPr>
          <w:rFonts w:ascii="Times New Roman" w:hAnsi="Times New Roman" w:cs="Times New Roman"/>
          <w:sz w:val="24"/>
          <w:szCs w:val="24"/>
        </w:rPr>
        <w:t>udzielanie konsumentom informacji o właściwości organu lub organów odpowiedzialnych za właściwe i skuteczne egzekwowanie przepisów rozporządzenia</w:t>
      </w:r>
      <w:r w:rsidR="00A0759D">
        <w:rPr>
          <w:rFonts w:ascii="Times New Roman" w:hAnsi="Times New Roman" w:cs="Times New Roman"/>
          <w:sz w:val="24"/>
          <w:szCs w:val="24"/>
        </w:rPr>
        <w:t>,</w:t>
      </w:r>
    </w:p>
    <w:p w14:paraId="6DBA9CBF" w14:textId="15E0B7C6" w:rsidR="00AC1495" w:rsidRPr="00136F65" w:rsidRDefault="00A124A8" w:rsidP="007A1DC1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AC1495" w:rsidRPr="00136F65">
        <w:rPr>
          <w:rFonts w:ascii="Times New Roman" w:hAnsi="Times New Roman" w:cs="Times New Roman"/>
          <w:sz w:val="24"/>
          <w:szCs w:val="24"/>
        </w:rPr>
        <w:t>informowanie o prawach konsumenta i przepisach określających środki stosowane w przypadku naruszenia przepisów rozporządzenia.</w:t>
      </w:r>
    </w:p>
    <w:p w14:paraId="2B1C4BE4" w14:textId="0D5EC3D0" w:rsidR="00AC1495" w:rsidRPr="00136F65" w:rsidRDefault="00AC1495" w:rsidP="007A1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F65">
        <w:rPr>
          <w:rFonts w:ascii="Times New Roman" w:hAnsi="Times New Roman" w:cs="Times New Roman"/>
          <w:sz w:val="24"/>
          <w:szCs w:val="24"/>
        </w:rPr>
        <w:t xml:space="preserve">Należy wskazać, że pomoc ta będzie udzielana konsumentom w rozumieniu art. </w:t>
      </w:r>
      <w:r w:rsidR="000E6CF5" w:rsidRPr="00136F65">
        <w:rPr>
          <w:rFonts w:ascii="Times New Roman" w:hAnsi="Times New Roman" w:cs="Times New Roman"/>
          <w:color w:val="222222"/>
          <w:sz w:val="24"/>
          <w:szCs w:val="24"/>
        </w:rPr>
        <w:t>22</w:t>
      </w:r>
      <w:r w:rsidR="000E6CF5" w:rsidRPr="00136F65">
        <w:rPr>
          <w:rFonts w:ascii="Times New Roman" w:hAnsi="Times New Roman" w:cs="Times New Roman"/>
          <w:color w:val="222222"/>
          <w:sz w:val="24"/>
          <w:szCs w:val="24"/>
          <w:vertAlign w:val="superscript"/>
        </w:rPr>
        <w:t>1</w:t>
      </w:r>
      <w:r w:rsidRPr="00136F65">
        <w:rPr>
          <w:rFonts w:ascii="Times New Roman" w:hAnsi="Times New Roman" w:cs="Times New Roman"/>
          <w:sz w:val="24"/>
          <w:szCs w:val="24"/>
        </w:rPr>
        <w:t xml:space="preserve"> </w:t>
      </w:r>
      <w:r w:rsidR="000E6CF5" w:rsidRPr="00136F65">
        <w:rPr>
          <w:rFonts w:ascii="Times New Roman" w:hAnsi="Times New Roman" w:cs="Times New Roman"/>
          <w:sz w:val="24"/>
          <w:szCs w:val="24"/>
        </w:rPr>
        <w:t>ustawy z dnia 23 kwietnia 1964 r. – Kodeks cywilny</w:t>
      </w:r>
      <w:r w:rsidRPr="00136F65">
        <w:rPr>
          <w:rFonts w:ascii="Times New Roman" w:hAnsi="Times New Roman" w:cs="Times New Roman"/>
          <w:sz w:val="24"/>
          <w:szCs w:val="24"/>
        </w:rPr>
        <w:t>.</w:t>
      </w:r>
      <w:r w:rsidR="00684C1F" w:rsidRPr="00136F65">
        <w:rPr>
          <w:rFonts w:ascii="Times New Roman" w:hAnsi="Times New Roman" w:cs="Times New Roman"/>
          <w:sz w:val="24"/>
          <w:szCs w:val="24"/>
        </w:rPr>
        <w:t xml:space="preserve"> </w:t>
      </w:r>
      <w:r w:rsidR="009C6AD6" w:rsidRPr="00136F65">
        <w:rPr>
          <w:rFonts w:ascii="Times New Roman" w:hAnsi="Times New Roman" w:cs="Times New Roman"/>
          <w:sz w:val="24"/>
          <w:szCs w:val="24"/>
        </w:rPr>
        <w:t>N</w:t>
      </w:r>
      <w:r w:rsidRPr="00136F65">
        <w:rPr>
          <w:rFonts w:ascii="Times New Roman" w:hAnsi="Times New Roman" w:cs="Times New Roman"/>
          <w:sz w:val="24"/>
          <w:szCs w:val="24"/>
        </w:rPr>
        <w:t>ałożenie na Punkt Kontaktowy ds. ADR/ODR dodatkowego zadania</w:t>
      </w:r>
      <w:r w:rsidR="009C6AD6" w:rsidRPr="00136F65">
        <w:rPr>
          <w:rFonts w:ascii="Times New Roman" w:hAnsi="Times New Roman" w:cs="Times New Roman"/>
          <w:sz w:val="24"/>
          <w:szCs w:val="24"/>
        </w:rPr>
        <w:t xml:space="preserve"> oznacza konieczność nowelizacji art. 32a ustawy o ochronie konkurencji i konsumentów.</w:t>
      </w:r>
    </w:p>
    <w:p w14:paraId="7C110B69" w14:textId="561430B4" w:rsidR="00AC1495" w:rsidRPr="00F62784" w:rsidRDefault="00A0759D" w:rsidP="007A1DC1">
      <w:p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86058">
        <w:rPr>
          <w:rFonts w:ascii="Times New Roman" w:hAnsi="Times New Roman" w:cs="Times New Roman"/>
          <w:b/>
          <w:sz w:val="24"/>
          <w:szCs w:val="24"/>
        </w:rPr>
        <w:t>.</w:t>
      </w:r>
      <w:r w:rsidR="0088605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="00AC1495" w:rsidRPr="00F62784">
        <w:rPr>
          <w:rFonts w:ascii="Times New Roman" w:hAnsi="Times New Roman" w:cs="Times New Roman"/>
          <w:b/>
          <w:sz w:val="24"/>
          <w:szCs w:val="24"/>
        </w:rPr>
        <w:t>miany dotyczące struktury wewnętrznej UOKiK</w:t>
      </w:r>
    </w:p>
    <w:p w14:paraId="3AFA5CBA" w14:textId="6498E8A0" w:rsidR="00FD1FDB" w:rsidRDefault="007A69BF" w:rsidP="007A1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F65">
        <w:rPr>
          <w:rFonts w:ascii="Times New Roman" w:hAnsi="Times New Roman" w:cs="Times New Roman"/>
          <w:sz w:val="24"/>
          <w:szCs w:val="24"/>
        </w:rPr>
        <w:t>P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rojekt przewiduje zmianę art. 33 </w:t>
      </w:r>
      <w:r w:rsidRPr="00136F65">
        <w:rPr>
          <w:rFonts w:ascii="Times New Roman" w:hAnsi="Times New Roman" w:cs="Times New Roman"/>
          <w:sz w:val="24"/>
          <w:szCs w:val="24"/>
        </w:rPr>
        <w:t>i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 art. 34 ustawy o ochronie konkurencji i konsumentów</w:t>
      </w:r>
      <w:r w:rsidR="00651F9D" w:rsidRPr="00136F65">
        <w:rPr>
          <w:rFonts w:ascii="Times New Roman" w:hAnsi="Times New Roman" w:cs="Times New Roman"/>
          <w:sz w:val="24"/>
          <w:szCs w:val="24"/>
        </w:rPr>
        <w:t xml:space="preserve"> 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przez </w:t>
      </w:r>
      <w:r w:rsidR="007E1737" w:rsidRPr="00136F65">
        <w:rPr>
          <w:rFonts w:ascii="Times New Roman" w:hAnsi="Times New Roman" w:cs="Times New Roman"/>
          <w:sz w:val="24"/>
          <w:szCs w:val="24"/>
        </w:rPr>
        <w:t>uchylenie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 szczegółowych regulacji dotyczących delegatur </w:t>
      </w:r>
      <w:r w:rsidRPr="00136F65">
        <w:rPr>
          <w:rFonts w:ascii="Times New Roman" w:hAnsi="Times New Roman" w:cs="Times New Roman"/>
          <w:sz w:val="24"/>
          <w:szCs w:val="24"/>
        </w:rPr>
        <w:t>UOKiK</w:t>
      </w:r>
      <w:r w:rsidR="000231C8" w:rsidRPr="00136F65">
        <w:rPr>
          <w:rFonts w:ascii="Times New Roman" w:hAnsi="Times New Roman" w:cs="Times New Roman"/>
          <w:sz w:val="24"/>
          <w:szCs w:val="24"/>
        </w:rPr>
        <w:t>, w tym</w:t>
      </w:r>
      <w:r w:rsidR="00651F9D" w:rsidRPr="00136F65">
        <w:rPr>
          <w:rFonts w:ascii="Times New Roman" w:hAnsi="Times New Roman" w:cs="Times New Roman"/>
          <w:sz w:val="24"/>
          <w:szCs w:val="24"/>
        </w:rPr>
        <w:t xml:space="preserve"> </w:t>
      </w:r>
      <w:r w:rsidR="000231C8" w:rsidRPr="00136F65">
        <w:rPr>
          <w:rFonts w:ascii="Times New Roman" w:hAnsi="Times New Roman" w:cs="Times New Roman"/>
          <w:sz w:val="24"/>
          <w:szCs w:val="24"/>
        </w:rPr>
        <w:t>upoważnienia do wydania rozporządzenia określającego właściwość</w:t>
      </w:r>
      <w:r w:rsidR="00BB0392" w:rsidRPr="00136F65">
        <w:rPr>
          <w:rFonts w:ascii="Times New Roman" w:hAnsi="Times New Roman" w:cs="Times New Roman"/>
          <w:sz w:val="24"/>
          <w:szCs w:val="24"/>
        </w:rPr>
        <w:t xml:space="preserve"> </w:t>
      </w:r>
      <w:r w:rsidR="000231C8" w:rsidRPr="00136F65">
        <w:rPr>
          <w:rFonts w:ascii="Times New Roman" w:hAnsi="Times New Roman" w:cs="Times New Roman"/>
          <w:sz w:val="24"/>
          <w:szCs w:val="24"/>
        </w:rPr>
        <w:t>miejscową i rzeczową delegatur</w:t>
      </w:r>
      <w:r w:rsidRPr="00136F65">
        <w:rPr>
          <w:rFonts w:ascii="Times New Roman" w:hAnsi="Times New Roman" w:cs="Times New Roman"/>
          <w:sz w:val="24"/>
          <w:szCs w:val="24"/>
        </w:rPr>
        <w:t>,</w:t>
      </w:r>
      <w:r w:rsidR="000231C8" w:rsidRPr="00136F65">
        <w:rPr>
          <w:rFonts w:ascii="Times New Roman" w:hAnsi="Times New Roman" w:cs="Times New Roman"/>
          <w:sz w:val="24"/>
          <w:szCs w:val="24"/>
        </w:rPr>
        <w:t xml:space="preserve"> 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oraz </w:t>
      </w:r>
      <w:r w:rsidR="00DD3C4E">
        <w:rPr>
          <w:rFonts w:ascii="Times New Roman" w:hAnsi="Times New Roman" w:cs="Times New Roman"/>
          <w:sz w:val="24"/>
          <w:szCs w:val="24"/>
        </w:rPr>
        <w:t xml:space="preserve">zmianę </w:t>
      </w:r>
      <w:r w:rsidR="00BC5BFE">
        <w:rPr>
          <w:rFonts w:ascii="Times New Roman" w:hAnsi="Times New Roman" w:cs="Times New Roman"/>
          <w:sz w:val="24"/>
          <w:szCs w:val="24"/>
        </w:rPr>
        <w:t xml:space="preserve">zakresu 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upoważnienia do wydania statutu </w:t>
      </w:r>
      <w:r w:rsidRPr="00136F65">
        <w:rPr>
          <w:rFonts w:ascii="Times New Roman" w:hAnsi="Times New Roman" w:cs="Times New Roman"/>
          <w:sz w:val="24"/>
          <w:szCs w:val="24"/>
        </w:rPr>
        <w:t xml:space="preserve">UOKiK 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(nadawanego w drodze zarządzenia Prezesa Rady Ministrów), który będzie określać również </w:t>
      </w:r>
      <w:r w:rsidR="00DD3C4E">
        <w:rPr>
          <w:rFonts w:ascii="Times New Roman" w:hAnsi="Times New Roman" w:cs="Times New Roman"/>
          <w:sz w:val="24"/>
          <w:szCs w:val="24"/>
        </w:rPr>
        <w:t xml:space="preserve">rozmieszczenie 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oraz zadania delegatur </w:t>
      </w:r>
      <w:r w:rsidRPr="00136F65">
        <w:rPr>
          <w:rFonts w:ascii="Times New Roman" w:hAnsi="Times New Roman" w:cs="Times New Roman"/>
          <w:sz w:val="24"/>
          <w:szCs w:val="24"/>
        </w:rPr>
        <w:t>UOKiK</w:t>
      </w:r>
      <w:r w:rsidR="00DD3C4E">
        <w:rPr>
          <w:rFonts w:ascii="Times New Roman" w:hAnsi="Times New Roman" w:cs="Times New Roman"/>
          <w:sz w:val="24"/>
          <w:szCs w:val="24"/>
        </w:rPr>
        <w:t xml:space="preserve"> jako komórek organizacyjnych UOKiK.</w:t>
      </w:r>
    </w:p>
    <w:p w14:paraId="05E419BF" w14:textId="3350F7CA" w:rsidR="009E68FB" w:rsidRPr="009E68FB" w:rsidRDefault="009E68FB" w:rsidP="007A1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FB">
        <w:rPr>
          <w:rFonts w:ascii="Times New Roman" w:hAnsi="Times New Roman" w:cs="Times New Roman"/>
          <w:sz w:val="24"/>
          <w:szCs w:val="24"/>
        </w:rPr>
        <w:t xml:space="preserve">Działania delegatur, w tym prowadzenie postępowań, wydawanie i podpisywanie decyzji przez dyrektorów delegatur, </w:t>
      </w:r>
      <w:r w:rsidR="004B64B0">
        <w:rPr>
          <w:rFonts w:ascii="Times New Roman" w:hAnsi="Times New Roman" w:cs="Times New Roman"/>
          <w:sz w:val="24"/>
          <w:szCs w:val="24"/>
        </w:rPr>
        <w:t xml:space="preserve">będą </w:t>
      </w:r>
      <w:r w:rsidRPr="009E68FB">
        <w:rPr>
          <w:rFonts w:ascii="Times New Roman" w:hAnsi="Times New Roman" w:cs="Times New Roman"/>
          <w:sz w:val="24"/>
          <w:szCs w:val="24"/>
        </w:rPr>
        <w:t xml:space="preserve">podejmowane z upoważnienia Prezesa UOKiK i w jego imieniu. </w:t>
      </w:r>
      <w:r w:rsidR="004B64B0">
        <w:rPr>
          <w:rFonts w:ascii="Times New Roman" w:hAnsi="Times New Roman" w:cs="Times New Roman"/>
          <w:sz w:val="24"/>
          <w:szCs w:val="24"/>
        </w:rPr>
        <w:t>D</w:t>
      </w:r>
      <w:r w:rsidRPr="009E68FB">
        <w:rPr>
          <w:rFonts w:ascii="Times New Roman" w:hAnsi="Times New Roman" w:cs="Times New Roman"/>
          <w:sz w:val="24"/>
          <w:szCs w:val="24"/>
        </w:rPr>
        <w:t>elegatury będą wykonywać ogół zadań Prezesa UOKiK wynikających z ustawy o ochronie konkurencji i konsumentów (prz</w:t>
      </w:r>
      <w:r>
        <w:rPr>
          <w:rFonts w:ascii="Times New Roman" w:hAnsi="Times New Roman" w:cs="Times New Roman"/>
          <w:sz w:val="24"/>
          <w:szCs w:val="24"/>
        </w:rPr>
        <w:t xml:space="preserve">ede wszystkim zadania związane </w:t>
      </w:r>
      <w:r w:rsidRPr="009E68FB">
        <w:rPr>
          <w:rFonts w:ascii="Times New Roman" w:hAnsi="Times New Roman" w:cs="Times New Roman"/>
          <w:sz w:val="24"/>
          <w:szCs w:val="24"/>
        </w:rPr>
        <w:t>z prowadzeniem postępowań i wydawaniem d</w:t>
      </w:r>
      <w:r>
        <w:rPr>
          <w:rFonts w:ascii="Times New Roman" w:hAnsi="Times New Roman" w:cs="Times New Roman"/>
          <w:sz w:val="24"/>
          <w:szCs w:val="24"/>
        </w:rPr>
        <w:t xml:space="preserve">ecyzji na podstawie ustawy </w:t>
      </w:r>
      <w:r w:rsidRPr="009E68FB">
        <w:rPr>
          <w:rFonts w:ascii="Times New Roman" w:hAnsi="Times New Roman" w:cs="Times New Roman"/>
          <w:sz w:val="24"/>
          <w:szCs w:val="24"/>
        </w:rPr>
        <w:t xml:space="preserve">o ochronie konkurencji i konsumentów oraz innych ustaw, do których realizacji zobowiązany jest Prezes UOKiK). </w:t>
      </w:r>
      <w:r w:rsidR="004B64B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projek</w:t>
      </w:r>
      <w:r w:rsidR="004B64B0">
        <w:rPr>
          <w:rFonts w:ascii="Times New Roman" w:hAnsi="Times New Roman" w:cs="Times New Roman"/>
          <w:sz w:val="24"/>
          <w:szCs w:val="24"/>
        </w:rPr>
        <w:t>cie</w:t>
      </w:r>
      <w:r>
        <w:rPr>
          <w:rFonts w:ascii="Times New Roman" w:hAnsi="Times New Roman" w:cs="Times New Roman"/>
          <w:sz w:val="24"/>
          <w:szCs w:val="24"/>
        </w:rPr>
        <w:t xml:space="preserve"> zarządzenia Prezesa Rady Ministrów w sprawie nadania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statutu UOKiK </w:t>
      </w:r>
      <w:r w:rsidR="004B64B0">
        <w:rPr>
          <w:rFonts w:ascii="Times New Roman" w:hAnsi="Times New Roman" w:cs="Times New Roman"/>
          <w:sz w:val="24"/>
          <w:szCs w:val="24"/>
        </w:rPr>
        <w:t>zaproponowana zostanie koncepcja</w:t>
      </w:r>
      <w:r w:rsidR="00DD3C4E">
        <w:rPr>
          <w:rFonts w:ascii="Times New Roman" w:hAnsi="Times New Roman" w:cs="Times New Roman"/>
          <w:sz w:val="24"/>
          <w:szCs w:val="24"/>
        </w:rPr>
        <w:t>, zgodnie z którą nie będzie już funkcjonować</w:t>
      </w:r>
      <w:r w:rsidR="00886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delegatur</w:t>
      </w:r>
      <w:r w:rsidR="00DD3C4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 Warszawie</w:t>
      </w:r>
      <w:r w:rsidR="00DD3C4E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>jej zada</w:t>
      </w:r>
      <w:r w:rsidR="00DD3C4E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C4E">
        <w:rPr>
          <w:rFonts w:ascii="Times New Roman" w:hAnsi="Times New Roman" w:cs="Times New Roman"/>
          <w:sz w:val="24"/>
          <w:szCs w:val="24"/>
        </w:rPr>
        <w:t xml:space="preserve">przejmą </w:t>
      </w:r>
      <w:r>
        <w:rPr>
          <w:rFonts w:ascii="Times New Roman" w:hAnsi="Times New Roman" w:cs="Times New Roman"/>
          <w:sz w:val="24"/>
          <w:szCs w:val="24"/>
        </w:rPr>
        <w:t>komórki organizacyjne Centrali. Zmiana taka podyktowana jest racjonalizacją działań i optymalizacją organizacji pracy (jednakże bez wpływu na oszczędności po stronie wydatków) – dotychczasowe zadania delegatury z siedzibą w Warszawie będzie realizować Centrala. Obecna praktyka wskazuje, że aktualnie nie ma uzasadnienia do istnienia dwóch odrębnych jednostek organizacyjnych z siedzibą w Warszawie.</w:t>
      </w:r>
      <w:r w:rsidRPr="00433175">
        <w:rPr>
          <w:rFonts w:ascii="Times New Roman" w:hAnsi="Times New Roman" w:cs="Times New Roman"/>
          <w:sz w:val="24"/>
          <w:szCs w:val="24"/>
        </w:rPr>
        <w:t xml:space="preserve"> Pracownicy delegatury w Warszawie zostaną włączeni do zasobów kadrowych Centrali Urzędu, podobnie składniki majątkowe </w:t>
      </w:r>
      <w:r w:rsidR="0062073A">
        <w:rPr>
          <w:rFonts w:ascii="Times New Roman" w:hAnsi="Times New Roman" w:cs="Times New Roman"/>
          <w:sz w:val="24"/>
          <w:szCs w:val="24"/>
        </w:rPr>
        <w:t>z</w:t>
      </w:r>
      <w:r w:rsidRPr="00433175">
        <w:rPr>
          <w:rFonts w:ascii="Times New Roman" w:hAnsi="Times New Roman" w:cs="Times New Roman"/>
          <w:sz w:val="24"/>
          <w:szCs w:val="24"/>
        </w:rPr>
        <w:t>likwidowanej delegatury staną się częścią majątku Centrali.</w:t>
      </w:r>
    </w:p>
    <w:p w14:paraId="1ABC5CED" w14:textId="59212ACC" w:rsidR="009E68FB" w:rsidRPr="009E68FB" w:rsidRDefault="009E68FB" w:rsidP="007A1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FB">
        <w:rPr>
          <w:rFonts w:ascii="Times New Roman" w:hAnsi="Times New Roman" w:cs="Times New Roman"/>
          <w:sz w:val="24"/>
          <w:szCs w:val="24"/>
        </w:rPr>
        <w:t>Proponowane zmiany mają także na celu zwiększenie elastyczności struktury organizacyjnej urzędu związanej z coraz szerszym zakresem zadań realizowanych przez Prezesa UOKiK (np. dodanie w 2017 r. zadań w ramach realizacji ustawy o przeciwdziałaniu nieuczciwemu wykorzystywaniu przewagi kontraktowej w obrocie produktami rolnymi i spożywczymi).</w:t>
      </w:r>
    </w:p>
    <w:p w14:paraId="1C543141" w14:textId="6873CACB" w:rsidR="009E68FB" w:rsidRDefault="009E68FB" w:rsidP="007A1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FB">
        <w:rPr>
          <w:rFonts w:ascii="Times New Roman" w:hAnsi="Times New Roman" w:cs="Times New Roman"/>
          <w:sz w:val="24"/>
          <w:szCs w:val="24"/>
        </w:rPr>
        <w:t xml:space="preserve">Dodatkowo należy wskazać, że rozwiązania przedstawione w projekcie </w:t>
      </w:r>
      <w:r w:rsidR="008432B4" w:rsidRPr="009E68FB">
        <w:rPr>
          <w:rFonts w:ascii="Times New Roman" w:hAnsi="Times New Roman" w:cs="Times New Roman"/>
          <w:sz w:val="24"/>
          <w:szCs w:val="24"/>
        </w:rPr>
        <w:t xml:space="preserve">są </w:t>
      </w:r>
      <w:r w:rsidRPr="009E68FB">
        <w:rPr>
          <w:rFonts w:ascii="Times New Roman" w:hAnsi="Times New Roman" w:cs="Times New Roman"/>
          <w:sz w:val="24"/>
          <w:szCs w:val="24"/>
        </w:rPr>
        <w:t xml:space="preserve">wzorowane na obecnie obowiązujących przepisach dotyczących innych regulatorów, w szczególności Prezesa UKE (art. 193 ustawy z dnia 16 lipca 2004 r. – </w:t>
      </w:r>
      <w:r>
        <w:rPr>
          <w:rFonts w:ascii="Times New Roman" w:hAnsi="Times New Roman" w:cs="Times New Roman"/>
          <w:sz w:val="24"/>
          <w:szCs w:val="24"/>
        </w:rPr>
        <w:t>Prawo telekomunikacyjne</w:t>
      </w:r>
      <w:r w:rsidRPr="009E68FB">
        <w:rPr>
          <w:rFonts w:ascii="Times New Roman" w:hAnsi="Times New Roman" w:cs="Times New Roman"/>
          <w:sz w:val="24"/>
          <w:szCs w:val="24"/>
        </w:rPr>
        <w:t>) oraz Prezesa ULC (art. 22 ustawy z dnia 3 lipca 2002 r. – Prawo lotnicze). W obu powyżej przywołanych aktach prawnych przewidziano</w:t>
      </w:r>
      <w:r w:rsidR="00C6621F">
        <w:rPr>
          <w:rFonts w:ascii="Times New Roman" w:hAnsi="Times New Roman" w:cs="Times New Roman"/>
          <w:sz w:val="24"/>
          <w:szCs w:val="24"/>
        </w:rPr>
        <w:t>,</w:t>
      </w:r>
      <w:r w:rsidRPr="009E68FB">
        <w:rPr>
          <w:rFonts w:ascii="Times New Roman" w:hAnsi="Times New Roman" w:cs="Times New Roman"/>
          <w:sz w:val="24"/>
          <w:szCs w:val="24"/>
        </w:rPr>
        <w:t xml:space="preserve"> że delegatury (ULC) lub zamiejscowe jednostki organizacyjne (UKE) </w:t>
      </w:r>
      <w:r w:rsidR="00BB1EC5" w:rsidRPr="009E68FB">
        <w:rPr>
          <w:rFonts w:ascii="Times New Roman" w:hAnsi="Times New Roman" w:cs="Times New Roman"/>
          <w:sz w:val="24"/>
          <w:szCs w:val="24"/>
        </w:rPr>
        <w:t xml:space="preserve">są </w:t>
      </w:r>
      <w:r w:rsidRPr="009E68FB">
        <w:rPr>
          <w:rFonts w:ascii="Times New Roman" w:hAnsi="Times New Roman" w:cs="Times New Roman"/>
          <w:sz w:val="24"/>
          <w:szCs w:val="24"/>
        </w:rPr>
        <w:t>tworzone na poziomie</w:t>
      </w:r>
      <w:r w:rsidR="00886058">
        <w:rPr>
          <w:rFonts w:ascii="Times New Roman" w:hAnsi="Times New Roman" w:cs="Times New Roman"/>
          <w:sz w:val="24"/>
          <w:szCs w:val="24"/>
        </w:rPr>
        <w:t xml:space="preserve"> </w:t>
      </w:r>
      <w:r w:rsidRPr="009E68FB">
        <w:rPr>
          <w:rFonts w:ascii="Times New Roman" w:hAnsi="Times New Roman" w:cs="Times New Roman"/>
          <w:sz w:val="24"/>
          <w:szCs w:val="24"/>
        </w:rPr>
        <w:t>zarządzenia określającego statut</w:t>
      </w:r>
      <w:r w:rsidR="00C6621F">
        <w:rPr>
          <w:rFonts w:ascii="Times New Roman" w:hAnsi="Times New Roman" w:cs="Times New Roman"/>
          <w:sz w:val="24"/>
          <w:szCs w:val="24"/>
        </w:rPr>
        <w:t>.</w:t>
      </w:r>
    </w:p>
    <w:p w14:paraId="5FFB20E4" w14:textId="1F46C793" w:rsidR="00E302CE" w:rsidRPr="00716F4E" w:rsidRDefault="00E302CE" w:rsidP="007A1DC1">
      <w:pPr>
        <w:pStyle w:val="ZUSTzmustartykuempunktem"/>
        <w:ind w:left="0" w:firstLine="0"/>
      </w:pPr>
      <w:r>
        <w:t xml:space="preserve">Jeżeli chodzi o zmiany związane ze składem działającej przy Prezesie UOKiK Krajowej </w:t>
      </w:r>
      <w:r w:rsidRPr="00B3796C">
        <w:t>Rady</w:t>
      </w:r>
      <w:r>
        <w:t xml:space="preserve"> Rzeczników Konsumentów, należy wskazać, iż w obecnym stanie prawnym</w:t>
      </w:r>
      <w:r w:rsidR="002C1119">
        <w:t>,</w:t>
      </w:r>
      <w:r>
        <w:t xml:space="preserve"> zgodnie z art. 44 ust. 4</w:t>
      </w:r>
      <w:r w:rsidR="002C1119">
        <w:t>,</w:t>
      </w:r>
      <w:r>
        <w:t xml:space="preserve"> w skład Rady wchodzi 9 rzeczników, po jednym z obszaru właściwości miejscowej delegatur Urzędu. </w:t>
      </w:r>
      <w:r w:rsidR="004B64B0">
        <w:t>P</w:t>
      </w:r>
      <w:r>
        <w:t xml:space="preserve">rojekt przewiduje uchylenie </w:t>
      </w:r>
      <w:r w:rsidRPr="00136F65">
        <w:rPr>
          <w:rFonts w:ascii="Times New Roman" w:hAnsi="Times New Roman" w:cs="Times New Roman"/>
          <w:szCs w:val="24"/>
        </w:rPr>
        <w:t>upoważnienia do wydania rozporządzenia określającego właściwość miejscową i rzeczową delegatur</w:t>
      </w:r>
      <w:r>
        <w:rPr>
          <w:rFonts w:ascii="Times New Roman" w:hAnsi="Times New Roman" w:cs="Times New Roman"/>
          <w:szCs w:val="24"/>
        </w:rPr>
        <w:t xml:space="preserve">, </w:t>
      </w:r>
      <w:r w:rsidR="00AD5AF6">
        <w:rPr>
          <w:rFonts w:ascii="Times New Roman" w:hAnsi="Times New Roman" w:cs="Times New Roman"/>
          <w:szCs w:val="24"/>
        </w:rPr>
        <w:t xml:space="preserve">proponuje się </w:t>
      </w:r>
      <w:r w:rsidR="004B64B0">
        <w:rPr>
          <w:rFonts w:ascii="Times New Roman" w:hAnsi="Times New Roman" w:cs="Times New Roman"/>
          <w:szCs w:val="24"/>
        </w:rPr>
        <w:t xml:space="preserve">więc </w:t>
      </w:r>
      <w:r w:rsidR="00AD5AF6">
        <w:rPr>
          <w:rFonts w:ascii="Times New Roman" w:hAnsi="Times New Roman" w:cs="Times New Roman"/>
          <w:szCs w:val="24"/>
        </w:rPr>
        <w:t>konsekwentnie nie odnosić się w przepisach ustawy do właściwości miejscowej delegatur również w tym zakresie. Wobec tego zaproponowano nowe brzmienie art. 44 ust. 4</w:t>
      </w:r>
      <w:r w:rsidR="002C1119">
        <w:rPr>
          <w:rFonts w:ascii="Times New Roman" w:hAnsi="Times New Roman" w:cs="Times New Roman"/>
          <w:szCs w:val="24"/>
        </w:rPr>
        <w:t>,</w:t>
      </w:r>
      <w:r w:rsidR="00AD5AF6">
        <w:rPr>
          <w:rFonts w:ascii="Times New Roman" w:hAnsi="Times New Roman" w:cs="Times New Roman"/>
          <w:szCs w:val="24"/>
        </w:rPr>
        <w:t xml:space="preserve"> zgodnie z którym w skład Rady </w:t>
      </w:r>
      <w:r w:rsidRPr="00B3796C">
        <w:t>wchodzi</w:t>
      </w:r>
      <w:r w:rsidR="00AD5AF6">
        <w:t>ć będzie</w:t>
      </w:r>
      <w:r w:rsidRPr="00B3796C">
        <w:t xml:space="preserve"> </w:t>
      </w:r>
      <w:r>
        <w:t>szesnastu</w:t>
      </w:r>
      <w:r w:rsidRPr="00716F4E">
        <w:t xml:space="preserve"> rzeczników konsumentów</w:t>
      </w:r>
      <w:r>
        <w:t>, po jednym z każdego województwa</w:t>
      </w:r>
      <w:r w:rsidRPr="00716F4E">
        <w:t>.</w:t>
      </w:r>
      <w:r w:rsidR="00CC121F" w:rsidRPr="00CC121F">
        <w:t xml:space="preserve"> </w:t>
      </w:r>
      <w:r w:rsidR="00422812">
        <w:t xml:space="preserve">Zapewni to „terytorialną” reprezentatywność Rady. </w:t>
      </w:r>
      <w:r w:rsidR="00CC121F" w:rsidRPr="00B3796C">
        <w:t>Członków Rady</w:t>
      </w:r>
      <w:r w:rsidR="00C6621F">
        <w:t>,</w:t>
      </w:r>
      <w:r w:rsidR="00CC121F" w:rsidRPr="00B3796C">
        <w:t xml:space="preserve"> </w:t>
      </w:r>
      <w:r w:rsidR="00CC121F">
        <w:t>jak do tej pory</w:t>
      </w:r>
      <w:r w:rsidR="00C6621F">
        <w:t>,</w:t>
      </w:r>
      <w:r w:rsidR="00CC121F">
        <w:t xml:space="preserve"> powoływać i</w:t>
      </w:r>
      <w:r w:rsidR="00886058">
        <w:t xml:space="preserve"> </w:t>
      </w:r>
      <w:r w:rsidR="00CC121F">
        <w:t>odwoływać ma</w:t>
      </w:r>
      <w:r w:rsidR="00CC121F" w:rsidRPr="00B3796C">
        <w:t xml:space="preserve"> Prezes</w:t>
      </w:r>
      <w:r w:rsidR="00956C48">
        <w:t xml:space="preserve"> </w:t>
      </w:r>
      <w:r w:rsidR="00BB1EC5">
        <w:t>UOKiK</w:t>
      </w:r>
      <w:r w:rsidR="00F25247">
        <w:t>, przy czym zgodnie z</w:t>
      </w:r>
      <w:r w:rsidR="00CC121F">
        <w:t xml:space="preserve"> obecnie obowiąz</w:t>
      </w:r>
      <w:r w:rsidR="00F25247">
        <w:t>ującą</w:t>
      </w:r>
      <w:r w:rsidR="002C1119">
        <w:t xml:space="preserve"> </w:t>
      </w:r>
      <w:r w:rsidR="00F25247">
        <w:t>regulacją</w:t>
      </w:r>
      <w:r w:rsidR="002C1119">
        <w:t xml:space="preserve"> powołanie to</w:t>
      </w:r>
      <w:r w:rsidR="00CC121F">
        <w:t xml:space="preserve"> następuje na wniosek dyrektorów delegatur</w:t>
      </w:r>
      <w:r w:rsidR="00F25247">
        <w:t xml:space="preserve"> (art. 45 ust. 5)</w:t>
      </w:r>
      <w:r w:rsidR="00CC121F">
        <w:t xml:space="preserve">. </w:t>
      </w:r>
      <w:r w:rsidR="002A0259">
        <w:t>Zmiana nie</w:t>
      </w:r>
      <w:r w:rsidR="00433175">
        <w:t xml:space="preserve"> </w:t>
      </w:r>
      <w:r w:rsidR="00433175">
        <w:rPr>
          <w:rFonts w:ascii="Times New Roman" w:hAnsi="Times New Roman" w:cs="Times New Roman"/>
          <w:color w:val="000000" w:themeColor="text1"/>
        </w:rPr>
        <w:lastRenderedPageBreak/>
        <w:t xml:space="preserve">spowoduje wzrostu kosztów związanych z obsługą administracyjną Rady oraz kosztów przejazdów członków Rady na jej posiedzenia, które </w:t>
      </w:r>
      <w:r w:rsidR="00211365">
        <w:rPr>
          <w:rFonts w:ascii="Times New Roman" w:hAnsi="Times New Roman" w:cs="Times New Roman"/>
          <w:color w:val="000000" w:themeColor="text1"/>
        </w:rPr>
        <w:t>wiązałyby się ze</w:t>
      </w:r>
      <w:r w:rsidR="00433175">
        <w:rPr>
          <w:rFonts w:ascii="Times New Roman" w:hAnsi="Times New Roman" w:cs="Times New Roman"/>
          <w:color w:val="000000" w:themeColor="text1"/>
        </w:rPr>
        <w:t xml:space="preserve"> wzrost</w:t>
      </w:r>
      <w:r w:rsidR="00211365">
        <w:rPr>
          <w:rFonts w:ascii="Times New Roman" w:hAnsi="Times New Roman" w:cs="Times New Roman"/>
          <w:color w:val="000000" w:themeColor="text1"/>
        </w:rPr>
        <w:t>em</w:t>
      </w:r>
      <w:r w:rsidR="00433175">
        <w:rPr>
          <w:rFonts w:ascii="Times New Roman" w:hAnsi="Times New Roman" w:cs="Times New Roman"/>
          <w:color w:val="000000" w:themeColor="text1"/>
        </w:rPr>
        <w:t xml:space="preserve"> limitu wydatków określonego w budżecie.</w:t>
      </w:r>
    </w:p>
    <w:p w14:paraId="34EFB2E2" w14:textId="6060003C" w:rsidR="00AC1495" w:rsidRPr="00136F65" w:rsidRDefault="00A50628" w:rsidP="007A1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F65">
        <w:rPr>
          <w:rFonts w:ascii="Times New Roman" w:hAnsi="Times New Roman" w:cs="Times New Roman"/>
          <w:sz w:val="24"/>
          <w:szCs w:val="24"/>
        </w:rPr>
        <w:t>Projekt zawiera również zmiany w art. 42</w:t>
      </w:r>
      <w:r w:rsidR="00886058">
        <w:rPr>
          <w:rFonts w:ascii="Times New Roman" w:hAnsi="Times New Roman" w:cs="Times New Roman"/>
          <w:sz w:val="24"/>
          <w:szCs w:val="24"/>
        </w:rPr>
        <w:t>–</w:t>
      </w:r>
      <w:r w:rsidRPr="00136F65">
        <w:rPr>
          <w:rFonts w:ascii="Times New Roman" w:hAnsi="Times New Roman" w:cs="Times New Roman"/>
          <w:sz w:val="24"/>
          <w:szCs w:val="24"/>
        </w:rPr>
        <w:t>44 ustawy</w:t>
      </w:r>
      <w:r w:rsidR="007A69BF" w:rsidRPr="00136F65">
        <w:rPr>
          <w:rFonts w:ascii="Times New Roman" w:hAnsi="Times New Roman" w:cs="Times New Roman"/>
          <w:sz w:val="24"/>
          <w:szCs w:val="24"/>
        </w:rPr>
        <w:t xml:space="preserve"> o ochronie konkurencji i konsumentów</w:t>
      </w:r>
      <w:r w:rsidRPr="00136F65">
        <w:rPr>
          <w:rFonts w:ascii="Times New Roman" w:hAnsi="Times New Roman" w:cs="Times New Roman"/>
          <w:sz w:val="24"/>
          <w:szCs w:val="24"/>
        </w:rPr>
        <w:t xml:space="preserve">, które mają charakter </w:t>
      </w:r>
      <w:r w:rsidR="002C35F5" w:rsidRPr="00136F65">
        <w:rPr>
          <w:rFonts w:ascii="Times New Roman" w:hAnsi="Times New Roman" w:cs="Times New Roman"/>
          <w:sz w:val="24"/>
          <w:szCs w:val="24"/>
        </w:rPr>
        <w:t xml:space="preserve">zmian </w:t>
      </w:r>
      <w:r w:rsidRPr="00136F65">
        <w:rPr>
          <w:rFonts w:ascii="Times New Roman" w:hAnsi="Times New Roman" w:cs="Times New Roman"/>
          <w:sz w:val="24"/>
          <w:szCs w:val="24"/>
        </w:rPr>
        <w:t>wynikowych</w:t>
      </w:r>
      <w:r w:rsidR="002C35F5" w:rsidRPr="00136F65">
        <w:rPr>
          <w:rFonts w:ascii="Times New Roman" w:hAnsi="Times New Roman" w:cs="Times New Roman"/>
          <w:sz w:val="24"/>
          <w:szCs w:val="24"/>
        </w:rPr>
        <w:t>,</w:t>
      </w:r>
      <w:r w:rsidRPr="00136F65">
        <w:rPr>
          <w:rFonts w:ascii="Times New Roman" w:hAnsi="Times New Roman" w:cs="Times New Roman"/>
          <w:sz w:val="24"/>
          <w:szCs w:val="24"/>
        </w:rPr>
        <w:t xml:space="preserve"> związany</w:t>
      </w:r>
      <w:r w:rsidR="002C35F5" w:rsidRPr="00136F65">
        <w:rPr>
          <w:rFonts w:ascii="Times New Roman" w:hAnsi="Times New Roman" w:cs="Times New Roman"/>
          <w:sz w:val="24"/>
          <w:szCs w:val="24"/>
        </w:rPr>
        <w:t>ch</w:t>
      </w:r>
      <w:r w:rsidRPr="00136F65">
        <w:rPr>
          <w:rFonts w:ascii="Times New Roman" w:hAnsi="Times New Roman" w:cs="Times New Roman"/>
          <w:sz w:val="24"/>
          <w:szCs w:val="24"/>
        </w:rPr>
        <w:t xml:space="preserve"> z </w:t>
      </w:r>
      <w:r w:rsidR="004B64B0">
        <w:rPr>
          <w:rFonts w:ascii="Times New Roman" w:hAnsi="Times New Roman" w:cs="Times New Roman"/>
          <w:sz w:val="24"/>
          <w:szCs w:val="24"/>
        </w:rPr>
        <w:t xml:space="preserve">uchyleniem </w:t>
      </w:r>
      <w:r w:rsidRPr="00136F65">
        <w:rPr>
          <w:rFonts w:ascii="Times New Roman" w:hAnsi="Times New Roman" w:cs="Times New Roman"/>
          <w:sz w:val="24"/>
          <w:szCs w:val="24"/>
        </w:rPr>
        <w:t>przepisów dotyczących delegatur. Ponadto, w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 konsekwencji ww. zmian w ustawie o ochronie konkurencji i konsumentów</w:t>
      </w:r>
      <w:r w:rsidR="00F70209" w:rsidRPr="00136F65">
        <w:rPr>
          <w:rFonts w:ascii="Times New Roman" w:hAnsi="Times New Roman" w:cs="Times New Roman"/>
          <w:sz w:val="24"/>
          <w:szCs w:val="24"/>
        </w:rPr>
        <w:t>,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 wprowadzone zostaną dostosowujące zmiany </w:t>
      </w:r>
      <w:r w:rsidR="00F70209" w:rsidRPr="00136F65">
        <w:rPr>
          <w:rFonts w:ascii="Times New Roman" w:hAnsi="Times New Roman" w:cs="Times New Roman"/>
          <w:sz w:val="24"/>
          <w:szCs w:val="24"/>
        </w:rPr>
        <w:t>w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 ustaw</w:t>
      </w:r>
      <w:r w:rsidR="00F70209" w:rsidRPr="00136F65">
        <w:rPr>
          <w:rFonts w:ascii="Times New Roman" w:hAnsi="Times New Roman" w:cs="Times New Roman"/>
          <w:sz w:val="24"/>
          <w:szCs w:val="24"/>
        </w:rPr>
        <w:t>ie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 o przeciwdziałaniu nieuczciwemu wykorzyst</w:t>
      </w:r>
      <w:r w:rsidR="00BB1EC5">
        <w:rPr>
          <w:rFonts w:ascii="Times New Roman" w:hAnsi="Times New Roman" w:cs="Times New Roman"/>
          <w:sz w:val="24"/>
          <w:szCs w:val="24"/>
        </w:rPr>
        <w:t>yw</w:t>
      </w:r>
      <w:r w:rsidR="00AC1495" w:rsidRPr="00136F65">
        <w:rPr>
          <w:rFonts w:ascii="Times New Roman" w:hAnsi="Times New Roman" w:cs="Times New Roman"/>
          <w:sz w:val="24"/>
          <w:szCs w:val="24"/>
        </w:rPr>
        <w:t>aniu przewagi kontraktowej w obrocie produktami rolnymi i spożywczymi (uchylenie nieaktualnych odesłań do ustawy o ochronie konkurencji i konsumentów)</w:t>
      </w:r>
      <w:r w:rsidR="007A69BF" w:rsidRPr="00136F65">
        <w:rPr>
          <w:rFonts w:ascii="Times New Roman" w:hAnsi="Times New Roman" w:cs="Times New Roman"/>
          <w:sz w:val="24"/>
          <w:szCs w:val="24"/>
        </w:rPr>
        <w:t>.</w:t>
      </w:r>
      <w:r w:rsidR="00B26A3C">
        <w:rPr>
          <w:rFonts w:ascii="Times New Roman" w:hAnsi="Times New Roman" w:cs="Times New Roman"/>
          <w:sz w:val="24"/>
          <w:szCs w:val="24"/>
        </w:rPr>
        <w:t xml:space="preserve"> </w:t>
      </w:r>
      <w:r w:rsidR="00D67D67">
        <w:rPr>
          <w:rFonts w:ascii="Times New Roman" w:hAnsi="Times New Roman" w:cs="Times New Roman"/>
          <w:sz w:val="24"/>
          <w:szCs w:val="24"/>
        </w:rPr>
        <w:t xml:space="preserve">Dodatkowo w projekcie zaproponowano wprowadzenie do ustawy </w:t>
      </w:r>
      <w:r w:rsidR="004B64B0">
        <w:rPr>
          <w:rFonts w:ascii="Times New Roman" w:hAnsi="Times New Roman" w:cs="Times New Roman"/>
          <w:sz w:val="24"/>
          <w:szCs w:val="24"/>
        </w:rPr>
        <w:t xml:space="preserve">w </w:t>
      </w:r>
      <w:r w:rsidR="00D67D67">
        <w:rPr>
          <w:rFonts w:ascii="Times New Roman" w:hAnsi="Times New Roman" w:cs="Times New Roman"/>
          <w:sz w:val="24"/>
          <w:szCs w:val="24"/>
        </w:rPr>
        <w:t>art. 43</w:t>
      </w:r>
      <w:r w:rsidR="004B64B0">
        <w:rPr>
          <w:rFonts w:ascii="Times New Roman" w:hAnsi="Times New Roman" w:cs="Times New Roman"/>
          <w:sz w:val="24"/>
          <w:szCs w:val="24"/>
        </w:rPr>
        <w:t xml:space="preserve"> przepis</w:t>
      </w:r>
      <w:r w:rsidR="006803C2">
        <w:rPr>
          <w:rFonts w:ascii="Times New Roman" w:hAnsi="Times New Roman" w:cs="Times New Roman"/>
          <w:sz w:val="24"/>
          <w:szCs w:val="24"/>
        </w:rPr>
        <w:t>u</w:t>
      </w:r>
      <w:r w:rsidR="00D67D67">
        <w:rPr>
          <w:rFonts w:ascii="Times New Roman" w:hAnsi="Times New Roman" w:cs="Times New Roman"/>
          <w:sz w:val="24"/>
          <w:szCs w:val="24"/>
        </w:rPr>
        <w:t>, który nakłada na rzeczników konsumentów obowiązek przedkładania w wyznaczonym terminie</w:t>
      </w:r>
      <w:r w:rsidR="006A45FA">
        <w:rPr>
          <w:rFonts w:ascii="Times New Roman" w:hAnsi="Times New Roman" w:cs="Times New Roman"/>
          <w:sz w:val="24"/>
          <w:szCs w:val="24"/>
        </w:rPr>
        <w:t xml:space="preserve"> Prezesowi UOKiK rocznych sprawozdań ze swojej działalności, pomimo niezatwierdzenia ich przez starostę.</w:t>
      </w:r>
    </w:p>
    <w:p w14:paraId="6AAE45C4" w14:textId="50809809" w:rsidR="00AC1495" w:rsidRPr="00F62784" w:rsidRDefault="00A0759D" w:rsidP="007A1DC1">
      <w:p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88605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AC1495" w:rsidRPr="00F62784">
        <w:rPr>
          <w:rFonts w:ascii="Times New Roman" w:hAnsi="Times New Roman" w:cs="Times New Roman"/>
          <w:b/>
          <w:sz w:val="24"/>
          <w:szCs w:val="24"/>
        </w:rPr>
        <w:t>ymiana informacji i dostęp do tajemnic</w:t>
      </w:r>
    </w:p>
    <w:p w14:paraId="33E7EB5C" w14:textId="1CD033B6" w:rsidR="00D042A4" w:rsidRPr="00136F65" w:rsidRDefault="002F3DCD" w:rsidP="007A1DC1">
      <w:pPr>
        <w:pStyle w:val="ARTartustawynprozporzdzenia"/>
        <w:keepNext/>
        <w:spacing w:before="0"/>
        <w:ind w:firstLine="0"/>
        <w:rPr>
          <w:rFonts w:ascii="Times New Roman" w:hAnsi="Times New Roman" w:cs="Times New Roman"/>
          <w:szCs w:val="24"/>
        </w:rPr>
      </w:pPr>
      <w:r w:rsidRPr="00136F65">
        <w:rPr>
          <w:rFonts w:ascii="Times New Roman" w:hAnsi="Times New Roman" w:cs="Times New Roman"/>
          <w:szCs w:val="24"/>
        </w:rPr>
        <w:t>K</w:t>
      </w:r>
      <w:r w:rsidR="00874195" w:rsidRPr="00136F65">
        <w:rPr>
          <w:rFonts w:ascii="Times New Roman" w:hAnsi="Times New Roman" w:cs="Times New Roman"/>
          <w:szCs w:val="24"/>
        </w:rPr>
        <w:t>onsekwencją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874195" w:rsidRPr="00136F65">
        <w:rPr>
          <w:rFonts w:ascii="Times New Roman" w:hAnsi="Times New Roman" w:cs="Times New Roman"/>
          <w:szCs w:val="24"/>
        </w:rPr>
        <w:t xml:space="preserve">zmian </w:t>
      </w:r>
      <w:r w:rsidR="0012364F">
        <w:rPr>
          <w:rFonts w:ascii="Times New Roman" w:hAnsi="Times New Roman" w:cs="Times New Roman"/>
          <w:szCs w:val="24"/>
        </w:rPr>
        <w:t xml:space="preserve">w ustawie </w:t>
      </w:r>
      <w:r w:rsidR="00BB1EC5">
        <w:rPr>
          <w:rFonts w:ascii="Times New Roman" w:hAnsi="Times New Roman" w:cs="Times New Roman"/>
          <w:szCs w:val="24"/>
        </w:rPr>
        <w:t xml:space="preserve">z dnia 21 lipca 2006 r. </w:t>
      </w:r>
      <w:r w:rsidR="0012364F">
        <w:rPr>
          <w:rFonts w:ascii="Times New Roman" w:hAnsi="Times New Roman" w:cs="Times New Roman"/>
          <w:szCs w:val="24"/>
        </w:rPr>
        <w:t xml:space="preserve">o nadzorze nad rynkiem finansowym </w:t>
      </w:r>
      <w:r w:rsidR="00BB1EC5">
        <w:rPr>
          <w:rFonts w:ascii="Times New Roman" w:hAnsi="Times New Roman" w:cs="Times New Roman"/>
          <w:szCs w:val="24"/>
        </w:rPr>
        <w:t xml:space="preserve">(Dz. U. z 2019 r. poz. 298, z późn. zm.) </w:t>
      </w:r>
      <w:r w:rsidR="00886058">
        <w:rPr>
          <w:rFonts w:ascii="Times New Roman" w:hAnsi="Times New Roman" w:cs="Times New Roman"/>
          <w:szCs w:val="24"/>
        </w:rPr>
        <w:t>–</w:t>
      </w:r>
      <w:r w:rsidR="00BB1EC5">
        <w:rPr>
          <w:rFonts w:ascii="Times New Roman" w:hAnsi="Times New Roman" w:cs="Times New Roman"/>
          <w:szCs w:val="24"/>
        </w:rPr>
        <w:t xml:space="preserve"> </w:t>
      </w:r>
      <w:r w:rsidR="0012364F">
        <w:rPr>
          <w:rFonts w:ascii="Times New Roman" w:hAnsi="Times New Roman" w:cs="Times New Roman"/>
          <w:szCs w:val="24"/>
        </w:rPr>
        <w:t xml:space="preserve">nowy przepis </w:t>
      </w:r>
      <w:r w:rsidR="00886058">
        <w:rPr>
          <w:rFonts w:ascii="Times New Roman" w:hAnsi="Times New Roman" w:cs="Times New Roman"/>
          <w:szCs w:val="24"/>
        </w:rPr>
        <w:t>–</w:t>
      </w:r>
      <w:r w:rsidR="0012364F">
        <w:rPr>
          <w:rFonts w:ascii="Times New Roman" w:hAnsi="Times New Roman" w:cs="Times New Roman"/>
          <w:szCs w:val="24"/>
        </w:rPr>
        <w:t xml:space="preserve"> art. 17ca</w:t>
      </w:r>
      <w:r w:rsidR="00BB1EC5">
        <w:rPr>
          <w:rFonts w:ascii="Times New Roman" w:hAnsi="Times New Roman" w:cs="Times New Roman"/>
          <w:szCs w:val="24"/>
        </w:rPr>
        <w:t xml:space="preserve"> </w:t>
      </w:r>
      <w:r w:rsidR="00886058">
        <w:rPr>
          <w:rFonts w:ascii="Times New Roman" w:hAnsi="Times New Roman" w:cs="Times New Roman"/>
          <w:szCs w:val="24"/>
        </w:rPr>
        <w:t>–</w:t>
      </w:r>
      <w:r w:rsidR="0012364F">
        <w:rPr>
          <w:rFonts w:ascii="Times New Roman" w:hAnsi="Times New Roman" w:cs="Times New Roman"/>
          <w:szCs w:val="24"/>
        </w:rPr>
        <w:t xml:space="preserve"> </w:t>
      </w:r>
      <w:r w:rsidR="00874195" w:rsidRPr="00136F65">
        <w:rPr>
          <w:rFonts w:ascii="Times New Roman" w:hAnsi="Times New Roman" w:cs="Times New Roman"/>
          <w:szCs w:val="24"/>
        </w:rPr>
        <w:t>jest wprowadzenie w art. 73 ust. 2 ustawy o ochronie konkurencji i konsumentów dodatkowego wyjątku od reguły</w:t>
      </w:r>
      <w:r w:rsidR="00D81E22">
        <w:rPr>
          <w:rFonts w:ascii="Times New Roman" w:hAnsi="Times New Roman" w:cs="Times New Roman"/>
          <w:szCs w:val="24"/>
        </w:rPr>
        <w:t>,</w:t>
      </w:r>
      <w:r w:rsidR="00874195" w:rsidRPr="00136F65">
        <w:rPr>
          <w:rFonts w:ascii="Times New Roman" w:hAnsi="Times New Roman" w:cs="Times New Roman"/>
          <w:szCs w:val="24"/>
        </w:rPr>
        <w:t xml:space="preserve"> zgodnie z którą informacje uzyskane w toku postępowań prowadzonych przez Prezesa UOKiK nie mogą być wykorzystywane w i</w:t>
      </w:r>
      <w:r w:rsidRPr="00136F65">
        <w:rPr>
          <w:rFonts w:ascii="Times New Roman" w:hAnsi="Times New Roman" w:cs="Times New Roman"/>
          <w:szCs w:val="24"/>
        </w:rPr>
        <w:t>nnych postę</w:t>
      </w:r>
      <w:r w:rsidR="00874195" w:rsidRPr="00136F65">
        <w:rPr>
          <w:rFonts w:ascii="Times New Roman" w:hAnsi="Times New Roman" w:cs="Times New Roman"/>
          <w:szCs w:val="24"/>
        </w:rPr>
        <w:t>powaniach prowadzonych na podstawie odrębnych przepisów</w:t>
      </w:r>
      <w:r w:rsidRPr="00136F65">
        <w:rPr>
          <w:rFonts w:ascii="Times New Roman" w:hAnsi="Times New Roman" w:cs="Times New Roman"/>
          <w:szCs w:val="24"/>
        </w:rPr>
        <w:t xml:space="preserve"> (art. 73 ust. 1). W art. 73 ust. 2 zaproponowano dodanie pkt 7</w:t>
      </w:r>
      <w:r w:rsidR="00031BE6" w:rsidRPr="00136F65">
        <w:rPr>
          <w:rFonts w:ascii="Times New Roman" w:hAnsi="Times New Roman" w:cs="Times New Roman"/>
          <w:szCs w:val="24"/>
        </w:rPr>
        <w:t>,</w:t>
      </w:r>
      <w:r w:rsidRPr="00136F65">
        <w:rPr>
          <w:rFonts w:ascii="Times New Roman" w:hAnsi="Times New Roman" w:cs="Times New Roman"/>
          <w:szCs w:val="24"/>
        </w:rPr>
        <w:t xml:space="preserve"> zgodnie z którym ww. zakaz nie </w:t>
      </w:r>
      <w:r w:rsidR="006F0845" w:rsidRPr="00136F65">
        <w:rPr>
          <w:rFonts w:ascii="Times New Roman" w:hAnsi="Times New Roman" w:cs="Times New Roman"/>
          <w:szCs w:val="24"/>
        </w:rPr>
        <w:t xml:space="preserve">będzie </w:t>
      </w:r>
      <w:r w:rsidRPr="00136F65">
        <w:rPr>
          <w:rFonts w:ascii="Times New Roman" w:hAnsi="Times New Roman" w:cs="Times New Roman"/>
          <w:szCs w:val="24"/>
        </w:rPr>
        <w:t>dotyczyć</w:t>
      </w:r>
      <w:r w:rsidR="00874195" w:rsidRPr="00136F65">
        <w:rPr>
          <w:rFonts w:ascii="Times New Roman" w:hAnsi="Times New Roman" w:cs="Times New Roman"/>
          <w:szCs w:val="24"/>
        </w:rPr>
        <w:t xml:space="preserve"> przekaz</w:t>
      </w:r>
      <w:r w:rsidR="00031BE6" w:rsidRPr="00136F65">
        <w:rPr>
          <w:rFonts w:ascii="Times New Roman" w:hAnsi="Times New Roman" w:cs="Times New Roman"/>
          <w:szCs w:val="24"/>
        </w:rPr>
        <w:t>ywania</w:t>
      </w:r>
      <w:r w:rsidR="00874195" w:rsidRPr="00136F65">
        <w:rPr>
          <w:rFonts w:ascii="Times New Roman" w:hAnsi="Times New Roman" w:cs="Times New Roman"/>
          <w:szCs w:val="24"/>
        </w:rPr>
        <w:t xml:space="preserve"> informacji Przewodniczącemu Komisji Nadzoru Finansowego na podstawie art.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874195" w:rsidRPr="00136F65">
        <w:rPr>
          <w:rFonts w:ascii="Times New Roman" w:hAnsi="Times New Roman" w:cs="Times New Roman"/>
          <w:szCs w:val="24"/>
        </w:rPr>
        <w:t xml:space="preserve">17ca </w:t>
      </w:r>
      <w:r w:rsidR="00F375B3">
        <w:rPr>
          <w:rFonts w:ascii="Times New Roman" w:hAnsi="Times New Roman" w:cs="Times New Roman"/>
          <w:szCs w:val="24"/>
        </w:rPr>
        <w:t xml:space="preserve">ust. 2 </w:t>
      </w:r>
      <w:r w:rsidR="00874195" w:rsidRPr="00136F65">
        <w:rPr>
          <w:rFonts w:ascii="Times New Roman" w:hAnsi="Times New Roman" w:cs="Times New Roman"/>
          <w:szCs w:val="24"/>
        </w:rPr>
        <w:t xml:space="preserve">ustawy </w:t>
      </w:r>
      <w:r w:rsidR="00FD4A06" w:rsidRPr="00136F65">
        <w:rPr>
          <w:rFonts w:ascii="Times New Roman" w:hAnsi="Times New Roman" w:cs="Times New Roman"/>
          <w:color w:val="000000"/>
          <w:szCs w:val="24"/>
        </w:rPr>
        <w:t xml:space="preserve">z dnia 21 lipca 2006 r. </w:t>
      </w:r>
      <w:r w:rsidR="00874195" w:rsidRPr="00136F65">
        <w:rPr>
          <w:rFonts w:ascii="Times New Roman" w:hAnsi="Times New Roman" w:cs="Times New Roman"/>
          <w:szCs w:val="24"/>
        </w:rPr>
        <w:t>o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874195" w:rsidRPr="00136F65">
        <w:rPr>
          <w:rFonts w:ascii="Times New Roman" w:hAnsi="Times New Roman" w:cs="Times New Roman"/>
          <w:szCs w:val="24"/>
        </w:rPr>
        <w:t>n</w:t>
      </w:r>
      <w:r w:rsidRPr="00136F65">
        <w:rPr>
          <w:rFonts w:ascii="Times New Roman" w:hAnsi="Times New Roman" w:cs="Times New Roman"/>
          <w:szCs w:val="24"/>
        </w:rPr>
        <w:t>adzorze nad rynkiem finansowym</w:t>
      </w:r>
      <w:r w:rsidR="00D81E22">
        <w:rPr>
          <w:rFonts w:ascii="Times New Roman" w:hAnsi="Times New Roman" w:cs="Times New Roman"/>
          <w:szCs w:val="24"/>
        </w:rPr>
        <w:t>.</w:t>
      </w:r>
      <w:r w:rsidR="00B262C5">
        <w:rPr>
          <w:rFonts w:ascii="Times New Roman" w:hAnsi="Times New Roman" w:cs="Times New Roman"/>
          <w:szCs w:val="24"/>
        </w:rPr>
        <w:t xml:space="preserve"> </w:t>
      </w:r>
    </w:p>
    <w:p w14:paraId="089F1863" w14:textId="61FA91C2" w:rsidR="00D042A4" w:rsidRPr="00136F65" w:rsidRDefault="00AC1495" w:rsidP="00A124A8">
      <w:pPr>
        <w:pStyle w:val="ARTartustawynprozporzdzenia"/>
        <w:keepNext/>
        <w:spacing w:before="0"/>
        <w:ind w:firstLine="0"/>
        <w:rPr>
          <w:rFonts w:ascii="Times New Roman" w:hAnsi="Times New Roman" w:cs="Times New Roman"/>
          <w:szCs w:val="24"/>
        </w:rPr>
      </w:pPr>
      <w:r w:rsidRPr="00136F65">
        <w:rPr>
          <w:rFonts w:ascii="Times New Roman" w:hAnsi="Times New Roman" w:cs="Times New Roman"/>
          <w:szCs w:val="24"/>
        </w:rPr>
        <w:t xml:space="preserve">Ponadto konieczne będą zmiany w </w:t>
      </w:r>
      <w:r w:rsidR="00401559" w:rsidRPr="00136F65">
        <w:rPr>
          <w:rFonts w:ascii="Times New Roman" w:hAnsi="Times New Roman" w:cs="Times New Roman"/>
          <w:szCs w:val="24"/>
        </w:rPr>
        <w:t>ustawie z dnia 29 sierpnia 1997 r. – Ordynacja podatkowa</w:t>
      </w:r>
      <w:r w:rsidRPr="00136F65">
        <w:rPr>
          <w:rFonts w:ascii="Times New Roman" w:hAnsi="Times New Roman" w:cs="Times New Roman"/>
          <w:szCs w:val="24"/>
        </w:rPr>
        <w:t xml:space="preserve"> </w:t>
      </w:r>
      <w:r w:rsidR="00401559" w:rsidRPr="00136F65">
        <w:rPr>
          <w:rFonts w:ascii="Times New Roman" w:hAnsi="Times New Roman" w:cs="Times New Roman"/>
          <w:szCs w:val="24"/>
        </w:rPr>
        <w:t>(Dz. U. z 201</w:t>
      </w:r>
      <w:r w:rsidR="004B64B0">
        <w:rPr>
          <w:rFonts w:ascii="Times New Roman" w:hAnsi="Times New Roman" w:cs="Times New Roman"/>
          <w:szCs w:val="24"/>
        </w:rPr>
        <w:t>9</w:t>
      </w:r>
      <w:r w:rsidR="00401559" w:rsidRPr="00136F65">
        <w:rPr>
          <w:rFonts w:ascii="Times New Roman" w:hAnsi="Times New Roman" w:cs="Times New Roman"/>
          <w:szCs w:val="24"/>
        </w:rPr>
        <w:t xml:space="preserve"> r. poz. </w:t>
      </w:r>
      <w:r w:rsidR="004B64B0">
        <w:rPr>
          <w:rFonts w:ascii="Times New Roman" w:hAnsi="Times New Roman" w:cs="Times New Roman"/>
          <w:szCs w:val="24"/>
        </w:rPr>
        <w:t>9</w:t>
      </w:r>
      <w:r w:rsidR="00401559" w:rsidRPr="00136F65">
        <w:rPr>
          <w:rFonts w:ascii="Times New Roman" w:hAnsi="Times New Roman" w:cs="Times New Roman"/>
          <w:szCs w:val="24"/>
        </w:rPr>
        <w:t>00</w:t>
      </w:r>
      <w:r w:rsidR="00E74550">
        <w:rPr>
          <w:rFonts w:ascii="Times New Roman" w:hAnsi="Times New Roman" w:cs="Times New Roman"/>
          <w:szCs w:val="24"/>
        </w:rPr>
        <w:t>, z późn. zm.</w:t>
      </w:r>
      <w:r w:rsidR="00401559" w:rsidRPr="00136F65">
        <w:rPr>
          <w:rFonts w:ascii="Times New Roman" w:hAnsi="Times New Roman" w:cs="Times New Roman"/>
          <w:szCs w:val="24"/>
        </w:rPr>
        <w:t>) oraz</w:t>
      </w:r>
      <w:r w:rsidRPr="00136F65">
        <w:rPr>
          <w:rFonts w:ascii="Times New Roman" w:hAnsi="Times New Roman" w:cs="Times New Roman"/>
          <w:szCs w:val="24"/>
        </w:rPr>
        <w:t xml:space="preserve"> </w:t>
      </w:r>
      <w:r w:rsidR="003F4D29">
        <w:rPr>
          <w:rFonts w:ascii="Times New Roman" w:hAnsi="Times New Roman" w:cs="Times New Roman"/>
          <w:szCs w:val="24"/>
        </w:rPr>
        <w:t xml:space="preserve">w </w:t>
      </w:r>
      <w:r w:rsidR="00401559" w:rsidRPr="00136F65">
        <w:rPr>
          <w:rFonts w:ascii="Times New Roman" w:hAnsi="Times New Roman" w:cs="Times New Roman"/>
          <w:szCs w:val="24"/>
        </w:rPr>
        <w:t>ustawie z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401559" w:rsidRPr="00136F65">
        <w:rPr>
          <w:rFonts w:ascii="Times New Roman" w:hAnsi="Times New Roman" w:cs="Times New Roman"/>
          <w:szCs w:val="24"/>
        </w:rPr>
        <w:t>dnia 29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401559" w:rsidRPr="00136F65">
        <w:rPr>
          <w:rFonts w:ascii="Times New Roman" w:hAnsi="Times New Roman" w:cs="Times New Roman"/>
          <w:szCs w:val="24"/>
        </w:rPr>
        <w:t>sierpnia 1997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401559" w:rsidRPr="00136F65">
        <w:rPr>
          <w:rFonts w:ascii="Times New Roman" w:hAnsi="Times New Roman" w:cs="Times New Roman"/>
          <w:szCs w:val="24"/>
        </w:rPr>
        <w:t>r. – Prawo bankowe (Dz.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401559" w:rsidRPr="00136F65">
        <w:rPr>
          <w:rFonts w:ascii="Times New Roman" w:hAnsi="Times New Roman" w:cs="Times New Roman"/>
          <w:szCs w:val="24"/>
        </w:rPr>
        <w:t>U. z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401559" w:rsidRPr="00136F65">
        <w:rPr>
          <w:rFonts w:ascii="Times New Roman" w:hAnsi="Times New Roman" w:cs="Times New Roman"/>
          <w:szCs w:val="24"/>
        </w:rPr>
        <w:t>201</w:t>
      </w:r>
      <w:r w:rsidR="00B262C5">
        <w:rPr>
          <w:rFonts w:ascii="Times New Roman" w:hAnsi="Times New Roman" w:cs="Times New Roman"/>
          <w:szCs w:val="24"/>
        </w:rPr>
        <w:t>8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401559" w:rsidRPr="00136F65">
        <w:rPr>
          <w:rFonts w:ascii="Times New Roman" w:hAnsi="Times New Roman" w:cs="Times New Roman"/>
          <w:szCs w:val="24"/>
        </w:rPr>
        <w:t>r. poz.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B262C5">
        <w:rPr>
          <w:rFonts w:ascii="Times New Roman" w:hAnsi="Times New Roman" w:cs="Times New Roman"/>
          <w:szCs w:val="24"/>
        </w:rPr>
        <w:t>2187</w:t>
      </w:r>
      <w:r w:rsidR="00401559" w:rsidRPr="00136F65">
        <w:rPr>
          <w:rFonts w:ascii="Times New Roman" w:hAnsi="Times New Roman" w:cs="Times New Roman"/>
          <w:szCs w:val="24"/>
        </w:rPr>
        <w:t>, z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401559" w:rsidRPr="00136F65">
        <w:rPr>
          <w:rFonts w:ascii="Times New Roman" w:hAnsi="Times New Roman" w:cs="Times New Roman"/>
          <w:szCs w:val="24"/>
        </w:rPr>
        <w:t xml:space="preserve">późn. zm.), które będą miały </w:t>
      </w:r>
      <w:r w:rsidRPr="00136F65">
        <w:rPr>
          <w:rFonts w:ascii="Times New Roman" w:hAnsi="Times New Roman" w:cs="Times New Roman"/>
          <w:szCs w:val="24"/>
        </w:rPr>
        <w:t xml:space="preserve">na celu </w:t>
      </w:r>
      <w:r w:rsidR="00401559" w:rsidRPr="00136F65">
        <w:rPr>
          <w:rFonts w:ascii="Times New Roman" w:hAnsi="Times New Roman" w:cs="Times New Roman"/>
          <w:szCs w:val="24"/>
        </w:rPr>
        <w:t xml:space="preserve">umożliwienie </w:t>
      </w:r>
      <w:r w:rsidRPr="00136F65">
        <w:rPr>
          <w:rFonts w:ascii="Times New Roman" w:hAnsi="Times New Roman" w:cs="Times New Roman"/>
          <w:szCs w:val="24"/>
        </w:rPr>
        <w:t>Prezes</w:t>
      </w:r>
      <w:r w:rsidR="00401559" w:rsidRPr="00136F65">
        <w:rPr>
          <w:rFonts w:ascii="Times New Roman" w:hAnsi="Times New Roman" w:cs="Times New Roman"/>
          <w:szCs w:val="24"/>
        </w:rPr>
        <w:t>owi</w:t>
      </w:r>
      <w:r w:rsidRPr="00136F65">
        <w:rPr>
          <w:rFonts w:ascii="Times New Roman" w:hAnsi="Times New Roman" w:cs="Times New Roman"/>
          <w:szCs w:val="24"/>
        </w:rPr>
        <w:t xml:space="preserve"> UOKiK </w:t>
      </w:r>
      <w:r w:rsidR="00E74550" w:rsidRPr="00136F65">
        <w:rPr>
          <w:rFonts w:ascii="Times New Roman" w:hAnsi="Times New Roman" w:cs="Times New Roman"/>
          <w:szCs w:val="24"/>
        </w:rPr>
        <w:t xml:space="preserve">dostępu </w:t>
      </w:r>
      <w:r w:rsidRPr="00136F65">
        <w:rPr>
          <w:rFonts w:ascii="Times New Roman" w:hAnsi="Times New Roman" w:cs="Times New Roman"/>
          <w:szCs w:val="24"/>
        </w:rPr>
        <w:t>do tajemnicy bankowej i tajemnicy skarbowej na potrzeby prowadzonych postępowań.</w:t>
      </w:r>
      <w:r w:rsidR="003D7F50" w:rsidRPr="00136F65">
        <w:rPr>
          <w:rFonts w:ascii="Times New Roman" w:hAnsi="Times New Roman" w:cs="Times New Roman"/>
          <w:szCs w:val="24"/>
        </w:rPr>
        <w:t xml:space="preserve"> Odnośnie do dostępu do tajemnicy skarbowej projekt przewiduje nowelizację art. 298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401559" w:rsidRPr="00136F65">
        <w:rPr>
          <w:rFonts w:ascii="Times New Roman" w:hAnsi="Times New Roman" w:cs="Times New Roman"/>
          <w:szCs w:val="24"/>
        </w:rPr>
        <w:t>ustawy z dnia 29 sierpnia 1997 r. – Ordynacja podatkowa</w:t>
      </w:r>
      <w:r w:rsidR="00A12C2E" w:rsidRPr="00136F65">
        <w:rPr>
          <w:rFonts w:ascii="Times New Roman" w:hAnsi="Times New Roman" w:cs="Times New Roman"/>
          <w:szCs w:val="24"/>
        </w:rPr>
        <w:t xml:space="preserve"> przez dodanie </w:t>
      </w:r>
      <w:r w:rsidR="006A1CA5" w:rsidRPr="00136F65">
        <w:rPr>
          <w:rFonts w:ascii="Times New Roman" w:hAnsi="Times New Roman" w:cs="Times New Roman"/>
          <w:szCs w:val="24"/>
        </w:rPr>
        <w:t xml:space="preserve">w nim </w:t>
      </w:r>
      <w:r w:rsidR="00A12C2E" w:rsidRPr="00136F65">
        <w:rPr>
          <w:rFonts w:ascii="Times New Roman" w:hAnsi="Times New Roman" w:cs="Times New Roman"/>
          <w:szCs w:val="24"/>
        </w:rPr>
        <w:t>pkt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A12C2E" w:rsidRPr="00136F65">
        <w:rPr>
          <w:rFonts w:ascii="Times New Roman" w:hAnsi="Times New Roman" w:cs="Times New Roman"/>
          <w:szCs w:val="24"/>
        </w:rPr>
        <w:t>6f</w:t>
      </w:r>
      <w:r w:rsidR="003D7F50" w:rsidRPr="00136F65">
        <w:rPr>
          <w:rFonts w:ascii="Times New Roman" w:hAnsi="Times New Roman" w:cs="Times New Roman"/>
          <w:szCs w:val="24"/>
        </w:rPr>
        <w:t xml:space="preserve">, zgodnie z którym Prezes UOKiK otrzymałby dostęp do akt spraw skarbowych </w:t>
      </w:r>
      <w:r w:rsidR="00F02106" w:rsidRPr="00136F65">
        <w:rPr>
          <w:rFonts w:ascii="Times New Roman" w:hAnsi="Times New Roman" w:cs="Times New Roman"/>
          <w:szCs w:val="24"/>
        </w:rPr>
        <w:t>na potrzeby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F02106" w:rsidRPr="00136F65">
        <w:rPr>
          <w:rFonts w:ascii="Times New Roman" w:hAnsi="Times New Roman" w:cs="Times New Roman"/>
          <w:szCs w:val="24"/>
        </w:rPr>
        <w:t>toczącego się postępowania prowadzonego</w:t>
      </w:r>
      <w:r w:rsidR="003D7F50" w:rsidRPr="00136F65">
        <w:rPr>
          <w:rFonts w:ascii="Times New Roman" w:hAnsi="Times New Roman" w:cs="Times New Roman"/>
          <w:szCs w:val="24"/>
        </w:rPr>
        <w:t xml:space="preserve"> na podstawie przepisów ustawy o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3D7F50" w:rsidRPr="00136F65">
        <w:rPr>
          <w:rFonts w:ascii="Times New Roman" w:hAnsi="Times New Roman" w:cs="Times New Roman"/>
          <w:szCs w:val="24"/>
        </w:rPr>
        <w:t>ochronie konkurencji i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3D7F50" w:rsidRPr="00136F65">
        <w:rPr>
          <w:rFonts w:ascii="Times New Roman" w:hAnsi="Times New Roman" w:cs="Times New Roman"/>
          <w:szCs w:val="24"/>
        </w:rPr>
        <w:t xml:space="preserve">konsumentów </w:t>
      </w:r>
      <w:r w:rsidR="003D7F50" w:rsidRPr="00136F65">
        <w:rPr>
          <w:rFonts w:ascii="Times New Roman" w:hAnsi="Times New Roman" w:cs="Times New Roman"/>
          <w:szCs w:val="24"/>
        </w:rPr>
        <w:lastRenderedPageBreak/>
        <w:t>oraz przepisów ustawy o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3D7F50" w:rsidRPr="00136F65">
        <w:rPr>
          <w:rFonts w:ascii="Times New Roman" w:hAnsi="Times New Roman" w:cs="Times New Roman"/>
          <w:szCs w:val="24"/>
        </w:rPr>
        <w:t>przeciwdziałaniu nieuczciwemu wykorzystywaniu przewagi kontraktowej w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3D7F50" w:rsidRPr="00136F65">
        <w:rPr>
          <w:rFonts w:ascii="Times New Roman" w:hAnsi="Times New Roman" w:cs="Times New Roman"/>
          <w:szCs w:val="24"/>
        </w:rPr>
        <w:t>obrocie produktami rolnymi i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3D7F50" w:rsidRPr="00136F65">
        <w:rPr>
          <w:rFonts w:ascii="Times New Roman" w:hAnsi="Times New Roman" w:cs="Times New Roman"/>
          <w:szCs w:val="24"/>
        </w:rPr>
        <w:t xml:space="preserve">spożywczymi. Należy zauważyć, iż zgodnie z art. 298 pkt 6d </w:t>
      </w:r>
      <w:r w:rsidR="00401559" w:rsidRPr="00136F65">
        <w:rPr>
          <w:rFonts w:ascii="Times New Roman" w:hAnsi="Times New Roman" w:cs="Times New Roman"/>
          <w:szCs w:val="24"/>
        </w:rPr>
        <w:t>ustawy z</w:t>
      </w:r>
      <w:r w:rsidR="003F4D29">
        <w:rPr>
          <w:rFonts w:ascii="Times New Roman" w:hAnsi="Times New Roman" w:cs="Times New Roman"/>
          <w:szCs w:val="24"/>
        </w:rPr>
        <w:t xml:space="preserve"> </w:t>
      </w:r>
      <w:r w:rsidR="00401559" w:rsidRPr="00136F65">
        <w:rPr>
          <w:rFonts w:ascii="Times New Roman" w:hAnsi="Times New Roman" w:cs="Times New Roman"/>
          <w:szCs w:val="24"/>
        </w:rPr>
        <w:t>dnia 29 sierpnia 1997 r. – Ordynacja podatkowa</w:t>
      </w:r>
      <w:r w:rsidR="003D7F50" w:rsidRPr="00136F65">
        <w:rPr>
          <w:rFonts w:ascii="Times New Roman" w:hAnsi="Times New Roman" w:cs="Times New Roman"/>
          <w:szCs w:val="24"/>
        </w:rPr>
        <w:t xml:space="preserve"> takie uprawnienie przysługuje</w:t>
      </w:r>
      <w:r w:rsidR="003F4D29">
        <w:rPr>
          <w:rFonts w:ascii="Times New Roman" w:hAnsi="Times New Roman" w:cs="Times New Roman"/>
          <w:szCs w:val="24"/>
        </w:rPr>
        <w:t xml:space="preserve"> </w:t>
      </w:r>
      <w:r w:rsidR="003D7F50" w:rsidRPr="00136F65">
        <w:rPr>
          <w:rFonts w:ascii="Times New Roman" w:hAnsi="Times New Roman" w:cs="Times New Roman"/>
          <w:szCs w:val="24"/>
        </w:rPr>
        <w:t xml:space="preserve">Przewodniczącemu Komisji Nadzoru Finansowego. </w:t>
      </w:r>
      <w:r w:rsidR="00827950" w:rsidRPr="00136F65">
        <w:rPr>
          <w:rFonts w:ascii="Times New Roman" w:hAnsi="Times New Roman" w:cs="Times New Roman"/>
          <w:szCs w:val="24"/>
        </w:rPr>
        <w:t>Informacje objęte tajemnicą skarbową są niezbędne w toku prowadzonych przez Prezesa UOKiK postępowań</w:t>
      </w:r>
      <w:r w:rsidR="00EA74A8">
        <w:rPr>
          <w:rFonts w:ascii="Times New Roman" w:hAnsi="Times New Roman" w:cs="Times New Roman"/>
          <w:szCs w:val="24"/>
        </w:rPr>
        <w:t>,</w:t>
      </w:r>
      <w:r w:rsidR="00827950" w:rsidRPr="00136F65">
        <w:rPr>
          <w:rFonts w:ascii="Times New Roman" w:hAnsi="Times New Roman" w:cs="Times New Roman"/>
          <w:szCs w:val="24"/>
        </w:rPr>
        <w:t xml:space="preserve"> w szczególności w związku z</w:t>
      </w:r>
      <w:r w:rsidR="003D7F50" w:rsidRPr="00136F65">
        <w:rPr>
          <w:rFonts w:ascii="Times New Roman" w:hAnsi="Times New Roman" w:cs="Times New Roman"/>
          <w:szCs w:val="24"/>
        </w:rPr>
        <w:t xml:space="preserve"> </w:t>
      </w:r>
      <w:r w:rsidR="00827950" w:rsidRPr="00136F65">
        <w:rPr>
          <w:rFonts w:ascii="Times New Roman" w:hAnsi="Times New Roman" w:cs="Times New Roman"/>
          <w:szCs w:val="24"/>
        </w:rPr>
        <w:t xml:space="preserve">uprawnieniem Prezesa </w:t>
      </w:r>
      <w:r w:rsidR="00401559" w:rsidRPr="00136F65">
        <w:rPr>
          <w:rFonts w:ascii="Times New Roman" w:hAnsi="Times New Roman" w:cs="Times New Roman"/>
          <w:szCs w:val="24"/>
        </w:rPr>
        <w:t xml:space="preserve">UOKiK </w:t>
      </w:r>
      <w:r w:rsidR="00827950" w:rsidRPr="00136F65">
        <w:rPr>
          <w:rFonts w:ascii="Times New Roman" w:hAnsi="Times New Roman" w:cs="Times New Roman"/>
          <w:szCs w:val="24"/>
        </w:rPr>
        <w:t>do n</w:t>
      </w:r>
      <w:r w:rsidR="003D7F50" w:rsidRPr="00136F65">
        <w:rPr>
          <w:rFonts w:ascii="Times New Roman" w:hAnsi="Times New Roman" w:cs="Times New Roman"/>
          <w:szCs w:val="24"/>
        </w:rPr>
        <w:t>akładani</w:t>
      </w:r>
      <w:r w:rsidR="00827950" w:rsidRPr="00136F65">
        <w:rPr>
          <w:rFonts w:ascii="Times New Roman" w:hAnsi="Times New Roman" w:cs="Times New Roman"/>
          <w:szCs w:val="24"/>
        </w:rPr>
        <w:t>a</w:t>
      </w:r>
      <w:r w:rsidR="003D7F50" w:rsidRPr="00136F65">
        <w:rPr>
          <w:rFonts w:ascii="Times New Roman" w:hAnsi="Times New Roman" w:cs="Times New Roman"/>
          <w:szCs w:val="24"/>
        </w:rPr>
        <w:t xml:space="preserve"> kar pieniężnych, które stanowią dochód bud</w:t>
      </w:r>
      <w:r w:rsidR="00827950" w:rsidRPr="00136F65">
        <w:rPr>
          <w:rFonts w:ascii="Times New Roman" w:hAnsi="Times New Roman" w:cs="Times New Roman"/>
          <w:szCs w:val="24"/>
        </w:rPr>
        <w:t xml:space="preserve">żetu państwa. </w:t>
      </w:r>
      <w:r w:rsidR="003D7F50" w:rsidRPr="00136F65">
        <w:rPr>
          <w:rFonts w:ascii="Times New Roman" w:hAnsi="Times New Roman" w:cs="Times New Roman"/>
          <w:szCs w:val="24"/>
        </w:rPr>
        <w:t>Z</w:t>
      </w:r>
      <w:r w:rsidR="00827950" w:rsidRPr="00136F65">
        <w:rPr>
          <w:rFonts w:ascii="Times New Roman" w:hAnsi="Times New Roman" w:cs="Times New Roman"/>
          <w:szCs w:val="24"/>
        </w:rPr>
        <w:t>godnie z art. 106 ustawy o ochronie konkurencji i konsumentów</w:t>
      </w:r>
      <w:r w:rsidR="003D7F50" w:rsidRPr="00136F65">
        <w:rPr>
          <w:rFonts w:ascii="Times New Roman" w:hAnsi="Times New Roman" w:cs="Times New Roman"/>
          <w:szCs w:val="24"/>
        </w:rPr>
        <w:t>, Prezes UOKiK może nałożyć na przedsiębiorcę, w drodze decyzji, karę pieniężną w wysokości nie większej niż 10% obrotu osiągniętego w roku obrotowym poprzedzającym rok nałożenia kary, w przypadkach opisanych w tym przepisie. Obrót oblicza się na zasadach</w:t>
      </w:r>
      <w:r w:rsidR="007D5A70" w:rsidRPr="00136F65">
        <w:rPr>
          <w:rFonts w:ascii="Times New Roman" w:hAnsi="Times New Roman" w:cs="Times New Roman"/>
          <w:szCs w:val="24"/>
        </w:rPr>
        <w:t>,</w:t>
      </w:r>
      <w:r w:rsidR="003D7F50" w:rsidRPr="00136F65">
        <w:rPr>
          <w:rFonts w:ascii="Times New Roman" w:hAnsi="Times New Roman" w:cs="Times New Roman"/>
          <w:szCs w:val="24"/>
        </w:rPr>
        <w:t xml:space="preserve"> o który</w:t>
      </w:r>
      <w:r w:rsidR="00827950" w:rsidRPr="00136F65">
        <w:rPr>
          <w:rFonts w:ascii="Times New Roman" w:hAnsi="Times New Roman" w:cs="Times New Roman"/>
          <w:szCs w:val="24"/>
        </w:rPr>
        <w:t>ch mowa w art. 106 ust. 3 ww. ustawy</w:t>
      </w:r>
      <w:r w:rsidR="003D7F50" w:rsidRPr="00136F65">
        <w:rPr>
          <w:rFonts w:ascii="Times New Roman" w:hAnsi="Times New Roman" w:cs="Times New Roman"/>
          <w:szCs w:val="24"/>
        </w:rPr>
        <w:t>.</w:t>
      </w:r>
      <w:r w:rsidR="00827950" w:rsidRPr="00136F65">
        <w:rPr>
          <w:rFonts w:ascii="Times New Roman" w:hAnsi="Times New Roman" w:cs="Times New Roman"/>
          <w:szCs w:val="24"/>
        </w:rPr>
        <w:t xml:space="preserve"> </w:t>
      </w:r>
      <w:r w:rsidR="003D7F50" w:rsidRPr="00136F65">
        <w:rPr>
          <w:rFonts w:ascii="Times New Roman" w:hAnsi="Times New Roman" w:cs="Times New Roman"/>
          <w:szCs w:val="24"/>
        </w:rPr>
        <w:t>Zdarzają się sytuacje, gdy przedsiębiorca nie odbiera korespondencji, nie udziela odpowiedzi na żądanie Prezesa UOKiK o przekazanie wysokości obrotu za rok poprzedzający wydanie decyzji lub też zachodzi konieczność we</w:t>
      </w:r>
      <w:r w:rsidR="00932358" w:rsidRPr="00136F65">
        <w:rPr>
          <w:rFonts w:ascii="Times New Roman" w:hAnsi="Times New Roman" w:cs="Times New Roman"/>
          <w:szCs w:val="24"/>
        </w:rPr>
        <w:t>ryfikacji złożonych informacji np. w urzędzie skarbowym,</w:t>
      </w:r>
      <w:r w:rsidR="00827950" w:rsidRPr="00136F65">
        <w:rPr>
          <w:rFonts w:ascii="Times New Roman" w:hAnsi="Times New Roman" w:cs="Times New Roman"/>
          <w:szCs w:val="24"/>
        </w:rPr>
        <w:t xml:space="preserve"> przy czym często dane te są objęte tajemnicą skarbową. </w:t>
      </w:r>
      <w:r w:rsidR="009E52C3" w:rsidRPr="00136F65">
        <w:rPr>
          <w:rFonts w:ascii="Times New Roman" w:hAnsi="Times New Roman" w:cs="Times New Roman"/>
          <w:szCs w:val="24"/>
        </w:rPr>
        <w:t>Ponadto dane te mogą być pomocne w celu ustalenia</w:t>
      </w:r>
      <w:r w:rsidR="00C6621F">
        <w:rPr>
          <w:rFonts w:ascii="Times New Roman" w:hAnsi="Times New Roman" w:cs="Times New Roman"/>
          <w:szCs w:val="24"/>
        </w:rPr>
        <w:t>,</w:t>
      </w:r>
      <w:r w:rsidR="009E52C3" w:rsidRPr="00136F65">
        <w:rPr>
          <w:rFonts w:ascii="Times New Roman" w:hAnsi="Times New Roman" w:cs="Times New Roman"/>
          <w:szCs w:val="24"/>
        </w:rPr>
        <w:t xml:space="preserve"> czy przedsiębiorca prowadzi faktycznie działalność gospodarczą (przez uzyskanie informacji od administracji skarbowej</w:t>
      </w:r>
      <w:r w:rsidR="007D5A70" w:rsidRPr="00136F65">
        <w:rPr>
          <w:rFonts w:ascii="Times New Roman" w:hAnsi="Times New Roman" w:cs="Times New Roman"/>
          <w:szCs w:val="24"/>
        </w:rPr>
        <w:t xml:space="preserve"> w zakresie</w:t>
      </w:r>
      <w:r w:rsidR="009E52C3" w:rsidRPr="00136F65">
        <w:rPr>
          <w:rFonts w:ascii="Times New Roman" w:hAnsi="Times New Roman" w:cs="Times New Roman"/>
          <w:szCs w:val="24"/>
        </w:rPr>
        <w:t xml:space="preserve"> np. składanych deklaracji VAT lub innych cyklicznych zeznań/deklaracji podatkowych).</w:t>
      </w:r>
      <w:r w:rsidR="007D5A70" w:rsidRPr="00136F65">
        <w:rPr>
          <w:rFonts w:ascii="Times New Roman" w:hAnsi="Times New Roman" w:cs="Times New Roman"/>
          <w:szCs w:val="24"/>
        </w:rPr>
        <w:t xml:space="preserve"> Podobnie dane te mogą być pomocne</w:t>
      </w:r>
      <w:r w:rsidR="00932358" w:rsidRPr="00136F65">
        <w:rPr>
          <w:rFonts w:ascii="Times New Roman" w:hAnsi="Times New Roman" w:cs="Times New Roman"/>
          <w:szCs w:val="24"/>
        </w:rPr>
        <w:t xml:space="preserve"> w toku postępowań egzekucyjnych w celu ściągnięcia nałożonych kar np. w przypadku konieczności</w:t>
      </w:r>
      <w:r w:rsidR="003D7F50" w:rsidRPr="00136F65">
        <w:rPr>
          <w:rFonts w:ascii="Times New Roman" w:hAnsi="Times New Roman" w:cs="Times New Roman"/>
          <w:szCs w:val="24"/>
        </w:rPr>
        <w:t xml:space="preserve"> weryfikacji zasadności </w:t>
      </w:r>
      <w:r w:rsidR="0031467A" w:rsidRPr="00136F65">
        <w:rPr>
          <w:rFonts w:ascii="Times New Roman" w:hAnsi="Times New Roman" w:cs="Times New Roman"/>
          <w:szCs w:val="24"/>
        </w:rPr>
        <w:t xml:space="preserve">wydania </w:t>
      </w:r>
      <w:r w:rsidR="003D7F50" w:rsidRPr="00136F65">
        <w:rPr>
          <w:rFonts w:ascii="Times New Roman" w:hAnsi="Times New Roman" w:cs="Times New Roman"/>
          <w:szCs w:val="24"/>
        </w:rPr>
        <w:t xml:space="preserve">postanowienia </w:t>
      </w:r>
      <w:r w:rsidR="00932358" w:rsidRPr="00136F65">
        <w:rPr>
          <w:rFonts w:ascii="Times New Roman" w:hAnsi="Times New Roman" w:cs="Times New Roman"/>
          <w:szCs w:val="24"/>
        </w:rPr>
        <w:t>o umorzeniu egzekucji czy też</w:t>
      </w:r>
      <w:r w:rsidR="003D7F50" w:rsidRPr="00136F65">
        <w:rPr>
          <w:rFonts w:ascii="Times New Roman" w:hAnsi="Times New Roman" w:cs="Times New Roman"/>
          <w:szCs w:val="24"/>
        </w:rPr>
        <w:t xml:space="preserve"> rozważa</w:t>
      </w:r>
      <w:r w:rsidR="00A5106D" w:rsidRPr="00136F65">
        <w:rPr>
          <w:rFonts w:ascii="Times New Roman" w:hAnsi="Times New Roman" w:cs="Times New Roman"/>
          <w:szCs w:val="24"/>
        </w:rPr>
        <w:t>nia</w:t>
      </w:r>
      <w:r w:rsidR="003D7F50" w:rsidRPr="00136F65">
        <w:rPr>
          <w:rFonts w:ascii="Times New Roman" w:hAnsi="Times New Roman" w:cs="Times New Roman"/>
          <w:szCs w:val="24"/>
        </w:rPr>
        <w:t xml:space="preserve"> zasadnoś</w:t>
      </w:r>
      <w:r w:rsidR="00401559" w:rsidRPr="00136F65">
        <w:rPr>
          <w:rFonts w:ascii="Times New Roman" w:hAnsi="Times New Roman" w:cs="Times New Roman"/>
          <w:szCs w:val="24"/>
        </w:rPr>
        <w:t>ci</w:t>
      </w:r>
      <w:r w:rsidR="003D7F50" w:rsidRPr="00136F65">
        <w:rPr>
          <w:rFonts w:ascii="Times New Roman" w:hAnsi="Times New Roman" w:cs="Times New Roman"/>
          <w:szCs w:val="24"/>
        </w:rPr>
        <w:t xml:space="preserve"> p</w:t>
      </w:r>
      <w:r w:rsidR="00932358" w:rsidRPr="00136F65">
        <w:rPr>
          <w:rFonts w:ascii="Times New Roman" w:hAnsi="Times New Roman" w:cs="Times New Roman"/>
          <w:szCs w:val="24"/>
        </w:rPr>
        <w:t>odejmowania czynności egzekucyjnych</w:t>
      </w:r>
      <w:r w:rsidR="003D7F50" w:rsidRPr="00136F65">
        <w:rPr>
          <w:rFonts w:ascii="Times New Roman" w:hAnsi="Times New Roman" w:cs="Times New Roman"/>
          <w:szCs w:val="24"/>
        </w:rPr>
        <w:t xml:space="preserve"> w stosunku do członków zarządu </w:t>
      </w:r>
      <w:r w:rsidR="00932358" w:rsidRPr="00136F65">
        <w:rPr>
          <w:rFonts w:ascii="Times New Roman" w:hAnsi="Times New Roman" w:cs="Times New Roman"/>
          <w:szCs w:val="24"/>
        </w:rPr>
        <w:t>czy wspólników spółek osobowych, co jest z kolei uzależnione od</w:t>
      </w:r>
      <w:r w:rsidR="0031467A" w:rsidRPr="00136F65">
        <w:rPr>
          <w:rFonts w:ascii="Times New Roman" w:hAnsi="Times New Roman" w:cs="Times New Roman"/>
          <w:szCs w:val="24"/>
        </w:rPr>
        <w:t xml:space="preserve"> ustalenia m.in.</w:t>
      </w:r>
      <w:r w:rsidR="00C6621F">
        <w:rPr>
          <w:rFonts w:ascii="Times New Roman" w:hAnsi="Times New Roman" w:cs="Times New Roman"/>
          <w:szCs w:val="24"/>
        </w:rPr>
        <w:t>,</w:t>
      </w:r>
      <w:r w:rsidR="003D7F50" w:rsidRPr="00136F65">
        <w:rPr>
          <w:rFonts w:ascii="Times New Roman" w:hAnsi="Times New Roman" w:cs="Times New Roman"/>
          <w:szCs w:val="24"/>
        </w:rPr>
        <w:t xml:space="preserve"> czy takie osoby osiągają przychody, które dają prawdopodobieństwo wyegzekwowania kary</w:t>
      </w:r>
      <w:r w:rsidR="00A5106D" w:rsidRPr="00136F65">
        <w:rPr>
          <w:rFonts w:ascii="Times New Roman" w:hAnsi="Times New Roman" w:cs="Times New Roman"/>
          <w:szCs w:val="24"/>
        </w:rPr>
        <w:t>. Ponadto informacje objęte tajemnicą skarbową mogą być pomocne w przypadku prowadzenia przez Prezesa UOKiK postępowań dotyczących praktyk związanych z</w:t>
      </w:r>
      <w:r w:rsidR="003D7F50" w:rsidRPr="00136F65">
        <w:rPr>
          <w:rFonts w:ascii="Times New Roman" w:hAnsi="Times New Roman" w:cs="Times New Roman"/>
          <w:szCs w:val="24"/>
        </w:rPr>
        <w:t xml:space="preserve"> prowadzenie</w:t>
      </w:r>
      <w:r w:rsidR="00A5106D" w:rsidRPr="00136F65">
        <w:rPr>
          <w:rFonts w:ascii="Times New Roman" w:hAnsi="Times New Roman" w:cs="Times New Roman"/>
          <w:szCs w:val="24"/>
        </w:rPr>
        <w:t>m</w:t>
      </w:r>
      <w:r w:rsidR="003D7F50" w:rsidRPr="00136F65">
        <w:rPr>
          <w:rFonts w:ascii="Times New Roman" w:hAnsi="Times New Roman" w:cs="Times New Roman"/>
          <w:szCs w:val="24"/>
        </w:rPr>
        <w:t xml:space="preserve"> systemów promocyjnych typu piramida w rozumieniu art. 7 pkt 14 ustawy </w:t>
      </w:r>
      <w:r w:rsidR="00D03855">
        <w:rPr>
          <w:rFonts w:ascii="Times New Roman" w:hAnsi="Times New Roman" w:cs="Times New Roman"/>
          <w:szCs w:val="24"/>
        </w:rPr>
        <w:t xml:space="preserve">z dnia 23 sierpnia 2007 r. </w:t>
      </w:r>
      <w:r w:rsidR="003D7F50" w:rsidRPr="00136F65">
        <w:rPr>
          <w:rFonts w:ascii="Times New Roman" w:hAnsi="Times New Roman" w:cs="Times New Roman"/>
          <w:szCs w:val="24"/>
        </w:rPr>
        <w:t>o przeciwdziałaniu nieuczciwym praktykom rynkowym</w:t>
      </w:r>
      <w:r w:rsidR="00B6190B">
        <w:rPr>
          <w:rFonts w:ascii="Times New Roman" w:hAnsi="Times New Roman" w:cs="Times New Roman"/>
          <w:szCs w:val="24"/>
        </w:rPr>
        <w:t xml:space="preserve"> (Dz. U. z 2017 r. poz. 2070) </w:t>
      </w:r>
      <w:r w:rsidR="003D7F50" w:rsidRPr="00136F65">
        <w:rPr>
          <w:rFonts w:ascii="Times New Roman" w:hAnsi="Times New Roman" w:cs="Times New Roman"/>
          <w:szCs w:val="24"/>
        </w:rPr>
        <w:t>oraz pkt 14 załącznika I do dyrektywy 2005/29/WE</w:t>
      </w:r>
      <w:r w:rsidR="00D03855">
        <w:rPr>
          <w:rFonts w:ascii="Times New Roman" w:hAnsi="Times New Roman" w:cs="Times New Roman"/>
          <w:szCs w:val="24"/>
        </w:rPr>
        <w:t xml:space="preserve"> </w:t>
      </w:r>
      <w:r w:rsidR="00D03855" w:rsidRPr="00D03855">
        <w:rPr>
          <w:rFonts w:ascii="Times New Roman" w:hAnsi="Times New Roman" w:cs="Times New Roman"/>
          <w:szCs w:val="24"/>
        </w:rPr>
        <w:t xml:space="preserve">Parlamentu Europejskiego i Rady z dnia 11 maja 2005 r. dotyczącej nieuczciwych praktyk handlowych stosowanych przez przedsiębiorstwa wobec konsumentów na rynku wewnętrznym oraz zmieniającej dyrektywę Rady </w:t>
      </w:r>
      <w:hyperlink r:id="rId8" w:history="1">
        <w:r w:rsidR="00D03855" w:rsidRPr="00E4118A">
          <w:t>84/450/EWG</w:t>
        </w:r>
      </w:hyperlink>
      <w:r w:rsidR="00D03855" w:rsidRPr="00D03855">
        <w:rPr>
          <w:rFonts w:ascii="Times New Roman" w:hAnsi="Times New Roman" w:cs="Times New Roman"/>
          <w:szCs w:val="24"/>
        </w:rPr>
        <w:t xml:space="preserve">, dyrektywy </w:t>
      </w:r>
      <w:hyperlink r:id="rId9" w:history="1">
        <w:r w:rsidR="00D03855" w:rsidRPr="00E4118A">
          <w:t>97/7/WE</w:t>
        </w:r>
      </w:hyperlink>
      <w:r w:rsidR="00D03855" w:rsidRPr="00D03855">
        <w:rPr>
          <w:rFonts w:ascii="Times New Roman" w:hAnsi="Times New Roman" w:cs="Times New Roman"/>
          <w:szCs w:val="24"/>
        </w:rPr>
        <w:t xml:space="preserve">, </w:t>
      </w:r>
      <w:hyperlink r:id="rId10" w:history="1">
        <w:r w:rsidR="00D03855" w:rsidRPr="00E4118A">
          <w:t>98/27/WE</w:t>
        </w:r>
      </w:hyperlink>
      <w:r w:rsidR="00D03855" w:rsidRPr="00D03855">
        <w:rPr>
          <w:rFonts w:ascii="Times New Roman" w:hAnsi="Times New Roman" w:cs="Times New Roman"/>
          <w:szCs w:val="24"/>
        </w:rPr>
        <w:t xml:space="preserve">, </w:t>
      </w:r>
      <w:hyperlink r:id="rId11" w:history="1">
        <w:r w:rsidR="00D03855" w:rsidRPr="00E4118A">
          <w:t>2002/65/WE</w:t>
        </w:r>
      </w:hyperlink>
      <w:r w:rsidR="00D03855" w:rsidRPr="00D03855">
        <w:rPr>
          <w:rFonts w:ascii="Times New Roman" w:hAnsi="Times New Roman" w:cs="Times New Roman"/>
          <w:szCs w:val="24"/>
        </w:rPr>
        <w:t xml:space="preserve"> Parlamentu Europejskiego i </w:t>
      </w:r>
      <w:r w:rsidR="00D03855" w:rsidRPr="00D03855">
        <w:rPr>
          <w:rFonts w:ascii="Times New Roman" w:hAnsi="Times New Roman" w:cs="Times New Roman"/>
          <w:szCs w:val="24"/>
        </w:rPr>
        <w:lastRenderedPageBreak/>
        <w:t>Rady oraz rozporządzenie (WE) nr 2006/2004 Parlamentu Europejskiego i Rady („Dyrektywa o nieuczciwych praktykach handlowych”) (Dz.</w:t>
      </w:r>
      <w:r w:rsidR="00587AA6">
        <w:rPr>
          <w:rFonts w:ascii="Times New Roman" w:hAnsi="Times New Roman" w:cs="Times New Roman"/>
          <w:szCs w:val="24"/>
        </w:rPr>
        <w:t xml:space="preserve"> </w:t>
      </w:r>
      <w:r w:rsidR="00D03855" w:rsidRPr="00D03855">
        <w:rPr>
          <w:rFonts w:ascii="Times New Roman" w:hAnsi="Times New Roman" w:cs="Times New Roman"/>
          <w:szCs w:val="24"/>
        </w:rPr>
        <w:t xml:space="preserve">Urz. UE L 149 z 11.06.2005, </w:t>
      </w:r>
      <w:hyperlink r:id="rId12" w:history="1">
        <w:r w:rsidR="00D03855" w:rsidRPr="00E4118A">
          <w:t>str. 22</w:t>
        </w:r>
      </w:hyperlink>
      <w:r w:rsidR="00D03855" w:rsidRPr="00D03855">
        <w:rPr>
          <w:rFonts w:ascii="Times New Roman" w:hAnsi="Times New Roman" w:cs="Times New Roman"/>
          <w:szCs w:val="24"/>
        </w:rPr>
        <w:t>).</w:t>
      </w:r>
      <w:r w:rsidR="00587AA6">
        <w:rPr>
          <w:rFonts w:ascii="Times New Roman" w:hAnsi="Times New Roman" w:cs="Times New Roman"/>
          <w:szCs w:val="24"/>
        </w:rPr>
        <w:t xml:space="preserve"> </w:t>
      </w:r>
      <w:r w:rsidR="00D03855">
        <w:rPr>
          <w:rFonts w:ascii="Times New Roman" w:hAnsi="Times New Roman" w:cs="Times New Roman"/>
          <w:szCs w:val="24"/>
        </w:rPr>
        <w:t xml:space="preserve">W takim przypadku </w:t>
      </w:r>
      <w:r w:rsidR="003D7F50" w:rsidRPr="00136F65">
        <w:rPr>
          <w:rFonts w:ascii="Times New Roman" w:hAnsi="Times New Roman" w:cs="Times New Roman"/>
          <w:szCs w:val="24"/>
        </w:rPr>
        <w:t xml:space="preserve">niezbędne do stwierdzenia tego naruszenia jest wykazanie, że konsument wykonuje świadczenie w zamian za możliwość otrzymania wynagrodzenia, które jest uzależnione przede wszystkim od wprowadzenia innych konsumentów do systemu, a nie od sprzedaży lub konsumpcji produktów. Dokumenty uzyskane od organów podatkowych </w:t>
      </w:r>
      <w:r w:rsidR="00A5106D" w:rsidRPr="00136F65">
        <w:rPr>
          <w:rFonts w:ascii="Times New Roman" w:hAnsi="Times New Roman" w:cs="Times New Roman"/>
          <w:szCs w:val="24"/>
        </w:rPr>
        <w:t>mogą pozwolić Prezesowi</w:t>
      </w:r>
      <w:r w:rsidR="003D7F50" w:rsidRPr="00136F65">
        <w:rPr>
          <w:rFonts w:ascii="Times New Roman" w:hAnsi="Times New Roman" w:cs="Times New Roman"/>
          <w:szCs w:val="24"/>
        </w:rPr>
        <w:t xml:space="preserve"> </w:t>
      </w:r>
      <w:r w:rsidR="00401559" w:rsidRPr="00136F65">
        <w:rPr>
          <w:rFonts w:ascii="Times New Roman" w:hAnsi="Times New Roman" w:cs="Times New Roman"/>
          <w:szCs w:val="24"/>
        </w:rPr>
        <w:t xml:space="preserve">UOKiK </w:t>
      </w:r>
      <w:r w:rsidR="003D7F50" w:rsidRPr="00136F65">
        <w:rPr>
          <w:rFonts w:ascii="Times New Roman" w:hAnsi="Times New Roman" w:cs="Times New Roman"/>
          <w:szCs w:val="24"/>
        </w:rPr>
        <w:t>ustalić, czy finansowanie wynagrodzenia, jakie konsument może otrzymać, jest uzależnione „przede wszystkim” lub „głównie” od świadczeń wpłaconych następnie przez nowych uczestników systemu.</w:t>
      </w:r>
      <w:r w:rsidR="00A5106D" w:rsidRPr="00136F65">
        <w:rPr>
          <w:rFonts w:ascii="Times New Roman" w:hAnsi="Times New Roman" w:cs="Times New Roman"/>
          <w:szCs w:val="24"/>
        </w:rPr>
        <w:t xml:space="preserve"> Innym przypadkiem są postępowania antymonopolowe w sprawie zmów przetargowych, </w:t>
      </w:r>
      <w:r w:rsidR="00587AA6">
        <w:rPr>
          <w:rFonts w:ascii="Times New Roman" w:hAnsi="Times New Roman" w:cs="Times New Roman"/>
          <w:szCs w:val="24"/>
        </w:rPr>
        <w:t xml:space="preserve">w których </w:t>
      </w:r>
      <w:r w:rsidR="00A5106D" w:rsidRPr="00136F65">
        <w:rPr>
          <w:rFonts w:ascii="Times New Roman" w:hAnsi="Times New Roman" w:cs="Times New Roman"/>
          <w:szCs w:val="24"/>
        </w:rPr>
        <w:t>informa</w:t>
      </w:r>
      <w:r w:rsidR="0031467A" w:rsidRPr="00136F65">
        <w:rPr>
          <w:rFonts w:ascii="Times New Roman" w:hAnsi="Times New Roman" w:cs="Times New Roman"/>
          <w:szCs w:val="24"/>
        </w:rPr>
        <w:t>cje objęte tajemnicą skarbową są</w:t>
      </w:r>
      <w:r w:rsidR="00A5106D" w:rsidRPr="00136F65">
        <w:rPr>
          <w:rFonts w:ascii="Times New Roman" w:hAnsi="Times New Roman" w:cs="Times New Roman"/>
          <w:szCs w:val="24"/>
        </w:rPr>
        <w:t xml:space="preserve"> konieczne w celu </w:t>
      </w:r>
      <w:r w:rsidR="003D7F50" w:rsidRPr="00136F65">
        <w:rPr>
          <w:rFonts w:ascii="Times New Roman" w:hAnsi="Times New Roman" w:cs="Times New Roman"/>
          <w:szCs w:val="24"/>
        </w:rPr>
        <w:t>weryfikacji przekazanych przez przedsiębiorców informacji w zakresie współpracy</w:t>
      </w:r>
      <w:r w:rsidR="00C6621F">
        <w:rPr>
          <w:rFonts w:ascii="Times New Roman" w:hAnsi="Times New Roman" w:cs="Times New Roman"/>
          <w:szCs w:val="24"/>
        </w:rPr>
        <w:t xml:space="preserve"> </w:t>
      </w:r>
      <w:r w:rsidR="003D7F50" w:rsidRPr="00136F65">
        <w:rPr>
          <w:rFonts w:ascii="Times New Roman" w:hAnsi="Times New Roman" w:cs="Times New Roman"/>
          <w:szCs w:val="24"/>
        </w:rPr>
        <w:t>lub braku współpracy z innymi przedsiębiorcami lub na okoliczność realizacji danych przedsięwzięć.</w:t>
      </w:r>
    </w:p>
    <w:p w14:paraId="1EB14312" w14:textId="370D681F" w:rsidR="003D7F50" w:rsidRPr="00136F65" w:rsidRDefault="009E52C3" w:rsidP="00A124A8">
      <w:pPr>
        <w:pStyle w:val="ARTartustawynprozporzdzenia"/>
        <w:keepNext/>
        <w:spacing w:before="0"/>
        <w:ind w:firstLine="0"/>
        <w:rPr>
          <w:rFonts w:ascii="Times New Roman" w:hAnsi="Times New Roman" w:cs="Times New Roman"/>
          <w:szCs w:val="24"/>
        </w:rPr>
      </w:pPr>
      <w:r w:rsidRPr="00136F65">
        <w:rPr>
          <w:rFonts w:ascii="Times New Roman" w:hAnsi="Times New Roman" w:cs="Times New Roman"/>
          <w:szCs w:val="24"/>
        </w:rPr>
        <w:t>Jeżeli chodzi o dostęp do tajemnicy skarbowej oraz tajemnicy bankowej na potrzeby prowadzonych przez Prezesa UOKiK postępowań na podstawie przepisów ustawy o przeciwdziałaniu nieuczciwemu wykorzystywaniu przewagi kontraktowej w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Pr="00136F65">
        <w:rPr>
          <w:rFonts w:ascii="Times New Roman" w:hAnsi="Times New Roman" w:cs="Times New Roman"/>
          <w:szCs w:val="24"/>
        </w:rPr>
        <w:t>obrocie produktami rolnymi i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Pr="00136F65">
        <w:rPr>
          <w:rFonts w:ascii="Times New Roman" w:hAnsi="Times New Roman" w:cs="Times New Roman"/>
          <w:szCs w:val="24"/>
        </w:rPr>
        <w:t>spożywczymi</w:t>
      </w:r>
      <w:r w:rsidR="00BD54DF" w:rsidRPr="00136F65">
        <w:rPr>
          <w:rFonts w:ascii="Times New Roman" w:hAnsi="Times New Roman" w:cs="Times New Roman"/>
          <w:szCs w:val="24"/>
        </w:rPr>
        <w:t>,</w:t>
      </w:r>
      <w:r w:rsidRPr="00136F65">
        <w:rPr>
          <w:rFonts w:ascii="Times New Roman" w:hAnsi="Times New Roman" w:cs="Times New Roman"/>
          <w:szCs w:val="24"/>
        </w:rPr>
        <w:t xml:space="preserve"> </w:t>
      </w:r>
      <w:r w:rsidR="003D7F50" w:rsidRPr="00136F65">
        <w:rPr>
          <w:rFonts w:ascii="Times New Roman" w:hAnsi="Times New Roman" w:cs="Times New Roman"/>
          <w:szCs w:val="24"/>
        </w:rPr>
        <w:t>której celem jest eliminowanie nieuczciwych praktyk handlowych w łańcuchu dostaw żywności</w:t>
      </w:r>
      <w:r w:rsidRPr="00136F65">
        <w:rPr>
          <w:rFonts w:ascii="Times New Roman" w:hAnsi="Times New Roman" w:cs="Times New Roman"/>
          <w:szCs w:val="24"/>
        </w:rPr>
        <w:t xml:space="preserve">, jest on konieczny </w:t>
      </w:r>
      <w:r w:rsidR="009606D3" w:rsidRPr="00136F65">
        <w:rPr>
          <w:rFonts w:ascii="Times New Roman" w:hAnsi="Times New Roman" w:cs="Times New Roman"/>
          <w:szCs w:val="24"/>
        </w:rPr>
        <w:t xml:space="preserve">m.in. </w:t>
      </w:r>
      <w:r w:rsidRPr="00136F65">
        <w:rPr>
          <w:rFonts w:ascii="Times New Roman" w:hAnsi="Times New Roman" w:cs="Times New Roman"/>
          <w:szCs w:val="24"/>
        </w:rPr>
        <w:t xml:space="preserve">ze względu na umożliwienie Prezesowi UOKiK ustalenia w toku tych postępowań </w:t>
      </w:r>
      <w:r w:rsidR="003D7F50" w:rsidRPr="00136F65">
        <w:rPr>
          <w:rFonts w:ascii="Times New Roman" w:hAnsi="Times New Roman" w:cs="Times New Roman"/>
          <w:szCs w:val="24"/>
        </w:rPr>
        <w:t>faktu niezależności działania pośrednika w obrocie</w:t>
      </w:r>
      <w:r w:rsidRPr="00136F65">
        <w:rPr>
          <w:rFonts w:ascii="Times New Roman" w:hAnsi="Times New Roman" w:cs="Times New Roman"/>
          <w:szCs w:val="24"/>
        </w:rPr>
        <w:t>, jak również występowania</w:t>
      </w:r>
      <w:r w:rsidR="003D7F50" w:rsidRPr="00136F65">
        <w:rPr>
          <w:rFonts w:ascii="Times New Roman" w:hAnsi="Times New Roman" w:cs="Times New Roman"/>
          <w:szCs w:val="24"/>
        </w:rPr>
        <w:t xml:space="preserve"> samego stosunku przewagi kontraktowej jednego podmiotu nad drugim na podstawie analizy danych finansowych.</w:t>
      </w:r>
      <w:r w:rsidR="003A4577" w:rsidRPr="00136F65">
        <w:rPr>
          <w:rFonts w:ascii="Times New Roman" w:hAnsi="Times New Roman" w:cs="Times New Roman"/>
          <w:szCs w:val="24"/>
        </w:rPr>
        <w:t xml:space="preserve"> Ponadto należy wskazać, iż Prezes UOKiK w lipcu 2018 r. podjął współpracę z Ministerstwem Finansów w zakresie monitorowania rynków rolnych </w:t>
      </w:r>
      <w:r w:rsidR="00886058">
        <w:rPr>
          <w:rFonts w:ascii="Times New Roman" w:hAnsi="Times New Roman" w:cs="Times New Roman"/>
          <w:szCs w:val="24"/>
        </w:rPr>
        <w:t>–</w:t>
      </w:r>
      <w:r w:rsidR="003A4577" w:rsidRPr="00136F65">
        <w:rPr>
          <w:rFonts w:ascii="Times New Roman" w:hAnsi="Times New Roman" w:cs="Times New Roman"/>
          <w:szCs w:val="24"/>
        </w:rPr>
        <w:t xml:space="preserve"> w szczególności obrotu owocami oraz wieprzowiną (w związku z występowaniem ASF). </w:t>
      </w:r>
      <w:r w:rsidR="003D7F50" w:rsidRPr="00136F65">
        <w:rPr>
          <w:rFonts w:ascii="Times New Roman" w:hAnsi="Times New Roman" w:cs="Times New Roman"/>
          <w:szCs w:val="24"/>
        </w:rPr>
        <w:t>W toku dotychczasowych prac grupy roboczej UOKiK-MF pojawiła się wątpl</w:t>
      </w:r>
      <w:r w:rsidR="003A4577" w:rsidRPr="00136F65">
        <w:rPr>
          <w:rFonts w:ascii="Times New Roman" w:hAnsi="Times New Roman" w:cs="Times New Roman"/>
          <w:szCs w:val="24"/>
        </w:rPr>
        <w:t>iwość, czy przepis art. 72 ustawy o ochronie konkurencji i konsumentów</w:t>
      </w:r>
      <w:r w:rsidR="003D7F50" w:rsidRPr="00136F65">
        <w:rPr>
          <w:rFonts w:ascii="Times New Roman" w:hAnsi="Times New Roman" w:cs="Times New Roman"/>
          <w:szCs w:val="24"/>
        </w:rPr>
        <w:t xml:space="preserve"> </w:t>
      </w:r>
      <w:r w:rsidR="003A4577" w:rsidRPr="00136F65">
        <w:rPr>
          <w:rFonts w:ascii="Times New Roman" w:hAnsi="Times New Roman" w:cs="Times New Roman"/>
          <w:szCs w:val="24"/>
        </w:rPr>
        <w:t>(w związku z art. 15 ustawy o prze</w:t>
      </w:r>
      <w:r w:rsidR="00B262C5">
        <w:rPr>
          <w:rFonts w:ascii="Times New Roman" w:hAnsi="Times New Roman" w:cs="Times New Roman"/>
          <w:szCs w:val="24"/>
        </w:rPr>
        <w:t>ciwdziałaniu nieuczciwemu wykorzystywaniu przewagi kontraktowej w obrocie produktami rolny</w:t>
      </w:r>
      <w:r w:rsidR="006803C2">
        <w:rPr>
          <w:rFonts w:ascii="Times New Roman" w:hAnsi="Times New Roman" w:cs="Times New Roman"/>
          <w:szCs w:val="24"/>
        </w:rPr>
        <w:t>mi</w:t>
      </w:r>
      <w:r w:rsidR="00B262C5">
        <w:rPr>
          <w:rFonts w:ascii="Times New Roman" w:hAnsi="Times New Roman" w:cs="Times New Roman"/>
          <w:szCs w:val="24"/>
        </w:rPr>
        <w:t xml:space="preserve"> lub spożywczymi</w:t>
      </w:r>
      <w:r w:rsidR="003A4577" w:rsidRPr="00136F65">
        <w:rPr>
          <w:rFonts w:ascii="Times New Roman" w:hAnsi="Times New Roman" w:cs="Times New Roman"/>
          <w:szCs w:val="24"/>
        </w:rPr>
        <w:t xml:space="preserve">) </w:t>
      </w:r>
      <w:r w:rsidR="003D7F50" w:rsidRPr="00136F65">
        <w:rPr>
          <w:rFonts w:ascii="Times New Roman" w:hAnsi="Times New Roman" w:cs="Times New Roman"/>
          <w:szCs w:val="24"/>
        </w:rPr>
        <w:t>jest wystarczającą podstawą do przekazywania danych przez administrację skarbową</w:t>
      </w:r>
      <w:r w:rsidR="003A4577" w:rsidRPr="00136F65">
        <w:rPr>
          <w:rFonts w:ascii="Times New Roman" w:hAnsi="Times New Roman" w:cs="Times New Roman"/>
          <w:szCs w:val="24"/>
        </w:rPr>
        <w:t>,</w:t>
      </w:r>
      <w:r w:rsidR="003D7F50" w:rsidRPr="00136F65">
        <w:rPr>
          <w:rFonts w:ascii="Times New Roman" w:hAnsi="Times New Roman" w:cs="Times New Roman"/>
          <w:szCs w:val="24"/>
        </w:rPr>
        <w:t xml:space="preserve"> wobec braku wyraźnego zwolnienia z obowiązku zachowania tajemnicy skarbowej. </w:t>
      </w:r>
      <w:r w:rsidR="003A4577" w:rsidRPr="00136F65">
        <w:rPr>
          <w:rFonts w:ascii="Times New Roman" w:hAnsi="Times New Roman" w:cs="Times New Roman"/>
          <w:szCs w:val="24"/>
        </w:rPr>
        <w:t>Z kolei, odnośnie do tajemnicy bankowej</w:t>
      </w:r>
      <w:r w:rsidR="00C6621F">
        <w:rPr>
          <w:rFonts w:ascii="Times New Roman" w:hAnsi="Times New Roman" w:cs="Times New Roman"/>
          <w:szCs w:val="24"/>
        </w:rPr>
        <w:t>,</w:t>
      </w:r>
      <w:r w:rsidR="003A4577" w:rsidRPr="00136F65">
        <w:rPr>
          <w:rFonts w:ascii="Times New Roman" w:hAnsi="Times New Roman" w:cs="Times New Roman"/>
          <w:szCs w:val="24"/>
        </w:rPr>
        <w:t xml:space="preserve"> należy zauważyć, iż</w:t>
      </w:r>
      <w:r w:rsidR="003D7F50" w:rsidRPr="00136F65">
        <w:rPr>
          <w:rFonts w:ascii="Times New Roman" w:hAnsi="Times New Roman" w:cs="Times New Roman"/>
          <w:szCs w:val="24"/>
        </w:rPr>
        <w:t xml:space="preserve"> ustawa </w:t>
      </w:r>
      <w:r w:rsidR="00587AA6">
        <w:rPr>
          <w:rFonts w:ascii="Times New Roman" w:hAnsi="Times New Roman" w:cs="Times New Roman"/>
          <w:szCs w:val="24"/>
        </w:rPr>
        <w:t xml:space="preserve">z dnia 29 sierpnia 1997 r. </w:t>
      </w:r>
      <w:r w:rsidR="00886058">
        <w:rPr>
          <w:rFonts w:ascii="Times New Roman" w:hAnsi="Times New Roman" w:cs="Times New Roman"/>
          <w:szCs w:val="24"/>
        </w:rPr>
        <w:t>–</w:t>
      </w:r>
      <w:r w:rsidR="003D7F50" w:rsidRPr="00136F65">
        <w:rPr>
          <w:rFonts w:ascii="Times New Roman" w:hAnsi="Times New Roman" w:cs="Times New Roman"/>
          <w:szCs w:val="24"/>
        </w:rPr>
        <w:t xml:space="preserve"> Prawo bankowe </w:t>
      </w:r>
      <w:r w:rsidR="00C6621F">
        <w:rPr>
          <w:rFonts w:ascii="Times New Roman" w:hAnsi="Times New Roman" w:cs="Times New Roman"/>
          <w:szCs w:val="24"/>
        </w:rPr>
        <w:t>(Dz. U. z 2018 r. poz. </w:t>
      </w:r>
      <w:r w:rsidR="00587AA6">
        <w:rPr>
          <w:rFonts w:ascii="Times New Roman" w:hAnsi="Times New Roman" w:cs="Times New Roman"/>
          <w:szCs w:val="24"/>
        </w:rPr>
        <w:t xml:space="preserve">2187, z późn. zm.) </w:t>
      </w:r>
      <w:r w:rsidR="003D7F50" w:rsidRPr="00136F65">
        <w:rPr>
          <w:rFonts w:ascii="Times New Roman" w:hAnsi="Times New Roman" w:cs="Times New Roman"/>
          <w:szCs w:val="24"/>
        </w:rPr>
        <w:t>w art. 105 ust. 1 pkt 2 lit</w:t>
      </w:r>
      <w:r w:rsidR="006A45FA">
        <w:rPr>
          <w:rFonts w:ascii="Times New Roman" w:hAnsi="Times New Roman" w:cs="Times New Roman"/>
          <w:szCs w:val="24"/>
        </w:rPr>
        <w:t>.</w:t>
      </w:r>
      <w:r w:rsidR="003D7F50" w:rsidRPr="00136F65">
        <w:rPr>
          <w:rFonts w:ascii="Times New Roman" w:hAnsi="Times New Roman" w:cs="Times New Roman"/>
          <w:szCs w:val="24"/>
        </w:rPr>
        <w:t xml:space="preserve"> r</w:t>
      </w:r>
      <w:r w:rsidR="003A4577" w:rsidRPr="00136F65">
        <w:rPr>
          <w:rFonts w:ascii="Times New Roman" w:hAnsi="Times New Roman" w:cs="Times New Roman"/>
          <w:szCs w:val="24"/>
        </w:rPr>
        <w:t xml:space="preserve"> już obecnie</w:t>
      </w:r>
      <w:r w:rsidR="003D7F50" w:rsidRPr="00136F65">
        <w:rPr>
          <w:rFonts w:ascii="Times New Roman" w:hAnsi="Times New Roman" w:cs="Times New Roman"/>
          <w:szCs w:val="24"/>
        </w:rPr>
        <w:t xml:space="preserve"> zobowiązuje bank</w:t>
      </w:r>
      <w:r w:rsidR="003A4577" w:rsidRPr="00136F65">
        <w:rPr>
          <w:rFonts w:ascii="Times New Roman" w:hAnsi="Times New Roman" w:cs="Times New Roman"/>
          <w:szCs w:val="24"/>
        </w:rPr>
        <w:t>i</w:t>
      </w:r>
      <w:r w:rsidR="003D7F50" w:rsidRPr="00136F65">
        <w:rPr>
          <w:rFonts w:ascii="Times New Roman" w:hAnsi="Times New Roman" w:cs="Times New Roman"/>
          <w:szCs w:val="24"/>
        </w:rPr>
        <w:t xml:space="preserve"> do </w:t>
      </w:r>
      <w:r w:rsidR="003D7F50" w:rsidRPr="00136F65">
        <w:rPr>
          <w:rFonts w:ascii="Times New Roman" w:hAnsi="Times New Roman" w:cs="Times New Roman"/>
          <w:szCs w:val="24"/>
        </w:rPr>
        <w:lastRenderedPageBreak/>
        <w:t>udzielenia informacji stanowiących tajemnicę bankową na żądanie Prezesa UOKiK, jednakże tylko w związku z postępowaniami</w:t>
      </w:r>
      <w:r w:rsidR="003A4577" w:rsidRPr="00136F65">
        <w:rPr>
          <w:rFonts w:ascii="Times New Roman" w:hAnsi="Times New Roman" w:cs="Times New Roman"/>
          <w:szCs w:val="24"/>
        </w:rPr>
        <w:t xml:space="preserve"> prowadzonymi na podstawie ustawy o ochronie konkurencji i konsumentów </w:t>
      </w:r>
      <w:r w:rsidR="003D7F50" w:rsidRPr="00136F65">
        <w:rPr>
          <w:rFonts w:ascii="Times New Roman" w:hAnsi="Times New Roman" w:cs="Times New Roman"/>
          <w:szCs w:val="24"/>
        </w:rPr>
        <w:t xml:space="preserve">oraz w zakresie określonym ustawą </w:t>
      </w:r>
      <w:r w:rsidR="005307B7">
        <w:rPr>
          <w:rFonts w:ascii="Times New Roman" w:hAnsi="Times New Roman" w:cs="Times New Roman"/>
          <w:szCs w:val="24"/>
        </w:rPr>
        <w:t>z dnia 30 </w:t>
      </w:r>
      <w:r w:rsidR="00401559" w:rsidRPr="00136F65">
        <w:rPr>
          <w:rFonts w:ascii="Times New Roman" w:hAnsi="Times New Roman" w:cs="Times New Roman"/>
          <w:szCs w:val="24"/>
        </w:rPr>
        <w:t xml:space="preserve">kwietnia 2004 r. </w:t>
      </w:r>
      <w:r w:rsidR="003D7F50" w:rsidRPr="00136F65">
        <w:rPr>
          <w:rFonts w:ascii="Times New Roman" w:hAnsi="Times New Roman" w:cs="Times New Roman"/>
          <w:szCs w:val="24"/>
        </w:rPr>
        <w:t>o postępowaniu w sprawach dotyczących pomocy publicznej</w:t>
      </w:r>
      <w:r w:rsidR="00401559" w:rsidRPr="00136F65">
        <w:rPr>
          <w:rFonts w:ascii="Times New Roman" w:hAnsi="Times New Roman" w:cs="Times New Roman"/>
          <w:szCs w:val="24"/>
        </w:rPr>
        <w:t xml:space="preserve"> (Dz. U. z 2018 r. poz. 362</w:t>
      </w:r>
      <w:r w:rsidR="00E65FC7">
        <w:rPr>
          <w:rFonts w:ascii="Times New Roman" w:hAnsi="Times New Roman" w:cs="Times New Roman"/>
          <w:szCs w:val="24"/>
        </w:rPr>
        <w:t>, z późn. zm.</w:t>
      </w:r>
      <w:r w:rsidR="00401559" w:rsidRPr="00136F65">
        <w:rPr>
          <w:rFonts w:ascii="Times New Roman" w:hAnsi="Times New Roman" w:cs="Times New Roman"/>
          <w:szCs w:val="24"/>
        </w:rPr>
        <w:t>)</w:t>
      </w:r>
      <w:r w:rsidR="003D7F50" w:rsidRPr="00136F65">
        <w:rPr>
          <w:rFonts w:ascii="Times New Roman" w:hAnsi="Times New Roman" w:cs="Times New Roman"/>
          <w:szCs w:val="24"/>
        </w:rPr>
        <w:t xml:space="preserve">. </w:t>
      </w:r>
      <w:r w:rsidR="005F60DB">
        <w:rPr>
          <w:rFonts w:ascii="Times New Roman" w:hAnsi="Times New Roman" w:cs="Times New Roman"/>
          <w:szCs w:val="24"/>
        </w:rPr>
        <w:t>W</w:t>
      </w:r>
      <w:r w:rsidR="003D7F50" w:rsidRPr="00136F65">
        <w:rPr>
          <w:rFonts w:ascii="Times New Roman" w:hAnsi="Times New Roman" w:cs="Times New Roman"/>
          <w:szCs w:val="24"/>
        </w:rPr>
        <w:t>w.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3D7F50" w:rsidRPr="00136F65">
        <w:rPr>
          <w:rFonts w:ascii="Times New Roman" w:hAnsi="Times New Roman" w:cs="Times New Roman"/>
          <w:szCs w:val="24"/>
        </w:rPr>
        <w:t>przepis pomija więc nowy rodzaj spraw powierzonych Prezesowi UOKiK do prowadzenia począwszy od 12 lipca 2017 r.</w:t>
      </w:r>
      <w:r w:rsidR="00DC6803" w:rsidRPr="00136F65">
        <w:rPr>
          <w:rFonts w:ascii="Times New Roman" w:hAnsi="Times New Roman" w:cs="Times New Roman"/>
          <w:szCs w:val="24"/>
        </w:rPr>
        <w:t>, tj.</w:t>
      </w:r>
      <w:r w:rsidR="003D7F50" w:rsidRPr="00136F65">
        <w:rPr>
          <w:rFonts w:ascii="Times New Roman" w:hAnsi="Times New Roman" w:cs="Times New Roman"/>
          <w:szCs w:val="24"/>
        </w:rPr>
        <w:t xml:space="preserve"> postępowania w sprawie nieuczciwego wykorzystywania przewagi kontraktowej.</w:t>
      </w:r>
    </w:p>
    <w:p w14:paraId="77C9C878" w14:textId="00C2A6F8" w:rsidR="00490DB3" w:rsidRDefault="00A0759D" w:rsidP="007A1DC1">
      <w:p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A124A8">
        <w:rPr>
          <w:rFonts w:ascii="Times New Roman" w:hAnsi="Times New Roman" w:cs="Times New Roman"/>
          <w:b/>
          <w:sz w:val="24"/>
          <w:szCs w:val="24"/>
        </w:rPr>
        <w:tab/>
      </w:r>
      <w:r w:rsidR="00490DB3">
        <w:rPr>
          <w:rFonts w:ascii="Times New Roman" w:hAnsi="Times New Roman" w:cs="Times New Roman"/>
          <w:b/>
          <w:sz w:val="24"/>
          <w:szCs w:val="24"/>
        </w:rPr>
        <w:t>Z</w:t>
      </w:r>
      <w:r w:rsidR="00AC1495" w:rsidRPr="00F62784">
        <w:rPr>
          <w:rFonts w:ascii="Times New Roman" w:hAnsi="Times New Roman" w:cs="Times New Roman"/>
          <w:b/>
          <w:sz w:val="24"/>
          <w:szCs w:val="24"/>
        </w:rPr>
        <w:t>miany porządkujące</w:t>
      </w:r>
    </w:p>
    <w:p w14:paraId="2771D935" w14:textId="5662A8A9" w:rsidR="00AC1495" w:rsidRPr="00F62784" w:rsidRDefault="00490DB3" w:rsidP="007A1D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przewiduje m.in.:</w:t>
      </w:r>
    </w:p>
    <w:p w14:paraId="0D995CCF" w14:textId="266F799C" w:rsidR="006D625A" w:rsidRPr="00136F65" w:rsidRDefault="00A124A8" w:rsidP="00A124A8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AC1495" w:rsidRPr="00136F65">
        <w:rPr>
          <w:rFonts w:ascii="Times New Roman" w:hAnsi="Times New Roman" w:cs="Times New Roman"/>
          <w:sz w:val="24"/>
          <w:szCs w:val="24"/>
        </w:rPr>
        <w:t>zmian</w:t>
      </w:r>
      <w:r w:rsidR="00490DB3">
        <w:rPr>
          <w:rFonts w:ascii="Times New Roman" w:hAnsi="Times New Roman" w:cs="Times New Roman"/>
          <w:sz w:val="24"/>
          <w:szCs w:val="24"/>
        </w:rPr>
        <w:t>ę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 w art. 99a ustawy o ochronie konkurencji i konsumentów (wykreślenie Rzecznika Ubezpieczonych i dodanie Rzecznika Finansowego)</w:t>
      </w:r>
      <w:r w:rsidR="00490DB3">
        <w:rPr>
          <w:rFonts w:ascii="Times New Roman" w:hAnsi="Times New Roman" w:cs="Times New Roman"/>
          <w:sz w:val="24"/>
          <w:szCs w:val="24"/>
        </w:rPr>
        <w:t>,</w:t>
      </w:r>
    </w:p>
    <w:p w14:paraId="664A425C" w14:textId="2FABFCAE" w:rsidR="006D625A" w:rsidRPr="00136F65" w:rsidRDefault="00A124A8" w:rsidP="00A124A8">
      <w:pPr>
        <w:spacing w:after="0" w:line="360" w:lineRule="auto"/>
        <w:ind w:left="284" w:hanging="284"/>
        <w:jc w:val="both"/>
        <w:rPr>
          <w:rStyle w:val="Kkursywa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w art. 113 ust. 3 ustawy o ochronie konkurencji i konsumentów uaktualnienie odesłania do </w:t>
      </w:r>
      <w:r w:rsidR="00275E41" w:rsidRPr="00136F65">
        <w:rPr>
          <w:rFonts w:ascii="Times New Roman" w:hAnsi="Times New Roman" w:cs="Times New Roman"/>
          <w:sz w:val="24"/>
          <w:szCs w:val="24"/>
        </w:rPr>
        <w:t xml:space="preserve">ustawy z dnia 29 sierpnia 1997 r. – </w:t>
      </w:r>
      <w:r w:rsidR="00AC1495" w:rsidRPr="00136F65">
        <w:rPr>
          <w:rFonts w:ascii="Times New Roman" w:hAnsi="Times New Roman" w:cs="Times New Roman"/>
          <w:sz w:val="24"/>
          <w:szCs w:val="24"/>
        </w:rPr>
        <w:t>Ordynacj</w:t>
      </w:r>
      <w:r w:rsidR="00275E41" w:rsidRPr="00136F65">
        <w:rPr>
          <w:rFonts w:ascii="Times New Roman" w:hAnsi="Times New Roman" w:cs="Times New Roman"/>
          <w:sz w:val="24"/>
          <w:szCs w:val="24"/>
        </w:rPr>
        <w:t>a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 podatkow</w:t>
      </w:r>
      <w:r w:rsidR="00275E41" w:rsidRPr="00136F65">
        <w:rPr>
          <w:rFonts w:ascii="Times New Roman" w:hAnsi="Times New Roman" w:cs="Times New Roman"/>
          <w:sz w:val="24"/>
          <w:szCs w:val="24"/>
        </w:rPr>
        <w:t>a</w:t>
      </w:r>
      <w:r w:rsidR="00AC1495" w:rsidRPr="00136F65">
        <w:rPr>
          <w:rFonts w:ascii="Times New Roman" w:hAnsi="Times New Roman" w:cs="Times New Roman"/>
          <w:sz w:val="24"/>
          <w:szCs w:val="24"/>
        </w:rPr>
        <w:t xml:space="preserve">. </w:t>
      </w:r>
      <w:r w:rsidR="005307B7">
        <w:rPr>
          <w:rFonts w:ascii="Times New Roman" w:hAnsi="Times New Roman" w:cs="Times New Roman"/>
          <w:sz w:val="24"/>
          <w:szCs w:val="24"/>
        </w:rPr>
        <w:t>Ponadto w art. </w:t>
      </w:r>
      <w:r w:rsidR="006D625A" w:rsidRPr="00136F65">
        <w:rPr>
          <w:rFonts w:ascii="Times New Roman" w:hAnsi="Times New Roman" w:cs="Times New Roman"/>
          <w:sz w:val="24"/>
          <w:szCs w:val="24"/>
        </w:rPr>
        <w:t xml:space="preserve">113 dodano ust. 1a </w:t>
      </w:r>
      <w:r w:rsidR="008336AB" w:rsidRPr="00136F65">
        <w:rPr>
          <w:rFonts w:ascii="Times New Roman" w:hAnsi="Times New Roman" w:cs="Times New Roman"/>
          <w:sz w:val="24"/>
          <w:szCs w:val="24"/>
        </w:rPr>
        <w:t>(potwierdzający dotychczasową praktykę)</w:t>
      </w:r>
      <w:r w:rsidR="007F24AD" w:rsidRPr="00136F65">
        <w:rPr>
          <w:rFonts w:ascii="Times New Roman" w:hAnsi="Times New Roman" w:cs="Times New Roman"/>
          <w:sz w:val="24"/>
          <w:szCs w:val="24"/>
        </w:rPr>
        <w:t>,</w:t>
      </w:r>
      <w:r w:rsidR="008336AB" w:rsidRPr="00136F65">
        <w:rPr>
          <w:rFonts w:ascii="Times New Roman" w:hAnsi="Times New Roman" w:cs="Times New Roman"/>
          <w:sz w:val="24"/>
          <w:szCs w:val="24"/>
        </w:rPr>
        <w:t xml:space="preserve"> </w:t>
      </w:r>
      <w:r w:rsidR="006D625A" w:rsidRPr="00136F65">
        <w:rPr>
          <w:rFonts w:ascii="Times New Roman" w:hAnsi="Times New Roman" w:cs="Times New Roman"/>
          <w:sz w:val="24"/>
          <w:szCs w:val="24"/>
        </w:rPr>
        <w:t>zgodnie z którym ulgi w</w:t>
      </w:r>
      <w:r w:rsidR="00886058">
        <w:rPr>
          <w:rFonts w:ascii="Times New Roman" w:hAnsi="Times New Roman" w:cs="Times New Roman"/>
          <w:sz w:val="24"/>
          <w:szCs w:val="24"/>
        </w:rPr>
        <w:t xml:space="preserve"> </w:t>
      </w:r>
      <w:r w:rsidR="006D625A" w:rsidRPr="00136F65">
        <w:rPr>
          <w:rFonts w:ascii="Times New Roman" w:hAnsi="Times New Roman" w:cs="Times New Roman"/>
          <w:sz w:val="24"/>
          <w:szCs w:val="24"/>
        </w:rPr>
        <w:t>spłacie kary pieniężnej, o</w:t>
      </w:r>
      <w:r w:rsidR="00886058">
        <w:rPr>
          <w:rFonts w:ascii="Times New Roman" w:hAnsi="Times New Roman" w:cs="Times New Roman"/>
          <w:sz w:val="24"/>
          <w:szCs w:val="24"/>
        </w:rPr>
        <w:t xml:space="preserve"> </w:t>
      </w:r>
      <w:r w:rsidR="006D625A" w:rsidRPr="00136F65">
        <w:rPr>
          <w:rFonts w:ascii="Times New Roman" w:hAnsi="Times New Roman" w:cs="Times New Roman"/>
          <w:sz w:val="24"/>
          <w:szCs w:val="24"/>
        </w:rPr>
        <w:t>których mowa w</w:t>
      </w:r>
      <w:r w:rsidR="00886058">
        <w:rPr>
          <w:rFonts w:ascii="Times New Roman" w:hAnsi="Times New Roman" w:cs="Times New Roman"/>
          <w:sz w:val="24"/>
          <w:szCs w:val="24"/>
        </w:rPr>
        <w:t xml:space="preserve"> </w:t>
      </w:r>
      <w:r w:rsidR="006D625A" w:rsidRPr="00136F65">
        <w:rPr>
          <w:rFonts w:ascii="Times New Roman" w:hAnsi="Times New Roman" w:cs="Times New Roman"/>
          <w:sz w:val="24"/>
          <w:szCs w:val="24"/>
        </w:rPr>
        <w:t>ust.</w:t>
      </w:r>
      <w:r w:rsidR="00886058">
        <w:rPr>
          <w:rFonts w:ascii="Times New Roman" w:hAnsi="Times New Roman" w:cs="Times New Roman"/>
          <w:sz w:val="24"/>
          <w:szCs w:val="24"/>
        </w:rPr>
        <w:t xml:space="preserve"> </w:t>
      </w:r>
      <w:r w:rsidR="007F24AD" w:rsidRPr="00136F65">
        <w:rPr>
          <w:rFonts w:ascii="Times New Roman" w:hAnsi="Times New Roman" w:cs="Times New Roman"/>
          <w:sz w:val="24"/>
          <w:szCs w:val="24"/>
        </w:rPr>
        <w:t>1 (tj. odroczenie uiszczenia kary pieniężnej albo rozłożenie jej na raty)</w:t>
      </w:r>
      <w:r w:rsidR="006D625A" w:rsidRPr="00136F65">
        <w:rPr>
          <w:rFonts w:ascii="Times New Roman" w:hAnsi="Times New Roman" w:cs="Times New Roman"/>
          <w:sz w:val="24"/>
          <w:szCs w:val="24"/>
        </w:rPr>
        <w:t xml:space="preserve">, mogą być udzielane wyłącznie jako pomoc </w:t>
      </w:r>
      <w:r w:rsidR="006D625A" w:rsidRPr="00136F65">
        <w:rPr>
          <w:rStyle w:val="Kkursywa"/>
          <w:rFonts w:ascii="Times New Roman" w:hAnsi="Times New Roman" w:cs="Times New Roman"/>
          <w:i w:val="0"/>
          <w:sz w:val="24"/>
          <w:szCs w:val="24"/>
        </w:rPr>
        <w:t>de minimis, w</w:t>
      </w:r>
      <w:r w:rsidR="00886058">
        <w:rPr>
          <w:rStyle w:val="Kkursywa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625A" w:rsidRPr="00136F65">
        <w:rPr>
          <w:rStyle w:val="Kkursywa"/>
          <w:rFonts w:ascii="Times New Roman" w:hAnsi="Times New Roman" w:cs="Times New Roman"/>
          <w:i w:val="0"/>
          <w:sz w:val="24"/>
          <w:szCs w:val="24"/>
        </w:rPr>
        <w:t>zakresie i</w:t>
      </w:r>
      <w:r w:rsidR="00886058">
        <w:rPr>
          <w:rStyle w:val="Kkursywa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625A" w:rsidRPr="00136F65">
        <w:rPr>
          <w:rStyle w:val="Kkursywa"/>
          <w:rFonts w:ascii="Times New Roman" w:hAnsi="Times New Roman" w:cs="Times New Roman"/>
          <w:i w:val="0"/>
          <w:sz w:val="24"/>
          <w:szCs w:val="24"/>
        </w:rPr>
        <w:t>na zasadach określonych w</w:t>
      </w:r>
      <w:r w:rsidR="00886058">
        <w:rPr>
          <w:rStyle w:val="Kkursywa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625A" w:rsidRPr="00136F65">
        <w:rPr>
          <w:rStyle w:val="Kkursywa"/>
          <w:rFonts w:ascii="Times New Roman" w:hAnsi="Times New Roman" w:cs="Times New Roman"/>
          <w:i w:val="0"/>
          <w:sz w:val="24"/>
          <w:szCs w:val="24"/>
        </w:rPr>
        <w:t>bezpośrednio obowiązujących aktach prawa Unii Europejskiej dotyczących pomocy w</w:t>
      </w:r>
      <w:r w:rsidR="00886058">
        <w:rPr>
          <w:rStyle w:val="Kkursywa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625A" w:rsidRPr="00136F65">
        <w:rPr>
          <w:rStyle w:val="Kkursywa"/>
          <w:rFonts w:ascii="Times New Roman" w:hAnsi="Times New Roman" w:cs="Times New Roman"/>
          <w:i w:val="0"/>
          <w:sz w:val="24"/>
          <w:szCs w:val="24"/>
        </w:rPr>
        <w:t>ramach zasady de minimis.</w:t>
      </w:r>
      <w:r w:rsidR="00B262C5">
        <w:rPr>
          <w:rStyle w:val="Kkursywa"/>
          <w:rFonts w:ascii="Times New Roman" w:hAnsi="Times New Roman" w:cs="Times New Roman"/>
          <w:i w:val="0"/>
          <w:sz w:val="24"/>
          <w:szCs w:val="24"/>
        </w:rPr>
        <w:t xml:space="preserve"> W związku z proponowanym dodaniem ust. 1a w art. 113</w:t>
      </w:r>
      <w:r w:rsidR="001D0030">
        <w:rPr>
          <w:rStyle w:val="Kkursywa"/>
          <w:rFonts w:ascii="Times New Roman" w:hAnsi="Times New Roman" w:cs="Times New Roman"/>
          <w:i w:val="0"/>
          <w:sz w:val="24"/>
          <w:szCs w:val="24"/>
        </w:rPr>
        <w:t xml:space="preserve"> ustawy o ochronie konkurencji i konsumentów</w:t>
      </w:r>
      <w:r w:rsidR="00B262C5">
        <w:rPr>
          <w:rStyle w:val="Kkursywa"/>
          <w:rFonts w:ascii="Times New Roman" w:hAnsi="Times New Roman" w:cs="Times New Roman"/>
          <w:i w:val="0"/>
          <w:sz w:val="24"/>
          <w:szCs w:val="24"/>
        </w:rPr>
        <w:t xml:space="preserve"> zmianie musi ulec również </w:t>
      </w:r>
      <w:r w:rsidR="001D0030">
        <w:rPr>
          <w:rStyle w:val="Kkursywa"/>
          <w:rFonts w:ascii="Times New Roman" w:hAnsi="Times New Roman" w:cs="Times New Roman"/>
          <w:i w:val="0"/>
          <w:sz w:val="24"/>
          <w:szCs w:val="24"/>
        </w:rPr>
        <w:t xml:space="preserve">treść </w:t>
      </w:r>
      <w:r w:rsidR="00B262C5">
        <w:rPr>
          <w:rStyle w:val="Kkursywa"/>
          <w:rFonts w:ascii="Times New Roman" w:hAnsi="Times New Roman" w:cs="Times New Roman"/>
          <w:i w:val="0"/>
          <w:sz w:val="24"/>
          <w:szCs w:val="24"/>
        </w:rPr>
        <w:t>od</w:t>
      </w:r>
      <w:r w:rsidR="001D0030">
        <w:rPr>
          <w:rStyle w:val="Kkursywa"/>
          <w:rFonts w:ascii="Times New Roman" w:hAnsi="Times New Roman" w:cs="Times New Roman"/>
          <w:i w:val="0"/>
          <w:sz w:val="24"/>
          <w:szCs w:val="24"/>
        </w:rPr>
        <w:t>esłania do ww. ustawy</w:t>
      </w:r>
      <w:r w:rsidR="00B262C5">
        <w:rPr>
          <w:rStyle w:val="Kkursywa"/>
          <w:rFonts w:ascii="Times New Roman" w:hAnsi="Times New Roman" w:cs="Times New Roman"/>
          <w:i w:val="0"/>
          <w:sz w:val="24"/>
          <w:szCs w:val="24"/>
        </w:rPr>
        <w:t xml:space="preserve"> zawarte</w:t>
      </w:r>
      <w:r w:rsidR="001D0030">
        <w:rPr>
          <w:rStyle w:val="Kkursywa"/>
          <w:rFonts w:ascii="Times New Roman" w:hAnsi="Times New Roman" w:cs="Times New Roman"/>
          <w:i w:val="0"/>
          <w:sz w:val="24"/>
          <w:szCs w:val="24"/>
        </w:rPr>
        <w:t>go</w:t>
      </w:r>
      <w:r w:rsidR="00B262C5">
        <w:rPr>
          <w:rStyle w:val="Kkursywa"/>
          <w:rFonts w:ascii="Times New Roman" w:hAnsi="Times New Roman" w:cs="Times New Roman"/>
          <w:i w:val="0"/>
          <w:sz w:val="24"/>
          <w:szCs w:val="24"/>
        </w:rPr>
        <w:t xml:space="preserve"> w art. 3</w:t>
      </w:r>
      <w:r w:rsidR="001D0030">
        <w:rPr>
          <w:rStyle w:val="Kkursywa"/>
          <w:rFonts w:ascii="Times New Roman" w:hAnsi="Times New Roman" w:cs="Times New Roman"/>
          <w:i w:val="0"/>
          <w:sz w:val="24"/>
          <w:szCs w:val="24"/>
        </w:rPr>
        <w:t xml:space="preserve">9 </w:t>
      </w:r>
      <w:r w:rsidR="00B262C5">
        <w:rPr>
          <w:rStyle w:val="Kkursywa"/>
          <w:rFonts w:ascii="Times New Roman" w:hAnsi="Times New Roman" w:cs="Times New Roman"/>
          <w:i w:val="0"/>
          <w:sz w:val="24"/>
          <w:szCs w:val="24"/>
        </w:rPr>
        <w:t xml:space="preserve">ustawy </w:t>
      </w:r>
      <w:r w:rsidR="00B262C5" w:rsidRPr="00B262C5">
        <w:rPr>
          <w:rFonts w:ascii="Times New Roman" w:hAnsi="Times New Roman" w:cs="Times New Roman"/>
          <w:sz w:val="24"/>
          <w:szCs w:val="24"/>
        </w:rPr>
        <w:t>o przeciwdziałaniu nieuczciwemu wykorzystywaniu przewagi kontraktowej w obrocie produktami rolny</w:t>
      </w:r>
      <w:r w:rsidR="006803C2">
        <w:rPr>
          <w:rFonts w:ascii="Times New Roman" w:hAnsi="Times New Roman" w:cs="Times New Roman"/>
          <w:sz w:val="24"/>
          <w:szCs w:val="24"/>
        </w:rPr>
        <w:t>mi</w:t>
      </w:r>
      <w:r w:rsidR="00B262C5" w:rsidRPr="00B262C5">
        <w:rPr>
          <w:rFonts w:ascii="Times New Roman" w:hAnsi="Times New Roman" w:cs="Times New Roman"/>
          <w:sz w:val="24"/>
          <w:szCs w:val="24"/>
        </w:rPr>
        <w:t xml:space="preserve"> lub spożywczymi</w:t>
      </w:r>
      <w:r w:rsidR="001D0030">
        <w:rPr>
          <w:rFonts w:ascii="Times New Roman" w:hAnsi="Times New Roman" w:cs="Times New Roman"/>
          <w:sz w:val="24"/>
          <w:szCs w:val="24"/>
        </w:rPr>
        <w:t>.</w:t>
      </w:r>
    </w:p>
    <w:p w14:paraId="1E37E7FD" w14:textId="56899A73" w:rsidR="00CB2EF7" w:rsidRPr="00B87EEB" w:rsidRDefault="00EE2F04" w:rsidP="007A1DC1">
      <w:pPr>
        <w:pStyle w:val="ARTartustawynprozporzdzenia"/>
        <w:ind w:firstLine="0"/>
        <w:rPr>
          <w:rStyle w:val="Kkursywa"/>
          <w:rFonts w:asciiTheme="minorHAnsi" w:eastAsiaTheme="minorHAnsi" w:hAnsiTheme="minorHAnsi" w:cstheme="minorBidi"/>
          <w:i w:val="0"/>
          <w:sz w:val="22"/>
          <w:szCs w:val="22"/>
          <w:lang w:eastAsia="en-US"/>
        </w:rPr>
      </w:pPr>
      <w:r w:rsidRPr="00136F65">
        <w:rPr>
          <w:rStyle w:val="Ppogrubienie"/>
          <w:rFonts w:ascii="Times New Roman" w:hAnsi="Times New Roman" w:cs="Times New Roman"/>
          <w:b w:val="0"/>
          <w:szCs w:val="24"/>
        </w:rPr>
        <w:t>W przepisach przejściowych</w:t>
      </w:r>
      <w:r w:rsidR="00DC1840">
        <w:rPr>
          <w:rStyle w:val="Ppogrubienie"/>
          <w:rFonts w:ascii="Times New Roman" w:hAnsi="Times New Roman" w:cs="Times New Roman"/>
          <w:b w:val="0"/>
          <w:szCs w:val="24"/>
        </w:rPr>
        <w:t xml:space="preserve"> </w:t>
      </w:r>
      <w:r w:rsidR="00E65FC7">
        <w:rPr>
          <w:rStyle w:val="Ppogrubienie"/>
          <w:rFonts w:ascii="Times New Roman" w:hAnsi="Times New Roman" w:cs="Times New Roman"/>
          <w:b w:val="0"/>
          <w:szCs w:val="24"/>
        </w:rPr>
        <w:t xml:space="preserve">przewiduje się </w:t>
      </w:r>
      <w:r w:rsidR="001D0030" w:rsidRPr="00DB4D7D">
        <w:rPr>
          <w:rFonts w:ascii="Times New Roman" w:hAnsi="Times New Roman" w:cs="Times New Roman"/>
          <w:szCs w:val="24"/>
        </w:rPr>
        <w:t>l</w:t>
      </w:r>
      <w:r w:rsidR="001D0030">
        <w:rPr>
          <w:rFonts w:ascii="Times New Roman" w:hAnsi="Times New Roman" w:cs="Times New Roman"/>
          <w:szCs w:val="24"/>
        </w:rPr>
        <w:t>ikwidacj</w:t>
      </w:r>
      <w:r w:rsidR="00E65FC7">
        <w:rPr>
          <w:rFonts w:ascii="Times New Roman" w:hAnsi="Times New Roman" w:cs="Times New Roman"/>
          <w:szCs w:val="24"/>
        </w:rPr>
        <w:t>ę</w:t>
      </w:r>
      <w:r w:rsidR="001D0030">
        <w:rPr>
          <w:rFonts w:ascii="Times New Roman" w:hAnsi="Times New Roman" w:cs="Times New Roman"/>
          <w:szCs w:val="24"/>
        </w:rPr>
        <w:t xml:space="preserve"> </w:t>
      </w:r>
      <w:r w:rsidR="001D0030" w:rsidRPr="00DB4D7D">
        <w:rPr>
          <w:rFonts w:ascii="Times New Roman" w:hAnsi="Times New Roman" w:cs="Times New Roman"/>
          <w:szCs w:val="24"/>
        </w:rPr>
        <w:t>d</w:t>
      </w:r>
      <w:r w:rsidR="005307B7">
        <w:rPr>
          <w:rFonts w:ascii="Times New Roman" w:hAnsi="Times New Roman" w:cs="Times New Roman"/>
          <w:szCs w:val="24"/>
        </w:rPr>
        <w:t>elegatur, o których mowa w art. </w:t>
      </w:r>
      <w:r w:rsidR="001D0030" w:rsidRPr="00DB4D7D">
        <w:rPr>
          <w:rFonts w:ascii="Times New Roman" w:hAnsi="Times New Roman" w:cs="Times New Roman"/>
          <w:szCs w:val="24"/>
        </w:rPr>
        <w:t xml:space="preserve">33 ust. 1 ustawy </w:t>
      </w:r>
      <w:r w:rsidR="00A67896">
        <w:rPr>
          <w:rFonts w:ascii="Times New Roman" w:hAnsi="Times New Roman" w:cs="Times New Roman"/>
          <w:szCs w:val="24"/>
        </w:rPr>
        <w:t xml:space="preserve">o ochronie konkurencji i konsumentów w dotychczasowym brzmieniu </w:t>
      </w:r>
      <w:r w:rsidR="001D0030">
        <w:rPr>
          <w:rFonts w:ascii="Times New Roman" w:hAnsi="Times New Roman" w:cs="Times New Roman"/>
          <w:szCs w:val="24"/>
        </w:rPr>
        <w:t>(art. 5)</w:t>
      </w:r>
      <w:r w:rsidR="001D0030" w:rsidRPr="00C6621F">
        <w:rPr>
          <w:rFonts w:ascii="Times New Roman" w:hAnsi="Times New Roman" w:cs="Times New Roman"/>
          <w:szCs w:val="24"/>
        </w:rPr>
        <w:t>.</w:t>
      </w:r>
      <w:r w:rsidR="001D0030">
        <w:rPr>
          <w:rFonts w:ascii="Times New Roman" w:hAnsi="Times New Roman" w:cs="Times New Roman"/>
          <w:b/>
          <w:szCs w:val="24"/>
        </w:rPr>
        <w:t xml:space="preserve"> </w:t>
      </w:r>
      <w:r w:rsidR="00A67896">
        <w:rPr>
          <w:rFonts w:ascii="Times New Roman" w:hAnsi="Times New Roman" w:cs="Times New Roman"/>
          <w:szCs w:val="24"/>
        </w:rPr>
        <w:t xml:space="preserve">Nie oznacza to, że delegatury </w:t>
      </w:r>
      <w:r w:rsidR="00E65FC7">
        <w:rPr>
          <w:rFonts w:ascii="Times New Roman" w:hAnsi="Times New Roman" w:cs="Times New Roman"/>
          <w:szCs w:val="24"/>
        </w:rPr>
        <w:t xml:space="preserve">UOKiK </w:t>
      </w:r>
      <w:r w:rsidR="00A67896">
        <w:rPr>
          <w:rFonts w:ascii="Times New Roman" w:hAnsi="Times New Roman" w:cs="Times New Roman"/>
          <w:szCs w:val="24"/>
        </w:rPr>
        <w:t xml:space="preserve">przestaną istnieć. </w:t>
      </w:r>
      <w:r w:rsidR="00DA56BC">
        <w:rPr>
          <w:rFonts w:ascii="Times New Roman" w:hAnsi="Times New Roman" w:cs="Times New Roman"/>
          <w:szCs w:val="24"/>
        </w:rPr>
        <w:t>Zaproponowane w projekcie nowe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A67896">
        <w:rPr>
          <w:rFonts w:ascii="Times New Roman" w:hAnsi="Times New Roman" w:cs="Times New Roman"/>
          <w:szCs w:val="24"/>
        </w:rPr>
        <w:t xml:space="preserve">brzmienie art. 33 ustawy jednoznacznie wskazuje, że w skład UOKiK wchodzą również delegatury. </w:t>
      </w:r>
      <w:r w:rsidR="00692F64">
        <w:rPr>
          <w:rFonts w:ascii="Times New Roman" w:hAnsi="Times New Roman" w:cs="Times New Roman"/>
          <w:szCs w:val="24"/>
        </w:rPr>
        <w:t>Z dniem wejścia w życie proponowanych przepisów podstawą działania delegatur będ</w:t>
      </w:r>
      <w:r w:rsidR="00E65FC7">
        <w:rPr>
          <w:rFonts w:ascii="Times New Roman" w:hAnsi="Times New Roman" w:cs="Times New Roman"/>
          <w:szCs w:val="24"/>
        </w:rPr>
        <w:t>ą zmienione przepisy ustawy oraz</w:t>
      </w:r>
      <w:r w:rsidR="00692F64">
        <w:rPr>
          <w:rFonts w:ascii="Times New Roman" w:hAnsi="Times New Roman" w:cs="Times New Roman"/>
          <w:szCs w:val="24"/>
        </w:rPr>
        <w:t xml:space="preserve"> zarządzenie Prezesa Rady Ministrów w sprawie nadania statutu UOKiK. </w:t>
      </w:r>
      <w:r w:rsidR="00692F64" w:rsidRPr="00136F65">
        <w:rPr>
          <w:rFonts w:ascii="Times New Roman" w:hAnsi="Times New Roman" w:cs="Times New Roman"/>
          <w:szCs w:val="24"/>
        </w:rPr>
        <w:t xml:space="preserve">Wprowadzono również regulację, zgodnie z którą </w:t>
      </w:r>
      <w:r w:rsidR="00692F64" w:rsidRPr="00136F65">
        <w:rPr>
          <w:rStyle w:val="Ppogrubienie"/>
          <w:rFonts w:ascii="Times New Roman" w:hAnsi="Times New Roman" w:cs="Times New Roman"/>
          <w:b w:val="0"/>
          <w:szCs w:val="24"/>
        </w:rPr>
        <w:t>nowy s</w:t>
      </w:r>
      <w:r w:rsidR="00692F64" w:rsidRPr="00136F65">
        <w:rPr>
          <w:rFonts w:ascii="Times New Roman" w:hAnsi="Times New Roman" w:cs="Times New Roman"/>
          <w:szCs w:val="24"/>
        </w:rPr>
        <w:t xml:space="preserve">tatut UOKiK określi, które komórki organizacyjne UOKiK przejmą od </w:t>
      </w:r>
      <w:r w:rsidR="00E65FC7">
        <w:rPr>
          <w:rFonts w:ascii="Times New Roman" w:hAnsi="Times New Roman" w:cs="Times New Roman"/>
          <w:szCs w:val="24"/>
        </w:rPr>
        <w:t xml:space="preserve">dotychczasowych </w:t>
      </w:r>
      <w:r w:rsidR="00692F64" w:rsidRPr="00136F65">
        <w:rPr>
          <w:rFonts w:ascii="Times New Roman" w:hAnsi="Times New Roman" w:cs="Times New Roman"/>
          <w:szCs w:val="24"/>
        </w:rPr>
        <w:t>delegatur</w:t>
      </w:r>
      <w:r w:rsidR="00692F64">
        <w:rPr>
          <w:rFonts w:ascii="Times New Roman" w:hAnsi="Times New Roman" w:cs="Times New Roman"/>
          <w:szCs w:val="24"/>
        </w:rPr>
        <w:t xml:space="preserve"> sprawy prowadzone przez te delegatury</w:t>
      </w:r>
      <w:r w:rsidR="00692F64" w:rsidRPr="00136F65">
        <w:rPr>
          <w:rFonts w:ascii="Times New Roman" w:hAnsi="Times New Roman" w:cs="Times New Roman"/>
          <w:szCs w:val="24"/>
        </w:rPr>
        <w:t xml:space="preserve"> </w:t>
      </w:r>
      <w:r w:rsidR="001D0030">
        <w:rPr>
          <w:rFonts w:ascii="Times New Roman" w:hAnsi="Times New Roman" w:cs="Times New Roman"/>
          <w:szCs w:val="24"/>
        </w:rPr>
        <w:t>(art. 6)</w:t>
      </w:r>
      <w:r w:rsidR="00692F64">
        <w:rPr>
          <w:rFonts w:ascii="Times New Roman" w:hAnsi="Times New Roman" w:cs="Times New Roman"/>
          <w:szCs w:val="24"/>
        </w:rPr>
        <w:t>.</w:t>
      </w:r>
      <w:r w:rsidR="001D0030">
        <w:rPr>
          <w:rFonts w:ascii="Times New Roman" w:hAnsi="Times New Roman" w:cs="Times New Roman"/>
          <w:szCs w:val="24"/>
        </w:rPr>
        <w:t xml:space="preserve"> C</w:t>
      </w:r>
      <w:r w:rsidRPr="00136F65">
        <w:rPr>
          <w:rFonts w:ascii="Times New Roman" w:hAnsi="Times New Roman" w:cs="Times New Roman"/>
          <w:szCs w:val="24"/>
        </w:rPr>
        <w:t>zynności w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Pr="00136F65">
        <w:rPr>
          <w:rFonts w:ascii="Times New Roman" w:hAnsi="Times New Roman" w:cs="Times New Roman"/>
          <w:szCs w:val="24"/>
        </w:rPr>
        <w:t xml:space="preserve">sprawach należących do właściwości delegatur </w:t>
      </w:r>
      <w:r w:rsidR="008834CD" w:rsidRPr="00136F65">
        <w:rPr>
          <w:rFonts w:ascii="Times New Roman" w:hAnsi="Times New Roman" w:cs="Times New Roman"/>
          <w:szCs w:val="24"/>
        </w:rPr>
        <w:t>UOKiK</w:t>
      </w:r>
      <w:r w:rsidRPr="00136F65">
        <w:rPr>
          <w:rFonts w:ascii="Times New Roman" w:hAnsi="Times New Roman" w:cs="Times New Roman"/>
          <w:szCs w:val="24"/>
        </w:rPr>
        <w:t xml:space="preserve"> na podstawie przepisów uchylanego rozporządzenia w sprawie właściwości </w:t>
      </w:r>
      <w:r w:rsidRPr="00136F65">
        <w:rPr>
          <w:rFonts w:ascii="Times New Roman" w:hAnsi="Times New Roman" w:cs="Times New Roman"/>
          <w:szCs w:val="24"/>
        </w:rPr>
        <w:lastRenderedPageBreak/>
        <w:t xml:space="preserve">miejscowej i rzeczowej delegatur lub przekazanych delegaturom przez Prezesa </w:t>
      </w:r>
      <w:r w:rsidR="00CA3C6C" w:rsidRPr="00136F65">
        <w:rPr>
          <w:rFonts w:ascii="Times New Roman" w:hAnsi="Times New Roman" w:cs="Times New Roman"/>
          <w:szCs w:val="24"/>
        </w:rPr>
        <w:t>UOKiK</w:t>
      </w:r>
      <w:r w:rsidRPr="00136F65">
        <w:rPr>
          <w:rFonts w:ascii="Times New Roman" w:hAnsi="Times New Roman" w:cs="Times New Roman"/>
          <w:szCs w:val="24"/>
        </w:rPr>
        <w:t>, podjęte przed dniem wejścia w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Pr="00136F65">
        <w:rPr>
          <w:rFonts w:ascii="Times New Roman" w:hAnsi="Times New Roman" w:cs="Times New Roman"/>
          <w:szCs w:val="24"/>
        </w:rPr>
        <w:t>życie</w:t>
      </w:r>
      <w:r w:rsidR="00DC1840">
        <w:rPr>
          <w:rFonts w:ascii="Times New Roman" w:hAnsi="Times New Roman" w:cs="Times New Roman"/>
          <w:szCs w:val="24"/>
        </w:rPr>
        <w:t xml:space="preserve"> </w:t>
      </w:r>
      <w:r w:rsidR="003E43E0">
        <w:rPr>
          <w:rFonts w:ascii="Times New Roman" w:hAnsi="Times New Roman" w:cs="Times New Roman"/>
          <w:szCs w:val="24"/>
        </w:rPr>
        <w:t xml:space="preserve">art. 5 projektowanej </w:t>
      </w:r>
      <w:r w:rsidR="00DC1840">
        <w:rPr>
          <w:rFonts w:ascii="Times New Roman" w:hAnsi="Times New Roman" w:cs="Times New Roman"/>
          <w:szCs w:val="24"/>
        </w:rPr>
        <w:t>ustawy</w:t>
      </w:r>
      <w:r w:rsidRPr="00136F65">
        <w:rPr>
          <w:rFonts w:ascii="Times New Roman" w:hAnsi="Times New Roman" w:cs="Times New Roman"/>
          <w:szCs w:val="24"/>
        </w:rPr>
        <w:t>, pozostają w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Pr="00136F65">
        <w:rPr>
          <w:rFonts w:ascii="Times New Roman" w:hAnsi="Times New Roman" w:cs="Times New Roman"/>
          <w:szCs w:val="24"/>
        </w:rPr>
        <w:t xml:space="preserve">mocy (art. </w:t>
      </w:r>
      <w:r w:rsidR="00692F64">
        <w:rPr>
          <w:rFonts w:ascii="Times New Roman" w:hAnsi="Times New Roman" w:cs="Times New Roman"/>
          <w:szCs w:val="24"/>
        </w:rPr>
        <w:t>7</w:t>
      </w:r>
      <w:r w:rsidRPr="00136F65">
        <w:rPr>
          <w:rFonts w:ascii="Times New Roman" w:hAnsi="Times New Roman" w:cs="Times New Roman"/>
          <w:szCs w:val="24"/>
        </w:rPr>
        <w:t xml:space="preserve">). W związku z wprowadzeniem zmian w zakresie wyboru członków Krajowej Rady Rzeczników Konsumentów w art. </w:t>
      </w:r>
      <w:r w:rsidR="00692F64">
        <w:rPr>
          <w:rFonts w:ascii="Times New Roman" w:hAnsi="Times New Roman" w:cs="Times New Roman"/>
          <w:szCs w:val="24"/>
        </w:rPr>
        <w:t>8</w:t>
      </w:r>
      <w:r w:rsidR="00520876">
        <w:rPr>
          <w:rFonts w:ascii="Times New Roman" w:hAnsi="Times New Roman" w:cs="Times New Roman"/>
          <w:szCs w:val="24"/>
        </w:rPr>
        <w:t xml:space="preserve"> określono</w:t>
      </w:r>
      <w:r w:rsidRPr="00136F65">
        <w:rPr>
          <w:rFonts w:ascii="Times New Roman" w:hAnsi="Times New Roman" w:cs="Times New Roman"/>
          <w:szCs w:val="24"/>
        </w:rPr>
        <w:t>, że dotychczasowi członkowie Rady zachowują członkostwo w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Pr="00136F65">
        <w:rPr>
          <w:rFonts w:ascii="Times New Roman" w:hAnsi="Times New Roman" w:cs="Times New Roman"/>
          <w:szCs w:val="24"/>
        </w:rPr>
        <w:t>Krajowej Rad</w:t>
      </w:r>
      <w:r w:rsidR="00C6621F">
        <w:rPr>
          <w:rFonts w:ascii="Times New Roman" w:hAnsi="Times New Roman" w:cs="Times New Roman"/>
          <w:szCs w:val="24"/>
        </w:rPr>
        <w:t>zie</w:t>
      </w:r>
      <w:r w:rsidRPr="00136F65">
        <w:rPr>
          <w:rFonts w:ascii="Times New Roman" w:hAnsi="Times New Roman" w:cs="Times New Roman"/>
          <w:szCs w:val="24"/>
        </w:rPr>
        <w:t xml:space="preserve"> Rzeczników Konsumentów po dniu wejścia w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Pr="00136F65">
        <w:rPr>
          <w:rFonts w:ascii="Times New Roman" w:hAnsi="Times New Roman" w:cs="Times New Roman"/>
          <w:szCs w:val="24"/>
        </w:rPr>
        <w:t xml:space="preserve">życie </w:t>
      </w:r>
      <w:r w:rsidR="00520876">
        <w:rPr>
          <w:rFonts w:ascii="Times New Roman" w:hAnsi="Times New Roman" w:cs="Times New Roman"/>
          <w:szCs w:val="24"/>
        </w:rPr>
        <w:t>projektowanych zmian</w:t>
      </w:r>
      <w:r w:rsidR="00CB2EF7">
        <w:rPr>
          <w:rFonts w:ascii="Times New Roman" w:hAnsi="Times New Roman" w:cs="Times New Roman"/>
          <w:szCs w:val="24"/>
        </w:rPr>
        <w:t xml:space="preserve">, a </w:t>
      </w:r>
      <w:r w:rsidR="00CB2EF7" w:rsidRPr="006F1596">
        <w:t xml:space="preserve">w terminie </w:t>
      </w:r>
      <w:r w:rsidR="00DB4D7D">
        <w:t>3 m</w:t>
      </w:r>
      <w:r w:rsidR="00CB2EF7" w:rsidRPr="006F1596">
        <w:t xml:space="preserve">iesięcy od dnia wejścia w życie </w:t>
      </w:r>
      <w:r w:rsidR="00520876">
        <w:t xml:space="preserve">tych przepisów </w:t>
      </w:r>
      <w:r w:rsidR="00CB2EF7">
        <w:t>Prezes U</w:t>
      </w:r>
      <w:r w:rsidR="006803C2">
        <w:t>OKiK</w:t>
      </w:r>
      <w:r w:rsidR="00CB2EF7">
        <w:t xml:space="preserve"> powoła siedmiu </w:t>
      </w:r>
      <w:r w:rsidR="00164740">
        <w:t xml:space="preserve">dodatkowych </w:t>
      </w:r>
      <w:r w:rsidR="00CB2EF7">
        <w:t xml:space="preserve">członków </w:t>
      </w:r>
      <w:r w:rsidR="00CB2EF7" w:rsidRPr="006F1596">
        <w:t>Krajowej Rady Rzeczników Konsumentów</w:t>
      </w:r>
      <w:r w:rsidR="006803C2">
        <w:t>,</w:t>
      </w:r>
      <w:r w:rsidR="000A64A9">
        <w:t xml:space="preserve"> w celu uzupełni</w:t>
      </w:r>
      <w:r w:rsidR="00CA698B">
        <w:t>e</w:t>
      </w:r>
      <w:r w:rsidR="000A64A9">
        <w:t>nia składu do 16 członków</w:t>
      </w:r>
      <w:r w:rsidR="000F274B">
        <w:t xml:space="preserve"> po jednym z każdego województwa</w:t>
      </w:r>
      <w:r w:rsidR="00CB2EF7">
        <w:t xml:space="preserve">. </w:t>
      </w:r>
    </w:p>
    <w:p w14:paraId="7C79854F" w14:textId="686346D1" w:rsidR="009A32D1" w:rsidRPr="00DB4D7D" w:rsidRDefault="002F0294" w:rsidP="007A1DC1">
      <w:pPr>
        <w:pStyle w:val="ARTartustawynprozporzdzenia"/>
        <w:spacing w:before="0"/>
        <w:ind w:firstLine="0"/>
        <w:rPr>
          <w:rFonts w:ascii="Times New Roman" w:hAnsi="Times New Roman" w:cs="Times New Roman"/>
          <w:szCs w:val="24"/>
        </w:rPr>
      </w:pPr>
      <w:r w:rsidRPr="00F62784">
        <w:rPr>
          <w:rFonts w:ascii="Times New Roman" w:hAnsi="Times New Roman" w:cs="Times New Roman"/>
          <w:szCs w:val="24"/>
        </w:rPr>
        <w:t>Przewiduje się</w:t>
      </w:r>
      <w:r w:rsidR="00CA3C6C" w:rsidRPr="00F62784">
        <w:rPr>
          <w:rFonts w:ascii="Times New Roman" w:hAnsi="Times New Roman" w:cs="Times New Roman"/>
          <w:szCs w:val="24"/>
        </w:rPr>
        <w:t xml:space="preserve">, że ustawa wejdzie w życie po upływie </w:t>
      </w:r>
      <w:r w:rsidR="00692F64">
        <w:rPr>
          <w:rFonts w:ascii="Times New Roman" w:hAnsi="Times New Roman" w:cs="Times New Roman"/>
          <w:szCs w:val="24"/>
        </w:rPr>
        <w:t>14 dni od dnia jej ogłoszenia, z wy</w:t>
      </w:r>
      <w:r w:rsidR="00E65FC7">
        <w:rPr>
          <w:rFonts w:ascii="Times New Roman" w:hAnsi="Times New Roman" w:cs="Times New Roman"/>
          <w:szCs w:val="24"/>
        </w:rPr>
        <w:t>jątkiem</w:t>
      </w:r>
      <w:r w:rsidR="00692F64">
        <w:rPr>
          <w:rFonts w:ascii="Times New Roman" w:hAnsi="Times New Roman" w:cs="Times New Roman"/>
          <w:szCs w:val="24"/>
        </w:rPr>
        <w:t xml:space="preserve"> </w:t>
      </w:r>
      <w:r w:rsidR="00E65FC7" w:rsidRPr="00F62784">
        <w:rPr>
          <w:rFonts w:ascii="Times New Roman" w:hAnsi="Times New Roman" w:cs="Times New Roman"/>
          <w:szCs w:val="24"/>
        </w:rPr>
        <w:t>przepisów dotyczących geoblokowania, które wejdą w życie z dniem następującym po dniu ogłoszenia</w:t>
      </w:r>
      <w:r w:rsidR="00E65FC7">
        <w:rPr>
          <w:rFonts w:ascii="Times New Roman" w:hAnsi="Times New Roman" w:cs="Times New Roman"/>
          <w:szCs w:val="24"/>
        </w:rPr>
        <w:t xml:space="preserve"> oraz </w:t>
      </w:r>
      <w:r w:rsidR="00692F64">
        <w:rPr>
          <w:rFonts w:ascii="Times New Roman" w:hAnsi="Times New Roman" w:cs="Times New Roman"/>
          <w:szCs w:val="24"/>
        </w:rPr>
        <w:t>przepisów dotyczących organizacji U</w:t>
      </w:r>
      <w:r w:rsidR="00E65FC7">
        <w:rPr>
          <w:rFonts w:ascii="Times New Roman" w:hAnsi="Times New Roman" w:cs="Times New Roman"/>
          <w:szCs w:val="24"/>
        </w:rPr>
        <w:t>OKiK</w:t>
      </w:r>
      <w:r w:rsidR="00692F64">
        <w:rPr>
          <w:rFonts w:ascii="Times New Roman" w:hAnsi="Times New Roman" w:cs="Times New Roman"/>
          <w:szCs w:val="24"/>
        </w:rPr>
        <w:t xml:space="preserve">, </w:t>
      </w:r>
      <w:r w:rsidR="00E65FC7">
        <w:rPr>
          <w:rFonts w:ascii="Times New Roman" w:hAnsi="Times New Roman" w:cs="Times New Roman"/>
          <w:szCs w:val="24"/>
        </w:rPr>
        <w:t>dla których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692F64">
        <w:rPr>
          <w:rFonts w:ascii="Times New Roman" w:hAnsi="Times New Roman" w:cs="Times New Roman"/>
          <w:szCs w:val="24"/>
        </w:rPr>
        <w:t xml:space="preserve">przewidziany jest </w:t>
      </w:r>
      <w:r w:rsidR="003A600D">
        <w:rPr>
          <w:rFonts w:ascii="Times New Roman" w:hAnsi="Times New Roman" w:cs="Times New Roman"/>
          <w:szCs w:val="24"/>
        </w:rPr>
        <w:t>4</w:t>
      </w:r>
      <w:r w:rsidR="00692F64">
        <w:rPr>
          <w:rFonts w:ascii="Times New Roman" w:hAnsi="Times New Roman" w:cs="Times New Roman"/>
          <w:szCs w:val="24"/>
        </w:rPr>
        <w:t>-</w:t>
      </w:r>
      <w:r w:rsidR="00CA3C6C" w:rsidRPr="00F62784">
        <w:rPr>
          <w:rFonts w:ascii="Times New Roman" w:hAnsi="Times New Roman" w:cs="Times New Roman"/>
          <w:szCs w:val="24"/>
        </w:rPr>
        <w:t>miesięc</w:t>
      </w:r>
      <w:r w:rsidR="00692F64">
        <w:rPr>
          <w:rFonts w:ascii="Times New Roman" w:hAnsi="Times New Roman" w:cs="Times New Roman"/>
          <w:szCs w:val="24"/>
        </w:rPr>
        <w:t>zny termin wejścia w życie</w:t>
      </w:r>
      <w:r w:rsidR="000A38C8">
        <w:rPr>
          <w:rFonts w:ascii="Times New Roman" w:hAnsi="Times New Roman" w:cs="Times New Roman"/>
          <w:szCs w:val="24"/>
        </w:rPr>
        <w:t>.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DB4D7D">
        <w:rPr>
          <w:rFonts w:ascii="Times New Roman" w:hAnsi="Times New Roman" w:cs="Times New Roman"/>
          <w:szCs w:val="24"/>
        </w:rPr>
        <w:t xml:space="preserve">Termin ten jest niezbędny dla przygotowania zmian organizacyjnych, które nastąpią w związku z nowym </w:t>
      </w:r>
      <w:r w:rsidR="00837CAC">
        <w:rPr>
          <w:rFonts w:ascii="Times New Roman" w:hAnsi="Times New Roman" w:cs="Times New Roman"/>
          <w:szCs w:val="24"/>
        </w:rPr>
        <w:t>brzmieniem przepisów ustawy o ochronie konkurencji i konsumentów dotyczących organizacji Urzędu. W szczególności ww. t</w:t>
      </w:r>
      <w:r w:rsidR="00353060">
        <w:rPr>
          <w:rFonts w:ascii="Times New Roman" w:hAnsi="Times New Roman" w:cs="Times New Roman"/>
          <w:szCs w:val="24"/>
        </w:rPr>
        <w:t>ermin jest konieczny</w:t>
      </w:r>
      <w:r w:rsidR="00837CAC">
        <w:rPr>
          <w:rFonts w:ascii="Times New Roman" w:hAnsi="Times New Roman" w:cs="Times New Roman"/>
          <w:szCs w:val="24"/>
        </w:rPr>
        <w:t xml:space="preserve"> dla opracowania nowego zarządzenia Prezesa Rady Ministrów w sprawie nadania statutu UOKiK, tak aby weszło ono w życie równolegle z ww. przepisami ustawy.</w:t>
      </w:r>
    </w:p>
    <w:p w14:paraId="712D0F00" w14:textId="6437C662" w:rsidR="0045619C" w:rsidRPr="00F62784" w:rsidRDefault="004957F3" w:rsidP="007A1DC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Zapewnienie </w:t>
      </w:r>
      <w:r w:rsidR="0045619C" w:rsidRPr="00F6278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projektowaną ustawą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stosowania </w:t>
      </w:r>
      <w:r w:rsidR="0045619C" w:rsidRPr="00F62784">
        <w:rPr>
          <w:rFonts w:ascii="Times New Roman" w:eastAsiaTheme="minorEastAsia" w:hAnsi="Times New Roman" w:cs="Times New Roman"/>
          <w:sz w:val="24"/>
          <w:szCs w:val="24"/>
          <w:lang w:eastAsia="pl-PL"/>
        </w:rPr>
        <w:t>rozporządzenia 2018/302 będzie pozytywnie wpływać na funkcjonowanie przedsiębiorców</w:t>
      </w:r>
      <w:r w:rsidR="000A0279">
        <w:rPr>
          <w:rFonts w:ascii="Times New Roman" w:eastAsiaTheme="minorEastAsia" w:hAnsi="Times New Roman" w:cs="Times New Roman"/>
          <w:sz w:val="24"/>
          <w:szCs w:val="24"/>
          <w:lang w:eastAsia="pl-PL"/>
        </w:rPr>
        <w:t>, w tym na sektor mikro-, małych i średnich przedsiębiorców,</w:t>
      </w:r>
      <w:r w:rsidR="0045619C" w:rsidRPr="00F6278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oraz konsumentów. Motyw 5 rozporządzenia jasno określa cel regulacji oraz skutki</w:t>
      </w:r>
      <w:r w:rsidR="00C6621F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="0045619C" w:rsidRPr="00F6278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jakie w ww. zakresie powinna wywrzeć wprowadzana zmiana:</w:t>
      </w:r>
    </w:p>
    <w:p w14:paraId="68A564BD" w14:textId="77777777" w:rsidR="0045619C" w:rsidRDefault="0045619C" w:rsidP="00F6278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62784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</w:t>
      </w:r>
      <w:r w:rsidRPr="00F62784"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  <w:t>W celu zapewnienia dobrego funkcjonowania rynku wewnętrznego oraz ułatwiania dostępu do towarów i usług, a także ich swobodnego przepływu w całej Unii, bez dyskryminacji ze względu na przynależność państwową, miejsce zamieszkania lub miejsce prowadzenia działalności konieczne jest zatem ustanowienie w niniejszym rozporządzeniu ukierunkowanych środków, które stworzą jasny, jednolity i skuteczny zestaw przepisów dotyczących wybranych zagadnień. Środki te powinny mieć na celu poszerzenie kierowanej do klientów oferty handlowej oraz poprawę ich dostępu do towarów i usług, przy jednoczesnym uwzględnieniu przysługującej przedsiębiorcom swobody ustalania własnej polityki handlowej zgodnie z prawem unijnym i krajowym</w:t>
      </w:r>
      <w:r w:rsidRPr="00F62784">
        <w:rPr>
          <w:rFonts w:ascii="Times New Roman" w:eastAsiaTheme="minorEastAsia" w:hAnsi="Times New Roman" w:cs="Times New Roman"/>
          <w:sz w:val="24"/>
          <w:szCs w:val="24"/>
          <w:lang w:eastAsia="pl-PL"/>
        </w:rPr>
        <w:t>.”.</w:t>
      </w:r>
    </w:p>
    <w:p w14:paraId="755671CD" w14:textId="77777777" w:rsidR="009A32D1" w:rsidRDefault="0093692D" w:rsidP="007A1DC1">
      <w:pPr>
        <w:tabs>
          <w:tab w:val="left" w:pos="5250"/>
        </w:tabs>
        <w:spacing w:before="120" w:after="0" w:line="360" w:lineRule="auto"/>
        <w:jc w:val="both"/>
        <w:rPr>
          <w:rFonts w:ascii="Times New Roman" w:hAnsi="Times New Roman" w:cs="Times New Roman"/>
          <w:spacing w:val="-2"/>
          <w:szCs w:val="24"/>
        </w:rPr>
      </w:pPr>
      <w:r w:rsidRPr="00136F65">
        <w:rPr>
          <w:rFonts w:ascii="Times New Roman" w:hAnsi="Times New Roman" w:cs="Times New Roman"/>
          <w:szCs w:val="24"/>
        </w:rPr>
        <w:t>Projekt jest zgodny z prawem Unii Europejskiej.</w:t>
      </w:r>
    </w:p>
    <w:p w14:paraId="3E21701E" w14:textId="0BFC317C" w:rsidR="00EC3388" w:rsidRPr="009A32D1" w:rsidRDefault="0093692D" w:rsidP="007A1DC1">
      <w:pPr>
        <w:pStyle w:val="ARTartustawynprozporzdzenia"/>
        <w:ind w:firstLine="0"/>
        <w:rPr>
          <w:rFonts w:ascii="Times New Roman" w:hAnsi="Times New Roman" w:cs="Times New Roman"/>
          <w:spacing w:val="-2"/>
          <w:szCs w:val="24"/>
        </w:rPr>
      </w:pPr>
      <w:r w:rsidRPr="00136F65">
        <w:rPr>
          <w:rFonts w:ascii="Times New Roman" w:hAnsi="Times New Roman" w:cs="Times New Roman"/>
          <w:szCs w:val="24"/>
        </w:rPr>
        <w:lastRenderedPageBreak/>
        <w:t xml:space="preserve">Projekt nie zawiera </w:t>
      </w:r>
      <w:r w:rsidR="00340CBA" w:rsidRPr="00136F65">
        <w:rPr>
          <w:rFonts w:ascii="Times New Roman" w:hAnsi="Times New Roman" w:cs="Times New Roman"/>
          <w:szCs w:val="24"/>
        </w:rPr>
        <w:t xml:space="preserve">przepisów </w:t>
      </w:r>
      <w:r w:rsidRPr="00136F65">
        <w:rPr>
          <w:rFonts w:ascii="Times New Roman" w:hAnsi="Times New Roman" w:cs="Times New Roman"/>
          <w:szCs w:val="24"/>
        </w:rPr>
        <w:t xml:space="preserve">technicznych w rozumieniu przepisów rozporządzenia Rady Ministrów z dnia 23 grudnia 2002 r. w sprawie sposobu funkcjonowania krajowego systemu notyfikacji norm i aktów prawnych </w:t>
      </w:r>
      <w:r w:rsidR="00340CBA" w:rsidRPr="00136F65">
        <w:rPr>
          <w:rFonts w:ascii="Times New Roman" w:hAnsi="Times New Roman" w:cs="Times New Roman"/>
          <w:szCs w:val="24"/>
        </w:rPr>
        <w:t>(Dz. U. poz. 2039 oraz z 2004 r. poz. 597)</w:t>
      </w:r>
      <w:r w:rsidR="00041DA0" w:rsidRPr="00136F65">
        <w:rPr>
          <w:rFonts w:ascii="Times New Roman" w:hAnsi="Times New Roman" w:cs="Times New Roman"/>
          <w:szCs w:val="24"/>
        </w:rPr>
        <w:t xml:space="preserve"> </w:t>
      </w:r>
      <w:r w:rsidR="008377A5">
        <w:rPr>
          <w:rFonts w:ascii="Times New Roman" w:hAnsi="Times New Roman" w:cs="Times New Roman"/>
          <w:szCs w:val="24"/>
        </w:rPr>
        <w:t>i </w:t>
      </w:r>
      <w:r w:rsidRPr="00136F65">
        <w:rPr>
          <w:rFonts w:ascii="Times New Roman" w:hAnsi="Times New Roman" w:cs="Times New Roman"/>
          <w:szCs w:val="24"/>
        </w:rPr>
        <w:t>nie podlega notyfikacji.</w:t>
      </w:r>
    </w:p>
    <w:p w14:paraId="51FB27C6" w14:textId="541289FE" w:rsidR="002F584F" w:rsidRPr="00136F65" w:rsidRDefault="004627DE" w:rsidP="007A1DC1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36F65">
        <w:rPr>
          <w:rFonts w:ascii="Times New Roman" w:hAnsi="Times New Roman" w:cs="Times New Roman"/>
          <w:szCs w:val="24"/>
        </w:rPr>
        <w:t xml:space="preserve">Projekt nie podlega również przedstawieniu właściwym </w:t>
      </w:r>
      <w:r w:rsidR="00563B35" w:rsidRPr="00136F65">
        <w:rPr>
          <w:rFonts w:ascii="Times New Roman" w:hAnsi="Times New Roman" w:cs="Times New Roman"/>
          <w:szCs w:val="24"/>
        </w:rPr>
        <w:t xml:space="preserve">organom i </w:t>
      </w:r>
      <w:r w:rsidRPr="00136F65">
        <w:rPr>
          <w:rFonts w:ascii="Times New Roman" w:hAnsi="Times New Roman" w:cs="Times New Roman"/>
          <w:szCs w:val="24"/>
        </w:rPr>
        <w:t xml:space="preserve">instytucjom Unii Europejskiej, </w:t>
      </w:r>
      <w:r w:rsidR="00563B35" w:rsidRPr="00136F65">
        <w:rPr>
          <w:rFonts w:ascii="Times New Roman" w:hAnsi="Times New Roman" w:cs="Times New Roman"/>
          <w:szCs w:val="24"/>
        </w:rPr>
        <w:t>w tym Europejskiemu Bankowi Centralnemu, w celu uzyskania opinii, dokonania powiadomienia, konsultacji albo uzgodnienia</w:t>
      </w:r>
      <w:r w:rsidRPr="00136F65">
        <w:rPr>
          <w:rFonts w:ascii="Times New Roman" w:hAnsi="Times New Roman" w:cs="Times New Roman"/>
          <w:szCs w:val="24"/>
        </w:rPr>
        <w:t>.</w:t>
      </w:r>
    </w:p>
    <w:p w14:paraId="581EE72D" w14:textId="72484EFF" w:rsidR="00EA74A8" w:rsidRDefault="004627DE" w:rsidP="00A124A8">
      <w:pPr>
        <w:pStyle w:val="ARTartustawynprozporzdzenia"/>
        <w:spacing w:before="0"/>
        <w:ind w:firstLine="0"/>
      </w:pPr>
      <w:r w:rsidRPr="00136F65">
        <w:rPr>
          <w:rFonts w:ascii="Times New Roman" w:hAnsi="Times New Roman" w:cs="Times New Roman"/>
          <w:szCs w:val="24"/>
        </w:rPr>
        <w:t>Projekt zosta</w:t>
      </w:r>
      <w:r w:rsidR="00AB609A">
        <w:rPr>
          <w:rFonts w:ascii="Times New Roman" w:hAnsi="Times New Roman" w:cs="Times New Roman"/>
          <w:szCs w:val="24"/>
        </w:rPr>
        <w:t>ł</w:t>
      </w:r>
      <w:r w:rsidRPr="00136F65">
        <w:rPr>
          <w:rFonts w:ascii="Times New Roman" w:hAnsi="Times New Roman" w:cs="Times New Roman"/>
          <w:szCs w:val="24"/>
        </w:rPr>
        <w:t xml:space="preserve"> udostępniony </w:t>
      </w:r>
      <w:r w:rsidR="007B2458" w:rsidRPr="00136F65">
        <w:rPr>
          <w:rFonts w:ascii="Times New Roman" w:hAnsi="Times New Roman" w:cs="Times New Roman"/>
          <w:szCs w:val="24"/>
        </w:rPr>
        <w:t>w Biuletynie Informa</w:t>
      </w:r>
      <w:r w:rsidR="008377A5">
        <w:rPr>
          <w:rFonts w:ascii="Times New Roman" w:hAnsi="Times New Roman" w:cs="Times New Roman"/>
          <w:szCs w:val="24"/>
        </w:rPr>
        <w:t>cji Publicznej UOKiK, zgodnie z </w:t>
      </w:r>
      <w:r w:rsidR="007B2458" w:rsidRPr="00136F65">
        <w:rPr>
          <w:rFonts w:ascii="Times New Roman" w:hAnsi="Times New Roman" w:cs="Times New Roman"/>
          <w:szCs w:val="24"/>
        </w:rPr>
        <w:t xml:space="preserve">ustawą z dnia 7 lipca 2005 r. o działalności lobbingowej w procesie stanowienia prawa (Dz. U. z 2017 r. poz. 248) oraz </w:t>
      </w:r>
      <w:r w:rsidR="00C17061" w:rsidRPr="00136F65">
        <w:rPr>
          <w:rFonts w:ascii="Times New Roman" w:hAnsi="Times New Roman" w:cs="Times New Roman"/>
          <w:szCs w:val="24"/>
        </w:rPr>
        <w:t>w Biuletynie</w:t>
      </w:r>
      <w:r w:rsidRPr="00136F65">
        <w:rPr>
          <w:rFonts w:ascii="Times New Roman" w:hAnsi="Times New Roman" w:cs="Times New Roman"/>
          <w:szCs w:val="24"/>
        </w:rPr>
        <w:t xml:space="preserve"> Informacji Publicznej </w:t>
      </w:r>
      <w:r w:rsidR="00C17061" w:rsidRPr="00136F65">
        <w:rPr>
          <w:rFonts w:ascii="Times New Roman" w:hAnsi="Times New Roman" w:cs="Times New Roman"/>
          <w:szCs w:val="24"/>
        </w:rPr>
        <w:t xml:space="preserve">na stronie podmiotowej </w:t>
      </w:r>
      <w:r w:rsidRPr="00136F65">
        <w:rPr>
          <w:rFonts w:ascii="Times New Roman" w:hAnsi="Times New Roman" w:cs="Times New Roman"/>
          <w:szCs w:val="24"/>
        </w:rPr>
        <w:t xml:space="preserve">Rządowego Centrum Legislacji w </w:t>
      </w:r>
      <w:r w:rsidR="00C17061" w:rsidRPr="00136F65">
        <w:rPr>
          <w:rFonts w:ascii="Times New Roman" w:hAnsi="Times New Roman" w:cs="Times New Roman"/>
          <w:szCs w:val="24"/>
        </w:rPr>
        <w:t>serwisie</w:t>
      </w:r>
      <w:r w:rsidRPr="00136F65">
        <w:rPr>
          <w:rFonts w:ascii="Times New Roman" w:hAnsi="Times New Roman" w:cs="Times New Roman"/>
          <w:szCs w:val="24"/>
        </w:rPr>
        <w:t xml:space="preserve"> </w:t>
      </w:r>
      <w:r w:rsidR="003B37A6">
        <w:rPr>
          <w:rFonts w:ascii="Times New Roman" w:hAnsi="Times New Roman" w:cs="Times New Roman"/>
          <w:szCs w:val="24"/>
        </w:rPr>
        <w:t>„</w:t>
      </w:r>
      <w:r w:rsidRPr="00136F65">
        <w:rPr>
          <w:rFonts w:ascii="Times New Roman" w:hAnsi="Times New Roman" w:cs="Times New Roman"/>
          <w:szCs w:val="24"/>
        </w:rPr>
        <w:t>Rządowy Proces Legislacyjny</w:t>
      </w:r>
      <w:r w:rsidR="003B37A6">
        <w:rPr>
          <w:rFonts w:ascii="Times New Roman" w:hAnsi="Times New Roman" w:cs="Times New Roman"/>
          <w:szCs w:val="24"/>
        </w:rPr>
        <w:t>”</w:t>
      </w:r>
      <w:r w:rsidR="00F841CC" w:rsidRPr="00136F65">
        <w:rPr>
          <w:rFonts w:ascii="Times New Roman" w:hAnsi="Times New Roman" w:cs="Times New Roman"/>
          <w:szCs w:val="24"/>
        </w:rPr>
        <w:t>,</w:t>
      </w:r>
      <w:r w:rsidR="007B2458" w:rsidRPr="00136F65">
        <w:rPr>
          <w:rFonts w:ascii="Times New Roman" w:hAnsi="Times New Roman" w:cs="Times New Roman"/>
          <w:szCs w:val="24"/>
        </w:rPr>
        <w:t xml:space="preserve"> zgodnie z </w:t>
      </w:r>
      <w:r w:rsidR="006639B5" w:rsidRPr="006639B5">
        <w:rPr>
          <w:rFonts w:ascii="Times New Roman" w:hAnsi="Times New Roman" w:cs="Times New Roman"/>
          <w:szCs w:val="24"/>
        </w:rPr>
        <w:t>§ 52</w:t>
      </w:r>
      <w:r w:rsidR="006639B5">
        <w:rPr>
          <w:rFonts w:ascii="Times New Roman" w:hAnsi="Times New Roman" w:cs="Times New Roman"/>
          <w:szCs w:val="24"/>
        </w:rPr>
        <w:t xml:space="preserve"> ust. 1 </w:t>
      </w:r>
      <w:r w:rsidR="007B2458" w:rsidRPr="00136F65">
        <w:rPr>
          <w:rFonts w:ascii="Times New Roman" w:hAnsi="Times New Roman" w:cs="Times New Roman"/>
          <w:szCs w:val="24"/>
        </w:rPr>
        <w:t>uchwał</w:t>
      </w:r>
      <w:r w:rsidR="006639B5">
        <w:rPr>
          <w:rFonts w:ascii="Times New Roman" w:hAnsi="Times New Roman" w:cs="Times New Roman"/>
          <w:szCs w:val="24"/>
        </w:rPr>
        <w:t>y nr</w:t>
      </w:r>
      <w:r w:rsidR="00886058">
        <w:rPr>
          <w:rFonts w:ascii="Times New Roman" w:hAnsi="Times New Roman" w:cs="Times New Roman"/>
          <w:szCs w:val="24"/>
        </w:rPr>
        <w:t xml:space="preserve"> </w:t>
      </w:r>
      <w:r w:rsidR="005307B7">
        <w:rPr>
          <w:rFonts w:ascii="Times New Roman" w:hAnsi="Times New Roman" w:cs="Times New Roman"/>
          <w:szCs w:val="24"/>
        </w:rPr>
        <w:t>190 Rady Ministrów z dnia 29 </w:t>
      </w:r>
      <w:bookmarkStart w:id="0" w:name="_GoBack"/>
      <w:bookmarkEnd w:id="0"/>
      <w:r w:rsidR="007B2458" w:rsidRPr="00136F65">
        <w:rPr>
          <w:rFonts w:ascii="Times New Roman" w:hAnsi="Times New Roman" w:cs="Times New Roman"/>
          <w:szCs w:val="24"/>
        </w:rPr>
        <w:t>października 2013 r. – Regulamin pracy Rady Ministrów (M.P. z 2016 r. poz. 1006, z późn. zm.).</w:t>
      </w:r>
      <w:r w:rsidR="00AB609A">
        <w:rPr>
          <w:rFonts w:ascii="Times New Roman" w:hAnsi="Times New Roman" w:cs="Times New Roman"/>
          <w:szCs w:val="24"/>
        </w:rPr>
        <w:t xml:space="preserve"> Do chwili obecnej </w:t>
      </w:r>
      <w:r w:rsidR="00AB609A">
        <w:t>d</w:t>
      </w:r>
      <w:r w:rsidR="00AB609A" w:rsidRPr="00F94119">
        <w:t xml:space="preserve">o </w:t>
      </w:r>
      <w:r w:rsidR="005D5CED">
        <w:t xml:space="preserve">UOKiK </w:t>
      </w:r>
      <w:r w:rsidR="00AB609A">
        <w:t xml:space="preserve">nie </w:t>
      </w:r>
      <w:r w:rsidR="00AB609A" w:rsidRPr="00F94119">
        <w:t>wpłynęło zgłoszenie zainteresowania pracami nad projektem ustawy</w:t>
      </w:r>
      <w:r w:rsidR="00CA698B">
        <w:t>.</w:t>
      </w:r>
    </w:p>
    <w:sectPr w:rsidR="00EA74A8" w:rsidSect="008377A5">
      <w:footerReference w:type="default" r:id="rId13"/>
      <w:pgSz w:w="11906" w:h="16838"/>
      <w:pgMar w:top="1588" w:right="1418" w:bottom="1418" w:left="1985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16B10A" w16cid:durableId="1F2FAAAD"/>
  <w16cid:commentId w16cid:paraId="13929F95" w16cid:durableId="1F2FAA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4CD0E" w14:textId="77777777" w:rsidR="009B40B2" w:rsidRDefault="009B40B2" w:rsidP="00B46B1B">
      <w:pPr>
        <w:spacing w:after="0" w:line="240" w:lineRule="auto"/>
      </w:pPr>
      <w:r>
        <w:separator/>
      </w:r>
    </w:p>
  </w:endnote>
  <w:endnote w:type="continuationSeparator" w:id="0">
    <w:p w14:paraId="7815ABEA" w14:textId="77777777" w:rsidR="009B40B2" w:rsidRDefault="009B40B2" w:rsidP="00B4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5087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506FA1" w14:textId="7AB4639C" w:rsidR="00B46B1B" w:rsidRPr="007A1DC1" w:rsidRDefault="002F584F" w:rsidP="007A1DC1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1D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1D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1D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07B7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7A1D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7045F" w14:textId="77777777" w:rsidR="009B40B2" w:rsidRDefault="009B40B2" w:rsidP="00B46B1B">
      <w:pPr>
        <w:spacing w:after="0" w:line="240" w:lineRule="auto"/>
      </w:pPr>
      <w:r>
        <w:separator/>
      </w:r>
    </w:p>
  </w:footnote>
  <w:footnote w:type="continuationSeparator" w:id="0">
    <w:p w14:paraId="3EBF7AA8" w14:textId="77777777" w:rsidR="009B40B2" w:rsidRDefault="009B40B2" w:rsidP="00B46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6BC"/>
    <w:multiLevelType w:val="hybridMultilevel"/>
    <w:tmpl w:val="89A2A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9F9"/>
    <w:multiLevelType w:val="hybridMultilevel"/>
    <w:tmpl w:val="1AFA6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16E3E"/>
    <w:multiLevelType w:val="hybridMultilevel"/>
    <w:tmpl w:val="1302B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E1782"/>
    <w:multiLevelType w:val="multilevel"/>
    <w:tmpl w:val="00CE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7732B1"/>
    <w:multiLevelType w:val="hybridMultilevel"/>
    <w:tmpl w:val="54E8BA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750762"/>
    <w:multiLevelType w:val="hybridMultilevel"/>
    <w:tmpl w:val="5CD49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95"/>
    <w:rsid w:val="0000065D"/>
    <w:rsid w:val="000116CF"/>
    <w:rsid w:val="000157B8"/>
    <w:rsid w:val="000231C8"/>
    <w:rsid w:val="00031BE6"/>
    <w:rsid w:val="00032F03"/>
    <w:rsid w:val="000339C6"/>
    <w:rsid w:val="00035295"/>
    <w:rsid w:val="00035C76"/>
    <w:rsid w:val="00041DA0"/>
    <w:rsid w:val="00042823"/>
    <w:rsid w:val="000431C2"/>
    <w:rsid w:val="00050280"/>
    <w:rsid w:val="0005037B"/>
    <w:rsid w:val="0007733D"/>
    <w:rsid w:val="000804B8"/>
    <w:rsid w:val="00084F26"/>
    <w:rsid w:val="000A0279"/>
    <w:rsid w:val="000A38C8"/>
    <w:rsid w:val="000A64A9"/>
    <w:rsid w:val="000B2F0D"/>
    <w:rsid w:val="000E4B83"/>
    <w:rsid w:val="000E6CF5"/>
    <w:rsid w:val="000F274B"/>
    <w:rsid w:val="001049C5"/>
    <w:rsid w:val="00114D4D"/>
    <w:rsid w:val="001216EA"/>
    <w:rsid w:val="0012364F"/>
    <w:rsid w:val="00132863"/>
    <w:rsid w:val="00134EC7"/>
    <w:rsid w:val="00136F65"/>
    <w:rsid w:val="00137D9F"/>
    <w:rsid w:val="00147EC9"/>
    <w:rsid w:val="00164740"/>
    <w:rsid w:val="0017010A"/>
    <w:rsid w:val="00175050"/>
    <w:rsid w:val="00183387"/>
    <w:rsid w:val="00183F7D"/>
    <w:rsid w:val="00193238"/>
    <w:rsid w:val="001A137C"/>
    <w:rsid w:val="001A22F8"/>
    <w:rsid w:val="001A2CB5"/>
    <w:rsid w:val="001A3094"/>
    <w:rsid w:val="001A74D0"/>
    <w:rsid w:val="001C5DCC"/>
    <w:rsid w:val="001D0030"/>
    <w:rsid w:val="001E448F"/>
    <w:rsid w:val="001E6894"/>
    <w:rsid w:val="001F3AC1"/>
    <w:rsid w:val="00200546"/>
    <w:rsid w:val="00200A1F"/>
    <w:rsid w:val="00211365"/>
    <w:rsid w:val="00211627"/>
    <w:rsid w:val="00212229"/>
    <w:rsid w:val="00223AB9"/>
    <w:rsid w:val="00226029"/>
    <w:rsid w:val="00243E59"/>
    <w:rsid w:val="00265397"/>
    <w:rsid w:val="00275E41"/>
    <w:rsid w:val="00277860"/>
    <w:rsid w:val="00292511"/>
    <w:rsid w:val="002A0259"/>
    <w:rsid w:val="002A07EE"/>
    <w:rsid w:val="002B4C70"/>
    <w:rsid w:val="002B5086"/>
    <w:rsid w:val="002B6FC1"/>
    <w:rsid w:val="002C1119"/>
    <w:rsid w:val="002C35F5"/>
    <w:rsid w:val="002C4665"/>
    <w:rsid w:val="002F0294"/>
    <w:rsid w:val="002F3DCD"/>
    <w:rsid w:val="002F584F"/>
    <w:rsid w:val="002F67C7"/>
    <w:rsid w:val="002F7CDB"/>
    <w:rsid w:val="0031467A"/>
    <w:rsid w:val="003175CE"/>
    <w:rsid w:val="00340CBA"/>
    <w:rsid w:val="003500DA"/>
    <w:rsid w:val="00353060"/>
    <w:rsid w:val="00361B1F"/>
    <w:rsid w:val="0036596B"/>
    <w:rsid w:val="003A1D13"/>
    <w:rsid w:val="003A4577"/>
    <w:rsid w:val="003A5F73"/>
    <w:rsid w:val="003A600D"/>
    <w:rsid w:val="003B37A6"/>
    <w:rsid w:val="003B4540"/>
    <w:rsid w:val="003C4199"/>
    <w:rsid w:val="003D4A39"/>
    <w:rsid w:val="003D7F50"/>
    <w:rsid w:val="003E3F27"/>
    <w:rsid w:val="003E43E0"/>
    <w:rsid w:val="003F24EE"/>
    <w:rsid w:val="003F4D29"/>
    <w:rsid w:val="00401559"/>
    <w:rsid w:val="00404B96"/>
    <w:rsid w:val="00422812"/>
    <w:rsid w:val="004327CC"/>
    <w:rsid w:val="00433175"/>
    <w:rsid w:val="004355B3"/>
    <w:rsid w:val="004461CD"/>
    <w:rsid w:val="004501C3"/>
    <w:rsid w:val="00451673"/>
    <w:rsid w:val="0045619C"/>
    <w:rsid w:val="004627DE"/>
    <w:rsid w:val="004641B3"/>
    <w:rsid w:val="00471B21"/>
    <w:rsid w:val="00490DB3"/>
    <w:rsid w:val="004957F3"/>
    <w:rsid w:val="004969DC"/>
    <w:rsid w:val="004A16AE"/>
    <w:rsid w:val="004A1797"/>
    <w:rsid w:val="004A2A20"/>
    <w:rsid w:val="004B64B0"/>
    <w:rsid w:val="004C4911"/>
    <w:rsid w:val="004D3BD6"/>
    <w:rsid w:val="004F5125"/>
    <w:rsid w:val="004F65ED"/>
    <w:rsid w:val="005021D6"/>
    <w:rsid w:val="00506F7E"/>
    <w:rsid w:val="005107F7"/>
    <w:rsid w:val="00511955"/>
    <w:rsid w:val="00520876"/>
    <w:rsid w:val="005245C2"/>
    <w:rsid w:val="005307B7"/>
    <w:rsid w:val="005403D9"/>
    <w:rsid w:val="00543734"/>
    <w:rsid w:val="005551DA"/>
    <w:rsid w:val="00563B35"/>
    <w:rsid w:val="00587AA6"/>
    <w:rsid w:val="005A2FC6"/>
    <w:rsid w:val="005B1707"/>
    <w:rsid w:val="005B2DAB"/>
    <w:rsid w:val="005D4658"/>
    <w:rsid w:val="005D5CED"/>
    <w:rsid w:val="005F0EAE"/>
    <w:rsid w:val="005F5C80"/>
    <w:rsid w:val="005F60DB"/>
    <w:rsid w:val="00607477"/>
    <w:rsid w:val="00617078"/>
    <w:rsid w:val="0062073A"/>
    <w:rsid w:val="00631174"/>
    <w:rsid w:val="00633395"/>
    <w:rsid w:val="006342C3"/>
    <w:rsid w:val="00651F9D"/>
    <w:rsid w:val="0065617E"/>
    <w:rsid w:val="00656622"/>
    <w:rsid w:val="006626B4"/>
    <w:rsid w:val="006639B5"/>
    <w:rsid w:val="00673E66"/>
    <w:rsid w:val="006803C2"/>
    <w:rsid w:val="006823C5"/>
    <w:rsid w:val="00684C1F"/>
    <w:rsid w:val="00685E1F"/>
    <w:rsid w:val="006877FB"/>
    <w:rsid w:val="00692F64"/>
    <w:rsid w:val="006A1CA5"/>
    <w:rsid w:val="006A45FA"/>
    <w:rsid w:val="006A52C3"/>
    <w:rsid w:val="006A5EA8"/>
    <w:rsid w:val="006B3821"/>
    <w:rsid w:val="006B5D9A"/>
    <w:rsid w:val="006B6485"/>
    <w:rsid w:val="006D625A"/>
    <w:rsid w:val="006E782B"/>
    <w:rsid w:val="006F0845"/>
    <w:rsid w:val="006F2C6F"/>
    <w:rsid w:val="00701E92"/>
    <w:rsid w:val="00711D28"/>
    <w:rsid w:val="00724AFC"/>
    <w:rsid w:val="007268AF"/>
    <w:rsid w:val="00736615"/>
    <w:rsid w:val="00737E3B"/>
    <w:rsid w:val="007424AE"/>
    <w:rsid w:val="00746F94"/>
    <w:rsid w:val="00773297"/>
    <w:rsid w:val="00780C30"/>
    <w:rsid w:val="0078379E"/>
    <w:rsid w:val="00783CC3"/>
    <w:rsid w:val="007A074E"/>
    <w:rsid w:val="007A08DA"/>
    <w:rsid w:val="007A1DC1"/>
    <w:rsid w:val="007A69BF"/>
    <w:rsid w:val="007B2458"/>
    <w:rsid w:val="007B50E8"/>
    <w:rsid w:val="007B6531"/>
    <w:rsid w:val="007C4D36"/>
    <w:rsid w:val="007D5A70"/>
    <w:rsid w:val="007E1737"/>
    <w:rsid w:val="007E5484"/>
    <w:rsid w:val="007E58D5"/>
    <w:rsid w:val="007F0C86"/>
    <w:rsid w:val="007F15F3"/>
    <w:rsid w:val="007F24AD"/>
    <w:rsid w:val="00813E0D"/>
    <w:rsid w:val="00827950"/>
    <w:rsid w:val="008336AB"/>
    <w:rsid w:val="008377A5"/>
    <w:rsid w:val="00837CAC"/>
    <w:rsid w:val="00841CB6"/>
    <w:rsid w:val="008432B4"/>
    <w:rsid w:val="00852877"/>
    <w:rsid w:val="00853E4F"/>
    <w:rsid w:val="0086290B"/>
    <w:rsid w:val="00864558"/>
    <w:rsid w:val="00864759"/>
    <w:rsid w:val="00874195"/>
    <w:rsid w:val="008765BC"/>
    <w:rsid w:val="008834CD"/>
    <w:rsid w:val="00886058"/>
    <w:rsid w:val="00892EA8"/>
    <w:rsid w:val="008A4021"/>
    <w:rsid w:val="008A40B2"/>
    <w:rsid w:val="008D2D86"/>
    <w:rsid w:val="008F42A8"/>
    <w:rsid w:val="00902820"/>
    <w:rsid w:val="009129A9"/>
    <w:rsid w:val="00925291"/>
    <w:rsid w:val="00930256"/>
    <w:rsid w:val="00932358"/>
    <w:rsid w:val="0093692D"/>
    <w:rsid w:val="00941174"/>
    <w:rsid w:val="00942E71"/>
    <w:rsid w:val="00944570"/>
    <w:rsid w:val="00956C48"/>
    <w:rsid w:val="009606D3"/>
    <w:rsid w:val="00960A6D"/>
    <w:rsid w:val="009679D1"/>
    <w:rsid w:val="00981DF5"/>
    <w:rsid w:val="009842C3"/>
    <w:rsid w:val="00985898"/>
    <w:rsid w:val="00990D5A"/>
    <w:rsid w:val="00995B52"/>
    <w:rsid w:val="009A32D1"/>
    <w:rsid w:val="009B40B2"/>
    <w:rsid w:val="009C4702"/>
    <w:rsid w:val="009C6AD6"/>
    <w:rsid w:val="009C6C79"/>
    <w:rsid w:val="009C76CE"/>
    <w:rsid w:val="009E52C3"/>
    <w:rsid w:val="009E68FB"/>
    <w:rsid w:val="009F0370"/>
    <w:rsid w:val="009F3D61"/>
    <w:rsid w:val="00A0759D"/>
    <w:rsid w:val="00A122F4"/>
    <w:rsid w:val="00A124A8"/>
    <w:rsid w:val="00A12C2E"/>
    <w:rsid w:val="00A153A0"/>
    <w:rsid w:val="00A45AC4"/>
    <w:rsid w:val="00A50628"/>
    <w:rsid w:val="00A5106D"/>
    <w:rsid w:val="00A67896"/>
    <w:rsid w:val="00A80F21"/>
    <w:rsid w:val="00A91A11"/>
    <w:rsid w:val="00AB2258"/>
    <w:rsid w:val="00AB609A"/>
    <w:rsid w:val="00AB6EA7"/>
    <w:rsid w:val="00AC1495"/>
    <w:rsid w:val="00AC397B"/>
    <w:rsid w:val="00AC528B"/>
    <w:rsid w:val="00AC6104"/>
    <w:rsid w:val="00AD5AF6"/>
    <w:rsid w:val="00AF434E"/>
    <w:rsid w:val="00B0381E"/>
    <w:rsid w:val="00B239CD"/>
    <w:rsid w:val="00B23E91"/>
    <w:rsid w:val="00B262C5"/>
    <w:rsid w:val="00B26A3C"/>
    <w:rsid w:val="00B40B59"/>
    <w:rsid w:val="00B4167C"/>
    <w:rsid w:val="00B46B1B"/>
    <w:rsid w:val="00B56F0E"/>
    <w:rsid w:val="00B6190B"/>
    <w:rsid w:val="00B64E81"/>
    <w:rsid w:val="00B65E88"/>
    <w:rsid w:val="00B705E0"/>
    <w:rsid w:val="00B861B6"/>
    <w:rsid w:val="00B91DA6"/>
    <w:rsid w:val="00BA354D"/>
    <w:rsid w:val="00BB0392"/>
    <w:rsid w:val="00BB1EC5"/>
    <w:rsid w:val="00BC5BFE"/>
    <w:rsid w:val="00BD54DF"/>
    <w:rsid w:val="00BF2128"/>
    <w:rsid w:val="00C06DDC"/>
    <w:rsid w:val="00C17061"/>
    <w:rsid w:val="00C219FC"/>
    <w:rsid w:val="00C46A13"/>
    <w:rsid w:val="00C636DD"/>
    <w:rsid w:val="00C6621F"/>
    <w:rsid w:val="00C75D47"/>
    <w:rsid w:val="00C82E3C"/>
    <w:rsid w:val="00C86418"/>
    <w:rsid w:val="00C91A0F"/>
    <w:rsid w:val="00C92982"/>
    <w:rsid w:val="00C97337"/>
    <w:rsid w:val="00CA09B6"/>
    <w:rsid w:val="00CA3C6C"/>
    <w:rsid w:val="00CA5AD1"/>
    <w:rsid w:val="00CA698B"/>
    <w:rsid w:val="00CB2B5A"/>
    <w:rsid w:val="00CB2EF7"/>
    <w:rsid w:val="00CC121F"/>
    <w:rsid w:val="00CC36A1"/>
    <w:rsid w:val="00CC6ADD"/>
    <w:rsid w:val="00CD1648"/>
    <w:rsid w:val="00CD639F"/>
    <w:rsid w:val="00D03855"/>
    <w:rsid w:val="00D042A4"/>
    <w:rsid w:val="00D14712"/>
    <w:rsid w:val="00D40214"/>
    <w:rsid w:val="00D4182F"/>
    <w:rsid w:val="00D418F3"/>
    <w:rsid w:val="00D43EE3"/>
    <w:rsid w:val="00D56C4C"/>
    <w:rsid w:val="00D612A6"/>
    <w:rsid w:val="00D67D67"/>
    <w:rsid w:val="00D70CA3"/>
    <w:rsid w:val="00D71DC0"/>
    <w:rsid w:val="00D75998"/>
    <w:rsid w:val="00D803D4"/>
    <w:rsid w:val="00D81E22"/>
    <w:rsid w:val="00DA56BC"/>
    <w:rsid w:val="00DB1AA8"/>
    <w:rsid w:val="00DB4D7D"/>
    <w:rsid w:val="00DC1840"/>
    <w:rsid w:val="00DC6803"/>
    <w:rsid w:val="00DD3C4E"/>
    <w:rsid w:val="00DD3F3A"/>
    <w:rsid w:val="00DE07F5"/>
    <w:rsid w:val="00DF2ADB"/>
    <w:rsid w:val="00DF304A"/>
    <w:rsid w:val="00DF649E"/>
    <w:rsid w:val="00DF7DED"/>
    <w:rsid w:val="00E00A51"/>
    <w:rsid w:val="00E023D1"/>
    <w:rsid w:val="00E07EB6"/>
    <w:rsid w:val="00E23E0E"/>
    <w:rsid w:val="00E302CE"/>
    <w:rsid w:val="00E4118A"/>
    <w:rsid w:val="00E509B4"/>
    <w:rsid w:val="00E567B3"/>
    <w:rsid w:val="00E65A6B"/>
    <w:rsid w:val="00E65FC7"/>
    <w:rsid w:val="00E710CA"/>
    <w:rsid w:val="00E74550"/>
    <w:rsid w:val="00E7573B"/>
    <w:rsid w:val="00E82377"/>
    <w:rsid w:val="00E84EFF"/>
    <w:rsid w:val="00E90EB8"/>
    <w:rsid w:val="00E91B9F"/>
    <w:rsid w:val="00E91F8B"/>
    <w:rsid w:val="00E96591"/>
    <w:rsid w:val="00E97C38"/>
    <w:rsid w:val="00EA3591"/>
    <w:rsid w:val="00EA74A8"/>
    <w:rsid w:val="00EB2FA8"/>
    <w:rsid w:val="00EB7CE8"/>
    <w:rsid w:val="00EC3388"/>
    <w:rsid w:val="00EC4147"/>
    <w:rsid w:val="00EE288D"/>
    <w:rsid w:val="00EE2F04"/>
    <w:rsid w:val="00EE4811"/>
    <w:rsid w:val="00EE4AD6"/>
    <w:rsid w:val="00F00852"/>
    <w:rsid w:val="00F02106"/>
    <w:rsid w:val="00F06DA1"/>
    <w:rsid w:val="00F11F21"/>
    <w:rsid w:val="00F124DD"/>
    <w:rsid w:val="00F23A49"/>
    <w:rsid w:val="00F25247"/>
    <w:rsid w:val="00F33E64"/>
    <w:rsid w:val="00F3589F"/>
    <w:rsid w:val="00F375B3"/>
    <w:rsid w:val="00F413DB"/>
    <w:rsid w:val="00F52981"/>
    <w:rsid w:val="00F5568B"/>
    <w:rsid w:val="00F62784"/>
    <w:rsid w:val="00F6558C"/>
    <w:rsid w:val="00F678B2"/>
    <w:rsid w:val="00F70091"/>
    <w:rsid w:val="00F70209"/>
    <w:rsid w:val="00F712CE"/>
    <w:rsid w:val="00F72780"/>
    <w:rsid w:val="00F73B0C"/>
    <w:rsid w:val="00F76B1A"/>
    <w:rsid w:val="00F81E53"/>
    <w:rsid w:val="00F841CC"/>
    <w:rsid w:val="00F9642A"/>
    <w:rsid w:val="00FA216F"/>
    <w:rsid w:val="00FA5C66"/>
    <w:rsid w:val="00FA66A8"/>
    <w:rsid w:val="00FB1EF0"/>
    <w:rsid w:val="00FB69BE"/>
    <w:rsid w:val="00FC4D55"/>
    <w:rsid w:val="00FD1FDB"/>
    <w:rsid w:val="00FD3B3C"/>
    <w:rsid w:val="00FD4A06"/>
    <w:rsid w:val="00FD76CD"/>
    <w:rsid w:val="00FE041F"/>
    <w:rsid w:val="00FE0E91"/>
    <w:rsid w:val="00FE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3161"/>
  <w15:docId w15:val="{7D7D0531-4FB8-4E21-B642-E8D86779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149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1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E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E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E4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6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B1B"/>
  </w:style>
  <w:style w:type="paragraph" w:styleId="Stopka">
    <w:name w:val="footer"/>
    <w:basedOn w:val="Normalny"/>
    <w:link w:val="StopkaZnak"/>
    <w:uiPriority w:val="99"/>
    <w:unhideWhenUsed/>
    <w:rsid w:val="00B46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B1B"/>
  </w:style>
  <w:style w:type="paragraph" w:customStyle="1" w:styleId="ARTartustawynprozporzdzenia">
    <w:name w:val="ART(§) – art. ustawy (§ np. rozporządzenia)"/>
    <w:uiPriority w:val="11"/>
    <w:qFormat/>
    <w:rsid w:val="003D4A3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D4A39"/>
    <w:pPr>
      <w:spacing w:before="0"/>
      <w:ind w:left="510"/>
    </w:pPr>
  </w:style>
  <w:style w:type="character" w:customStyle="1" w:styleId="Ppogrubienie">
    <w:name w:val="_P_ – pogrubienie"/>
    <w:basedOn w:val="Domylnaczcionkaakapitu"/>
    <w:uiPriority w:val="1"/>
    <w:qFormat/>
    <w:rsid w:val="003D4A39"/>
    <w:rPr>
      <w:b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D7F50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USTzmustliter">
    <w:name w:val="Z_LIT/UST(§) – zm. ust. (§) literą"/>
    <w:basedOn w:val="Normalny"/>
    <w:uiPriority w:val="46"/>
    <w:qFormat/>
    <w:rsid w:val="006D625A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6D625A"/>
    <w:rPr>
      <w:i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302CE"/>
  </w:style>
  <w:style w:type="character" w:styleId="Hipercze">
    <w:name w:val="Hyperlink"/>
    <w:basedOn w:val="Domylnaczcionkaakapitu"/>
    <w:uiPriority w:val="99"/>
    <w:unhideWhenUsed/>
    <w:rsid w:val="00B91DA6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C18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931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30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58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51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3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vgaytgmzwgiyq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sip.legalis.pl/document-view.seam?documentId=mfrxilrxgazdaojrgq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p.legalis.pl/document-view.seam?documentId=mfrxilrvgaytgmzqgay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ip.legalis.pl/document-view.seam?documentId=mfrxilrvgaytgmzxguy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vgaytgmzxgq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7D496-9EF6-4A65-9F0F-A4A7C79A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4388</Words>
  <Characters>26332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30659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Pniewski</dc:creator>
  <cp:lastModifiedBy>Wójcik Aleksandra</cp:lastModifiedBy>
  <cp:revision>3</cp:revision>
  <cp:lastPrinted>2019-03-20T09:15:00Z</cp:lastPrinted>
  <dcterms:created xsi:type="dcterms:W3CDTF">2019-06-12T13:08:00Z</dcterms:created>
  <dcterms:modified xsi:type="dcterms:W3CDTF">2019-06-12T13:12:00Z</dcterms:modified>
</cp:coreProperties>
</file>