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C4" w:rsidRPr="00811CC4" w:rsidRDefault="00811CC4" w:rsidP="00811CC4">
      <w:pPr>
        <w:spacing w:after="120" w:line="360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bookmarkEnd w:id="0"/>
      <w:r w:rsidRPr="00811CC4">
        <w:rPr>
          <w:rFonts w:ascii="Times New Roman" w:eastAsia="Calibri" w:hAnsi="Times New Roman" w:cs="Times New Roman"/>
          <w:b/>
        </w:rPr>
        <w:t>UZASADNIENIE</w:t>
      </w:r>
    </w:p>
    <w:p w:rsidR="00811CC4" w:rsidRPr="00811CC4" w:rsidRDefault="00811CC4" w:rsidP="00811CC4">
      <w:pPr>
        <w:spacing w:after="120" w:line="360" w:lineRule="auto"/>
        <w:jc w:val="center"/>
        <w:rPr>
          <w:rFonts w:ascii="Times New Roman" w:eastAsia="Calibri" w:hAnsi="Times New Roman" w:cs="Times New Roman"/>
          <w:b/>
        </w:rPr>
      </w:pPr>
    </w:p>
    <w:p w:rsidR="00811CC4" w:rsidRPr="00811CC4" w:rsidRDefault="00811CC4" w:rsidP="00811CC4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Potrzeba i cel wydania ustawy</w:t>
      </w:r>
    </w:p>
    <w:p w:rsidR="00811CC4" w:rsidRPr="00811CC4" w:rsidRDefault="00811CC4" w:rsidP="00811CC4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Projektowane zmiany w ustawie z dnia 26 października 1982 r. o wychowaniu w trzeźwości i przeciwdziałaniu alkoholizmowi (Dz. U. z 2015 r. poz. 1286, 1893 i 1916) podyktowane są wieloletnim doświadczeniem organów gmin, związanym z wydawaniem zezwoleń na sprzedaż napojów alkoholowych, przy stosowaniu nieprecyzyjnych zapisów obowiązującej ustawy.</w:t>
      </w:r>
    </w:p>
    <w:p w:rsidR="00811CC4" w:rsidRPr="00811CC4" w:rsidRDefault="00811CC4" w:rsidP="00811CC4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Istotnym aspektem proponowanych zmian jest znaczna uciążliwość, powstających w istocie bez ograniczeń i możliwości skutecznej kontroli punktów sprzedających alkohol przez 24h na dobę poza miejscami sprzedaży, w kioskach uruchamianych na terenach np. osiedli mieszkaniowych, na których to uciążliwą obecność często skarżą się mieszkańcy, jak </w:t>
      </w:r>
      <w:r w:rsidRPr="00811CC4">
        <w:rPr>
          <w:rFonts w:ascii="Times New Roman" w:eastAsia="Calibri" w:hAnsi="Times New Roman" w:cs="Times New Roman"/>
          <w:sz w:val="24"/>
          <w:szCs w:val="24"/>
        </w:rPr>
        <w:br/>
        <w:t>i właściciele lokalnych czy osiedlowych sklepów. Nowelizacja, co warto podkreślić nie ogranicza żadnych praw przedsiębiorców, a jedynie daje instrumenty władzom gmin do większej kontroli nad stale rosnącą w ostatnich latach liczbą punktów sprzedaży alkoholu, poza wiedzą i zgodą danej gminy.</w:t>
      </w:r>
    </w:p>
    <w:p w:rsidR="00811CC4" w:rsidRPr="00811CC4" w:rsidRDefault="00811CC4" w:rsidP="00811CC4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Rzeczywisty stan w dziedzinie, która ma być unormowana</w:t>
      </w:r>
    </w:p>
    <w:p w:rsidR="00811CC4" w:rsidRPr="00811CC4" w:rsidRDefault="00811CC4" w:rsidP="00811CC4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Organy administracji rządowej i jednostek samorządu terytorialnego są zobowiązane do podejmowania działań zmierzających do ograniczania spożycia napojów alkoholowych oraz zmiany struktury ich spożywania, inicjowania i wspierania przedsięwzięć mających na celu zmianę obyczajów w zakresie sposobu spożywania tych napojów oraz działania na rzecz trzeźwości. Ponadto powinny podejmować działania zmierzające do ograniczania spożycia napojów alkoholowych oraz popierania postawy odpowiedzialnej sprzedaży i podawania alkoholu przez sprzedawców. Administracyjne i prawne ograniczanie dostępności alkoholu, koncesjonowanie jego produkcji i sprzedaży jest jednym z najskuteczniejszych narzędzi ograniczania zakresu problemów alkoholowych. </w:t>
      </w:r>
    </w:p>
    <w:p w:rsidR="00811CC4" w:rsidRPr="00811CC4" w:rsidRDefault="00811CC4" w:rsidP="00811CC4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Różnica pomiędzy dotychczasowym a projektowanym stanem prawnym</w:t>
      </w:r>
    </w:p>
    <w:p w:rsidR="00811CC4" w:rsidRPr="00811CC4" w:rsidRDefault="00811CC4" w:rsidP="00811CC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Według punktu 1 projektu rady gmin – zgodnie z ideą ustawy – będą mogły skuteczniej kontrolować i w miarę potrzeby ograniczać wzrost liczby punktów posiadających zezwolenia na sprzedaż napojów alkoholowych poza miejscem sprzedaży, w których alkohol jest dostępny bez ograniczeń, zarówno czasowych jak i miejscowych. </w:t>
      </w:r>
    </w:p>
    <w:p w:rsidR="00811CC4" w:rsidRPr="00811CC4" w:rsidRDefault="00811CC4" w:rsidP="00811CC4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Punkt 2 jest próbą doprecyzowania przepisów dotyczących tzw. zezwoleń cateringowych. Dotychczas przedsiębiorcy, często obchodząc przepisy prawa, wykorzystywali zezwolenia do </w:t>
      </w:r>
      <w:r w:rsidRPr="00811CC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sprzedaży i podawania alkoholu w miejscu sprzedaży bez wymaganego zezwolenia. Poprawki umożliwiają utworzenie definicji „organizacji przyjęć” oraz wskazują organ właściwy do wydania stosowanego zezwolenia. </w:t>
      </w:r>
    </w:p>
    <w:p w:rsidR="00811CC4" w:rsidRPr="00811CC4" w:rsidRDefault="00811CC4" w:rsidP="00811CC4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W pkt 3 pragniemy zmienić przepisy dotyczące cofnięcia zezwoleń na sprzedaż napojów alkoholowych w taki sposób, aby przedsiębiorca bardziej respektował przepisy ustawy i dbał </w:t>
      </w:r>
      <w:r w:rsidR="000D437F">
        <w:rPr>
          <w:rFonts w:ascii="Times New Roman" w:eastAsia="Calibri" w:hAnsi="Times New Roman" w:cs="Times New Roman"/>
          <w:sz w:val="24"/>
          <w:szCs w:val="24"/>
        </w:rPr>
        <w:br/>
      </w: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o ich należyte przestrzeganie w punkcie sprzedaży. Każdy właściciel musi być również częścią Programu Profilaktyki i Rozwiązywania Problemów Alkoholowych i mieć świadomość, jaka ciąży na nim odpowiedzialność. </w:t>
      </w:r>
    </w:p>
    <w:p w:rsidR="00811CC4" w:rsidRPr="00811CC4" w:rsidRDefault="00811CC4" w:rsidP="00811CC4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Punkt 4 projektu dotyczy sprawniejszego wyciągania konsekwencji i prowadzenia postępowania w stosunku do przedsiębiorców łamiących przepisy ustawy. Propozycja polega na zmianie kwalifikacji prawnej czynu z art. 43 ustawy z przestępstwa na wykroczenie, </w:t>
      </w:r>
      <w:r w:rsidRPr="00811CC4">
        <w:rPr>
          <w:rFonts w:ascii="Times New Roman" w:eastAsia="Calibri" w:hAnsi="Times New Roman" w:cs="Times New Roman"/>
          <w:sz w:val="24"/>
          <w:szCs w:val="24"/>
        </w:rPr>
        <w:br/>
        <w:t xml:space="preserve">a w konsekwencji na zastosowaniu przepisów kodeksu postępowania w sprawach </w:t>
      </w:r>
      <w:r w:rsidRPr="00811CC4">
        <w:rPr>
          <w:rFonts w:ascii="Times New Roman" w:eastAsia="Calibri" w:hAnsi="Times New Roman" w:cs="Times New Roman"/>
          <w:sz w:val="24"/>
          <w:szCs w:val="24"/>
        </w:rPr>
        <w:br/>
        <w:t>o wykroczenia a zwłaszcza postępowania mandatowego. Szczególny charakter tego postępowania pozwoli skutecznie i szybko nałożyć karę na przedsiębiorcę działającego wbrew przepisom ustawy czy posiadanym zezwoleniom.</w:t>
      </w:r>
    </w:p>
    <w:p w:rsidR="00811CC4" w:rsidRPr="00811CC4" w:rsidRDefault="00811CC4" w:rsidP="00811CC4">
      <w:pPr>
        <w:spacing w:after="120" w:line="276" w:lineRule="auto"/>
        <w:ind w:firstLine="36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811CC4" w:rsidRPr="00811CC4" w:rsidRDefault="00811CC4" w:rsidP="00811CC4">
      <w:pPr>
        <w:numPr>
          <w:ilvl w:val="0"/>
          <w:numId w:val="1"/>
        </w:numPr>
        <w:spacing w:after="12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Przewidywane skutki społeczne, gospodarcze, finansowe i prawne i źródła finansowania</w:t>
      </w:r>
    </w:p>
    <w:p w:rsidR="00811CC4" w:rsidRPr="00811CC4" w:rsidRDefault="00811CC4" w:rsidP="00811CC4">
      <w:pPr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 xml:space="preserve">Projektowana ustawa będzie miała pozytywne skutki społeczne, gdyż wpłynie na kulturę spożywania alkoholu oraz na poprawę odpowiedzialnej sprzedaży i podawania alkoholu przez sprzedawców. </w:t>
      </w:r>
    </w:p>
    <w:p w:rsidR="00811CC4" w:rsidRPr="00811CC4" w:rsidRDefault="00811CC4" w:rsidP="00811CC4">
      <w:pPr>
        <w:autoSpaceDN w:val="0"/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Wejście w życie projektu ustawy nie będzie miało wpływu na konkurencyjność gospodarki i przedsiębiorczość, w tym na funkcjonowanie przedsiębiorstw.</w:t>
      </w:r>
    </w:p>
    <w:p w:rsidR="00811CC4" w:rsidRPr="00811CC4" w:rsidRDefault="00811CC4" w:rsidP="00811CC4">
      <w:pPr>
        <w:autoSpaceDN w:val="0"/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sytuację i rozwój regionalny.</w:t>
      </w:r>
    </w:p>
    <w:p w:rsidR="00811CC4" w:rsidRPr="00811CC4" w:rsidRDefault="00811CC4" w:rsidP="00811CC4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rynek pracy.</w:t>
      </w:r>
    </w:p>
    <w:p w:rsidR="00811CC4" w:rsidRPr="00811CC4" w:rsidRDefault="00811CC4" w:rsidP="00811CC4">
      <w:pPr>
        <w:spacing w:after="12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811CC4" w:rsidRPr="00811CC4" w:rsidRDefault="00811CC4" w:rsidP="00811CC4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811CC4" w:rsidRPr="00811CC4" w:rsidRDefault="00811CC4" w:rsidP="00811CC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1CC4" w:rsidRPr="00811CC4" w:rsidRDefault="00811CC4" w:rsidP="00811CC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Projekt ustawy nie rodzi skutków finansowych dla budżetu państwa oraz dla budżetów jednostek samorządu terytorialnego.</w:t>
      </w:r>
    </w:p>
    <w:p w:rsidR="00811CC4" w:rsidRPr="00811CC4" w:rsidRDefault="00811CC4" w:rsidP="00811CC4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1CC4" w:rsidRPr="00811CC4" w:rsidRDefault="00811CC4" w:rsidP="00811CC4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Założenia projektów podstawowych aktów wykonawczych</w:t>
      </w:r>
    </w:p>
    <w:p w:rsidR="00811CC4" w:rsidRPr="00811CC4" w:rsidRDefault="00811CC4" w:rsidP="00811CC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Projekt ustawy nie przewiduje wydania aktów wykonawczych.</w:t>
      </w:r>
    </w:p>
    <w:p w:rsidR="00811CC4" w:rsidRPr="00811CC4" w:rsidRDefault="00811CC4" w:rsidP="00811CC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1CC4" w:rsidRPr="00811CC4" w:rsidRDefault="00811CC4" w:rsidP="00811CC4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 xml:space="preserve">     7. Konsultacje społeczne</w:t>
      </w:r>
    </w:p>
    <w:p w:rsidR="00811CC4" w:rsidRPr="00811CC4" w:rsidRDefault="00811CC4" w:rsidP="00811CC4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Należy zakładać, że zgodnie z art. 34 ust. 3 Regulaminu Sejmu Marszałek Sejmu przed skierowaniem do pierwszego czytania skieruje niniejszy projekt ustawy do konsultacji w trybie i na zasadach określonych w odrębnych ustawach.</w:t>
      </w:r>
    </w:p>
    <w:p w:rsidR="00811CC4" w:rsidRPr="00811CC4" w:rsidRDefault="00811CC4" w:rsidP="00811CC4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1CC4">
        <w:rPr>
          <w:rFonts w:ascii="Times New Roman" w:eastAsia="Calibri" w:hAnsi="Times New Roman" w:cs="Times New Roman"/>
          <w:b/>
          <w:sz w:val="24"/>
          <w:szCs w:val="24"/>
        </w:rPr>
        <w:t>8. Ocena zgodności projektu z prawem Unii Europejskiej</w:t>
      </w:r>
    </w:p>
    <w:p w:rsidR="00811CC4" w:rsidRPr="00811CC4" w:rsidRDefault="00811CC4" w:rsidP="00811CC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C4">
        <w:rPr>
          <w:rFonts w:ascii="Times New Roman" w:eastAsia="Calibri" w:hAnsi="Times New Roman" w:cs="Times New Roman"/>
          <w:sz w:val="24"/>
          <w:szCs w:val="24"/>
        </w:rPr>
        <w:t>Proponowana zmiana nie jest sprzeczna z prawem Unii Europejskiej.</w:t>
      </w:r>
    </w:p>
    <w:p w:rsidR="00811CC4" w:rsidRPr="00811CC4" w:rsidRDefault="00811CC4" w:rsidP="00811CC4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1CC4" w:rsidRPr="00811CC4" w:rsidRDefault="00811CC4" w:rsidP="00811CC4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1CC4" w:rsidRPr="00811CC4" w:rsidRDefault="00811CC4" w:rsidP="00811CC4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4E63" w:rsidRDefault="00A84E63"/>
    <w:sectPr w:rsidR="00A84E63" w:rsidSect="00F62472">
      <w:footerReference w:type="default" r:id="rId8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B7F" w:rsidRDefault="00D31B7F" w:rsidP="00F62472">
      <w:pPr>
        <w:spacing w:after="0" w:line="240" w:lineRule="auto"/>
      </w:pPr>
      <w:r>
        <w:separator/>
      </w:r>
    </w:p>
  </w:endnote>
  <w:endnote w:type="continuationSeparator" w:id="0">
    <w:p w:rsidR="00D31B7F" w:rsidRDefault="00D31B7F" w:rsidP="00F62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37669"/>
      <w:docPartObj>
        <w:docPartGallery w:val="Page Numbers (Bottom of Page)"/>
        <w:docPartUnique/>
      </w:docPartObj>
    </w:sdtPr>
    <w:sdtEndPr/>
    <w:sdtContent>
      <w:p w:rsidR="00F62472" w:rsidRDefault="00F6247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BC5">
          <w:rPr>
            <w:noProof/>
          </w:rPr>
          <w:t>3</w:t>
        </w:r>
        <w:r>
          <w:fldChar w:fldCharType="end"/>
        </w:r>
      </w:p>
    </w:sdtContent>
  </w:sdt>
  <w:p w:rsidR="00F62472" w:rsidRDefault="00F624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B7F" w:rsidRDefault="00D31B7F" w:rsidP="00F62472">
      <w:pPr>
        <w:spacing w:after="0" w:line="240" w:lineRule="auto"/>
      </w:pPr>
      <w:r>
        <w:separator/>
      </w:r>
    </w:p>
  </w:footnote>
  <w:footnote w:type="continuationSeparator" w:id="0">
    <w:p w:rsidR="00D31B7F" w:rsidRDefault="00D31B7F" w:rsidP="00F62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0720A"/>
    <w:multiLevelType w:val="hybridMultilevel"/>
    <w:tmpl w:val="C8A87246"/>
    <w:lvl w:ilvl="0" w:tplc="0415000F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675D35"/>
    <w:multiLevelType w:val="hybridMultilevel"/>
    <w:tmpl w:val="087A8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1AA"/>
    <w:rsid w:val="000D437F"/>
    <w:rsid w:val="00293A12"/>
    <w:rsid w:val="00455BC5"/>
    <w:rsid w:val="004671AA"/>
    <w:rsid w:val="00551CA5"/>
    <w:rsid w:val="00811CC4"/>
    <w:rsid w:val="008E6A6B"/>
    <w:rsid w:val="00A84E63"/>
    <w:rsid w:val="00D31B7F"/>
    <w:rsid w:val="00F6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2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472"/>
  </w:style>
  <w:style w:type="paragraph" w:styleId="Stopka">
    <w:name w:val="footer"/>
    <w:basedOn w:val="Normalny"/>
    <w:link w:val="StopkaZnak"/>
    <w:uiPriority w:val="99"/>
    <w:unhideWhenUsed/>
    <w:rsid w:val="00F62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2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472"/>
  </w:style>
  <w:style w:type="paragraph" w:styleId="Stopka">
    <w:name w:val="footer"/>
    <w:basedOn w:val="Normalny"/>
    <w:link w:val="StopkaZnak"/>
    <w:uiPriority w:val="99"/>
    <w:unhideWhenUsed/>
    <w:rsid w:val="00F62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Grażyna D. Grabowska</cp:lastModifiedBy>
  <cp:revision>2</cp:revision>
  <cp:lastPrinted>2016-02-29T09:03:00Z</cp:lastPrinted>
  <dcterms:created xsi:type="dcterms:W3CDTF">2016-03-17T08:24:00Z</dcterms:created>
  <dcterms:modified xsi:type="dcterms:W3CDTF">2016-03-17T08:24:00Z</dcterms:modified>
</cp:coreProperties>
</file>