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D7DA2" w14:textId="77777777" w:rsidR="006466AC" w:rsidRDefault="007E26CA" w:rsidP="00DF5F5A">
      <w:pPr>
        <w:spacing w:after="240" w:line="360" w:lineRule="auto"/>
        <w:ind w:firstLine="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14:paraId="0C49B740" w14:textId="77777777" w:rsidR="00AD6176" w:rsidRDefault="00AD6176" w:rsidP="00AD6176">
      <w:pPr>
        <w:pStyle w:val="NIEARTTEKSTtekstnieartykuowanynppodstprawnarozplubpreambua"/>
      </w:pPr>
      <w:r w:rsidRPr="002263B6">
        <w:t xml:space="preserve">Potrzeba zmian </w:t>
      </w:r>
      <w:r>
        <w:t xml:space="preserve">ustawy z dnia 25 lutego 1964 r. </w:t>
      </w:r>
      <w:r w:rsidRPr="002263B6">
        <w:t>Kodeks rodzinn</w:t>
      </w:r>
      <w:r>
        <w:t>y</w:t>
      </w:r>
      <w:r w:rsidRPr="002263B6">
        <w:t xml:space="preserve"> i opiekuńcz</w:t>
      </w:r>
      <w:r>
        <w:t>y (Dz. U. z 2017 r. poz. 682, z późn. zm.)</w:t>
      </w:r>
      <w:r w:rsidRPr="002263B6">
        <w:t xml:space="preserve"> w zakresie prawa filiacyjnego wynika z wyroku Trybunału Konstytucyjnego z 16 maja 2018 r. (SK 18/17),</w:t>
      </w:r>
      <w:r>
        <w:t xml:space="preserve"> </w:t>
      </w:r>
      <w:r w:rsidRPr="002263B6">
        <w:t>w którym Trybunał Konstytucyjny uznał, że art. 70 § 1 k.r.o. w zakresie, w jakim określa termin do wytoczenia powództwa o zaprzeczenie ojcostwa męża matki niezależnie od daty powzięcia wiadomo</w:t>
      </w:r>
      <w:r>
        <w:t>ści przez pełnoletnie dziecko o </w:t>
      </w:r>
      <w:r w:rsidRPr="002263B6">
        <w:t>tym, że nie pochodzi od męża matki, jest niezgodny z art. 30 w związku z art. 47 w związku z art. 31 ust. 3 Konstytucji R</w:t>
      </w:r>
      <w:r>
        <w:t xml:space="preserve">zeczypospolitej </w:t>
      </w:r>
      <w:r w:rsidRPr="002263B6">
        <w:t>P</w:t>
      </w:r>
      <w:r>
        <w:t>olskiej</w:t>
      </w:r>
      <w:r w:rsidRPr="002263B6">
        <w:t>.</w:t>
      </w:r>
      <w:r>
        <w:t xml:space="preserve"> </w:t>
      </w:r>
      <w:r w:rsidRPr="002263B6">
        <w:t xml:space="preserve">Projektowane rozwiązanie </w:t>
      </w:r>
      <w:r>
        <w:t xml:space="preserve">jest zgodne </w:t>
      </w:r>
      <w:r w:rsidRPr="002263B6">
        <w:t xml:space="preserve">również ze stanowiskiem Europejskiego Trybunału Praw Człowieka zajętym w sprawie Phinikaridou przeciwko Cyprowi (wyrok z 20 grudnia 2007 r., skarga nr 23890/02). Konsekwentnie, celem ujednolicenia regulacji w tym zakresie, proponuje się również </w:t>
      </w:r>
      <w:r>
        <w:t>nowelizację</w:t>
      </w:r>
      <w:r w:rsidRPr="002263B6">
        <w:t xml:space="preserve"> art. 61</w:t>
      </w:r>
      <w:r>
        <w:rPr>
          <w:rStyle w:val="IGindeksgrny"/>
        </w:rPr>
        <w:t>14</w:t>
      </w:r>
      <w:r w:rsidRPr="002263B6">
        <w:t xml:space="preserve"> § 1 </w:t>
      </w:r>
      <w:r>
        <w:t xml:space="preserve">k.r.o. </w:t>
      </w:r>
      <w:r w:rsidRPr="002263B6">
        <w:t xml:space="preserve">dotyczącego zaprzeczenia macierzyństwa i art. 81 § 2 k.r.o. dotyczącego ustalenia bezskuteczności uznania </w:t>
      </w:r>
      <w:r>
        <w:t>ojcostwa</w:t>
      </w:r>
      <w:r w:rsidRPr="00FC0B76">
        <w:t>.</w:t>
      </w:r>
      <w:r>
        <w:t xml:space="preserve"> </w:t>
      </w:r>
    </w:p>
    <w:p w14:paraId="0307CE6C" w14:textId="77777777" w:rsidR="00AD6176" w:rsidRPr="00FC0B76" w:rsidRDefault="00AD6176" w:rsidP="00AD6176">
      <w:pPr>
        <w:pStyle w:val="NIEARTTEKSTtekstnieartykuowanynppodstprawnarozplubpreambua"/>
      </w:pPr>
      <w:r>
        <w:t>P</w:t>
      </w:r>
      <w:r w:rsidRPr="00C12985">
        <w:t>rojekt zakłada</w:t>
      </w:r>
      <w:r>
        <w:t xml:space="preserve"> zatem</w:t>
      </w:r>
      <w:r w:rsidRPr="00C12985">
        <w:t xml:space="preserve"> modyfikację początku biegu terminów do wytoczenia powództwa przez dziecko o zaprzeczenie </w:t>
      </w:r>
      <w:r w:rsidRPr="005C3909">
        <w:t>ojcostwa</w:t>
      </w:r>
      <w:r w:rsidRPr="00C12985">
        <w:t xml:space="preserve">, zaprzeczenie </w:t>
      </w:r>
      <w:r w:rsidRPr="005C3909">
        <w:t xml:space="preserve">macierzyństwa </w:t>
      </w:r>
      <w:r w:rsidRPr="00C12985">
        <w:t>oraz ustalenie bezskutecz</w:t>
      </w:r>
      <w:r>
        <w:t>ności uznania ojcostwa. T</w:t>
      </w:r>
      <w:r w:rsidRPr="00C12985">
        <w:t xml:space="preserve">erminy te mają biec </w:t>
      </w:r>
      <w:r w:rsidRPr="00C12985">
        <w:rPr>
          <w:rStyle w:val="Kkursywa"/>
        </w:rPr>
        <w:t>a tempore scientiae</w:t>
      </w:r>
      <w:r w:rsidRPr="00C12985">
        <w:t>, tzn. od chwili dowiedzenia się przez dziecko o biologicznym niepochodzeniu od osoby, której macierzyństw</w:t>
      </w:r>
      <w:r>
        <w:t>o lub ojcostwo zostało ustalone.</w:t>
      </w:r>
    </w:p>
    <w:p w14:paraId="5D86B33D" w14:textId="77777777" w:rsidR="00AD6176" w:rsidRPr="00FC0B76" w:rsidRDefault="00AD6176" w:rsidP="00AD6176">
      <w:pPr>
        <w:pStyle w:val="NIEARTTEKSTtekstnieartykuowanynppodstprawnarozplubpreambua"/>
      </w:pPr>
      <w:r w:rsidRPr="00FC0B76">
        <w:t xml:space="preserve">Legitymacja czynna podmiotów bezpośrednio </w:t>
      </w:r>
      <w:r>
        <w:t>i niemajątkowo zainteresowanych</w:t>
      </w:r>
      <w:r w:rsidRPr="00FC0B76">
        <w:t xml:space="preserve"> </w:t>
      </w:r>
      <w:r>
        <w:t>w </w:t>
      </w:r>
      <w:r w:rsidRPr="00FC0B76">
        <w:t>sprawach o zaprzeczenie pochodzenia dziecka została ograniczona krótkimi terminami o</w:t>
      </w:r>
      <w:r>
        <w:t> </w:t>
      </w:r>
      <w:r w:rsidRPr="00FC0B76">
        <w:t xml:space="preserve">charakterze prekluzyjnym. Ich wprowadzenie stanowi kompromis pomiędzy stabilizacją stanu cywilnego a postulatem ustalania pokrewieństwa prawnego w oparciu o rzeczywiste więzy biologiczne. Rozwiązania nadmiernie ograniczające możliwość ustalania stanu cywilnego w oparciu o „prawdę biologiczną” (w różnym zakresie) były kwestionowane </w:t>
      </w:r>
      <w:r>
        <w:t>w </w:t>
      </w:r>
      <w:r w:rsidRPr="00FC0B76">
        <w:t>orzecznictwie Trybunału Konstytucyjnego (wyroki z</w:t>
      </w:r>
      <w:r>
        <w:t xml:space="preserve"> </w:t>
      </w:r>
      <w:r w:rsidRPr="00FC0B76">
        <w:t>28 kwietnia 2003 r.,</w:t>
      </w:r>
      <w:r>
        <w:t xml:space="preserve"> </w:t>
      </w:r>
      <w:r w:rsidRPr="00FC0B76">
        <w:t xml:space="preserve">K 18/02, </w:t>
      </w:r>
      <w:r>
        <w:t>z 16 </w:t>
      </w:r>
      <w:r w:rsidRPr="00FC0B76">
        <w:t>lipca 2007 r.,</w:t>
      </w:r>
      <w:r>
        <w:t xml:space="preserve"> </w:t>
      </w:r>
      <w:r w:rsidRPr="00FC0B76">
        <w:t xml:space="preserve">SK 61/06, </w:t>
      </w:r>
      <w:r>
        <w:t xml:space="preserve">z </w:t>
      </w:r>
      <w:r w:rsidRPr="00FC0B76">
        <w:t>26 listopada 2013 r.,</w:t>
      </w:r>
      <w:r>
        <w:t xml:space="preserve"> </w:t>
      </w:r>
      <w:r w:rsidRPr="00FC0B76">
        <w:t xml:space="preserve">P 33/12, </w:t>
      </w:r>
      <w:r>
        <w:t xml:space="preserve">z </w:t>
      </w:r>
      <w:r w:rsidRPr="00FC0B76">
        <w:t xml:space="preserve">16 maja 2018 r., SK 18/17). </w:t>
      </w:r>
      <w:r>
        <w:t>W </w:t>
      </w:r>
      <w:r w:rsidRPr="00FC0B76">
        <w:t>orzeczeniach tych po</w:t>
      </w:r>
      <w:r>
        <w:t>d</w:t>
      </w:r>
      <w:r w:rsidRPr="00FC0B76">
        <w:t>kreślono doniosłość konstytucyjnego prawa do ustalenia więzów filiacyjnych zgodnie z prawdą biologiczną</w:t>
      </w:r>
      <w:r>
        <w:t>,</w:t>
      </w:r>
      <w:r w:rsidRPr="00FC0B76">
        <w:t xml:space="preserve"> w tym również akcentowano jego aspekt negatywny (możliwość kwestionowania stanu cywilnego nieopartego na podstawach biologicznych). Dostrzegając rosnące znaczenie możliwości ustalenia pochodzenia w oparciu o „prawdę biologiczną”</w:t>
      </w:r>
      <w:r>
        <w:t>,</w:t>
      </w:r>
      <w:r w:rsidRPr="00FC0B76">
        <w:t xml:space="preserve"> jak również upowszechnienie metod pozwalających na łatwe jej ustalenie, proponuje się umocnienie wskazanej zasady przez wydłużenie terminów ograniczających legitymację czynną do kwestionowania pochodzenia dziecka. Pr</w:t>
      </w:r>
      <w:r>
        <w:t>ojekt zakłada zmianę terminów 6-</w:t>
      </w:r>
      <w:r w:rsidRPr="00FC0B76">
        <w:t xml:space="preserve">miesięcznych </w:t>
      </w:r>
      <w:r w:rsidRPr="00FC0B76">
        <w:lastRenderedPageBreak/>
        <w:t>zawar</w:t>
      </w:r>
      <w:r>
        <w:t>tych w obowiązujący</w:t>
      </w:r>
      <w:r w:rsidRPr="00FC0B76">
        <w:t>ch art. 61</w:t>
      </w:r>
      <w:r>
        <w:rPr>
          <w:rStyle w:val="IGindeksgrny"/>
        </w:rPr>
        <w:t>13</w:t>
      </w:r>
      <w:r>
        <w:t xml:space="preserve">, art. </w:t>
      </w:r>
      <w:r w:rsidRPr="00FC0B76">
        <w:t xml:space="preserve">63, </w:t>
      </w:r>
      <w:r>
        <w:t xml:space="preserve">art. </w:t>
      </w:r>
      <w:r w:rsidRPr="00FC0B76">
        <w:t xml:space="preserve">64, </w:t>
      </w:r>
      <w:r>
        <w:t>art. </w:t>
      </w:r>
      <w:r w:rsidRPr="00FC0B76">
        <w:t xml:space="preserve">65, </w:t>
      </w:r>
      <w:r>
        <w:t xml:space="preserve">art. </w:t>
      </w:r>
      <w:r w:rsidRPr="00FC0B76">
        <w:t xml:space="preserve">69, </w:t>
      </w:r>
      <w:r>
        <w:t xml:space="preserve">art. </w:t>
      </w:r>
      <w:r w:rsidRPr="00FC0B76">
        <w:t xml:space="preserve">76, </w:t>
      </w:r>
      <w:r>
        <w:t xml:space="preserve">art. </w:t>
      </w:r>
      <w:r w:rsidRPr="00FC0B76">
        <w:t xml:space="preserve">78 k.r.o. na terminy roczne. Rozwiązanie takie ma dać czas na podjęcie decyzji przez osoby najbardziej zainteresowane co do akceptacji wytworzonego stanu prawnego lub też jego zakwestionowania. Projekt zachowuje konstrukcję terminów </w:t>
      </w:r>
      <w:r>
        <w:t>o </w:t>
      </w:r>
      <w:r w:rsidRPr="00FC0B76">
        <w:t>charakterze prekluzyjnym, których upływ prowadzi do wygaśnięcia legitymacji czynnej. Należy uznać, że terminy roczne stanowią propozycję kompromisową</w:t>
      </w:r>
      <w:r>
        <w:t>, z jednej strony dają</w:t>
      </w:r>
      <w:r w:rsidRPr="00FC0B76">
        <w:t xml:space="preserve"> realną szansę </w:t>
      </w:r>
      <w:r>
        <w:t xml:space="preserve">na </w:t>
      </w:r>
      <w:r w:rsidRPr="00FC0B76">
        <w:t>podjęcie przemyślanej decyzji mającej niezwykle poważne i długofalowe konsekwencje</w:t>
      </w:r>
      <w:r>
        <w:t>,</w:t>
      </w:r>
      <w:r w:rsidRPr="00FC0B76">
        <w:t xml:space="preserve"> a z drugiej nie destabilizują nadmiernie sytuacji prawnej dziecka.</w:t>
      </w:r>
    </w:p>
    <w:p w14:paraId="1397193C" w14:textId="54BB5F4B" w:rsidR="00AD6176" w:rsidRPr="00FC0B76" w:rsidRDefault="00AD6176" w:rsidP="00AD6176">
      <w:pPr>
        <w:pStyle w:val="NIEARTTEKSTtekstnieartykuowanynppodstprawnarozplubpreambua"/>
      </w:pPr>
      <w:r w:rsidRPr="00FC0B76">
        <w:t>Poza zmianą długości terminów</w:t>
      </w:r>
      <w:r>
        <w:t xml:space="preserve"> w</w:t>
      </w:r>
      <w:r w:rsidRPr="00FC0B76">
        <w:t xml:space="preserve"> projekcie proponuje się </w:t>
      </w:r>
      <w:r>
        <w:t xml:space="preserve">również </w:t>
      </w:r>
      <w:r w:rsidRPr="00FC0B76">
        <w:t>zmianę początku biegu terminów dla matki oraz męża matki na wytoczenie powództwa o zaprzeczenie ojcostwa. Miał</w:t>
      </w:r>
      <w:r>
        <w:t>y</w:t>
      </w:r>
      <w:r w:rsidRPr="00FC0B76">
        <w:t>by on</w:t>
      </w:r>
      <w:r>
        <w:t>e</w:t>
      </w:r>
      <w:r w:rsidRPr="00FC0B76">
        <w:t xml:space="preserve"> rozpoczynać bieg od </w:t>
      </w:r>
      <w:r>
        <w:t xml:space="preserve">dnia </w:t>
      </w:r>
      <w:r w:rsidRPr="00FC0B76">
        <w:t xml:space="preserve">dowiedzenia się przez te osoby o tym, że dziecko nie pochodzi od męża matki (art. 63 i </w:t>
      </w:r>
      <w:r>
        <w:t xml:space="preserve">art. </w:t>
      </w:r>
      <w:r w:rsidRPr="00FC0B76">
        <w:t>69</w:t>
      </w:r>
      <w:r>
        <w:t xml:space="preserve"> § 1</w:t>
      </w:r>
      <w:r w:rsidRPr="00FC0B76">
        <w:t xml:space="preserve"> k.r.o.). Proponowane rozwiązanie stanowiłoby istotne umocnienie zasady ustalania ojcostwa w oparciu o prawdę biologiczną, byłoby również spójne z koncepcją przyjętą przy określeniu czaso</w:t>
      </w:r>
      <w:r>
        <w:t xml:space="preserve">wym legitymacji czynnej </w:t>
      </w:r>
      <w:r w:rsidRPr="00FC0B76">
        <w:t>mężczyzny</w:t>
      </w:r>
      <w:r>
        <w:t>,</w:t>
      </w:r>
      <w:r w:rsidRPr="00FC0B76">
        <w:t xml:space="preserve"> który uznał ojcostwo</w:t>
      </w:r>
      <w:r>
        <w:t xml:space="preserve"> (art. 78 § 1 k.r.o.) i matki dziecka (art. 79 k.r.o.)</w:t>
      </w:r>
      <w:r w:rsidRPr="00FC0B76">
        <w:t>, do wytoczenia powództwa o ustalenie bezskuteczności uznania</w:t>
      </w:r>
      <w:r>
        <w:t xml:space="preserve"> ojcostwa</w:t>
      </w:r>
      <w:r w:rsidRPr="00FC0B76">
        <w:t>. Proponowane rozwiązanie było również postulowane w doktrynie prawa (zob. M. Domański [w:] Kodeks rodzin</w:t>
      </w:r>
      <w:r>
        <w:t>n</w:t>
      </w:r>
      <w:r w:rsidRPr="00FC0B76">
        <w:t>y i opiekuńczy. Komentarz, red. K. Osajda, Warszawa 2017, s. 951 oraz cytowan</w:t>
      </w:r>
      <w:r>
        <w:t>a</w:t>
      </w:r>
      <w:r w:rsidRPr="00FC0B76">
        <w:t xml:space="preserve"> tam literatur</w:t>
      </w:r>
      <w:r>
        <w:t xml:space="preserve">a). </w:t>
      </w:r>
      <w:r w:rsidRPr="00C14B98">
        <w:t>Jednocześnie w projektowanym art. 69 § 1 k.r.o., dla ujednolicenia regulacji z art. 61</w:t>
      </w:r>
      <w:r>
        <w:rPr>
          <w:rStyle w:val="IGindeksgrny"/>
        </w:rPr>
        <w:t>13</w:t>
      </w:r>
      <w:r w:rsidRPr="00C14B98">
        <w:t xml:space="preserve"> § 2, art. 63 i art. 80 k.r.o., w związku ze wskazaniem jako początku biegu terminu dnia dowiedzenia się przez matkę dziecka, że dziecko nie pochodzi od jej męża (obecnie od urodzenia dziecka), wprowadzone zostaje ograniczenie, że wniesienie powództwa może nast</w:t>
      </w:r>
      <w:r>
        <w:t>ąpić najpóźniej do dnia osiągnię</w:t>
      </w:r>
      <w:r w:rsidRPr="00C14B98">
        <w:t xml:space="preserve">cia pełnoletności przez dziecko. </w:t>
      </w:r>
    </w:p>
    <w:p w14:paraId="26AFD6C2" w14:textId="3343ACE5" w:rsidR="00AD6176" w:rsidRPr="00FC0B76" w:rsidRDefault="00AD6176" w:rsidP="00AD6176">
      <w:pPr>
        <w:pStyle w:val="NIEARTTEKSTtekstnieartykuowanynppodstprawnarozplubpreambua"/>
      </w:pPr>
      <w:r w:rsidRPr="00FC0B76">
        <w:t>W projektowanych art. 61</w:t>
      </w:r>
      <w:r>
        <w:rPr>
          <w:rStyle w:val="IGindeksgrny"/>
        </w:rPr>
        <w:t xml:space="preserve">13 </w:t>
      </w:r>
      <w:r>
        <w:t xml:space="preserve">§ 1 i 2 k.r.o. </w:t>
      </w:r>
      <w:r w:rsidRPr="00FC0B76">
        <w:t>proponowane modyfikacje ograniczają się do zmiany długości terminów do wytoczenia powództwa o zaprzeczenie macierzyństwa dla matki, kobiety wpisanej w akcie urodzenia jako matka oraz mężczyzny, którego ojcostwo zostało ustalone z uwzględnieniem macierzyństwa kobiety wpisanej w akcie urodzenia dziecka jako jego matka z sześciu miesięcy do roku. Podobna zmiana ma dotyczyć długości terminu do wytoczenia powództwa o ustalenie bezskuteczności uznania ojcostwa przez mężczyznę</w:t>
      </w:r>
      <w:r>
        <w:t>,</w:t>
      </w:r>
      <w:r w:rsidRPr="00FC0B76">
        <w:t xml:space="preserve"> który uznał ojcostwo</w:t>
      </w:r>
      <w:r>
        <w:t xml:space="preserve"> </w:t>
      </w:r>
      <w:r w:rsidR="003924A2">
        <w:t>–</w:t>
      </w:r>
      <w:r w:rsidRPr="00444514">
        <w:t xml:space="preserve"> art. 78</w:t>
      </w:r>
      <w:r>
        <w:t xml:space="preserve"> k.r.o</w:t>
      </w:r>
      <w:r w:rsidRPr="00FC0B76">
        <w:t>.</w:t>
      </w:r>
      <w:r w:rsidRPr="008A0622">
        <w:t xml:space="preserve"> Nie proponuje się zmiany początku biegu wskazanych terminów.</w:t>
      </w:r>
      <w:r>
        <w:t xml:space="preserve"> </w:t>
      </w:r>
    </w:p>
    <w:p w14:paraId="42CEA0A6" w14:textId="77777777" w:rsidR="00AD6176" w:rsidRPr="00FC0B76" w:rsidRDefault="00AD6176" w:rsidP="00AD6176">
      <w:pPr>
        <w:pStyle w:val="NIEARTTEKSTtekstnieartykuowanynppodstprawnarozplubpreambua"/>
      </w:pPr>
      <w:r>
        <w:t>Projekt, w art. 64 § 1 k.r.o.</w:t>
      </w:r>
      <w:r w:rsidR="001A24FE">
        <w:t>,</w:t>
      </w:r>
      <w:r>
        <w:t xml:space="preserve"> zakłada zmianę sześcio</w:t>
      </w:r>
      <w:r w:rsidRPr="00FC0B76">
        <w:t xml:space="preserve">miesięcznych terminów do wytoczenia powództwa o zaprzeczenie ojcostwa przez </w:t>
      </w:r>
      <w:r w:rsidRPr="009D16E1">
        <w:t xml:space="preserve">przedstawiciela ustawowego męża matki ubezwłasnowolnionego całkowicie z powodu choroby psychicznej lub innego rodzaju zaburzeń </w:t>
      </w:r>
      <w:r w:rsidRPr="009D16E1">
        <w:lastRenderedPageBreak/>
        <w:t xml:space="preserve">psychicznych, na które zapadł w ciągu terminu do wytoczenia powództwa </w:t>
      </w:r>
      <w:r>
        <w:t xml:space="preserve">o zaprzeczenie ojcostwa. </w:t>
      </w:r>
      <w:r w:rsidRPr="005F5958">
        <w:t>Proponuje się</w:t>
      </w:r>
      <w:r w:rsidR="001A24FE">
        <w:t>,</w:t>
      </w:r>
      <w:r w:rsidRPr="005F5958">
        <w:t xml:space="preserve"> aby również ten termin biegł </w:t>
      </w:r>
      <w:r w:rsidRPr="005F5958">
        <w:rPr>
          <w:rStyle w:val="Kkursywa"/>
        </w:rPr>
        <w:t>a tempore scientiae</w:t>
      </w:r>
      <w:r w:rsidRPr="005F5958">
        <w:t xml:space="preserve"> od dowiedzenia się opiekuna, że dziecko nie pochodzi od podopiecznego (męża matki).</w:t>
      </w:r>
      <w:r>
        <w:t xml:space="preserve"> Termin roczny oraz początek jego biegu </w:t>
      </w:r>
      <w:r w:rsidRPr="00FB3A2F">
        <w:rPr>
          <w:rStyle w:val="Kkursywa"/>
        </w:rPr>
        <w:t>a tempore scientiae</w:t>
      </w:r>
      <w:r>
        <w:t xml:space="preserve"> </w:t>
      </w:r>
      <w:r w:rsidRPr="00FB3A2F">
        <w:t xml:space="preserve">obejmowałby </w:t>
      </w:r>
      <w:r>
        <w:t xml:space="preserve">również męża matki po uchyleniu ubezwłasnowolnienia (projektowany art. 64 </w:t>
      </w:r>
      <w:r w:rsidRPr="00385CCD">
        <w:t>§</w:t>
      </w:r>
      <w:r>
        <w:t xml:space="preserve"> 2</w:t>
      </w:r>
      <w:r w:rsidRPr="00385CCD">
        <w:t xml:space="preserve"> k.r.o.</w:t>
      </w:r>
      <w:r>
        <w:t xml:space="preserve">). </w:t>
      </w:r>
    </w:p>
    <w:p w14:paraId="0BF5E7C9" w14:textId="77777777" w:rsidR="00AD6176" w:rsidRPr="00FC0B76" w:rsidRDefault="00AD6176" w:rsidP="00AD6176">
      <w:pPr>
        <w:pStyle w:val="NIEARTTEKSTtekstnieartykuowanynppodstprawnarozplubpreambua"/>
      </w:pPr>
      <w:r w:rsidRPr="00FC0B76">
        <w:t xml:space="preserve">W </w:t>
      </w:r>
      <w:r>
        <w:t xml:space="preserve">projektowanym art. 65 k.r.o. na wypadek </w:t>
      </w:r>
      <w:r w:rsidRPr="00FC0B76">
        <w:t>zapadnięcia męża matki na chorobę psychicz</w:t>
      </w:r>
      <w:r>
        <w:t>ną lub innego rodzaju zaburzenie</w:t>
      </w:r>
      <w:r w:rsidRPr="00FC0B76">
        <w:t xml:space="preserve"> psychiczne w ciągu terminu do wytoczenia powództwa o zaprzeczenie ojcostwa</w:t>
      </w:r>
      <w:r>
        <w:t>,</w:t>
      </w:r>
      <w:r w:rsidRPr="00FC0B76">
        <w:t xml:space="preserve"> </w:t>
      </w:r>
      <w:r>
        <w:t>gdy nie jest on ubezwłasnowolniony mimo istnienia podstaw ku temu</w:t>
      </w:r>
      <w:r w:rsidRPr="00FC0B76">
        <w:t>, proponuje się analogiczne przedłużenie możliwości wytoczenia powództwa do roku po ustaniu choroby psychicznej (zaburzeń psychicznych). Ponadto proponuje się wykreślenie przepisu przewidującego możliwość późniejszego wytoczenia powództwa</w:t>
      </w:r>
      <w:r>
        <w:t>,</w:t>
      </w:r>
      <w:r w:rsidRPr="00FC0B76">
        <w:t xml:space="preserve"> gdy mąż matki uzyskał wiedzę powodującą powstanie możności wytoczenia powództwa dopiero po ustaniu choroby psychicznej (zaburzeń psychicznych). Zmiana ta </w:t>
      </w:r>
      <w:r>
        <w:t>ma na celu wyeliminowanie</w:t>
      </w:r>
      <w:r w:rsidRPr="00FC0B76">
        <w:t xml:space="preserve"> niespójności obowiązującego rozwiązania. Skoro art. 65 k.r.o. dotyczy sytuacji zapadnięcia męża matki na określone dysfunkcje zdrowotne w ciągu terminu do wytoczenia powództwa o zaprzeczenie ojcostwa, a więc po dowiedzeniu się o wskazanej okoliczności</w:t>
      </w:r>
      <w:r>
        <w:t>,</w:t>
      </w:r>
      <w:r w:rsidRPr="00FC0B76">
        <w:t xml:space="preserve"> nie jest możliwe kolejne dowiedzenie się o tym samym fakcie po ustaniu kwalifikowanych zaburzeń. Możliwość wytoczenia powództwa o zaprzeczenie ojcostwa przez męża matki</w:t>
      </w:r>
      <w:r>
        <w:t>,</w:t>
      </w:r>
      <w:r w:rsidRPr="00FC0B76">
        <w:t xml:space="preserve"> który dowiedział się o tym, że dziecko od niego nie pochodzi</w:t>
      </w:r>
      <w:r w:rsidR="001A24FE">
        <w:t>,</w:t>
      </w:r>
      <w:r w:rsidRPr="00FC0B76">
        <w:t xml:space="preserve"> po ustaniu choroby psychicznej (zaburzeń psychicznych) uzasadniających ubezwłasnowolnienie całkowite</w:t>
      </w:r>
      <w:r>
        <w:t>,</w:t>
      </w:r>
      <w:r w:rsidRPr="00FC0B76">
        <w:t xml:space="preserve"> wy</w:t>
      </w:r>
      <w:r>
        <w:t>nika wówczas z art. 63 k.r.o.</w:t>
      </w:r>
    </w:p>
    <w:p w14:paraId="73C9B793" w14:textId="021E98B5" w:rsidR="00AD6176" w:rsidRPr="00E73C2E" w:rsidRDefault="00AD6176" w:rsidP="00AD6176">
      <w:pPr>
        <w:pStyle w:val="NIEARTTEKSTtekstnieartykuowanynppodstprawnarozplubpreambua"/>
      </w:pPr>
      <w:r w:rsidRPr="00FC0B76">
        <w:t xml:space="preserve">W </w:t>
      </w:r>
      <w:r>
        <w:t xml:space="preserve">projektowanych </w:t>
      </w:r>
      <w:r w:rsidRPr="00FC0B76">
        <w:t xml:space="preserve">przepisach </w:t>
      </w:r>
      <w:r>
        <w:t>art. 61</w:t>
      </w:r>
      <w:r>
        <w:rPr>
          <w:rStyle w:val="IGindeksgrny"/>
        </w:rPr>
        <w:t xml:space="preserve">14 </w:t>
      </w:r>
      <w:r>
        <w:t>§ 1</w:t>
      </w:r>
      <w:r>
        <w:rPr>
          <w:rStyle w:val="IGindeksgrny"/>
        </w:rPr>
        <w:t xml:space="preserve"> </w:t>
      </w:r>
      <w:r>
        <w:t xml:space="preserve">, art. 70 </w:t>
      </w:r>
      <w:r w:rsidRPr="003807E3">
        <w:t>§ 1</w:t>
      </w:r>
      <w:r>
        <w:t xml:space="preserve"> i art. 81 </w:t>
      </w:r>
      <w:r w:rsidRPr="003807E3">
        <w:t>§</w:t>
      </w:r>
      <w:r>
        <w:t xml:space="preserve"> 2</w:t>
      </w:r>
      <w:r w:rsidRPr="003807E3">
        <w:t xml:space="preserve"> </w:t>
      </w:r>
      <w:r>
        <w:t xml:space="preserve">k.r.o. </w:t>
      </w:r>
      <w:r w:rsidRPr="00FC0B76">
        <w:t xml:space="preserve">określających legitymację dziecka do wytoczenia powództwa o zaprzeczenie macierzyństwa, zaprzeczenie ojcostwa i ustalenie bezskuteczności uznania ojcostwa proponuje się </w:t>
      </w:r>
      <w:r>
        <w:t xml:space="preserve">zmianę </w:t>
      </w:r>
      <w:r w:rsidRPr="00FC0B76">
        <w:t xml:space="preserve">terminów prekluzyjnych </w:t>
      </w:r>
      <w:r>
        <w:t xml:space="preserve">z trzech lat do roku, a także zmianę terminów do wytoczenia przez dziecko powództwa o zaprzeczenie macierzyństwa, zaprzeczenie ojcostwa oraz ustalenie bezskuteczności uznania ojcostwa, których </w:t>
      </w:r>
      <w:r w:rsidRPr="00FC0B76">
        <w:t xml:space="preserve">bieg rozpoczynałby się </w:t>
      </w:r>
      <w:r w:rsidRPr="008879C5">
        <w:rPr>
          <w:rStyle w:val="Kkursywa"/>
        </w:rPr>
        <w:t>a tempore scientiae</w:t>
      </w:r>
      <w:r w:rsidRPr="00FC0B76">
        <w:t xml:space="preserve"> od </w:t>
      </w:r>
      <w:r>
        <w:t xml:space="preserve">dnia </w:t>
      </w:r>
      <w:r w:rsidRPr="00FC0B76">
        <w:t xml:space="preserve">dowiedzenia się przez dziecko, że kobieta wpisana w akcie urodzenia nie jest jego matką (przy powództwie o zaprzeczenie macierzyństwa) oraz że mąż matki </w:t>
      </w:r>
      <w:r w:rsidRPr="00432FEE">
        <w:t xml:space="preserve">(przy powództwie </w:t>
      </w:r>
      <w:r>
        <w:t>o </w:t>
      </w:r>
      <w:r w:rsidRPr="00432FEE">
        <w:t xml:space="preserve">zaprzeczenie ojcostwa) </w:t>
      </w:r>
      <w:r>
        <w:t xml:space="preserve">czy też </w:t>
      </w:r>
      <w:r w:rsidRPr="00FC0B76">
        <w:t>mężczyzna, który uznał</w:t>
      </w:r>
      <w:r>
        <w:t xml:space="preserve"> ojcostwo (przy powództwie o ustalenie</w:t>
      </w:r>
      <w:r w:rsidRPr="001974FA">
        <w:t xml:space="preserve"> be</w:t>
      </w:r>
      <w:r>
        <w:t>zskuteczności uznania ojcostwa),</w:t>
      </w:r>
      <w:r w:rsidRPr="001974FA">
        <w:t xml:space="preserve"> </w:t>
      </w:r>
      <w:r w:rsidRPr="00FC0B76">
        <w:t>nie jest jego ojcem</w:t>
      </w:r>
      <w:r>
        <w:t xml:space="preserve">. Tak jak do tej pory, termin ten nie mógłby rozpocząć biegu przed osiągnięciem przez dziecko pełnoletności. Upływ roku </w:t>
      </w:r>
      <w:r>
        <w:lastRenderedPageBreak/>
        <w:t xml:space="preserve">od osiągnięcia pełnoletności przez dziecko byłby zatem najwcześniejszym momentem wygaśnięcia możności wytoczenia powództwa o zaprzeczenie ojcostwa, zaprzeczenie macierzyństwa i ustalenie bezskuteczności uznania ojcostwa. Skrócenie terminu do wytoczenia powództwa przez dziecko o zaprzeczenie macierzyństwa, zaprzeczenie ojcostwa oraz ustalenie bezskuteczności uznania ojcostwa jest uzasadnione zrównaniem sytuacji prawnej wszystkich podmiotów bezpośrednio i niemajątkowo zainteresowanych, w sprawach o zaprzeczenie pochodzenia dziecka, w związku z przyjęciem w każdym przypadku zasadniczo tożsamej przesłanki do wytoczenia powództwa. Termin trzyletni, który wynika z obecnych uregulowań, ma swoje źródło właśnie w okoliczności, że liczony jest od dnia osiągnięcia pełnoletności przez dziecko. W sytuacji, gdy projekt przewiduje termin roczny dla męża matki od dowiedzenia się o tym, że dziecko od niego nie pochodzi, a również w przypadku dziecka będzie liczony od dnia dowiedzenia się przez nie, że nie pochodzi od męża matki, dotychczasowy termin trzyletni, w kontekście niezbędności zachowania </w:t>
      </w:r>
      <w:r w:rsidRPr="00B62D97">
        <w:t>kompromis</w:t>
      </w:r>
      <w:r>
        <w:t>u</w:t>
      </w:r>
      <w:r w:rsidRPr="00B62D97">
        <w:t xml:space="preserve"> pomiędzy stabiliza</w:t>
      </w:r>
      <w:r>
        <w:t>cją stanu cywilnego a ustaleniem</w:t>
      </w:r>
      <w:r w:rsidRPr="00B62D97">
        <w:t xml:space="preserve"> pokrewieństwa prawnego </w:t>
      </w:r>
      <w:r>
        <w:t>w </w:t>
      </w:r>
      <w:r w:rsidRPr="00B62D97">
        <w:t>oparciu o</w:t>
      </w:r>
      <w:r>
        <w:t xml:space="preserve"> rzeczywiste więzy biologiczne, wydaje się nieproporcjonalnie długi.</w:t>
      </w:r>
    </w:p>
    <w:p w14:paraId="1C946D07" w14:textId="77777777" w:rsidR="00AD6176" w:rsidRDefault="00AD6176" w:rsidP="00AD6176">
      <w:pPr>
        <w:pStyle w:val="NIEARTTEKSTtekstnieartykuowanynppodstprawnarozplubpreambua"/>
      </w:pPr>
      <w:r w:rsidRPr="00FC0B76">
        <w:t>Przewidziany w art. 76 § 2 k.r.o. termin ma odmienny charakter niż pozostałe wskazane powyżej. Nie ogranicza on czasowo możliwości wytoczenia powództwa</w:t>
      </w:r>
      <w:r>
        <w:t>,</w:t>
      </w:r>
      <w:r w:rsidRPr="00FC0B76">
        <w:t xml:space="preserve"> </w:t>
      </w:r>
      <w:r>
        <w:t>lecz złożenia</w:t>
      </w:r>
      <w:r w:rsidRPr="00FC0B76">
        <w:t xml:space="preserve"> oświadczenia o uznaniu ojcostwa po śmierci dziecka. Przyjmując jednak założenie </w:t>
      </w:r>
      <w:r>
        <w:t>o </w:t>
      </w:r>
      <w:r w:rsidRPr="00FC0B76">
        <w:t>poszerzeniu możliwości ustalenia stanu cywilnego w oparciu o rzeczywiste więzy biologiczne i dążąc do ujednolicenia długości terminów w rozdziale I działu Ia tytułu II Kodeksu rodzinnego i opiekuńczego</w:t>
      </w:r>
      <w:r w:rsidR="001A24FE">
        <w:t>,</w:t>
      </w:r>
      <w:r w:rsidRPr="00FC0B76">
        <w:t xml:space="preserve"> proponuje się również wydłużenie wskazanego terminu do roku.</w:t>
      </w:r>
      <w:r w:rsidRPr="00494E4F">
        <w:t xml:space="preserve"> </w:t>
      </w:r>
    </w:p>
    <w:p w14:paraId="05276B4E" w14:textId="77777777" w:rsidR="00AD6176" w:rsidRDefault="00AD6176" w:rsidP="00AD6176">
      <w:pPr>
        <w:pStyle w:val="NIEARTTEKSTtekstnieartykuowanynppodstprawnarozplubpreambua"/>
      </w:pPr>
      <w:r>
        <w:t>Mając na uwadze potrzebę ukończenia</w:t>
      </w:r>
      <w:r w:rsidRPr="00494E4F">
        <w:t xml:space="preserve"> p</w:t>
      </w:r>
      <w:r>
        <w:t>ostępowań</w:t>
      </w:r>
      <w:r w:rsidRPr="00494E4F">
        <w:t xml:space="preserve"> o zaprzeczenie ojcostwa (macierzyństwa) oraz o ustalenie</w:t>
      </w:r>
      <w:r>
        <w:t xml:space="preserve"> bezskuteczności uznania ojcostwa</w:t>
      </w:r>
      <w:r w:rsidRPr="00494E4F">
        <w:t xml:space="preserve"> rozpoczętych </w:t>
      </w:r>
      <w:r>
        <w:t xml:space="preserve">przed dniem wejścia w życie ustawy, w oparciu o przepisy korzystniejsze dla stron, </w:t>
      </w:r>
      <w:r w:rsidRPr="00494E4F">
        <w:t xml:space="preserve">należy przyjąć zasadę stosowania w </w:t>
      </w:r>
      <w:r>
        <w:t>tych postępowaniach</w:t>
      </w:r>
      <w:r w:rsidRPr="00494E4F">
        <w:t xml:space="preserve"> przepisów</w:t>
      </w:r>
      <w:r>
        <w:t xml:space="preserve"> nowych (art. 2 ust. 1).</w:t>
      </w:r>
      <w:r w:rsidRPr="00767767">
        <w:t xml:space="preserve"> </w:t>
      </w:r>
    </w:p>
    <w:p w14:paraId="544C46EF" w14:textId="77777777" w:rsidR="00AD6176" w:rsidRDefault="00AD6176" w:rsidP="00AD6176">
      <w:pPr>
        <w:pStyle w:val="ARTartustawynprozporzdzenia"/>
      </w:pPr>
      <w:r>
        <w:t>W celu zapewnienia ochrony praw nabytych pod rządami obowiązującej ustawy proponuje się, aby w przypadkach, w których to dziecko wytoczyło powództwo tego rodzaju, termin do wytoczenia powództwa o zaprzeczenie</w:t>
      </w:r>
      <w:r w:rsidRPr="00767767">
        <w:t xml:space="preserve"> </w:t>
      </w:r>
      <w:r w:rsidRPr="00494E4F">
        <w:t>ojcostwa (macierzyństwa) oraz o ustalenie</w:t>
      </w:r>
      <w:r>
        <w:t xml:space="preserve"> bezskuteczności uznania ojcostwa nie mógł skończyć się wcześniej niż przed upływem 3 lat od </w:t>
      </w:r>
      <w:r w:rsidRPr="00AB49AE">
        <w:t>dn</w:t>
      </w:r>
      <w:r>
        <w:t xml:space="preserve">ia </w:t>
      </w:r>
      <w:r w:rsidRPr="00AB49AE">
        <w:t>we</w:t>
      </w:r>
      <w:r>
        <w:t>jścia w życie niniejszej ustawy (art. 2 ust. 2).</w:t>
      </w:r>
    </w:p>
    <w:p w14:paraId="0D4A1020" w14:textId="6AD510EC" w:rsidR="00AD6176" w:rsidRDefault="00AD6176" w:rsidP="00AD6176">
      <w:pPr>
        <w:pStyle w:val="NIEARTTEKSTtekstnieartykuowanynppodstprawnarozplubpreambua"/>
      </w:pPr>
      <w:r>
        <w:t xml:space="preserve">Przedmiot projektowanej </w:t>
      </w:r>
      <w:r w:rsidRPr="00FC0B76">
        <w:t xml:space="preserve">ustawy nie jest objęty prawem Unii Europejskiej i </w:t>
      </w:r>
      <w:r w:rsidRPr="00A51974">
        <w:t>nie podlega przedstawieniu właściwym organom i instytucjom Unii Europejskiej,</w:t>
      </w:r>
      <w:r>
        <w:t xml:space="preserve"> </w:t>
      </w:r>
      <w:r w:rsidRPr="00A51974">
        <w:t xml:space="preserve">o których mowa w § 27 </w:t>
      </w:r>
      <w:r w:rsidRPr="00A51974">
        <w:lastRenderedPageBreak/>
        <w:t>ust. 4 uchwały nr 190 Rady Ministrów z dnia 29 października 2013 r. – Regulamin pracy Rady Ministrów (M.P. z 2016 r. poz. 1006</w:t>
      </w:r>
      <w:r>
        <w:t>, z późn. zm.</w:t>
      </w:r>
      <w:r w:rsidRPr="00A51974">
        <w:t>).</w:t>
      </w:r>
    </w:p>
    <w:p w14:paraId="6D59522C" w14:textId="0AF71E48" w:rsidR="00AD6176" w:rsidRPr="00FC0B76" w:rsidRDefault="00AD6176" w:rsidP="00AD6176">
      <w:pPr>
        <w:pStyle w:val="NIEARTTEKSTtekstnieartykuowanynppodstprawnarozplubpreambua"/>
        <w:rPr>
          <w:lang w:eastAsia="en-US"/>
        </w:rPr>
      </w:pPr>
      <w:r w:rsidRPr="00297B0E">
        <w:t xml:space="preserve">Przed skierowaniem niniejszego projektu do uzgodnień, konsultacji publicznych </w:t>
      </w:r>
      <w:r>
        <w:t>i </w:t>
      </w:r>
      <w:r w:rsidRPr="00297B0E">
        <w:t>opiniowania, n</w:t>
      </w:r>
      <w:r w:rsidRPr="00297B0E">
        <w:rPr>
          <w:lang w:eastAsia="en-US"/>
        </w:rPr>
        <w:t xml:space="preserve">ie dokonywano oceny OSR w trybie § 32 uchwały </w:t>
      </w:r>
      <w:r>
        <w:t xml:space="preserve">nr 190 </w:t>
      </w:r>
      <w:r w:rsidRPr="00297B0E">
        <w:rPr>
          <w:lang w:eastAsia="en-US"/>
        </w:rPr>
        <w:t xml:space="preserve">Rady Ministrów </w:t>
      </w:r>
      <w:r>
        <w:rPr>
          <w:lang w:eastAsia="en-US"/>
        </w:rPr>
        <w:t>z </w:t>
      </w:r>
      <w:r w:rsidRPr="00297B0E">
        <w:rPr>
          <w:lang w:eastAsia="en-US"/>
        </w:rPr>
        <w:t>dnia 29 października 2013 r. – Regulamin pracy Rady Ministrów.</w:t>
      </w:r>
    </w:p>
    <w:p w14:paraId="16B244D1" w14:textId="77777777" w:rsidR="00AD6176" w:rsidRPr="00BA0FEB" w:rsidRDefault="00AD6176" w:rsidP="00AD6176">
      <w:pPr>
        <w:pStyle w:val="NIEARTTEKSTtekstnieartykuowanynppodstprawnarozplubpreambua"/>
      </w:pPr>
      <w:r w:rsidRPr="00FC0B76">
        <w:t xml:space="preserve">Projekt ustawy nie wpłynie na działalność mikroprzedsiębiorców oraz małych i średnich </w:t>
      </w:r>
      <w:r>
        <w:t>przedsiębiorstw</w:t>
      </w:r>
      <w:r w:rsidRPr="00FC0B76">
        <w:t>.</w:t>
      </w:r>
    </w:p>
    <w:p w14:paraId="5006CFE1" w14:textId="77777777" w:rsidR="00AD6176" w:rsidRPr="008B39E9" w:rsidRDefault="00AD6176" w:rsidP="00AD6176">
      <w:pPr>
        <w:pStyle w:val="NIEARTTEKSTtekstnieartykuowanynppodstprawnarozplubpreambua"/>
      </w:pPr>
      <w:r w:rsidRPr="008B39E9">
        <w:rPr>
          <w:lang w:eastAsia="en-US"/>
        </w:rPr>
        <w:t>Projekt</w:t>
      </w:r>
      <w:r w:rsidRPr="008B39E9">
        <w:t>owana</w:t>
      </w:r>
      <w:r w:rsidRPr="008B39E9">
        <w:rPr>
          <w:lang w:eastAsia="en-US"/>
        </w:rPr>
        <w:t xml:space="preserve"> ustaw</w:t>
      </w:r>
      <w:r w:rsidRPr="008B39E9">
        <w:t>a</w:t>
      </w:r>
      <w:r w:rsidRPr="008B39E9">
        <w:rPr>
          <w:lang w:eastAsia="en-US"/>
        </w:rPr>
        <w:t xml:space="preserve"> nie zawiera przepisów technicznych, a zatem nie podlega notyfikacji zgodnie z trybem przewidzianym w rozporządzeniu Rady Ministrów z dnia </w:t>
      </w:r>
      <w:r>
        <w:rPr>
          <w:lang w:eastAsia="en-US"/>
        </w:rPr>
        <w:t>23 </w:t>
      </w:r>
      <w:r w:rsidRPr="008B39E9">
        <w:rPr>
          <w:lang w:eastAsia="en-US"/>
        </w:rPr>
        <w:t xml:space="preserve">grudnia 2002 r. w sprawie sposobu funkcjonowania krajowego systemu notyfikacji norm </w:t>
      </w:r>
      <w:r>
        <w:rPr>
          <w:lang w:eastAsia="en-US"/>
        </w:rPr>
        <w:t>i </w:t>
      </w:r>
      <w:r w:rsidRPr="008B39E9">
        <w:rPr>
          <w:lang w:eastAsia="en-US"/>
        </w:rPr>
        <w:t>aktów prawnych (Dz. U. poz. 2039</w:t>
      </w:r>
      <w:r>
        <w:t>,</w:t>
      </w:r>
      <w:r w:rsidRPr="008B39E9">
        <w:rPr>
          <w:lang w:eastAsia="en-US"/>
        </w:rPr>
        <w:t xml:space="preserve"> z późn. zm.).</w:t>
      </w:r>
    </w:p>
    <w:p w14:paraId="3061CF4B" w14:textId="77777777" w:rsidR="00AD6176" w:rsidRPr="009D51BB" w:rsidRDefault="00AD6176" w:rsidP="009D51BB">
      <w:pPr>
        <w:pStyle w:val="NIEARTTEKSTtekstnieartykuowanynppodstprawnarozplubpreambua"/>
      </w:pPr>
      <w:r w:rsidRPr="00FC0B76">
        <w:t>Zgodnie z art. 5 ustawy z dnia 7 lipca 2005 r. o działalności lobbingowej w procesie stanowienia prawa (Dz. U. z 2017 r. poz. 248)</w:t>
      </w:r>
      <w:r>
        <w:t>,</w:t>
      </w:r>
      <w:r w:rsidRPr="00FC0B76">
        <w:t xml:space="preserve"> proje</w:t>
      </w:r>
      <w:r>
        <w:t>kt został</w:t>
      </w:r>
      <w:r w:rsidRPr="00FC0B76">
        <w:t xml:space="preserve"> udostępniony w Biuletynie Informacji Publicznej na stronie podmiotowej Rządowego Centrum Legislacji, w serwisie Rządowy</w:t>
      </w:r>
      <w:r>
        <w:t xml:space="preserve"> Proces Legislacyjny. </w:t>
      </w:r>
      <w:r w:rsidR="009D51BB" w:rsidRPr="009D51BB">
        <w:t>Żaden podmiot nie zgłosił zainteresowania pracami nad przedmiotowym projektem w trybie ustawy z dnia 7 lipca 2005 r. o działalności lobbingowej w procesie stanowienia prawa.</w:t>
      </w:r>
    </w:p>
    <w:sectPr w:rsidR="00AD6176" w:rsidRPr="009D51BB" w:rsidSect="0072793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ADF01" w14:textId="77777777" w:rsidR="00103C8E" w:rsidRDefault="00103C8E" w:rsidP="009D78F9">
      <w:pPr>
        <w:spacing w:after="0" w:line="240" w:lineRule="auto"/>
      </w:pPr>
      <w:r>
        <w:separator/>
      </w:r>
    </w:p>
  </w:endnote>
  <w:endnote w:type="continuationSeparator" w:id="0">
    <w:p w14:paraId="5E8E4F09" w14:textId="77777777" w:rsidR="00103C8E" w:rsidRDefault="00103C8E"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45E2E31D" w14:textId="7D80AB1B"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5837B0">
          <w:rPr>
            <w:rFonts w:ascii="Times New Roman" w:hAnsi="Times New Roman" w:cs="Times New Roman"/>
            <w:noProof/>
            <w:sz w:val="24"/>
            <w:szCs w:val="24"/>
          </w:rPr>
          <w:t>2</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598EE" w14:textId="77777777" w:rsidR="00103C8E" w:rsidRDefault="00103C8E" w:rsidP="009D78F9">
      <w:pPr>
        <w:spacing w:after="0" w:line="240" w:lineRule="auto"/>
      </w:pPr>
      <w:r>
        <w:separator/>
      </w:r>
    </w:p>
  </w:footnote>
  <w:footnote w:type="continuationSeparator" w:id="0">
    <w:p w14:paraId="76A64A6A" w14:textId="77777777" w:rsidR="00103C8E" w:rsidRDefault="00103C8E"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103C8E"/>
    <w:rsid w:val="00173B15"/>
    <w:rsid w:val="001A24FE"/>
    <w:rsid w:val="001B3166"/>
    <w:rsid w:val="00236955"/>
    <w:rsid w:val="002D3299"/>
    <w:rsid w:val="00381680"/>
    <w:rsid w:val="003924A2"/>
    <w:rsid w:val="00392C21"/>
    <w:rsid w:val="003938F7"/>
    <w:rsid w:val="003F6C95"/>
    <w:rsid w:val="00445210"/>
    <w:rsid w:val="00453BA3"/>
    <w:rsid w:val="004A2B6D"/>
    <w:rsid w:val="004A37A6"/>
    <w:rsid w:val="004E0A95"/>
    <w:rsid w:val="004F3862"/>
    <w:rsid w:val="005837B0"/>
    <w:rsid w:val="005F249D"/>
    <w:rsid w:val="005F4005"/>
    <w:rsid w:val="006466AC"/>
    <w:rsid w:val="00725B90"/>
    <w:rsid w:val="00726F0A"/>
    <w:rsid w:val="00727934"/>
    <w:rsid w:val="007455B5"/>
    <w:rsid w:val="007A3A37"/>
    <w:rsid w:val="007E26CA"/>
    <w:rsid w:val="00867028"/>
    <w:rsid w:val="00874676"/>
    <w:rsid w:val="00877B10"/>
    <w:rsid w:val="00882207"/>
    <w:rsid w:val="00887DB4"/>
    <w:rsid w:val="008D1573"/>
    <w:rsid w:val="008F6235"/>
    <w:rsid w:val="009D51BB"/>
    <w:rsid w:val="009D78F9"/>
    <w:rsid w:val="009E4A70"/>
    <w:rsid w:val="009E788D"/>
    <w:rsid w:val="009F03C5"/>
    <w:rsid w:val="00AB053F"/>
    <w:rsid w:val="00AD453B"/>
    <w:rsid w:val="00AD6176"/>
    <w:rsid w:val="00B71CFD"/>
    <w:rsid w:val="00C04DCD"/>
    <w:rsid w:val="00CF08F2"/>
    <w:rsid w:val="00D033A0"/>
    <w:rsid w:val="00D03895"/>
    <w:rsid w:val="00DF4048"/>
    <w:rsid w:val="00DF5F5A"/>
    <w:rsid w:val="00E5094D"/>
    <w:rsid w:val="00EC5EE4"/>
    <w:rsid w:val="00EE2731"/>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3613"/>
  <w15:docId w15:val="{B7AF6EDD-8CD8-491A-BFA0-D57BBAE35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DATAAKTUdatauchwalenialubwydaniaaktu">
    <w:name w:val="DATA_AKTU – data uchwalenia lub wydania aktu"/>
    <w:next w:val="Normalny"/>
    <w:uiPriority w:val="6"/>
    <w:qFormat/>
    <w:rsid w:val="00AD6176"/>
    <w:pPr>
      <w:keepNext/>
      <w:suppressAutoHyphens/>
      <w:spacing w:before="120" w:after="120" w:line="360" w:lineRule="auto"/>
      <w:jc w:val="center"/>
    </w:pPr>
    <w:rPr>
      <w:rFonts w:ascii="Times" w:eastAsiaTheme="minorEastAsia" w:hAnsi="Times" w:cs="Arial"/>
      <w:bCs/>
      <w:sz w:val="24"/>
      <w:szCs w:val="24"/>
      <w:lang w:eastAsia="pl-PL"/>
    </w:rPr>
  </w:style>
  <w:style w:type="character" w:customStyle="1" w:styleId="IGindeksgrny">
    <w:name w:val="_IG_ – indeks górny"/>
    <w:basedOn w:val="Domylnaczcionkaakapitu"/>
    <w:uiPriority w:val="2"/>
    <w:qFormat/>
    <w:rsid w:val="00AD6176"/>
    <w:rPr>
      <w:b w:val="0"/>
      <w:i w:val="0"/>
      <w:vanish w:val="0"/>
      <w:spacing w:val="0"/>
      <w:vertAlign w:val="superscript"/>
    </w:rPr>
  </w:style>
  <w:style w:type="character" w:customStyle="1" w:styleId="Kkursywa">
    <w:name w:val="_K_ – kursywa"/>
    <w:basedOn w:val="Domylnaczcionkaakapitu"/>
    <w:uiPriority w:val="1"/>
    <w:qFormat/>
    <w:rsid w:val="00AD6176"/>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1726</Words>
  <Characters>10356</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Binkowska Joanna</cp:lastModifiedBy>
  <cp:revision>2</cp:revision>
  <cp:lastPrinted>2018-10-02T13:01:00Z</cp:lastPrinted>
  <dcterms:created xsi:type="dcterms:W3CDTF">2019-06-26T09:21:00Z</dcterms:created>
  <dcterms:modified xsi:type="dcterms:W3CDTF">2019-06-26T09:21:00Z</dcterms:modified>
</cp:coreProperties>
</file>