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5A3" w:rsidRPr="00E70E70" w:rsidRDefault="00C665A3" w:rsidP="00E70E70">
      <w:pPr>
        <w:pStyle w:val="TYTUAKTUprzedmiotregulacjiustawylubrozporzdzenia"/>
        <w:spacing w:after="0"/>
        <w:rPr>
          <w:rFonts w:ascii="Times New Roman" w:hAnsi="Times New Roman" w:cs="Times New Roman"/>
          <w:b w:val="0"/>
          <w:lang w:eastAsia="en-US"/>
        </w:rPr>
      </w:pPr>
      <w:r w:rsidRPr="00E70E70">
        <w:rPr>
          <w:rFonts w:ascii="Times New Roman" w:hAnsi="Times New Roman" w:cs="Times New Roman"/>
          <w:b w:val="0"/>
          <w:lang w:eastAsia="en-US"/>
        </w:rPr>
        <w:t>UZASADNIENIE</w:t>
      </w:r>
    </w:p>
    <w:p w:rsidR="00C665A3" w:rsidRPr="00E70E70" w:rsidRDefault="00C665A3" w:rsidP="00E70E70">
      <w:pPr>
        <w:pStyle w:val="NIEARTTEKSTtekstnieartykuowanynppodstprawnarozplubpreambua"/>
        <w:tabs>
          <w:tab w:val="left" w:pos="426"/>
        </w:tabs>
        <w:ind w:firstLine="0"/>
        <w:rPr>
          <w:rFonts w:ascii="Times New Roman" w:hAnsi="Times New Roman" w:cs="Times New Roman"/>
          <w:szCs w:val="24"/>
          <w:lang w:eastAsia="en-US"/>
        </w:rPr>
      </w:pPr>
      <w:r w:rsidRPr="00E70E70">
        <w:rPr>
          <w:rFonts w:ascii="Times New Roman" w:hAnsi="Times New Roman" w:cs="Times New Roman"/>
          <w:szCs w:val="24"/>
        </w:rPr>
        <w:t>I.</w:t>
      </w:r>
      <w:r w:rsidR="00C16203">
        <w:rPr>
          <w:rFonts w:ascii="Times New Roman" w:hAnsi="Times New Roman" w:cs="Times New Roman"/>
          <w:szCs w:val="24"/>
        </w:rPr>
        <w:tab/>
      </w:r>
      <w:r w:rsidRPr="00E70E70">
        <w:rPr>
          <w:rFonts w:ascii="Times New Roman" w:hAnsi="Times New Roman" w:cs="Times New Roman"/>
          <w:szCs w:val="24"/>
          <w:lang w:eastAsia="en-US"/>
        </w:rPr>
        <w:t>Cel projektowanej regulacji</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t xml:space="preserve">Celem projektu jest dostosowanie aktów prawnych regulujących organizację </w:t>
      </w:r>
      <w:r w:rsidR="00553631" w:rsidRPr="00E70E70">
        <w:rPr>
          <w:rFonts w:ascii="Times New Roman" w:hAnsi="Times New Roman" w:cs="Times New Roman"/>
          <w:szCs w:val="24"/>
          <w:lang w:eastAsia="en-US"/>
        </w:rPr>
        <w:t>i</w:t>
      </w:r>
      <w:r w:rsidR="00553631">
        <w:rPr>
          <w:rFonts w:ascii="Times New Roman" w:hAnsi="Times New Roman" w:cs="Times New Roman"/>
          <w:szCs w:val="24"/>
          <w:lang w:eastAsia="en-US"/>
        </w:rPr>
        <w:t> </w:t>
      </w:r>
      <w:r w:rsidRPr="00E70E70">
        <w:rPr>
          <w:rFonts w:ascii="Times New Roman" w:hAnsi="Times New Roman" w:cs="Times New Roman"/>
          <w:szCs w:val="24"/>
          <w:lang w:eastAsia="en-US"/>
        </w:rPr>
        <w:t xml:space="preserve">funkcjonowanie portów do postanowień rozporządzenia Parlamentu Europejskiego </w:t>
      </w:r>
      <w:r w:rsidR="00553631" w:rsidRPr="00E70E70">
        <w:rPr>
          <w:rFonts w:ascii="Times New Roman" w:hAnsi="Times New Roman" w:cs="Times New Roman"/>
          <w:szCs w:val="24"/>
          <w:lang w:eastAsia="en-US"/>
        </w:rPr>
        <w:t>i</w:t>
      </w:r>
      <w:r w:rsidR="00553631">
        <w:rPr>
          <w:rFonts w:ascii="Times New Roman" w:hAnsi="Times New Roman" w:cs="Times New Roman"/>
          <w:szCs w:val="24"/>
          <w:lang w:eastAsia="en-US"/>
        </w:rPr>
        <w:t> </w:t>
      </w:r>
      <w:r w:rsidRPr="00E70E70">
        <w:rPr>
          <w:rFonts w:ascii="Times New Roman" w:hAnsi="Times New Roman" w:cs="Times New Roman"/>
          <w:szCs w:val="24"/>
          <w:lang w:eastAsia="en-US"/>
        </w:rPr>
        <w:t xml:space="preserve">Rady (UE) 2017/352 z dnia 15 lutego 2017 r. ustanawiającego ramy w zakresie świadczenia usług portowych oraz wspólne zasady dotyczące przejrzystości finansowej portów (Dz. Urz. UE L 57 z </w:t>
      </w:r>
      <w:r w:rsidR="00E70E70">
        <w:rPr>
          <w:rFonts w:ascii="Times New Roman" w:hAnsi="Times New Roman" w:cs="Times New Roman"/>
          <w:szCs w:val="24"/>
          <w:lang w:eastAsia="en-US"/>
        </w:rPr>
        <w:t>0</w:t>
      </w:r>
      <w:r w:rsidRPr="00E70E70">
        <w:rPr>
          <w:rFonts w:ascii="Times New Roman" w:hAnsi="Times New Roman" w:cs="Times New Roman"/>
          <w:szCs w:val="24"/>
          <w:lang w:eastAsia="en-US"/>
        </w:rPr>
        <w:t xml:space="preserve">3.03.2017, str. 1), zwanego dalej </w:t>
      </w:r>
      <w:r w:rsidRPr="00E70E70">
        <w:rPr>
          <w:rFonts w:ascii="Times New Roman" w:hAnsi="Times New Roman" w:cs="Times New Roman"/>
          <w:szCs w:val="24"/>
        </w:rPr>
        <w:t>„</w:t>
      </w:r>
      <w:r w:rsidRPr="00E70E70">
        <w:rPr>
          <w:rFonts w:ascii="Times New Roman" w:hAnsi="Times New Roman" w:cs="Times New Roman"/>
          <w:szCs w:val="24"/>
          <w:lang w:eastAsia="en-US"/>
        </w:rPr>
        <w:t>rozporządzeniem 2017/352</w:t>
      </w:r>
      <w:r w:rsidRPr="00E70E70">
        <w:rPr>
          <w:rFonts w:ascii="Times New Roman" w:hAnsi="Times New Roman" w:cs="Times New Roman"/>
          <w:szCs w:val="24"/>
        </w:rPr>
        <w:t>”</w:t>
      </w:r>
      <w:r w:rsidRPr="00E70E70">
        <w:rPr>
          <w:rFonts w:ascii="Times New Roman" w:hAnsi="Times New Roman" w:cs="Times New Roman"/>
          <w:szCs w:val="24"/>
          <w:lang w:eastAsia="en-US"/>
        </w:rPr>
        <w:t>.</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t xml:space="preserve">Projekt ma również na celu wzmocnienie pozycji podmiotów zarządzających portami </w:t>
      </w:r>
      <w:r w:rsidR="00553631" w:rsidRPr="00E70E70">
        <w:rPr>
          <w:rFonts w:ascii="Times New Roman" w:hAnsi="Times New Roman" w:cs="Times New Roman"/>
          <w:szCs w:val="24"/>
          <w:lang w:eastAsia="en-US"/>
        </w:rPr>
        <w:t>i</w:t>
      </w:r>
      <w:r w:rsidR="00553631">
        <w:rPr>
          <w:rFonts w:ascii="Times New Roman" w:hAnsi="Times New Roman" w:cs="Times New Roman"/>
          <w:szCs w:val="24"/>
          <w:lang w:eastAsia="en-US"/>
        </w:rPr>
        <w:t> </w:t>
      </w:r>
      <w:r w:rsidRPr="00E70E70">
        <w:rPr>
          <w:rFonts w:ascii="Times New Roman" w:hAnsi="Times New Roman" w:cs="Times New Roman"/>
          <w:szCs w:val="24"/>
          <w:lang w:eastAsia="en-US"/>
        </w:rPr>
        <w:t xml:space="preserve">przystaniami morskimi oraz usprawnienie funkcjonowania portów. </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t xml:space="preserve">Podkreślić należy, że polskie porty w ostatnich latach biją rekordy przeładunków. </w:t>
      </w:r>
      <w:r w:rsidR="00553631" w:rsidRPr="00E70E70">
        <w:rPr>
          <w:rFonts w:ascii="Times New Roman" w:hAnsi="Times New Roman" w:cs="Times New Roman"/>
          <w:szCs w:val="24"/>
        </w:rPr>
        <w:t>W</w:t>
      </w:r>
      <w:r w:rsidR="00553631">
        <w:rPr>
          <w:rFonts w:ascii="Times New Roman" w:hAnsi="Times New Roman" w:cs="Times New Roman"/>
          <w:szCs w:val="24"/>
        </w:rPr>
        <w:t> </w:t>
      </w:r>
      <w:r w:rsidRPr="00E70E70">
        <w:rPr>
          <w:rFonts w:ascii="Times New Roman" w:hAnsi="Times New Roman" w:cs="Times New Roman"/>
          <w:szCs w:val="24"/>
          <w:lang w:eastAsia="en-US"/>
        </w:rPr>
        <w:t>2018</w:t>
      </w:r>
      <w:r w:rsidRPr="00E70E70">
        <w:rPr>
          <w:rFonts w:ascii="Times New Roman" w:hAnsi="Times New Roman" w:cs="Times New Roman"/>
          <w:szCs w:val="24"/>
        </w:rPr>
        <w:t xml:space="preserve"> r.</w:t>
      </w:r>
      <w:r w:rsidRPr="00E70E70">
        <w:rPr>
          <w:rFonts w:ascii="Times New Roman" w:hAnsi="Times New Roman" w:cs="Times New Roman"/>
          <w:szCs w:val="24"/>
          <w:lang w:eastAsia="en-US"/>
        </w:rPr>
        <w:t xml:space="preserve"> w</w:t>
      </w:r>
      <w:r w:rsidRPr="00E70E70">
        <w:rPr>
          <w:rFonts w:ascii="Times New Roman" w:hAnsi="Times New Roman" w:cs="Times New Roman"/>
          <w:szCs w:val="24"/>
        </w:rPr>
        <w:t xml:space="preserve"> </w:t>
      </w:r>
      <w:r w:rsidR="00B67654">
        <w:rPr>
          <w:rFonts w:ascii="Times New Roman" w:hAnsi="Times New Roman" w:cs="Times New Roman"/>
          <w:szCs w:val="24"/>
        </w:rPr>
        <w:t>p</w:t>
      </w:r>
      <w:r w:rsidRPr="00E70E70">
        <w:rPr>
          <w:rFonts w:ascii="Times New Roman" w:hAnsi="Times New Roman" w:cs="Times New Roman"/>
          <w:szCs w:val="24"/>
        </w:rPr>
        <w:t>olskich</w:t>
      </w:r>
      <w:r w:rsidRPr="00E70E70">
        <w:rPr>
          <w:rFonts w:ascii="Times New Roman" w:hAnsi="Times New Roman" w:cs="Times New Roman"/>
          <w:szCs w:val="24"/>
          <w:lang w:eastAsia="en-US"/>
        </w:rPr>
        <w:t xml:space="preserve"> portach przeładowan</w:t>
      </w:r>
      <w:r w:rsidRPr="00E70E70">
        <w:rPr>
          <w:rFonts w:ascii="Times New Roman" w:hAnsi="Times New Roman" w:cs="Times New Roman"/>
          <w:szCs w:val="24"/>
        </w:rPr>
        <w:t>o ponad</w:t>
      </w:r>
      <w:r w:rsidRPr="00E70E70">
        <w:rPr>
          <w:rFonts w:ascii="Times New Roman" w:hAnsi="Times New Roman" w:cs="Times New Roman"/>
          <w:szCs w:val="24"/>
          <w:lang w:eastAsia="en-US"/>
        </w:rPr>
        <w:t xml:space="preserve"> 100,0 mln ton ładunków.</w:t>
      </w:r>
      <w:r w:rsidR="00C16203">
        <w:rPr>
          <w:rFonts w:ascii="Times New Roman" w:hAnsi="Times New Roman" w:cs="Times New Roman"/>
          <w:szCs w:val="24"/>
          <w:lang w:eastAsia="en-US"/>
        </w:rPr>
        <w:t xml:space="preserve"> </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t>Według danych Krajowej Administracji Skarbowej w roku 2017 należności celno-</w:t>
      </w:r>
      <w:r w:rsidR="00B67654">
        <w:rPr>
          <w:rFonts w:ascii="Times New Roman" w:hAnsi="Times New Roman" w:cs="Times New Roman"/>
          <w:szCs w:val="24"/>
          <w:lang w:eastAsia="en-US"/>
        </w:rPr>
        <w:noBreakHyphen/>
      </w:r>
      <w:r w:rsidRPr="00E70E70">
        <w:rPr>
          <w:rFonts w:ascii="Times New Roman" w:hAnsi="Times New Roman" w:cs="Times New Roman"/>
          <w:szCs w:val="24"/>
          <w:lang w:eastAsia="en-US"/>
        </w:rPr>
        <w:t>podatkowe (VAT, cła, akcyza) z tytułu odprawy ładunków w morskich granicznych oddziałach celnych wyniosły ok. 24,6 mld PLN (tj. ok. 7,0% zrealizowanych dochodów budżetu państwa w analizowanym roku). Wartość statystyczna towaru szacowana była na ok.</w:t>
      </w:r>
      <w:r w:rsidR="00C16203">
        <w:rPr>
          <w:rFonts w:ascii="Times New Roman" w:hAnsi="Times New Roman" w:cs="Times New Roman"/>
          <w:szCs w:val="24"/>
        </w:rPr>
        <w:t xml:space="preserve"> </w:t>
      </w:r>
      <w:r w:rsidRPr="00E70E70">
        <w:rPr>
          <w:rFonts w:ascii="Times New Roman" w:hAnsi="Times New Roman" w:cs="Times New Roman"/>
          <w:szCs w:val="24"/>
          <w:lang w:eastAsia="en-US"/>
        </w:rPr>
        <w:t>86,5 mld PLN.</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t>Omówienie proponowanych rozwiązań:</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Style w:val="Ppogrubienie"/>
          <w:rFonts w:ascii="Times New Roman" w:hAnsi="Times New Roman" w:cs="Times New Roman"/>
          <w:szCs w:val="24"/>
        </w:rPr>
        <w:t>Art. 1</w:t>
      </w:r>
      <w:r w:rsidRPr="00E70E70">
        <w:rPr>
          <w:rFonts w:ascii="Times New Roman" w:hAnsi="Times New Roman" w:cs="Times New Roman"/>
          <w:szCs w:val="24"/>
          <w:lang w:eastAsia="en-US"/>
        </w:rPr>
        <w:t xml:space="preserve"> przewiduje zmiany w ustawie z dnia 20 grudnia 1996 r. o portach i przystaniach morskich (Dz. U.</w:t>
      </w:r>
      <w:r w:rsidR="00C16203">
        <w:rPr>
          <w:rFonts w:ascii="Times New Roman" w:hAnsi="Times New Roman" w:cs="Times New Roman"/>
          <w:szCs w:val="24"/>
          <w:lang w:eastAsia="en-US"/>
        </w:rPr>
        <w:t xml:space="preserve"> </w:t>
      </w:r>
      <w:r w:rsidRPr="00E70E70">
        <w:rPr>
          <w:rFonts w:ascii="Times New Roman" w:hAnsi="Times New Roman" w:cs="Times New Roman"/>
          <w:szCs w:val="24"/>
          <w:lang w:eastAsia="en-US"/>
        </w:rPr>
        <w:t>z 2017 r.</w:t>
      </w:r>
      <w:r w:rsidR="00C16203">
        <w:rPr>
          <w:rFonts w:ascii="Times New Roman" w:hAnsi="Times New Roman" w:cs="Times New Roman"/>
          <w:szCs w:val="24"/>
          <w:lang w:eastAsia="en-US"/>
        </w:rPr>
        <w:t xml:space="preserve"> </w:t>
      </w:r>
      <w:r w:rsidRPr="00E70E70">
        <w:rPr>
          <w:rFonts w:ascii="Times New Roman" w:hAnsi="Times New Roman" w:cs="Times New Roman"/>
          <w:szCs w:val="24"/>
          <w:lang w:eastAsia="en-US"/>
        </w:rPr>
        <w:t xml:space="preserve">poz. 1933), zwanej dalej </w:t>
      </w:r>
      <w:r w:rsidRPr="00E70E70">
        <w:rPr>
          <w:rFonts w:ascii="Times New Roman" w:hAnsi="Times New Roman" w:cs="Times New Roman"/>
          <w:szCs w:val="24"/>
        </w:rPr>
        <w:t>„</w:t>
      </w:r>
      <w:r w:rsidRPr="00E70E70">
        <w:rPr>
          <w:rFonts w:ascii="Times New Roman" w:hAnsi="Times New Roman" w:cs="Times New Roman"/>
          <w:szCs w:val="24"/>
          <w:lang w:eastAsia="en-US"/>
        </w:rPr>
        <w:t>ustawą o portach</w:t>
      </w:r>
      <w:r w:rsidRPr="00E70E70">
        <w:rPr>
          <w:rFonts w:ascii="Times New Roman" w:hAnsi="Times New Roman" w:cs="Times New Roman"/>
          <w:szCs w:val="24"/>
        </w:rPr>
        <w:t>”</w:t>
      </w:r>
      <w:r w:rsidRPr="00E70E70">
        <w:rPr>
          <w:rFonts w:ascii="Times New Roman" w:hAnsi="Times New Roman" w:cs="Times New Roman"/>
          <w:szCs w:val="24"/>
          <w:lang w:eastAsia="en-US"/>
        </w:rPr>
        <w:t xml:space="preserve">. Zmiany te dotyczą przede wszystkim gospodarki nieruchomościami w portach i przystaniach morskich i wynikają z dotychczasowych doświadczeń w tym zakresie oraz zgłaszanych przez same podmioty zarządzające postulatów. Mają one </w:t>
      </w:r>
      <w:r w:rsidRPr="00E70E70">
        <w:rPr>
          <w:rFonts w:ascii="Times New Roman" w:hAnsi="Times New Roman" w:cs="Times New Roman"/>
          <w:szCs w:val="24"/>
        </w:rPr>
        <w:t xml:space="preserve">na </w:t>
      </w:r>
      <w:r w:rsidRPr="00E70E70">
        <w:rPr>
          <w:rFonts w:ascii="Times New Roman" w:hAnsi="Times New Roman" w:cs="Times New Roman"/>
          <w:szCs w:val="24"/>
          <w:lang w:eastAsia="en-US"/>
        </w:rPr>
        <w:t>celu doprecyzowanie aktualnie obowiązujących przepisów w zakresie obrotu nieruchomościami w porcie. Ponadto proponowane zmiany mają na celu zapewnienie stosowania p</w:t>
      </w:r>
      <w:r w:rsidRPr="00E70E70">
        <w:rPr>
          <w:rFonts w:ascii="Times New Roman" w:hAnsi="Times New Roman" w:cs="Times New Roman"/>
          <w:szCs w:val="24"/>
        </w:rPr>
        <w:t>rzepisów</w:t>
      </w:r>
      <w:r w:rsidR="00C16203">
        <w:rPr>
          <w:rFonts w:ascii="Times New Roman" w:hAnsi="Times New Roman" w:cs="Times New Roman"/>
          <w:szCs w:val="24"/>
        </w:rPr>
        <w:t xml:space="preserve"> </w:t>
      </w:r>
      <w:r w:rsidRPr="00E70E70">
        <w:rPr>
          <w:rFonts w:ascii="Times New Roman" w:hAnsi="Times New Roman" w:cs="Times New Roman"/>
          <w:szCs w:val="24"/>
          <w:lang w:eastAsia="en-US"/>
        </w:rPr>
        <w:t>rozporządzenia 2017/352</w:t>
      </w:r>
      <w:r w:rsidRPr="00E70E70">
        <w:rPr>
          <w:rFonts w:ascii="Times New Roman" w:hAnsi="Times New Roman" w:cs="Times New Roman"/>
          <w:szCs w:val="24"/>
        </w:rPr>
        <w:t>.</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t>Art. 1 pkt 1 lit. a przewiduje zmiany dotyczące definicji. Wprowadza się now</w:t>
      </w:r>
      <w:r w:rsidRPr="00E70E70">
        <w:rPr>
          <w:rFonts w:ascii="Times New Roman" w:hAnsi="Times New Roman" w:cs="Times New Roman"/>
          <w:szCs w:val="24"/>
        </w:rPr>
        <w:t>e pojęcie</w:t>
      </w:r>
      <w:r w:rsidR="00C16203">
        <w:rPr>
          <w:rFonts w:ascii="Times New Roman" w:hAnsi="Times New Roman" w:cs="Times New Roman"/>
          <w:szCs w:val="24"/>
        </w:rPr>
        <w:t xml:space="preserve"> </w:t>
      </w:r>
      <w:r w:rsidR="00C83789">
        <w:rPr>
          <w:rFonts w:ascii="Times New Roman" w:hAnsi="Times New Roman" w:cs="Times New Roman"/>
          <w:szCs w:val="24"/>
        </w:rPr>
        <w:t>–</w:t>
      </w:r>
      <w:r w:rsidRPr="00E70E70">
        <w:rPr>
          <w:rFonts w:ascii="Times New Roman" w:hAnsi="Times New Roman" w:cs="Times New Roman"/>
          <w:szCs w:val="24"/>
        </w:rPr>
        <w:t xml:space="preserve"> </w:t>
      </w:r>
      <w:r w:rsidRPr="00E70E70">
        <w:rPr>
          <w:rFonts w:ascii="Times New Roman" w:hAnsi="Times New Roman" w:cs="Times New Roman"/>
          <w:szCs w:val="24"/>
          <w:lang w:eastAsia="en-US"/>
        </w:rPr>
        <w:t>definicję przystani plażowej. Definicja obejmie specyficzny rodzaj przystani morskich, które nie posiadają nabrzeża, a statki morskie, w szczególności rybackie, wyciągane są bezpośrednio na plażę celem postoju i przeładunku, zazwyczaj za pomocą tzw. wyciągarki.</w:t>
      </w:r>
    </w:p>
    <w:p w:rsidR="00C665A3" w:rsidRPr="00E70E70"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lastRenderedPageBreak/>
        <w:t>Art. 1 pkt 1 lit. b przewiduje wykreślenie nieaktualnej już definicji jednoosobowych spółek Skarbu Państwa.</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E70E70">
        <w:rPr>
          <w:rFonts w:ascii="Times New Roman" w:hAnsi="Times New Roman" w:cs="Times New Roman"/>
          <w:szCs w:val="24"/>
          <w:lang w:eastAsia="en-US"/>
        </w:rPr>
        <w:t>Art. 1 pkt 2 przewiduje</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dodanie</w:t>
      </w:r>
      <w:r w:rsidRPr="00C22B55">
        <w:rPr>
          <w:rFonts w:ascii="Times New Roman" w:hAnsi="Times New Roman" w:cs="Times New Roman"/>
          <w:szCs w:val="24"/>
        </w:rPr>
        <w:t xml:space="preserve"> w ustawie o portach</w:t>
      </w:r>
      <w:r w:rsidRPr="00C22B55">
        <w:rPr>
          <w:rFonts w:ascii="Times New Roman" w:hAnsi="Times New Roman" w:cs="Times New Roman"/>
          <w:szCs w:val="24"/>
          <w:lang w:eastAsia="en-US"/>
        </w:rPr>
        <w:t xml:space="preserve"> nowych art. 2a</w:t>
      </w:r>
      <w:r w:rsidR="00C83789">
        <w:rPr>
          <w:rFonts w:ascii="Times New Roman" w:hAnsi="Times New Roman" w:cs="Times New Roman"/>
          <w:szCs w:val="24"/>
          <w:lang w:eastAsia="en-US"/>
        </w:rPr>
        <w:t>–</w:t>
      </w:r>
      <w:r w:rsidRPr="00C22B55">
        <w:rPr>
          <w:rFonts w:ascii="Times New Roman" w:hAnsi="Times New Roman" w:cs="Times New Roman"/>
          <w:szCs w:val="24"/>
          <w:lang w:eastAsia="en-US"/>
        </w:rPr>
        <w:t>2</w:t>
      </w:r>
      <w:r w:rsidRPr="00C22B55">
        <w:rPr>
          <w:rFonts w:ascii="Times New Roman" w:hAnsi="Times New Roman" w:cs="Times New Roman"/>
          <w:szCs w:val="24"/>
        </w:rPr>
        <w:t>c</w:t>
      </w:r>
      <w:r w:rsidRPr="00C22B55">
        <w:rPr>
          <w:rFonts w:ascii="Times New Roman" w:hAnsi="Times New Roman" w:cs="Times New Roman"/>
          <w:szCs w:val="24"/>
          <w:lang w:eastAsia="en-US"/>
        </w:rPr>
        <w:t>.</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W projektowanym art. 2a ust. 1</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 xml:space="preserve">wskazano na konieczność uwzględnienia w działalności portu postanowień rozporządzenia 2017/352. Rozporządzenie to co do zasady stosowane będzie wprost, ale wymaga ono wdrożenia do prawa krajowego </w:t>
      </w:r>
      <w:r w:rsidR="00B67654" w:rsidRPr="00C22B55">
        <w:rPr>
          <w:rFonts w:ascii="Times New Roman" w:hAnsi="Times New Roman" w:cs="Times New Roman"/>
          <w:szCs w:val="24"/>
          <w:lang w:eastAsia="en-US"/>
        </w:rPr>
        <w:t>w</w:t>
      </w:r>
      <w:r w:rsidR="00B67654">
        <w:rPr>
          <w:rFonts w:ascii="Times New Roman" w:hAnsi="Times New Roman" w:cs="Times New Roman"/>
          <w:szCs w:val="24"/>
          <w:lang w:eastAsia="en-US"/>
        </w:rPr>
        <w:t> </w:t>
      </w:r>
      <w:r w:rsidRPr="00C22B55">
        <w:rPr>
          <w:rFonts w:ascii="Times New Roman" w:hAnsi="Times New Roman" w:cs="Times New Roman"/>
          <w:szCs w:val="24"/>
          <w:lang w:eastAsia="en-US"/>
        </w:rPr>
        <w:t>określonym przez to rozporządzenie zakresie. Rozporządzenie 2017/352 będzie stosowane od 24 marca 2019 r., do portów znajdujących się w sieci TEN-T. W Polsce będzie one miało zatem zastosowanie</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do</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 xml:space="preserve">portów Gdańsk, Gdynia, Szczecin, Świnoujście oraz Police. </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 xml:space="preserve">Rozporządzenie 2017/352 przewiduje, że określone w rozporządzeniu kompetencje </w:t>
      </w:r>
      <w:r w:rsidR="00B67654" w:rsidRPr="00C22B55">
        <w:rPr>
          <w:rFonts w:ascii="Times New Roman" w:hAnsi="Times New Roman" w:cs="Times New Roman"/>
          <w:szCs w:val="24"/>
          <w:lang w:eastAsia="en-US"/>
        </w:rPr>
        <w:t>w</w:t>
      </w:r>
      <w:r w:rsidR="00B67654">
        <w:rPr>
          <w:rFonts w:ascii="Times New Roman" w:hAnsi="Times New Roman" w:cs="Times New Roman"/>
          <w:szCs w:val="24"/>
          <w:lang w:eastAsia="en-US"/>
        </w:rPr>
        <w:t> </w:t>
      </w:r>
      <w:r w:rsidRPr="00C22B55">
        <w:rPr>
          <w:rFonts w:ascii="Times New Roman" w:hAnsi="Times New Roman" w:cs="Times New Roman"/>
          <w:szCs w:val="24"/>
          <w:lang w:eastAsia="en-US"/>
        </w:rPr>
        <w:t>zakresie organizacji usług portowych, jak np. minimalne wymogi dotyczące świadczenia usług portowych, o których mowa w art. 4 rozporządzenia 2017/352 może wykonywać podmiot zarządzający portem lub inny, wskazany przez państwo, organ.</w:t>
      </w:r>
    </w:p>
    <w:p w:rsidR="00C665A3" w:rsidRPr="00C22B55" w:rsidRDefault="00C665A3" w:rsidP="00E70E70">
      <w:pPr>
        <w:pStyle w:val="NIEARTTEKSTtekstnieartykuowanynppodstprawnarozplubpreambua"/>
        <w:ind w:firstLine="0"/>
        <w:rPr>
          <w:rFonts w:ascii="Times New Roman" w:hAnsi="Times New Roman" w:cs="Times New Roman"/>
          <w:szCs w:val="24"/>
        </w:rPr>
      </w:pPr>
      <w:r w:rsidRPr="00C22B55">
        <w:rPr>
          <w:rFonts w:ascii="Times New Roman" w:hAnsi="Times New Roman" w:cs="Times New Roman"/>
          <w:szCs w:val="24"/>
          <w:lang w:eastAsia="en-US"/>
        </w:rPr>
        <w:t xml:space="preserve">Projektowany przepis art. 2a ust. 2 wskazuje, że </w:t>
      </w:r>
      <w:r w:rsidRPr="00C22B55">
        <w:rPr>
          <w:rFonts w:ascii="Times New Roman" w:hAnsi="Times New Roman" w:cs="Times New Roman"/>
          <w:szCs w:val="24"/>
        </w:rPr>
        <w:t>podmiotem</w:t>
      </w:r>
      <w:r w:rsidR="00C16203">
        <w:rPr>
          <w:rFonts w:ascii="Times New Roman" w:hAnsi="Times New Roman" w:cs="Times New Roman"/>
          <w:szCs w:val="24"/>
        </w:rPr>
        <w:t xml:space="preserve"> </w:t>
      </w:r>
      <w:r w:rsidRPr="00C22B55">
        <w:rPr>
          <w:rFonts w:ascii="Times New Roman" w:hAnsi="Times New Roman" w:cs="Times New Roman"/>
          <w:szCs w:val="24"/>
          <w:lang w:eastAsia="en-US"/>
        </w:rPr>
        <w:t xml:space="preserve">tym w Polsce będzie podmiot zarządzający. Jednocześnie </w:t>
      </w:r>
      <w:r w:rsidRPr="00C22B55">
        <w:rPr>
          <w:rFonts w:ascii="Times New Roman" w:hAnsi="Times New Roman" w:cs="Times New Roman"/>
          <w:szCs w:val="24"/>
        </w:rPr>
        <w:t>w przepisie tym wskazano, że uprawnienie zarządu portu do organizacji usług portowych dotyczy</w:t>
      </w:r>
      <w:r w:rsidRPr="00C22B55">
        <w:rPr>
          <w:rFonts w:ascii="Times New Roman" w:hAnsi="Times New Roman" w:cs="Times New Roman"/>
          <w:szCs w:val="24"/>
          <w:lang w:eastAsia="en-US"/>
        </w:rPr>
        <w:t xml:space="preserve"> usług, o których mowa w art. 1 ust. 2 lit. a, c, e i g rozporządzenia 2017/352, a więc</w:t>
      </w:r>
      <w:r w:rsidRPr="00C22B55">
        <w:rPr>
          <w:rFonts w:ascii="Times New Roman" w:hAnsi="Times New Roman" w:cs="Times New Roman"/>
          <w:szCs w:val="24"/>
        </w:rPr>
        <w:t xml:space="preserve"> usług: bunkrowania, cumowania, odbierania odpadów wytwarzanych przez statki i pozostałości ładunku oraz holowania. Z</w:t>
      </w:r>
      <w:r w:rsidRPr="00C22B55">
        <w:rPr>
          <w:rFonts w:ascii="Times New Roman" w:hAnsi="Times New Roman" w:cs="Times New Roman"/>
          <w:szCs w:val="24"/>
          <w:lang w:eastAsia="en-US"/>
        </w:rPr>
        <w:t>godnie</w:t>
      </w:r>
      <w:r w:rsidRPr="00C22B55">
        <w:rPr>
          <w:rFonts w:ascii="Times New Roman" w:hAnsi="Times New Roman" w:cs="Times New Roman"/>
          <w:szCs w:val="24"/>
        </w:rPr>
        <w:t xml:space="preserve"> bowiem</w:t>
      </w:r>
      <w:r w:rsidRPr="00C22B55">
        <w:rPr>
          <w:rFonts w:ascii="Times New Roman" w:hAnsi="Times New Roman" w:cs="Times New Roman"/>
          <w:szCs w:val="24"/>
          <w:lang w:eastAsia="en-US"/>
        </w:rPr>
        <w:t xml:space="preserve"> z art. 10 ust. 1 rozporządzenia</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2017/352</w:t>
      </w:r>
      <w:r w:rsidRPr="00C22B55">
        <w:rPr>
          <w:rFonts w:ascii="Times New Roman" w:hAnsi="Times New Roman" w:cs="Times New Roman"/>
          <w:szCs w:val="24"/>
        </w:rPr>
        <w:t xml:space="preserve"> </w:t>
      </w:r>
      <w:r w:rsidRPr="00C22B55">
        <w:rPr>
          <w:rFonts w:ascii="Times New Roman" w:hAnsi="Times New Roman" w:cs="Times New Roman"/>
          <w:szCs w:val="24"/>
          <w:lang w:eastAsia="en-US"/>
        </w:rPr>
        <w:t>do usług przeładunku, usług pasażerskich oraz pilotażu nie będą mieć zastosowania postanowienia rozdziału II rozporządzenia 2017/352</w:t>
      </w:r>
      <w:r w:rsidRPr="00C22B55">
        <w:rPr>
          <w:rFonts w:ascii="Times New Roman" w:hAnsi="Times New Roman" w:cs="Times New Roman"/>
          <w:szCs w:val="24"/>
        </w:rPr>
        <w:t xml:space="preserve"> dotyczące organizacji usług portowych</w:t>
      </w:r>
      <w:r w:rsidRPr="00C22B55">
        <w:rPr>
          <w:rFonts w:ascii="Times New Roman" w:hAnsi="Times New Roman" w:cs="Times New Roman"/>
          <w:szCs w:val="24"/>
          <w:lang w:eastAsia="en-US"/>
        </w:rPr>
        <w:t>.</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rPr>
        <w:t>W</w:t>
      </w:r>
      <w:r w:rsidRPr="00C22B55">
        <w:rPr>
          <w:rFonts w:ascii="Times New Roman" w:hAnsi="Times New Roman" w:cs="Times New Roman"/>
          <w:szCs w:val="24"/>
          <w:lang w:eastAsia="en-US"/>
        </w:rPr>
        <w:t xml:space="preserve"> projektowany</w:t>
      </w:r>
      <w:r w:rsidRPr="00C22B55">
        <w:rPr>
          <w:rFonts w:ascii="Times New Roman" w:hAnsi="Times New Roman" w:cs="Times New Roman"/>
          <w:szCs w:val="24"/>
        </w:rPr>
        <w:t>m</w:t>
      </w:r>
      <w:r w:rsidRPr="00C22B55">
        <w:rPr>
          <w:rFonts w:ascii="Times New Roman" w:hAnsi="Times New Roman" w:cs="Times New Roman"/>
          <w:szCs w:val="24"/>
          <w:lang w:eastAsia="en-US"/>
        </w:rPr>
        <w:t xml:space="preserve"> przepisie art. 2a ust. 3 wskazano wyraźnie kompetencje podmiotów zarządzających w zakresie organizacji usług portowych objętych zakresem stosowania rozdziału II rozporządzenia 2017/352. </w:t>
      </w:r>
      <w:r w:rsidRPr="00C22B55">
        <w:rPr>
          <w:rFonts w:ascii="Times New Roman" w:hAnsi="Times New Roman" w:cs="Times New Roman"/>
          <w:szCs w:val="24"/>
        </w:rPr>
        <w:t>Zgodnie z rozporządzeniem 2017/352 p</w:t>
      </w:r>
      <w:r w:rsidRPr="00C22B55">
        <w:rPr>
          <w:rFonts w:ascii="Times New Roman" w:hAnsi="Times New Roman" w:cs="Times New Roman"/>
          <w:szCs w:val="24"/>
          <w:lang w:eastAsia="en-US"/>
        </w:rPr>
        <w:t>odmiot zarządzający będzie mógł wprowadzić minimalne wymogi</w:t>
      </w:r>
      <w:r w:rsidRPr="00C22B55">
        <w:rPr>
          <w:rFonts w:ascii="Times New Roman" w:hAnsi="Times New Roman" w:cs="Times New Roman"/>
          <w:szCs w:val="24"/>
        </w:rPr>
        <w:t xml:space="preserve"> lub</w:t>
      </w:r>
      <w:r w:rsidRPr="00C22B55">
        <w:rPr>
          <w:rFonts w:ascii="Times New Roman" w:hAnsi="Times New Roman" w:cs="Times New Roman"/>
          <w:szCs w:val="24"/>
          <w:lang w:eastAsia="en-US"/>
        </w:rPr>
        <w:t xml:space="preserve"> ograniczyć liczbę dostawców</w:t>
      </w:r>
      <w:r w:rsidRPr="00C22B55">
        <w:rPr>
          <w:rFonts w:ascii="Times New Roman" w:hAnsi="Times New Roman" w:cs="Times New Roman"/>
          <w:szCs w:val="24"/>
        </w:rPr>
        <w:t xml:space="preserve">, a także </w:t>
      </w:r>
      <w:r w:rsidRPr="00C22B55">
        <w:rPr>
          <w:rFonts w:ascii="Times New Roman" w:hAnsi="Times New Roman" w:cs="Times New Roman"/>
          <w:szCs w:val="24"/>
          <w:lang w:eastAsia="en-US"/>
        </w:rPr>
        <w:t xml:space="preserve">świadczyć wskazane w rozdziale II usługi samodzielnie – </w:t>
      </w:r>
      <w:r w:rsidR="00B67654" w:rsidRPr="00C22B55">
        <w:rPr>
          <w:rFonts w:ascii="Times New Roman" w:hAnsi="Times New Roman" w:cs="Times New Roman"/>
          <w:szCs w:val="24"/>
          <w:lang w:eastAsia="en-US"/>
        </w:rPr>
        <w:t>z</w:t>
      </w:r>
      <w:r w:rsidR="00B67654">
        <w:rPr>
          <w:rFonts w:ascii="Times New Roman" w:hAnsi="Times New Roman" w:cs="Times New Roman"/>
          <w:szCs w:val="24"/>
          <w:lang w:eastAsia="en-US"/>
        </w:rPr>
        <w:t> </w:t>
      </w:r>
      <w:r w:rsidRPr="00C22B55">
        <w:rPr>
          <w:rFonts w:ascii="Times New Roman" w:hAnsi="Times New Roman" w:cs="Times New Roman"/>
          <w:szCs w:val="24"/>
          <w:lang w:eastAsia="en-US"/>
        </w:rPr>
        <w:t>zastrzeżeniem spełniania wymagań i ograniczeń przewidzianych w rozporządzeniu 2017/352, w szczególności jego art. 8. Podkreślić należy, że ograniczenia te nie mają zastosowania do usług wyłączonych z rozdziału II rozporządzenia 2017/352, tj. do przeładunku, usług pasażerskich oraz pilotażu.</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lastRenderedPageBreak/>
        <w:t>Projektowan</w:t>
      </w:r>
      <w:r w:rsidRPr="00C22B55">
        <w:rPr>
          <w:rFonts w:ascii="Times New Roman" w:hAnsi="Times New Roman" w:cs="Times New Roman"/>
          <w:szCs w:val="24"/>
        </w:rPr>
        <w:t xml:space="preserve">y </w:t>
      </w:r>
      <w:r w:rsidRPr="00C22B55">
        <w:rPr>
          <w:rFonts w:ascii="Times New Roman" w:hAnsi="Times New Roman" w:cs="Times New Roman"/>
          <w:szCs w:val="24"/>
          <w:lang w:eastAsia="en-US"/>
        </w:rPr>
        <w:t>art. 2a ust. 4 ma na celu doprecyzowanie określonej</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w rozdziale II rozporządzenia 2017/352 procedury przyznawania prawa do świadczenia usługi portowej, w szczególności przez wskazanie na możliwość złożenia skargi do właściwego dyrektora urzędu morskiego</w:t>
      </w:r>
      <w:r w:rsidRPr="00C22B55">
        <w:rPr>
          <w:rFonts w:ascii="Times New Roman" w:hAnsi="Times New Roman" w:cs="Times New Roman"/>
          <w:szCs w:val="24"/>
        </w:rPr>
        <w:t xml:space="preserve"> na ewentualne naruszenia rozporządzenia 2017/352</w:t>
      </w:r>
      <w:r w:rsidRPr="00C22B55">
        <w:rPr>
          <w:rFonts w:ascii="Times New Roman" w:hAnsi="Times New Roman" w:cs="Times New Roman"/>
          <w:szCs w:val="24"/>
          <w:lang w:eastAsia="en-US"/>
        </w:rPr>
        <w:t>.</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 xml:space="preserve">Przepis art. 2a ust. </w:t>
      </w:r>
      <w:r w:rsidRPr="00C22B55">
        <w:rPr>
          <w:rFonts w:ascii="Times New Roman" w:hAnsi="Times New Roman" w:cs="Times New Roman"/>
          <w:szCs w:val="24"/>
        </w:rPr>
        <w:t>5</w:t>
      </w:r>
      <w:r w:rsidRPr="00C22B55">
        <w:rPr>
          <w:rFonts w:ascii="Times New Roman" w:hAnsi="Times New Roman" w:cs="Times New Roman"/>
          <w:szCs w:val="24"/>
          <w:lang w:eastAsia="en-US"/>
        </w:rPr>
        <w:t xml:space="preserve"> oraz </w:t>
      </w:r>
      <w:r w:rsidRPr="00C22B55">
        <w:rPr>
          <w:rFonts w:ascii="Times New Roman" w:hAnsi="Times New Roman" w:cs="Times New Roman"/>
          <w:szCs w:val="24"/>
        </w:rPr>
        <w:t>6</w:t>
      </w:r>
      <w:r w:rsidRPr="00C22B55">
        <w:rPr>
          <w:rFonts w:ascii="Times New Roman" w:hAnsi="Times New Roman" w:cs="Times New Roman"/>
          <w:szCs w:val="24"/>
          <w:lang w:eastAsia="en-US"/>
        </w:rPr>
        <w:t xml:space="preserve"> ma natomiast na celu doprecyzowanie określonego w art. 15 rozporządzenia 2017/352 obowiązku konsultacji przez podmioty zarządzające istotnych dla funkcjonowania portów kwestii.</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Rozporządzenie 2017/352 przewiduje ponadto obowiązek poinformowania Komisji Europejskiej o sposobie wykonania jego postanowień. Przepisy te nie wymagają wdrożenia, gdyż stosuje się je wprost. Informację taką przekaże minister właściwy d</w:t>
      </w:r>
      <w:r w:rsidRPr="00C22B55">
        <w:rPr>
          <w:rFonts w:ascii="Times New Roman" w:hAnsi="Times New Roman" w:cs="Times New Roman"/>
          <w:szCs w:val="24"/>
        </w:rPr>
        <w:t xml:space="preserve">o </w:t>
      </w:r>
      <w:r w:rsidRPr="00C22B55">
        <w:rPr>
          <w:rFonts w:ascii="Times New Roman" w:hAnsi="Times New Roman" w:cs="Times New Roman"/>
          <w:szCs w:val="24"/>
          <w:lang w:eastAsia="en-US"/>
        </w:rPr>
        <w:t>s</w:t>
      </w:r>
      <w:r w:rsidRPr="00C22B55">
        <w:rPr>
          <w:rFonts w:ascii="Times New Roman" w:hAnsi="Times New Roman" w:cs="Times New Roman"/>
          <w:szCs w:val="24"/>
        </w:rPr>
        <w:t>praw</w:t>
      </w:r>
      <w:r w:rsidRPr="00C22B55">
        <w:rPr>
          <w:rFonts w:ascii="Times New Roman" w:hAnsi="Times New Roman" w:cs="Times New Roman"/>
          <w:szCs w:val="24"/>
          <w:lang w:eastAsia="en-US"/>
        </w:rPr>
        <w:t xml:space="preserve"> gospodarki morskiej,</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jako odpowiedzialny za wdrożenie rozporządzenia 2017/352.</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 xml:space="preserve">Projektowany art. 2b ustawy o portach wynika z faktu, iż w praktyce podmioty zarządzające portami gospodarują jedynie na części gruntów znajdujących się </w:t>
      </w:r>
      <w:r w:rsidR="00B67654" w:rsidRPr="00C22B55">
        <w:rPr>
          <w:rFonts w:ascii="Times New Roman" w:hAnsi="Times New Roman" w:cs="Times New Roman"/>
          <w:szCs w:val="24"/>
          <w:lang w:eastAsia="en-US"/>
        </w:rPr>
        <w:t>w</w:t>
      </w:r>
      <w:r w:rsidR="00B67654">
        <w:rPr>
          <w:rFonts w:ascii="Times New Roman" w:hAnsi="Times New Roman" w:cs="Times New Roman"/>
          <w:szCs w:val="24"/>
          <w:lang w:eastAsia="en-US"/>
        </w:rPr>
        <w:t> </w:t>
      </w:r>
      <w:r w:rsidRPr="00C22B55">
        <w:rPr>
          <w:rFonts w:ascii="Times New Roman" w:hAnsi="Times New Roman" w:cs="Times New Roman"/>
          <w:szCs w:val="24"/>
          <w:lang w:eastAsia="en-US"/>
        </w:rPr>
        <w:t>granicach portu, a przewidziane dla</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nich w szeregu aktów prawnych</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 xml:space="preserve">kompetencje </w:t>
      </w:r>
      <w:r w:rsidR="00B67654" w:rsidRPr="00C22B55">
        <w:rPr>
          <w:rFonts w:ascii="Times New Roman" w:hAnsi="Times New Roman" w:cs="Times New Roman"/>
          <w:szCs w:val="24"/>
          <w:lang w:eastAsia="en-US"/>
        </w:rPr>
        <w:t>i</w:t>
      </w:r>
      <w:r w:rsidR="00B67654">
        <w:rPr>
          <w:rFonts w:ascii="Times New Roman" w:hAnsi="Times New Roman" w:cs="Times New Roman"/>
          <w:szCs w:val="24"/>
          <w:lang w:eastAsia="en-US"/>
        </w:rPr>
        <w:t> </w:t>
      </w:r>
      <w:r w:rsidRPr="00C22B55">
        <w:rPr>
          <w:rFonts w:ascii="Times New Roman" w:hAnsi="Times New Roman" w:cs="Times New Roman"/>
          <w:szCs w:val="24"/>
          <w:lang w:eastAsia="en-US"/>
        </w:rPr>
        <w:t>obowiązki często dotyczą całego portu. Z tego względu w projekcie przewidziano nałożenie obowiązków sprawozdawczych w zakresie przeładunków i przewozu pasażerów również na podmioty gospodarujące na gruntach nienależących do podmiotów zarządzających. W praktyce, w większości przypadków dane te są obecnie przekazywane. W odniesieniu do przeładunków ryb, wskazano, iż dane te przekazywane będą podmiotom zarządzającym przez Centrum Monitorowania Rybołówstwa. Rozwiązanie to pozwoli na uniknięcie wprowadzania dodatkowych wymogów raportowania na armatorów statków rybackich.</w:t>
      </w:r>
    </w:p>
    <w:p w:rsidR="00C665A3" w:rsidRPr="00C22B55" w:rsidRDefault="00C665A3" w:rsidP="00E70E70">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W projektowanym art. 2c wskazano, że budowa, modernizacja i utrzymanie infrastruktury zapewniającej dostęp do portów i przystani morskich może być finansowane lub dofinansowane z innych, niż budżet państwa źródeł – np. samorządu terytorialnego.</w:t>
      </w:r>
    </w:p>
    <w:p w:rsidR="00C665A3" w:rsidRPr="00C22B55" w:rsidRDefault="00C665A3" w:rsidP="00C16203">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rPr>
        <w:t>Na gruncie obecnie obowiązującej ustawy o portach,</w:t>
      </w:r>
      <w:r w:rsidR="00C16203">
        <w:rPr>
          <w:rFonts w:ascii="Times New Roman" w:hAnsi="Times New Roman" w:cs="Times New Roman"/>
          <w:szCs w:val="24"/>
        </w:rPr>
        <w:t xml:space="preserve"> </w:t>
      </w:r>
      <w:r w:rsidRPr="00C22B55">
        <w:rPr>
          <w:rFonts w:ascii="Times New Roman" w:hAnsi="Times New Roman" w:cs="Times New Roman"/>
          <w:szCs w:val="24"/>
        </w:rPr>
        <w:t>infrastruktura dostępowa od strony morza finansowana jest z budżetu państwa. Projektowana ustawa nie zmienia tej zasady.</w:t>
      </w:r>
      <w:r w:rsidR="00C16203">
        <w:rPr>
          <w:rFonts w:ascii="Times New Roman" w:hAnsi="Times New Roman" w:cs="Times New Roman"/>
          <w:szCs w:val="24"/>
        </w:rPr>
        <w:t xml:space="preserve"> </w:t>
      </w:r>
      <w:r w:rsidRPr="00C22B55">
        <w:rPr>
          <w:rFonts w:ascii="Times New Roman" w:hAnsi="Times New Roman" w:cs="Times New Roman"/>
          <w:szCs w:val="24"/>
        </w:rPr>
        <w:t xml:space="preserve">Przewidziano ponadto </w:t>
      </w:r>
      <w:r w:rsidRPr="00C22B55">
        <w:rPr>
          <w:rFonts w:ascii="Times New Roman" w:hAnsi="Times New Roman" w:cs="Times New Roman"/>
          <w:szCs w:val="24"/>
          <w:lang w:eastAsia="en-US"/>
        </w:rPr>
        <w:t xml:space="preserve">wyraźne umożliwienie partycypacji w kosztach budowy infrastruktury dostępowej podmiotom, które mają interes w jej budowie lub rozbudowie </w:t>
      </w:r>
      <w:r w:rsidRPr="00C22B55">
        <w:rPr>
          <w:rFonts w:ascii="Times New Roman" w:hAnsi="Times New Roman" w:cs="Times New Roman"/>
          <w:szCs w:val="24"/>
          <w:lang w:eastAsia="en-US"/>
        </w:rPr>
        <w:lastRenderedPageBreak/>
        <w:t>– np. ze względu na planowane inwestycje w porcie, które nie mogą zostać przeprowadzone bez rozbudowy infrastruktury dostępowej i dostosowania jej parametrów do planowanej inwestycji w porcie.</w:t>
      </w:r>
    </w:p>
    <w:p w:rsidR="00C665A3" w:rsidRPr="00C22B55" w:rsidRDefault="002D6C41" w:rsidP="00C22B55">
      <w:pPr>
        <w:pStyle w:val="NIEARTTEKSTtekstnieartykuowanynppodstprawnarozplubpreambua"/>
        <w:ind w:firstLine="0"/>
        <w:rPr>
          <w:rFonts w:ascii="Times New Roman" w:hAnsi="Times New Roman" w:cs="Times New Roman"/>
          <w:szCs w:val="24"/>
          <w:lang w:eastAsia="en-US"/>
        </w:rPr>
      </w:pPr>
      <w:r>
        <w:rPr>
          <w:rFonts w:ascii="Times New Roman" w:hAnsi="Times New Roman" w:cs="Times New Roman"/>
          <w:szCs w:val="24"/>
          <w:lang w:eastAsia="en-US"/>
        </w:rPr>
        <w:t>O</w:t>
      </w:r>
      <w:r w:rsidR="00C665A3" w:rsidRPr="00C22B55">
        <w:rPr>
          <w:rFonts w:ascii="Times New Roman" w:hAnsi="Times New Roman" w:cs="Times New Roman"/>
          <w:szCs w:val="24"/>
          <w:lang w:eastAsia="en-US"/>
        </w:rPr>
        <w:t>becn</w:t>
      </w:r>
      <w:r>
        <w:rPr>
          <w:rFonts w:ascii="Times New Roman" w:hAnsi="Times New Roman" w:cs="Times New Roman"/>
          <w:szCs w:val="24"/>
          <w:lang w:eastAsia="en-US"/>
        </w:rPr>
        <w:t>i</w:t>
      </w:r>
      <w:r w:rsidR="00C665A3" w:rsidRPr="00C22B55">
        <w:rPr>
          <w:rFonts w:ascii="Times New Roman" w:hAnsi="Times New Roman" w:cs="Times New Roman"/>
          <w:szCs w:val="24"/>
          <w:lang w:eastAsia="en-US"/>
        </w:rPr>
        <w:t xml:space="preserve">e, zgodnie z art. 10 ust. 1 ustawy o portach, budowa, modernizacja i utrzymanie infrastruktury zapewniającej dostęp do portów są finansowane ze środków budżetu państwa, w wysokości określonej w ustawie budżetowej. </w:t>
      </w:r>
    </w:p>
    <w:p w:rsidR="00C665A3" w:rsidRPr="00C22B55" w:rsidRDefault="00C665A3" w:rsidP="00C22B55">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Art. 1 pkt 3–6 przewiduj</w:t>
      </w:r>
      <w:r w:rsidRPr="00C22B55">
        <w:rPr>
          <w:rFonts w:ascii="Times New Roman" w:hAnsi="Times New Roman" w:cs="Times New Roman"/>
          <w:szCs w:val="24"/>
        </w:rPr>
        <w:t>e</w:t>
      </w:r>
      <w:r w:rsidRPr="00C22B55">
        <w:rPr>
          <w:rFonts w:ascii="Times New Roman" w:hAnsi="Times New Roman" w:cs="Times New Roman"/>
          <w:szCs w:val="24"/>
          <w:lang w:eastAsia="en-US"/>
        </w:rPr>
        <w:t xml:space="preserve"> doprecyzowanie przepisów ustawy o portach w zakresie gospodarki</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nieruchomościami.</w:t>
      </w:r>
    </w:p>
    <w:p w:rsidR="00C665A3" w:rsidRPr="00C22B55" w:rsidRDefault="00C665A3" w:rsidP="00C22B55">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 xml:space="preserve">Art. 1 pkt 3 lit. a </w:t>
      </w:r>
      <w:r w:rsidR="00C83789">
        <w:rPr>
          <w:rFonts w:ascii="Times New Roman" w:hAnsi="Times New Roman" w:cs="Times New Roman"/>
          <w:szCs w:val="24"/>
          <w:lang w:eastAsia="en-US"/>
        </w:rPr>
        <w:t>–</w:t>
      </w:r>
      <w:r w:rsidRPr="00C22B55">
        <w:rPr>
          <w:rFonts w:ascii="Times New Roman" w:hAnsi="Times New Roman" w:cs="Times New Roman"/>
          <w:szCs w:val="24"/>
          <w:lang w:eastAsia="en-US"/>
        </w:rPr>
        <w:t xml:space="preserve"> przewiduje</w:t>
      </w:r>
      <w:r w:rsidR="00C16203">
        <w:rPr>
          <w:rFonts w:ascii="Times New Roman" w:hAnsi="Times New Roman" w:cs="Times New Roman"/>
          <w:szCs w:val="24"/>
          <w:lang w:eastAsia="en-US"/>
        </w:rPr>
        <w:t xml:space="preserve"> </w:t>
      </w:r>
      <w:r w:rsidRPr="00C22B55">
        <w:rPr>
          <w:rFonts w:ascii="Times New Roman" w:hAnsi="Times New Roman" w:cs="Times New Roman"/>
          <w:szCs w:val="24"/>
        </w:rPr>
        <w:t>zmianę</w:t>
      </w:r>
      <w:r w:rsidR="00C16203">
        <w:rPr>
          <w:rFonts w:ascii="Times New Roman" w:hAnsi="Times New Roman" w:cs="Times New Roman"/>
          <w:szCs w:val="24"/>
        </w:rPr>
        <w:t xml:space="preserve"> </w:t>
      </w:r>
      <w:r w:rsidRPr="00C22B55">
        <w:rPr>
          <w:rFonts w:ascii="Times New Roman" w:hAnsi="Times New Roman" w:cs="Times New Roman"/>
          <w:szCs w:val="24"/>
          <w:lang w:eastAsia="en-US"/>
        </w:rPr>
        <w:t>obowiązującego przepisu ustawy o portach, w którym wskazano, iż zgody ministra właściwego do spraw gospodarki morskiej wymaga przeniesienie własności lub użytkowania wieczystego nieruchomości lub oddanie w dzierżawę, najem lub na podstawie podobnej umowy. Projektowane zmiany</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wynikają ze zgłaszanych wątpliwości interpretacyjnych i polegają na wskazaniu, iż:</w:t>
      </w:r>
    </w:p>
    <w:p w:rsidR="00C665A3" w:rsidRPr="00C22B55" w:rsidRDefault="00C665A3" w:rsidP="00C22B55">
      <w:pPr>
        <w:pStyle w:val="NIEARTTEKSTtekstnieartykuowanynppodstprawnarozplubpreambua"/>
        <w:ind w:left="392" w:hanging="392"/>
        <w:rPr>
          <w:rFonts w:ascii="Times New Roman" w:hAnsi="Times New Roman" w:cs="Times New Roman"/>
          <w:szCs w:val="24"/>
          <w:lang w:eastAsia="en-US"/>
        </w:rPr>
      </w:pPr>
      <w:r w:rsidRPr="00C22B55">
        <w:rPr>
          <w:rFonts w:ascii="Times New Roman" w:hAnsi="Times New Roman" w:cs="Times New Roman"/>
          <w:szCs w:val="24"/>
          <w:lang w:eastAsia="en-US"/>
        </w:rPr>
        <w:t>a)</w:t>
      </w:r>
      <w:r w:rsidR="00C16203">
        <w:rPr>
          <w:rFonts w:ascii="Times New Roman" w:hAnsi="Times New Roman" w:cs="Times New Roman"/>
          <w:szCs w:val="24"/>
          <w:lang w:eastAsia="en-US"/>
        </w:rPr>
        <w:tab/>
      </w:r>
      <w:r w:rsidRPr="00C22B55">
        <w:rPr>
          <w:rFonts w:ascii="Times New Roman" w:hAnsi="Times New Roman" w:cs="Times New Roman"/>
          <w:szCs w:val="24"/>
          <w:lang w:eastAsia="en-US"/>
        </w:rPr>
        <w:t>zgody wymaga również przeniesienie udziału we własności lub użytkowaniu wieczystym, również części nieruchomości – obecnie obowiązująca ustawa mówi jedynie o przeniesieniu własności i użytkowania wieczystego nieruchomości,</w:t>
      </w:r>
    </w:p>
    <w:p w:rsidR="00C665A3" w:rsidRPr="00C22B55" w:rsidRDefault="00C665A3" w:rsidP="00C22B55">
      <w:pPr>
        <w:pStyle w:val="NIEARTTEKSTtekstnieartykuowanynppodstprawnarozplubpreambua"/>
        <w:ind w:left="392" w:hanging="392"/>
        <w:rPr>
          <w:rFonts w:ascii="Times New Roman" w:hAnsi="Times New Roman" w:cs="Times New Roman"/>
          <w:szCs w:val="24"/>
          <w:lang w:eastAsia="en-US"/>
        </w:rPr>
      </w:pPr>
      <w:r w:rsidRPr="00C22B55">
        <w:rPr>
          <w:rFonts w:ascii="Times New Roman" w:hAnsi="Times New Roman" w:cs="Times New Roman"/>
          <w:szCs w:val="24"/>
          <w:lang w:eastAsia="en-US"/>
        </w:rPr>
        <w:t>b)</w:t>
      </w:r>
      <w:r w:rsidR="00C16203">
        <w:rPr>
          <w:rFonts w:ascii="Times New Roman" w:hAnsi="Times New Roman" w:cs="Times New Roman"/>
          <w:szCs w:val="24"/>
          <w:lang w:eastAsia="en-US"/>
        </w:rPr>
        <w:tab/>
      </w:r>
      <w:r w:rsidRPr="00C22B55">
        <w:rPr>
          <w:rFonts w:ascii="Times New Roman" w:hAnsi="Times New Roman" w:cs="Times New Roman"/>
          <w:szCs w:val="24"/>
          <w:lang w:eastAsia="en-US"/>
        </w:rPr>
        <w:t>zgody</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wymaga oddanie w</w:t>
      </w:r>
      <w:r w:rsidRPr="00C22B55">
        <w:rPr>
          <w:rFonts w:ascii="Times New Roman" w:hAnsi="Times New Roman" w:cs="Times New Roman"/>
          <w:szCs w:val="24"/>
        </w:rPr>
        <w:t xml:space="preserve"> użytkowanie</w:t>
      </w:r>
      <w:r w:rsidRPr="00C22B55">
        <w:rPr>
          <w:rFonts w:ascii="Times New Roman" w:hAnsi="Times New Roman" w:cs="Times New Roman"/>
          <w:szCs w:val="24"/>
          <w:lang w:eastAsia="en-US"/>
        </w:rPr>
        <w:t xml:space="preserve"> dzierżawę, najem lub na podstawie podobnej umowy</w:t>
      </w:r>
      <w:r w:rsidR="00C16203">
        <w:rPr>
          <w:rFonts w:ascii="Times New Roman" w:hAnsi="Times New Roman" w:cs="Times New Roman"/>
          <w:szCs w:val="24"/>
          <w:lang w:eastAsia="en-US"/>
        </w:rPr>
        <w:t xml:space="preserve"> </w:t>
      </w:r>
      <w:r w:rsidRPr="00C22B55">
        <w:rPr>
          <w:rFonts w:ascii="Times New Roman" w:hAnsi="Times New Roman" w:cs="Times New Roman"/>
          <w:szCs w:val="24"/>
          <w:lang w:eastAsia="en-US"/>
        </w:rPr>
        <w:t>na czas nieoznaczony – zmiana wynika z wątpliwości czy umowy na czas nieoznaczony traktować jako umowy zawarte na powyżej 10 lat (tj. wymagające zgody w obecnym stanie prawnym)</w:t>
      </w:r>
      <w:r w:rsidRPr="00C22B55">
        <w:rPr>
          <w:rFonts w:ascii="Times New Roman" w:hAnsi="Times New Roman" w:cs="Times New Roman"/>
          <w:szCs w:val="24"/>
        </w:rPr>
        <w:t>,</w:t>
      </w:r>
    </w:p>
    <w:p w:rsidR="00C665A3" w:rsidRPr="00C22B55" w:rsidRDefault="00C665A3" w:rsidP="00C22B55">
      <w:pPr>
        <w:pStyle w:val="NIEARTTEKSTtekstnieartykuowanynppodstprawnarozplubpreambua"/>
        <w:ind w:left="392" w:hanging="392"/>
        <w:rPr>
          <w:rFonts w:ascii="Times New Roman" w:hAnsi="Times New Roman" w:cs="Times New Roman"/>
          <w:szCs w:val="24"/>
          <w:lang w:eastAsia="en-US"/>
        </w:rPr>
      </w:pPr>
      <w:r w:rsidRPr="00C22B55">
        <w:rPr>
          <w:rFonts w:ascii="Times New Roman" w:hAnsi="Times New Roman" w:cs="Times New Roman"/>
          <w:szCs w:val="24"/>
          <w:lang w:eastAsia="en-US"/>
        </w:rPr>
        <w:t>c)</w:t>
      </w:r>
      <w:r w:rsidR="00C16203">
        <w:rPr>
          <w:rFonts w:ascii="Times New Roman" w:hAnsi="Times New Roman" w:cs="Times New Roman"/>
          <w:szCs w:val="24"/>
          <w:lang w:eastAsia="en-US"/>
        </w:rPr>
        <w:tab/>
      </w:r>
      <w:r w:rsidRPr="00C22B55">
        <w:rPr>
          <w:rFonts w:ascii="Times New Roman" w:hAnsi="Times New Roman" w:cs="Times New Roman"/>
          <w:szCs w:val="24"/>
          <w:lang w:eastAsia="en-US"/>
        </w:rPr>
        <w:t>zgody wymaga zawarcie</w:t>
      </w:r>
      <w:r w:rsidRPr="00C22B55">
        <w:rPr>
          <w:rFonts w:ascii="Times New Roman" w:hAnsi="Times New Roman" w:cs="Times New Roman"/>
          <w:szCs w:val="24"/>
        </w:rPr>
        <w:t xml:space="preserve"> również</w:t>
      </w:r>
      <w:r w:rsidRPr="00C22B55">
        <w:rPr>
          <w:rFonts w:ascii="Times New Roman" w:hAnsi="Times New Roman" w:cs="Times New Roman"/>
          <w:szCs w:val="24"/>
          <w:lang w:eastAsia="en-US"/>
        </w:rPr>
        <w:t xml:space="preserve"> kolejnej umowy, je</w:t>
      </w:r>
      <w:r w:rsidR="00D4665A">
        <w:rPr>
          <w:rFonts w:ascii="Times New Roman" w:hAnsi="Times New Roman" w:cs="Times New Roman"/>
          <w:szCs w:val="24"/>
          <w:lang w:eastAsia="en-US"/>
        </w:rPr>
        <w:t>że</w:t>
      </w:r>
      <w:r w:rsidRPr="00C22B55">
        <w:rPr>
          <w:rFonts w:ascii="Times New Roman" w:hAnsi="Times New Roman" w:cs="Times New Roman"/>
          <w:szCs w:val="24"/>
          <w:lang w:eastAsia="en-US"/>
        </w:rPr>
        <w:t xml:space="preserve">li w efekcie okres </w:t>
      </w:r>
      <w:r w:rsidRPr="00C22B55">
        <w:rPr>
          <w:rFonts w:ascii="Times New Roman" w:hAnsi="Times New Roman" w:cs="Times New Roman"/>
          <w:szCs w:val="24"/>
        </w:rPr>
        <w:t xml:space="preserve">jej </w:t>
      </w:r>
      <w:r w:rsidRPr="00C22B55">
        <w:rPr>
          <w:rFonts w:ascii="Times New Roman" w:hAnsi="Times New Roman" w:cs="Times New Roman"/>
          <w:szCs w:val="24"/>
          <w:lang w:eastAsia="en-US"/>
        </w:rPr>
        <w:t>obowiązywania przekroczy 10 lat.</w:t>
      </w:r>
    </w:p>
    <w:p w:rsidR="00C665A3" w:rsidRPr="002D6C41" w:rsidRDefault="00C665A3" w:rsidP="002D6C41">
      <w:pPr>
        <w:pStyle w:val="NIEARTTEKSTtekstnieartykuowanynppodstprawnarozplubpreambua"/>
        <w:ind w:firstLine="0"/>
        <w:rPr>
          <w:rFonts w:ascii="Times New Roman" w:hAnsi="Times New Roman" w:cs="Times New Roman"/>
          <w:szCs w:val="24"/>
          <w:lang w:eastAsia="en-US"/>
        </w:rPr>
      </w:pPr>
      <w:r w:rsidRPr="00C22B55">
        <w:rPr>
          <w:rFonts w:ascii="Times New Roman" w:hAnsi="Times New Roman" w:cs="Times New Roman"/>
          <w:szCs w:val="24"/>
          <w:lang w:eastAsia="en-US"/>
        </w:rPr>
        <w:t>Art. 1 pkt 3 lit. b – zawiera wskazanie, iż do wniosku należy dołączyć nie tylko opinię podmiotu zarządzającego, ale i opinię</w:t>
      </w:r>
      <w:r w:rsidR="00C16203">
        <w:rPr>
          <w:rFonts w:ascii="Times New Roman" w:hAnsi="Times New Roman" w:cs="Times New Roman"/>
          <w:szCs w:val="24"/>
          <w:lang w:eastAsia="en-US"/>
        </w:rPr>
        <w:t xml:space="preserve"> </w:t>
      </w:r>
      <w:r w:rsidRPr="002D6C41">
        <w:rPr>
          <w:rFonts w:ascii="Times New Roman" w:hAnsi="Times New Roman" w:cs="Times New Roman"/>
          <w:szCs w:val="24"/>
          <w:lang w:eastAsia="en-US"/>
        </w:rPr>
        <w:t>dyrektora urzędu morskiego. W praktyce minister właściwy d</w:t>
      </w:r>
      <w:r w:rsidRPr="002D6C41">
        <w:rPr>
          <w:rFonts w:ascii="Times New Roman" w:hAnsi="Times New Roman" w:cs="Times New Roman"/>
          <w:szCs w:val="24"/>
        </w:rPr>
        <w:t xml:space="preserve">o </w:t>
      </w:r>
      <w:r w:rsidRPr="002D6C41">
        <w:rPr>
          <w:rFonts w:ascii="Times New Roman" w:hAnsi="Times New Roman" w:cs="Times New Roman"/>
          <w:szCs w:val="24"/>
          <w:lang w:eastAsia="en-US"/>
        </w:rPr>
        <w:t>s</w:t>
      </w:r>
      <w:r w:rsidRPr="002D6C41">
        <w:rPr>
          <w:rFonts w:ascii="Times New Roman" w:hAnsi="Times New Roman" w:cs="Times New Roman"/>
          <w:szCs w:val="24"/>
        </w:rPr>
        <w:t>praw</w:t>
      </w:r>
      <w:r w:rsidRPr="002D6C41">
        <w:rPr>
          <w:rFonts w:ascii="Times New Roman" w:hAnsi="Times New Roman" w:cs="Times New Roman"/>
          <w:szCs w:val="24"/>
          <w:lang w:eastAsia="en-US"/>
        </w:rPr>
        <w:t xml:space="preserve"> gospodarki morskiej występuje o taką opinię z urzędu. Podczas spotkań konsultacyjnych wskazano, iż dołączenie takiej opinii do wniosku przyśpieszy postępowanie (brak konieczności oczekiwania na opinię dyrektora urzędu morskiego). Ponadto, </w:t>
      </w:r>
      <w:r w:rsidRPr="002D6C41">
        <w:rPr>
          <w:rFonts w:ascii="Times New Roman" w:hAnsi="Times New Roman" w:cs="Times New Roman"/>
          <w:szCs w:val="24"/>
        </w:rPr>
        <w:t xml:space="preserve">mając na uwadze, iż jedną z ocenianych w przedmiotowym postępowaniu przesłanek jest zagrożenie obronności, na wniosek Ministra Obrony Narodowej (MON), </w:t>
      </w:r>
      <w:r w:rsidRPr="002D6C41">
        <w:rPr>
          <w:rFonts w:ascii="Times New Roman" w:hAnsi="Times New Roman" w:cs="Times New Roman"/>
          <w:szCs w:val="24"/>
          <w:lang w:eastAsia="en-US"/>
        </w:rPr>
        <w:t xml:space="preserve">wprowadzono </w:t>
      </w:r>
      <w:r w:rsidRPr="002D6C41">
        <w:rPr>
          <w:rFonts w:ascii="Times New Roman" w:hAnsi="Times New Roman" w:cs="Times New Roman"/>
          <w:szCs w:val="24"/>
        </w:rPr>
        <w:t xml:space="preserve">również </w:t>
      </w:r>
      <w:r w:rsidRPr="002D6C41">
        <w:rPr>
          <w:rFonts w:ascii="Times New Roman" w:hAnsi="Times New Roman" w:cs="Times New Roman"/>
          <w:szCs w:val="24"/>
          <w:lang w:eastAsia="en-US"/>
        </w:rPr>
        <w:t xml:space="preserve">opiniowanie </w:t>
      </w:r>
      <w:r w:rsidRPr="002D6C41">
        <w:rPr>
          <w:rFonts w:ascii="Times New Roman" w:hAnsi="Times New Roman" w:cs="Times New Roman"/>
          <w:szCs w:val="24"/>
        </w:rPr>
        <w:t xml:space="preserve">MON </w:t>
      </w:r>
      <w:r w:rsidRPr="002D6C41">
        <w:rPr>
          <w:rFonts w:ascii="Times New Roman" w:hAnsi="Times New Roman" w:cs="Times New Roman"/>
          <w:szCs w:val="24"/>
          <w:lang w:eastAsia="en-US"/>
        </w:rPr>
        <w:t>w odniesieniu do nieruchomości graniczących z terenami zamkniętymi.</w:t>
      </w:r>
    </w:p>
    <w:p w:rsidR="00C665A3" w:rsidRPr="002D6C41" w:rsidRDefault="00C665A3" w:rsidP="002D6C41">
      <w:pPr>
        <w:pStyle w:val="NIEARTTEKSTtekstnieartykuowanynppodstprawnarozplubpreambua"/>
        <w:ind w:firstLine="0"/>
        <w:rPr>
          <w:rFonts w:ascii="Times New Roman" w:hAnsi="Times New Roman" w:cs="Times New Roman"/>
          <w:szCs w:val="24"/>
        </w:rPr>
      </w:pPr>
      <w:r w:rsidRPr="002D6C41">
        <w:rPr>
          <w:rFonts w:ascii="Times New Roman" w:hAnsi="Times New Roman" w:cs="Times New Roman"/>
          <w:szCs w:val="24"/>
          <w:lang w:eastAsia="en-US"/>
        </w:rPr>
        <w:lastRenderedPageBreak/>
        <w:t>Art. 1 pkt 3 lit. c –</w:t>
      </w:r>
      <w:r w:rsidRPr="002D6C41">
        <w:rPr>
          <w:rFonts w:ascii="Times New Roman" w:hAnsi="Times New Roman" w:cs="Times New Roman"/>
          <w:szCs w:val="24"/>
        </w:rPr>
        <w:t xml:space="preserve"> stanowi zmianę, wynikającą ze zmiany katalogu umów określonych w art. 3 ust. 1 pkt 2 ustawy o portach.</w:t>
      </w:r>
    </w:p>
    <w:p w:rsidR="00C665A3" w:rsidRPr="002D6C41" w:rsidRDefault="00C665A3" w:rsidP="002D6C41">
      <w:pPr>
        <w:pStyle w:val="NIEARTTEKSTtekstnieartykuowanynppodstprawnarozplubpreambua"/>
        <w:ind w:firstLine="0"/>
        <w:rPr>
          <w:rFonts w:ascii="Times New Roman" w:hAnsi="Times New Roman" w:cs="Times New Roman"/>
          <w:szCs w:val="24"/>
          <w:lang w:eastAsia="en-US"/>
        </w:rPr>
      </w:pPr>
      <w:r w:rsidRPr="002D6C41">
        <w:rPr>
          <w:rFonts w:ascii="Times New Roman" w:hAnsi="Times New Roman" w:cs="Times New Roman"/>
          <w:szCs w:val="24"/>
        </w:rPr>
        <w:t xml:space="preserve">Art. 1 pkt 3 lit. d </w:t>
      </w:r>
      <w:r w:rsidR="00C16203">
        <w:rPr>
          <w:rFonts w:ascii="Times New Roman" w:hAnsi="Times New Roman" w:cs="Times New Roman"/>
          <w:szCs w:val="24"/>
        </w:rPr>
        <w:t>–</w:t>
      </w:r>
      <w:r w:rsidRPr="002D6C41">
        <w:rPr>
          <w:rFonts w:ascii="Times New Roman" w:hAnsi="Times New Roman" w:cs="Times New Roman"/>
          <w:szCs w:val="24"/>
          <w:lang w:eastAsia="en-US"/>
        </w:rPr>
        <w:t xml:space="preserve"> w projektowanym ust. 5a wskazano podstawę do wystąpienia przez ministra właściwego d</w:t>
      </w:r>
      <w:r w:rsidRPr="002D6C41">
        <w:rPr>
          <w:rFonts w:ascii="Times New Roman" w:hAnsi="Times New Roman" w:cs="Times New Roman"/>
          <w:szCs w:val="24"/>
        </w:rPr>
        <w:t xml:space="preserve">o </w:t>
      </w:r>
      <w:r w:rsidRPr="002D6C41">
        <w:rPr>
          <w:rFonts w:ascii="Times New Roman" w:hAnsi="Times New Roman" w:cs="Times New Roman"/>
          <w:szCs w:val="24"/>
          <w:lang w:eastAsia="en-US"/>
        </w:rPr>
        <w:t>s</w:t>
      </w:r>
      <w:r w:rsidRPr="002D6C41">
        <w:rPr>
          <w:rFonts w:ascii="Times New Roman" w:hAnsi="Times New Roman" w:cs="Times New Roman"/>
          <w:szCs w:val="24"/>
        </w:rPr>
        <w:t>praw</w:t>
      </w:r>
      <w:r w:rsidRPr="002D6C41">
        <w:rPr>
          <w:rFonts w:ascii="Times New Roman" w:hAnsi="Times New Roman" w:cs="Times New Roman"/>
          <w:szCs w:val="24"/>
          <w:lang w:eastAsia="en-US"/>
        </w:rPr>
        <w:t xml:space="preserve"> gospodarki morskiej do właściwych organów o opinię co do wniosku o udzielenie zgody w zakresie obrotu nieruchomościami</w:t>
      </w:r>
      <w:r w:rsidRPr="002D6C41">
        <w:rPr>
          <w:rFonts w:ascii="Times New Roman" w:hAnsi="Times New Roman" w:cs="Times New Roman"/>
          <w:szCs w:val="24"/>
        </w:rPr>
        <w:t>, będącą przedmiotem wniosku na zagrożenie obronności, bezpieczeństwa państwa, bezpieczeństwa publicznego lub porządku publicznego.</w:t>
      </w:r>
    </w:p>
    <w:p w:rsidR="00C665A3" w:rsidRPr="002D6C41" w:rsidRDefault="00C665A3" w:rsidP="002D6C41">
      <w:pPr>
        <w:pStyle w:val="NIEARTTEKSTtekstnieartykuowanynppodstprawnarozplubpreambua"/>
        <w:ind w:firstLine="0"/>
        <w:rPr>
          <w:rFonts w:ascii="Times New Roman" w:hAnsi="Times New Roman" w:cs="Times New Roman"/>
          <w:szCs w:val="24"/>
          <w:lang w:eastAsia="en-US"/>
        </w:rPr>
      </w:pPr>
      <w:r w:rsidRPr="002D6C41">
        <w:rPr>
          <w:rFonts w:ascii="Times New Roman" w:hAnsi="Times New Roman" w:cs="Times New Roman"/>
          <w:szCs w:val="24"/>
          <w:lang w:eastAsia="en-US"/>
        </w:rPr>
        <w:t xml:space="preserve">Art. 1 pkt 3 lit. </w:t>
      </w:r>
      <w:r w:rsidRPr="002D6C41">
        <w:rPr>
          <w:rFonts w:ascii="Times New Roman" w:hAnsi="Times New Roman" w:cs="Times New Roman"/>
          <w:szCs w:val="24"/>
        </w:rPr>
        <w:t>e</w:t>
      </w:r>
      <w:r w:rsidRPr="002D6C41">
        <w:rPr>
          <w:rFonts w:ascii="Times New Roman" w:hAnsi="Times New Roman" w:cs="Times New Roman"/>
          <w:szCs w:val="24"/>
          <w:lang w:eastAsia="en-US"/>
        </w:rPr>
        <w:t xml:space="preserve"> – przewidziano uzupełnienie przesłanek odmowy wydania zgody przez ministra właściwego d</w:t>
      </w:r>
      <w:r w:rsidRPr="002D6C41">
        <w:rPr>
          <w:rFonts w:ascii="Times New Roman" w:hAnsi="Times New Roman" w:cs="Times New Roman"/>
          <w:szCs w:val="24"/>
        </w:rPr>
        <w:t xml:space="preserve">o </w:t>
      </w:r>
      <w:r w:rsidRPr="002D6C41">
        <w:rPr>
          <w:rFonts w:ascii="Times New Roman" w:hAnsi="Times New Roman" w:cs="Times New Roman"/>
          <w:szCs w:val="24"/>
          <w:lang w:eastAsia="en-US"/>
        </w:rPr>
        <w:t>s</w:t>
      </w:r>
      <w:r w:rsidRPr="002D6C41">
        <w:rPr>
          <w:rFonts w:ascii="Times New Roman" w:hAnsi="Times New Roman" w:cs="Times New Roman"/>
          <w:szCs w:val="24"/>
        </w:rPr>
        <w:t>praw</w:t>
      </w:r>
      <w:r w:rsidRPr="002D6C41">
        <w:rPr>
          <w:rFonts w:ascii="Times New Roman" w:hAnsi="Times New Roman" w:cs="Times New Roman"/>
          <w:szCs w:val="24"/>
          <w:lang w:eastAsia="en-US"/>
        </w:rPr>
        <w:t xml:space="preserve"> gospodarki morskiej w zakresie obrotu nieruchomościami w porcie na sytuacje, gdy zamierzona czynność prawna byłaby niezgodna z planem rozwoju portu lub innymi dokumentami strategicznymi. Zmiana ta wynika z faktu, iż – jak wskazano w rozporządzeniu 2017/352 </w:t>
      </w:r>
      <w:r w:rsidR="00C16203">
        <w:rPr>
          <w:rFonts w:ascii="Times New Roman" w:hAnsi="Times New Roman" w:cs="Times New Roman"/>
          <w:szCs w:val="24"/>
          <w:lang w:eastAsia="en-US"/>
        </w:rPr>
        <w:t>–</w:t>
      </w:r>
      <w:r w:rsidRPr="002D6C41">
        <w:rPr>
          <w:rFonts w:ascii="Times New Roman" w:hAnsi="Times New Roman" w:cs="Times New Roman"/>
          <w:szCs w:val="24"/>
          <w:lang w:eastAsia="en-US"/>
        </w:rPr>
        <w:t xml:space="preserve"> porty morskie zajmują ograniczone obszary geograficzne i borykają się z niedoborem dostępnej powierzchni lądowej i terenów przybrzeżnych, z dostępem do nabrzeży umożliwiających obsługę statków. Przepis ma na celu zapewnienie, że strategiczne z punktu widzenia interesów państwa nieruchomości w portach będą wykorzystywane zgodnie z przeznaczeniem, tj. na działalność związaną z obsługą statków.</w:t>
      </w:r>
    </w:p>
    <w:p w:rsidR="00C665A3" w:rsidRPr="00CF7780" w:rsidRDefault="00C665A3" w:rsidP="002D6C41">
      <w:pPr>
        <w:pStyle w:val="NIEARTTEKSTtekstnieartykuowanynppodstprawnarozplubpreambua"/>
        <w:ind w:firstLine="0"/>
        <w:rPr>
          <w:rFonts w:ascii="Times New Roman" w:hAnsi="Times New Roman" w:cs="Times New Roman"/>
          <w:szCs w:val="24"/>
        </w:rPr>
      </w:pPr>
      <w:r w:rsidRPr="002D6C41">
        <w:rPr>
          <w:rFonts w:ascii="Times New Roman" w:hAnsi="Times New Roman" w:cs="Times New Roman"/>
          <w:szCs w:val="24"/>
          <w:lang w:eastAsia="en-US"/>
        </w:rPr>
        <w:t xml:space="preserve">Art. 1 pkt 3 lit. </w:t>
      </w:r>
      <w:r w:rsidRPr="002D6C41">
        <w:rPr>
          <w:rFonts w:ascii="Times New Roman" w:hAnsi="Times New Roman" w:cs="Times New Roman"/>
          <w:szCs w:val="24"/>
        </w:rPr>
        <w:t xml:space="preserve">f </w:t>
      </w:r>
      <w:r w:rsidRPr="002D6C41">
        <w:rPr>
          <w:rFonts w:ascii="Times New Roman" w:hAnsi="Times New Roman" w:cs="Times New Roman"/>
          <w:szCs w:val="24"/>
          <w:lang w:eastAsia="en-US"/>
        </w:rPr>
        <w:t xml:space="preserve">– podobnie jak art. 1 pkt 3 lit. d, przepis ma na celu zapewnienie, że strategiczne z punktu widzenia interesów państwa nieruchomości w portach będą wykorzystywane zgodnie z przeznaczeniem, tj. na działalność związaną z obsługą statków. </w:t>
      </w:r>
      <w:r w:rsidR="00CF7780">
        <w:rPr>
          <w:rFonts w:ascii="Times New Roman" w:hAnsi="Times New Roman" w:cs="Times New Roman"/>
          <w:szCs w:val="24"/>
          <w:lang w:eastAsia="en-US"/>
        </w:rPr>
        <w:t>O</w:t>
      </w:r>
      <w:r w:rsidRPr="002D6C41">
        <w:rPr>
          <w:rFonts w:ascii="Times New Roman" w:hAnsi="Times New Roman" w:cs="Times New Roman"/>
          <w:szCs w:val="24"/>
          <w:lang w:eastAsia="en-US"/>
        </w:rPr>
        <w:t>becn</w:t>
      </w:r>
      <w:r w:rsidR="00CF7780">
        <w:rPr>
          <w:rFonts w:ascii="Times New Roman" w:hAnsi="Times New Roman" w:cs="Times New Roman"/>
          <w:szCs w:val="24"/>
          <w:lang w:eastAsia="en-US"/>
        </w:rPr>
        <w:t>i</w:t>
      </w:r>
      <w:r w:rsidRPr="002D6C41">
        <w:rPr>
          <w:rFonts w:ascii="Times New Roman" w:hAnsi="Times New Roman" w:cs="Times New Roman"/>
          <w:szCs w:val="24"/>
          <w:lang w:eastAsia="en-US"/>
        </w:rPr>
        <w:t>e zgodnie z ustawą o portach podmiot zamierzający rozporządzić nieruchomością w portach we wniosku o wydanie zgody ministra wskazuje „uzasadnienie zamierzonej czynności prawnej, w tym informację dotyczącą dotychczasowego i przewidywanego sposobu zagospodarowania nieruchomości”. W praktyce zarówno minister, jak i zarząd portu nie ma jednak instrumentów prawnych pozwalających na zapewnienie wykonania zobowiązania co do</w:t>
      </w:r>
      <w:r w:rsidR="00C16203">
        <w:rPr>
          <w:rFonts w:ascii="Times New Roman" w:hAnsi="Times New Roman" w:cs="Times New Roman"/>
          <w:szCs w:val="24"/>
          <w:lang w:eastAsia="en-US"/>
        </w:rPr>
        <w:t xml:space="preserve"> </w:t>
      </w:r>
      <w:r w:rsidRPr="002D6C41">
        <w:rPr>
          <w:rFonts w:ascii="Times New Roman" w:hAnsi="Times New Roman" w:cs="Times New Roman"/>
          <w:szCs w:val="24"/>
          <w:lang w:eastAsia="en-US"/>
        </w:rPr>
        <w:t xml:space="preserve">przewidywanego sposobu zagospodarowania nieruchomości zawartego we wniosku. W konsekwencji projektowany przepis umożliwia wydanie decyzji, w której minister określi warunki wykorzystywania nieruchomości. Podkreślić należy jednak, iż zgodnie z projektem określone w decyzji przez ministra warunki mogą dotyczyć jedynie przewidywanego we wniosku sposobu zagospodarowania nieruchomości, określonego przez samego </w:t>
      </w:r>
      <w:r w:rsidRPr="002D6C41">
        <w:rPr>
          <w:rFonts w:ascii="Times New Roman" w:hAnsi="Times New Roman" w:cs="Times New Roman"/>
          <w:szCs w:val="24"/>
          <w:lang w:eastAsia="en-US"/>
        </w:rPr>
        <w:lastRenderedPageBreak/>
        <w:t>wnioskodawcę. Nie mogą one wychodzić poza deklaracje wnioskodawcy. Podkreślić należy, że podobne rozwiązanie przewidziano m.in. w prawie budowalnym.</w:t>
      </w:r>
      <w:r w:rsidR="00C16203">
        <w:rPr>
          <w:rFonts w:ascii="Times New Roman" w:hAnsi="Times New Roman" w:cs="Times New Roman"/>
          <w:szCs w:val="24"/>
          <w:lang w:eastAsia="en-US"/>
        </w:rPr>
        <w:t xml:space="preserve"> </w:t>
      </w:r>
    </w:p>
    <w:p w:rsidR="00C665A3" w:rsidRPr="00CF7780" w:rsidRDefault="00C665A3" w:rsidP="002D6C41">
      <w:pPr>
        <w:pStyle w:val="ARTartustawynprozporzdzenia"/>
        <w:ind w:firstLine="0"/>
        <w:rPr>
          <w:rFonts w:ascii="Times New Roman" w:hAnsi="Times New Roman" w:cs="Times New Roman"/>
          <w:szCs w:val="24"/>
        </w:rPr>
      </w:pPr>
      <w:r w:rsidRPr="00CF7780">
        <w:rPr>
          <w:rFonts w:ascii="Times New Roman" w:hAnsi="Times New Roman" w:cs="Times New Roman"/>
          <w:szCs w:val="24"/>
        </w:rPr>
        <w:t>Projektowana regulacja przewiduje również, iż minister właściwy do spraw gospodarki morskiej wydając decyzję lub postanowienie (np. zgodnie z art. 61a</w:t>
      </w:r>
      <w:r w:rsidR="00C16203">
        <w:rPr>
          <w:rFonts w:ascii="Times New Roman" w:hAnsi="Times New Roman" w:cs="Times New Roman"/>
          <w:szCs w:val="24"/>
        </w:rPr>
        <w:t xml:space="preserve"> </w:t>
      </w:r>
      <w:r w:rsidRPr="00CF7780">
        <w:rPr>
          <w:rFonts w:ascii="Times New Roman" w:hAnsi="Times New Roman" w:cs="Times New Roman"/>
          <w:szCs w:val="24"/>
        </w:rPr>
        <w:t>Kodeksu post</w:t>
      </w:r>
      <w:r w:rsidR="00D4665A">
        <w:rPr>
          <w:rFonts w:ascii="Times New Roman" w:hAnsi="Times New Roman" w:cs="Times New Roman"/>
          <w:szCs w:val="24"/>
        </w:rPr>
        <w:t>ę</w:t>
      </w:r>
      <w:r w:rsidRPr="00CF7780">
        <w:rPr>
          <w:rFonts w:ascii="Times New Roman" w:hAnsi="Times New Roman" w:cs="Times New Roman"/>
          <w:szCs w:val="24"/>
        </w:rPr>
        <w:t>powania administracyjnego)</w:t>
      </w:r>
      <w:r w:rsidR="00C16203">
        <w:rPr>
          <w:rFonts w:ascii="Times New Roman" w:hAnsi="Times New Roman" w:cs="Times New Roman"/>
          <w:szCs w:val="24"/>
        </w:rPr>
        <w:t xml:space="preserve"> </w:t>
      </w:r>
      <w:r w:rsidRPr="00CF7780">
        <w:rPr>
          <w:rFonts w:ascii="Times New Roman" w:hAnsi="Times New Roman" w:cs="Times New Roman"/>
          <w:szCs w:val="24"/>
        </w:rPr>
        <w:t>w przedmiotowym postępowaniu będzie mógł odstąpić od uzasadnienia faktycznego, jeżeli wymaga tego obronność, bezpieczeństwo państwa, bezpieczeństwo publiczne lub porządek publiczny.</w:t>
      </w:r>
    </w:p>
    <w:p w:rsidR="00C665A3" w:rsidRPr="00CF7780" w:rsidRDefault="00C665A3" w:rsidP="00CF7780">
      <w:pPr>
        <w:pStyle w:val="ARTartustawynprozporzdzenia"/>
        <w:ind w:firstLine="0"/>
        <w:rPr>
          <w:rFonts w:ascii="Times New Roman" w:hAnsi="Times New Roman" w:cs="Times New Roman"/>
          <w:szCs w:val="24"/>
          <w:lang w:eastAsia="en-US"/>
        </w:rPr>
      </w:pPr>
      <w:r w:rsidRPr="00CF7780">
        <w:rPr>
          <w:rFonts w:ascii="Times New Roman" w:hAnsi="Times New Roman" w:cs="Times New Roman"/>
          <w:szCs w:val="24"/>
          <w:lang w:eastAsia="en-US"/>
        </w:rPr>
        <w:t>Art. 1 pkt 4</w:t>
      </w:r>
    </w:p>
    <w:p w:rsidR="00C665A3" w:rsidRPr="00CF7780" w:rsidRDefault="00C665A3" w:rsidP="00CF7780">
      <w:pPr>
        <w:pStyle w:val="NIEARTTEKSTtekstnieartykuowanynppodstprawnarozplubpreambua"/>
        <w:ind w:firstLine="0"/>
        <w:rPr>
          <w:rFonts w:ascii="Times New Roman" w:hAnsi="Times New Roman" w:cs="Times New Roman"/>
          <w:szCs w:val="24"/>
        </w:rPr>
      </w:pPr>
      <w:r w:rsidRPr="00CF7780">
        <w:rPr>
          <w:rFonts w:ascii="Times New Roman" w:hAnsi="Times New Roman" w:cs="Times New Roman"/>
          <w:szCs w:val="24"/>
          <w:lang w:eastAsia="en-US"/>
        </w:rPr>
        <w:t xml:space="preserve">W zakresie projektowanego art. 3a ustawy o portach, przewiduje on wyłączenie obowiązku uzyskania zgody ministra w przypadku nabycia nieruchomości na rzecz podmiotu zarządzającego oraz nabycia </w:t>
      </w:r>
      <w:r w:rsidRPr="00CF7780">
        <w:rPr>
          <w:rFonts w:ascii="Times New Roman" w:hAnsi="Times New Roman" w:cs="Times New Roman"/>
          <w:szCs w:val="24"/>
        </w:rPr>
        <w:t xml:space="preserve">budynku mieszkalnego jednorodzinnego w rozumieniu art. 3 pkt 2a ustawy z dnia 7 lipca 1994 r. </w:t>
      </w:r>
      <w:r w:rsidR="00C83789">
        <w:rPr>
          <w:rFonts w:ascii="Times New Roman" w:hAnsi="Times New Roman" w:cs="Times New Roman"/>
          <w:szCs w:val="24"/>
        </w:rPr>
        <w:t>–</w:t>
      </w:r>
      <w:r w:rsidRPr="00CF7780">
        <w:rPr>
          <w:rFonts w:ascii="Times New Roman" w:hAnsi="Times New Roman" w:cs="Times New Roman"/>
          <w:szCs w:val="24"/>
        </w:rPr>
        <w:t xml:space="preserve"> Prawo budowlane (Dz.</w:t>
      </w:r>
      <w:r w:rsidR="00D4665A">
        <w:rPr>
          <w:rFonts w:ascii="Times New Roman" w:hAnsi="Times New Roman" w:cs="Times New Roman"/>
          <w:szCs w:val="24"/>
        </w:rPr>
        <w:t xml:space="preserve"> </w:t>
      </w:r>
      <w:r w:rsidRPr="00CF7780">
        <w:rPr>
          <w:rFonts w:ascii="Times New Roman" w:hAnsi="Times New Roman" w:cs="Times New Roman"/>
          <w:szCs w:val="24"/>
        </w:rPr>
        <w:t xml:space="preserve">U. z 2018 r. poz. 1202, z </w:t>
      </w:r>
      <w:proofErr w:type="spellStart"/>
      <w:r w:rsidRPr="00CF7780">
        <w:rPr>
          <w:rFonts w:ascii="Times New Roman" w:hAnsi="Times New Roman" w:cs="Times New Roman"/>
          <w:szCs w:val="24"/>
        </w:rPr>
        <w:t>późn</w:t>
      </w:r>
      <w:proofErr w:type="spellEnd"/>
      <w:r w:rsidRPr="00CF7780">
        <w:rPr>
          <w:rFonts w:ascii="Times New Roman" w:hAnsi="Times New Roman" w:cs="Times New Roman"/>
          <w:szCs w:val="24"/>
        </w:rPr>
        <w:t>. zm.)</w:t>
      </w:r>
      <w:r w:rsidR="00C16203">
        <w:rPr>
          <w:rFonts w:ascii="Times New Roman" w:hAnsi="Times New Roman" w:cs="Times New Roman"/>
          <w:szCs w:val="24"/>
        </w:rPr>
        <w:t xml:space="preserve"> </w:t>
      </w:r>
      <w:r w:rsidRPr="00CF7780">
        <w:rPr>
          <w:rFonts w:ascii="Times New Roman" w:hAnsi="Times New Roman" w:cs="Times New Roman"/>
          <w:szCs w:val="24"/>
        </w:rPr>
        <w:t>lub samodzielnego lokalu mieszkalnego w rozumieniu art. 2 ust. 2 ustawy z dnia 24 czerwca 1994 r. o własności lokali (Dz. U. z 2019 r. poz. 737) lub samodzielnego lokalu użytkowego o przeznaczeniu garażowym lub udziału w prawie do takiego budynku lub lokalu</w:t>
      </w:r>
      <w:r w:rsidRPr="00CF7780">
        <w:rPr>
          <w:rFonts w:ascii="Times New Roman" w:hAnsi="Times New Roman" w:cs="Times New Roman"/>
          <w:szCs w:val="24"/>
          <w:lang w:eastAsia="en-US"/>
        </w:rPr>
        <w:t>, a także nabycia prawa użytkowania gruntów pokrytych morskimi wodami. Wyłączenie to ma na celu rezygnację z obciążeń administracyjnych, w sytuacjach, które co do zasady nie powinny stanowić zagrożenia</w:t>
      </w:r>
      <w:r w:rsidR="00C16203">
        <w:rPr>
          <w:rFonts w:ascii="Times New Roman" w:hAnsi="Times New Roman" w:cs="Times New Roman"/>
          <w:szCs w:val="24"/>
          <w:lang w:eastAsia="en-US"/>
        </w:rPr>
        <w:t xml:space="preserve"> </w:t>
      </w:r>
      <w:r w:rsidRPr="00CF7780">
        <w:rPr>
          <w:rFonts w:ascii="Times New Roman" w:hAnsi="Times New Roman" w:cs="Times New Roman"/>
          <w:szCs w:val="24"/>
          <w:lang w:eastAsia="en-US"/>
        </w:rPr>
        <w:t>bezpieczeństwa i obronności państwa, a także rozwoju portów i przystani morskich.</w:t>
      </w:r>
    </w:p>
    <w:p w:rsidR="00C665A3" w:rsidRPr="00CF7780" w:rsidRDefault="00C665A3" w:rsidP="00CF7780">
      <w:pPr>
        <w:pStyle w:val="ARTartustawynprozporzdzenia"/>
        <w:ind w:firstLine="0"/>
        <w:rPr>
          <w:rFonts w:ascii="Times New Roman" w:hAnsi="Times New Roman" w:cs="Times New Roman"/>
          <w:szCs w:val="24"/>
          <w:lang w:eastAsia="en-US"/>
        </w:rPr>
      </w:pPr>
      <w:r w:rsidRPr="00CF7780">
        <w:rPr>
          <w:rFonts w:ascii="Times New Roman" w:hAnsi="Times New Roman" w:cs="Times New Roman"/>
          <w:szCs w:val="24"/>
        </w:rPr>
        <w:t xml:space="preserve">Na wniosek Ministra Obrony Narodowej wskazano, iż wyłączenie obowiązku uzyskania zgody nie dotyczy nieruchomości graniczących z terenami zamkniętymi, o których mowa w art. 2 pkt 9 ustawy z dnia 17 maja 1989 r. </w:t>
      </w:r>
      <w:r w:rsidR="00C83789">
        <w:rPr>
          <w:rFonts w:ascii="Times New Roman" w:hAnsi="Times New Roman" w:cs="Times New Roman"/>
          <w:szCs w:val="24"/>
        </w:rPr>
        <w:t>–</w:t>
      </w:r>
      <w:r w:rsidRPr="00CF7780">
        <w:rPr>
          <w:rFonts w:ascii="Times New Roman" w:hAnsi="Times New Roman" w:cs="Times New Roman"/>
          <w:szCs w:val="24"/>
        </w:rPr>
        <w:t xml:space="preserve"> Prawo geodezyjne i kartograficzne (Dz. U. z 2019 r. poz. 725 i 730).</w:t>
      </w:r>
    </w:p>
    <w:p w:rsidR="00C665A3" w:rsidRPr="00CF7780" w:rsidRDefault="00C665A3" w:rsidP="00CF7780">
      <w:pPr>
        <w:pStyle w:val="NIEARTTEKSTtekstnieartykuowanynppodstprawnarozplubpreambua"/>
        <w:ind w:firstLine="0"/>
        <w:rPr>
          <w:rFonts w:ascii="Times New Roman" w:hAnsi="Times New Roman" w:cs="Times New Roman"/>
          <w:szCs w:val="24"/>
        </w:rPr>
      </w:pPr>
      <w:r w:rsidRPr="00CF7780">
        <w:rPr>
          <w:rFonts w:ascii="Times New Roman" w:hAnsi="Times New Roman" w:cs="Times New Roman"/>
          <w:szCs w:val="24"/>
          <w:lang w:eastAsia="en-US"/>
        </w:rPr>
        <w:t xml:space="preserve">W pozostałym zakresie </w:t>
      </w:r>
      <w:r w:rsidRPr="00CF7780">
        <w:rPr>
          <w:rFonts w:ascii="Times New Roman" w:hAnsi="Times New Roman" w:cs="Times New Roman"/>
          <w:szCs w:val="24"/>
        </w:rPr>
        <w:t>przepis</w:t>
      </w:r>
      <w:r w:rsidRPr="00CF7780">
        <w:rPr>
          <w:rFonts w:ascii="Times New Roman" w:hAnsi="Times New Roman" w:cs="Times New Roman"/>
          <w:szCs w:val="24"/>
          <w:lang w:eastAsia="en-US"/>
        </w:rPr>
        <w:t xml:space="preserve"> </w:t>
      </w:r>
      <w:r w:rsidRPr="00CF7780">
        <w:rPr>
          <w:rFonts w:ascii="Times New Roman" w:hAnsi="Times New Roman" w:cs="Times New Roman"/>
          <w:szCs w:val="24"/>
        </w:rPr>
        <w:t>ten</w:t>
      </w:r>
      <w:r w:rsidRPr="00CF7780">
        <w:rPr>
          <w:rFonts w:ascii="Times New Roman" w:hAnsi="Times New Roman" w:cs="Times New Roman"/>
          <w:szCs w:val="24"/>
          <w:lang w:eastAsia="en-US"/>
        </w:rPr>
        <w:t xml:space="preserve"> </w:t>
      </w:r>
      <w:r w:rsidRPr="00CF7780">
        <w:rPr>
          <w:rFonts w:ascii="Times New Roman" w:hAnsi="Times New Roman" w:cs="Times New Roman"/>
          <w:szCs w:val="24"/>
        </w:rPr>
        <w:t xml:space="preserve">ma </w:t>
      </w:r>
      <w:r w:rsidRPr="00CF7780">
        <w:rPr>
          <w:rFonts w:ascii="Times New Roman" w:hAnsi="Times New Roman" w:cs="Times New Roman"/>
          <w:szCs w:val="24"/>
          <w:lang w:eastAsia="en-US"/>
        </w:rPr>
        <w:t>na celu uniemożliwienie obchodzenia wymogu uzyskania zgody ministra w zakresie obrotu nieruchomościami w porcie. Postulat konieczności zmian w tym zakresie podnoszony był przez wiele podmiotów i organów, między innymi NIK.</w:t>
      </w:r>
    </w:p>
    <w:p w:rsidR="00C665A3" w:rsidRPr="00CF7780" w:rsidRDefault="00C665A3" w:rsidP="00CF7780">
      <w:pPr>
        <w:pStyle w:val="NIEARTTEKSTtekstnieartykuowanynppodstprawnarozplubpreambua"/>
        <w:ind w:firstLine="0"/>
        <w:rPr>
          <w:rFonts w:ascii="Times New Roman" w:hAnsi="Times New Roman" w:cs="Times New Roman"/>
          <w:szCs w:val="24"/>
        </w:rPr>
      </w:pPr>
      <w:r w:rsidRPr="00CF7780">
        <w:rPr>
          <w:rFonts w:ascii="Times New Roman" w:hAnsi="Times New Roman" w:cs="Times New Roman"/>
          <w:szCs w:val="24"/>
          <w:lang w:eastAsia="en-US"/>
        </w:rPr>
        <w:t xml:space="preserve">Projektowany art. 3b ustawy o portach przewiduje konieczność wydania przez ministra </w:t>
      </w:r>
      <w:r w:rsidRPr="00CF7780">
        <w:rPr>
          <w:rFonts w:ascii="Times New Roman" w:hAnsi="Times New Roman" w:cs="Times New Roman"/>
          <w:szCs w:val="24"/>
        </w:rPr>
        <w:t xml:space="preserve">właściwego do spraw gospodarki morskiej </w:t>
      </w:r>
      <w:r w:rsidRPr="00CF7780">
        <w:rPr>
          <w:rFonts w:ascii="Times New Roman" w:hAnsi="Times New Roman" w:cs="Times New Roman"/>
          <w:szCs w:val="24"/>
          <w:lang w:eastAsia="en-US"/>
        </w:rPr>
        <w:t>zgody</w:t>
      </w:r>
      <w:r w:rsidRPr="00CF7780">
        <w:rPr>
          <w:rFonts w:ascii="Times New Roman" w:hAnsi="Times New Roman" w:cs="Times New Roman"/>
          <w:szCs w:val="24"/>
        </w:rPr>
        <w:t xml:space="preserve"> udzielonej w drodze decyzji administracyjnej,</w:t>
      </w:r>
      <w:r w:rsidRPr="00CF7780">
        <w:rPr>
          <w:rFonts w:ascii="Times New Roman" w:hAnsi="Times New Roman" w:cs="Times New Roman"/>
          <w:szCs w:val="24"/>
          <w:lang w:eastAsia="en-US"/>
        </w:rPr>
        <w:t xml:space="preserve"> na uzyskanie pozycji dominującej w podmiocie będącym użytkownikiem wieczystym nieruchomości w porcie. Wynika to z faktu, iż obecn</w:t>
      </w:r>
      <w:r w:rsidR="00CF7780">
        <w:rPr>
          <w:rFonts w:ascii="Times New Roman" w:hAnsi="Times New Roman" w:cs="Times New Roman"/>
          <w:szCs w:val="24"/>
          <w:lang w:eastAsia="en-US"/>
        </w:rPr>
        <w:t>i</w:t>
      </w:r>
      <w:r w:rsidRPr="00CF7780">
        <w:rPr>
          <w:rFonts w:ascii="Times New Roman" w:hAnsi="Times New Roman" w:cs="Times New Roman"/>
          <w:szCs w:val="24"/>
          <w:lang w:eastAsia="en-US"/>
        </w:rPr>
        <w:t xml:space="preserve">e zgody ministra wymaga obrót nieruchomościami stanowiącymi własność Skarbu </w:t>
      </w:r>
      <w:r w:rsidRPr="00CF7780">
        <w:rPr>
          <w:rFonts w:ascii="Times New Roman" w:hAnsi="Times New Roman" w:cs="Times New Roman"/>
          <w:szCs w:val="24"/>
          <w:lang w:eastAsia="en-US"/>
        </w:rPr>
        <w:lastRenderedPageBreak/>
        <w:t xml:space="preserve">Państwa lub jednostki samorządu terytorialnego. Wymóg ten jest jednak obchodzony przez sprzedaż całego przedsiębiorstwa, wraz z użytkowaniem wieczystym, lub udziałów w takim przedsiębiorstwie. </w:t>
      </w:r>
      <w:r w:rsidRPr="00CF7780">
        <w:rPr>
          <w:rFonts w:ascii="Times New Roman" w:hAnsi="Times New Roman" w:cs="Times New Roman"/>
          <w:szCs w:val="24"/>
        </w:rPr>
        <w:t xml:space="preserve">W zakresie definicji pozycji dominującej oparto się na obowiązujących obecnie rozwiązaniach, m.in. ustawy z dnia 24 lipca 2015 r. o kontroli niektórych inwestycji (Dz. U. z 2017 r. poz. 1857, z </w:t>
      </w:r>
      <w:proofErr w:type="spellStart"/>
      <w:r w:rsidRPr="00CF7780">
        <w:rPr>
          <w:rFonts w:ascii="Times New Roman" w:hAnsi="Times New Roman" w:cs="Times New Roman"/>
          <w:szCs w:val="24"/>
        </w:rPr>
        <w:t>późn</w:t>
      </w:r>
      <w:proofErr w:type="spellEnd"/>
      <w:r w:rsidRPr="00CF7780">
        <w:rPr>
          <w:rFonts w:ascii="Times New Roman" w:hAnsi="Times New Roman" w:cs="Times New Roman"/>
          <w:szCs w:val="24"/>
        </w:rPr>
        <w:t>. zm.). W konsekwencji wprowadzenia przedmiotowego przepisu, zaistniała konieczność wprowadzenia sankcji, które będą skuteczne, proporcjonalne i odstraszające. Wzorem obecnie obowiązującego art. 3 ust. 7 ustawy o portach, zgodnie z którym umowy w zakresie gospodarki nieruchomościami w portach zawarte z naruszeniem obowiązku uzyskania zgody ministra są nieważne, wskazano, iż uchwały walnego zgromadzenia albo zgromadzenia wspólników w podmiocie w stosunku do którego uzyskano status podmiotu dominującego z naruszeniem obowiązku uzyskania zgody, które wywołują skutki w odniesieniu do nieruchomości położonych w granicach portów i przystani morskich,</w:t>
      </w:r>
      <w:r w:rsidR="00C16203">
        <w:rPr>
          <w:rFonts w:ascii="Times New Roman" w:hAnsi="Times New Roman" w:cs="Times New Roman"/>
          <w:szCs w:val="24"/>
        </w:rPr>
        <w:t xml:space="preserve"> </w:t>
      </w:r>
      <w:r w:rsidRPr="00CF7780">
        <w:rPr>
          <w:rFonts w:ascii="Times New Roman" w:hAnsi="Times New Roman" w:cs="Times New Roman"/>
          <w:szCs w:val="24"/>
        </w:rPr>
        <w:t xml:space="preserve">są nieważne. </w:t>
      </w:r>
    </w:p>
    <w:p w:rsidR="00C665A3" w:rsidRPr="00CF7780" w:rsidRDefault="00C665A3" w:rsidP="00CF7780">
      <w:pPr>
        <w:pStyle w:val="NIEARTTEKSTtekstnieartykuowanynppodstprawnarozplubpreambua"/>
        <w:ind w:firstLine="0"/>
        <w:rPr>
          <w:rFonts w:ascii="Times New Roman" w:hAnsi="Times New Roman" w:cs="Times New Roman"/>
          <w:szCs w:val="24"/>
          <w:lang w:eastAsia="en-US"/>
        </w:rPr>
      </w:pPr>
      <w:r w:rsidRPr="00CF7780">
        <w:rPr>
          <w:rFonts w:ascii="Times New Roman" w:hAnsi="Times New Roman" w:cs="Times New Roman"/>
          <w:szCs w:val="24"/>
          <w:lang w:eastAsia="en-US"/>
        </w:rPr>
        <w:t>Dodano również art. 3c ustawy o portach, który przewiduje wymóg uzyskania zgody podmiotu zarządzającego na uzyskanie statusu podmiotu dominującego względem osoby prawnej lub jednostki organizacyjnej nieposiadającej zdolności prawnej, której ustawa przyznaje zdolność prawną, której podmiot zarządzający oddał w użytkowanie, dzierżawę, najem albo na podstawie innej umowy uprawniającej do korzystania lub pobierania pożytków przez okres powyżej 10 lat, nieruchomości stanowiące własność Skarbu Państwa, jednostki samorządu terytorialnego albo podmiotu zarządzającego portem lub przystanią morską, położone w granicach portów i przystani morskich. Podobnie jak ww. przepisy, propozycja ta ma na celu zapewnienie funkcji portowych na gruntach oddanych do używania i pobierania pożytków na podstawie długoterminowych umów, w szczególności na 20 czy 30 lat.</w:t>
      </w:r>
    </w:p>
    <w:p w:rsidR="00C665A3" w:rsidRPr="00533E0D" w:rsidRDefault="00C665A3" w:rsidP="00CF7780">
      <w:pPr>
        <w:pStyle w:val="NIEARTTEKSTtekstnieartykuowanynppodstprawnarozplubpreambua"/>
        <w:ind w:firstLine="0"/>
        <w:rPr>
          <w:rFonts w:ascii="Times New Roman" w:hAnsi="Times New Roman" w:cs="Times New Roman"/>
          <w:szCs w:val="24"/>
        </w:rPr>
      </w:pPr>
      <w:r w:rsidRPr="00CF7780">
        <w:rPr>
          <w:rFonts w:ascii="Times New Roman" w:hAnsi="Times New Roman" w:cs="Times New Roman"/>
          <w:szCs w:val="24"/>
          <w:lang w:eastAsia="en-US"/>
        </w:rPr>
        <w:t xml:space="preserve">Art. 1 pkt 5 ma podobny cel, jak art. 1 pkt 4 – tj. </w:t>
      </w:r>
      <w:r w:rsidRPr="00CF7780">
        <w:rPr>
          <w:rFonts w:ascii="Times New Roman" w:hAnsi="Times New Roman" w:cs="Times New Roman"/>
          <w:szCs w:val="24"/>
        </w:rPr>
        <w:t xml:space="preserve">doprecyzowanie przepisów w celu </w:t>
      </w:r>
      <w:r w:rsidRPr="00CF7780">
        <w:rPr>
          <w:rFonts w:ascii="Times New Roman" w:hAnsi="Times New Roman" w:cs="Times New Roman"/>
          <w:szCs w:val="24"/>
          <w:lang w:eastAsia="en-US"/>
        </w:rPr>
        <w:t>uniemożliwieni</w:t>
      </w:r>
      <w:r w:rsidRPr="00CF7780">
        <w:rPr>
          <w:rFonts w:ascii="Times New Roman" w:hAnsi="Times New Roman" w:cs="Times New Roman"/>
          <w:szCs w:val="24"/>
        </w:rPr>
        <w:t>a</w:t>
      </w:r>
      <w:r w:rsidRPr="00CF7780">
        <w:rPr>
          <w:rFonts w:ascii="Times New Roman" w:hAnsi="Times New Roman" w:cs="Times New Roman"/>
          <w:szCs w:val="24"/>
          <w:lang w:eastAsia="en-US"/>
        </w:rPr>
        <w:t xml:space="preserve"> obchodzenia istniejącego obecnie prawa pierwokupu nieruchomości w porcie w ramach egzekucji administracyjnej i sądowej.</w:t>
      </w:r>
      <w:r w:rsidRPr="00CF7780">
        <w:rPr>
          <w:rFonts w:ascii="Times New Roman" w:hAnsi="Times New Roman" w:cs="Times New Roman"/>
          <w:szCs w:val="24"/>
        </w:rPr>
        <w:t xml:space="preserve"> Wprowadzono również zmianę wynikową w art. 4 ust. 3 ustawy o portach, polegającą na usunięciu procedury doręczania gminie aktu notarialnego </w:t>
      </w:r>
      <w:r w:rsidR="00C83789">
        <w:rPr>
          <w:rFonts w:ascii="Times New Roman" w:hAnsi="Times New Roman" w:cs="Times New Roman"/>
          <w:szCs w:val="24"/>
        </w:rPr>
        <w:t>–</w:t>
      </w:r>
      <w:r w:rsidRPr="00533E0D">
        <w:rPr>
          <w:rFonts w:ascii="Times New Roman" w:hAnsi="Times New Roman" w:cs="Times New Roman"/>
          <w:szCs w:val="24"/>
        </w:rPr>
        <w:t xml:space="preserve"> co wynika z wprowadzenia w ustawie o portach takiego uregulowania dla wszystkich uprawnionych.</w:t>
      </w:r>
      <w:r w:rsidR="00C16203">
        <w:rPr>
          <w:rFonts w:ascii="Times New Roman" w:hAnsi="Times New Roman" w:cs="Times New Roman"/>
          <w:szCs w:val="24"/>
        </w:rPr>
        <w:t xml:space="preserve"> </w:t>
      </w:r>
    </w:p>
    <w:p w:rsidR="00C665A3" w:rsidRPr="00533E0D" w:rsidRDefault="00C665A3" w:rsidP="00CF7780">
      <w:pPr>
        <w:pStyle w:val="ARTartustawynprozporzdzenia"/>
        <w:ind w:firstLine="0"/>
        <w:rPr>
          <w:rFonts w:ascii="Times New Roman" w:hAnsi="Times New Roman" w:cs="Times New Roman"/>
          <w:szCs w:val="24"/>
        </w:rPr>
      </w:pPr>
      <w:r w:rsidRPr="00533E0D">
        <w:rPr>
          <w:rFonts w:ascii="Times New Roman" w:hAnsi="Times New Roman" w:cs="Times New Roman"/>
          <w:szCs w:val="24"/>
        </w:rPr>
        <w:lastRenderedPageBreak/>
        <w:t>Ponadto, na wniosek Ministra Obrony Narodowej, dodano ust. 3a, zgodnie z którym przewidziane w art. 4</w:t>
      </w:r>
      <w:r w:rsidR="00C16203">
        <w:rPr>
          <w:rFonts w:ascii="Times New Roman" w:hAnsi="Times New Roman" w:cs="Times New Roman"/>
          <w:szCs w:val="24"/>
        </w:rPr>
        <w:t xml:space="preserve"> </w:t>
      </w:r>
      <w:r w:rsidRPr="00533E0D">
        <w:rPr>
          <w:rFonts w:ascii="Times New Roman" w:hAnsi="Times New Roman" w:cs="Times New Roman"/>
          <w:szCs w:val="24"/>
        </w:rPr>
        <w:t>prawo pierwokupu w odniesieniu do nieruchomości położonych w granicach morskiego portu wojennego, lub</w:t>
      </w:r>
      <w:r w:rsidR="00C16203">
        <w:rPr>
          <w:rFonts w:ascii="Times New Roman" w:hAnsi="Times New Roman" w:cs="Times New Roman"/>
          <w:szCs w:val="24"/>
        </w:rPr>
        <w:t xml:space="preserve"> </w:t>
      </w:r>
      <w:r w:rsidRPr="00533E0D">
        <w:rPr>
          <w:rFonts w:ascii="Times New Roman" w:hAnsi="Times New Roman" w:cs="Times New Roman"/>
          <w:szCs w:val="24"/>
        </w:rPr>
        <w:t>graniczących z terenami zamkniętymi, o których mowa w art. 2 pkt</w:t>
      </w:r>
      <w:r w:rsidR="00C16203">
        <w:rPr>
          <w:rFonts w:ascii="Times New Roman" w:hAnsi="Times New Roman" w:cs="Times New Roman"/>
          <w:szCs w:val="24"/>
        </w:rPr>
        <w:t xml:space="preserve"> </w:t>
      </w:r>
      <w:r w:rsidRPr="00533E0D">
        <w:rPr>
          <w:rFonts w:ascii="Times New Roman" w:hAnsi="Times New Roman" w:cs="Times New Roman"/>
          <w:szCs w:val="24"/>
        </w:rPr>
        <w:t xml:space="preserve">9 ustawy z dnia 17 maja 1989 r. </w:t>
      </w:r>
      <w:r w:rsidR="00C83789">
        <w:rPr>
          <w:rFonts w:ascii="Times New Roman" w:hAnsi="Times New Roman" w:cs="Times New Roman"/>
          <w:szCs w:val="24"/>
        </w:rPr>
        <w:t>–</w:t>
      </w:r>
      <w:r w:rsidRPr="00533E0D">
        <w:rPr>
          <w:rFonts w:ascii="Times New Roman" w:hAnsi="Times New Roman" w:cs="Times New Roman"/>
          <w:szCs w:val="24"/>
        </w:rPr>
        <w:t xml:space="preserve"> Prawo geodezyjne i kartograficzne, ustalonymi przez Ministra Obrony Narodowej, jest wykonywane przez właściwe w tych sprawach jednostki organizacyjne podległe Ministrowi Obrony Narodowej lub przez niego nadzorowane przed uprawnieniami podmiotu zarządzającego portem lub przystanią morską.</w:t>
      </w:r>
    </w:p>
    <w:p w:rsidR="00C665A3" w:rsidRPr="00533E0D" w:rsidRDefault="00C665A3" w:rsidP="00CF7780">
      <w:pPr>
        <w:pStyle w:val="ARTartustawynprozporzdzenia"/>
        <w:ind w:firstLine="0"/>
        <w:rPr>
          <w:rFonts w:ascii="Times New Roman" w:hAnsi="Times New Roman" w:cs="Times New Roman"/>
          <w:szCs w:val="24"/>
          <w:lang w:eastAsia="en-US"/>
        </w:rPr>
      </w:pPr>
      <w:r w:rsidRPr="00533E0D">
        <w:rPr>
          <w:rFonts w:ascii="Times New Roman" w:hAnsi="Times New Roman" w:cs="Times New Roman"/>
          <w:szCs w:val="24"/>
        </w:rPr>
        <w:t>Wprowadzono też zmiany będące konsekwencją rozszerzenia katalogu podmiotów uprawnionych do pierwokupu o jednostki MON.</w:t>
      </w:r>
    </w:p>
    <w:p w:rsidR="00C665A3" w:rsidRPr="00533E0D" w:rsidRDefault="00C665A3" w:rsidP="00CF7780">
      <w:pPr>
        <w:pStyle w:val="NIEARTTEKSTtekstnieartykuowanynppodstprawnarozplubpreambua"/>
        <w:ind w:firstLine="0"/>
        <w:rPr>
          <w:rFonts w:ascii="Times New Roman" w:hAnsi="Times New Roman" w:cs="Times New Roman"/>
          <w:szCs w:val="24"/>
          <w:lang w:eastAsia="en-US"/>
        </w:rPr>
      </w:pPr>
      <w:r w:rsidRPr="00533E0D">
        <w:rPr>
          <w:rFonts w:ascii="Times New Roman" w:hAnsi="Times New Roman" w:cs="Times New Roman"/>
          <w:szCs w:val="24"/>
          <w:lang w:eastAsia="en-US"/>
        </w:rPr>
        <w:t xml:space="preserve">Art. 1 pkt 6 wprowadza rozwiązania oparte na przepisach art. 240 ustawy z dnia 23 kwietnia 1964 r. </w:t>
      </w:r>
      <w:r w:rsidR="00C83789">
        <w:rPr>
          <w:rFonts w:ascii="Times New Roman" w:hAnsi="Times New Roman" w:cs="Times New Roman"/>
          <w:szCs w:val="24"/>
        </w:rPr>
        <w:t>–</w:t>
      </w:r>
      <w:r w:rsidRPr="00533E0D">
        <w:rPr>
          <w:rFonts w:ascii="Times New Roman" w:hAnsi="Times New Roman" w:cs="Times New Roman"/>
          <w:szCs w:val="24"/>
        </w:rPr>
        <w:t xml:space="preserve"> </w:t>
      </w:r>
      <w:r w:rsidRPr="00533E0D">
        <w:rPr>
          <w:rFonts w:ascii="Times New Roman" w:hAnsi="Times New Roman" w:cs="Times New Roman"/>
          <w:szCs w:val="24"/>
          <w:lang w:eastAsia="en-US"/>
        </w:rPr>
        <w:t>Kodeks cywilny</w:t>
      </w:r>
      <w:r w:rsidRPr="00533E0D">
        <w:rPr>
          <w:rFonts w:ascii="Times New Roman" w:hAnsi="Times New Roman" w:cs="Times New Roman"/>
          <w:szCs w:val="24"/>
        </w:rPr>
        <w:t xml:space="preserve"> (Dz. U. z 2019 r. poz.</w:t>
      </w:r>
      <w:r w:rsidR="008744AA">
        <w:rPr>
          <w:rFonts w:ascii="Times New Roman" w:hAnsi="Times New Roman" w:cs="Times New Roman"/>
          <w:szCs w:val="24"/>
        </w:rPr>
        <w:t xml:space="preserve"> </w:t>
      </w:r>
      <w:r w:rsidRPr="00533E0D">
        <w:rPr>
          <w:rFonts w:ascii="Times New Roman" w:hAnsi="Times New Roman" w:cs="Times New Roman"/>
          <w:szCs w:val="24"/>
        </w:rPr>
        <w:t>1145</w:t>
      </w:r>
      <w:r w:rsidRPr="00533E0D">
        <w:rPr>
          <w:rFonts w:ascii="Times New Roman" w:hAnsi="Times New Roman" w:cs="Times New Roman"/>
          <w:szCs w:val="24"/>
          <w:lang w:eastAsia="en-US"/>
        </w:rPr>
        <w:t>), pozwalające na wystąpienie przez podmiot zarządzający z żądaniem rozwiązania umowy użytkowania wieczystego nieruchomości lub jej części, położonych w granicach portu lub przystani morskiej, przed upływem ustalonego okresu stosownie do art. 240 ustawy z dnia 23 kwietnia 1964 r.</w:t>
      </w:r>
      <w:r w:rsidRPr="00533E0D">
        <w:rPr>
          <w:rFonts w:ascii="Times New Roman" w:hAnsi="Times New Roman" w:cs="Times New Roman"/>
          <w:szCs w:val="24"/>
        </w:rPr>
        <w:t xml:space="preserve"> </w:t>
      </w:r>
      <w:r w:rsidR="00C83789">
        <w:rPr>
          <w:rFonts w:ascii="Times New Roman" w:hAnsi="Times New Roman" w:cs="Times New Roman"/>
          <w:szCs w:val="24"/>
        </w:rPr>
        <w:t>–</w:t>
      </w:r>
      <w:r w:rsidRPr="00533E0D">
        <w:rPr>
          <w:rFonts w:ascii="Times New Roman" w:hAnsi="Times New Roman" w:cs="Times New Roman"/>
          <w:szCs w:val="24"/>
          <w:lang w:eastAsia="en-US"/>
        </w:rPr>
        <w:t xml:space="preserve"> Kodeks cywilny, jeżeli użytkownik wieczysty korzysta z tej nieruchomości w sposób sprzeczny z umową. Rozwiązanie to ma na celu spełnienie postulatów podmiotów zarządzających, zgłaszanych w związku z przypadkami braku utrzymywania nabrzeży przez ich właścicieli w należytym stanie technicznym, a często ich faktycznego porzucenia. Sytuacja taka powoduje niewykorzystywanie ograniczonego dobra, jakim są grunty posiadające dostęp do akwenów portowych i możliwości obsługi statków, a często stanowi zagrożenie dla bezpieczeństwa portu i jego użytkowników.</w:t>
      </w:r>
      <w:r w:rsidR="00C16203">
        <w:rPr>
          <w:rFonts w:ascii="Times New Roman" w:hAnsi="Times New Roman" w:cs="Times New Roman"/>
          <w:szCs w:val="24"/>
          <w:lang w:eastAsia="en-US"/>
        </w:rPr>
        <w:t xml:space="preserve"> </w:t>
      </w:r>
    </w:p>
    <w:p w:rsidR="00C665A3" w:rsidRPr="00533E0D" w:rsidRDefault="00C665A3" w:rsidP="00CF7780">
      <w:pPr>
        <w:pStyle w:val="NIEARTTEKSTtekstnieartykuowanynppodstprawnarozplubpreambua"/>
        <w:ind w:firstLine="0"/>
        <w:rPr>
          <w:rFonts w:ascii="Times New Roman" w:hAnsi="Times New Roman" w:cs="Times New Roman"/>
          <w:szCs w:val="24"/>
          <w:lang w:eastAsia="en-US"/>
        </w:rPr>
      </w:pPr>
      <w:r w:rsidRPr="00533E0D">
        <w:rPr>
          <w:rFonts w:ascii="Times New Roman" w:hAnsi="Times New Roman" w:cs="Times New Roman"/>
          <w:szCs w:val="24"/>
          <w:lang w:eastAsia="en-US"/>
        </w:rPr>
        <w:t xml:space="preserve">Art. 1 pkt 7 </w:t>
      </w:r>
      <w:r w:rsidR="00C16203">
        <w:rPr>
          <w:rFonts w:ascii="Times New Roman" w:hAnsi="Times New Roman" w:cs="Times New Roman"/>
          <w:szCs w:val="24"/>
          <w:lang w:eastAsia="en-US"/>
        </w:rPr>
        <w:t>–</w:t>
      </w:r>
      <w:r w:rsidRPr="00533E0D">
        <w:rPr>
          <w:rFonts w:ascii="Times New Roman" w:hAnsi="Times New Roman" w:cs="Times New Roman"/>
          <w:szCs w:val="24"/>
          <w:lang w:eastAsia="en-US"/>
        </w:rPr>
        <w:t xml:space="preserve"> dodano podmiotom zarządzającym kompetencje w zakresie koordynacji korzystania z infrastruktury portowej. Przepis ten ma na celu usankcjonowanie stanu faktycznego – za koordynację taką odpowiada obecnie główny dyspozytor portu, funkcjonujący w strukturach podmiotów zarządzających i działający w oparciu o zwyczaje portowe. </w:t>
      </w:r>
      <w:r w:rsidRPr="00533E0D">
        <w:rPr>
          <w:rFonts w:ascii="Times New Roman" w:hAnsi="Times New Roman" w:cs="Times New Roman"/>
          <w:szCs w:val="24"/>
        </w:rPr>
        <w:t>P</w:t>
      </w:r>
      <w:r w:rsidRPr="00533E0D">
        <w:rPr>
          <w:rFonts w:ascii="Times New Roman" w:hAnsi="Times New Roman" w:cs="Times New Roman"/>
          <w:szCs w:val="24"/>
          <w:lang w:eastAsia="en-US"/>
        </w:rPr>
        <w:t>rzepis ten nie narusza kompetencji administracji morskiej – w zakresie bezpieczeństwa morskiego i Służby Kontroli Ruchu Statków (</w:t>
      </w:r>
      <w:r w:rsidR="008744AA">
        <w:rPr>
          <w:rFonts w:ascii="Times New Roman" w:hAnsi="Times New Roman" w:cs="Times New Roman"/>
          <w:szCs w:val="24"/>
          <w:lang w:eastAsia="en-US"/>
        </w:rPr>
        <w:t>„</w:t>
      </w:r>
      <w:r w:rsidRPr="00533E0D">
        <w:rPr>
          <w:rFonts w:ascii="Times New Roman" w:hAnsi="Times New Roman" w:cs="Times New Roman"/>
          <w:szCs w:val="24"/>
          <w:lang w:eastAsia="en-US"/>
        </w:rPr>
        <w:t>Służby VTS</w:t>
      </w:r>
      <w:r w:rsidR="008744AA">
        <w:rPr>
          <w:rFonts w:ascii="Times New Roman" w:hAnsi="Times New Roman" w:cs="Times New Roman"/>
          <w:szCs w:val="24"/>
          <w:lang w:eastAsia="en-US"/>
        </w:rPr>
        <w:t>”</w:t>
      </w:r>
      <w:r w:rsidRPr="00533E0D">
        <w:rPr>
          <w:rFonts w:ascii="Times New Roman" w:hAnsi="Times New Roman" w:cs="Times New Roman"/>
          <w:szCs w:val="24"/>
          <w:lang w:eastAsia="en-US"/>
        </w:rPr>
        <w:t xml:space="preserve">). Zgodnie z postulatami rad interesantów portów oraz samych podmiotów zarządzających, dodano również wyraźnie wskazanie, iż do zadań podmiotu zarządzającego należy również prowadzenie działań zmierzających do rozwoju </w:t>
      </w:r>
      <w:r w:rsidRPr="00533E0D">
        <w:rPr>
          <w:rFonts w:ascii="Times New Roman" w:hAnsi="Times New Roman" w:cs="Times New Roman"/>
          <w:szCs w:val="24"/>
          <w:lang w:eastAsia="en-US"/>
        </w:rPr>
        <w:lastRenderedPageBreak/>
        <w:t>działalności gospodarczej w porcie i jej promocję – jak to ma miejsce w największych portach Europy Zachodniej.</w:t>
      </w:r>
    </w:p>
    <w:p w:rsidR="00C665A3" w:rsidRPr="00533E0D" w:rsidRDefault="00C665A3" w:rsidP="00CF7780">
      <w:pPr>
        <w:pStyle w:val="NIEARTTEKSTtekstnieartykuowanynppodstprawnarozplubpreambua"/>
        <w:ind w:firstLine="0"/>
        <w:rPr>
          <w:rFonts w:ascii="Times New Roman" w:hAnsi="Times New Roman" w:cs="Times New Roman"/>
          <w:szCs w:val="24"/>
          <w:lang w:eastAsia="en-US"/>
        </w:rPr>
      </w:pPr>
      <w:r w:rsidRPr="00533E0D">
        <w:rPr>
          <w:rFonts w:ascii="Times New Roman" w:hAnsi="Times New Roman" w:cs="Times New Roman"/>
          <w:szCs w:val="24"/>
          <w:lang w:eastAsia="en-US"/>
        </w:rPr>
        <w:t>Jednocześnie wprowadzono modyfikację art. 7 ust. 2 ustawy o portach, wyraźnie wskazując, że</w:t>
      </w:r>
      <w:r w:rsidR="00C16203">
        <w:rPr>
          <w:rFonts w:ascii="Times New Roman" w:hAnsi="Times New Roman" w:cs="Times New Roman"/>
          <w:szCs w:val="24"/>
          <w:lang w:eastAsia="en-US"/>
        </w:rPr>
        <w:t xml:space="preserve"> </w:t>
      </w:r>
      <w:r w:rsidRPr="00533E0D">
        <w:rPr>
          <w:rFonts w:ascii="Times New Roman" w:hAnsi="Times New Roman" w:cs="Times New Roman"/>
          <w:szCs w:val="24"/>
          <w:lang w:eastAsia="en-US"/>
        </w:rPr>
        <w:t>przedmiotem</w:t>
      </w:r>
      <w:r w:rsidR="00C16203">
        <w:rPr>
          <w:rFonts w:ascii="Times New Roman" w:hAnsi="Times New Roman" w:cs="Times New Roman"/>
          <w:szCs w:val="24"/>
          <w:lang w:eastAsia="en-US"/>
        </w:rPr>
        <w:t xml:space="preserve"> </w:t>
      </w:r>
      <w:r w:rsidRPr="00533E0D">
        <w:rPr>
          <w:rFonts w:ascii="Times New Roman" w:hAnsi="Times New Roman" w:cs="Times New Roman"/>
          <w:szCs w:val="24"/>
          <w:lang w:eastAsia="en-US"/>
        </w:rPr>
        <w:t>działalności przedsiębiorstwa podmiotu zarządzającego nie może być świadczenie usług portowych, o których mowa w art. 1 ust. 2 lit</w:t>
      </w:r>
      <w:r w:rsidR="008744AA">
        <w:rPr>
          <w:rFonts w:ascii="Times New Roman" w:hAnsi="Times New Roman" w:cs="Times New Roman"/>
          <w:szCs w:val="24"/>
          <w:lang w:eastAsia="en-US"/>
        </w:rPr>
        <w:t>.</w:t>
      </w:r>
      <w:r w:rsidRPr="00533E0D">
        <w:rPr>
          <w:rFonts w:ascii="Times New Roman" w:hAnsi="Times New Roman" w:cs="Times New Roman"/>
          <w:szCs w:val="24"/>
          <w:lang w:eastAsia="en-US"/>
        </w:rPr>
        <w:t xml:space="preserve"> b oraz lit. d rozporządzenia 2017/352, tj. usług przeładunku oraz usług pasażerskich. Przepis ten jest wynikiem konsultacji i uzgodnień poczynionych podczas trwających w 2017 r. </w:t>
      </w:r>
      <w:proofErr w:type="spellStart"/>
      <w:r w:rsidRPr="00533E0D">
        <w:rPr>
          <w:rFonts w:ascii="Times New Roman" w:hAnsi="Times New Roman" w:cs="Times New Roman"/>
          <w:szCs w:val="24"/>
          <w:lang w:eastAsia="en-US"/>
        </w:rPr>
        <w:t>prekonsultacji</w:t>
      </w:r>
      <w:proofErr w:type="spellEnd"/>
      <w:r w:rsidRPr="00533E0D">
        <w:rPr>
          <w:rFonts w:ascii="Times New Roman" w:hAnsi="Times New Roman" w:cs="Times New Roman"/>
          <w:szCs w:val="24"/>
          <w:lang w:eastAsia="en-US"/>
        </w:rPr>
        <w:t xml:space="preserve"> projektu nowelizacji, podczas których ścierały się stanowiska zmierzające do aktywizacji podmiotów zarządzających i dopuszczenia do wykonywania przez te podmioty usług eksploatacyjnych, a z drugiej strony obawy operatorów terminali co do konkurencji w zakresie przeładunków ze strony podmiotów zarządzających.</w:t>
      </w:r>
    </w:p>
    <w:p w:rsidR="00C665A3" w:rsidRPr="00533E0D" w:rsidRDefault="00C665A3" w:rsidP="00CF7780">
      <w:pPr>
        <w:pStyle w:val="NIEARTTEKSTtekstnieartykuowanynppodstprawnarozplubpreambua"/>
        <w:ind w:firstLine="0"/>
        <w:rPr>
          <w:rFonts w:ascii="Times New Roman" w:hAnsi="Times New Roman" w:cs="Times New Roman"/>
          <w:szCs w:val="24"/>
        </w:rPr>
      </w:pPr>
      <w:r w:rsidRPr="00533E0D">
        <w:rPr>
          <w:rFonts w:ascii="Times New Roman" w:hAnsi="Times New Roman" w:cs="Times New Roman"/>
          <w:szCs w:val="24"/>
          <w:lang w:eastAsia="en-US"/>
        </w:rPr>
        <w:t>W wyniku konsultacji na spotkaniu z udziałem rad interesantów portów i podmiotów zarządzający ustalono, że dopuszczalne będzie wykonywanie usług, z wyłączeniem jednak przeładunku i usług pasażerskich. Przy czym wyłączenie to nie będzie mieć zastosowania do portów nieposiadających podstawowego znaczenia, gdzie nie występuje mnogość terminali przeładunkowych, a tym samym konkurencja między operatorami terminali jest ograniczona. Wskazuje się, że dopuszczenie wykonywania przeładunków przez podmioty zarządzające małymi portami pozwoli na ich aktywizację, bez zagrożenia zakłócenia konkurencji, jak miałoby to miejsce w dużych portach.</w:t>
      </w:r>
      <w:r w:rsidR="00C16203">
        <w:rPr>
          <w:rFonts w:ascii="Times New Roman" w:hAnsi="Times New Roman" w:cs="Times New Roman"/>
          <w:szCs w:val="24"/>
          <w:lang w:eastAsia="en-US"/>
        </w:rPr>
        <w:t xml:space="preserve"> </w:t>
      </w:r>
      <w:r w:rsidRPr="00533E0D">
        <w:rPr>
          <w:rFonts w:ascii="Times New Roman" w:hAnsi="Times New Roman" w:cs="Times New Roman"/>
          <w:szCs w:val="24"/>
          <w:lang w:eastAsia="en-US"/>
        </w:rPr>
        <w:t xml:space="preserve"> </w:t>
      </w:r>
    </w:p>
    <w:p w:rsidR="00C665A3" w:rsidRPr="00533E0D" w:rsidRDefault="00C665A3" w:rsidP="00CF7780">
      <w:pPr>
        <w:pStyle w:val="ARTartustawynprozporzdzenia"/>
        <w:ind w:firstLine="0"/>
        <w:rPr>
          <w:rFonts w:ascii="Times New Roman" w:hAnsi="Times New Roman" w:cs="Times New Roman"/>
          <w:szCs w:val="24"/>
        </w:rPr>
      </w:pPr>
      <w:r w:rsidRPr="00533E0D">
        <w:rPr>
          <w:rFonts w:ascii="Times New Roman" w:hAnsi="Times New Roman" w:cs="Times New Roman"/>
          <w:szCs w:val="24"/>
        </w:rPr>
        <w:t>Ponadto doprecyzowano, ze w ramach działalności, o której mowa w ust. 1 pkt 2, tj. prognozowanie, programowanie i planowanie rozwoju portu, podmiot zarządzający opracowuje plan rozwoju portu publikowany na stronie podmiotowej Biuletynu Informacji Publicznej</w:t>
      </w:r>
      <w:r w:rsidR="00C16203">
        <w:rPr>
          <w:rFonts w:ascii="Times New Roman" w:hAnsi="Times New Roman" w:cs="Times New Roman"/>
          <w:szCs w:val="24"/>
        </w:rPr>
        <w:t xml:space="preserve"> </w:t>
      </w:r>
      <w:r w:rsidRPr="00533E0D">
        <w:rPr>
          <w:rFonts w:ascii="Times New Roman" w:hAnsi="Times New Roman" w:cs="Times New Roman"/>
          <w:szCs w:val="24"/>
        </w:rPr>
        <w:t>podmiotu zarządzającego.</w:t>
      </w:r>
    </w:p>
    <w:p w:rsidR="00C665A3" w:rsidRPr="00533E0D" w:rsidRDefault="00C665A3" w:rsidP="00CF7780">
      <w:pPr>
        <w:pStyle w:val="NIEARTTEKSTtekstnieartykuowanynppodstprawnarozplubpreambua"/>
        <w:ind w:firstLine="0"/>
        <w:rPr>
          <w:rFonts w:ascii="Times New Roman" w:hAnsi="Times New Roman" w:cs="Times New Roman"/>
          <w:szCs w:val="24"/>
          <w:lang w:eastAsia="en-US"/>
        </w:rPr>
      </w:pPr>
      <w:r w:rsidRPr="00533E0D">
        <w:rPr>
          <w:rFonts w:ascii="Times New Roman" w:hAnsi="Times New Roman" w:cs="Times New Roman"/>
          <w:szCs w:val="24"/>
          <w:lang w:eastAsia="en-US"/>
        </w:rPr>
        <w:t>Art. 1 pkt 8 przewiduje dostosowanie art. 8 ustawy o portach dotyczącego opłat portowych do postanowień rozporządzenia 2017/352.</w:t>
      </w:r>
    </w:p>
    <w:p w:rsidR="00C665A3" w:rsidRPr="00533E0D" w:rsidRDefault="00C665A3" w:rsidP="00CF7780">
      <w:pPr>
        <w:pStyle w:val="NIEARTTEKSTtekstnieartykuowanynppodstprawnarozplubpreambua"/>
        <w:ind w:firstLine="0"/>
        <w:rPr>
          <w:rFonts w:ascii="Times New Roman" w:hAnsi="Times New Roman" w:cs="Times New Roman"/>
          <w:szCs w:val="24"/>
        </w:rPr>
      </w:pPr>
      <w:r w:rsidRPr="00533E0D">
        <w:rPr>
          <w:rFonts w:ascii="Times New Roman" w:hAnsi="Times New Roman" w:cs="Times New Roman"/>
          <w:szCs w:val="24"/>
          <w:lang w:eastAsia="en-US"/>
        </w:rPr>
        <w:t xml:space="preserve">Zgodnie z przewidzianą w rozporządzeniu 2017/352 zasadą autonomii finansowej portów morskich, a także stanowiskiem Komisji Europejskiej wyrażonym w ramach tzw. </w:t>
      </w:r>
      <w:proofErr w:type="spellStart"/>
      <w:r w:rsidRPr="00533E0D">
        <w:rPr>
          <w:rFonts w:ascii="Times New Roman" w:hAnsi="Times New Roman" w:cs="Times New Roman"/>
          <w:szCs w:val="24"/>
          <w:lang w:eastAsia="en-US"/>
        </w:rPr>
        <w:t>European</w:t>
      </w:r>
      <w:proofErr w:type="spellEnd"/>
      <w:r w:rsidRPr="00533E0D">
        <w:rPr>
          <w:rFonts w:ascii="Times New Roman" w:hAnsi="Times New Roman" w:cs="Times New Roman"/>
          <w:szCs w:val="24"/>
          <w:lang w:eastAsia="en-US"/>
        </w:rPr>
        <w:t xml:space="preserve"> </w:t>
      </w:r>
      <w:proofErr w:type="spellStart"/>
      <w:r w:rsidRPr="00533E0D">
        <w:rPr>
          <w:rFonts w:ascii="Times New Roman" w:hAnsi="Times New Roman" w:cs="Times New Roman"/>
          <w:szCs w:val="24"/>
          <w:lang w:eastAsia="en-US"/>
        </w:rPr>
        <w:t>Ports</w:t>
      </w:r>
      <w:proofErr w:type="spellEnd"/>
      <w:r w:rsidRPr="00533E0D">
        <w:rPr>
          <w:rFonts w:ascii="Times New Roman" w:hAnsi="Times New Roman" w:cs="Times New Roman"/>
          <w:szCs w:val="24"/>
          <w:lang w:eastAsia="en-US"/>
        </w:rPr>
        <w:t xml:space="preserve"> Forum, zrezygnowano z określania maksymalnych limitów opłat portowych. Zgodnie bowiem z art. 13 ust. 3 rozporządzenia 2017/352, „struktura i poziom opłat za korzystanie z infrastruktury portowej są określane zgodnie z własną </w:t>
      </w:r>
      <w:r w:rsidRPr="00533E0D">
        <w:rPr>
          <w:rFonts w:ascii="Times New Roman" w:hAnsi="Times New Roman" w:cs="Times New Roman"/>
          <w:szCs w:val="24"/>
          <w:lang w:eastAsia="en-US"/>
        </w:rPr>
        <w:lastRenderedPageBreak/>
        <w:t>strategią handlową i planami inwestycyjnymi danego portu oraz są zgodne z regułami konkurencji”.</w:t>
      </w:r>
    </w:p>
    <w:p w:rsidR="00C665A3" w:rsidRPr="00533E0D" w:rsidRDefault="00C665A3" w:rsidP="00CF7780">
      <w:pPr>
        <w:pStyle w:val="ARTartustawynprozporzdzenia"/>
        <w:ind w:firstLine="0"/>
        <w:rPr>
          <w:rFonts w:ascii="Times New Roman" w:hAnsi="Times New Roman" w:cs="Times New Roman"/>
          <w:szCs w:val="24"/>
        </w:rPr>
      </w:pPr>
      <w:r w:rsidRPr="00533E0D">
        <w:rPr>
          <w:rFonts w:ascii="Times New Roman" w:hAnsi="Times New Roman" w:cs="Times New Roman"/>
          <w:szCs w:val="24"/>
        </w:rPr>
        <w:t>Mając na uwadze art. 13 ust. 1 rozporządzenia 2017/352, zgodnie z którym państwa członkowskie zapewniają pobieranie opłat za korzystanie z infrastruktury portowej, w projektowanym art. 8 ust. 1 ustawy o portach wskazano, iż opłaty portowe pobierane są za korzystanie z infrastruktury portowej. Jednocześnie, wzorem obecnie obowiązującego art. 8 ustawy o portach, przewidziano katalog podmiotów, które wyłączone są z obowiązku uiszczania opłat portowych. Opłaty portowe nie będą pobierane od</w:t>
      </w:r>
      <w:r w:rsidR="00C16203">
        <w:rPr>
          <w:rFonts w:ascii="Times New Roman" w:hAnsi="Times New Roman" w:cs="Times New Roman"/>
          <w:szCs w:val="24"/>
        </w:rPr>
        <w:t xml:space="preserve"> </w:t>
      </w:r>
      <w:r w:rsidRPr="00533E0D">
        <w:rPr>
          <w:rFonts w:ascii="Times New Roman" w:hAnsi="Times New Roman" w:cs="Times New Roman"/>
          <w:szCs w:val="24"/>
        </w:rPr>
        <w:t>jednostek pływających, pojazdów kolejowych i</w:t>
      </w:r>
      <w:r w:rsidR="00C16203">
        <w:rPr>
          <w:rFonts w:ascii="Times New Roman" w:hAnsi="Times New Roman" w:cs="Times New Roman"/>
          <w:szCs w:val="24"/>
        </w:rPr>
        <w:t xml:space="preserve"> </w:t>
      </w:r>
      <w:r w:rsidRPr="00533E0D">
        <w:rPr>
          <w:rFonts w:ascii="Times New Roman" w:hAnsi="Times New Roman" w:cs="Times New Roman"/>
          <w:szCs w:val="24"/>
        </w:rPr>
        <w:t xml:space="preserve">drogowych służb i inspekcji, z uwagi na czynności służbowe i interwencyjne, wykonywane przez służby państwowe, organy administracji, które mogą wykonywać zadania służbowe i interwencje na terenie portów morskich. </w:t>
      </w:r>
    </w:p>
    <w:p w:rsidR="00C665A3" w:rsidRPr="00533E0D" w:rsidRDefault="00C665A3" w:rsidP="00CF7780">
      <w:pPr>
        <w:pStyle w:val="ARTartustawynprozporzdzenia"/>
        <w:ind w:firstLine="0"/>
        <w:rPr>
          <w:rFonts w:ascii="Times New Roman" w:hAnsi="Times New Roman" w:cs="Times New Roman"/>
          <w:szCs w:val="24"/>
        </w:rPr>
      </w:pPr>
      <w:r w:rsidRPr="00533E0D">
        <w:rPr>
          <w:rFonts w:ascii="Times New Roman" w:hAnsi="Times New Roman" w:cs="Times New Roman"/>
          <w:szCs w:val="24"/>
        </w:rPr>
        <w:t xml:space="preserve">Rozporządzenie 2017/352 nie zawiera definicji infrastruktury portowej, jednak w art. 2 pkt 16 zawarto definicję portu morskiego, zgodnie z którą </w:t>
      </w:r>
      <w:r w:rsidR="00C83789">
        <w:rPr>
          <w:rFonts w:ascii="Times New Roman" w:hAnsi="Times New Roman" w:cs="Times New Roman"/>
          <w:szCs w:val="24"/>
        </w:rPr>
        <w:t>„</w:t>
      </w:r>
      <w:r w:rsidRPr="00533E0D">
        <w:rPr>
          <w:rFonts w:ascii="Times New Roman" w:hAnsi="Times New Roman" w:cs="Times New Roman"/>
          <w:szCs w:val="24"/>
        </w:rPr>
        <w:t>port morski</w:t>
      </w:r>
      <w:r w:rsidR="00C83789">
        <w:rPr>
          <w:rFonts w:ascii="Times New Roman" w:hAnsi="Times New Roman" w:cs="Times New Roman"/>
          <w:szCs w:val="24"/>
        </w:rPr>
        <w:t>”</w:t>
      </w:r>
      <w:r w:rsidRPr="00533E0D">
        <w:rPr>
          <w:rFonts w:ascii="Times New Roman" w:hAnsi="Times New Roman" w:cs="Times New Roman"/>
          <w:szCs w:val="24"/>
        </w:rPr>
        <w:t xml:space="preserve"> oznacza obszar lądu i wody, na którym znajduje się taka infrastruktura i wyposażenie, które pozwalają zasadniczo na przyjmowanie statków, ich załadunek i rozładunek, składowanie towarów, odbiór i dostawę tych towarów oraz zaokrętowanie i wyokrętowanie pasażerów, załogi i innych osób, a także każda inna infrastruktura niezbędna na terenie portu.</w:t>
      </w:r>
    </w:p>
    <w:p w:rsidR="00C665A3" w:rsidRPr="00533E0D" w:rsidRDefault="00C665A3" w:rsidP="00CF7780">
      <w:pPr>
        <w:pStyle w:val="NIEARTTEKSTtekstnieartykuowanynppodstprawnarozplubpreambua"/>
        <w:ind w:firstLine="0"/>
        <w:rPr>
          <w:rFonts w:ascii="Times New Roman" w:hAnsi="Times New Roman" w:cs="Times New Roman"/>
          <w:szCs w:val="24"/>
          <w:lang w:eastAsia="en-US"/>
        </w:rPr>
      </w:pPr>
      <w:r w:rsidRPr="00533E0D">
        <w:rPr>
          <w:rFonts w:ascii="Times New Roman" w:hAnsi="Times New Roman" w:cs="Times New Roman"/>
          <w:szCs w:val="24"/>
          <w:lang w:eastAsia="en-US"/>
        </w:rPr>
        <w:t>W art. 1 pkt 9 uchylono art. 10 ust. 1 mówiący o finansowaniu infrastruktury dostępowej z budżetu państwa. Wynika to z przeniesienia tychże regulacji, tożsamych dla wszystkich portów i przystani morskich, do przepisów ogólnych ustawy.</w:t>
      </w:r>
    </w:p>
    <w:p w:rsidR="00C665A3" w:rsidRPr="00533E0D" w:rsidRDefault="00C665A3" w:rsidP="00CF7780">
      <w:pPr>
        <w:pStyle w:val="NIEARTTEKSTtekstnieartykuowanynppodstprawnarozplubpreambua"/>
        <w:ind w:firstLine="0"/>
        <w:rPr>
          <w:rFonts w:ascii="Times New Roman" w:hAnsi="Times New Roman" w:cs="Times New Roman"/>
          <w:szCs w:val="24"/>
          <w:lang w:eastAsia="en-US"/>
        </w:rPr>
      </w:pPr>
      <w:r w:rsidRPr="00533E0D">
        <w:rPr>
          <w:rFonts w:ascii="Times New Roman" w:hAnsi="Times New Roman" w:cs="Times New Roman"/>
          <w:szCs w:val="24"/>
          <w:lang w:eastAsia="en-US"/>
        </w:rPr>
        <w:t>W art. 1 pkt 10</w:t>
      </w:r>
      <w:r w:rsidR="00C83789">
        <w:rPr>
          <w:rFonts w:ascii="Times New Roman" w:hAnsi="Times New Roman" w:cs="Times New Roman"/>
          <w:szCs w:val="24"/>
          <w:lang w:eastAsia="en-US"/>
        </w:rPr>
        <w:t>–</w:t>
      </w:r>
      <w:r w:rsidRPr="00533E0D">
        <w:rPr>
          <w:rFonts w:ascii="Times New Roman" w:hAnsi="Times New Roman" w:cs="Times New Roman"/>
          <w:szCs w:val="24"/>
          <w:lang w:eastAsia="en-US"/>
        </w:rPr>
        <w:t>12 proponuje się zmiany w zakresie zarządzania małymi portami. Zmiany te są realizacją zgłaszanych przez interesariuszy problemów wynikających w szczególności z niejasnego podziału zadań między dyrektora urzędu morskiego i gminę w portach i przystaniach morskich, w których nie powołano podmiotu zarządzającego.</w:t>
      </w:r>
    </w:p>
    <w:p w:rsidR="00C665A3" w:rsidRPr="00533E0D" w:rsidRDefault="00C665A3" w:rsidP="00CF7780">
      <w:pPr>
        <w:pStyle w:val="NIEARTTEKSTtekstnieartykuowanynppodstprawnarozplubpreambua"/>
        <w:ind w:firstLine="0"/>
        <w:rPr>
          <w:rFonts w:ascii="Times New Roman" w:hAnsi="Times New Roman" w:cs="Times New Roman"/>
          <w:szCs w:val="24"/>
        </w:rPr>
      </w:pPr>
      <w:r w:rsidRPr="00533E0D">
        <w:rPr>
          <w:rFonts w:ascii="Times New Roman" w:hAnsi="Times New Roman" w:cs="Times New Roman"/>
          <w:szCs w:val="24"/>
          <w:lang w:eastAsia="en-US"/>
        </w:rPr>
        <w:t xml:space="preserve">W zakresie portów nieposiadających podstawowego znaczenia dla gospodarki narodowej, wyraźnie wskazano, iż w przypadku niepowołania przez gminę podmiotu zarządzającego portem, prawa i obowiązki w tym zakresie wykonuje gmina. Jest to realizacja postulatów części samorządów, które wskazywały, iż obowiązek powołania podmiotu zarządzającego stanowi zbędny koszt, a zarządzanie takimi portami może odbywać się w ramach urzędu miasta lub gminy. Jak pokazuje np. przykład </w:t>
      </w:r>
      <w:r w:rsidRPr="00533E0D">
        <w:rPr>
          <w:rFonts w:ascii="Times New Roman" w:hAnsi="Times New Roman" w:cs="Times New Roman"/>
          <w:szCs w:val="24"/>
          <w:lang w:eastAsia="en-US"/>
        </w:rPr>
        <w:lastRenderedPageBreak/>
        <w:t>zarządzanego bezpośrednio przez gminę portu w Stepnicy, brak podmiotu zarządzającego i wykonywanie tych funkcji bezpośrednio przez gminę nie stanowi przeszkody w rozwoju portu.</w:t>
      </w:r>
    </w:p>
    <w:p w:rsidR="00C665A3" w:rsidRPr="00765BEC" w:rsidRDefault="00C665A3" w:rsidP="00CF7780">
      <w:pPr>
        <w:pStyle w:val="NIEARTTEKSTtekstnieartykuowanynppodstprawnarozplubpreambua"/>
        <w:ind w:firstLine="0"/>
        <w:rPr>
          <w:rFonts w:ascii="Times New Roman" w:hAnsi="Times New Roman" w:cs="Times New Roman"/>
          <w:szCs w:val="24"/>
          <w:lang w:eastAsia="en-US"/>
        </w:rPr>
      </w:pPr>
      <w:r w:rsidRPr="00533E0D">
        <w:rPr>
          <w:rFonts w:ascii="Times New Roman" w:hAnsi="Times New Roman" w:cs="Times New Roman"/>
          <w:szCs w:val="24"/>
          <w:lang w:eastAsia="en-US"/>
        </w:rPr>
        <w:t>Wyjątkiem będzie sytuacja, gdy ponad 50% nieruchomości w danym porcie lub przystani morskiej znajduje się w gestii Skarbu Państwa. W takiej sytuacji zadania podmiotu zarządzającego wykonywać będzie dyrektor urzędu morskiego. Jednak i w tym przypadku gmina będzie mogła przejąć zarządzanie portem lub przystanią morską, gdyż pozostawiono istniejącą obecnie w ustawie możliwość nieodpłatnej komunalizacji gruntów w portach i przystaniach morskich.</w:t>
      </w:r>
      <w:r w:rsidR="00C16203">
        <w:rPr>
          <w:rFonts w:ascii="Times New Roman" w:hAnsi="Times New Roman" w:cs="Times New Roman"/>
          <w:szCs w:val="24"/>
          <w:lang w:eastAsia="en-US"/>
        </w:rPr>
        <w:t xml:space="preserve"> </w:t>
      </w:r>
    </w:p>
    <w:p w:rsidR="00C665A3" w:rsidRPr="00765BEC" w:rsidRDefault="00C665A3" w:rsidP="00CF7780">
      <w:pPr>
        <w:pStyle w:val="NIEARTTEKSTtekstnieartykuowanynppodstprawnarozplubpreambua"/>
        <w:ind w:firstLine="0"/>
        <w:rPr>
          <w:rFonts w:ascii="Times New Roman" w:hAnsi="Times New Roman" w:cs="Times New Roman"/>
          <w:szCs w:val="24"/>
          <w:lang w:eastAsia="en-US"/>
        </w:rPr>
      </w:pPr>
      <w:r w:rsidRPr="00765BEC">
        <w:rPr>
          <w:rFonts w:ascii="Times New Roman" w:hAnsi="Times New Roman" w:cs="Times New Roman"/>
          <w:szCs w:val="24"/>
          <w:lang w:eastAsia="en-US"/>
        </w:rPr>
        <w:t>Podkreślić należy, że dyrektor urzędu morskiego, jako organ odpowiedzialny przede wszystkim za bezpieczeństwo w obszarach morskich, nie jest predestynowany do zarządzania portami morskimi i dbania o ich rozwój. Z tego względu wprowadzono przepis umożliwiający dyrektorowi urzędu morskiego powierzenie zadań i uprawnień podmiotu zarządzającego na zasadach określonych w ustawie z dnia 21 października 2016 r. o umowie koncesji na roboty budowlane lub usługi (</w:t>
      </w:r>
      <w:r w:rsidRPr="00765BEC">
        <w:rPr>
          <w:rFonts w:ascii="Times New Roman" w:hAnsi="Times New Roman" w:cs="Times New Roman"/>
          <w:szCs w:val="24"/>
        </w:rPr>
        <w:t xml:space="preserve">Dz. U. poz. 1920, z </w:t>
      </w:r>
      <w:proofErr w:type="spellStart"/>
      <w:r w:rsidRPr="00765BEC">
        <w:rPr>
          <w:rFonts w:ascii="Times New Roman" w:hAnsi="Times New Roman" w:cs="Times New Roman"/>
          <w:szCs w:val="24"/>
        </w:rPr>
        <w:t>późn</w:t>
      </w:r>
      <w:proofErr w:type="spellEnd"/>
      <w:r w:rsidRPr="00765BEC">
        <w:rPr>
          <w:rFonts w:ascii="Times New Roman" w:hAnsi="Times New Roman" w:cs="Times New Roman"/>
          <w:szCs w:val="24"/>
        </w:rPr>
        <w:t>. zm.</w:t>
      </w:r>
      <w:r w:rsidRPr="00765BEC">
        <w:rPr>
          <w:rFonts w:ascii="Times New Roman" w:hAnsi="Times New Roman" w:cs="Times New Roman"/>
          <w:szCs w:val="24"/>
          <w:lang w:eastAsia="en-US"/>
        </w:rPr>
        <w:t>) lub ustawie z dnia 19 grudnia 2008 r. o partnerstwie publiczno-prywatnym (Dz.</w:t>
      </w:r>
      <w:r w:rsidRPr="00765BEC">
        <w:rPr>
          <w:rFonts w:ascii="Times New Roman" w:hAnsi="Times New Roman" w:cs="Times New Roman"/>
          <w:szCs w:val="24"/>
        </w:rPr>
        <w:t xml:space="preserve"> </w:t>
      </w:r>
      <w:r w:rsidRPr="00765BEC">
        <w:rPr>
          <w:rFonts w:ascii="Times New Roman" w:hAnsi="Times New Roman" w:cs="Times New Roman"/>
          <w:szCs w:val="24"/>
          <w:lang w:eastAsia="en-US"/>
        </w:rPr>
        <w:t>U. z 2017 r. poz.1834</w:t>
      </w:r>
      <w:r w:rsidRPr="00765BEC">
        <w:rPr>
          <w:rFonts w:ascii="Times New Roman" w:hAnsi="Times New Roman" w:cs="Times New Roman"/>
          <w:szCs w:val="24"/>
        </w:rPr>
        <w:t xml:space="preserve">, z </w:t>
      </w:r>
      <w:proofErr w:type="spellStart"/>
      <w:r w:rsidRPr="00765BEC">
        <w:rPr>
          <w:rFonts w:ascii="Times New Roman" w:hAnsi="Times New Roman" w:cs="Times New Roman"/>
          <w:szCs w:val="24"/>
        </w:rPr>
        <w:t>późn</w:t>
      </w:r>
      <w:proofErr w:type="spellEnd"/>
      <w:r w:rsidRPr="00765BEC">
        <w:rPr>
          <w:rFonts w:ascii="Times New Roman" w:hAnsi="Times New Roman" w:cs="Times New Roman"/>
          <w:szCs w:val="24"/>
        </w:rPr>
        <w:t>. zm.</w:t>
      </w:r>
      <w:r w:rsidRPr="00765BEC">
        <w:rPr>
          <w:rFonts w:ascii="Times New Roman" w:hAnsi="Times New Roman" w:cs="Times New Roman"/>
          <w:szCs w:val="24"/>
          <w:lang w:eastAsia="en-US"/>
        </w:rPr>
        <w:t xml:space="preserve">). </w:t>
      </w:r>
      <w:r w:rsidRPr="00765BEC">
        <w:rPr>
          <w:rFonts w:ascii="Times New Roman" w:hAnsi="Times New Roman" w:cs="Times New Roman"/>
          <w:szCs w:val="24"/>
        </w:rPr>
        <w:t>W</w:t>
      </w:r>
      <w:r w:rsidRPr="00765BEC">
        <w:rPr>
          <w:rFonts w:ascii="Times New Roman" w:hAnsi="Times New Roman" w:cs="Times New Roman"/>
          <w:szCs w:val="24"/>
          <w:lang w:eastAsia="en-US"/>
        </w:rPr>
        <w:t xml:space="preserve"> portach komunalnych podobną możliwość posiadać będzie gmina. W odniesieniu do portów, które nie zostały skomunalizowane, a w konsekwencji są zarządzane przez dyrektora urzędu morskiego, wprowadzono jednak przepis </w:t>
      </w:r>
      <w:r w:rsidRPr="00765BEC">
        <w:rPr>
          <w:rFonts w:ascii="Times New Roman" w:hAnsi="Times New Roman" w:cs="Times New Roman"/>
          <w:szCs w:val="24"/>
        </w:rPr>
        <w:t>przejściowy</w:t>
      </w:r>
      <w:r w:rsidRPr="00765BEC">
        <w:rPr>
          <w:rFonts w:ascii="Times New Roman" w:hAnsi="Times New Roman" w:cs="Times New Roman"/>
          <w:szCs w:val="24"/>
          <w:lang w:eastAsia="en-US"/>
        </w:rPr>
        <w:t>, pozwalający na komunalizację gruntów w ciągu 6 miesięcy od dnia wejścia w życie ustawy. W efekcie powierzenie zarządzania portem lub przystanią morską nastąpi jedynie w przypadku braku zainteresowania zarządzaniem portem lub przystanią przez gminę.</w:t>
      </w:r>
    </w:p>
    <w:p w:rsidR="00C665A3" w:rsidRPr="00765BEC" w:rsidRDefault="00C665A3" w:rsidP="00CF7780">
      <w:pPr>
        <w:pStyle w:val="NIEARTTEKSTtekstnieartykuowanynppodstprawnarozplubpreambua"/>
        <w:ind w:firstLine="0"/>
        <w:rPr>
          <w:rFonts w:ascii="Times New Roman" w:hAnsi="Times New Roman" w:cs="Times New Roman"/>
          <w:szCs w:val="24"/>
          <w:lang w:eastAsia="en-US"/>
        </w:rPr>
      </w:pPr>
      <w:r w:rsidRPr="00765BEC">
        <w:rPr>
          <w:rFonts w:ascii="Times New Roman" w:hAnsi="Times New Roman" w:cs="Times New Roman"/>
          <w:szCs w:val="24"/>
          <w:lang w:eastAsia="en-US"/>
        </w:rPr>
        <w:t>W konsekwencji projekt zakłada rezygnację z istniejącego obecnie podziału kompetencji między gminę i dyrektora urzędu morskiego w przypadku braku powołania podmiotu zarządzającego. Obecnie, zgodnie z art. 25 ustawy o portach, w takiej sytuacji do zadań gminy należy:</w:t>
      </w:r>
    </w:p>
    <w:p w:rsidR="00C665A3" w:rsidRPr="00765BEC" w:rsidRDefault="00C16203" w:rsidP="00765BEC">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765BEC">
        <w:rPr>
          <w:rFonts w:ascii="Times New Roman" w:hAnsi="Times New Roman" w:cs="Times New Roman"/>
          <w:szCs w:val="24"/>
          <w:lang w:eastAsia="en-US"/>
        </w:rPr>
        <w:t>prognozowanie, programowanie i planowanie rozwoju portu</w:t>
      </w:r>
      <w:r w:rsidR="00AF6C68">
        <w:rPr>
          <w:rFonts w:ascii="Times New Roman" w:hAnsi="Times New Roman" w:cs="Times New Roman"/>
          <w:szCs w:val="24"/>
          <w:lang w:eastAsia="en-US"/>
        </w:rPr>
        <w:t>,</w:t>
      </w:r>
    </w:p>
    <w:p w:rsidR="00C665A3" w:rsidRPr="00765BEC" w:rsidRDefault="00C16203" w:rsidP="00765BEC">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765BEC">
        <w:rPr>
          <w:rFonts w:ascii="Times New Roman" w:hAnsi="Times New Roman" w:cs="Times New Roman"/>
          <w:szCs w:val="24"/>
          <w:lang w:eastAsia="en-US"/>
        </w:rPr>
        <w:t>pozyskiwanie nieruchomości na potrzeby rozwoju portu</w:t>
      </w:r>
      <w:r w:rsidR="00AF6C68">
        <w:rPr>
          <w:rFonts w:ascii="Times New Roman" w:hAnsi="Times New Roman" w:cs="Times New Roman"/>
          <w:szCs w:val="24"/>
          <w:lang w:eastAsia="en-US"/>
        </w:rPr>
        <w:t>,</w:t>
      </w:r>
    </w:p>
    <w:p w:rsidR="00C665A3" w:rsidRPr="00765BEC" w:rsidRDefault="00C16203" w:rsidP="00765BEC">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765BEC">
        <w:rPr>
          <w:rFonts w:ascii="Times New Roman" w:hAnsi="Times New Roman" w:cs="Times New Roman"/>
          <w:szCs w:val="24"/>
          <w:lang w:eastAsia="en-US"/>
        </w:rPr>
        <w:t>świadczenie usług związanych z korzystaniem z infrastruktury portowej</w:t>
      </w:r>
      <w:r w:rsidR="00AF6C68">
        <w:rPr>
          <w:rFonts w:ascii="Times New Roman" w:hAnsi="Times New Roman" w:cs="Times New Roman"/>
          <w:szCs w:val="24"/>
          <w:lang w:eastAsia="en-US"/>
        </w:rPr>
        <w:t>,</w:t>
      </w:r>
    </w:p>
    <w:p w:rsidR="00C665A3" w:rsidRPr="00AF6C68" w:rsidRDefault="00C16203" w:rsidP="00765BEC">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lastRenderedPageBreak/>
        <w:t>–</w:t>
      </w:r>
      <w:r>
        <w:rPr>
          <w:rFonts w:ascii="Times New Roman" w:hAnsi="Times New Roman" w:cs="Times New Roman"/>
          <w:szCs w:val="24"/>
          <w:lang w:eastAsia="en-US"/>
        </w:rPr>
        <w:tab/>
      </w:r>
      <w:r w:rsidR="00C665A3" w:rsidRPr="00AF6C68">
        <w:rPr>
          <w:rFonts w:ascii="Times New Roman" w:hAnsi="Times New Roman" w:cs="Times New Roman"/>
          <w:szCs w:val="24"/>
          <w:lang w:eastAsia="en-US"/>
        </w:rPr>
        <w:t>zapewnienie dostępu do portowych urządzeń odbiorczych odpadów ze statków w celu</w:t>
      </w:r>
      <w:r w:rsidR="00D559F1">
        <w:rPr>
          <w:rFonts w:ascii="Times New Roman" w:hAnsi="Times New Roman" w:cs="Times New Roman"/>
          <w:szCs w:val="24"/>
        </w:rPr>
        <w:t xml:space="preserve"> </w:t>
      </w:r>
      <w:r w:rsidR="00C665A3" w:rsidRPr="00AF6C68">
        <w:rPr>
          <w:rFonts w:ascii="Times New Roman" w:hAnsi="Times New Roman" w:cs="Times New Roman"/>
          <w:szCs w:val="24"/>
          <w:lang w:eastAsia="en-US"/>
        </w:rPr>
        <w:t xml:space="preserve">przekazania ich do odzysku lub unieszkodliwiania, </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Fonts w:ascii="Times New Roman" w:hAnsi="Times New Roman" w:cs="Times New Roman"/>
          <w:szCs w:val="24"/>
          <w:lang w:eastAsia="en-US"/>
        </w:rPr>
        <w:t>podczas, gdy do zadań dyrektora urzędu morskiego należy:</w:t>
      </w:r>
    </w:p>
    <w:p w:rsidR="00C665A3" w:rsidRPr="00AF6C68" w:rsidRDefault="00C16203" w:rsidP="00AF6C68">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AF6C68">
        <w:rPr>
          <w:rFonts w:ascii="Times New Roman" w:hAnsi="Times New Roman" w:cs="Times New Roman"/>
          <w:szCs w:val="24"/>
          <w:lang w:eastAsia="en-US"/>
        </w:rPr>
        <w:t>zarządzanie nieruchomościami i infrastrukturą portową</w:t>
      </w:r>
      <w:r w:rsidR="00AF6C68">
        <w:rPr>
          <w:rFonts w:ascii="Times New Roman" w:hAnsi="Times New Roman" w:cs="Times New Roman"/>
          <w:szCs w:val="24"/>
          <w:lang w:eastAsia="en-US"/>
        </w:rPr>
        <w:t>,</w:t>
      </w:r>
    </w:p>
    <w:p w:rsidR="00C665A3" w:rsidRPr="00AF6C68" w:rsidRDefault="00C16203" w:rsidP="00AF6C68">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AF6C68">
        <w:rPr>
          <w:rFonts w:ascii="Times New Roman" w:hAnsi="Times New Roman" w:cs="Times New Roman"/>
          <w:szCs w:val="24"/>
          <w:lang w:eastAsia="en-US"/>
        </w:rPr>
        <w:t>budowa, rozbudowa, utrzymywanie i modernizacja infrastruktury portowej.</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Fonts w:ascii="Times New Roman" w:hAnsi="Times New Roman" w:cs="Times New Roman"/>
          <w:szCs w:val="24"/>
          <w:lang w:eastAsia="en-US"/>
        </w:rPr>
        <w:t>Podkreślić należy, iż art. 25 miał charakter przejściowy,</w:t>
      </w:r>
      <w:r w:rsidRPr="00AF6C68">
        <w:rPr>
          <w:rFonts w:ascii="Times New Roman" w:hAnsi="Times New Roman" w:cs="Times New Roman"/>
          <w:szCs w:val="24"/>
        </w:rPr>
        <w:t xml:space="preserve"> a</w:t>
      </w:r>
      <w:r w:rsidRPr="00AF6C68">
        <w:rPr>
          <w:rFonts w:ascii="Times New Roman" w:hAnsi="Times New Roman" w:cs="Times New Roman"/>
          <w:szCs w:val="24"/>
          <w:lang w:eastAsia="en-US"/>
        </w:rPr>
        <w:t xml:space="preserve"> intencją ustawodawcy był podział zadań do czasu komunalizacji portów i przystani morskich i powołania w nich zarządów.</w:t>
      </w:r>
      <w:r w:rsidRPr="00AF6C68">
        <w:rPr>
          <w:rFonts w:ascii="Times New Roman" w:hAnsi="Times New Roman" w:cs="Times New Roman"/>
          <w:szCs w:val="24"/>
        </w:rPr>
        <w:t xml:space="preserve"> </w:t>
      </w:r>
      <w:r w:rsidRPr="00AF6C68">
        <w:rPr>
          <w:rFonts w:ascii="Times New Roman" w:hAnsi="Times New Roman" w:cs="Times New Roman"/>
          <w:szCs w:val="24"/>
          <w:lang w:eastAsia="en-US"/>
        </w:rPr>
        <w:t>W praktyce w części portów i przystani morskich dokonano jedynie częściowej komunalizacji, tj. przekazano, zgodnie z art. 24 ustawy o portach, grunty Skarbu Państwa samorządom, ale gminy nie wykonały kolejnego etapu komunalizacji, jakim w zamierzeniu twórców ustawy o portach było powołanie podmiotów zarządzających. W efekcie, zgodnie z ustawą o portach, w takich portach i przystaniach morskich dyrektor urzędu morskiego ma kompetencje do budowy, utrzymywania i zarządzania nieruchomościami i infrastrukturą portową, mimo faktu, iż nieruchomości te nie znajdują się w jego gestii, gdyż zostały skomunalizowane, co w praktyce często oznacza brak możliwości wykonywania przyznanych przez ustawę kompetencji, a w konsekwencji brak gospodarza w danym porcie lub przystani morskiej.</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Fonts w:ascii="Times New Roman" w:hAnsi="Times New Roman" w:cs="Times New Roman"/>
          <w:szCs w:val="24"/>
          <w:lang w:eastAsia="en-US"/>
        </w:rPr>
        <w:t xml:space="preserve">Projektowana ustawa kończy z tym stanem, wyraźnie przyznając kompetencje podmiotu zarządzającego w skomunalizowanych portach gminie, jednocześnie konsekwentnie wskazując, iż gmina upoważniona jest do pobierania opłat portowych w pełnym zakresie. </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Fonts w:ascii="Times New Roman" w:hAnsi="Times New Roman" w:cs="Times New Roman"/>
          <w:szCs w:val="24"/>
          <w:lang w:eastAsia="en-US"/>
        </w:rPr>
        <w:t xml:space="preserve">Powyższa regulacja nie dotyczy przystani plażowych, tj. przystani nieposiadających nabrzeża, gdzie wejście i wyjście statku co do zasady rybackiego </w:t>
      </w:r>
      <w:r w:rsidR="00C83789">
        <w:rPr>
          <w:rFonts w:ascii="Times New Roman" w:hAnsi="Times New Roman" w:cs="Times New Roman"/>
          <w:szCs w:val="24"/>
          <w:lang w:eastAsia="en-US"/>
        </w:rPr>
        <w:t>–</w:t>
      </w:r>
      <w:r w:rsidRPr="00AF6C68">
        <w:rPr>
          <w:rFonts w:ascii="Times New Roman" w:hAnsi="Times New Roman" w:cs="Times New Roman"/>
          <w:szCs w:val="24"/>
          <w:lang w:eastAsia="en-US"/>
        </w:rPr>
        <w:t xml:space="preserve"> odbywa się zazwyczaj przy pomocy tzw. wyciągarki, a postój bezpośrednio na plaży. Wynika to z faktu konieczności zapewnienia ciągłości ochrony brzegu morskiego przez administrację morską oraz ponoszenia znacznych nakładów na ochronę brzegów morskich, przekraczających co do zasady możliwości finansowe samorządów gminnych.</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Style w:val="Ppogrubienie"/>
          <w:rFonts w:ascii="Times New Roman" w:hAnsi="Times New Roman" w:cs="Times New Roman"/>
          <w:szCs w:val="24"/>
        </w:rPr>
        <w:t>Art. 2</w:t>
      </w:r>
      <w:r w:rsidRPr="00AF6C68">
        <w:rPr>
          <w:rFonts w:ascii="Times New Roman" w:hAnsi="Times New Roman" w:cs="Times New Roman"/>
          <w:szCs w:val="24"/>
          <w:lang w:eastAsia="en-US"/>
        </w:rPr>
        <w:t xml:space="preserve"> przewiduje zmiany w ustawie z dnia 21 marca 1985 r. o drogach publicznych (Dz. U. z 201</w:t>
      </w:r>
      <w:r w:rsidRPr="00AF6C68">
        <w:rPr>
          <w:rFonts w:ascii="Times New Roman" w:hAnsi="Times New Roman" w:cs="Times New Roman"/>
          <w:szCs w:val="24"/>
        </w:rPr>
        <w:t>8</w:t>
      </w:r>
      <w:r w:rsidR="00CC36CD">
        <w:rPr>
          <w:rFonts w:ascii="Times New Roman" w:hAnsi="Times New Roman" w:cs="Times New Roman"/>
          <w:szCs w:val="24"/>
        </w:rPr>
        <w:t xml:space="preserve"> </w:t>
      </w:r>
      <w:r w:rsidRPr="00AF6C68">
        <w:rPr>
          <w:rFonts w:ascii="Times New Roman" w:hAnsi="Times New Roman" w:cs="Times New Roman"/>
          <w:szCs w:val="24"/>
        </w:rPr>
        <w:t>r.</w:t>
      </w:r>
      <w:r w:rsidRPr="00AF6C68">
        <w:rPr>
          <w:rFonts w:ascii="Times New Roman" w:hAnsi="Times New Roman" w:cs="Times New Roman"/>
          <w:szCs w:val="24"/>
          <w:lang w:eastAsia="en-US"/>
        </w:rPr>
        <w:t xml:space="preserve"> poz. </w:t>
      </w:r>
      <w:r w:rsidRPr="00AF6C68">
        <w:rPr>
          <w:rFonts w:ascii="Times New Roman" w:hAnsi="Times New Roman" w:cs="Times New Roman"/>
          <w:szCs w:val="24"/>
        </w:rPr>
        <w:t xml:space="preserve">2068, z </w:t>
      </w:r>
      <w:proofErr w:type="spellStart"/>
      <w:r w:rsidRPr="00AF6C68">
        <w:rPr>
          <w:rFonts w:ascii="Times New Roman" w:hAnsi="Times New Roman" w:cs="Times New Roman"/>
          <w:szCs w:val="24"/>
        </w:rPr>
        <w:t>późn</w:t>
      </w:r>
      <w:proofErr w:type="spellEnd"/>
      <w:r w:rsidRPr="00AF6C68">
        <w:rPr>
          <w:rFonts w:ascii="Times New Roman" w:hAnsi="Times New Roman" w:cs="Times New Roman"/>
          <w:szCs w:val="24"/>
        </w:rPr>
        <w:t>. zm.</w:t>
      </w:r>
      <w:r w:rsidRPr="00AF6C68">
        <w:rPr>
          <w:rFonts w:ascii="Times New Roman" w:hAnsi="Times New Roman" w:cs="Times New Roman"/>
          <w:szCs w:val="24"/>
          <w:lang w:eastAsia="en-US"/>
        </w:rPr>
        <w:t xml:space="preserve">). Przewiduje się dodanie w art. 5 tejże ustawy ustępu </w:t>
      </w:r>
      <w:r w:rsidRPr="00AF6C68">
        <w:rPr>
          <w:rFonts w:ascii="Times New Roman" w:hAnsi="Times New Roman" w:cs="Times New Roman"/>
          <w:szCs w:val="24"/>
        </w:rPr>
        <w:t>2a</w:t>
      </w:r>
      <w:r w:rsidRPr="00AF6C68">
        <w:rPr>
          <w:rFonts w:ascii="Times New Roman" w:hAnsi="Times New Roman" w:cs="Times New Roman"/>
          <w:szCs w:val="24"/>
          <w:lang w:eastAsia="en-US"/>
        </w:rPr>
        <w:t xml:space="preserve">, zgodnie z którym w przypadku konieczności zapewnienia dostępu </w:t>
      </w:r>
      <w:r w:rsidRPr="00AF6C68">
        <w:rPr>
          <w:rFonts w:ascii="Times New Roman" w:hAnsi="Times New Roman" w:cs="Times New Roman"/>
          <w:szCs w:val="24"/>
          <w:lang w:eastAsia="en-US"/>
        </w:rPr>
        <w:lastRenderedPageBreak/>
        <w:t xml:space="preserve">drogowego </w:t>
      </w:r>
      <w:r w:rsidRPr="00AF6C68">
        <w:rPr>
          <w:rFonts w:ascii="Times New Roman" w:hAnsi="Times New Roman" w:cs="Times New Roman"/>
          <w:szCs w:val="24"/>
        </w:rPr>
        <w:t>w standardzie wymaganym</w:t>
      </w:r>
      <w:r w:rsidR="00C16203">
        <w:rPr>
          <w:rFonts w:ascii="Times New Roman" w:hAnsi="Times New Roman" w:cs="Times New Roman"/>
          <w:szCs w:val="24"/>
        </w:rPr>
        <w:t xml:space="preserve"> </w:t>
      </w:r>
      <w:r w:rsidRPr="00AF6C68">
        <w:rPr>
          <w:rFonts w:ascii="Times New Roman" w:hAnsi="Times New Roman" w:cs="Times New Roman"/>
          <w:szCs w:val="24"/>
        </w:rPr>
        <w:t>dla</w:t>
      </w:r>
      <w:r w:rsidR="00C16203">
        <w:rPr>
          <w:rFonts w:ascii="Times New Roman" w:hAnsi="Times New Roman" w:cs="Times New Roman"/>
          <w:szCs w:val="24"/>
        </w:rPr>
        <w:t xml:space="preserve"> </w:t>
      </w:r>
      <w:r w:rsidRPr="00AF6C68">
        <w:rPr>
          <w:rFonts w:ascii="Times New Roman" w:hAnsi="Times New Roman" w:cs="Times New Roman"/>
          <w:szCs w:val="24"/>
        </w:rPr>
        <w:t xml:space="preserve">transeuropejskiej sieci transportowej (TEN-T) do polskich portów, o których mowa w rozporządzeniu Parlamentu Europejskiego i Rady (UE) nr 1315/2013 z dnia 11 grudnia 2013 r. w sprawie unijnych wytycznych dotyczących rozwoju transeuropejskiej sieci transportowej i uchylającego decyzję nr 661/2010/UE (Dz. Urz. UE L 348 z 20.12.2013, str. 1, z </w:t>
      </w:r>
      <w:proofErr w:type="spellStart"/>
      <w:r w:rsidRPr="00AF6C68">
        <w:rPr>
          <w:rFonts w:ascii="Times New Roman" w:hAnsi="Times New Roman" w:cs="Times New Roman"/>
          <w:szCs w:val="24"/>
        </w:rPr>
        <w:t>późn</w:t>
      </w:r>
      <w:proofErr w:type="spellEnd"/>
      <w:r w:rsidRPr="00AF6C68">
        <w:rPr>
          <w:rFonts w:ascii="Times New Roman" w:hAnsi="Times New Roman" w:cs="Times New Roman"/>
          <w:szCs w:val="24"/>
        </w:rPr>
        <w:t>. zm.)</w:t>
      </w:r>
      <w:r w:rsidRPr="00AF6C68">
        <w:rPr>
          <w:rFonts w:ascii="Times New Roman" w:hAnsi="Times New Roman" w:cs="Times New Roman"/>
          <w:szCs w:val="24"/>
          <w:lang w:eastAsia="en-US"/>
        </w:rPr>
        <w:t xml:space="preserve">, minister właściwy do spraw transportu, w porozumieniu z ministrem właściwym do spraw gospodarki morskiej, po zasięgnięciu opinii właściwych sejmików województw, a w miastach na prawach powiatu </w:t>
      </w:r>
      <w:r w:rsidR="00C83789">
        <w:rPr>
          <w:rFonts w:ascii="Times New Roman" w:hAnsi="Times New Roman" w:cs="Times New Roman"/>
          <w:szCs w:val="24"/>
          <w:lang w:eastAsia="en-US"/>
        </w:rPr>
        <w:t>–</w:t>
      </w:r>
      <w:r w:rsidRPr="00AF6C68">
        <w:rPr>
          <w:rFonts w:ascii="Times New Roman" w:hAnsi="Times New Roman" w:cs="Times New Roman"/>
          <w:szCs w:val="24"/>
          <w:lang w:eastAsia="en-US"/>
        </w:rPr>
        <w:t xml:space="preserve"> opinii rad miast, w drodze rozporządzenia, zalicza drogi do kategorii dróg krajowych, mając na uwadze kryteria zaliczenia określone w ust. 1 tego artykułu. W szczególności wskazać tu należy pkt 4 ustępu 1, zgodnie z którymi do dróg krajowych zalicza się drogi dojazdowe do ogólnodostępnych przejść granicznych obsługujących ruch osobowy i towarowy – a takimi są właśnie drogi prowadzące do portów morskich. W konsekwencji w projektowanym art. 19 ust. 5 wskazano, że drogi takie pozostają w kompetencji Generalnej Dyrekcji Dróg Krajowych i Autostrad.</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Fonts w:ascii="Times New Roman" w:hAnsi="Times New Roman" w:cs="Times New Roman"/>
          <w:szCs w:val="24"/>
          <w:lang w:eastAsia="en-US"/>
        </w:rPr>
        <w:t>Propozycja ma na celu usunięcie problemów w zakresie dostępu drogowego portów znajdujących się w sieci bazowej TEN-T, zgodnie z rozporządzeniem Parlamentu Europejskiego i Rady (UE) nr 1315/2013 z dnia 11 grudnia 2013 r. w sprawie unijnych wytycznych dotyczących rozwoju transeuropejskiej sieci transportowej</w:t>
      </w:r>
      <w:r w:rsidRPr="00AF6C68">
        <w:rPr>
          <w:rFonts w:ascii="Times New Roman" w:hAnsi="Times New Roman" w:cs="Times New Roman"/>
          <w:szCs w:val="24"/>
        </w:rPr>
        <w:t xml:space="preserve"> i uchylającego decyzję nr 661/2010/UE</w:t>
      </w:r>
      <w:r w:rsidRPr="00AF6C68">
        <w:rPr>
          <w:rFonts w:ascii="Times New Roman" w:hAnsi="Times New Roman" w:cs="Times New Roman"/>
          <w:szCs w:val="24"/>
          <w:lang w:eastAsia="en-US"/>
        </w:rPr>
        <w:t xml:space="preserve"> </w:t>
      </w:r>
      <w:r w:rsidR="00C16203">
        <w:rPr>
          <w:rFonts w:ascii="Times New Roman" w:hAnsi="Times New Roman" w:cs="Times New Roman"/>
          <w:szCs w:val="24"/>
          <w:lang w:eastAsia="en-US"/>
        </w:rPr>
        <w:t>–</w:t>
      </w:r>
      <w:r w:rsidRPr="00AF6C68">
        <w:rPr>
          <w:rFonts w:ascii="Times New Roman" w:hAnsi="Times New Roman" w:cs="Times New Roman"/>
          <w:szCs w:val="24"/>
          <w:lang w:eastAsia="en-US"/>
        </w:rPr>
        <w:t xml:space="preserve"> w sytuacji, gdy budowa tej infrastruktury przekracza możliwości finansowe samorządów. </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Fonts w:ascii="Times New Roman" w:hAnsi="Times New Roman" w:cs="Times New Roman"/>
          <w:szCs w:val="24"/>
          <w:lang w:eastAsia="en-US"/>
        </w:rPr>
        <w:t>Podkreślić należy, że projektowane przepisy wynikają z wniosku pokontrolnego NIK dla Prezesa Rady Ministrów (kontrola P/17/033 „Infrastruktura dostępowa do portów morskich</w:t>
      </w:r>
      <w:r w:rsidR="00C83789">
        <w:rPr>
          <w:rFonts w:ascii="Times New Roman" w:hAnsi="Times New Roman" w:cs="Times New Roman"/>
          <w:szCs w:val="24"/>
          <w:lang w:eastAsia="en-US"/>
        </w:rPr>
        <w:t>”</w:t>
      </w:r>
      <w:r w:rsidRPr="00AF6C68">
        <w:rPr>
          <w:rFonts w:ascii="Times New Roman" w:hAnsi="Times New Roman" w:cs="Times New Roman"/>
          <w:szCs w:val="24"/>
          <w:lang w:eastAsia="en-US"/>
        </w:rPr>
        <w:t>):</w:t>
      </w:r>
    </w:p>
    <w:p w:rsidR="00C665A3" w:rsidRPr="00AF6C68" w:rsidRDefault="00C665A3" w:rsidP="00AF6C68">
      <w:pPr>
        <w:pStyle w:val="NIEARTTEKSTtekstnieartykuowanynppodstprawnarozplubpreambua"/>
        <w:ind w:firstLine="0"/>
        <w:rPr>
          <w:rFonts w:ascii="Times New Roman" w:hAnsi="Times New Roman" w:cs="Times New Roman"/>
          <w:szCs w:val="24"/>
          <w:lang w:eastAsia="en-US"/>
        </w:rPr>
      </w:pPr>
      <w:r w:rsidRPr="00AF6C68">
        <w:rPr>
          <w:rFonts w:ascii="Times New Roman" w:hAnsi="Times New Roman" w:cs="Times New Roman"/>
          <w:szCs w:val="24"/>
          <w:lang w:eastAsia="en-US"/>
        </w:rPr>
        <w:t>„W związku z obowiązkiem wywiązania się przez państwo polskie z wymogu wdrożenia rozwiązań zawartych w rozporządzeniu TEN-T ustanawiającym wytyczne dotyczące rozwoju sieci TEN-T, w tym do dnia 31 grudnia 2030 r. dostosowania infrastruktury drogowej prowadzącej do portu w Gdyni do wymogów tego rozporządzenia oraz biorąc pod uwagę, że podjęte do chwili obecnej działania nie doprowadziły do usunięcia braków w realizacji lądowej infrastruktury dostępowej do portu w Gdyni, Najwyższa Izba Kontroli wnosi o wypracowanie i wdrożenie rozwiązań gwarantujących doprowadzenie do poprawy dostępności drogowej do portu w Gdyni.”</w:t>
      </w:r>
      <w:r w:rsidR="00CC36CD">
        <w:rPr>
          <w:rFonts w:ascii="Times New Roman" w:hAnsi="Times New Roman" w:cs="Times New Roman"/>
          <w:szCs w:val="24"/>
          <w:lang w:eastAsia="en-US"/>
        </w:rPr>
        <w:t>.</w:t>
      </w:r>
    </w:p>
    <w:p w:rsidR="00C665A3" w:rsidRPr="00AF6C68" w:rsidRDefault="00C665A3" w:rsidP="00C16203">
      <w:pPr>
        <w:pStyle w:val="NIEARTTEKSTtekstnieartykuowanynppodstprawnarozplubpreambua"/>
        <w:ind w:firstLine="0"/>
        <w:rPr>
          <w:rFonts w:ascii="Times New Roman" w:hAnsi="Times New Roman" w:cs="Times New Roman"/>
          <w:szCs w:val="24"/>
          <w:lang w:eastAsia="en-US"/>
        </w:rPr>
      </w:pPr>
      <w:r w:rsidRPr="00AF6C68">
        <w:rPr>
          <w:rStyle w:val="Ppogrubienie"/>
          <w:rFonts w:ascii="Times New Roman" w:hAnsi="Times New Roman" w:cs="Times New Roman"/>
          <w:szCs w:val="24"/>
        </w:rPr>
        <w:lastRenderedPageBreak/>
        <w:t>Art. 3</w:t>
      </w:r>
      <w:r w:rsidRPr="00AF6C68">
        <w:rPr>
          <w:rFonts w:ascii="Times New Roman" w:hAnsi="Times New Roman" w:cs="Times New Roman"/>
          <w:szCs w:val="24"/>
          <w:lang w:eastAsia="en-US"/>
        </w:rPr>
        <w:t xml:space="preserve"> projektu przewiduje zmiany ustawy z dnia 21 marca 1991 r. o obszarach morskich Rzeczypospolitej Polskiej i administracji morskiej (Dz. U. z 201</w:t>
      </w:r>
      <w:r w:rsidRPr="00AF6C68">
        <w:rPr>
          <w:rFonts w:ascii="Times New Roman" w:hAnsi="Times New Roman" w:cs="Times New Roman"/>
          <w:szCs w:val="24"/>
        </w:rPr>
        <w:t>8</w:t>
      </w:r>
      <w:r w:rsidRPr="00AF6C68">
        <w:rPr>
          <w:rFonts w:ascii="Times New Roman" w:hAnsi="Times New Roman" w:cs="Times New Roman"/>
          <w:szCs w:val="24"/>
          <w:lang w:eastAsia="en-US"/>
        </w:rPr>
        <w:t xml:space="preserve"> r. poz. 22</w:t>
      </w:r>
      <w:r w:rsidRPr="00AF6C68">
        <w:rPr>
          <w:rFonts w:ascii="Times New Roman" w:hAnsi="Times New Roman" w:cs="Times New Roman"/>
          <w:szCs w:val="24"/>
        </w:rPr>
        <w:t xml:space="preserve">14, z </w:t>
      </w:r>
      <w:proofErr w:type="spellStart"/>
      <w:r w:rsidRPr="00AF6C68">
        <w:rPr>
          <w:rFonts w:ascii="Times New Roman" w:hAnsi="Times New Roman" w:cs="Times New Roman"/>
          <w:szCs w:val="24"/>
        </w:rPr>
        <w:t>późn</w:t>
      </w:r>
      <w:proofErr w:type="spellEnd"/>
      <w:r w:rsidRPr="00AF6C68">
        <w:rPr>
          <w:rFonts w:ascii="Times New Roman" w:hAnsi="Times New Roman" w:cs="Times New Roman"/>
          <w:szCs w:val="24"/>
        </w:rPr>
        <w:t>. zm.</w:t>
      </w:r>
      <w:r w:rsidRPr="00AF6C68">
        <w:rPr>
          <w:rFonts w:ascii="Times New Roman" w:hAnsi="Times New Roman" w:cs="Times New Roman"/>
          <w:szCs w:val="24"/>
          <w:lang w:eastAsia="en-US"/>
        </w:rPr>
        <w:t>). Zmiany te są konsekwencją zmian ustawy o portach i przystaniach morskich.</w:t>
      </w:r>
    </w:p>
    <w:p w:rsidR="00C665A3" w:rsidRPr="00AF6C68" w:rsidRDefault="00C665A3" w:rsidP="00BC2C8D">
      <w:pPr>
        <w:pStyle w:val="NIEARTTEKSTtekstnieartykuowanynppodstprawnarozplubpreambua"/>
        <w:ind w:firstLine="0"/>
        <w:rPr>
          <w:rFonts w:ascii="Times New Roman" w:hAnsi="Times New Roman" w:cs="Times New Roman"/>
          <w:szCs w:val="24"/>
        </w:rPr>
      </w:pPr>
      <w:r w:rsidRPr="00AF6C68">
        <w:rPr>
          <w:rFonts w:ascii="Times New Roman" w:hAnsi="Times New Roman" w:cs="Times New Roman"/>
          <w:szCs w:val="24"/>
        </w:rPr>
        <w:t>Zmiana w art. 3 pkt 1 ma na celu wprowadzenie pewności prawnej dla inwestorów realizujących inwestycje na podstawie pozwoleń na wznoszenie sztucznych wysp, konstrukcji i urządzeń w zakresie wydłużenia ważności pozwoleń o 20 lat w przypadku wybudowania i użytkowania zgodnie z wymaganiami pozwoleń na wznoszenie sztucznych wysp. Zaproponowane brzmienie art. 23 ust. 6g ustawy o obszarach morskich znosi wątpliwości interpretacyjne dotyczące tego, czy w przypadku wniosku o przedłużenie ważności pozwolenia należy ogłosić o możliwości składania kolejnych wniosków oraz przeprowadzić ewentualne postępowania rozstrzygające. Zastosowanie procedury określonej w art. 27c i następnych ustawy byłoby niezasadne, ponieważ dotyczyłoby przedsięwzięcia już istniejącego.</w:t>
      </w:r>
    </w:p>
    <w:p w:rsidR="00C665A3" w:rsidRPr="00BC2C8D" w:rsidRDefault="00C665A3" w:rsidP="00BC2C8D">
      <w:pPr>
        <w:pStyle w:val="NIEARTTEKSTtekstnieartykuowanynppodstprawnarozplubpreambua"/>
        <w:ind w:firstLine="0"/>
        <w:rPr>
          <w:rFonts w:ascii="Times New Roman" w:hAnsi="Times New Roman" w:cs="Times New Roman"/>
          <w:szCs w:val="24"/>
        </w:rPr>
      </w:pPr>
      <w:r w:rsidRPr="00AF6C68">
        <w:rPr>
          <w:rFonts w:ascii="Times New Roman" w:hAnsi="Times New Roman" w:cs="Times New Roman"/>
          <w:szCs w:val="24"/>
          <w:lang w:eastAsia="en-US"/>
        </w:rPr>
        <w:t xml:space="preserve">Zmiana w art. 3 pkt </w:t>
      </w:r>
      <w:r w:rsidRPr="00AF6C68">
        <w:rPr>
          <w:rFonts w:ascii="Times New Roman" w:hAnsi="Times New Roman" w:cs="Times New Roman"/>
          <w:szCs w:val="24"/>
        </w:rPr>
        <w:t>2</w:t>
      </w:r>
      <w:r w:rsidRPr="00AF6C68">
        <w:rPr>
          <w:rFonts w:ascii="Times New Roman" w:hAnsi="Times New Roman" w:cs="Times New Roman"/>
          <w:szCs w:val="24"/>
          <w:lang w:eastAsia="en-US"/>
        </w:rPr>
        <w:t xml:space="preserve"> ma na celu doprecyzowanie obecnie obowiązującego art. 24, który przewiduje możliwość utworzenia stref bezpieczeństwa wokół konstrukcji na morzu.</w:t>
      </w:r>
      <w:r w:rsidR="00C16203">
        <w:rPr>
          <w:rFonts w:ascii="Times New Roman" w:hAnsi="Times New Roman" w:cs="Times New Roman"/>
          <w:szCs w:val="24"/>
          <w:lang w:eastAsia="en-US"/>
        </w:rPr>
        <w:t xml:space="preserve"> </w:t>
      </w:r>
    </w:p>
    <w:p w:rsidR="00C665A3" w:rsidRPr="00BC2C8D" w:rsidRDefault="00C665A3" w:rsidP="00BC2C8D">
      <w:pPr>
        <w:pStyle w:val="ARTartustawynprozporzdzenia"/>
        <w:ind w:firstLine="0"/>
        <w:rPr>
          <w:rFonts w:ascii="Times New Roman" w:hAnsi="Times New Roman" w:cs="Times New Roman"/>
          <w:szCs w:val="24"/>
          <w:lang w:eastAsia="en-US"/>
        </w:rPr>
      </w:pPr>
      <w:r w:rsidRPr="00BC2C8D">
        <w:rPr>
          <w:rFonts w:ascii="Times New Roman" w:hAnsi="Times New Roman" w:cs="Times New Roman"/>
          <w:szCs w:val="24"/>
        </w:rPr>
        <w:t xml:space="preserve">Strefy bezpieczeństwa tworzone będą w drodze zarządzenia dyrektora urzędu morskiego zgodnie z art. 24 ustawy o obszarach morskich Rzeczypospolitej Polskiej i administracji morskiej. Projektowany przepis stanowi wykonanie Konwencji Narodów Zjednoczonych o prawie morza, sporządzonej w </w:t>
      </w:r>
      <w:proofErr w:type="spellStart"/>
      <w:r w:rsidRPr="00BC2C8D">
        <w:rPr>
          <w:rFonts w:ascii="Times New Roman" w:hAnsi="Times New Roman" w:cs="Times New Roman"/>
          <w:szCs w:val="24"/>
        </w:rPr>
        <w:t>Montego</w:t>
      </w:r>
      <w:proofErr w:type="spellEnd"/>
      <w:r w:rsidRPr="00BC2C8D">
        <w:rPr>
          <w:rFonts w:ascii="Times New Roman" w:hAnsi="Times New Roman" w:cs="Times New Roman"/>
          <w:szCs w:val="24"/>
        </w:rPr>
        <w:t xml:space="preserve"> Bay dnia 10 grudnia 1982 r. (Dz. U. z 2002 r.</w:t>
      </w:r>
      <w:r w:rsidR="00C16203">
        <w:rPr>
          <w:rFonts w:ascii="Times New Roman" w:hAnsi="Times New Roman" w:cs="Times New Roman"/>
          <w:szCs w:val="24"/>
        </w:rPr>
        <w:t xml:space="preserve"> </w:t>
      </w:r>
      <w:r w:rsidRPr="00BC2C8D">
        <w:rPr>
          <w:rFonts w:ascii="Times New Roman" w:hAnsi="Times New Roman" w:cs="Times New Roman"/>
          <w:szCs w:val="24"/>
        </w:rPr>
        <w:t xml:space="preserve">poz. 543), zgodnie z którą państwo nadbrzeżne może ustanowić wokół sztucznych wysp, instalacji i konstrukcji strefy bezpieczeństwa o uzasadnionych rozmiarach, </w:t>
      </w:r>
      <w:r w:rsidR="00C83789">
        <w:rPr>
          <w:rFonts w:ascii="Times New Roman" w:hAnsi="Times New Roman" w:cs="Times New Roman"/>
          <w:szCs w:val="24"/>
        </w:rPr>
        <w:t>„</w:t>
      </w:r>
      <w:r w:rsidRPr="00BC2C8D">
        <w:rPr>
          <w:rFonts w:ascii="Times New Roman" w:hAnsi="Times New Roman" w:cs="Times New Roman"/>
          <w:szCs w:val="24"/>
        </w:rPr>
        <w:t>w obrębie których może ono stosować odpowiednie środki w celu zapewnienia bezpieczeństwa zarówno żeglugi, jak i sztucznych wysp, instalacji i konstrukcji</w:t>
      </w:r>
      <w:r w:rsidR="00C83789">
        <w:rPr>
          <w:rFonts w:ascii="Times New Roman" w:hAnsi="Times New Roman" w:cs="Times New Roman"/>
          <w:szCs w:val="24"/>
        </w:rPr>
        <w:t>”</w:t>
      </w:r>
      <w:r w:rsidRPr="00BC2C8D">
        <w:rPr>
          <w:rFonts w:ascii="Times New Roman" w:hAnsi="Times New Roman" w:cs="Times New Roman"/>
          <w:szCs w:val="24"/>
        </w:rPr>
        <w:t>.</w:t>
      </w:r>
    </w:p>
    <w:p w:rsidR="00C665A3" w:rsidRPr="00BC2C8D" w:rsidRDefault="00C665A3" w:rsidP="00BC2C8D">
      <w:pPr>
        <w:pStyle w:val="NIEARTTEKSTtekstnieartykuowanynppodstprawnarozplubpreambua"/>
        <w:ind w:firstLine="0"/>
        <w:rPr>
          <w:rFonts w:ascii="Times New Roman" w:hAnsi="Times New Roman" w:cs="Times New Roman"/>
          <w:szCs w:val="24"/>
        </w:rPr>
      </w:pPr>
      <w:r w:rsidRPr="00BC2C8D">
        <w:rPr>
          <w:rFonts w:ascii="Times New Roman" w:hAnsi="Times New Roman" w:cs="Times New Roman"/>
          <w:szCs w:val="24"/>
          <w:lang w:eastAsia="en-US"/>
        </w:rPr>
        <w:t xml:space="preserve">Zmiana w art. 3 pkt </w:t>
      </w:r>
      <w:r w:rsidRPr="00BC2C8D">
        <w:rPr>
          <w:rFonts w:ascii="Times New Roman" w:hAnsi="Times New Roman" w:cs="Times New Roman"/>
          <w:szCs w:val="24"/>
        </w:rPr>
        <w:t>3</w:t>
      </w:r>
      <w:r w:rsidRPr="00BC2C8D">
        <w:rPr>
          <w:rFonts w:ascii="Times New Roman" w:hAnsi="Times New Roman" w:cs="Times New Roman"/>
          <w:szCs w:val="24"/>
          <w:lang w:eastAsia="en-US"/>
        </w:rPr>
        <w:t xml:space="preserve"> ma na celu doprecyzowanie definicji granicznej linii ochrony zawartej w art. 37 ust. 1c w ustawie o obszarach morskich Rzeczypospolitej Polskiej i administracji morskiej. W obowiązujących przepisach linia brzegowa jest wyznaczana na podstawie procedury wskazanej w art. 220 ustawy z dnia 20 lipca 2017 r.</w:t>
      </w:r>
      <w:r w:rsidRPr="00BC2C8D">
        <w:rPr>
          <w:rFonts w:ascii="Times New Roman" w:hAnsi="Times New Roman" w:cs="Times New Roman"/>
          <w:szCs w:val="24"/>
        </w:rPr>
        <w:t xml:space="preserve"> </w:t>
      </w:r>
      <w:r w:rsidR="00C83789">
        <w:rPr>
          <w:rFonts w:ascii="Times New Roman" w:hAnsi="Times New Roman" w:cs="Times New Roman"/>
          <w:szCs w:val="24"/>
        </w:rPr>
        <w:t>–</w:t>
      </w:r>
      <w:r w:rsidRPr="00BC2C8D">
        <w:rPr>
          <w:rFonts w:ascii="Times New Roman" w:hAnsi="Times New Roman" w:cs="Times New Roman"/>
          <w:szCs w:val="24"/>
          <w:lang w:eastAsia="en-US"/>
        </w:rPr>
        <w:t xml:space="preserve"> Prawo </w:t>
      </w:r>
      <w:r w:rsidRPr="00BC2C8D">
        <w:rPr>
          <w:rFonts w:ascii="Times New Roman" w:hAnsi="Times New Roman" w:cs="Times New Roman"/>
          <w:szCs w:val="24"/>
        </w:rPr>
        <w:t>w</w:t>
      </w:r>
      <w:r w:rsidRPr="00BC2C8D">
        <w:rPr>
          <w:rFonts w:ascii="Times New Roman" w:hAnsi="Times New Roman" w:cs="Times New Roman"/>
          <w:szCs w:val="24"/>
          <w:lang w:eastAsia="en-US"/>
        </w:rPr>
        <w:t>odne (Dz. U. z 201</w:t>
      </w:r>
      <w:r w:rsidRPr="00BC2C8D">
        <w:rPr>
          <w:rFonts w:ascii="Times New Roman" w:hAnsi="Times New Roman" w:cs="Times New Roman"/>
          <w:szCs w:val="24"/>
        </w:rPr>
        <w:t>8</w:t>
      </w:r>
      <w:r w:rsidRPr="00BC2C8D">
        <w:rPr>
          <w:rFonts w:ascii="Times New Roman" w:hAnsi="Times New Roman" w:cs="Times New Roman"/>
          <w:szCs w:val="24"/>
          <w:lang w:eastAsia="en-US"/>
        </w:rPr>
        <w:t xml:space="preserve"> r. poz. </w:t>
      </w:r>
      <w:r w:rsidRPr="00BC2C8D">
        <w:rPr>
          <w:rFonts w:ascii="Times New Roman" w:hAnsi="Times New Roman" w:cs="Times New Roman"/>
          <w:szCs w:val="24"/>
        </w:rPr>
        <w:t xml:space="preserve">2268, z </w:t>
      </w:r>
      <w:proofErr w:type="spellStart"/>
      <w:r w:rsidRPr="00BC2C8D">
        <w:rPr>
          <w:rFonts w:ascii="Times New Roman" w:hAnsi="Times New Roman" w:cs="Times New Roman"/>
          <w:szCs w:val="24"/>
        </w:rPr>
        <w:t>późn</w:t>
      </w:r>
      <w:proofErr w:type="spellEnd"/>
      <w:r w:rsidRPr="00BC2C8D">
        <w:rPr>
          <w:rFonts w:ascii="Times New Roman" w:hAnsi="Times New Roman" w:cs="Times New Roman"/>
          <w:szCs w:val="24"/>
        </w:rPr>
        <w:t>. zm.</w:t>
      </w:r>
      <w:r w:rsidRPr="00BC2C8D">
        <w:rPr>
          <w:rFonts w:ascii="Times New Roman" w:hAnsi="Times New Roman" w:cs="Times New Roman"/>
          <w:szCs w:val="24"/>
          <w:lang w:eastAsia="en-US"/>
        </w:rPr>
        <w:t xml:space="preserve">). Ze względu na koszty tej procedury linia brzegowa nie jest systematycznie wyznaczana. Ze względu na dynamiczny </w:t>
      </w:r>
      <w:r w:rsidRPr="00BC2C8D">
        <w:rPr>
          <w:rFonts w:ascii="Times New Roman" w:hAnsi="Times New Roman" w:cs="Times New Roman"/>
          <w:szCs w:val="24"/>
          <w:lang w:eastAsia="en-US"/>
        </w:rPr>
        <w:lastRenderedPageBreak/>
        <w:t>charakter strefy brzegowej proponuje się zastąpienie „linii brzegowej” pojęciem „linii przecięcia zwierciadła</w:t>
      </w:r>
      <w:r w:rsidRPr="00BC2C8D">
        <w:rPr>
          <w:rFonts w:ascii="Times New Roman" w:hAnsi="Times New Roman" w:cs="Times New Roman"/>
          <w:szCs w:val="24"/>
        </w:rPr>
        <w:t xml:space="preserve"> </w:t>
      </w:r>
      <w:r w:rsidRPr="00BC2C8D">
        <w:rPr>
          <w:rFonts w:ascii="Times New Roman" w:hAnsi="Times New Roman" w:cs="Times New Roman"/>
          <w:szCs w:val="24"/>
          <w:lang w:eastAsia="en-US"/>
        </w:rPr>
        <w:t>wody z lądem przy średnim poziomie morza”. Położenie tak wyznaczonej morskiej linii jest ściśle określone w przestrzeni. Jest to zatem parametr mierzalny, który nie tylko umożliwia określenie polityki państwa w stosunku brzegu</w:t>
      </w:r>
      <w:r w:rsidRPr="00BC2C8D">
        <w:rPr>
          <w:rFonts w:ascii="Times New Roman" w:hAnsi="Times New Roman" w:cs="Times New Roman"/>
          <w:szCs w:val="24"/>
        </w:rPr>
        <w:t>,</w:t>
      </w:r>
      <w:r w:rsidRPr="00BC2C8D">
        <w:rPr>
          <w:rFonts w:ascii="Times New Roman" w:hAnsi="Times New Roman" w:cs="Times New Roman"/>
          <w:szCs w:val="24"/>
          <w:lang w:eastAsia="en-US"/>
        </w:rPr>
        <w:t xml:space="preserve"> ale także, pod warunkiem systematycznej realizacji monitoringu strefy brzegowej, pozwala na lepsze kontrolowanie czy i jak założenia tej polityki są realizowane. Należy przy tym podkreślić, że proponowana zmiana nie spowoduje konieczności zmiany rozporządzenia wydanego na podstawie art. 37</w:t>
      </w:r>
      <w:r w:rsidRPr="00BC2C8D">
        <w:rPr>
          <w:rFonts w:ascii="Times New Roman" w:hAnsi="Times New Roman" w:cs="Times New Roman"/>
          <w:szCs w:val="24"/>
        </w:rPr>
        <w:t xml:space="preserve"> </w:t>
      </w:r>
      <w:r w:rsidRPr="00BC2C8D">
        <w:rPr>
          <w:rFonts w:ascii="Times New Roman" w:hAnsi="Times New Roman" w:cs="Times New Roman"/>
          <w:szCs w:val="24"/>
          <w:lang w:eastAsia="en-US"/>
        </w:rPr>
        <w:t xml:space="preserve">ust. 1d tej ustawy. </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lang w:eastAsia="en-US"/>
        </w:rPr>
        <w:t xml:space="preserve">Zmiany przewidziane w art. 3 pkt </w:t>
      </w:r>
      <w:r w:rsidRPr="00BC2C8D">
        <w:rPr>
          <w:rFonts w:ascii="Times New Roman" w:hAnsi="Times New Roman" w:cs="Times New Roman"/>
          <w:szCs w:val="24"/>
        </w:rPr>
        <w:t>4</w:t>
      </w:r>
      <w:r w:rsidR="00C16203">
        <w:rPr>
          <w:rFonts w:ascii="Times New Roman" w:hAnsi="Times New Roman" w:cs="Times New Roman"/>
          <w:szCs w:val="24"/>
          <w:lang w:eastAsia="en-US"/>
        </w:rPr>
        <w:t>–</w:t>
      </w:r>
      <w:r w:rsidRPr="00BC2C8D">
        <w:rPr>
          <w:rFonts w:ascii="Times New Roman" w:hAnsi="Times New Roman" w:cs="Times New Roman"/>
          <w:szCs w:val="24"/>
        </w:rPr>
        <w:t>6</w:t>
      </w:r>
      <w:r w:rsidRPr="00BC2C8D">
        <w:rPr>
          <w:rFonts w:ascii="Times New Roman" w:hAnsi="Times New Roman" w:cs="Times New Roman"/>
          <w:szCs w:val="24"/>
          <w:lang w:eastAsia="en-US"/>
        </w:rPr>
        <w:t xml:space="preserve"> dotyczą planowania i zagospodarowania przestrzennego polskich obszarów morskich.</w:t>
      </w:r>
    </w:p>
    <w:p w:rsidR="00C665A3" w:rsidRPr="00BC2C8D" w:rsidRDefault="00C665A3" w:rsidP="00BC2C8D">
      <w:pPr>
        <w:pStyle w:val="NIEARTTEKSTtekstnieartykuowanynppodstprawnarozplubpreambua"/>
        <w:ind w:firstLine="0"/>
        <w:rPr>
          <w:rFonts w:ascii="Times New Roman" w:hAnsi="Times New Roman" w:cs="Times New Roman"/>
          <w:szCs w:val="24"/>
        </w:rPr>
      </w:pPr>
      <w:r w:rsidRPr="00BC2C8D">
        <w:rPr>
          <w:rFonts w:ascii="Times New Roman" w:hAnsi="Times New Roman" w:cs="Times New Roman"/>
          <w:szCs w:val="24"/>
        </w:rPr>
        <w:t xml:space="preserve">Projektowany art. 37a ust. 1 zakłada, że plany zagospodarowania przestrzennego morskich wód wewnętrznych, morza terytorialnego i wyłącznej strefy ekonomicznej przyjmować będzie Rada Ministrów w drodze rozporządzenia, a nie </w:t>
      </w:r>
      <w:r w:rsidR="00C16203">
        <w:rPr>
          <w:rFonts w:ascii="Times New Roman" w:hAnsi="Times New Roman" w:cs="Times New Roman"/>
          <w:szCs w:val="24"/>
        </w:rPr>
        <w:t>–</w:t>
      </w:r>
      <w:r w:rsidR="00C16203" w:rsidRPr="00BC2C8D">
        <w:rPr>
          <w:rFonts w:ascii="Times New Roman" w:hAnsi="Times New Roman" w:cs="Times New Roman"/>
          <w:szCs w:val="24"/>
        </w:rPr>
        <w:t xml:space="preserve"> </w:t>
      </w:r>
      <w:r w:rsidRPr="00BC2C8D">
        <w:rPr>
          <w:rFonts w:ascii="Times New Roman" w:hAnsi="Times New Roman" w:cs="Times New Roman"/>
          <w:szCs w:val="24"/>
        </w:rPr>
        <w:t xml:space="preserve">jak to jest obecnie </w:t>
      </w:r>
      <w:r w:rsidR="00C16203">
        <w:rPr>
          <w:rFonts w:ascii="Times New Roman" w:hAnsi="Times New Roman" w:cs="Times New Roman"/>
          <w:szCs w:val="24"/>
        </w:rPr>
        <w:t>–</w:t>
      </w:r>
      <w:r w:rsidRPr="00BC2C8D">
        <w:rPr>
          <w:rFonts w:ascii="Times New Roman" w:hAnsi="Times New Roman" w:cs="Times New Roman"/>
          <w:szCs w:val="24"/>
        </w:rPr>
        <w:t xml:space="preserve"> </w:t>
      </w:r>
      <w:r w:rsidR="00CC36CD">
        <w:rPr>
          <w:rFonts w:ascii="Times New Roman" w:hAnsi="Times New Roman" w:cs="Times New Roman"/>
          <w:szCs w:val="24"/>
        </w:rPr>
        <w:t>m</w:t>
      </w:r>
      <w:r w:rsidRPr="00BC2C8D">
        <w:rPr>
          <w:rFonts w:ascii="Times New Roman" w:hAnsi="Times New Roman" w:cs="Times New Roman"/>
          <w:szCs w:val="24"/>
        </w:rPr>
        <w:t xml:space="preserve">inister właściwy do spraw gospodarki morskiej w porozumieniu z poszczególnymi ministrami. Zmiana ta ma na celu podkreślenie rangi przedmiotowego rozporządzenia. </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lang w:eastAsia="en-US"/>
        </w:rPr>
        <w:t>Zaproponowane nowe brzmienie art. 37a ust. 2 pkt 1 oraz art. 37a ust. 3 ustawy o obszarach morskich Rzeczypospolitej Polskiej i administracji morskiej, precyzuje dotychczas obowiązujące przepisy odnoszące się do funkcji podstawowej</w:t>
      </w:r>
      <w:r w:rsidRPr="00BC2C8D">
        <w:rPr>
          <w:rFonts w:ascii="Times New Roman" w:hAnsi="Times New Roman" w:cs="Times New Roman"/>
          <w:szCs w:val="24"/>
        </w:rPr>
        <w:t xml:space="preserve"> </w:t>
      </w:r>
      <w:r w:rsidRPr="00BC2C8D">
        <w:rPr>
          <w:rFonts w:ascii="Times New Roman" w:hAnsi="Times New Roman" w:cs="Times New Roman"/>
          <w:szCs w:val="24"/>
          <w:lang w:eastAsia="en-US"/>
        </w:rPr>
        <w:t xml:space="preserve">oraz dopuszczalnych, jako rozstrzygnięć morskich planów zagospodarowania przestrzennego, nie ograniczając jednocześnie katalogu funkcji dopuszczalnych dla danego obszaru wyłącznie do takich funkcji, które z osobna nie zakłócają jego wiodącego przeznaczenia określonego przez funkcję podstawową. </w:t>
      </w:r>
    </w:p>
    <w:p w:rsidR="00C665A3" w:rsidRPr="00BC2C8D" w:rsidRDefault="00C665A3" w:rsidP="00BC2C8D">
      <w:pPr>
        <w:pStyle w:val="NIEARTTEKSTtekstnieartykuowanynppodstprawnarozplubpreambua"/>
        <w:ind w:firstLine="0"/>
        <w:rPr>
          <w:rFonts w:ascii="Times New Roman" w:hAnsi="Times New Roman" w:cs="Times New Roman"/>
          <w:szCs w:val="24"/>
        </w:rPr>
      </w:pPr>
      <w:r w:rsidRPr="00BC2C8D">
        <w:rPr>
          <w:rFonts w:ascii="Times New Roman" w:hAnsi="Times New Roman" w:cs="Times New Roman"/>
          <w:szCs w:val="24"/>
          <w:lang w:eastAsia="en-US"/>
        </w:rPr>
        <w:t>W projektowanym przepisie art. 37a ust. 3a ustawy o obszarach morskich Rzeczypospolitej Polskiej i administracji morskiej, wskazano, że działania, których wyłącznym celem jest obronność lub bezpieczeństwo państwa mogą być prowadzone niezależnie od rozstrzygnięć planu,</w:t>
      </w:r>
      <w:r w:rsidRPr="00BC2C8D">
        <w:rPr>
          <w:rFonts w:ascii="Times New Roman" w:hAnsi="Times New Roman" w:cs="Times New Roman"/>
          <w:szCs w:val="24"/>
        </w:rPr>
        <w:t xml:space="preserve"> </w:t>
      </w:r>
      <w:r w:rsidRPr="00BC2C8D">
        <w:rPr>
          <w:rFonts w:ascii="Times New Roman" w:hAnsi="Times New Roman" w:cs="Times New Roman"/>
          <w:szCs w:val="24"/>
          <w:lang w:eastAsia="en-US"/>
        </w:rPr>
        <w:t xml:space="preserve">w tym funkcji podstawowych i dopuszczalnych. Przepis jest zgodny z Konstytucją Rzeczypospolitej Polskiej, której art. 5 określający podstawowe funkcje państwa, na pierwszym miejscu wymienia, że Rzeczpospolita Polska strzeże niepodległości i nienaruszalności swojego terytorium. Dodatkowo jest on zgodny art. 2 ust. 2 </w:t>
      </w:r>
      <w:r w:rsidRPr="00BC2C8D">
        <w:rPr>
          <w:rFonts w:ascii="Times New Roman" w:hAnsi="Times New Roman" w:cs="Times New Roman"/>
          <w:szCs w:val="24"/>
        </w:rPr>
        <w:t>d</w:t>
      </w:r>
      <w:r w:rsidRPr="00BC2C8D">
        <w:rPr>
          <w:rFonts w:ascii="Times New Roman" w:hAnsi="Times New Roman" w:cs="Times New Roman"/>
          <w:szCs w:val="24"/>
          <w:lang w:eastAsia="en-US"/>
        </w:rPr>
        <w:t>yrektywy Parlamentu Europejskiego i Rady 2014/89/UE z dnia 23 lipca 2014 r. ustanawiającej ramy planowania przestrzennego obszarów morskich</w:t>
      </w:r>
      <w:r w:rsidRPr="00BC2C8D">
        <w:rPr>
          <w:rFonts w:ascii="Times New Roman" w:hAnsi="Times New Roman" w:cs="Times New Roman"/>
          <w:szCs w:val="24"/>
        </w:rPr>
        <w:t xml:space="preserve"> (Dz. </w:t>
      </w:r>
      <w:r w:rsidRPr="00BC2C8D">
        <w:rPr>
          <w:rFonts w:ascii="Times New Roman" w:hAnsi="Times New Roman" w:cs="Times New Roman"/>
          <w:szCs w:val="24"/>
        </w:rPr>
        <w:lastRenderedPageBreak/>
        <w:t>Urz. UE L 257 z 28.08.2014, str. 135)</w:t>
      </w:r>
      <w:r w:rsidRPr="00BC2C8D">
        <w:rPr>
          <w:rFonts w:ascii="Times New Roman" w:hAnsi="Times New Roman" w:cs="Times New Roman"/>
          <w:szCs w:val="24"/>
          <w:lang w:eastAsia="en-US"/>
        </w:rPr>
        <w:t>, stanowiącym, że niniejsza dyrektywa nie ma zastosowania do działań, których wyłącznym celem jest obrona lub bezpieczeństwo narodowe. Przepisy odrębne stanowiące podstawę do działań, o których mowa w projektowanym ust. 3a art. 37a ustawy o obszarach morskich Rzeczypospolitej Polskiej i administracji morskiej, to w szczególności przepisy wydane na podstawie ustawy z dnia 21 listopada 1967 r. o powszechnym obowiązku obrony Rzeczypospolitej Polskiej (Dz. U. z 2018 r. poz. 1459,</w:t>
      </w:r>
      <w:r w:rsidRPr="00BC2C8D">
        <w:rPr>
          <w:rFonts w:ascii="Times New Roman" w:hAnsi="Times New Roman" w:cs="Times New Roman"/>
          <w:szCs w:val="24"/>
        </w:rPr>
        <w:t xml:space="preserve"> z </w:t>
      </w:r>
      <w:proofErr w:type="spellStart"/>
      <w:r w:rsidRPr="00BC2C8D">
        <w:rPr>
          <w:rFonts w:ascii="Times New Roman" w:hAnsi="Times New Roman" w:cs="Times New Roman"/>
          <w:szCs w:val="24"/>
        </w:rPr>
        <w:t>późn</w:t>
      </w:r>
      <w:proofErr w:type="spellEnd"/>
      <w:r w:rsidRPr="00BC2C8D">
        <w:rPr>
          <w:rFonts w:ascii="Times New Roman" w:hAnsi="Times New Roman" w:cs="Times New Roman"/>
          <w:szCs w:val="24"/>
        </w:rPr>
        <w:t>. zm.</w:t>
      </w:r>
      <w:r w:rsidRPr="00BC2C8D">
        <w:rPr>
          <w:rFonts w:ascii="Times New Roman" w:hAnsi="Times New Roman" w:cs="Times New Roman"/>
          <w:szCs w:val="24"/>
          <w:lang w:eastAsia="en-US"/>
        </w:rPr>
        <w:t>).</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lang w:eastAsia="en-US"/>
        </w:rPr>
        <w:t>Nowe brzmienie art. 37f ust. 3 ustawy o obszarach morskich Rzeczypospolitej Polskiej i administracji morskiej, wynika z uchylenia art. 3 ust. 1 pkt 5 ustawy z dnia 3 października 2008 r. o udostępnianiu informacji o środowisku i jego ochronie, udziale społeczeństwa w ochronie środowiska oraz o ocenach oddziaływania na środowisko</w:t>
      </w:r>
      <w:r w:rsidRPr="00BC2C8D">
        <w:rPr>
          <w:rFonts w:ascii="Times New Roman" w:hAnsi="Times New Roman" w:cs="Times New Roman"/>
          <w:szCs w:val="24"/>
        </w:rPr>
        <w:t xml:space="preserve"> (Dz.</w:t>
      </w:r>
      <w:r w:rsidR="00744307">
        <w:rPr>
          <w:rFonts w:ascii="Times New Roman" w:hAnsi="Times New Roman" w:cs="Times New Roman"/>
          <w:szCs w:val="24"/>
        </w:rPr>
        <w:t xml:space="preserve"> </w:t>
      </w:r>
      <w:r w:rsidRPr="00BC2C8D">
        <w:rPr>
          <w:rFonts w:ascii="Times New Roman" w:hAnsi="Times New Roman" w:cs="Times New Roman"/>
          <w:szCs w:val="24"/>
        </w:rPr>
        <w:t xml:space="preserve">U. z 2018 r. poz. 2081, z </w:t>
      </w:r>
      <w:proofErr w:type="spellStart"/>
      <w:r w:rsidRPr="00BC2C8D">
        <w:rPr>
          <w:rFonts w:ascii="Times New Roman" w:hAnsi="Times New Roman" w:cs="Times New Roman"/>
          <w:szCs w:val="24"/>
        </w:rPr>
        <w:t>późn</w:t>
      </w:r>
      <w:proofErr w:type="spellEnd"/>
      <w:r w:rsidRPr="00BC2C8D">
        <w:rPr>
          <w:rFonts w:ascii="Times New Roman" w:hAnsi="Times New Roman" w:cs="Times New Roman"/>
          <w:szCs w:val="24"/>
        </w:rPr>
        <w:t>. zm.)</w:t>
      </w:r>
      <w:r w:rsidRPr="00BC2C8D">
        <w:rPr>
          <w:rFonts w:ascii="Times New Roman" w:hAnsi="Times New Roman" w:cs="Times New Roman"/>
          <w:szCs w:val="24"/>
          <w:lang w:eastAsia="en-US"/>
        </w:rPr>
        <w:t xml:space="preserve"> oraz dodania nowego art. 62a do wyżej wymienionej ustawy.</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rPr>
        <w:t xml:space="preserve">Projektowany art. 3 pkt 6 lit. a oraz b zakładają zmianę </w:t>
      </w:r>
      <w:r w:rsidRPr="00BC2C8D">
        <w:rPr>
          <w:rFonts w:ascii="Times New Roman" w:hAnsi="Times New Roman" w:cs="Times New Roman"/>
          <w:szCs w:val="24"/>
          <w:lang w:eastAsia="en-US"/>
        </w:rPr>
        <w:t xml:space="preserve">art. 37g ustawy o obszarach morskich Rzeczypospolitej Polskiej i administracji morskiej </w:t>
      </w:r>
      <w:r w:rsidRPr="00BC2C8D">
        <w:rPr>
          <w:rFonts w:ascii="Times New Roman" w:hAnsi="Times New Roman" w:cs="Times New Roman"/>
          <w:szCs w:val="24"/>
        </w:rPr>
        <w:t>niezbędną</w:t>
      </w:r>
      <w:r w:rsidRPr="00BC2C8D">
        <w:rPr>
          <w:rFonts w:ascii="Times New Roman" w:hAnsi="Times New Roman" w:cs="Times New Roman"/>
          <w:szCs w:val="24"/>
          <w:lang w:eastAsia="en-US"/>
        </w:rPr>
        <w:t xml:space="preserve"> w celu uniknięcia sytuacji wstrzymania procesu przyjmowania projektów planów zagospodarowania przestrzennego morskich wód wewnętrznych, morza terytorialnego i wyłącznej strefy ekonomicznej, przez sprzeczne warunki uzgodnienia projektu planu przez organy gmin, które mogą prezentować odmienne interesy. </w:t>
      </w:r>
    </w:p>
    <w:p w:rsidR="00C665A3" w:rsidRPr="00BC2C8D" w:rsidRDefault="00C665A3" w:rsidP="00BC2C8D">
      <w:pPr>
        <w:pStyle w:val="NIEARTTEKSTtekstnieartykuowanynppodstprawnarozplubpreambua"/>
        <w:ind w:firstLine="0"/>
        <w:rPr>
          <w:rFonts w:ascii="Times New Roman" w:hAnsi="Times New Roman" w:cs="Times New Roman"/>
          <w:szCs w:val="24"/>
        </w:rPr>
      </w:pPr>
      <w:r w:rsidRPr="00BC2C8D">
        <w:rPr>
          <w:rFonts w:ascii="Times New Roman" w:hAnsi="Times New Roman" w:cs="Times New Roman"/>
          <w:szCs w:val="24"/>
          <w:lang w:eastAsia="en-US"/>
        </w:rPr>
        <w:t xml:space="preserve">Art. 3 pkt </w:t>
      </w:r>
      <w:r w:rsidRPr="00BC2C8D">
        <w:rPr>
          <w:rFonts w:ascii="Times New Roman" w:hAnsi="Times New Roman" w:cs="Times New Roman"/>
          <w:szCs w:val="24"/>
        </w:rPr>
        <w:t>7</w:t>
      </w:r>
      <w:r w:rsidRPr="00BC2C8D">
        <w:rPr>
          <w:rFonts w:ascii="Times New Roman" w:hAnsi="Times New Roman" w:cs="Times New Roman"/>
          <w:szCs w:val="24"/>
          <w:lang w:eastAsia="en-US"/>
        </w:rPr>
        <w:t xml:space="preserve"> wynika z przewidzianych w projekcie zmian ustawy o portach</w:t>
      </w:r>
      <w:r w:rsidRPr="00BC2C8D">
        <w:rPr>
          <w:rFonts w:ascii="Times New Roman" w:hAnsi="Times New Roman" w:cs="Times New Roman"/>
          <w:szCs w:val="24"/>
        </w:rPr>
        <w:t xml:space="preserve">. </w:t>
      </w:r>
      <w:r w:rsidRPr="00BC2C8D">
        <w:rPr>
          <w:rFonts w:ascii="Times New Roman" w:hAnsi="Times New Roman" w:cs="Times New Roman"/>
          <w:szCs w:val="24"/>
          <w:lang w:eastAsia="en-US"/>
        </w:rPr>
        <w:t>W lit. a wskazuje się</w:t>
      </w:r>
      <w:r w:rsidRPr="00BC2C8D">
        <w:rPr>
          <w:rFonts w:ascii="Times New Roman" w:hAnsi="Times New Roman" w:cs="Times New Roman"/>
          <w:szCs w:val="24"/>
        </w:rPr>
        <w:t xml:space="preserve"> kto</w:t>
      </w:r>
      <w:r w:rsidRPr="00BC2C8D">
        <w:rPr>
          <w:rFonts w:ascii="Times New Roman" w:hAnsi="Times New Roman" w:cs="Times New Roman"/>
          <w:szCs w:val="24"/>
          <w:lang w:eastAsia="en-US"/>
        </w:rPr>
        <w:t xml:space="preserve"> wykonuje zadania podmiotu zarządzającego, w sytuacjach, gdy zadań tych nie wykonuje gmina. </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lang w:eastAsia="en-US"/>
        </w:rPr>
        <w:t xml:space="preserve">Ponadto w lit. </w:t>
      </w:r>
      <w:r w:rsidRPr="00BC2C8D">
        <w:rPr>
          <w:rFonts w:ascii="Times New Roman" w:hAnsi="Times New Roman" w:cs="Times New Roman"/>
          <w:szCs w:val="24"/>
        </w:rPr>
        <w:t>b</w:t>
      </w:r>
      <w:r w:rsidRPr="00BC2C8D">
        <w:rPr>
          <w:rFonts w:ascii="Times New Roman" w:hAnsi="Times New Roman" w:cs="Times New Roman"/>
          <w:szCs w:val="24"/>
          <w:lang w:eastAsia="en-US"/>
        </w:rPr>
        <w:t xml:space="preserve"> wskazano, że dyrektor urzędu morskiego wykonuje zadania organu, o którym mowa w art. 17 rozporządzenia 2017/352. Ze względu na zakres właściwości terytorialnej dyrektorów urzędów morskich, przepis ten dotyczy obecnie jedynie dyrektorów urzędów morskich w Szczecinie oraz Gdyni, w których właściwości znajdują się porty należące do sieci TEN-T, objęte zakresem rozporządzenia 2017/352. W szczególności chodzi tutaj o kompetencje w zakresie rozpatrywania skarg w zakresie stosowania rozporządzenia 2017/352 oraz nakładania kar pieniężnych w przypadku stwierdzenia naruszeń.</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lang w:eastAsia="en-US"/>
        </w:rPr>
        <w:t xml:space="preserve">W art. 3 pkt </w:t>
      </w:r>
      <w:r w:rsidRPr="00BC2C8D">
        <w:rPr>
          <w:rFonts w:ascii="Times New Roman" w:hAnsi="Times New Roman" w:cs="Times New Roman"/>
          <w:szCs w:val="24"/>
        </w:rPr>
        <w:t>9</w:t>
      </w:r>
      <w:r w:rsidRPr="00BC2C8D">
        <w:rPr>
          <w:rFonts w:ascii="Times New Roman" w:hAnsi="Times New Roman" w:cs="Times New Roman"/>
          <w:szCs w:val="24"/>
          <w:lang w:eastAsia="en-US"/>
        </w:rPr>
        <w:t xml:space="preserve"> doprecyzowano, iż przystań morska nie może znajdować się w granicach portu morskiego. Sytuacja taka nie jest obecnie wyraźnie uregulowana, natomiast </w:t>
      </w:r>
      <w:r w:rsidRPr="00BC2C8D">
        <w:rPr>
          <w:rFonts w:ascii="Times New Roman" w:hAnsi="Times New Roman" w:cs="Times New Roman"/>
          <w:szCs w:val="24"/>
          <w:lang w:eastAsia="en-US"/>
        </w:rPr>
        <w:lastRenderedPageBreak/>
        <w:t>potencjalne tworzenie przystani w granicach portu powodowałoby, iż w odniesieniu do danego obszaru istniałyby dwa podmioty zarządzające. Wskazać należy jednak, że obecn</w:t>
      </w:r>
      <w:r w:rsidR="00744307">
        <w:rPr>
          <w:rFonts w:ascii="Times New Roman" w:hAnsi="Times New Roman" w:cs="Times New Roman"/>
          <w:szCs w:val="24"/>
          <w:lang w:eastAsia="en-US"/>
        </w:rPr>
        <w:t>i</w:t>
      </w:r>
      <w:r w:rsidRPr="00BC2C8D">
        <w:rPr>
          <w:rFonts w:ascii="Times New Roman" w:hAnsi="Times New Roman" w:cs="Times New Roman"/>
          <w:szCs w:val="24"/>
          <w:lang w:eastAsia="en-US"/>
        </w:rPr>
        <w:t xml:space="preserve">e nie występują takie sytuacje. </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lang w:eastAsia="en-US"/>
        </w:rPr>
        <w:t xml:space="preserve">Art. 3 pkt </w:t>
      </w:r>
      <w:r w:rsidRPr="00BC2C8D">
        <w:rPr>
          <w:rFonts w:ascii="Times New Roman" w:hAnsi="Times New Roman" w:cs="Times New Roman"/>
          <w:szCs w:val="24"/>
        </w:rPr>
        <w:t>8 oraz 10</w:t>
      </w:r>
      <w:r w:rsidRPr="00BC2C8D">
        <w:rPr>
          <w:rFonts w:ascii="Times New Roman" w:hAnsi="Times New Roman" w:cs="Times New Roman"/>
          <w:szCs w:val="24"/>
          <w:lang w:eastAsia="en-US"/>
        </w:rPr>
        <w:t>–1</w:t>
      </w:r>
      <w:r w:rsidRPr="00BC2C8D">
        <w:rPr>
          <w:rFonts w:ascii="Times New Roman" w:hAnsi="Times New Roman" w:cs="Times New Roman"/>
          <w:szCs w:val="24"/>
        </w:rPr>
        <w:t>2</w:t>
      </w:r>
      <w:r w:rsidRPr="00BC2C8D">
        <w:rPr>
          <w:rFonts w:ascii="Times New Roman" w:hAnsi="Times New Roman" w:cs="Times New Roman"/>
          <w:szCs w:val="24"/>
          <w:lang w:eastAsia="en-US"/>
        </w:rPr>
        <w:t xml:space="preserve"> przewidują procedurę składania i rozpatrywania skarg na naruszenia rozporządzenia 2017/352. Rozwiązania te oparto na istniejących obecnie procedurach związanych z wykonywaniem przez dyrektorów urzędów morskich zadań organu krajowego, o którym mowa w rozporządzeniu Parlamentu Europejskiego i Rady (UE) nr 1177/2010 z dnia 24 listopada 2010 r. o prawach pasażerów podróżujących drogą morską i drogą wodną śródlądową oraz zmieniającego rozporządzenie (WE) nr 2006/2004 (Dz. Urz. UE L 334 z 17.12.2010, str. 1, z </w:t>
      </w:r>
      <w:proofErr w:type="spellStart"/>
      <w:r w:rsidRPr="00BC2C8D">
        <w:rPr>
          <w:rFonts w:ascii="Times New Roman" w:hAnsi="Times New Roman" w:cs="Times New Roman"/>
          <w:szCs w:val="24"/>
          <w:lang w:eastAsia="en-US"/>
        </w:rPr>
        <w:t>późn</w:t>
      </w:r>
      <w:proofErr w:type="spellEnd"/>
      <w:r w:rsidRPr="00BC2C8D">
        <w:rPr>
          <w:rFonts w:ascii="Times New Roman" w:hAnsi="Times New Roman" w:cs="Times New Roman"/>
          <w:szCs w:val="24"/>
          <w:lang w:eastAsia="en-US"/>
        </w:rPr>
        <w:t xml:space="preserve">. zm.). Zgodnie z rozporządzeniem 2017/352 projekt przewiduje sankcje za naruszenie postanowień tego rozporządzenia. Mając na uwadze potencjalne zyski z naruszeń rozporządzenia 2017/352 i przewidzianą w tym rozporządzeniu konieczność, by były one odstraszające, przewidziano możliwość nałożenia kary pieniężnej do 1 000 000 zł. </w:t>
      </w:r>
    </w:p>
    <w:p w:rsidR="00C665A3" w:rsidRPr="00BC2C8D" w:rsidRDefault="00C665A3" w:rsidP="00BC2C8D">
      <w:pPr>
        <w:pStyle w:val="NIEARTTEKSTtekstnieartykuowanynppodstprawnarozplubpreambua"/>
        <w:ind w:firstLine="0"/>
        <w:rPr>
          <w:rFonts w:ascii="Times New Roman" w:hAnsi="Times New Roman" w:cs="Times New Roman"/>
          <w:szCs w:val="24"/>
          <w:lang w:eastAsia="en-US"/>
        </w:rPr>
      </w:pPr>
      <w:r w:rsidRPr="00BC2C8D">
        <w:rPr>
          <w:rFonts w:ascii="Times New Roman" w:hAnsi="Times New Roman" w:cs="Times New Roman"/>
          <w:szCs w:val="24"/>
          <w:lang w:eastAsia="en-US"/>
        </w:rPr>
        <w:t xml:space="preserve">Karze tej podlegać będzie podmiot zarządzający </w:t>
      </w:r>
      <w:r w:rsidRPr="00BC2C8D">
        <w:rPr>
          <w:rFonts w:ascii="Times New Roman" w:hAnsi="Times New Roman" w:cs="Times New Roman"/>
          <w:szCs w:val="24"/>
        </w:rPr>
        <w:t xml:space="preserve">w </w:t>
      </w:r>
      <w:r w:rsidRPr="00BC2C8D">
        <w:rPr>
          <w:rFonts w:ascii="Times New Roman" w:hAnsi="Times New Roman" w:cs="Times New Roman"/>
          <w:szCs w:val="24"/>
          <w:lang w:eastAsia="en-US"/>
        </w:rPr>
        <w:t>rozumieniu rozporządzenia nr 2017/352, w przypadku naruszenia obowiązków lub warunków określonych w następujących przepisach rozporządzenia nr 2017/352:</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4 ust. 2, 4–6, dotyczących obowiązku określenia minimalnych wymogów i ich publikacji. W konsekwencji karze podlegać będzie podmiot zarządzający, który określi inne niż przewidziane w art. 4 wymogi lub naruszy przewidziane w tym artykule obowiązki informacyjne;</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w:t>
      </w:r>
      <w:r w:rsidR="00C665A3" w:rsidRPr="00867E5A">
        <w:rPr>
          <w:rFonts w:ascii="Times New Roman" w:hAnsi="Times New Roman" w:cs="Times New Roman"/>
          <w:szCs w:val="24"/>
        </w:rPr>
        <w:t xml:space="preserve"> </w:t>
      </w:r>
      <w:r w:rsidR="00C665A3" w:rsidRPr="00867E5A">
        <w:rPr>
          <w:rFonts w:ascii="Times New Roman" w:hAnsi="Times New Roman" w:cs="Times New Roman"/>
          <w:szCs w:val="24"/>
          <w:lang w:eastAsia="en-US"/>
        </w:rPr>
        <w:t>5, określającego procedurę zapewniania zgodności z minimalnymi wymogami;</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6</w:t>
      </w:r>
      <w:r w:rsidR="00C665A3" w:rsidRPr="00867E5A">
        <w:rPr>
          <w:rFonts w:ascii="Times New Roman" w:hAnsi="Times New Roman" w:cs="Times New Roman"/>
          <w:szCs w:val="24"/>
        </w:rPr>
        <w:t xml:space="preserve"> ust. 1</w:t>
      </w:r>
      <w:r>
        <w:rPr>
          <w:rFonts w:ascii="Times New Roman" w:hAnsi="Times New Roman" w:cs="Times New Roman"/>
          <w:szCs w:val="24"/>
        </w:rPr>
        <w:t>–</w:t>
      </w:r>
      <w:r w:rsidR="00C665A3" w:rsidRPr="00867E5A">
        <w:rPr>
          <w:rFonts w:ascii="Times New Roman" w:hAnsi="Times New Roman" w:cs="Times New Roman"/>
          <w:szCs w:val="24"/>
        </w:rPr>
        <w:t>6</w:t>
      </w:r>
      <w:r w:rsidR="00C665A3" w:rsidRPr="00867E5A">
        <w:rPr>
          <w:rFonts w:ascii="Times New Roman" w:hAnsi="Times New Roman" w:cs="Times New Roman"/>
          <w:szCs w:val="24"/>
          <w:lang w:eastAsia="en-US"/>
        </w:rPr>
        <w:t>, określającego procedurę ograniczenia liczby dostawców usług portowych;</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8 ust. 1 oraz 3, przewidujących zasady, na jakich podmiot zarządzający może świadczyć usługę portową samodzielnie;</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9 ust. 2 i 4, przewidujących obowiązki podmiotu zarządzającego w zakresie ochrony praw pracowniczych;</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11 ust. 1–7, określających zasady dotyczące przejrzystości finansowej podmiotu zarządzającego portem lub świadczącego usługi portowe;</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12, przewidującego zasady dotyczące pobierania opłat z tytułu usług portowych;</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lastRenderedPageBreak/>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13, przewidującego zasady dotyczące pobierania opłat za korzystanie z infrastruktury portowej;</w:t>
      </w:r>
    </w:p>
    <w:p w:rsidR="00C665A3" w:rsidRPr="00867E5A" w:rsidRDefault="00C16203" w:rsidP="00867E5A">
      <w:pPr>
        <w:pStyle w:val="NIEARTTEKSTtekstnieartykuowanynppodstprawnarozplubpreambua"/>
        <w:ind w:left="284" w:hanging="284"/>
        <w:rPr>
          <w:rFonts w:ascii="Times New Roman" w:hAnsi="Times New Roman" w:cs="Times New Roman"/>
          <w:szCs w:val="24"/>
          <w:lang w:eastAsia="en-US"/>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 14, przewidującego obowiązki dostawców usług portowych w zakresie szkolenia personelu;</w:t>
      </w:r>
    </w:p>
    <w:p w:rsidR="00C665A3" w:rsidRPr="00867E5A" w:rsidRDefault="00C16203" w:rsidP="00867E5A">
      <w:pPr>
        <w:pStyle w:val="NIEARTTEKSTtekstnieartykuowanynppodstprawnarozplubpreambua"/>
        <w:ind w:left="284" w:hanging="284"/>
        <w:rPr>
          <w:rFonts w:ascii="Times New Roman" w:hAnsi="Times New Roman" w:cs="Times New Roman"/>
          <w:szCs w:val="24"/>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867E5A">
        <w:rPr>
          <w:rFonts w:ascii="Times New Roman" w:hAnsi="Times New Roman" w:cs="Times New Roman"/>
          <w:szCs w:val="24"/>
          <w:lang w:eastAsia="en-US"/>
        </w:rPr>
        <w:t>art.</w:t>
      </w:r>
      <w:r w:rsidR="00867E5A">
        <w:rPr>
          <w:rFonts w:ascii="Times New Roman" w:hAnsi="Times New Roman" w:cs="Times New Roman"/>
          <w:szCs w:val="24"/>
          <w:lang w:eastAsia="en-US"/>
        </w:rPr>
        <w:t xml:space="preserve"> </w:t>
      </w:r>
      <w:r w:rsidR="00C665A3" w:rsidRPr="00867E5A">
        <w:rPr>
          <w:rFonts w:ascii="Times New Roman" w:hAnsi="Times New Roman" w:cs="Times New Roman"/>
          <w:szCs w:val="24"/>
          <w:lang w:eastAsia="en-US"/>
        </w:rPr>
        <w:t>15, określającego zasady konsultacji z użytkownikami portu i innymi zainteresowanymi stronami.</w:t>
      </w:r>
      <w:r>
        <w:rPr>
          <w:rFonts w:ascii="Times New Roman" w:hAnsi="Times New Roman" w:cs="Times New Roman"/>
          <w:szCs w:val="24"/>
          <w:lang w:eastAsia="en-US"/>
        </w:rPr>
        <w:t xml:space="preserve"> </w:t>
      </w:r>
    </w:p>
    <w:p w:rsidR="00C665A3" w:rsidRPr="00867E5A" w:rsidRDefault="00C665A3" w:rsidP="00867E5A">
      <w:pPr>
        <w:pStyle w:val="ARTartustawynprozporzdzenia"/>
        <w:ind w:firstLine="0"/>
        <w:rPr>
          <w:rFonts w:ascii="Times New Roman" w:hAnsi="Times New Roman" w:cs="Times New Roman"/>
          <w:szCs w:val="24"/>
        </w:rPr>
      </w:pPr>
      <w:r w:rsidRPr="00867E5A">
        <w:rPr>
          <w:rFonts w:ascii="Times New Roman" w:hAnsi="Times New Roman" w:cs="Times New Roman"/>
          <w:szCs w:val="24"/>
        </w:rPr>
        <w:t>Karze tej podlegać będzie również dostawca usług portowych w rozumieniu rozporządzenia nr 2017/352, w przypadku naruszenia obowiązków lub warunków określonych w następujących przepisach rozporządzenia nr 2017/352:</w:t>
      </w:r>
    </w:p>
    <w:p w:rsidR="00C665A3" w:rsidRPr="00867E5A" w:rsidRDefault="00C16203" w:rsidP="00867E5A">
      <w:pPr>
        <w:pStyle w:val="ARTartustawynprozporzdzenia"/>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C665A3" w:rsidRPr="00867E5A">
        <w:rPr>
          <w:rFonts w:ascii="Times New Roman" w:hAnsi="Times New Roman" w:cs="Times New Roman"/>
          <w:szCs w:val="24"/>
        </w:rPr>
        <w:t>art. 8 ust. 3, przewidujących zasady, na jakich podmiot zarządzający może świadczyć usługę portową samodzielnie;</w:t>
      </w:r>
    </w:p>
    <w:p w:rsidR="00C665A3" w:rsidRPr="00867E5A" w:rsidRDefault="00C16203" w:rsidP="00867E5A">
      <w:pPr>
        <w:pStyle w:val="NIEARTTEKSTtekstnieartykuowanynppodstprawnarozplubpreambua"/>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C665A3" w:rsidRPr="00867E5A">
        <w:rPr>
          <w:rFonts w:ascii="Times New Roman" w:hAnsi="Times New Roman" w:cs="Times New Roman"/>
          <w:szCs w:val="24"/>
        </w:rPr>
        <w:t>art. 11 ust. 1–7, określających zasady dotyczące przejrzystości finansowej podmiotu zarządzającego portem lub świadczącego usługi portowe;</w:t>
      </w:r>
    </w:p>
    <w:p w:rsidR="00C665A3" w:rsidRPr="00867E5A" w:rsidRDefault="00C16203" w:rsidP="00867E5A">
      <w:pPr>
        <w:pStyle w:val="NIEARTTEKSTtekstnieartykuowanynppodstprawnarozplubpreambua"/>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C665A3" w:rsidRPr="00867E5A">
        <w:rPr>
          <w:rFonts w:ascii="Times New Roman" w:hAnsi="Times New Roman" w:cs="Times New Roman"/>
          <w:szCs w:val="24"/>
        </w:rPr>
        <w:t>art. 12, przewidującego zasady dotyczące pobierania opłat z tytułu usług portowych;</w:t>
      </w:r>
    </w:p>
    <w:p w:rsidR="00C665A3" w:rsidRPr="00867E5A" w:rsidRDefault="00C16203" w:rsidP="00867E5A">
      <w:pPr>
        <w:pStyle w:val="ARTartustawynprozporzdzenia"/>
        <w:ind w:left="284" w:hanging="284"/>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C665A3" w:rsidRPr="00867E5A">
        <w:rPr>
          <w:rFonts w:ascii="Times New Roman" w:hAnsi="Times New Roman" w:cs="Times New Roman"/>
          <w:szCs w:val="24"/>
        </w:rPr>
        <w:t>art. 14, przewidującego obowiązki dostawców usług portowych w zakresie szkolenia personelu;</w:t>
      </w:r>
    </w:p>
    <w:p w:rsidR="00C665A3" w:rsidRPr="00867E5A" w:rsidRDefault="00C16203" w:rsidP="00867E5A">
      <w:pPr>
        <w:pStyle w:val="ARTartustawynprozporzdzenia"/>
        <w:ind w:left="284" w:hanging="284"/>
        <w:rPr>
          <w:rFonts w:ascii="Times New Roman" w:hAnsi="Times New Roman" w:cs="Times New Roman"/>
          <w:szCs w:val="24"/>
          <w:lang w:eastAsia="en-US"/>
        </w:rPr>
      </w:pPr>
      <w:r>
        <w:rPr>
          <w:rFonts w:ascii="Times New Roman" w:hAnsi="Times New Roman" w:cs="Times New Roman"/>
          <w:szCs w:val="24"/>
        </w:rPr>
        <w:t>–</w:t>
      </w:r>
      <w:r>
        <w:rPr>
          <w:rFonts w:ascii="Times New Roman" w:hAnsi="Times New Roman" w:cs="Times New Roman"/>
          <w:szCs w:val="24"/>
        </w:rPr>
        <w:tab/>
      </w:r>
      <w:r w:rsidR="00C665A3" w:rsidRPr="00867E5A">
        <w:rPr>
          <w:rFonts w:ascii="Times New Roman" w:hAnsi="Times New Roman" w:cs="Times New Roman"/>
          <w:szCs w:val="24"/>
        </w:rPr>
        <w:t>art. 15 ust. 3 i 4, przewidującego obowiązek udostępniania użytkownikom portu informacji na temat charakteru i poziomu opłat z tytułu usługi portowej oraz nakładającego na dostawcę usług portowych obowiązek przestrzegania tajemnicy handlowej.</w:t>
      </w:r>
    </w:p>
    <w:p w:rsidR="00C665A3" w:rsidRPr="00867E5A" w:rsidRDefault="00C665A3" w:rsidP="00867E5A">
      <w:pPr>
        <w:pStyle w:val="NIEARTTEKSTtekstnieartykuowanynppodstprawnarozplubpreambua"/>
        <w:ind w:firstLine="0"/>
        <w:rPr>
          <w:rFonts w:ascii="Times New Roman" w:hAnsi="Times New Roman" w:cs="Times New Roman"/>
          <w:szCs w:val="24"/>
        </w:rPr>
      </w:pPr>
      <w:r w:rsidRPr="00867E5A">
        <w:rPr>
          <w:rFonts w:ascii="Times New Roman" w:hAnsi="Times New Roman" w:cs="Times New Roman"/>
          <w:szCs w:val="24"/>
          <w:lang w:eastAsia="en-US"/>
        </w:rPr>
        <w:t>Zgodnie z art. 57 ustawy o obszarach morskich, wysokość kar pieniężnych ustala dyrektor urzędu morskiego, z uwzględnieniem zakresu naruszenia, powtarzalności naruszeń lub korzyści finansowych uzyskanych z tytułu naruszenia.</w:t>
      </w:r>
    </w:p>
    <w:p w:rsidR="00C665A3" w:rsidRPr="00867E5A" w:rsidRDefault="00C665A3" w:rsidP="00867E5A">
      <w:pPr>
        <w:pStyle w:val="ARTartustawynprozporzdzenia"/>
        <w:ind w:firstLine="0"/>
        <w:rPr>
          <w:rFonts w:ascii="Times New Roman" w:hAnsi="Times New Roman" w:cs="Times New Roman"/>
          <w:szCs w:val="24"/>
        </w:rPr>
      </w:pPr>
      <w:r w:rsidRPr="00867E5A">
        <w:rPr>
          <w:rFonts w:ascii="Times New Roman" w:hAnsi="Times New Roman" w:cs="Times New Roman"/>
          <w:szCs w:val="24"/>
        </w:rPr>
        <w:t>W art. 3 pkt 13 i 14 proponuje się przepis epizodyczny, dostosowujący przepisy ustawy z dnia 21 marca 1991 r. o obszarach morskich Rzeczypospolitej Polskiej i administracji morskiej do faktycznych okresów niezbędnych do dokonania inwestycji na podstawie wydanych pozwoleń na wznoszenie sztucznych wysp. W celu określenia daty dziennej wyznaczającej zakres pozwoleń, do których przepis ten ma mieć zastosowanie przyjęto jako datę graniczną dzień 1 czerwca 2019</w:t>
      </w:r>
      <w:r w:rsidR="00744307">
        <w:rPr>
          <w:rFonts w:ascii="Times New Roman" w:hAnsi="Times New Roman" w:cs="Times New Roman"/>
          <w:szCs w:val="24"/>
        </w:rPr>
        <w:t xml:space="preserve"> </w:t>
      </w:r>
      <w:r w:rsidRPr="00867E5A">
        <w:rPr>
          <w:rFonts w:ascii="Times New Roman" w:hAnsi="Times New Roman" w:cs="Times New Roman"/>
          <w:szCs w:val="24"/>
        </w:rPr>
        <w:t>r.</w:t>
      </w:r>
      <w:r w:rsidR="00C16203">
        <w:rPr>
          <w:rFonts w:ascii="Times New Roman" w:hAnsi="Times New Roman" w:cs="Times New Roman"/>
          <w:szCs w:val="24"/>
        </w:rPr>
        <w:t xml:space="preserve"> </w:t>
      </w:r>
      <w:r w:rsidRPr="00867E5A">
        <w:rPr>
          <w:rFonts w:ascii="Times New Roman" w:hAnsi="Times New Roman" w:cs="Times New Roman"/>
          <w:szCs w:val="24"/>
        </w:rPr>
        <w:t>Wskazanie konkretnej daty zwiększa pewność obrotu prawnego i jakość tworzonego prawa.</w:t>
      </w:r>
      <w:r w:rsidR="00C16203">
        <w:rPr>
          <w:rFonts w:ascii="Times New Roman" w:hAnsi="Times New Roman" w:cs="Times New Roman"/>
          <w:szCs w:val="24"/>
        </w:rPr>
        <w:t xml:space="preserve"> </w:t>
      </w:r>
      <w:r w:rsidRPr="00867E5A">
        <w:rPr>
          <w:rFonts w:ascii="Times New Roman" w:hAnsi="Times New Roman" w:cs="Times New Roman"/>
          <w:szCs w:val="24"/>
        </w:rPr>
        <w:t xml:space="preserve">Zaproponowany termin </w:t>
      </w:r>
      <w:r w:rsidRPr="00867E5A">
        <w:rPr>
          <w:rFonts w:ascii="Times New Roman" w:hAnsi="Times New Roman" w:cs="Times New Roman"/>
          <w:szCs w:val="24"/>
        </w:rPr>
        <w:lastRenderedPageBreak/>
        <w:t>uwzględnienia prawa nabyte inwestorów OZE, którzy na dzień wejścia w życie niniejszej ustawy posiadali prawomocne i opłacone decyzje lokalizacyjnie wydane przez ministra właściwego ds. gospodarki morskiej.</w:t>
      </w:r>
      <w:r w:rsidR="00C16203">
        <w:rPr>
          <w:rFonts w:ascii="Times New Roman" w:hAnsi="Times New Roman" w:cs="Times New Roman"/>
          <w:szCs w:val="24"/>
        </w:rPr>
        <w:t xml:space="preserve"> </w:t>
      </w:r>
      <w:r w:rsidRPr="00867E5A">
        <w:rPr>
          <w:rFonts w:ascii="Times New Roman" w:hAnsi="Times New Roman" w:cs="Times New Roman"/>
          <w:szCs w:val="24"/>
        </w:rPr>
        <w:t>Zaproponowana data ta nie oddziałuje na istniejące stosunki prawne, a termin 1 czerwca 2019</w:t>
      </w:r>
      <w:r w:rsidR="00744307">
        <w:rPr>
          <w:rFonts w:ascii="Times New Roman" w:hAnsi="Times New Roman" w:cs="Times New Roman"/>
          <w:szCs w:val="24"/>
        </w:rPr>
        <w:t xml:space="preserve"> </w:t>
      </w:r>
      <w:r w:rsidRPr="00867E5A">
        <w:rPr>
          <w:rFonts w:ascii="Times New Roman" w:hAnsi="Times New Roman" w:cs="Times New Roman"/>
          <w:szCs w:val="24"/>
        </w:rPr>
        <w:t xml:space="preserve">r., jest zgodny z uchwałą </w:t>
      </w:r>
      <w:r w:rsidR="00744307">
        <w:rPr>
          <w:rFonts w:ascii="Times New Roman" w:hAnsi="Times New Roman" w:cs="Times New Roman"/>
          <w:szCs w:val="24"/>
        </w:rPr>
        <w:t>n</w:t>
      </w:r>
      <w:r w:rsidRPr="00867E5A">
        <w:rPr>
          <w:rFonts w:ascii="Times New Roman" w:hAnsi="Times New Roman" w:cs="Times New Roman"/>
          <w:szCs w:val="24"/>
        </w:rPr>
        <w:t>r 20 Rady Ministrów z dnia z dnia 18 lutego 2014 r. w sprawie zaleceń ujednolicenia terminów wejścia w życie niektórych aktów normatywnych (M.P. poz. 205).</w:t>
      </w:r>
    </w:p>
    <w:p w:rsidR="00C665A3" w:rsidRPr="00867E5A" w:rsidRDefault="00C665A3" w:rsidP="00867E5A">
      <w:pPr>
        <w:pStyle w:val="ARTartustawynprozporzdzenia"/>
        <w:ind w:firstLine="0"/>
        <w:rPr>
          <w:rFonts w:ascii="Times New Roman" w:hAnsi="Times New Roman" w:cs="Times New Roman"/>
          <w:szCs w:val="24"/>
          <w:lang w:eastAsia="en-US"/>
        </w:rPr>
      </w:pPr>
      <w:r w:rsidRPr="00867E5A">
        <w:rPr>
          <w:rFonts w:ascii="Times New Roman" w:hAnsi="Times New Roman" w:cs="Times New Roman"/>
          <w:szCs w:val="24"/>
        </w:rPr>
        <w:t>W uchwale tej Rada Ministrów wskazała w § 1, iż termin wejścia w życie ustawy w projektach ustaw przyjmowanych przez Radę Ministrów oraz termin wejścia w życie rozporządzeń Rady Ministrów, rozporządzeń Prezesa Rady Ministrów i rozporządzeń ministrów, jeżeli ustawa albo rozporządzenie zawiera przepisy określające warunki wykonywania działalności gospodarczej, powinien być wyznaczany na dzień 1 stycznia albo 1 czerwca.</w:t>
      </w:r>
    </w:p>
    <w:p w:rsidR="00C665A3" w:rsidRPr="00867E5A" w:rsidRDefault="00C665A3" w:rsidP="00867E5A">
      <w:pPr>
        <w:pStyle w:val="NIEARTTEKSTtekstnieartykuowanynppodstprawnarozplubpreambua"/>
        <w:ind w:firstLine="0"/>
        <w:rPr>
          <w:rFonts w:ascii="Times New Roman" w:hAnsi="Times New Roman" w:cs="Times New Roman"/>
          <w:szCs w:val="24"/>
          <w:lang w:eastAsia="en-US"/>
        </w:rPr>
      </w:pPr>
      <w:r w:rsidRPr="00867E5A">
        <w:rPr>
          <w:rStyle w:val="Ppogrubienie"/>
          <w:rFonts w:ascii="Times New Roman" w:hAnsi="Times New Roman" w:cs="Times New Roman"/>
          <w:szCs w:val="24"/>
        </w:rPr>
        <w:t>Art. 4 oraz art. 6 i art. 7</w:t>
      </w:r>
      <w:r w:rsidRPr="00867E5A">
        <w:rPr>
          <w:rFonts w:ascii="Times New Roman" w:hAnsi="Times New Roman" w:cs="Times New Roman"/>
          <w:szCs w:val="24"/>
          <w:lang w:eastAsia="en-US"/>
        </w:rPr>
        <w:t xml:space="preserve"> projektu mają na celu wzmocnienie pozycji podmiotów zarządzających portami w zakresie planowania i zagospodarowania przestrzennego oraz gospodarki nieruchomościami i stanowią realizację postulatów zgłaszanych zarówno przez same podmioty zarządzające, jak zainteresowane środowiska (m.in. rady interesantów portów, Związek Miast i Gmin Morskich, Stowarzyszenie „Inicjatywa dla Infrastruktury” – w Białej Księdze Problemów Polskiej Infrastruktury). Porty stanowią ważne ogniwa międzynarodowych łańcuchów logistycznych, uczestniczą w wymianie gospodarczej i tworzą swoiste bieguny rozwoju – nie tylko lokalnego, bądź regionalnego, lecz także krajowego. Dlatego należy zabiegać o ich rozwój i intensyfikować ten złożony proces. W tym celu konieczne jest zapewnienie wpływu podmiotów zarządzających portami na prowadzone w granicach portów inwestycje.</w:t>
      </w:r>
    </w:p>
    <w:p w:rsidR="00C665A3" w:rsidRPr="00867E5A" w:rsidRDefault="00C665A3" w:rsidP="00867E5A">
      <w:pPr>
        <w:pStyle w:val="NIEARTTEKSTtekstnieartykuowanynppodstprawnarozplubpreambua"/>
        <w:ind w:firstLine="0"/>
        <w:rPr>
          <w:rFonts w:ascii="Times New Roman" w:hAnsi="Times New Roman" w:cs="Times New Roman"/>
          <w:szCs w:val="24"/>
          <w:lang w:eastAsia="en-US"/>
        </w:rPr>
      </w:pPr>
      <w:r w:rsidRPr="00867E5A">
        <w:rPr>
          <w:rFonts w:ascii="Times New Roman" w:hAnsi="Times New Roman" w:cs="Times New Roman"/>
          <w:szCs w:val="24"/>
          <w:lang w:eastAsia="en-US"/>
        </w:rPr>
        <w:t>Proponowane zmiany dotyczą:</w:t>
      </w:r>
    </w:p>
    <w:p w:rsidR="00C665A3" w:rsidRPr="00867E5A" w:rsidRDefault="00C665A3" w:rsidP="00744307">
      <w:pPr>
        <w:pStyle w:val="NIEARTTEKSTtekstnieartykuowanynppodstprawnarozplubpreambua"/>
        <w:ind w:left="284" w:hanging="284"/>
        <w:rPr>
          <w:rFonts w:ascii="Times New Roman" w:hAnsi="Times New Roman" w:cs="Times New Roman"/>
          <w:szCs w:val="24"/>
        </w:rPr>
      </w:pPr>
      <w:r w:rsidRPr="00867E5A">
        <w:rPr>
          <w:rFonts w:ascii="Times New Roman" w:hAnsi="Times New Roman" w:cs="Times New Roman"/>
          <w:szCs w:val="24"/>
        </w:rPr>
        <w:t>a)</w:t>
      </w:r>
      <w:r w:rsidR="00C16203">
        <w:rPr>
          <w:rFonts w:ascii="Times New Roman" w:hAnsi="Times New Roman" w:cs="Times New Roman"/>
          <w:szCs w:val="24"/>
        </w:rPr>
        <w:tab/>
      </w:r>
      <w:r w:rsidRPr="00867E5A">
        <w:rPr>
          <w:rFonts w:ascii="Times New Roman" w:hAnsi="Times New Roman" w:cs="Times New Roman"/>
          <w:szCs w:val="24"/>
        </w:rPr>
        <w:t xml:space="preserve">art. 4 </w:t>
      </w:r>
      <w:r w:rsidR="00C16203">
        <w:rPr>
          <w:rFonts w:ascii="Times New Roman" w:hAnsi="Times New Roman" w:cs="Times New Roman"/>
          <w:szCs w:val="24"/>
        </w:rPr>
        <w:t>–</w:t>
      </w:r>
      <w:r w:rsidRPr="00867E5A">
        <w:rPr>
          <w:rFonts w:ascii="Times New Roman" w:hAnsi="Times New Roman" w:cs="Times New Roman"/>
          <w:szCs w:val="24"/>
        </w:rPr>
        <w:t xml:space="preserve"> wskazania, że budowa i przebudowa portów wraz z infrastrukturą dostępową</w:t>
      </w:r>
      <w:r w:rsidR="00C16203">
        <w:rPr>
          <w:rFonts w:ascii="Times New Roman" w:hAnsi="Times New Roman" w:cs="Times New Roman"/>
          <w:szCs w:val="24"/>
        </w:rPr>
        <w:t xml:space="preserve"> </w:t>
      </w:r>
      <w:r w:rsidRPr="00867E5A">
        <w:rPr>
          <w:rFonts w:ascii="Times New Roman" w:hAnsi="Times New Roman" w:cs="Times New Roman"/>
          <w:szCs w:val="24"/>
        </w:rPr>
        <w:t>stanowią cele publiczne zgodnie z ustawą o gospodarce nieruchomościami – podobnie to obecnie ma miejsce w stosunku do dróg publicznych, lotnisk czy linii kolejowych.</w:t>
      </w:r>
    </w:p>
    <w:p w:rsidR="00C665A3" w:rsidRPr="00867E5A" w:rsidRDefault="00C665A3" w:rsidP="00867E5A">
      <w:pPr>
        <w:pStyle w:val="ARTartustawynprozporzdzenia"/>
        <w:ind w:left="284" w:firstLine="0"/>
        <w:rPr>
          <w:rFonts w:ascii="Times New Roman" w:hAnsi="Times New Roman" w:cs="Times New Roman"/>
          <w:szCs w:val="24"/>
        </w:rPr>
      </w:pPr>
      <w:r w:rsidRPr="00867E5A">
        <w:rPr>
          <w:rFonts w:ascii="Times New Roman" w:hAnsi="Times New Roman" w:cs="Times New Roman"/>
          <w:szCs w:val="24"/>
        </w:rPr>
        <w:t xml:space="preserve">Rozwiązanie to pozwoli na lokalizowane inwestycji portowych w drodze decyzji o ustaleniu lokalizacji inwestycji celu publicznego, wydawanych przez wójta, burmistrza lub prezydenta miasta. Podkreślić należy jednak, iż w takiej sytuacji nie </w:t>
      </w:r>
      <w:r w:rsidRPr="00867E5A">
        <w:rPr>
          <w:rFonts w:ascii="Times New Roman" w:hAnsi="Times New Roman" w:cs="Times New Roman"/>
          <w:szCs w:val="24"/>
        </w:rPr>
        <w:lastRenderedPageBreak/>
        <w:t>będzie wymagana decyzja o warunkach zabudowy, która wydawana jest przez te same organy, stąd przepis ten nie będzie generował skutków finansowych dla samorządów</w:t>
      </w:r>
      <w:r w:rsidR="00014240">
        <w:rPr>
          <w:rFonts w:ascii="Times New Roman" w:hAnsi="Times New Roman" w:cs="Times New Roman"/>
          <w:szCs w:val="24"/>
        </w:rPr>
        <w:t>,</w:t>
      </w:r>
    </w:p>
    <w:p w:rsidR="00C665A3" w:rsidRPr="00014240" w:rsidRDefault="00C665A3" w:rsidP="00014240">
      <w:pPr>
        <w:pStyle w:val="ARTartustawynprozporzdzenia"/>
        <w:ind w:left="284" w:hanging="284"/>
        <w:rPr>
          <w:rFonts w:ascii="Times New Roman" w:hAnsi="Times New Roman" w:cs="Times New Roman"/>
          <w:szCs w:val="24"/>
        </w:rPr>
      </w:pPr>
      <w:r w:rsidRPr="00867E5A">
        <w:rPr>
          <w:rFonts w:ascii="Times New Roman" w:hAnsi="Times New Roman" w:cs="Times New Roman"/>
          <w:szCs w:val="24"/>
        </w:rPr>
        <w:t>b)</w:t>
      </w:r>
      <w:r w:rsidR="00C16203">
        <w:rPr>
          <w:rFonts w:ascii="Times New Roman" w:hAnsi="Times New Roman" w:cs="Times New Roman"/>
          <w:szCs w:val="24"/>
        </w:rPr>
        <w:tab/>
      </w:r>
      <w:r w:rsidRPr="00014240">
        <w:rPr>
          <w:rFonts w:ascii="Times New Roman" w:hAnsi="Times New Roman" w:cs="Times New Roman"/>
          <w:szCs w:val="24"/>
        </w:rPr>
        <w:t xml:space="preserve">art. 6 </w:t>
      </w:r>
      <w:r w:rsidR="00C16203">
        <w:rPr>
          <w:rFonts w:ascii="Times New Roman" w:hAnsi="Times New Roman" w:cs="Times New Roman"/>
          <w:szCs w:val="24"/>
        </w:rPr>
        <w:t>–</w:t>
      </w:r>
      <w:r w:rsidRPr="00014240">
        <w:rPr>
          <w:rFonts w:ascii="Times New Roman" w:hAnsi="Times New Roman" w:cs="Times New Roman"/>
          <w:szCs w:val="24"/>
        </w:rPr>
        <w:t xml:space="preserve"> </w:t>
      </w:r>
      <w:r w:rsidRPr="00014240">
        <w:rPr>
          <w:rFonts w:ascii="Times New Roman" w:hAnsi="Times New Roman" w:cs="Times New Roman"/>
          <w:szCs w:val="24"/>
          <w:lang w:eastAsia="en-US"/>
        </w:rPr>
        <w:t>w zakresie zmiany ustawy o planowaniu i zagospodarowaniu przestrzennym</w:t>
      </w:r>
      <w:r w:rsidRPr="00014240">
        <w:rPr>
          <w:rFonts w:ascii="Times New Roman" w:hAnsi="Times New Roman" w:cs="Times New Roman"/>
          <w:szCs w:val="24"/>
        </w:rPr>
        <w:t>:</w:t>
      </w:r>
    </w:p>
    <w:p w:rsidR="00C665A3" w:rsidRPr="00014240" w:rsidRDefault="00C16203" w:rsidP="00014240">
      <w:pPr>
        <w:pStyle w:val="ARTartustawynprozporzdzenia"/>
        <w:ind w:left="567" w:hanging="283"/>
        <w:rPr>
          <w:rFonts w:ascii="Times New Roman" w:hAnsi="Times New Roman" w:cs="Times New Roman"/>
          <w:szCs w:val="24"/>
        </w:rPr>
      </w:pPr>
      <w:r>
        <w:rPr>
          <w:rFonts w:ascii="Times New Roman" w:hAnsi="Times New Roman" w:cs="Times New Roman"/>
          <w:szCs w:val="24"/>
          <w:lang w:eastAsia="en-US"/>
        </w:rPr>
        <w:t>–</w:t>
      </w:r>
      <w:r>
        <w:rPr>
          <w:rFonts w:ascii="Times New Roman" w:hAnsi="Times New Roman" w:cs="Times New Roman"/>
          <w:szCs w:val="24"/>
          <w:lang w:eastAsia="en-US"/>
        </w:rPr>
        <w:tab/>
      </w:r>
      <w:r w:rsidR="00C665A3" w:rsidRPr="00014240">
        <w:rPr>
          <w:rFonts w:ascii="Times New Roman" w:hAnsi="Times New Roman" w:cs="Times New Roman"/>
          <w:szCs w:val="24"/>
          <w:lang w:eastAsia="en-US"/>
        </w:rPr>
        <w:t xml:space="preserve">art. 11 pkt 5 </w:t>
      </w:r>
      <w:r w:rsidR="00C665A3" w:rsidRPr="00014240">
        <w:rPr>
          <w:rFonts w:ascii="Times New Roman" w:hAnsi="Times New Roman" w:cs="Times New Roman"/>
          <w:szCs w:val="24"/>
        </w:rPr>
        <w:t xml:space="preserve">lit. l </w:t>
      </w:r>
      <w:r w:rsidR="00C83789">
        <w:rPr>
          <w:rFonts w:ascii="Times New Roman" w:hAnsi="Times New Roman" w:cs="Times New Roman"/>
          <w:szCs w:val="24"/>
        </w:rPr>
        <w:t>–</w:t>
      </w:r>
      <w:r w:rsidR="00C665A3" w:rsidRPr="00014240">
        <w:rPr>
          <w:rFonts w:ascii="Times New Roman" w:hAnsi="Times New Roman" w:cs="Times New Roman"/>
          <w:szCs w:val="24"/>
        </w:rPr>
        <w:t xml:space="preserve"> opiniowania przez podmioty zarządzające studium uwarunkowań i kierunków zagospodarowania przestrzennego gminy</w:t>
      </w:r>
      <w:r w:rsidR="00744307">
        <w:rPr>
          <w:rFonts w:ascii="Times New Roman" w:hAnsi="Times New Roman" w:cs="Times New Roman"/>
          <w:szCs w:val="24"/>
        </w:rPr>
        <w:t>,</w:t>
      </w:r>
    </w:p>
    <w:p w:rsidR="00C665A3" w:rsidRPr="00014240" w:rsidRDefault="00C16203" w:rsidP="00014240">
      <w:pPr>
        <w:pStyle w:val="ARTartustawynprozporzdzenia"/>
        <w:ind w:left="567" w:hanging="283"/>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C665A3" w:rsidRPr="00014240">
        <w:rPr>
          <w:rFonts w:ascii="Times New Roman" w:hAnsi="Times New Roman" w:cs="Times New Roman"/>
          <w:szCs w:val="24"/>
        </w:rPr>
        <w:t>art. 17</w:t>
      </w:r>
      <w:r>
        <w:rPr>
          <w:rFonts w:ascii="Times New Roman" w:hAnsi="Times New Roman" w:cs="Times New Roman"/>
          <w:szCs w:val="24"/>
        </w:rPr>
        <w:t xml:space="preserve"> </w:t>
      </w:r>
      <w:r w:rsidR="00C665A3" w:rsidRPr="00014240">
        <w:rPr>
          <w:rFonts w:ascii="Times New Roman" w:hAnsi="Times New Roman" w:cs="Times New Roman"/>
          <w:szCs w:val="24"/>
        </w:rPr>
        <w:t>pkt 6</w:t>
      </w:r>
      <w:r>
        <w:rPr>
          <w:rFonts w:ascii="Times New Roman" w:hAnsi="Times New Roman" w:cs="Times New Roman"/>
          <w:szCs w:val="24"/>
        </w:rPr>
        <w:t xml:space="preserve"> </w:t>
      </w:r>
      <w:r w:rsidR="00C665A3" w:rsidRPr="00014240">
        <w:rPr>
          <w:rFonts w:ascii="Times New Roman" w:hAnsi="Times New Roman" w:cs="Times New Roman"/>
          <w:szCs w:val="24"/>
        </w:rPr>
        <w:t xml:space="preserve">lit. b </w:t>
      </w:r>
      <w:r w:rsidR="00C83789">
        <w:rPr>
          <w:rFonts w:ascii="Times New Roman" w:hAnsi="Times New Roman" w:cs="Times New Roman"/>
          <w:szCs w:val="24"/>
        </w:rPr>
        <w:t>–</w:t>
      </w:r>
      <w:r w:rsidR="00C665A3" w:rsidRPr="00014240">
        <w:rPr>
          <w:rFonts w:ascii="Times New Roman" w:hAnsi="Times New Roman" w:cs="Times New Roman"/>
          <w:szCs w:val="24"/>
        </w:rPr>
        <w:t xml:space="preserve"> uzgadniania przez podmioty zarządzające projektu miejscowego planu zagospodarowania przestrzennego</w:t>
      </w:r>
      <w:r w:rsidR="00744307">
        <w:rPr>
          <w:rFonts w:ascii="Times New Roman" w:hAnsi="Times New Roman" w:cs="Times New Roman"/>
          <w:szCs w:val="24"/>
        </w:rPr>
        <w:t>,</w:t>
      </w:r>
    </w:p>
    <w:p w:rsidR="00C665A3" w:rsidRPr="00014240" w:rsidRDefault="00C16203" w:rsidP="00014240">
      <w:pPr>
        <w:pStyle w:val="ARTartustawynprozporzdzenia"/>
        <w:ind w:left="567" w:hanging="283"/>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C665A3" w:rsidRPr="00014240">
        <w:rPr>
          <w:rFonts w:ascii="Times New Roman" w:hAnsi="Times New Roman" w:cs="Times New Roman"/>
          <w:szCs w:val="24"/>
        </w:rPr>
        <w:t>art. 53</w:t>
      </w:r>
      <w:r>
        <w:rPr>
          <w:rFonts w:ascii="Times New Roman" w:hAnsi="Times New Roman" w:cs="Times New Roman"/>
          <w:szCs w:val="24"/>
        </w:rPr>
        <w:t xml:space="preserve"> </w:t>
      </w:r>
      <w:r w:rsidR="00C665A3" w:rsidRPr="00014240">
        <w:rPr>
          <w:rFonts w:ascii="Times New Roman" w:hAnsi="Times New Roman" w:cs="Times New Roman"/>
          <w:szCs w:val="24"/>
        </w:rPr>
        <w:t xml:space="preserve">ust. 4 </w:t>
      </w:r>
      <w:r w:rsidR="00C83789">
        <w:rPr>
          <w:rFonts w:ascii="Times New Roman" w:hAnsi="Times New Roman" w:cs="Times New Roman"/>
          <w:szCs w:val="24"/>
        </w:rPr>
        <w:t>–</w:t>
      </w:r>
      <w:r w:rsidR="00C665A3" w:rsidRPr="00014240">
        <w:rPr>
          <w:rFonts w:ascii="Times New Roman" w:hAnsi="Times New Roman" w:cs="Times New Roman"/>
          <w:szCs w:val="24"/>
          <w:lang w:eastAsia="en-US"/>
        </w:rPr>
        <w:t xml:space="preserve"> uzgadniani</w:t>
      </w:r>
      <w:r w:rsidR="00C665A3" w:rsidRPr="00014240">
        <w:rPr>
          <w:rFonts w:ascii="Times New Roman" w:hAnsi="Times New Roman" w:cs="Times New Roman"/>
          <w:szCs w:val="24"/>
        </w:rPr>
        <w:t>a</w:t>
      </w:r>
      <w:r w:rsidR="00C665A3" w:rsidRPr="00014240">
        <w:rPr>
          <w:rFonts w:ascii="Times New Roman" w:hAnsi="Times New Roman" w:cs="Times New Roman"/>
          <w:szCs w:val="24"/>
          <w:lang w:eastAsia="en-US"/>
        </w:rPr>
        <w:t xml:space="preserve"> </w:t>
      </w:r>
      <w:r w:rsidR="00C665A3" w:rsidRPr="00014240">
        <w:rPr>
          <w:rFonts w:ascii="Times New Roman" w:hAnsi="Times New Roman" w:cs="Times New Roman"/>
          <w:szCs w:val="24"/>
        </w:rPr>
        <w:t xml:space="preserve">przez podmioty zarządzające </w:t>
      </w:r>
      <w:r w:rsidR="00C665A3" w:rsidRPr="00014240">
        <w:rPr>
          <w:rFonts w:ascii="Times New Roman" w:hAnsi="Times New Roman" w:cs="Times New Roman"/>
          <w:szCs w:val="24"/>
          <w:lang w:eastAsia="en-US"/>
        </w:rPr>
        <w:t>decyzji o ustaleniu lokalizacji inwestycji celu publicznego oraz decyzji o warunkach zabudowy i zagospodarowania terenu (w przypadku braku planu miejscowego</w:t>
      </w:r>
      <w:r w:rsidR="00C665A3" w:rsidRPr="00014240">
        <w:rPr>
          <w:rFonts w:ascii="Times New Roman" w:hAnsi="Times New Roman" w:cs="Times New Roman"/>
          <w:szCs w:val="24"/>
        </w:rPr>
        <w:t xml:space="preserve"> </w:t>
      </w:r>
      <w:r w:rsidR="00C83789">
        <w:rPr>
          <w:rFonts w:ascii="Times New Roman" w:hAnsi="Times New Roman" w:cs="Times New Roman"/>
          <w:szCs w:val="24"/>
        </w:rPr>
        <w:t>–</w:t>
      </w:r>
      <w:r w:rsidR="00C665A3" w:rsidRPr="00014240">
        <w:rPr>
          <w:rFonts w:ascii="Times New Roman" w:hAnsi="Times New Roman" w:cs="Times New Roman"/>
          <w:szCs w:val="24"/>
        </w:rPr>
        <w:t xml:space="preserve"> na podstawie art. 60 ust. 1</w:t>
      </w:r>
      <w:r w:rsidR="00C665A3" w:rsidRPr="00014240">
        <w:rPr>
          <w:rFonts w:ascii="Times New Roman" w:hAnsi="Times New Roman" w:cs="Times New Roman"/>
          <w:szCs w:val="24"/>
          <w:lang w:eastAsia="en-US"/>
        </w:rPr>
        <w:t>)</w:t>
      </w:r>
      <w:r w:rsidR="00744307">
        <w:rPr>
          <w:rFonts w:ascii="Times New Roman" w:hAnsi="Times New Roman" w:cs="Times New Roman"/>
          <w:szCs w:val="24"/>
          <w:lang w:eastAsia="en-US"/>
        </w:rPr>
        <w:t>,</w:t>
      </w:r>
    </w:p>
    <w:p w:rsidR="00C665A3" w:rsidRPr="00014240" w:rsidRDefault="00C665A3" w:rsidP="00014240">
      <w:pPr>
        <w:pStyle w:val="NIEARTTEKSTtekstnieartykuowanynppodstprawnarozplubpreambua"/>
        <w:ind w:left="284" w:hanging="284"/>
        <w:rPr>
          <w:rFonts w:ascii="Times New Roman" w:hAnsi="Times New Roman" w:cs="Times New Roman"/>
          <w:szCs w:val="24"/>
          <w:lang w:eastAsia="en-US"/>
        </w:rPr>
      </w:pPr>
      <w:r w:rsidRPr="00014240">
        <w:rPr>
          <w:rFonts w:ascii="Times New Roman" w:hAnsi="Times New Roman" w:cs="Times New Roman"/>
          <w:szCs w:val="24"/>
        </w:rPr>
        <w:t>c)</w:t>
      </w:r>
      <w:r w:rsidR="00C16203">
        <w:rPr>
          <w:rFonts w:ascii="Times New Roman" w:hAnsi="Times New Roman" w:cs="Times New Roman"/>
          <w:szCs w:val="24"/>
        </w:rPr>
        <w:tab/>
      </w:r>
      <w:r w:rsidRPr="00014240">
        <w:rPr>
          <w:rFonts w:ascii="Times New Roman" w:hAnsi="Times New Roman" w:cs="Times New Roman"/>
          <w:szCs w:val="24"/>
        </w:rPr>
        <w:t xml:space="preserve">art. 7 </w:t>
      </w:r>
      <w:r w:rsidR="00C16203">
        <w:rPr>
          <w:rFonts w:ascii="Times New Roman" w:hAnsi="Times New Roman" w:cs="Times New Roman"/>
          <w:szCs w:val="24"/>
        </w:rPr>
        <w:t>–</w:t>
      </w:r>
      <w:r w:rsidRPr="00014240">
        <w:rPr>
          <w:rFonts w:ascii="Times New Roman" w:hAnsi="Times New Roman" w:cs="Times New Roman"/>
          <w:szCs w:val="24"/>
        </w:rPr>
        <w:t xml:space="preserve"> </w:t>
      </w:r>
      <w:r w:rsidRPr="00014240">
        <w:rPr>
          <w:rFonts w:ascii="Times New Roman" w:hAnsi="Times New Roman" w:cs="Times New Roman"/>
          <w:szCs w:val="24"/>
          <w:lang w:eastAsia="en-US"/>
        </w:rPr>
        <w:t>opiniowania decyzji o zezwoleniu na realizację inwestycji drogowej – w zakresie ustawy z dnia 10 kwietnia 2003 r. o szczególnych zasadach przygotowania i realizacji inwestycji w zakresie dróg publicznych</w:t>
      </w:r>
      <w:r w:rsidRPr="00014240">
        <w:rPr>
          <w:rFonts w:ascii="Times New Roman" w:hAnsi="Times New Roman" w:cs="Times New Roman"/>
          <w:szCs w:val="24"/>
        </w:rPr>
        <w:t xml:space="preserve"> (Dz. U. z 2018 r. poz. 1474).</w:t>
      </w:r>
    </w:p>
    <w:p w:rsidR="00C665A3" w:rsidRPr="00014240" w:rsidRDefault="00C665A3" w:rsidP="00014240">
      <w:pPr>
        <w:pStyle w:val="NIEARTTEKSTtekstnieartykuowanynppodstprawnarozplubpreambua"/>
        <w:ind w:firstLine="0"/>
        <w:rPr>
          <w:rFonts w:ascii="Times New Roman" w:hAnsi="Times New Roman" w:cs="Times New Roman"/>
          <w:szCs w:val="24"/>
          <w:lang w:eastAsia="en-US"/>
        </w:rPr>
      </w:pPr>
      <w:r w:rsidRPr="00014240">
        <w:rPr>
          <w:rStyle w:val="Ppogrubienie"/>
          <w:rFonts w:ascii="Times New Roman" w:hAnsi="Times New Roman" w:cs="Times New Roman"/>
          <w:szCs w:val="24"/>
        </w:rPr>
        <w:t>Art. 5</w:t>
      </w:r>
      <w:r w:rsidRPr="00014240">
        <w:rPr>
          <w:rFonts w:ascii="Times New Roman" w:hAnsi="Times New Roman" w:cs="Times New Roman"/>
          <w:szCs w:val="24"/>
          <w:lang w:eastAsia="en-US"/>
        </w:rPr>
        <w:t xml:space="preserve"> przewiduje zmianę ustawy </w:t>
      </w:r>
      <w:r w:rsidRPr="00014240">
        <w:rPr>
          <w:rFonts w:ascii="Times New Roman" w:hAnsi="Times New Roman" w:cs="Times New Roman"/>
          <w:szCs w:val="24"/>
        </w:rPr>
        <w:t xml:space="preserve">z dnia 12 września 2002 r. </w:t>
      </w:r>
      <w:r w:rsidRPr="00014240">
        <w:rPr>
          <w:rFonts w:ascii="Times New Roman" w:hAnsi="Times New Roman" w:cs="Times New Roman"/>
          <w:szCs w:val="24"/>
          <w:lang w:eastAsia="en-US"/>
        </w:rPr>
        <w:t>o portowych urządzeniach do odbioru odpadów oraz pozostałości ładunkowych ze statków</w:t>
      </w:r>
      <w:r w:rsidRPr="00014240">
        <w:rPr>
          <w:rFonts w:ascii="Times New Roman" w:hAnsi="Times New Roman" w:cs="Times New Roman"/>
          <w:szCs w:val="24"/>
        </w:rPr>
        <w:t xml:space="preserve"> (Dz. U.</w:t>
      </w:r>
      <w:r w:rsidR="00C16203">
        <w:rPr>
          <w:rFonts w:ascii="Times New Roman" w:hAnsi="Times New Roman" w:cs="Times New Roman"/>
          <w:szCs w:val="24"/>
        </w:rPr>
        <w:t xml:space="preserve"> </w:t>
      </w:r>
      <w:r w:rsidRPr="00014240">
        <w:rPr>
          <w:rFonts w:ascii="Times New Roman" w:hAnsi="Times New Roman" w:cs="Times New Roman"/>
          <w:szCs w:val="24"/>
        </w:rPr>
        <w:t xml:space="preserve">poz. 1361, z </w:t>
      </w:r>
      <w:proofErr w:type="spellStart"/>
      <w:r w:rsidRPr="00014240">
        <w:rPr>
          <w:rFonts w:ascii="Times New Roman" w:hAnsi="Times New Roman" w:cs="Times New Roman"/>
          <w:szCs w:val="24"/>
        </w:rPr>
        <w:t>późn</w:t>
      </w:r>
      <w:proofErr w:type="spellEnd"/>
      <w:r w:rsidRPr="00014240">
        <w:rPr>
          <w:rFonts w:ascii="Times New Roman" w:hAnsi="Times New Roman" w:cs="Times New Roman"/>
          <w:szCs w:val="24"/>
        </w:rPr>
        <w:t>. zm.)</w:t>
      </w:r>
      <w:r w:rsidRPr="00014240">
        <w:rPr>
          <w:rFonts w:ascii="Times New Roman" w:hAnsi="Times New Roman" w:cs="Times New Roman"/>
          <w:szCs w:val="24"/>
          <w:lang w:eastAsia="en-US"/>
        </w:rPr>
        <w:t>, wynikającą z rozporządzenia 2017/352, zgodnie z którym rozdzielić należy opłaty portowe, pobierane za korzystanie z infrastruktury portowej oraz opłaty za usługi portowe – jaką jest m.in. odbieranie odpadów wytwarzanych przez statki i pozostałości ładunku. Zgodnie z art. 12 ust. 2 rozporządzenia 2017/352,</w:t>
      </w:r>
      <w:r w:rsidR="00C16203">
        <w:rPr>
          <w:rFonts w:ascii="Times New Roman" w:hAnsi="Times New Roman" w:cs="Times New Roman"/>
          <w:szCs w:val="24"/>
          <w:lang w:eastAsia="en-US"/>
        </w:rPr>
        <w:t xml:space="preserve"> </w:t>
      </w:r>
      <w:r w:rsidRPr="00014240">
        <w:rPr>
          <w:rFonts w:ascii="Times New Roman" w:hAnsi="Times New Roman" w:cs="Times New Roman"/>
          <w:szCs w:val="24"/>
          <w:lang w:eastAsia="en-US"/>
        </w:rPr>
        <w:t>płatności dotyczące opłat z tytułu usług portowych mogą być włączane do innych płatności, takich jak płatność dotycząca opłat za korzystanie z infrastruktury portowej, jednakże w takim przypadku dostawca usług portowych i podmiot zarządzający portem powinni zapewnić, by kwota opłaty z tytułu usługi portowej pozostawała łatwa do zidentyfikowania dla użytkownika usługi portowej.</w:t>
      </w:r>
    </w:p>
    <w:p w:rsidR="00C665A3" w:rsidRPr="00014240" w:rsidRDefault="00C665A3" w:rsidP="00014240">
      <w:pPr>
        <w:pStyle w:val="NIEARTTEKSTtekstnieartykuowanynppodstprawnarozplubpreambua"/>
        <w:ind w:firstLine="0"/>
        <w:rPr>
          <w:rFonts w:ascii="Times New Roman" w:hAnsi="Times New Roman" w:cs="Times New Roman"/>
          <w:szCs w:val="24"/>
          <w:lang w:eastAsia="en-US"/>
        </w:rPr>
      </w:pPr>
      <w:r w:rsidRPr="00014240">
        <w:rPr>
          <w:rStyle w:val="Ppogrubienie"/>
          <w:rFonts w:ascii="Times New Roman" w:hAnsi="Times New Roman" w:cs="Times New Roman"/>
          <w:szCs w:val="24"/>
        </w:rPr>
        <w:t>Art. 8</w:t>
      </w:r>
      <w:r w:rsidRPr="00014240">
        <w:rPr>
          <w:rFonts w:ascii="Times New Roman" w:hAnsi="Times New Roman" w:cs="Times New Roman"/>
          <w:szCs w:val="24"/>
          <w:lang w:eastAsia="en-US"/>
        </w:rPr>
        <w:t xml:space="preserve"> wprowadza zmiany w ustawie z dnia 11 stycznia 2018 r. o </w:t>
      </w:r>
      <w:proofErr w:type="spellStart"/>
      <w:r w:rsidRPr="00014240">
        <w:rPr>
          <w:rFonts w:ascii="Times New Roman" w:hAnsi="Times New Roman" w:cs="Times New Roman"/>
          <w:szCs w:val="24"/>
          <w:lang w:eastAsia="en-US"/>
        </w:rPr>
        <w:t>elektromobilności</w:t>
      </w:r>
      <w:proofErr w:type="spellEnd"/>
      <w:r w:rsidRPr="00014240">
        <w:rPr>
          <w:rFonts w:ascii="Times New Roman" w:hAnsi="Times New Roman" w:cs="Times New Roman"/>
          <w:szCs w:val="24"/>
          <w:lang w:eastAsia="en-US"/>
        </w:rPr>
        <w:t xml:space="preserve"> i paliwach alternatywnych</w:t>
      </w:r>
      <w:r w:rsidRPr="00014240">
        <w:rPr>
          <w:rFonts w:ascii="Times New Roman" w:hAnsi="Times New Roman" w:cs="Times New Roman"/>
          <w:szCs w:val="24"/>
        </w:rPr>
        <w:t xml:space="preserve"> (Dz. U. z 2019 r. poz. 1124)</w:t>
      </w:r>
      <w:r w:rsidRPr="00014240">
        <w:rPr>
          <w:rFonts w:ascii="Times New Roman" w:hAnsi="Times New Roman" w:cs="Times New Roman"/>
          <w:szCs w:val="24"/>
          <w:lang w:eastAsia="en-US"/>
        </w:rPr>
        <w:t>.</w:t>
      </w:r>
    </w:p>
    <w:p w:rsidR="00C665A3" w:rsidRPr="00014240" w:rsidRDefault="00C665A3" w:rsidP="00014240">
      <w:pPr>
        <w:pStyle w:val="NIEARTTEKSTtekstnieartykuowanynppodstprawnarozplubpreambua"/>
        <w:ind w:firstLine="0"/>
        <w:rPr>
          <w:rFonts w:ascii="Times New Roman" w:hAnsi="Times New Roman" w:cs="Times New Roman"/>
          <w:szCs w:val="24"/>
          <w:lang w:eastAsia="en-US"/>
        </w:rPr>
      </w:pPr>
      <w:r w:rsidRPr="00014240">
        <w:rPr>
          <w:rFonts w:ascii="Times New Roman" w:hAnsi="Times New Roman" w:cs="Times New Roman"/>
          <w:szCs w:val="24"/>
        </w:rPr>
        <w:t>Art. 8 pkt 1 lit. a.</w:t>
      </w:r>
      <w:r w:rsidRPr="00014240">
        <w:rPr>
          <w:rFonts w:ascii="Times New Roman" w:hAnsi="Times New Roman" w:cs="Times New Roman"/>
          <w:szCs w:val="24"/>
          <w:lang w:eastAsia="en-US"/>
        </w:rPr>
        <w:t xml:space="preserve"> Zmiana definicji procesu bunkrowania skroplonym gazem ziemnym (LNG) wynika z konieczności doprecyzowania, iż procesy bunkrowania statków wykonywane w portach służą nie tylko zapewnieniu paliwa niezbędnego do napędu </w:t>
      </w:r>
      <w:r w:rsidRPr="00014240">
        <w:rPr>
          <w:rFonts w:ascii="Times New Roman" w:hAnsi="Times New Roman" w:cs="Times New Roman"/>
          <w:szCs w:val="24"/>
          <w:lang w:eastAsia="en-US"/>
        </w:rPr>
        <w:lastRenderedPageBreak/>
        <w:t>statków, ale również do napędu urządzeń znajdujących się na statkach, takich jak agregaty prądotwórcze, kotły pomocnicze i utylizacyjne etc. Proponowana zmiana ma na celu objęcie przepisami ustawy również czynności związane z zaopatrywaniem statków w gaz ziemny służący do napędu urządzeń znajdujących się na statku.</w:t>
      </w:r>
    </w:p>
    <w:p w:rsidR="00C665A3" w:rsidRPr="00014240" w:rsidRDefault="00C665A3" w:rsidP="00014240">
      <w:pPr>
        <w:pStyle w:val="NIEARTTEKSTtekstnieartykuowanynppodstprawnarozplubpreambua"/>
        <w:ind w:firstLine="0"/>
        <w:rPr>
          <w:rFonts w:ascii="Times New Roman" w:hAnsi="Times New Roman" w:cs="Times New Roman"/>
          <w:szCs w:val="24"/>
          <w:lang w:eastAsia="en-US"/>
        </w:rPr>
      </w:pPr>
      <w:r w:rsidRPr="00014240">
        <w:rPr>
          <w:rFonts w:ascii="Times New Roman" w:hAnsi="Times New Roman" w:cs="Times New Roman"/>
          <w:szCs w:val="24"/>
        </w:rPr>
        <w:t xml:space="preserve">Art. 8 pkt 1 lit. b. </w:t>
      </w:r>
      <w:r w:rsidRPr="00014240">
        <w:rPr>
          <w:rFonts w:ascii="Times New Roman" w:hAnsi="Times New Roman" w:cs="Times New Roman"/>
          <w:szCs w:val="24"/>
          <w:lang w:eastAsia="en-US"/>
        </w:rPr>
        <w:t xml:space="preserve">Zmiana art. 2 pkt 16 ustawy ma na celu objęcie zakresem definicji punktu bunkrowania skroplonego gazu ziemnego (LNG) kompletnego katalogu stosowanych obecnie rozwiązań (sposobów) bunkrowania statków wykorzystujących urządzenia mobilne takie jak cysterny samochodowe i kolejowe, statki-cysterny (tzw. </w:t>
      </w:r>
      <w:proofErr w:type="spellStart"/>
      <w:r w:rsidRPr="00014240">
        <w:rPr>
          <w:rFonts w:ascii="Times New Roman" w:hAnsi="Times New Roman" w:cs="Times New Roman"/>
          <w:szCs w:val="24"/>
          <w:lang w:eastAsia="en-US"/>
        </w:rPr>
        <w:t>bunkierki</w:t>
      </w:r>
      <w:proofErr w:type="spellEnd"/>
      <w:r w:rsidRPr="00014240">
        <w:rPr>
          <w:rFonts w:ascii="Times New Roman" w:hAnsi="Times New Roman" w:cs="Times New Roman"/>
          <w:szCs w:val="24"/>
          <w:lang w:eastAsia="en-US"/>
        </w:rPr>
        <w:t>), jak również inne rozwiązania (np. pływające przyłącza). Istotne z punktu widzenia bezpieczeństwa procesów bunkrowania skroplonego gazu ziemnego (LNG) w portach jest proponowane przywołanie w definicji ustawowej punktu bunkrowania międzynarodowych wymogów dotyczących przewozu substancji niebezpiecznych środkami transportu kolejowego, drogowego i morskiego, wymienion</w:t>
      </w:r>
      <w:r w:rsidRPr="00014240">
        <w:rPr>
          <w:rFonts w:ascii="Times New Roman" w:hAnsi="Times New Roman" w:cs="Times New Roman"/>
          <w:szCs w:val="24"/>
        </w:rPr>
        <w:t>ych</w:t>
      </w:r>
      <w:r w:rsidRPr="00014240">
        <w:rPr>
          <w:rFonts w:ascii="Times New Roman" w:hAnsi="Times New Roman" w:cs="Times New Roman"/>
          <w:szCs w:val="24"/>
          <w:lang w:eastAsia="en-US"/>
        </w:rPr>
        <w:t xml:space="preserve"> w ustawie z dnia 19 sierpnia 2011 r. o przewozie towarów niebezpiecznych</w:t>
      </w:r>
      <w:r w:rsidRPr="00014240">
        <w:rPr>
          <w:rFonts w:ascii="Times New Roman" w:hAnsi="Times New Roman" w:cs="Times New Roman"/>
          <w:szCs w:val="24"/>
        </w:rPr>
        <w:t xml:space="preserve"> (Dz. U. z 2019 r. poz. 382, z </w:t>
      </w:r>
      <w:proofErr w:type="spellStart"/>
      <w:r w:rsidRPr="00014240">
        <w:rPr>
          <w:rFonts w:ascii="Times New Roman" w:hAnsi="Times New Roman" w:cs="Times New Roman"/>
          <w:szCs w:val="24"/>
        </w:rPr>
        <w:t>późn</w:t>
      </w:r>
      <w:proofErr w:type="spellEnd"/>
      <w:r w:rsidRPr="00014240">
        <w:rPr>
          <w:rFonts w:ascii="Times New Roman" w:hAnsi="Times New Roman" w:cs="Times New Roman"/>
          <w:szCs w:val="24"/>
        </w:rPr>
        <w:t>. zm.)</w:t>
      </w:r>
      <w:r w:rsidRPr="00014240">
        <w:rPr>
          <w:rFonts w:ascii="Times New Roman" w:hAnsi="Times New Roman" w:cs="Times New Roman"/>
          <w:szCs w:val="24"/>
          <w:lang w:eastAsia="en-US"/>
        </w:rPr>
        <w:t>, jakie muszą spełniać poszczególne elementy (urządzenia) wchodzące w skład punktu bunkrowania.</w:t>
      </w:r>
    </w:p>
    <w:p w:rsidR="00C665A3" w:rsidRPr="00014240" w:rsidRDefault="00C665A3" w:rsidP="00014240">
      <w:pPr>
        <w:pStyle w:val="NIEARTTEKSTtekstnieartykuowanynppodstprawnarozplubpreambua"/>
        <w:ind w:firstLine="0"/>
        <w:rPr>
          <w:rFonts w:ascii="Times New Roman" w:hAnsi="Times New Roman" w:cs="Times New Roman"/>
          <w:szCs w:val="24"/>
        </w:rPr>
      </w:pPr>
      <w:r w:rsidRPr="00014240">
        <w:rPr>
          <w:rFonts w:ascii="Times New Roman" w:hAnsi="Times New Roman" w:cs="Times New Roman"/>
          <w:szCs w:val="24"/>
        </w:rPr>
        <w:t>Art. 8 pkt 2 oraz 3.</w:t>
      </w:r>
    </w:p>
    <w:p w:rsidR="00C665A3" w:rsidRPr="00014240" w:rsidRDefault="00C665A3" w:rsidP="00014240">
      <w:pPr>
        <w:pStyle w:val="NIEARTTEKSTtekstnieartykuowanynppodstprawnarozplubpreambua"/>
        <w:ind w:firstLine="0"/>
        <w:rPr>
          <w:rFonts w:ascii="Times New Roman" w:hAnsi="Times New Roman" w:cs="Times New Roman"/>
          <w:szCs w:val="24"/>
          <w:lang w:eastAsia="en-US"/>
        </w:rPr>
      </w:pPr>
      <w:r w:rsidRPr="00014240">
        <w:rPr>
          <w:rFonts w:ascii="Times New Roman" w:hAnsi="Times New Roman" w:cs="Times New Roman"/>
          <w:szCs w:val="24"/>
          <w:lang w:eastAsia="en-US"/>
        </w:rPr>
        <w:t xml:space="preserve">Zmiana art. 18 i art. 28 ustawy wprowadza wymóg informowania TDT przez podmiot eksploatujący punkt zasilania jednostek pływających energią elektryczną z lądu oraz podmiot eksploatujący punkt bunkrowania skroplonego gazu ziemnego (LNG) o każdej nieprawidłowości w funkcjonowaniu tego punktu lub wypadku związanym z jego eksploatacją, a także wymóg przeprowadzenia dodatkowego badania technicznego tego punktu, w przypadku zaistnienia ww. przesłanek (wystąpienia wypadku lub stwierdzenia nieprawidłowości w funkcjonowaniu punktu). Proponowane rozwiązanie ma na celu zapewnienie dodatkowych środków nadzoru nad punktami ładowania i punktami bunkrowania statków, z uwagi na szczególną specyfikę tych obiektów oraz generowane przez nie zagrożenie (zagrożenie wybuchowe, zagrożenie porażeniem prądem). </w:t>
      </w:r>
    </w:p>
    <w:p w:rsidR="00C665A3" w:rsidRPr="00014240" w:rsidRDefault="00C665A3" w:rsidP="00014240">
      <w:pPr>
        <w:pStyle w:val="NIEARTTEKSTtekstnieartykuowanynppodstprawnarozplubpreambua"/>
        <w:ind w:firstLine="0"/>
        <w:rPr>
          <w:rFonts w:ascii="Times New Roman" w:hAnsi="Times New Roman" w:cs="Times New Roman"/>
          <w:szCs w:val="24"/>
          <w:lang w:eastAsia="en-US"/>
        </w:rPr>
      </w:pPr>
      <w:r w:rsidRPr="00014240">
        <w:rPr>
          <w:rFonts w:ascii="Times New Roman" w:hAnsi="Times New Roman" w:cs="Times New Roman"/>
          <w:szCs w:val="24"/>
          <w:lang w:eastAsia="en-US"/>
        </w:rPr>
        <w:t xml:space="preserve">Zmiana dotycząca art. 39 ust. 3 pkt 1 ustawy ma na celu uwzględnienie urzędów morskich wśród podmiotów wyłączonych z restrykcji obowiązujących w strefach czystego transportu, o których mowa w art. 39 ustawy. Przedmiotowa zmiana wynika z faktu, że część z portów i przystani morskich, w których realizowane są zadania </w:t>
      </w:r>
      <w:r w:rsidRPr="00014240">
        <w:rPr>
          <w:rFonts w:ascii="Times New Roman" w:hAnsi="Times New Roman" w:cs="Times New Roman"/>
          <w:szCs w:val="24"/>
          <w:lang w:eastAsia="en-US"/>
        </w:rPr>
        <w:lastRenderedPageBreak/>
        <w:t>urzędów morskich, znajduje się w obszarze intensywnej zabudowy na obszarze śródmieścia, gdzie potencjalnie mogą zostać utworzone strefy czystego transportu. Ograniczenie możliwości natychmiastowego dotarcia pracowników urzędów morskich do określonych części portów i przystani morskich wpłynie negatywnie na efektywność działań inspekcyjnych oraz innych związanych z bezpieczeństwem żeglugi i ochroną portów i przystani morskich, co w niektórych sytuacjach może generować zagrożenie dla zdrowia i życia ludzkiego, środowiska naturalnego oraz gospodarki</w:t>
      </w:r>
      <w:r w:rsidR="00C16203">
        <w:rPr>
          <w:rFonts w:ascii="Times New Roman" w:hAnsi="Times New Roman" w:cs="Times New Roman"/>
          <w:szCs w:val="24"/>
          <w:lang w:eastAsia="en-US"/>
        </w:rPr>
        <w:t xml:space="preserve"> </w:t>
      </w:r>
      <w:r w:rsidRPr="00014240">
        <w:rPr>
          <w:rFonts w:ascii="Times New Roman" w:hAnsi="Times New Roman" w:cs="Times New Roman"/>
          <w:szCs w:val="24"/>
          <w:lang w:eastAsia="en-US"/>
        </w:rPr>
        <w:t>narodowej.</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Style w:val="Ppogrubienie"/>
          <w:rFonts w:ascii="Times New Roman" w:hAnsi="Times New Roman" w:cs="Times New Roman"/>
          <w:szCs w:val="24"/>
        </w:rPr>
        <w:t>Art. 9 oraz art. 10</w:t>
      </w:r>
      <w:r w:rsidRPr="00E66C46">
        <w:rPr>
          <w:rFonts w:ascii="Times New Roman" w:hAnsi="Times New Roman" w:cs="Times New Roman"/>
          <w:szCs w:val="24"/>
          <w:lang w:eastAsia="en-US"/>
        </w:rPr>
        <w:t>.</w:t>
      </w:r>
    </w:p>
    <w:p w:rsidR="00C665A3" w:rsidRPr="00E66C46" w:rsidRDefault="00C665A3" w:rsidP="00014240">
      <w:pPr>
        <w:pStyle w:val="NIEARTTEKSTtekstnieartykuowanynppodstprawnarozplubpreambua"/>
        <w:ind w:firstLine="0"/>
        <w:rPr>
          <w:rFonts w:ascii="Times New Roman" w:hAnsi="Times New Roman" w:cs="Times New Roman"/>
          <w:szCs w:val="24"/>
        </w:rPr>
      </w:pPr>
      <w:r w:rsidRPr="00E66C46">
        <w:rPr>
          <w:rFonts w:ascii="Times New Roman" w:hAnsi="Times New Roman" w:cs="Times New Roman"/>
          <w:szCs w:val="24"/>
        </w:rPr>
        <w:t>Art. 10 przewiduje zmianę ustawy z dnia 22 listopada 2018 r. o dokumentach publicznych (Dz. U. z 2019 r. poz. 53), polegającą na uzupełnieniu katalogu dokumentów publicznych o wprowadzony w ustawie z dnia 12 kwietnia 2018 r. o rejestracji jachtów i innych jednostek pływających o długości do 24 m (Dz. U. poz. 1137)</w:t>
      </w:r>
      <w:r w:rsidR="00E66C46">
        <w:rPr>
          <w:rFonts w:ascii="Times New Roman" w:hAnsi="Times New Roman" w:cs="Times New Roman"/>
          <w:szCs w:val="24"/>
        </w:rPr>
        <w:t xml:space="preserve"> </w:t>
      </w:r>
      <w:r w:rsidRPr="00E66C46">
        <w:rPr>
          <w:rFonts w:ascii="Times New Roman" w:hAnsi="Times New Roman" w:cs="Times New Roman"/>
          <w:szCs w:val="24"/>
        </w:rPr>
        <w:t>dokument rejestracyjny jachtu albo innej jednostki pływającej o długości do 24 m. Dokumenty te nie zostały włączone do katalogu dokumentów publicznych, ponieważ prace nad obydwiema ustawami toczyły się równolegle.</w:t>
      </w:r>
    </w:p>
    <w:p w:rsidR="00C665A3" w:rsidRPr="00E66C46" w:rsidRDefault="00C665A3" w:rsidP="00014240">
      <w:pPr>
        <w:pStyle w:val="NIEARTTEKSTtekstnieartykuowanynppodstprawnarozplubpreambua"/>
        <w:ind w:firstLine="0"/>
        <w:rPr>
          <w:rFonts w:ascii="Times New Roman" w:hAnsi="Times New Roman" w:cs="Times New Roman"/>
          <w:szCs w:val="24"/>
        </w:rPr>
      </w:pPr>
      <w:r w:rsidRPr="00E66C46">
        <w:rPr>
          <w:rFonts w:ascii="Times New Roman" w:hAnsi="Times New Roman" w:cs="Times New Roman"/>
          <w:szCs w:val="24"/>
        </w:rPr>
        <w:t xml:space="preserve">Konsekwencją zmiany jest zmiana treści </w:t>
      </w:r>
      <w:r w:rsidRPr="00E66C46">
        <w:rPr>
          <w:rFonts w:ascii="Times New Roman" w:hAnsi="Times New Roman" w:cs="Times New Roman"/>
          <w:szCs w:val="24"/>
          <w:lang w:eastAsia="en-US"/>
        </w:rPr>
        <w:t>art. 5 ustawy z dnia 12 kwietnia 2018 r. o rejestracji jachtów i innych jednostek pływających o długości do 24 m</w:t>
      </w:r>
      <w:r w:rsidRPr="00E66C46">
        <w:rPr>
          <w:rFonts w:ascii="Times New Roman" w:hAnsi="Times New Roman" w:cs="Times New Roman"/>
          <w:szCs w:val="24"/>
        </w:rPr>
        <w:t xml:space="preserve">, usuwająca z art. 5 pojęcie dokumentu rejestracyjnego. </w:t>
      </w:r>
    </w:p>
    <w:p w:rsidR="00C665A3" w:rsidRPr="00E66C46" w:rsidRDefault="00C665A3" w:rsidP="00014240">
      <w:pPr>
        <w:pStyle w:val="NIEARTTEKSTtekstnieartykuowanynppodstprawnarozplubpreambua"/>
        <w:ind w:firstLine="0"/>
        <w:rPr>
          <w:rFonts w:ascii="Times New Roman" w:hAnsi="Times New Roman" w:cs="Times New Roman"/>
          <w:szCs w:val="24"/>
        </w:rPr>
      </w:pPr>
      <w:r w:rsidRPr="00E66C46">
        <w:rPr>
          <w:rFonts w:ascii="Times New Roman" w:hAnsi="Times New Roman" w:cs="Times New Roman"/>
          <w:szCs w:val="24"/>
        </w:rPr>
        <w:t>Zmiany te</w:t>
      </w:r>
      <w:r w:rsidR="00C16203">
        <w:rPr>
          <w:rFonts w:ascii="Times New Roman" w:hAnsi="Times New Roman" w:cs="Times New Roman"/>
          <w:szCs w:val="24"/>
        </w:rPr>
        <w:t xml:space="preserve"> </w:t>
      </w:r>
      <w:r w:rsidRPr="00E66C46">
        <w:rPr>
          <w:rFonts w:ascii="Times New Roman" w:hAnsi="Times New Roman" w:cs="Times New Roman"/>
          <w:szCs w:val="24"/>
          <w:lang w:eastAsia="en-US"/>
        </w:rPr>
        <w:t xml:space="preserve">przyczynią się do lepszego funkcjonowanie portów i przystani </w:t>
      </w:r>
      <w:r w:rsidRPr="00E66C46">
        <w:rPr>
          <w:rFonts w:ascii="Times New Roman" w:hAnsi="Times New Roman" w:cs="Times New Roman"/>
          <w:szCs w:val="24"/>
        </w:rPr>
        <w:t xml:space="preserve">żeglarskich, </w:t>
      </w:r>
      <w:r w:rsidRPr="00E66C46">
        <w:rPr>
          <w:rFonts w:ascii="Times New Roman" w:hAnsi="Times New Roman" w:cs="Times New Roman"/>
          <w:szCs w:val="24"/>
          <w:lang w:eastAsia="en-US"/>
        </w:rPr>
        <w:t>do których zawijają jachty i inne jednostki pływające o długości do 24 m.</w:t>
      </w:r>
    </w:p>
    <w:p w:rsidR="00C665A3" w:rsidRPr="00E66C46" w:rsidRDefault="00C665A3" w:rsidP="00014240">
      <w:pPr>
        <w:pStyle w:val="ARTartustawynprozporzdzenia"/>
        <w:ind w:firstLine="0"/>
        <w:rPr>
          <w:rFonts w:ascii="Times New Roman" w:hAnsi="Times New Roman" w:cs="Times New Roman"/>
          <w:szCs w:val="24"/>
          <w:lang w:eastAsia="en-US"/>
        </w:rPr>
      </w:pPr>
      <w:r w:rsidRPr="00E66C46">
        <w:rPr>
          <w:rFonts w:ascii="Times New Roman" w:hAnsi="Times New Roman" w:cs="Times New Roman"/>
          <w:szCs w:val="24"/>
        </w:rPr>
        <w:t>Przesłanką, która zdecydowała o włączeniu dokumentu rejestracyjnego do katalogu dokumentów kategorii pierwszej, jest możliwość wykorzystana go celem jednoznacznej identyfikacji jednostki pływającej, potwierdzenia jej przynależności państwowej i prawa podnoszenia polskiej bandery, a także możliwość potwierdzenia praw własności do tejże jednostki.</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Style w:val="Ppogrubienie"/>
          <w:rFonts w:ascii="Times New Roman" w:hAnsi="Times New Roman" w:cs="Times New Roman"/>
          <w:szCs w:val="24"/>
        </w:rPr>
        <w:t>Art. 11.</w:t>
      </w:r>
      <w:r w:rsidRPr="00E66C46">
        <w:rPr>
          <w:rFonts w:ascii="Times New Roman" w:hAnsi="Times New Roman" w:cs="Times New Roman"/>
          <w:szCs w:val="24"/>
          <w:lang w:eastAsia="en-US"/>
        </w:rPr>
        <w:t xml:space="preserve"> Stanowi przepis przejściowy, przewidujący, że utworzone na mocy obecnie obowiązującej ustawy o portach podmioty zarządzające portami nieposiadającymi podstawowego znaczenia dla gospodarki narodowej utrzymują swój status.</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Fonts w:ascii="Times New Roman" w:hAnsi="Times New Roman" w:cs="Times New Roman"/>
          <w:szCs w:val="24"/>
          <w:lang w:eastAsia="en-US"/>
        </w:rPr>
        <w:t xml:space="preserve">Ponadto podmioty stanowiące w całości własność powiatu, które w dniu wejścia w życie ustawy wykonują działalność w zakresie zarządzania portami morskimi innymi </w:t>
      </w:r>
      <w:r w:rsidRPr="00E66C46">
        <w:rPr>
          <w:rFonts w:ascii="Times New Roman" w:hAnsi="Times New Roman" w:cs="Times New Roman"/>
          <w:szCs w:val="24"/>
          <w:lang w:eastAsia="en-US"/>
        </w:rPr>
        <w:lastRenderedPageBreak/>
        <w:t>niż porty o podstawowym znaczeniu dla gospodarki narodowej, również zachowują status podmiotu zarządzającego.</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Style w:val="Ppogrubienie"/>
          <w:rFonts w:ascii="Times New Roman" w:hAnsi="Times New Roman" w:cs="Times New Roman"/>
          <w:szCs w:val="24"/>
        </w:rPr>
        <w:t>Art. 12</w:t>
      </w:r>
      <w:r w:rsidRPr="00E66C46">
        <w:rPr>
          <w:rFonts w:ascii="Times New Roman" w:hAnsi="Times New Roman" w:cs="Times New Roman"/>
          <w:szCs w:val="24"/>
          <w:lang w:eastAsia="en-US"/>
        </w:rPr>
        <w:t xml:space="preserve"> wskazuje, iż</w:t>
      </w:r>
      <w:r w:rsidRPr="00E66C46">
        <w:rPr>
          <w:rFonts w:ascii="Times New Roman" w:hAnsi="Times New Roman" w:cs="Times New Roman"/>
          <w:szCs w:val="24"/>
        </w:rPr>
        <w:t xml:space="preserve"> do</w:t>
      </w:r>
      <w:r w:rsidRPr="00E66C46">
        <w:rPr>
          <w:rFonts w:ascii="Times New Roman" w:hAnsi="Times New Roman" w:cs="Times New Roman"/>
          <w:szCs w:val="24"/>
          <w:lang w:eastAsia="en-US"/>
        </w:rPr>
        <w:t xml:space="preserve"> postępowa</w:t>
      </w:r>
      <w:r w:rsidRPr="00E66C46">
        <w:rPr>
          <w:rFonts w:ascii="Times New Roman" w:hAnsi="Times New Roman" w:cs="Times New Roman"/>
          <w:szCs w:val="24"/>
        </w:rPr>
        <w:t xml:space="preserve">ń </w:t>
      </w:r>
      <w:r w:rsidRPr="00E66C46">
        <w:rPr>
          <w:rFonts w:ascii="Times New Roman" w:hAnsi="Times New Roman" w:cs="Times New Roman"/>
          <w:szCs w:val="24"/>
          <w:lang w:eastAsia="en-US"/>
        </w:rPr>
        <w:t>prowadzon</w:t>
      </w:r>
      <w:r w:rsidRPr="00E66C46">
        <w:rPr>
          <w:rFonts w:ascii="Times New Roman" w:hAnsi="Times New Roman" w:cs="Times New Roman"/>
          <w:szCs w:val="24"/>
        </w:rPr>
        <w:t>ych</w:t>
      </w:r>
      <w:r w:rsidRPr="00E66C46">
        <w:rPr>
          <w:rFonts w:ascii="Times New Roman" w:hAnsi="Times New Roman" w:cs="Times New Roman"/>
          <w:szCs w:val="24"/>
          <w:lang w:eastAsia="en-US"/>
        </w:rPr>
        <w:t xml:space="preserve"> na podstawie</w:t>
      </w:r>
      <w:r w:rsidR="00C16203">
        <w:rPr>
          <w:rFonts w:ascii="Times New Roman" w:hAnsi="Times New Roman" w:cs="Times New Roman"/>
          <w:szCs w:val="24"/>
          <w:lang w:eastAsia="en-US"/>
        </w:rPr>
        <w:t xml:space="preserve"> </w:t>
      </w:r>
      <w:r w:rsidRPr="00E66C46">
        <w:rPr>
          <w:rFonts w:ascii="Times New Roman" w:hAnsi="Times New Roman" w:cs="Times New Roman"/>
          <w:szCs w:val="24"/>
          <w:lang w:eastAsia="en-US"/>
        </w:rPr>
        <w:t>art. 3</w:t>
      </w:r>
      <w:r w:rsidRPr="00E66C46">
        <w:rPr>
          <w:rFonts w:ascii="Times New Roman" w:hAnsi="Times New Roman" w:cs="Times New Roman"/>
          <w:szCs w:val="24"/>
        </w:rPr>
        <w:t xml:space="preserve"> oraz art. 24</w:t>
      </w:r>
      <w:r w:rsidRPr="00E66C46">
        <w:rPr>
          <w:rFonts w:ascii="Times New Roman" w:hAnsi="Times New Roman" w:cs="Times New Roman"/>
          <w:szCs w:val="24"/>
          <w:lang w:eastAsia="en-US"/>
        </w:rPr>
        <w:t xml:space="preserve"> ustawy o portach stosuje się przepisy </w:t>
      </w:r>
      <w:r w:rsidRPr="00E66C46">
        <w:rPr>
          <w:rFonts w:ascii="Times New Roman" w:hAnsi="Times New Roman" w:cs="Times New Roman"/>
          <w:szCs w:val="24"/>
        </w:rPr>
        <w:t xml:space="preserve">ustawy o portach </w:t>
      </w:r>
      <w:r w:rsidRPr="00E66C46">
        <w:rPr>
          <w:rFonts w:ascii="Times New Roman" w:hAnsi="Times New Roman" w:cs="Times New Roman"/>
          <w:szCs w:val="24"/>
          <w:lang w:eastAsia="en-US"/>
        </w:rPr>
        <w:t xml:space="preserve">w brzmieniu nadanym </w:t>
      </w:r>
      <w:r w:rsidRPr="00E66C46">
        <w:rPr>
          <w:rFonts w:ascii="Times New Roman" w:hAnsi="Times New Roman" w:cs="Times New Roman"/>
          <w:szCs w:val="24"/>
        </w:rPr>
        <w:t>przedmiotową nowelizacją zaś do postępowań wszczętych i niezakończonych przed dniem wejścia w życie niniejszej ustawy, prowadzonych w trybie egzekucji sądowych i administracyjnych z prawa własności lub prawa użytkowania wieczystego nieruchomości położonej w granicach portu lub przystani morskiej lub udziału w takim prawie, stosuje się przepisy dotychczasowe.</w:t>
      </w:r>
    </w:p>
    <w:p w:rsidR="00C665A3" w:rsidRPr="00E66C46" w:rsidRDefault="00C665A3" w:rsidP="00014240">
      <w:pPr>
        <w:pStyle w:val="NIEARTTEKSTtekstnieartykuowanynppodstprawnarozplubpreambua"/>
        <w:ind w:firstLine="0"/>
        <w:rPr>
          <w:rFonts w:ascii="Times New Roman" w:hAnsi="Times New Roman" w:cs="Times New Roman"/>
          <w:szCs w:val="24"/>
        </w:rPr>
      </w:pPr>
      <w:r w:rsidRPr="00E66C46">
        <w:rPr>
          <w:rStyle w:val="Ppogrubienie"/>
          <w:rFonts w:ascii="Times New Roman" w:hAnsi="Times New Roman" w:cs="Times New Roman"/>
          <w:szCs w:val="24"/>
        </w:rPr>
        <w:t xml:space="preserve">Art. 13 </w:t>
      </w:r>
      <w:r w:rsidRPr="00E66C46">
        <w:rPr>
          <w:rFonts w:ascii="Times New Roman" w:hAnsi="Times New Roman" w:cs="Times New Roman"/>
          <w:szCs w:val="24"/>
        </w:rPr>
        <w:t>wskazuje, że dane dot. przeładunków, obsłużonych pasażerów i potencjału portów i przystani morskich, za rok 2018 przekazywane będą w terminie 3 miesięcy od dnia wejścia w życie niniejszej ustawy.</w:t>
      </w:r>
    </w:p>
    <w:p w:rsidR="00C665A3" w:rsidRPr="00E66C46" w:rsidRDefault="00C665A3" w:rsidP="00014240">
      <w:pPr>
        <w:pStyle w:val="NIEARTTEKSTtekstnieartykuowanynppodstprawnarozplubpreambua"/>
        <w:ind w:firstLine="0"/>
        <w:rPr>
          <w:rFonts w:ascii="Times New Roman" w:hAnsi="Times New Roman" w:cs="Times New Roman"/>
          <w:b/>
          <w:szCs w:val="24"/>
        </w:rPr>
      </w:pPr>
      <w:r w:rsidRPr="00E66C46">
        <w:rPr>
          <w:rStyle w:val="Ppogrubienie"/>
          <w:rFonts w:ascii="Times New Roman" w:hAnsi="Times New Roman" w:cs="Times New Roman"/>
          <w:szCs w:val="24"/>
        </w:rPr>
        <w:t xml:space="preserve">Art. 14 </w:t>
      </w:r>
      <w:r w:rsidRPr="00E66C46">
        <w:rPr>
          <w:rFonts w:ascii="Times New Roman" w:hAnsi="Times New Roman" w:cs="Times New Roman"/>
          <w:szCs w:val="24"/>
          <w:lang w:eastAsia="en-US"/>
        </w:rPr>
        <w:t xml:space="preserve">stanowi również przepis przejściowy, przewidujący, że spółki zależne od pomiotów zarządzających, które w dniu wejścia w życie ustawy wykonują przeładunki lub usługi pasażerskie mogą nadal je wykonywać. </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Fonts w:ascii="Times New Roman" w:hAnsi="Times New Roman" w:cs="Times New Roman"/>
          <w:szCs w:val="24"/>
          <w:lang w:eastAsia="en-US"/>
        </w:rPr>
        <w:t>Jak już wyżej wskazano, rozporządzenie nr 2017/352 dopuszcza, by podmioty zarządzające wykonywały usługi portowe samodzielnie lub za pośrednictwem podmiotów zależnych. Jednocześnie</w:t>
      </w:r>
      <w:r w:rsidR="00C16203">
        <w:rPr>
          <w:rFonts w:ascii="Times New Roman" w:hAnsi="Times New Roman" w:cs="Times New Roman"/>
          <w:szCs w:val="24"/>
          <w:lang w:eastAsia="en-US"/>
        </w:rPr>
        <w:t xml:space="preserve"> </w:t>
      </w:r>
      <w:r w:rsidRPr="00E66C46">
        <w:rPr>
          <w:rFonts w:ascii="Times New Roman" w:hAnsi="Times New Roman" w:cs="Times New Roman"/>
          <w:szCs w:val="24"/>
          <w:lang w:eastAsia="en-US"/>
        </w:rPr>
        <w:t>w odniesieniu do usług objętych rozdziałem II rozporządzenia 2017/352, tj. bunkrowania, cumowania, odbierania odpadów wytwarzanych przez statki oraz holowania, rozporządzenie to wprowadza pewne ograniczenia. Ograniczenia te nie mają zastosowania do usług wyłączonych z zakresu rozdziału II, tj. przeładunku, usług pasażerskich i pilotażu.</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Fonts w:ascii="Times New Roman" w:hAnsi="Times New Roman" w:cs="Times New Roman"/>
          <w:szCs w:val="24"/>
        </w:rPr>
        <w:t>W</w:t>
      </w:r>
      <w:r w:rsidRPr="00E66C46">
        <w:rPr>
          <w:rFonts w:ascii="Times New Roman" w:hAnsi="Times New Roman" w:cs="Times New Roman"/>
          <w:szCs w:val="24"/>
          <w:lang w:eastAsia="en-US"/>
        </w:rPr>
        <w:t xml:space="preserve"> wyniku konsultacji i uzgodnień poczynionych podczas trwających w 2017 r. </w:t>
      </w:r>
      <w:proofErr w:type="spellStart"/>
      <w:r w:rsidRPr="00E66C46">
        <w:rPr>
          <w:rFonts w:ascii="Times New Roman" w:hAnsi="Times New Roman" w:cs="Times New Roman"/>
          <w:szCs w:val="24"/>
          <w:lang w:eastAsia="en-US"/>
        </w:rPr>
        <w:t>prekonsultacji</w:t>
      </w:r>
      <w:proofErr w:type="spellEnd"/>
      <w:r w:rsidRPr="00E66C46">
        <w:rPr>
          <w:rFonts w:ascii="Times New Roman" w:hAnsi="Times New Roman" w:cs="Times New Roman"/>
          <w:szCs w:val="24"/>
          <w:lang w:eastAsia="en-US"/>
        </w:rPr>
        <w:t xml:space="preserve"> projektu nowelizacji, na wniosek rad interesantów portów (skupiających działających w portach przedsiębiorców, w szczególności operatorów terminali) ustalono, że podmioty zarządzające nie będą mogły wykonywać przeładunku i usług pasażerskich. Rozwiązanie to wprowadzone zostało ze względu na obawę rad interesantów co do możliwości tworzenia przez zarządy portów spółek, które przejmować będą ładunki od działających obecnie w porcie operatorów terminali.</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Fonts w:ascii="Times New Roman" w:hAnsi="Times New Roman" w:cs="Times New Roman"/>
          <w:szCs w:val="24"/>
          <w:lang w:eastAsia="en-US"/>
        </w:rPr>
        <w:t xml:space="preserve">Zgodnie z wypracowanym z radami interesantów i zarządami portów kompromisem, zakaz ten jednak zgodnie z projektowanym art. 12 </w:t>
      </w:r>
      <w:r w:rsidR="00C83789">
        <w:rPr>
          <w:rFonts w:ascii="Times New Roman" w:hAnsi="Times New Roman" w:cs="Times New Roman"/>
          <w:szCs w:val="24"/>
          <w:lang w:eastAsia="en-US"/>
        </w:rPr>
        <w:t>–</w:t>
      </w:r>
      <w:r w:rsidRPr="00E66C46">
        <w:rPr>
          <w:rFonts w:ascii="Times New Roman" w:hAnsi="Times New Roman" w:cs="Times New Roman"/>
          <w:szCs w:val="24"/>
          <w:lang w:eastAsia="en-US"/>
        </w:rPr>
        <w:t xml:space="preserve"> nie będzie dotyczył obecnie funkcjonujących spółek, gdyż powodowałby konieczność ich sprzedaży.</w:t>
      </w:r>
    </w:p>
    <w:p w:rsidR="00C665A3" w:rsidRPr="00E66C46" w:rsidRDefault="00C665A3" w:rsidP="00014240">
      <w:pPr>
        <w:pStyle w:val="NIEARTTEKSTtekstnieartykuowanynppodstprawnarozplubpreambua"/>
        <w:ind w:firstLine="0"/>
        <w:rPr>
          <w:rFonts w:ascii="Times New Roman" w:hAnsi="Times New Roman" w:cs="Times New Roman"/>
          <w:szCs w:val="24"/>
          <w:lang w:eastAsia="en-US"/>
        </w:rPr>
      </w:pPr>
      <w:r w:rsidRPr="00E66C46">
        <w:rPr>
          <w:rFonts w:ascii="Times New Roman" w:hAnsi="Times New Roman" w:cs="Times New Roman"/>
          <w:szCs w:val="24"/>
          <w:lang w:eastAsia="en-US"/>
        </w:rPr>
        <w:lastRenderedPageBreak/>
        <w:t>Tym samym do usług tych nie będzie miał zastosowania art. 5 ust. 1 ustawy z dnia 16 grudnia 2004 r. o zmianie ustawy o portach i przystaniach morskich oraz o zmianie niektórych innych ustaw (Dz.</w:t>
      </w:r>
      <w:r w:rsidR="00781BAC">
        <w:rPr>
          <w:rFonts w:ascii="Times New Roman" w:hAnsi="Times New Roman" w:cs="Times New Roman"/>
          <w:szCs w:val="24"/>
          <w:lang w:eastAsia="en-US"/>
        </w:rPr>
        <w:t xml:space="preserve"> </w:t>
      </w:r>
      <w:r w:rsidRPr="00E66C46">
        <w:rPr>
          <w:rFonts w:ascii="Times New Roman" w:hAnsi="Times New Roman" w:cs="Times New Roman"/>
          <w:szCs w:val="24"/>
          <w:lang w:eastAsia="en-US"/>
        </w:rPr>
        <w:t>U. z 2004 r. poz.</w:t>
      </w:r>
      <w:r w:rsidRPr="00E66C46">
        <w:rPr>
          <w:rFonts w:ascii="Times New Roman" w:hAnsi="Times New Roman" w:cs="Times New Roman"/>
          <w:szCs w:val="24"/>
        </w:rPr>
        <w:t xml:space="preserve"> </w:t>
      </w:r>
      <w:r w:rsidRPr="00E66C46">
        <w:rPr>
          <w:rFonts w:ascii="Times New Roman" w:hAnsi="Times New Roman" w:cs="Times New Roman"/>
          <w:szCs w:val="24"/>
          <w:lang w:eastAsia="en-US"/>
        </w:rPr>
        <w:t>2782</w:t>
      </w:r>
      <w:r w:rsidRPr="00E66C46">
        <w:rPr>
          <w:rFonts w:ascii="Times New Roman" w:hAnsi="Times New Roman" w:cs="Times New Roman"/>
          <w:szCs w:val="24"/>
        </w:rPr>
        <w:t xml:space="preserve">, z </w:t>
      </w:r>
      <w:proofErr w:type="spellStart"/>
      <w:r w:rsidRPr="00E66C46">
        <w:rPr>
          <w:rFonts w:ascii="Times New Roman" w:hAnsi="Times New Roman" w:cs="Times New Roman"/>
          <w:szCs w:val="24"/>
        </w:rPr>
        <w:t>późn</w:t>
      </w:r>
      <w:proofErr w:type="spellEnd"/>
      <w:r w:rsidRPr="00E66C46">
        <w:rPr>
          <w:rFonts w:ascii="Times New Roman" w:hAnsi="Times New Roman" w:cs="Times New Roman"/>
          <w:szCs w:val="24"/>
        </w:rPr>
        <w:t>. zm.</w:t>
      </w:r>
      <w:r w:rsidRPr="00E66C46">
        <w:rPr>
          <w:rFonts w:ascii="Times New Roman" w:hAnsi="Times New Roman" w:cs="Times New Roman"/>
          <w:szCs w:val="24"/>
          <w:lang w:eastAsia="en-US"/>
        </w:rPr>
        <w:t>), który nakazywał podmiotom zarządzającym portami o podstawowym znaczeniu dla gospodarki narodowej zbycie udziałów lub akcji w spółkach działających w sferze eksploatacji, w tym wykonujących usługi wobec ładunków i wobec pasażerów.</w:t>
      </w:r>
    </w:p>
    <w:p w:rsidR="00C665A3" w:rsidRPr="00220E25" w:rsidRDefault="00C665A3" w:rsidP="00014240">
      <w:pPr>
        <w:pStyle w:val="NIEARTTEKSTtekstnieartykuowanynppodstprawnarozplubpreambua"/>
        <w:ind w:firstLine="0"/>
        <w:rPr>
          <w:rFonts w:ascii="Times New Roman" w:hAnsi="Times New Roman" w:cs="Times New Roman"/>
          <w:szCs w:val="24"/>
        </w:rPr>
      </w:pPr>
      <w:r w:rsidRPr="00E66C46">
        <w:rPr>
          <w:rFonts w:ascii="Times New Roman" w:hAnsi="Times New Roman" w:cs="Times New Roman"/>
          <w:szCs w:val="24"/>
          <w:lang w:eastAsia="en-US"/>
        </w:rPr>
        <w:t xml:space="preserve">Niemniej jednak, wskazano, że mimo braku obowiązku zbycia udziałów lub akcji, w przypadku ich zbycia nadal obowiązują </w:t>
      </w:r>
      <w:r w:rsidRPr="00E66C46">
        <w:rPr>
          <w:rFonts w:ascii="Times New Roman" w:hAnsi="Times New Roman" w:cs="Times New Roman"/>
          <w:szCs w:val="24"/>
        </w:rPr>
        <w:t xml:space="preserve">przepisy </w:t>
      </w:r>
      <w:r w:rsidRPr="00E66C46">
        <w:rPr>
          <w:rFonts w:ascii="Times New Roman" w:hAnsi="Times New Roman" w:cs="Times New Roman"/>
          <w:szCs w:val="24"/>
          <w:lang w:eastAsia="en-US"/>
        </w:rPr>
        <w:t xml:space="preserve">art. 5 ust. </w:t>
      </w:r>
      <w:r w:rsidRPr="00E66C46">
        <w:rPr>
          <w:rFonts w:ascii="Times New Roman" w:hAnsi="Times New Roman" w:cs="Times New Roman"/>
          <w:szCs w:val="24"/>
        </w:rPr>
        <w:t>3</w:t>
      </w:r>
      <w:r w:rsidR="00C83789">
        <w:rPr>
          <w:rFonts w:ascii="Times New Roman" w:hAnsi="Times New Roman" w:cs="Times New Roman"/>
          <w:szCs w:val="24"/>
          <w:lang w:eastAsia="en-US"/>
        </w:rPr>
        <w:t>–</w:t>
      </w:r>
      <w:r w:rsidRPr="00220E25">
        <w:rPr>
          <w:rFonts w:ascii="Times New Roman" w:hAnsi="Times New Roman" w:cs="Times New Roman"/>
          <w:szCs w:val="24"/>
          <w:lang w:eastAsia="en-US"/>
        </w:rPr>
        <w:t>6 ww. ustawy z dnia 16 grudnia 2004 r. o zmianie ustawy o portach i przystaniach morskich oraz o zmianie niektórych innych ustaw, nakazujące ich zbycie w trybie publicznym.</w:t>
      </w:r>
    </w:p>
    <w:p w:rsidR="00C665A3" w:rsidRPr="00220E25" w:rsidRDefault="00C665A3" w:rsidP="00014240">
      <w:pPr>
        <w:pStyle w:val="NIEARTTEKSTtekstnieartykuowanynppodstprawnarozplubpreambua"/>
        <w:ind w:firstLine="0"/>
        <w:rPr>
          <w:rFonts w:ascii="Times New Roman" w:hAnsi="Times New Roman" w:cs="Times New Roman"/>
          <w:szCs w:val="24"/>
        </w:rPr>
      </w:pPr>
      <w:r w:rsidRPr="00220E25">
        <w:rPr>
          <w:rStyle w:val="Ppogrubienie"/>
          <w:rFonts w:ascii="Times New Roman" w:hAnsi="Times New Roman" w:cs="Times New Roman"/>
          <w:szCs w:val="24"/>
        </w:rPr>
        <w:t xml:space="preserve">W art. 15 i </w:t>
      </w:r>
      <w:r w:rsidR="00220E25">
        <w:rPr>
          <w:rStyle w:val="Ppogrubienie"/>
          <w:rFonts w:ascii="Times New Roman" w:hAnsi="Times New Roman" w:cs="Times New Roman"/>
          <w:szCs w:val="24"/>
        </w:rPr>
        <w:t xml:space="preserve">art. </w:t>
      </w:r>
      <w:r w:rsidRPr="00220E25">
        <w:rPr>
          <w:rStyle w:val="Ppogrubienie"/>
          <w:rFonts w:ascii="Times New Roman" w:hAnsi="Times New Roman" w:cs="Times New Roman"/>
          <w:szCs w:val="24"/>
        </w:rPr>
        <w:t>16</w:t>
      </w:r>
      <w:r w:rsidR="00C16203">
        <w:rPr>
          <w:rStyle w:val="Ppogrubienie"/>
          <w:rFonts w:ascii="Times New Roman" w:hAnsi="Times New Roman" w:cs="Times New Roman"/>
          <w:szCs w:val="24"/>
        </w:rPr>
        <w:t xml:space="preserve"> </w:t>
      </w:r>
      <w:r w:rsidRPr="00220E25">
        <w:rPr>
          <w:rFonts w:ascii="Times New Roman" w:hAnsi="Times New Roman" w:cs="Times New Roman"/>
          <w:szCs w:val="24"/>
        </w:rPr>
        <w:t>przewidziano, iż do postępowań</w:t>
      </w:r>
      <w:r w:rsidR="00C16203">
        <w:rPr>
          <w:rFonts w:ascii="Times New Roman" w:hAnsi="Times New Roman" w:cs="Times New Roman"/>
          <w:szCs w:val="24"/>
        </w:rPr>
        <w:t xml:space="preserve"> </w:t>
      </w:r>
      <w:r w:rsidRPr="00220E25">
        <w:rPr>
          <w:rFonts w:ascii="Times New Roman" w:hAnsi="Times New Roman" w:cs="Times New Roman"/>
          <w:szCs w:val="24"/>
        </w:rPr>
        <w:t xml:space="preserve">wszczętych i niezakończonych przed dniem wejścia w życie ustawy stosuje się przepisy ustaw zmienianych w art. 6 oraz art. 7 w brzmieniu nadanym niniejszą ustawą, ze wskazaniem jak to postępowanie będzie wyglądało po wejście w życiu ustawy (tryb uzupełnienia opinii i uzgodnień). </w:t>
      </w:r>
    </w:p>
    <w:p w:rsidR="00C665A3" w:rsidRPr="00220E25" w:rsidRDefault="00C665A3" w:rsidP="00014240">
      <w:pPr>
        <w:pStyle w:val="NIEARTTEKSTtekstnieartykuowanynppodstprawnarozplubpreambua"/>
        <w:ind w:firstLine="0"/>
        <w:rPr>
          <w:rFonts w:ascii="Times New Roman" w:hAnsi="Times New Roman" w:cs="Times New Roman"/>
          <w:szCs w:val="24"/>
          <w:lang w:eastAsia="en-US"/>
        </w:rPr>
      </w:pPr>
      <w:r w:rsidRPr="00220E25">
        <w:rPr>
          <w:rStyle w:val="Ppogrubienie"/>
          <w:rFonts w:ascii="Times New Roman" w:hAnsi="Times New Roman" w:cs="Times New Roman"/>
          <w:szCs w:val="24"/>
        </w:rPr>
        <w:t>Art. 17</w:t>
      </w:r>
      <w:r w:rsidRPr="00220E25">
        <w:rPr>
          <w:rFonts w:ascii="Times New Roman" w:hAnsi="Times New Roman" w:cs="Times New Roman"/>
          <w:szCs w:val="24"/>
          <w:lang w:eastAsia="en-US"/>
        </w:rPr>
        <w:t xml:space="preserve"> przewiduje utrzymanie w mocy wydanych na podstawie obecnie obowiązując</w:t>
      </w:r>
      <w:r w:rsidRPr="00220E25">
        <w:rPr>
          <w:rFonts w:ascii="Times New Roman" w:hAnsi="Times New Roman" w:cs="Times New Roman"/>
          <w:szCs w:val="24"/>
        </w:rPr>
        <w:t>ych</w:t>
      </w:r>
      <w:r w:rsidRPr="00220E25">
        <w:rPr>
          <w:rFonts w:ascii="Times New Roman" w:hAnsi="Times New Roman" w:cs="Times New Roman"/>
          <w:szCs w:val="24"/>
          <w:lang w:eastAsia="en-US"/>
        </w:rPr>
        <w:t xml:space="preserve"> art. 24 </w:t>
      </w:r>
      <w:r w:rsidRPr="00220E25">
        <w:rPr>
          <w:rFonts w:ascii="Times New Roman" w:hAnsi="Times New Roman" w:cs="Times New Roman"/>
          <w:szCs w:val="24"/>
        </w:rPr>
        <w:t xml:space="preserve">i art. 37 ust. 1d </w:t>
      </w:r>
      <w:r w:rsidRPr="00220E25">
        <w:rPr>
          <w:rFonts w:ascii="Times New Roman" w:hAnsi="Times New Roman" w:cs="Times New Roman"/>
          <w:szCs w:val="24"/>
          <w:lang w:eastAsia="en-US"/>
        </w:rPr>
        <w:t>ustawy o obszarach morskich Rzeczypospolitej Polskiej i administracji morskiej zarządzeń dyrektorów urzędów morskich</w:t>
      </w:r>
      <w:r w:rsidRPr="00220E25">
        <w:rPr>
          <w:rFonts w:ascii="Times New Roman" w:hAnsi="Times New Roman" w:cs="Times New Roman"/>
          <w:szCs w:val="24"/>
        </w:rPr>
        <w:t xml:space="preserve"> i rozporządzenia Ministra Gospodarki Morskiej i Żeglugi Śródlądowej do dnia wejścia w życie przepisów wykonawczych wydanych odpowiednio na podstawie art. 24 i art. 37 ust. 1d ustawy zmienianej w art. 3</w:t>
      </w:r>
    </w:p>
    <w:p w:rsidR="00C665A3" w:rsidRPr="00220E25" w:rsidRDefault="00C665A3" w:rsidP="00014240">
      <w:pPr>
        <w:pStyle w:val="NIEARTTEKSTtekstnieartykuowanynppodstprawnarozplubpreambua"/>
        <w:ind w:firstLine="0"/>
        <w:rPr>
          <w:rFonts w:ascii="Times New Roman" w:hAnsi="Times New Roman" w:cs="Times New Roman"/>
          <w:szCs w:val="24"/>
        </w:rPr>
      </w:pPr>
      <w:r w:rsidRPr="00220E25">
        <w:rPr>
          <w:rStyle w:val="Ppogrubienie"/>
          <w:rFonts w:ascii="Times New Roman" w:hAnsi="Times New Roman" w:cs="Times New Roman"/>
          <w:szCs w:val="24"/>
        </w:rPr>
        <w:t>W art. 18</w:t>
      </w:r>
      <w:r w:rsidRPr="00220E25">
        <w:rPr>
          <w:rFonts w:ascii="Times New Roman" w:hAnsi="Times New Roman" w:cs="Times New Roman"/>
          <w:szCs w:val="24"/>
          <w:lang w:eastAsia="en-US"/>
        </w:rPr>
        <w:t xml:space="preserve"> określono – na podstawie</w:t>
      </w:r>
      <w:r w:rsidR="00C16203">
        <w:rPr>
          <w:rFonts w:ascii="Times New Roman" w:hAnsi="Times New Roman" w:cs="Times New Roman"/>
          <w:szCs w:val="24"/>
          <w:lang w:eastAsia="en-US"/>
        </w:rPr>
        <w:t xml:space="preserve"> </w:t>
      </w:r>
      <w:r w:rsidRPr="00220E25">
        <w:rPr>
          <w:rFonts w:ascii="Times New Roman" w:hAnsi="Times New Roman" w:cs="Times New Roman"/>
          <w:szCs w:val="24"/>
          <w:lang w:eastAsia="en-US"/>
        </w:rPr>
        <w:t xml:space="preserve">Oceny Skutków Regulacji </w:t>
      </w:r>
      <w:r w:rsidR="00C83789">
        <w:rPr>
          <w:rFonts w:ascii="Times New Roman" w:hAnsi="Times New Roman" w:cs="Times New Roman"/>
          <w:szCs w:val="24"/>
          <w:lang w:eastAsia="en-US"/>
        </w:rPr>
        <w:t>–</w:t>
      </w:r>
      <w:r w:rsidRPr="00220E25">
        <w:rPr>
          <w:rFonts w:ascii="Times New Roman" w:hAnsi="Times New Roman" w:cs="Times New Roman"/>
          <w:szCs w:val="24"/>
          <w:lang w:eastAsia="en-US"/>
        </w:rPr>
        <w:t xml:space="preserve"> maksymalny limit wydatków budżetu państwa wynikających z ustawy</w:t>
      </w:r>
      <w:r w:rsidRPr="00220E25">
        <w:rPr>
          <w:rFonts w:ascii="Times New Roman" w:hAnsi="Times New Roman" w:cs="Times New Roman"/>
          <w:szCs w:val="24"/>
        </w:rPr>
        <w:t xml:space="preserve"> oraz określono możliwość wprowadzenia mechanizmu korygującego </w:t>
      </w:r>
      <w:r w:rsidR="00C83789">
        <w:rPr>
          <w:rFonts w:ascii="Times New Roman" w:hAnsi="Times New Roman" w:cs="Times New Roman"/>
          <w:szCs w:val="24"/>
        </w:rPr>
        <w:t>–</w:t>
      </w:r>
      <w:r w:rsidRPr="00220E25">
        <w:rPr>
          <w:rFonts w:ascii="Times New Roman" w:hAnsi="Times New Roman" w:cs="Times New Roman"/>
          <w:szCs w:val="24"/>
        </w:rPr>
        <w:t xml:space="preserve"> obniżenia kosztów utrzymania nowo powstałych stanowisk pracy </w:t>
      </w:r>
      <w:r w:rsidR="00C83789">
        <w:rPr>
          <w:rFonts w:ascii="Times New Roman" w:hAnsi="Times New Roman" w:cs="Times New Roman"/>
          <w:szCs w:val="24"/>
        </w:rPr>
        <w:t>–</w:t>
      </w:r>
      <w:r w:rsidRPr="00220E25">
        <w:rPr>
          <w:rFonts w:ascii="Times New Roman" w:hAnsi="Times New Roman" w:cs="Times New Roman"/>
          <w:szCs w:val="24"/>
        </w:rPr>
        <w:t xml:space="preserve"> w przypadku przekroczenia lub zagrożenia przekroczenia przyjętego na dany rok budżetowy maksymalnego limitu wydatków.</w:t>
      </w:r>
    </w:p>
    <w:p w:rsidR="00C665A3" w:rsidRPr="00220E25" w:rsidRDefault="00C665A3" w:rsidP="00220E25">
      <w:pPr>
        <w:pStyle w:val="ARTartustawynprozporzdzenia"/>
        <w:ind w:firstLine="0"/>
        <w:rPr>
          <w:rFonts w:ascii="Times New Roman" w:hAnsi="Times New Roman" w:cs="Times New Roman"/>
          <w:szCs w:val="24"/>
        </w:rPr>
      </w:pPr>
      <w:r w:rsidRPr="00220E25">
        <w:rPr>
          <w:rFonts w:ascii="Times New Roman" w:hAnsi="Times New Roman" w:cs="Times New Roman"/>
          <w:szCs w:val="24"/>
        </w:rPr>
        <w:t xml:space="preserve">W art. 19 określono maksymalny limit wydatków budżetu państwa wynikających z ustawy w zakresie wydatków niezbędnych do poniesienia przez Generalnego Dyrektora Dróg Krajowych i Autostrad. Wydatki te stanowią dodatkowe środki zapewniane ponad dotychczasowe limity przeznaczane na wydatki drogowe z części 39 – transport. W artykule tym określono także możliwość wprowadzenia mechanizmu korygującego – obniżenia kosztów przez rezygnację z części zadań bądź ograniczenie ich zakresu rzeczowego – w przypadku przekroczenia lub zagrożenia przekroczenia przyjętego na </w:t>
      </w:r>
      <w:r w:rsidRPr="00220E25">
        <w:rPr>
          <w:rFonts w:ascii="Times New Roman" w:hAnsi="Times New Roman" w:cs="Times New Roman"/>
          <w:szCs w:val="24"/>
        </w:rPr>
        <w:lastRenderedPageBreak/>
        <w:t xml:space="preserve">dany rok budżetowy maksymalnego limitu wydatków. W przypadku późniejszej decyzji o sfinansowaniu robót budowlanych w zakresie budowy dróg dostępowych do portów morskich z Krajowego Funduszu Drogowego część wskazanej w art. 19 kwoty zostanie zapewniona jako dodatkowe środki w kolejnych planach finansowych Krajowego Funduszu Drogowego jako dotacje z budżetu państwa bądź odpowiednie przesunięcie środków z podatku akcyzowego. </w:t>
      </w:r>
    </w:p>
    <w:p w:rsidR="00C665A3" w:rsidRPr="00220E25" w:rsidRDefault="00C665A3" w:rsidP="00220E25">
      <w:pPr>
        <w:pStyle w:val="NIEARTTEKSTtekstnieartykuowanynppodstprawnarozplubpreambua"/>
        <w:tabs>
          <w:tab w:val="left" w:pos="426"/>
        </w:tabs>
        <w:ind w:firstLine="0"/>
        <w:rPr>
          <w:rFonts w:ascii="Times New Roman" w:hAnsi="Times New Roman" w:cs="Times New Roman"/>
          <w:szCs w:val="24"/>
        </w:rPr>
      </w:pPr>
      <w:r w:rsidRPr="00220E25">
        <w:rPr>
          <w:rFonts w:ascii="Times New Roman" w:hAnsi="Times New Roman" w:cs="Times New Roman"/>
          <w:szCs w:val="24"/>
        </w:rPr>
        <w:t>II.</w:t>
      </w:r>
      <w:r w:rsidR="00C83789">
        <w:rPr>
          <w:rFonts w:ascii="Times New Roman" w:hAnsi="Times New Roman" w:cs="Times New Roman"/>
          <w:szCs w:val="24"/>
        </w:rPr>
        <w:tab/>
      </w:r>
      <w:r w:rsidRPr="00220E25">
        <w:rPr>
          <w:rFonts w:ascii="Times New Roman" w:hAnsi="Times New Roman" w:cs="Times New Roman"/>
          <w:szCs w:val="24"/>
          <w:lang w:eastAsia="en-US"/>
        </w:rPr>
        <w:t xml:space="preserve">Termin wejścia w życie ustawy – </w:t>
      </w:r>
      <w:r w:rsidRPr="00220E25">
        <w:rPr>
          <w:rStyle w:val="Ppogrubienie"/>
          <w:rFonts w:ascii="Times New Roman" w:hAnsi="Times New Roman" w:cs="Times New Roman"/>
          <w:szCs w:val="24"/>
        </w:rPr>
        <w:t>art. 20</w:t>
      </w:r>
      <w:bookmarkStart w:id="0" w:name="_GoBack"/>
      <w:bookmarkEnd w:id="0"/>
    </w:p>
    <w:p w:rsidR="00C665A3" w:rsidRPr="00220E25" w:rsidRDefault="00C665A3" w:rsidP="00220E25">
      <w:pPr>
        <w:spacing w:before="120" w:after="0" w:line="360" w:lineRule="auto"/>
        <w:jc w:val="both"/>
        <w:rPr>
          <w:rFonts w:ascii="Times New Roman" w:hAnsi="Times New Roman" w:cs="Times New Roman"/>
          <w:sz w:val="24"/>
          <w:szCs w:val="24"/>
        </w:rPr>
      </w:pPr>
      <w:r w:rsidRPr="00220E25">
        <w:rPr>
          <w:rFonts w:ascii="Times New Roman" w:hAnsi="Times New Roman" w:cs="Times New Roman"/>
          <w:sz w:val="24"/>
          <w:szCs w:val="24"/>
        </w:rPr>
        <w:t>Ustawa wejdzie w życie po upływie 7 dni od dnia ogłoszenia, z wyjątkiem art. 25 ust. 5 ustawy zmienianej w art. 1, który wchodzi w życie z dniem 1 stycznia 2020 r. Przepis art. 25 ust. 5 ustawy o portach przewiduje, że</w:t>
      </w:r>
      <w:r w:rsidR="00C16203">
        <w:rPr>
          <w:rFonts w:ascii="Times New Roman" w:hAnsi="Times New Roman" w:cs="Times New Roman"/>
          <w:sz w:val="24"/>
          <w:szCs w:val="24"/>
        </w:rPr>
        <w:t xml:space="preserve"> </w:t>
      </w:r>
      <w:r w:rsidRPr="00220E25">
        <w:rPr>
          <w:rFonts w:ascii="Times New Roman" w:hAnsi="Times New Roman" w:cs="Times New Roman"/>
          <w:sz w:val="24"/>
          <w:szCs w:val="24"/>
        </w:rPr>
        <w:t>gmina lub dyrektor urzędu morskiego może powierzyć zarządzanie portem lub przystanią morską w drodze koncesji lub w ramach PPP.</w:t>
      </w:r>
      <w:r w:rsidR="00C16203">
        <w:rPr>
          <w:rFonts w:ascii="Times New Roman" w:hAnsi="Times New Roman" w:cs="Times New Roman"/>
          <w:sz w:val="24"/>
          <w:szCs w:val="24"/>
        </w:rPr>
        <w:t xml:space="preserve"> </w:t>
      </w:r>
      <w:r w:rsidRPr="00220E25">
        <w:rPr>
          <w:rFonts w:ascii="Times New Roman" w:hAnsi="Times New Roman" w:cs="Times New Roman"/>
          <w:sz w:val="24"/>
          <w:szCs w:val="24"/>
        </w:rPr>
        <w:t>Czas do 1 stycznia 2020 r. to czas pozwalający gminie przeprowadzić procedurę komunalizacji gruntów i przejęcie zarządzania portem lub przystania morską, jeżeli dana gmina zamierza przejąć zarządzanie portem.</w:t>
      </w:r>
    </w:p>
    <w:p w:rsidR="00C665A3" w:rsidRPr="00220E25" w:rsidRDefault="00C665A3" w:rsidP="00220E25">
      <w:pPr>
        <w:pStyle w:val="NIEARTTEKSTtekstnieartykuowanynppodstprawnarozplubpreambua"/>
        <w:tabs>
          <w:tab w:val="left" w:pos="426"/>
        </w:tabs>
        <w:ind w:firstLine="0"/>
        <w:rPr>
          <w:rFonts w:ascii="Times New Roman" w:hAnsi="Times New Roman" w:cs="Times New Roman"/>
          <w:szCs w:val="24"/>
          <w:lang w:eastAsia="en-US"/>
        </w:rPr>
      </w:pPr>
      <w:r w:rsidRPr="00220E25">
        <w:rPr>
          <w:rFonts w:ascii="Times New Roman" w:hAnsi="Times New Roman" w:cs="Times New Roman"/>
          <w:szCs w:val="24"/>
        </w:rPr>
        <w:t>III.</w:t>
      </w:r>
      <w:r w:rsidR="00C83789">
        <w:rPr>
          <w:rFonts w:ascii="Times New Roman" w:hAnsi="Times New Roman" w:cs="Times New Roman"/>
          <w:szCs w:val="24"/>
        </w:rPr>
        <w:tab/>
      </w:r>
      <w:r w:rsidRPr="00220E25">
        <w:rPr>
          <w:rFonts w:ascii="Times New Roman" w:hAnsi="Times New Roman" w:cs="Times New Roman"/>
          <w:szCs w:val="24"/>
          <w:lang w:eastAsia="en-US"/>
        </w:rPr>
        <w:t>Projekt będzie pozytywnie wpływać na sytuację mikro-, małych i</w:t>
      </w:r>
      <w:r w:rsidR="00C16203">
        <w:rPr>
          <w:rFonts w:ascii="Times New Roman" w:hAnsi="Times New Roman" w:cs="Times New Roman"/>
          <w:szCs w:val="24"/>
          <w:lang w:eastAsia="en-US"/>
        </w:rPr>
        <w:t xml:space="preserve"> </w:t>
      </w:r>
      <w:r w:rsidRPr="00220E25">
        <w:rPr>
          <w:rFonts w:ascii="Times New Roman" w:hAnsi="Times New Roman" w:cs="Times New Roman"/>
          <w:szCs w:val="24"/>
          <w:lang w:eastAsia="en-US"/>
        </w:rPr>
        <w:t xml:space="preserve">średnich przedsiębiorstw. Projektowana regulacja ma na celu m.in. wzmocnienie pozycji podmiotów zarządzających portami i przystaniami morskimi oraz usprawnienie funkcjonowania portów. </w:t>
      </w:r>
    </w:p>
    <w:p w:rsidR="00C665A3" w:rsidRPr="00220E25" w:rsidRDefault="00C665A3" w:rsidP="00220E25">
      <w:pPr>
        <w:pStyle w:val="NIEARTTEKSTtekstnieartykuowanynppodstprawnarozplubpreambua"/>
        <w:tabs>
          <w:tab w:val="left" w:pos="426"/>
        </w:tabs>
        <w:ind w:firstLine="0"/>
        <w:rPr>
          <w:rFonts w:ascii="Times New Roman" w:hAnsi="Times New Roman" w:cs="Times New Roman"/>
          <w:szCs w:val="24"/>
          <w:lang w:eastAsia="en-US"/>
        </w:rPr>
      </w:pPr>
      <w:r w:rsidRPr="00220E25">
        <w:rPr>
          <w:rFonts w:ascii="Times New Roman" w:hAnsi="Times New Roman" w:cs="Times New Roman"/>
          <w:szCs w:val="24"/>
        </w:rPr>
        <w:t>IV.</w:t>
      </w:r>
      <w:r w:rsidR="00C83789">
        <w:rPr>
          <w:rFonts w:ascii="Times New Roman" w:hAnsi="Times New Roman" w:cs="Times New Roman"/>
          <w:szCs w:val="24"/>
          <w:lang w:eastAsia="en-US"/>
        </w:rPr>
        <w:tab/>
      </w:r>
      <w:r w:rsidRPr="00220E25">
        <w:rPr>
          <w:rFonts w:ascii="Times New Roman" w:hAnsi="Times New Roman" w:cs="Times New Roman"/>
          <w:szCs w:val="24"/>
          <w:lang w:eastAsia="en-US"/>
        </w:rPr>
        <w:t xml:space="preserve">Projektowana ustawa nie podlega notyfikacji w trybie przewidzianym w rozporządzeniu Rady Ministrów z dnia 23 grudnia 2002 r. w sprawie sposobu funkcjonowania krajowego systemu notyfikacji norm i aktów prawnych (Dz. U. poz. 2039, z </w:t>
      </w:r>
      <w:proofErr w:type="spellStart"/>
      <w:r w:rsidRPr="00220E25">
        <w:rPr>
          <w:rFonts w:ascii="Times New Roman" w:hAnsi="Times New Roman" w:cs="Times New Roman"/>
          <w:szCs w:val="24"/>
          <w:lang w:eastAsia="en-US"/>
        </w:rPr>
        <w:t>późn</w:t>
      </w:r>
      <w:proofErr w:type="spellEnd"/>
      <w:r w:rsidRPr="00220E25">
        <w:rPr>
          <w:rFonts w:ascii="Times New Roman" w:hAnsi="Times New Roman" w:cs="Times New Roman"/>
          <w:szCs w:val="24"/>
          <w:lang w:eastAsia="en-US"/>
        </w:rPr>
        <w:t>. zm.).</w:t>
      </w:r>
    </w:p>
    <w:p w:rsidR="00C665A3" w:rsidRPr="00220E25" w:rsidRDefault="00C665A3" w:rsidP="00220E25">
      <w:pPr>
        <w:pStyle w:val="NIEARTTEKSTtekstnieartykuowanynppodstprawnarozplubpreambua"/>
        <w:tabs>
          <w:tab w:val="left" w:pos="426"/>
        </w:tabs>
        <w:ind w:firstLine="0"/>
        <w:rPr>
          <w:rFonts w:ascii="Times New Roman" w:hAnsi="Times New Roman" w:cs="Times New Roman"/>
          <w:szCs w:val="24"/>
          <w:lang w:eastAsia="en-US"/>
        </w:rPr>
      </w:pPr>
      <w:r w:rsidRPr="00220E25">
        <w:rPr>
          <w:rFonts w:ascii="Times New Roman" w:hAnsi="Times New Roman" w:cs="Times New Roman"/>
          <w:szCs w:val="24"/>
        </w:rPr>
        <w:t>V.</w:t>
      </w:r>
      <w:r w:rsidR="00C83789">
        <w:rPr>
          <w:rFonts w:ascii="Times New Roman" w:hAnsi="Times New Roman" w:cs="Times New Roman"/>
          <w:szCs w:val="24"/>
        </w:rPr>
        <w:tab/>
      </w:r>
      <w:r w:rsidRPr="00220E25">
        <w:rPr>
          <w:rFonts w:ascii="Times New Roman" w:hAnsi="Times New Roman" w:cs="Times New Roman"/>
          <w:szCs w:val="24"/>
          <w:lang w:eastAsia="en-US"/>
        </w:rPr>
        <w:t>Projektowana ustawa nie wymaga przedłożenia właściwym instytucjom i organom Unii Europejskiej, w tym Europejskiemu Bankowi Centralnemu</w:t>
      </w:r>
      <w:r w:rsidRPr="00220E25">
        <w:rPr>
          <w:rFonts w:ascii="Times New Roman" w:hAnsi="Times New Roman" w:cs="Times New Roman"/>
          <w:szCs w:val="24"/>
        </w:rPr>
        <w:t>,</w:t>
      </w:r>
      <w:r w:rsidRPr="00220E25">
        <w:rPr>
          <w:rFonts w:ascii="Times New Roman" w:hAnsi="Times New Roman" w:cs="Times New Roman"/>
          <w:szCs w:val="24"/>
          <w:lang w:eastAsia="en-US"/>
        </w:rPr>
        <w:t xml:space="preserve"> w celu uzyskania opinii, dokonania konsultacji lub uzgodnienia, o których mowa w § 39 uchwały Nr 190 Rady Ministrów z dnia 29 października 2013 r. – Regulamin pracy Rady Ministrów (M.P. z 2016 r. poz. 1006, z </w:t>
      </w:r>
      <w:proofErr w:type="spellStart"/>
      <w:r w:rsidRPr="00220E25">
        <w:rPr>
          <w:rFonts w:ascii="Times New Roman" w:hAnsi="Times New Roman" w:cs="Times New Roman"/>
          <w:szCs w:val="24"/>
          <w:lang w:eastAsia="en-US"/>
        </w:rPr>
        <w:t>późn</w:t>
      </w:r>
      <w:proofErr w:type="spellEnd"/>
      <w:r w:rsidRPr="00220E25">
        <w:rPr>
          <w:rFonts w:ascii="Times New Roman" w:hAnsi="Times New Roman" w:cs="Times New Roman"/>
          <w:szCs w:val="24"/>
          <w:lang w:eastAsia="en-US"/>
        </w:rPr>
        <w:t>. zm.).</w:t>
      </w:r>
    </w:p>
    <w:p w:rsidR="00C665A3" w:rsidRPr="00220E25" w:rsidRDefault="00C665A3" w:rsidP="00220E25">
      <w:pPr>
        <w:pStyle w:val="NIEARTTEKSTtekstnieartykuowanynppodstprawnarozplubpreambua"/>
        <w:tabs>
          <w:tab w:val="left" w:pos="426"/>
        </w:tabs>
        <w:ind w:firstLine="0"/>
        <w:rPr>
          <w:rFonts w:ascii="Times New Roman" w:hAnsi="Times New Roman" w:cs="Times New Roman"/>
          <w:szCs w:val="24"/>
          <w:lang w:eastAsia="en-US"/>
        </w:rPr>
      </w:pPr>
      <w:r w:rsidRPr="00220E25">
        <w:rPr>
          <w:rFonts w:ascii="Times New Roman" w:hAnsi="Times New Roman" w:cs="Times New Roman"/>
          <w:szCs w:val="24"/>
        </w:rPr>
        <w:t>VI.</w:t>
      </w:r>
      <w:r w:rsidR="00C83789">
        <w:rPr>
          <w:rFonts w:ascii="Times New Roman" w:hAnsi="Times New Roman" w:cs="Times New Roman"/>
          <w:szCs w:val="24"/>
        </w:rPr>
        <w:tab/>
      </w:r>
      <w:r w:rsidRPr="00220E25">
        <w:rPr>
          <w:rFonts w:ascii="Times New Roman" w:hAnsi="Times New Roman" w:cs="Times New Roman"/>
          <w:szCs w:val="24"/>
          <w:lang w:eastAsia="en-US"/>
        </w:rPr>
        <w:t xml:space="preserve">Zgodnie z art. 5 ustawy z dnia 7 lipca 2005 r. o działalności lobbingowej w procesie stanowienia prawa (Dz. U. z 2017 r. poz. 248), projektowana ustawa została udostępniona na stronach urzędowego informatora teleinformatycznego – w Biuletynie Informacji Publicznej Ministerstwa Gospodarki Morskiej i Żeglugi Śródlądowej. Aktualnie zarejestrowane zostało jedno zgłoszenie zainteresowania pracami nad </w:t>
      </w:r>
      <w:r w:rsidRPr="00220E25">
        <w:rPr>
          <w:rFonts w:ascii="Times New Roman" w:hAnsi="Times New Roman" w:cs="Times New Roman"/>
          <w:szCs w:val="24"/>
          <w:lang w:eastAsia="en-US"/>
        </w:rPr>
        <w:lastRenderedPageBreak/>
        <w:t>projektem ustawy w ramach ww. ustawy. Stosownie do postanowień § 52 uchwały nr 190 Rady Ministrów z dnia 29 października 2013 r. – Regulamin pracy Rady Ministrów projektowana ustawa zostanie udostępniona w Biuletynie Informacji Publicznej Rządowego Centrum Legislacji, w serwisie Rządowy Proces Legislacyjny, z dniem skierowania do uzgodnień międzyresortowych i konsultacji publicznych.</w:t>
      </w:r>
    </w:p>
    <w:p w:rsidR="00C665A3" w:rsidRPr="00553631" w:rsidRDefault="00C665A3" w:rsidP="00220E25">
      <w:pPr>
        <w:pStyle w:val="ARTartustawynprozporzdzenia"/>
        <w:tabs>
          <w:tab w:val="left" w:pos="426"/>
        </w:tabs>
        <w:ind w:firstLine="0"/>
        <w:rPr>
          <w:rFonts w:ascii="Times New Roman" w:hAnsi="Times New Roman" w:cs="Times New Roman"/>
          <w:szCs w:val="24"/>
          <w:lang w:eastAsia="en-US"/>
        </w:rPr>
      </w:pPr>
      <w:r w:rsidRPr="00220E25">
        <w:rPr>
          <w:rFonts w:ascii="Times New Roman" w:hAnsi="Times New Roman" w:cs="Times New Roman"/>
          <w:szCs w:val="24"/>
        </w:rPr>
        <w:t>VII.</w:t>
      </w:r>
      <w:r w:rsidR="00C83789">
        <w:rPr>
          <w:rFonts w:ascii="Times New Roman" w:hAnsi="Times New Roman" w:cs="Times New Roman"/>
          <w:szCs w:val="24"/>
        </w:rPr>
        <w:tab/>
      </w:r>
      <w:r w:rsidRPr="00553631">
        <w:rPr>
          <w:rFonts w:ascii="Times New Roman" w:hAnsi="Times New Roman" w:cs="Times New Roman"/>
          <w:szCs w:val="24"/>
          <w:lang w:eastAsia="en-US"/>
        </w:rPr>
        <w:t>Projekt ustawy jest zgodny z prawem Unii Europejskie</w:t>
      </w:r>
      <w:r w:rsidRPr="00553631">
        <w:rPr>
          <w:rFonts w:ascii="Times New Roman" w:hAnsi="Times New Roman" w:cs="Times New Roman"/>
          <w:szCs w:val="24"/>
        </w:rPr>
        <w:t>j.</w:t>
      </w:r>
    </w:p>
    <w:p w:rsidR="00C83789" w:rsidRPr="00553631" w:rsidRDefault="00C83789" w:rsidP="00553631">
      <w:pPr>
        <w:spacing w:before="120" w:after="0" w:line="360" w:lineRule="auto"/>
        <w:rPr>
          <w:rFonts w:ascii="Times New Roman" w:hAnsi="Times New Roman" w:cs="Times New Roman"/>
          <w:sz w:val="20"/>
          <w:szCs w:val="20"/>
        </w:rPr>
      </w:pPr>
    </w:p>
    <w:sectPr w:rsidR="00C83789" w:rsidRPr="00553631" w:rsidSect="00E70E70">
      <w:headerReference w:type="default" r:id="rId8"/>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AFB" w:rsidRDefault="00482AFB" w:rsidP="00C83789">
      <w:pPr>
        <w:spacing w:after="0" w:line="240" w:lineRule="auto"/>
      </w:pPr>
      <w:r>
        <w:separator/>
      </w:r>
    </w:p>
  </w:endnote>
  <w:endnote w:type="continuationSeparator" w:id="0">
    <w:p w:rsidR="00482AFB" w:rsidRDefault="00482AFB" w:rsidP="00C83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6474090"/>
      <w:docPartObj>
        <w:docPartGallery w:val="Page Numbers (Bottom of Page)"/>
        <w:docPartUnique/>
      </w:docPartObj>
    </w:sdtPr>
    <w:sdtEndPr/>
    <w:sdtContent>
      <w:p w:rsidR="00C83789" w:rsidRDefault="00C83789">
        <w:pPr>
          <w:pStyle w:val="Stopka"/>
          <w:jc w:val="center"/>
        </w:pPr>
        <w:r w:rsidRPr="00553631">
          <w:rPr>
            <w:rFonts w:ascii="Times New Roman" w:hAnsi="Times New Roman" w:cs="Times New Roman"/>
            <w:sz w:val="24"/>
            <w:szCs w:val="24"/>
          </w:rPr>
          <w:fldChar w:fldCharType="begin"/>
        </w:r>
        <w:r w:rsidRPr="00553631">
          <w:rPr>
            <w:rFonts w:ascii="Times New Roman" w:hAnsi="Times New Roman" w:cs="Times New Roman"/>
            <w:sz w:val="24"/>
            <w:szCs w:val="24"/>
          </w:rPr>
          <w:instrText>PAGE   \* MERGEFORMAT</w:instrText>
        </w:r>
        <w:r w:rsidRPr="00553631">
          <w:rPr>
            <w:rFonts w:ascii="Times New Roman" w:hAnsi="Times New Roman" w:cs="Times New Roman"/>
            <w:sz w:val="24"/>
            <w:szCs w:val="24"/>
          </w:rPr>
          <w:fldChar w:fldCharType="separate"/>
        </w:r>
        <w:r w:rsidR="003031D7">
          <w:rPr>
            <w:rFonts w:ascii="Times New Roman" w:hAnsi="Times New Roman" w:cs="Times New Roman"/>
            <w:noProof/>
            <w:sz w:val="24"/>
            <w:szCs w:val="24"/>
          </w:rPr>
          <w:t>26</w:t>
        </w:r>
        <w:r w:rsidRPr="00553631">
          <w:rPr>
            <w:rFonts w:ascii="Times New Roman" w:hAnsi="Times New Roman" w:cs="Times New Roman"/>
            <w:sz w:val="24"/>
            <w:szCs w:val="24"/>
          </w:rPr>
          <w:fldChar w:fldCharType="end"/>
        </w:r>
      </w:p>
    </w:sdtContent>
  </w:sdt>
  <w:p w:rsidR="00C83789" w:rsidRDefault="00C83789" w:rsidP="00C8378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AFB" w:rsidRDefault="00482AFB" w:rsidP="00C83789">
      <w:pPr>
        <w:spacing w:after="0" w:line="240" w:lineRule="auto"/>
      </w:pPr>
      <w:r>
        <w:separator/>
      </w:r>
    </w:p>
  </w:footnote>
  <w:footnote w:type="continuationSeparator" w:id="0">
    <w:p w:rsidR="00482AFB" w:rsidRDefault="00482AFB" w:rsidP="00C83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482AFB" w:rsidP="00B371CC">
    <w:pPr>
      <w:pStyle w:val="Nagwek"/>
      <w:jc w:val="center"/>
    </w:pPr>
  </w:p>
</w:hdr>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ybkowska Bożena">
    <w15:presenceInfo w15:providerId="AD" w15:userId="S-1-5-21-1346247845-3881836822-2677420573-18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5A3"/>
    <w:rsid w:val="0000508E"/>
    <w:rsid w:val="00014240"/>
    <w:rsid w:val="00220E25"/>
    <w:rsid w:val="002D6C41"/>
    <w:rsid w:val="003031D7"/>
    <w:rsid w:val="00482AFB"/>
    <w:rsid w:val="00533E0D"/>
    <w:rsid w:val="00553631"/>
    <w:rsid w:val="00744307"/>
    <w:rsid w:val="00765BEC"/>
    <w:rsid w:val="00781BAC"/>
    <w:rsid w:val="00867E5A"/>
    <w:rsid w:val="008744AA"/>
    <w:rsid w:val="009844A9"/>
    <w:rsid w:val="00A010DB"/>
    <w:rsid w:val="00A64A8A"/>
    <w:rsid w:val="00AF6C68"/>
    <w:rsid w:val="00B67654"/>
    <w:rsid w:val="00BC2C8D"/>
    <w:rsid w:val="00C16203"/>
    <w:rsid w:val="00C22B55"/>
    <w:rsid w:val="00C665A3"/>
    <w:rsid w:val="00C83789"/>
    <w:rsid w:val="00CC36CD"/>
    <w:rsid w:val="00CF7780"/>
    <w:rsid w:val="00D4665A"/>
    <w:rsid w:val="00D559F1"/>
    <w:rsid w:val="00D84F56"/>
    <w:rsid w:val="00E52963"/>
    <w:rsid w:val="00E66C46"/>
    <w:rsid w:val="00E70E70"/>
    <w:rsid w:val="00EF3B7D"/>
    <w:rsid w:val="00FA6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C665A3"/>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C665A3"/>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C665A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C665A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665A3"/>
    <w:rPr>
      <w:bCs/>
    </w:rPr>
  </w:style>
  <w:style w:type="character" w:styleId="Odwoaniedokomentarza">
    <w:name w:val="annotation reference"/>
    <w:basedOn w:val="Domylnaczcionkaakapitu"/>
    <w:uiPriority w:val="99"/>
    <w:semiHidden/>
    <w:rsid w:val="00C665A3"/>
    <w:rPr>
      <w:sz w:val="16"/>
      <w:szCs w:val="16"/>
    </w:rPr>
  </w:style>
  <w:style w:type="paragraph" w:styleId="Tekstkomentarza">
    <w:name w:val="annotation text"/>
    <w:basedOn w:val="Normalny"/>
    <w:link w:val="TekstkomentarzaZnak"/>
    <w:uiPriority w:val="99"/>
    <w:semiHidden/>
    <w:rsid w:val="00C665A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C665A3"/>
    <w:rPr>
      <w:rFonts w:ascii="Times" w:eastAsia="Times New Roman" w:hAnsi="Times" w:cs="Times New Roman"/>
      <w:sz w:val="24"/>
      <w:szCs w:val="24"/>
      <w:lang w:eastAsia="pl-PL"/>
    </w:rPr>
  </w:style>
  <w:style w:type="paragraph" w:customStyle="1" w:styleId="OZNPROJEKTUwskazaniedatylubwersjiprojektu">
    <w:name w:val="OZN_PROJEKTU – wskazanie daty lub wersji projektu"/>
    <w:next w:val="Normalny"/>
    <w:uiPriority w:val="5"/>
    <w:qFormat/>
    <w:rsid w:val="00C665A3"/>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C665A3"/>
    <w:rPr>
      <w:b/>
    </w:rPr>
  </w:style>
  <w:style w:type="paragraph" w:styleId="Tekstdymka">
    <w:name w:val="Balloon Text"/>
    <w:basedOn w:val="Normalny"/>
    <w:link w:val="TekstdymkaZnak"/>
    <w:uiPriority w:val="99"/>
    <w:semiHidden/>
    <w:unhideWhenUsed/>
    <w:rsid w:val="00C665A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665A3"/>
    <w:rPr>
      <w:rFonts w:ascii="Tahoma" w:hAnsi="Tahoma" w:cs="Tahoma"/>
      <w:sz w:val="16"/>
      <w:szCs w:val="16"/>
    </w:rPr>
  </w:style>
  <w:style w:type="paragraph" w:styleId="Stopka">
    <w:name w:val="footer"/>
    <w:basedOn w:val="Normalny"/>
    <w:link w:val="StopkaZnak"/>
    <w:uiPriority w:val="99"/>
    <w:unhideWhenUsed/>
    <w:rsid w:val="00C8378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37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C665A3"/>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C665A3"/>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C665A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TYTUAKTUprzedmiotregulacjiustawylubrozporzdzenia">
    <w:name w:val="TYTUŁ_AKTU – przedmiot regulacji ustawy lub rozporządzenia"/>
    <w:next w:val="ARTartustawynprozporzdzenia"/>
    <w:uiPriority w:val="6"/>
    <w:qFormat/>
    <w:rsid w:val="00C665A3"/>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665A3"/>
    <w:rPr>
      <w:bCs/>
    </w:rPr>
  </w:style>
  <w:style w:type="character" w:styleId="Odwoaniedokomentarza">
    <w:name w:val="annotation reference"/>
    <w:basedOn w:val="Domylnaczcionkaakapitu"/>
    <w:uiPriority w:val="99"/>
    <w:semiHidden/>
    <w:rsid w:val="00C665A3"/>
    <w:rPr>
      <w:sz w:val="16"/>
      <w:szCs w:val="16"/>
    </w:rPr>
  </w:style>
  <w:style w:type="paragraph" w:styleId="Tekstkomentarza">
    <w:name w:val="annotation text"/>
    <w:basedOn w:val="Normalny"/>
    <w:link w:val="TekstkomentarzaZnak"/>
    <w:uiPriority w:val="99"/>
    <w:semiHidden/>
    <w:rsid w:val="00C665A3"/>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C665A3"/>
    <w:rPr>
      <w:rFonts w:ascii="Times" w:eastAsia="Times New Roman" w:hAnsi="Times" w:cs="Times New Roman"/>
      <w:sz w:val="24"/>
      <w:szCs w:val="24"/>
      <w:lang w:eastAsia="pl-PL"/>
    </w:rPr>
  </w:style>
  <w:style w:type="paragraph" w:customStyle="1" w:styleId="OZNPROJEKTUwskazaniedatylubwersjiprojektu">
    <w:name w:val="OZN_PROJEKTU – wskazanie daty lub wersji projektu"/>
    <w:next w:val="Normalny"/>
    <w:uiPriority w:val="5"/>
    <w:qFormat/>
    <w:rsid w:val="00C665A3"/>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C665A3"/>
    <w:rPr>
      <w:b/>
    </w:rPr>
  </w:style>
  <w:style w:type="paragraph" w:styleId="Tekstdymka">
    <w:name w:val="Balloon Text"/>
    <w:basedOn w:val="Normalny"/>
    <w:link w:val="TekstdymkaZnak"/>
    <w:uiPriority w:val="99"/>
    <w:semiHidden/>
    <w:unhideWhenUsed/>
    <w:rsid w:val="00C665A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665A3"/>
    <w:rPr>
      <w:rFonts w:ascii="Tahoma" w:hAnsi="Tahoma" w:cs="Tahoma"/>
      <w:sz w:val="16"/>
      <w:szCs w:val="16"/>
    </w:rPr>
  </w:style>
  <w:style w:type="paragraph" w:styleId="Stopka">
    <w:name w:val="footer"/>
    <w:basedOn w:val="Normalny"/>
    <w:link w:val="StopkaZnak"/>
    <w:uiPriority w:val="99"/>
    <w:unhideWhenUsed/>
    <w:rsid w:val="00C8378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3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5B6DC-283F-4FD1-9810-CE71A151F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26</Pages>
  <Words>8235</Words>
  <Characters>49416</Characters>
  <Application>Microsoft Office Word</Application>
  <DocSecurity>0</DocSecurity>
  <Lines>411</Lines>
  <Paragraphs>115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57536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Salamonczyk Monika</cp:lastModifiedBy>
  <cp:revision>10</cp:revision>
  <dcterms:created xsi:type="dcterms:W3CDTF">2019-06-26T11:38:00Z</dcterms:created>
  <dcterms:modified xsi:type="dcterms:W3CDTF">2019-06-27T14:13:00Z</dcterms:modified>
</cp:coreProperties>
</file>