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80A9CF" w14:textId="77777777" w:rsidR="00195AC9" w:rsidRPr="00360732" w:rsidRDefault="00195AC9" w:rsidP="00360732">
      <w:pPr>
        <w:spacing w:line="360" w:lineRule="auto"/>
        <w:rPr>
          <w:rFonts w:ascii="Arial" w:hAnsi="Arial" w:cs="Arial"/>
          <w:sz w:val="22"/>
          <w:szCs w:val="22"/>
          <w:lang w:val="en-US"/>
        </w:rPr>
      </w:pPr>
      <w:bookmarkStart w:id="0" w:name="_GoBack"/>
      <w:bookmarkEnd w:id="0"/>
    </w:p>
    <w:p w14:paraId="3FFF162F" w14:textId="77777777" w:rsidR="00195AC9" w:rsidRPr="00360732" w:rsidRDefault="00195AC9" w:rsidP="00360732">
      <w:pPr>
        <w:spacing w:line="360" w:lineRule="auto"/>
        <w:jc w:val="center"/>
        <w:rPr>
          <w:rFonts w:ascii="Arial" w:hAnsi="Arial" w:cs="Arial"/>
          <w:b/>
          <w:sz w:val="22"/>
          <w:szCs w:val="22"/>
          <w:lang w:val="en-US"/>
        </w:rPr>
      </w:pPr>
      <w:r w:rsidRPr="00360732">
        <w:rPr>
          <w:rFonts w:ascii="Arial" w:hAnsi="Arial" w:cs="Arial"/>
          <w:b/>
          <w:sz w:val="22"/>
          <w:szCs w:val="22"/>
          <w:lang w:val="en-US"/>
        </w:rPr>
        <w:t>Uzasadnienie</w:t>
      </w:r>
    </w:p>
    <w:p w14:paraId="3802D474" w14:textId="77777777" w:rsidR="001265E7" w:rsidRDefault="001265E7" w:rsidP="00360732">
      <w:pPr>
        <w:spacing w:line="360" w:lineRule="auto"/>
        <w:jc w:val="both"/>
        <w:rPr>
          <w:rFonts w:ascii="Arial" w:hAnsi="Arial" w:cs="Arial"/>
          <w:sz w:val="22"/>
          <w:szCs w:val="22"/>
        </w:rPr>
      </w:pPr>
      <w:r w:rsidRPr="001265E7">
        <w:rPr>
          <w:rFonts w:ascii="Arial" w:hAnsi="Arial" w:cs="Arial"/>
          <w:sz w:val="22"/>
          <w:szCs w:val="22"/>
        </w:rPr>
        <w:t xml:space="preserve">Ustawą z dnia </w:t>
      </w:r>
      <w:r>
        <w:rPr>
          <w:rFonts w:ascii="Arial" w:hAnsi="Arial" w:cs="Arial"/>
          <w:sz w:val="22"/>
          <w:szCs w:val="22"/>
        </w:rPr>
        <w:t>17 stycznia 2019 r. o zmianie ustawy o Bankowym Funduszu Gwarancyjnym, systemie gwarantowanych depozytów oraz przymusowej restrukturyzacji oraz niektórych innych ustaw (Dz. U. z 2019 r. poz. 326), która weszła w życie w dniu 7 marca 2019 r. wprowadzono zmi</w:t>
      </w:r>
      <w:r w:rsidR="00A24F14">
        <w:rPr>
          <w:rFonts w:ascii="Arial" w:hAnsi="Arial" w:cs="Arial"/>
          <w:sz w:val="22"/>
          <w:szCs w:val="22"/>
        </w:rPr>
        <w:t>anę</w:t>
      </w:r>
      <w:r>
        <w:rPr>
          <w:rFonts w:ascii="Arial" w:hAnsi="Arial" w:cs="Arial"/>
          <w:sz w:val="22"/>
          <w:szCs w:val="22"/>
        </w:rPr>
        <w:t xml:space="preserve"> </w:t>
      </w:r>
      <w:r w:rsidR="00D56D5A">
        <w:rPr>
          <w:rFonts w:ascii="Arial" w:hAnsi="Arial" w:cs="Arial"/>
          <w:sz w:val="22"/>
          <w:szCs w:val="22"/>
        </w:rPr>
        <w:t>w ust. 5 art. 95 ustawy</w:t>
      </w:r>
      <w:r w:rsidR="00733C62">
        <w:rPr>
          <w:rFonts w:ascii="Arial" w:hAnsi="Arial" w:cs="Arial"/>
          <w:sz w:val="22"/>
          <w:szCs w:val="22"/>
        </w:rPr>
        <w:t xml:space="preserve"> z dnia 29 sierpnia 1997 r.</w:t>
      </w:r>
      <w:r w:rsidR="00D56D5A">
        <w:rPr>
          <w:rFonts w:ascii="Arial" w:hAnsi="Arial" w:cs="Arial"/>
          <w:sz w:val="22"/>
          <w:szCs w:val="22"/>
        </w:rPr>
        <w:t xml:space="preserve"> Prawo Bankowe</w:t>
      </w:r>
      <w:r w:rsidR="00733C62">
        <w:rPr>
          <w:rFonts w:ascii="Arial" w:hAnsi="Arial" w:cs="Arial"/>
          <w:sz w:val="22"/>
          <w:szCs w:val="22"/>
        </w:rPr>
        <w:t xml:space="preserve"> (Dz. U. z 2019 r. poz. 326)</w:t>
      </w:r>
      <w:r w:rsidR="00A454C9">
        <w:rPr>
          <w:rFonts w:ascii="Arial" w:hAnsi="Arial" w:cs="Arial"/>
          <w:sz w:val="22"/>
          <w:szCs w:val="22"/>
        </w:rPr>
        <w:t>, która jest nie tylko niekonstytucyjna ale również sprzeczna z</w:t>
      </w:r>
      <w:r w:rsidR="001775A0">
        <w:rPr>
          <w:rFonts w:ascii="Arial" w:hAnsi="Arial" w:cs="Arial"/>
          <w:sz w:val="22"/>
          <w:szCs w:val="22"/>
        </w:rPr>
        <w:t xml:space="preserve"> prawem Unii Europejskiej, gdyż </w:t>
      </w:r>
      <w:r w:rsidR="00A24F14">
        <w:rPr>
          <w:rFonts w:ascii="Arial" w:hAnsi="Arial" w:cs="Arial"/>
          <w:sz w:val="22"/>
          <w:szCs w:val="22"/>
        </w:rPr>
        <w:t>zwiększa przywileje</w:t>
      </w:r>
      <w:r w:rsidR="001775A0">
        <w:rPr>
          <w:rFonts w:ascii="Arial" w:hAnsi="Arial" w:cs="Arial"/>
          <w:sz w:val="22"/>
          <w:szCs w:val="22"/>
        </w:rPr>
        <w:t xml:space="preserve"> profesjonalist</w:t>
      </w:r>
      <w:r w:rsidR="00A24F14">
        <w:rPr>
          <w:rFonts w:ascii="Arial" w:hAnsi="Arial" w:cs="Arial"/>
          <w:sz w:val="22"/>
          <w:szCs w:val="22"/>
        </w:rPr>
        <w:t>om</w:t>
      </w:r>
      <w:r w:rsidR="001775A0">
        <w:rPr>
          <w:rFonts w:ascii="Arial" w:hAnsi="Arial" w:cs="Arial"/>
          <w:sz w:val="22"/>
          <w:szCs w:val="22"/>
        </w:rPr>
        <w:t xml:space="preserve"> jakim jest bank wobec konsumenta, który z </w:t>
      </w:r>
      <w:r w:rsidR="001775A0" w:rsidRPr="001775A0">
        <w:rPr>
          <w:rFonts w:ascii="Arial" w:hAnsi="Arial" w:cs="Arial"/>
          <w:sz w:val="22"/>
          <w:szCs w:val="22"/>
        </w:rPr>
        <w:t>przyczyn systemowych, determinowanych pozycją rynkową i dostępnymi zasobami</w:t>
      </w:r>
      <w:r w:rsidR="001775A0">
        <w:rPr>
          <w:rFonts w:ascii="Arial" w:hAnsi="Arial" w:cs="Arial"/>
          <w:sz w:val="22"/>
          <w:szCs w:val="22"/>
        </w:rPr>
        <w:t xml:space="preserve"> jest słabszym uczestnikiem obrotu i ma zdecydowanie słabszą pozycję przetargową wobec banku. </w:t>
      </w:r>
    </w:p>
    <w:p w14:paraId="5F9D411A" w14:textId="77777777" w:rsidR="005779C9" w:rsidRDefault="005779C9" w:rsidP="00360732">
      <w:pPr>
        <w:spacing w:line="360" w:lineRule="auto"/>
        <w:jc w:val="both"/>
        <w:rPr>
          <w:rFonts w:ascii="Arial" w:hAnsi="Arial" w:cs="Arial"/>
          <w:sz w:val="22"/>
          <w:szCs w:val="22"/>
        </w:rPr>
      </w:pPr>
    </w:p>
    <w:p w14:paraId="2ED76FEB" w14:textId="77777777" w:rsidR="005779C9" w:rsidRPr="005779C9" w:rsidRDefault="005779C9" w:rsidP="005779C9">
      <w:pPr>
        <w:spacing w:line="360" w:lineRule="auto"/>
        <w:jc w:val="both"/>
        <w:rPr>
          <w:rFonts w:ascii="Arial" w:hAnsi="Arial" w:cs="Arial"/>
          <w:sz w:val="22"/>
          <w:szCs w:val="22"/>
        </w:rPr>
      </w:pPr>
      <w:r>
        <w:rPr>
          <w:rFonts w:ascii="Arial" w:hAnsi="Arial" w:cs="Arial"/>
          <w:sz w:val="22"/>
          <w:szCs w:val="22"/>
        </w:rPr>
        <w:t xml:space="preserve">W tej sprawie uprzywilejowania banku w postępowaniach z konsumentami na gruncie art. 95 prawa bankowego wypowiedział się Trybunał Konstytucyjny w wyroku z dnia 15 marca 2011 r. </w:t>
      </w:r>
      <w:r w:rsidRPr="005779C9">
        <w:rPr>
          <w:rFonts w:ascii="Arial" w:hAnsi="Arial" w:cs="Arial"/>
          <w:sz w:val="22"/>
          <w:szCs w:val="22"/>
        </w:rPr>
        <w:t>w sprawie P 7/09</w:t>
      </w:r>
      <w:r>
        <w:rPr>
          <w:rFonts w:ascii="Arial" w:hAnsi="Arial" w:cs="Arial"/>
          <w:sz w:val="22"/>
          <w:szCs w:val="22"/>
        </w:rPr>
        <w:t xml:space="preserve">. W uzasadnieniu orzeczenia </w:t>
      </w:r>
      <w:r w:rsidRPr="005779C9">
        <w:rPr>
          <w:rFonts w:ascii="Arial" w:hAnsi="Arial" w:cs="Arial"/>
          <w:sz w:val="22"/>
          <w:szCs w:val="22"/>
        </w:rPr>
        <w:t xml:space="preserve">wskazano, że art. 95 Prawa Bankowego w zakresie, w jakim </w:t>
      </w:r>
      <w:r w:rsidR="00A24F14">
        <w:rPr>
          <w:rFonts w:ascii="Arial" w:hAnsi="Arial" w:cs="Arial"/>
          <w:sz w:val="22"/>
          <w:szCs w:val="22"/>
        </w:rPr>
        <w:t>nadaje przywileje</w:t>
      </w:r>
      <w:r w:rsidRPr="005779C9">
        <w:rPr>
          <w:rFonts w:ascii="Arial" w:hAnsi="Arial" w:cs="Arial"/>
          <w:sz w:val="22"/>
          <w:szCs w:val="22"/>
        </w:rPr>
        <w:t xml:space="preserve"> bank wobec konsumentów w postępowaniu cywilnym jest niekonstytucyjnym. </w:t>
      </w:r>
    </w:p>
    <w:p w14:paraId="19ED4C50" w14:textId="77777777" w:rsidR="005779C9" w:rsidRDefault="005779C9" w:rsidP="005779C9">
      <w:pPr>
        <w:spacing w:line="360" w:lineRule="auto"/>
        <w:jc w:val="both"/>
        <w:rPr>
          <w:rFonts w:ascii="Arial" w:hAnsi="Arial" w:cs="Arial"/>
          <w:sz w:val="22"/>
          <w:szCs w:val="22"/>
        </w:rPr>
      </w:pPr>
      <w:r w:rsidRPr="005779C9">
        <w:rPr>
          <w:rFonts w:ascii="Arial" w:hAnsi="Arial" w:cs="Arial"/>
          <w:sz w:val="22"/>
          <w:szCs w:val="22"/>
        </w:rPr>
        <w:t>W tym wyroku Trybunał wskazał, że charakter banków jako instytucji zaufania publicznego wynika nie z zaufania do grupy zawodowej bankowców, ale z postrzegania banków jako instytucji pozostających pod specjalnym nadzorem państwa. Władze publiczne są zobligowane do zapewnienia rzetelnej działalności sektora bankowego ze względu na jego znaczenie dla systemu gospodarczego państwa oraz zasobów finansowych deponowanych w bankach. Z tego właśnie powodu państwo nadzoruje zarówno proces tworzenia banków, jak i ich funkcjonowanie. Do powstania banku konieczne jest spełnienie określonych szczegółowo w prawie bankowym warunków oraz uzyskanie zezwolenia, a cała jego działalność podlega nadzorowi Komisji Nadzoru Finansowego. Banki są zobowiązane do prowadzenia rachunkowości według specjalnych zasad, dostosowanych do specyfiki ich działania. Wszystkie te regulacje świadczą o trosce ustawodawcy o prawidłowe funkcjonowanie banków oraz utrzymanie odpowiedniej jakości usług.</w:t>
      </w:r>
    </w:p>
    <w:p w14:paraId="3F95468B" w14:textId="77777777" w:rsidR="005779C9" w:rsidRDefault="005779C9" w:rsidP="005779C9">
      <w:pPr>
        <w:spacing w:line="360" w:lineRule="auto"/>
        <w:jc w:val="both"/>
        <w:rPr>
          <w:rFonts w:ascii="Arial" w:hAnsi="Arial" w:cs="Arial"/>
          <w:sz w:val="22"/>
          <w:szCs w:val="22"/>
        </w:rPr>
      </w:pPr>
    </w:p>
    <w:p w14:paraId="5CC02626" w14:textId="77777777" w:rsidR="00985395" w:rsidRDefault="005779C9" w:rsidP="00360732">
      <w:pPr>
        <w:spacing w:line="360" w:lineRule="auto"/>
        <w:jc w:val="both"/>
        <w:rPr>
          <w:rFonts w:ascii="Arial" w:hAnsi="Arial" w:cs="Arial"/>
          <w:sz w:val="22"/>
          <w:szCs w:val="22"/>
        </w:rPr>
      </w:pPr>
      <w:r>
        <w:rPr>
          <w:rFonts w:ascii="Arial" w:hAnsi="Arial" w:cs="Arial"/>
          <w:sz w:val="22"/>
          <w:szCs w:val="22"/>
        </w:rPr>
        <w:t xml:space="preserve">Rozwiązanie, które funkcjonowało przed 7 marca 2019 r., nakazujące bankom uzyskanie zgody właściciela nieruchomości obciążonej (z reguły konsumenta – kredytobiorcy) na zmianę wierzyciela hipotecznego podyktowane jest fakt, że </w:t>
      </w:r>
      <w:r w:rsidR="00985395">
        <w:rPr>
          <w:rFonts w:ascii="Arial" w:hAnsi="Arial" w:cs="Arial"/>
          <w:sz w:val="22"/>
          <w:szCs w:val="22"/>
        </w:rPr>
        <w:t xml:space="preserve">umowa </w:t>
      </w:r>
      <w:r w:rsidR="00985395" w:rsidRPr="00985395">
        <w:rPr>
          <w:rFonts w:ascii="Arial" w:hAnsi="Arial" w:cs="Arial"/>
          <w:sz w:val="22"/>
          <w:szCs w:val="22"/>
        </w:rPr>
        <w:t xml:space="preserve">kredytu hipotecznego </w:t>
      </w:r>
      <w:r w:rsidR="00985395">
        <w:rPr>
          <w:rFonts w:ascii="Arial" w:hAnsi="Arial" w:cs="Arial"/>
          <w:sz w:val="22"/>
          <w:szCs w:val="22"/>
        </w:rPr>
        <w:t xml:space="preserve">dla typowego konsumenta </w:t>
      </w:r>
      <w:r w:rsidR="00985395" w:rsidRPr="00985395">
        <w:rPr>
          <w:rFonts w:ascii="Arial" w:hAnsi="Arial" w:cs="Arial"/>
          <w:sz w:val="22"/>
          <w:szCs w:val="22"/>
        </w:rPr>
        <w:t xml:space="preserve">jest najważniejszą w życiu umową zawieraną </w:t>
      </w:r>
      <w:r w:rsidR="00985395">
        <w:rPr>
          <w:rFonts w:ascii="Arial" w:hAnsi="Arial" w:cs="Arial"/>
          <w:sz w:val="22"/>
          <w:szCs w:val="22"/>
        </w:rPr>
        <w:t>w większości tylko raz</w:t>
      </w:r>
      <w:r w:rsidR="00985395" w:rsidRPr="00985395">
        <w:rPr>
          <w:rFonts w:ascii="Arial" w:hAnsi="Arial" w:cs="Arial"/>
          <w:sz w:val="22"/>
          <w:szCs w:val="22"/>
        </w:rPr>
        <w:t xml:space="preserve">, która wiąże </w:t>
      </w:r>
      <w:r w:rsidR="00985395">
        <w:rPr>
          <w:rFonts w:ascii="Arial" w:hAnsi="Arial" w:cs="Arial"/>
          <w:sz w:val="22"/>
          <w:szCs w:val="22"/>
        </w:rPr>
        <w:t xml:space="preserve">konsumenta z bankiem na </w:t>
      </w:r>
      <w:r w:rsidR="00985395" w:rsidRPr="00985395">
        <w:rPr>
          <w:rFonts w:ascii="Arial" w:hAnsi="Arial" w:cs="Arial"/>
          <w:sz w:val="22"/>
          <w:szCs w:val="22"/>
        </w:rPr>
        <w:t>ćwierć wieku</w:t>
      </w:r>
      <w:r w:rsidR="00985395">
        <w:rPr>
          <w:rFonts w:ascii="Arial" w:hAnsi="Arial" w:cs="Arial"/>
          <w:sz w:val="22"/>
          <w:szCs w:val="22"/>
        </w:rPr>
        <w:t xml:space="preserve">. Konsument </w:t>
      </w:r>
      <w:r w:rsidR="00985395" w:rsidRPr="00985395">
        <w:rPr>
          <w:rFonts w:ascii="Arial" w:hAnsi="Arial" w:cs="Arial"/>
          <w:sz w:val="22"/>
          <w:szCs w:val="22"/>
        </w:rPr>
        <w:t>wiążąc się z bankiem,</w:t>
      </w:r>
      <w:r w:rsidR="00985395">
        <w:rPr>
          <w:rFonts w:ascii="Arial" w:hAnsi="Arial" w:cs="Arial"/>
          <w:sz w:val="22"/>
          <w:szCs w:val="22"/>
        </w:rPr>
        <w:t xml:space="preserve"> oczekuje od banku stabilności i poczucia bezpieczeństwa. Skoro konsument zdecydował się </w:t>
      </w:r>
      <w:r w:rsidR="00985395">
        <w:rPr>
          <w:rFonts w:ascii="Arial" w:hAnsi="Arial" w:cs="Arial"/>
          <w:sz w:val="22"/>
          <w:szCs w:val="22"/>
        </w:rPr>
        <w:lastRenderedPageBreak/>
        <w:t>na zaciągnięcie kredytu właśnie w banku, a nie w instytucji p</w:t>
      </w:r>
      <w:r w:rsidR="00A24F14">
        <w:rPr>
          <w:rFonts w:ascii="Arial" w:hAnsi="Arial" w:cs="Arial"/>
          <w:sz w:val="22"/>
          <w:szCs w:val="22"/>
        </w:rPr>
        <w:t>a</w:t>
      </w:r>
      <w:r w:rsidR="00985395">
        <w:rPr>
          <w:rFonts w:ascii="Arial" w:hAnsi="Arial" w:cs="Arial"/>
          <w:sz w:val="22"/>
          <w:szCs w:val="22"/>
        </w:rPr>
        <w:t>rabankowej lub quasi finansowej ma prawo oczekiwać, że taki stan będzie tr</w:t>
      </w:r>
      <w:r w:rsidR="00A24F14">
        <w:rPr>
          <w:rFonts w:ascii="Arial" w:hAnsi="Arial" w:cs="Arial"/>
          <w:sz w:val="22"/>
          <w:szCs w:val="22"/>
        </w:rPr>
        <w:t>w</w:t>
      </w:r>
      <w:r w:rsidR="00985395">
        <w:rPr>
          <w:rFonts w:ascii="Arial" w:hAnsi="Arial" w:cs="Arial"/>
          <w:sz w:val="22"/>
          <w:szCs w:val="22"/>
        </w:rPr>
        <w:t>ał do zakończenia stosunku umownego.</w:t>
      </w:r>
    </w:p>
    <w:p w14:paraId="52846FF9" w14:textId="77777777" w:rsidR="00985395" w:rsidRDefault="00985395" w:rsidP="00360732">
      <w:pPr>
        <w:spacing w:line="360" w:lineRule="auto"/>
        <w:jc w:val="both"/>
        <w:rPr>
          <w:rFonts w:ascii="Arial" w:hAnsi="Arial" w:cs="Arial"/>
          <w:sz w:val="22"/>
          <w:szCs w:val="22"/>
        </w:rPr>
      </w:pPr>
    </w:p>
    <w:p w14:paraId="3DC87A13" w14:textId="77777777" w:rsidR="00985395" w:rsidRPr="00985395" w:rsidRDefault="00985395" w:rsidP="00985395">
      <w:pPr>
        <w:spacing w:line="360" w:lineRule="auto"/>
        <w:jc w:val="both"/>
        <w:rPr>
          <w:rFonts w:ascii="Arial" w:hAnsi="Arial" w:cs="Arial"/>
          <w:sz w:val="22"/>
          <w:szCs w:val="22"/>
        </w:rPr>
      </w:pPr>
      <w:r>
        <w:rPr>
          <w:rFonts w:ascii="Arial" w:hAnsi="Arial" w:cs="Arial"/>
          <w:sz w:val="22"/>
          <w:szCs w:val="22"/>
        </w:rPr>
        <w:t>Przywrócenie</w:t>
      </w:r>
      <w:r w:rsidRPr="00985395">
        <w:rPr>
          <w:rFonts w:ascii="Arial" w:hAnsi="Arial" w:cs="Arial"/>
          <w:sz w:val="22"/>
          <w:szCs w:val="22"/>
        </w:rPr>
        <w:t xml:space="preserve"> w art. 95 ust. 5 Prawa Bankowego zwrotu „i przeniesienia hipoteki w związku ze zbyciem wierzytelności bankowej” powoduje, że konsument </w:t>
      </w:r>
      <w:r>
        <w:rPr>
          <w:rFonts w:ascii="Arial" w:hAnsi="Arial" w:cs="Arial"/>
          <w:sz w:val="22"/>
          <w:szCs w:val="22"/>
        </w:rPr>
        <w:t xml:space="preserve">nie </w:t>
      </w:r>
      <w:r w:rsidRPr="00985395">
        <w:rPr>
          <w:rFonts w:ascii="Arial" w:hAnsi="Arial" w:cs="Arial"/>
          <w:sz w:val="22"/>
          <w:szCs w:val="22"/>
        </w:rPr>
        <w:t>zostanie zaskoczony zmianą wierzyciela, że bank – podmiot korzystający z miana instytucji zaufania publicznego – w sekrecie</w:t>
      </w:r>
      <w:r>
        <w:rPr>
          <w:rFonts w:ascii="Arial" w:hAnsi="Arial" w:cs="Arial"/>
          <w:sz w:val="22"/>
          <w:szCs w:val="22"/>
        </w:rPr>
        <w:t xml:space="preserve"> nie</w:t>
      </w:r>
      <w:r w:rsidRPr="00985395">
        <w:rPr>
          <w:rFonts w:ascii="Arial" w:hAnsi="Arial" w:cs="Arial"/>
          <w:sz w:val="22"/>
          <w:szCs w:val="22"/>
        </w:rPr>
        <w:t xml:space="preserve"> </w:t>
      </w:r>
      <w:r>
        <w:rPr>
          <w:rFonts w:ascii="Arial" w:hAnsi="Arial" w:cs="Arial"/>
          <w:sz w:val="22"/>
          <w:szCs w:val="22"/>
        </w:rPr>
        <w:t>„</w:t>
      </w:r>
      <w:r w:rsidRPr="00985395">
        <w:rPr>
          <w:rFonts w:ascii="Arial" w:hAnsi="Arial" w:cs="Arial"/>
          <w:sz w:val="22"/>
          <w:szCs w:val="22"/>
        </w:rPr>
        <w:t>sprzeda</w:t>
      </w:r>
      <w:r>
        <w:rPr>
          <w:rFonts w:ascii="Arial" w:hAnsi="Arial" w:cs="Arial"/>
          <w:sz w:val="22"/>
          <w:szCs w:val="22"/>
        </w:rPr>
        <w:t>”</w:t>
      </w:r>
      <w:r w:rsidRPr="00985395">
        <w:rPr>
          <w:rFonts w:ascii="Arial" w:hAnsi="Arial" w:cs="Arial"/>
          <w:sz w:val="22"/>
          <w:szCs w:val="22"/>
        </w:rPr>
        <w:t xml:space="preserve"> </w:t>
      </w:r>
      <w:r>
        <w:rPr>
          <w:rFonts w:ascii="Arial" w:hAnsi="Arial" w:cs="Arial"/>
          <w:sz w:val="22"/>
          <w:szCs w:val="22"/>
        </w:rPr>
        <w:t>konsumenta</w:t>
      </w:r>
      <w:r w:rsidRPr="00985395">
        <w:rPr>
          <w:rFonts w:ascii="Arial" w:hAnsi="Arial" w:cs="Arial"/>
          <w:sz w:val="22"/>
          <w:szCs w:val="22"/>
        </w:rPr>
        <w:t xml:space="preserve"> podmiotowi, który nie podlega nadzorowi, którego działanie nie jest szczegółowo uregulowane. </w:t>
      </w:r>
    </w:p>
    <w:p w14:paraId="4F0003D7" w14:textId="77777777" w:rsidR="00195AC9" w:rsidRDefault="00985395" w:rsidP="00985395">
      <w:pPr>
        <w:spacing w:line="360" w:lineRule="auto"/>
        <w:jc w:val="both"/>
        <w:rPr>
          <w:rFonts w:ascii="Arial" w:hAnsi="Arial" w:cs="Arial"/>
          <w:sz w:val="22"/>
          <w:szCs w:val="22"/>
        </w:rPr>
      </w:pPr>
      <w:r>
        <w:rPr>
          <w:rFonts w:ascii="Arial" w:hAnsi="Arial" w:cs="Arial"/>
          <w:sz w:val="22"/>
          <w:szCs w:val="22"/>
        </w:rPr>
        <w:t xml:space="preserve">Przywracając </w:t>
      </w:r>
      <w:r w:rsidRPr="00985395">
        <w:rPr>
          <w:rFonts w:ascii="Arial" w:hAnsi="Arial" w:cs="Arial"/>
          <w:sz w:val="22"/>
          <w:szCs w:val="22"/>
        </w:rPr>
        <w:t xml:space="preserve">konieczność uzyskania zgody konsumenta na zmianę wierzyciela hipotecznego, w pierwszej kolejności </w:t>
      </w:r>
      <w:r>
        <w:rPr>
          <w:rFonts w:ascii="Arial" w:hAnsi="Arial" w:cs="Arial"/>
          <w:sz w:val="22"/>
          <w:szCs w:val="22"/>
        </w:rPr>
        <w:t>zostaną zachowane i zabezpieczone</w:t>
      </w:r>
      <w:r w:rsidRPr="00985395">
        <w:rPr>
          <w:rFonts w:ascii="Arial" w:hAnsi="Arial" w:cs="Arial"/>
          <w:sz w:val="22"/>
          <w:szCs w:val="22"/>
        </w:rPr>
        <w:t xml:space="preserve"> prawa nabyte</w:t>
      </w:r>
      <w:r>
        <w:rPr>
          <w:rFonts w:ascii="Arial" w:hAnsi="Arial" w:cs="Arial"/>
          <w:sz w:val="22"/>
          <w:szCs w:val="22"/>
        </w:rPr>
        <w:t xml:space="preserve"> konsumenta</w:t>
      </w:r>
      <w:r w:rsidRPr="00985395">
        <w:rPr>
          <w:rFonts w:ascii="Arial" w:hAnsi="Arial" w:cs="Arial"/>
          <w:sz w:val="22"/>
          <w:szCs w:val="22"/>
        </w:rPr>
        <w:t xml:space="preserve">, następnie </w:t>
      </w:r>
      <w:r>
        <w:rPr>
          <w:rFonts w:ascii="Arial" w:hAnsi="Arial" w:cs="Arial"/>
          <w:sz w:val="22"/>
          <w:szCs w:val="22"/>
        </w:rPr>
        <w:t>zapewnione zostanie konsumentowi</w:t>
      </w:r>
      <w:r w:rsidRPr="00985395">
        <w:rPr>
          <w:rFonts w:ascii="Arial" w:hAnsi="Arial" w:cs="Arial"/>
          <w:sz w:val="22"/>
          <w:szCs w:val="22"/>
        </w:rPr>
        <w:t xml:space="preserve"> podstawowe</w:t>
      </w:r>
      <w:r>
        <w:rPr>
          <w:rFonts w:ascii="Arial" w:hAnsi="Arial" w:cs="Arial"/>
          <w:sz w:val="22"/>
          <w:szCs w:val="22"/>
        </w:rPr>
        <w:t xml:space="preserve"> prawo</w:t>
      </w:r>
      <w:r w:rsidRPr="00985395">
        <w:rPr>
          <w:rFonts w:ascii="Arial" w:hAnsi="Arial" w:cs="Arial"/>
          <w:sz w:val="22"/>
          <w:szCs w:val="22"/>
        </w:rPr>
        <w:t xml:space="preserve"> do poczucia bezpieczeństwa oraz nadzoru państwa (KNF) na wierzycielem</w:t>
      </w:r>
      <w:r>
        <w:rPr>
          <w:rFonts w:ascii="Arial" w:hAnsi="Arial" w:cs="Arial"/>
          <w:sz w:val="22"/>
          <w:szCs w:val="22"/>
        </w:rPr>
        <w:t xml:space="preserve"> hipotecznym</w:t>
      </w:r>
      <w:r w:rsidRPr="00985395">
        <w:rPr>
          <w:rFonts w:ascii="Arial" w:hAnsi="Arial" w:cs="Arial"/>
          <w:sz w:val="22"/>
          <w:szCs w:val="22"/>
        </w:rPr>
        <w:t>, co jest zagwarantowane w przypadku banków.</w:t>
      </w:r>
    </w:p>
    <w:p w14:paraId="4EA0403F" w14:textId="77777777" w:rsidR="00985395" w:rsidRDefault="00985395" w:rsidP="00985395">
      <w:pPr>
        <w:spacing w:line="360" w:lineRule="auto"/>
        <w:jc w:val="both"/>
        <w:rPr>
          <w:rFonts w:ascii="Arial" w:hAnsi="Arial" w:cs="Arial"/>
          <w:sz w:val="22"/>
          <w:szCs w:val="22"/>
        </w:rPr>
      </w:pPr>
    </w:p>
    <w:p w14:paraId="74CD955D" w14:textId="77777777" w:rsidR="00985395" w:rsidRDefault="00985395" w:rsidP="00985395">
      <w:pPr>
        <w:spacing w:line="360" w:lineRule="auto"/>
        <w:jc w:val="both"/>
        <w:rPr>
          <w:rFonts w:ascii="Arial" w:hAnsi="Arial" w:cs="Arial"/>
          <w:sz w:val="22"/>
          <w:szCs w:val="22"/>
        </w:rPr>
      </w:pPr>
      <w:r>
        <w:rPr>
          <w:rFonts w:ascii="Arial" w:hAnsi="Arial" w:cs="Arial"/>
          <w:sz w:val="22"/>
          <w:szCs w:val="22"/>
        </w:rPr>
        <w:t xml:space="preserve">Reasumując projekt przywraca normalność w relacjach konsumenta z bankiem. </w:t>
      </w:r>
    </w:p>
    <w:p w14:paraId="0DE800E2" w14:textId="77777777" w:rsidR="00985395" w:rsidRPr="00985395" w:rsidRDefault="00985395" w:rsidP="00985395">
      <w:pPr>
        <w:spacing w:line="360" w:lineRule="auto"/>
        <w:jc w:val="both"/>
        <w:rPr>
          <w:rFonts w:ascii="Arial" w:hAnsi="Arial" w:cs="Arial"/>
          <w:sz w:val="22"/>
          <w:szCs w:val="22"/>
        </w:rPr>
      </w:pPr>
    </w:p>
    <w:p w14:paraId="18768764" w14:textId="77777777" w:rsidR="00195AC9" w:rsidRPr="00360732" w:rsidRDefault="00195AC9" w:rsidP="00360732">
      <w:pPr>
        <w:spacing w:line="360" w:lineRule="auto"/>
        <w:ind w:firstLine="708"/>
        <w:jc w:val="both"/>
        <w:rPr>
          <w:rFonts w:ascii="Arial" w:hAnsi="Arial" w:cs="Arial"/>
          <w:color w:val="000000"/>
          <w:sz w:val="22"/>
          <w:szCs w:val="22"/>
        </w:rPr>
      </w:pPr>
      <w:r w:rsidRPr="00360732">
        <w:rPr>
          <w:rFonts w:ascii="Arial" w:hAnsi="Arial" w:cs="Arial"/>
          <w:color w:val="000000"/>
          <w:sz w:val="22"/>
          <w:szCs w:val="22"/>
        </w:rPr>
        <w:t>Projekt ustawy nie spowoduje negatywnych skutków finansowych dla budżetu państwa i budżetów jednostek samorządu terytorialnego. </w:t>
      </w:r>
    </w:p>
    <w:p w14:paraId="1634BE07" w14:textId="77777777" w:rsidR="00195AC9" w:rsidRPr="00360732" w:rsidRDefault="00195AC9" w:rsidP="00360732">
      <w:pPr>
        <w:spacing w:line="360" w:lineRule="auto"/>
        <w:ind w:firstLine="708"/>
        <w:jc w:val="both"/>
        <w:rPr>
          <w:rFonts w:ascii="Arial" w:hAnsi="Arial" w:cs="Arial"/>
          <w:color w:val="000000"/>
          <w:sz w:val="22"/>
          <w:szCs w:val="22"/>
        </w:rPr>
      </w:pPr>
      <w:r w:rsidRPr="00360732">
        <w:rPr>
          <w:rFonts w:ascii="Arial" w:hAnsi="Arial" w:cs="Arial"/>
          <w:color w:val="000000"/>
          <w:sz w:val="22"/>
          <w:szCs w:val="22"/>
        </w:rPr>
        <w:t>Projekt ustawy nie wymaga notyfikacji w rozumieniu przepisów rozporządzenia Rady Ministrów z dnia 23 grudnia 2002 r. w sprawie sposobu funkcjonowania krajowego systemu notyfikacji norm i aktów prawnych (Dz. U. Nr 239, poz. 2039, z późn. zm.).</w:t>
      </w:r>
    </w:p>
    <w:p w14:paraId="006ADCF3" w14:textId="77777777" w:rsidR="00195AC9" w:rsidRPr="00360732" w:rsidRDefault="00195AC9" w:rsidP="00360732">
      <w:pPr>
        <w:spacing w:line="360" w:lineRule="auto"/>
        <w:ind w:firstLine="708"/>
        <w:jc w:val="both"/>
        <w:rPr>
          <w:rFonts w:ascii="Arial" w:hAnsi="Arial" w:cs="Arial"/>
          <w:color w:val="000000"/>
          <w:sz w:val="22"/>
          <w:szCs w:val="22"/>
        </w:rPr>
      </w:pPr>
      <w:r w:rsidRPr="00360732">
        <w:rPr>
          <w:rFonts w:ascii="Arial" w:hAnsi="Arial" w:cs="Arial"/>
          <w:color w:val="000000"/>
          <w:sz w:val="22"/>
          <w:szCs w:val="22"/>
        </w:rPr>
        <w:t>Projekt ustawy nie jest objęty prawem Unii Europejskiej.</w:t>
      </w:r>
    </w:p>
    <w:sectPr w:rsidR="00195AC9" w:rsidRPr="00360732">
      <w:pgSz w:w="11906" w:h="16838"/>
      <w:pgMar w:top="1417" w:right="1417" w:bottom="1417" w:left="1417" w:header="708" w:footer="708" w:gutter="0"/>
      <w:cols w:space="708"/>
      <w:docGrid w:linePitch="24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2" w15:restartNumberingAfterBreak="0">
    <w:nsid w:val="18C62B9F"/>
    <w:multiLevelType w:val="hybridMultilevel"/>
    <w:tmpl w:val="25F69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DEA0DDD"/>
    <w:multiLevelType w:val="hybridMultilevel"/>
    <w:tmpl w:val="697C2804"/>
    <w:lvl w:ilvl="0" w:tplc="B1B29C7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F4E331D"/>
    <w:multiLevelType w:val="hybridMultilevel"/>
    <w:tmpl w:val="49D295B8"/>
    <w:lvl w:ilvl="0" w:tplc="CCAC98A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AC9"/>
    <w:rsid w:val="0010602E"/>
    <w:rsid w:val="001265E7"/>
    <w:rsid w:val="001775A0"/>
    <w:rsid w:val="00195AC9"/>
    <w:rsid w:val="002A5F86"/>
    <w:rsid w:val="00360732"/>
    <w:rsid w:val="004E2A26"/>
    <w:rsid w:val="005779C9"/>
    <w:rsid w:val="005F39E0"/>
    <w:rsid w:val="00733C62"/>
    <w:rsid w:val="007548D2"/>
    <w:rsid w:val="008158D4"/>
    <w:rsid w:val="00974124"/>
    <w:rsid w:val="00985395"/>
    <w:rsid w:val="00A24F14"/>
    <w:rsid w:val="00A454C9"/>
    <w:rsid w:val="00B26A82"/>
    <w:rsid w:val="00B53288"/>
    <w:rsid w:val="00D56D5A"/>
    <w:rsid w:val="00E303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64DEB3F"/>
  <w15:chartTrackingRefBased/>
  <w15:docId w15:val="{021C3A1F-004C-40A6-927B-C69058AD0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uppressAutoHyphens/>
      <w:spacing w:line="100" w:lineRule="atLeast"/>
    </w:pPr>
  </w:style>
  <w:style w:type="paragraph" w:styleId="Nagwek3">
    <w:name w:val="heading 3"/>
    <w:basedOn w:val="Normalny"/>
    <w:next w:val="Tekstpodstawowy"/>
    <w:qFormat/>
    <w:pPr>
      <w:numPr>
        <w:ilvl w:val="2"/>
        <w:numId w:val="1"/>
      </w:numPr>
      <w:spacing w:before="28" w:after="28"/>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styleId="Hipercze">
    <w:name w:val="Hyperlink"/>
    <w:basedOn w:val="Domylnaczcionkaakapitu1"/>
  </w:style>
  <w:style w:type="character" w:customStyle="1" w:styleId="TekstprzypisudolnegoZnak">
    <w:name w:val="Tekst przypisu dolnego Znak"/>
    <w:basedOn w:val="Domylnaczcionkaakapitu1"/>
  </w:style>
  <w:style w:type="character" w:customStyle="1" w:styleId="Odwoanieprzypisudolnego1">
    <w:name w:val="Odwołanie przypisu dolnego1"/>
    <w:basedOn w:val="Domylnaczcionkaakapitu1"/>
  </w:style>
  <w:style w:type="character" w:customStyle="1" w:styleId="luchili">
    <w:name w:val="luc_hili"/>
    <w:basedOn w:val="Domylnaczcionkaakapitu1"/>
  </w:style>
  <w:style w:type="character" w:customStyle="1" w:styleId="Nagwek3Znak">
    <w:name w:val="Nagłówek 3 Znak"/>
    <w:basedOn w:val="Domylnaczcionkaakapitu1"/>
  </w:style>
  <w:style w:type="paragraph" w:customStyle="1" w:styleId="Nagwek1">
    <w:name w:val="Nagłówek1"/>
    <w:basedOn w:val="Normalny"/>
    <w:next w:val="Tekstpodstawowy"/>
    <w:pPr>
      <w:keepNext/>
      <w:spacing w:before="240" w:after="120"/>
    </w:pPr>
  </w:style>
  <w:style w:type="paragraph" w:styleId="Tekstpodstawowy">
    <w:name w:val="Body Text"/>
    <w:basedOn w:val="Normalny"/>
    <w:pPr>
      <w:spacing w:after="120"/>
    </w:pPr>
  </w:style>
  <w:style w:type="paragraph" w:styleId="Lista">
    <w:name w:val="List"/>
    <w:basedOn w:val="Tekstpodstawowy"/>
    <w:rPr>
      <w:rFonts w:cs="Mangal"/>
    </w:rPr>
  </w:style>
  <w:style w:type="paragraph" w:customStyle="1" w:styleId="Podpis1">
    <w:name w:val="Podpis1"/>
    <w:basedOn w:val="Normalny"/>
    <w:pPr>
      <w:suppressLineNumbers/>
      <w:spacing w:before="120" w:after="120"/>
    </w:pPr>
  </w:style>
  <w:style w:type="paragraph" w:customStyle="1" w:styleId="Indeks">
    <w:name w:val="Indeks"/>
    <w:basedOn w:val="Normalny"/>
    <w:pPr>
      <w:suppressLineNumbers/>
    </w:pPr>
    <w:rPr>
      <w:rFonts w:cs="Mangal"/>
    </w:rPr>
  </w:style>
  <w:style w:type="paragraph" w:customStyle="1" w:styleId="Tekstprzypisudolnego1">
    <w:name w:val="Tekst przypisu dolnego1"/>
    <w:basedOn w:val="Normalny"/>
  </w:style>
  <w:style w:type="paragraph" w:customStyle="1" w:styleId="Akapitzlist1">
    <w:name w:val="Akapit z listą1"/>
    <w:basedOn w:val="Normalny"/>
  </w:style>
  <w:style w:type="paragraph" w:customStyle="1" w:styleId="NormalnyWeb1">
    <w:name w:val="Normalny (Web)1"/>
    <w:basedOn w:val="Normalny"/>
  </w:style>
  <w:style w:type="character" w:customStyle="1" w:styleId="alb">
    <w:name w:val="a_lb"/>
    <w:basedOn w:val="Domylnaczcionkaakapitu"/>
    <w:rsid w:val="00360732"/>
  </w:style>
  <w:style w:type="paragraph" w:styleId="Akapitzlist">
    <w:name w:val="List Paragraph"/>
    <w:basedOn w:val="Normalny"/>
    <w:uiPriority w:val="72"/>
    <w:qFormat/>
    <w:rsid w:val="003607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8213089">
      <w:bodyDiv w:val="1"/>
      <w:marLeft w:val="0"/>
      <w:marRight w:val="0"/>
      <w:marTop w:val="0"/>
      <w:marBottom w:val="0"/>
      <w:divBdr>
        <w:top w:val="none" w:sz="0" w:space="0" w:color="auto"/>
        <w:left w:val="none" w:sz="0" w:space="0" w:color="auto"/>
        <w:bottom w:val="none" w:sz="0" w:space="0" w:color="auto"/>
        <w:right w:val="none" w:sz="0" w:space="0" w:color="auto"/>
      </w:divBdr>
      <w:divsChild>
        <w:div w:id="1112090397">
          <w:marLeft w:val="0"/>
          <w:marRight w:val="0"/>
          <w:marTop w:val="0"/>
          <w:marBottom w:val="0"/>
          <w:divBdr>
            <w:top w:val="none" w:sz="0" w:space="0" w:color="auto"/>
            <w:left w:val="none" w:sz="0" w:space="0" w:color="auto"/>
            <w:bottom w:val="none" w:sz="0" w:space="0" w:color="auto"/>
            <w:right w:val="none" w:sz="0" w:space="0" w:color="auto"/>
          </w:divBdr>
        </w:div>
        <w:div w:id="243614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32E6C-8C90-46E6-9DA8-D74F796CB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573</Words>
  <Characters>3439</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Paweł Nogal &amp; Wspólnicy Kancelaria Radców Prawnych</Company>
  <LinksUpToDate>false</LinksUpToDate>
  <CharactersWithSpaces>4004</CharactersWithSpaces>
  <SharedDoc>false</SharedDoc>
  <HLinks>
    <vt:vector size="12" baseType="variant">
      <vt:variant>
        <vt:i4>7405576</vt:i4>
      </vt:variant>
      <vt:variant>
        <vt:i4>3</vt:i4>
      </vt:variant>
      <vt:variant>
        <vt:i4>0</vt:i4>
      </vt:variant>
      <vt:variant>
        <vt:i4>5</vt:i4>
      </vt:variant>
      <vt:variant>
        <vt:lpwstr>https://sip.lex.pl/</vt:lpwstr>
      </vt:variant>
      <vt:variant>
        <vt:lpwstr/>
      </vt:variant>
      <vt:variant>
        <vt:i4>7405576</vt:i4>
      </vt:variant>
      <vt:variant>
        <vt:i4>0</vt:i4>
      </vt:variant>
      <vt:variant>
        <vt:i4>0</vt:i4>
      </vt:variant>
      <vt:variant>
        <vt:i4>5</vt:i4>
      </vt:variant>
      <vt:variant>
        <vt:lpwstr>https://sip.lex.pl/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pmikolajczyk</dc:creator>
  <cp:keywords/>
  <cp:lastModifiedBy>Grzegorz Molesztak</cp:lastModifiedBy>
  <cp:revision>4</cp:revision>
  <cp:lastPrinted>1899-12-31T23:00:00Z</cp:lastPrinted>
  <dcterms:created xsi:type="dcterms:W3CDTF">2019-06-10T15:21:00Z</dcterms:created>
  <dcterms:modified xsi:type="dcterms:W3CDTF">2019-06-12T13:19:00Z</dcterms:modified>
</cp:coreProperties>
</file>