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51C85" w:rsidRPr="00B81E7D" w:rsidRDefault="003504A6" w:rsidP="00B421C2">
      <w:pPr>
        <w:spacing w:before="120" w:line="360" w:lineRule="auto"/>
        <w:jc w:val="center"/>
        <w:rPr>
          <w:rFonts w:cs="Times New Roman"/>
          <w:b/>
          <w:szCs w:val="24"/>
        </w:rPr>
      </w:pPr>
      <w:bookmarkStart w:id="0" w:name="_GoBack"/>
      <w:bookmarkEnd w:id="0"/>
      <w:r w:rsidRPr="00B81E7D">
        <w:rPr>
          <w:rFonts w:cs="Times New Roman"/>
          <w:b/>
          <w:szCs w:val="24"/>
        </w:rPr>
        <w:t>UZASADNIENIE</w:t>
      </w:r>
    </w:p>
    <w:p w:rsidR="00334105" w:rsidRDefault="00334105" w:rsidP="004E6E82">
      <w:pPr>
        <w:spacing w:before="120" w:line="360" w:lineRule="auto"/>
        <w:rPr>
          <w:rFonts w:cs="Times New Roman"/>
          <w:b/>
          <w:szCs w:val="24"/>
        </w:rPr>
      </w:pPr>
    </w:p>
    <w:p w:rsidR="001A3C3D" w:rsidRPr="00B81E7D" w:rsidRDefault="001A3C3D" w:rsidP="00B421C2">
      <w:pPr>
        <w:spacing w:before="120" w:line="360" w:lineRule="auto"/>
        <w:jc w:val="center"/>
        <w:rPr>
          <w:rFonts w:cs="Times New Roman"/>
          <w:b/>
          <w:szCs w:val="24"/>
        </w:rPr>
      </w:pPr>
    </w:p>
    <w:p w:rsidR="00BE1F3B" w:rsidRPr="00B81E7D" w:rsidRDefault="003504A6" w:rsidP="00B421C2">
      <w:pPr>
        <w:numPr>
          <w:ilvl w:val="0"/>
          <w:numId w:val="1"/>
        </w:numPr>
        <w:spacing w:after="120" w:line="360" w:lineRule="auto"/>
        <w:jc w:val="both"/>
        <w:rPr>
          <w:rFonts w:cs="Times New Roman"/>
          <w:b/>
          <w:szCs w:val="24"/>
        </w:rPr>
      </w:pPr>
      <w:r w:rsidRPr="00B81E7D">
        <w:rPr>
          <w:rFonts w:cs="Times New Roman"/>
          <w:b/>
          <w:szCs w:val="24"/>
        </w:rPr>
        <w:t>POTRZEBA I CEL WYDANIA AKTU PRAWNEGO</w:t>
      </w:r>
    </w:p>
    <w:p w:rsidR="00BE1F3B" w:rsidRPr="00B81E7D" w:rsidRDefault="00BE1F3B" w:rsidP="00B421C2">
      <w:pPr>
        <w:spacing w:after="120" w:line="360" w:lineRule="auto"/>
        <w:jc w:val="both"/>
        <w:rPr>
          <w:rFonts w:cs="Times New Roman"/>
          <w:bCs/>
          <w:szCs w:val="24"/>
        </w:rPr>
      </w:pPr>
      <w:r w:rsidRPr="00B81E7D">
        <w:rPr>
          <w:rFonts w:cs="Times New Roman"/>
          <w:szCs w:val="24"/>
        </w:rPr>
        <w:t xml:space="preserve">Projekt ustawy przewiduje wprowadzenie zmian do szeregu ustaw, których głównym celem jest zmniejszenie obciążeń regulacyjnych, w szczególności o charakterze administracyjnym. </w:t>
      </w:r>
      <w:r w:rsidR="0000303B" w:rsidRPr="00B81E7D">
        <w:rPr>
          <w:rFonts w:cs="Times New Roman"/>
          <w:szCs w:val="24"/>
        </w:rPr>
        <w:t>Stanowi realizację formułowanych w Strategii na rzecz Odpowiedzialnego Rozwoju zapowiedzi zmniejszenia obciążeń biurokratycznych i uproszczenia przepisów.</w:t>
      </w:r>
    </w:p>
    <w:p w:rsidR="0000303B" w:rsidRPr="00B81E7D" w:rsidRDefault="0000303B" w:rsidP="00B421C2">
      <w:pPr>
        <w:spacing w:after="120" w:line="360" w:lineRule="auto"/>
        <w:jc w:val="both"/>
        <w:rPr>
          <w:rFonts w:cs="Times New Roman"/>
          <w:szCs w:val="24"/>
        </w:rPr>
      </w:pPr>
      <w:r w:rsidRPr="00B81E7D">
        <w:rPr>
          <w:rFonts w:cs="Times New Roman"/>
          <w:szCs w:val="24"/>
        </w:rPr>
        <w:t xml:space="preserve">W Strategii na rzecz Odpowiedzialnego Rozwoju (cel szczegółowy III: </w:t>
      </w:r>
      <w:r w:rsidRPr="00B81E7D">
        <w:rPr>
          <w:rFonts w:cs="Times New Roman"/>
          <w:i/>
          <w:szCs w:val="24"/>
        </w:rPr>
        <w:t>„Skuteczne państwo i instytucje służące wzrostowi oraz włączeniu społecznemu i gospodarczemu”</w:t>
      </w:r>
      <w:r w:rsidRPr="00B81E7D">
        <w:rPr>
          <w:rFonts w:cs="Times New Roman"/>
          <w:szCs w:val="24"/>
        </w:rPr>
        <w:t xml:space="preserve">, obszar: </w:t>
      </w:r>
      <w:r w:rsidRPr="00B81E7D">
        <w:rPr>
          <w:rFonts w:cs="Times New Roman"/>
          <w:i/>
          <w:szCs w:val="24"/>
        </w:rPr>
        <w:t>„Prawo w służbie obywatelom i gospodarce”</w:t>
      </w:r>
      <w:r w:rsidRPr="00B81E7D">
        <w:rPr>
          <w:rFonts w:cs="Times New Roman"/>
          <w:szCs w:val="24"/>
        </w:rPr>
        <w:t xml:space="preserve">) zdiagnozowano problem dużej liczby przepisów prawnych, ich niespójność i niejednoznaczność, jak również liczne obowiązki nakładane na obywateli i przedsiębiorców. Wymagania </w:t>
      </w:r>
      <w:r w:rsidR="00A733B6" w:rsidRPr="00B81E7D">
        <w:rPr>
          <w:rFonts w:cs="Times New Roman"/>
          <w:szCs w:val="24"/>
        </w:rPr>
        <w:t xml:space="preserve">stawiane w </w:t>
      </w:r>
      <w:r w:rsidR="00362217">
        <w:rPr>
          <w:rFonts w:cs="Times New Roman"/>
          <w:szCs w:val="24"/>
        </w:rPr>
        <w:t>przepisach prawa są </w:t>
      </w:r>
      <w:r w:rsidRPr="00B81E7D">
        <w:rPr>
          <w:rFonts w:cs="Times New Roman"/>
          <w:szCs w:val="24"/>
        </w:rPr>
        <w:t>niekiedy bardzo uciążliwe, w tym np. nadmiernie sformalizowane i długotrwałe postępowania administracyjne są źródłem nieuzasadnionych kosztów dla firm i obywateli. Negatywne skutki istnienia barier administracyjnych mają wymierny wpływ na budżet państwa i konkurencyjność polskich przedsiębiorstw. Badania prowadzone wśród przedsiębiorcó</w:t>
      </w:r>
      <w:r w:rsidR="00A733B6" w:rsidRPr="00B81E7D">
        <w:rPr>
          <w:rFonts w:cs="Times New Roman"/>
          <w:szCs w:val="24"/>
        </w:rPr>
        <w:t xml:space="preserve">w potwierdzają, że przeszkody o </w:t>
      </w:r>
      <w:r w:rsidRPr="00B81E7D">
        <w:rPr>
          <w:rFonts w:cs="Times New Roman"/>
          <w:szCs w:val="24"/>
        </w:rPr>
        <w:t>charakterze admin</w:t>
      </w:r>
      <w:r w:rsidR="00A733B6" w:rsidRPr="00B81E7D">
        <w:rPr>
          <w:rFonts w:cs="Times New Roman"/>
          <w:szCs w:val="24"/>
        </w:rPr>
        <w:t>istracyjnym pozostają jednymi z </w:t>
      </w:r>
      <w:r w:rsidRPr="00B81E7D">
        <w:rPr>
          <w:rFonts w:cs="Times New Roman"/>
          <w:szCs w:val="24"/>
        </w:rPr>
        <w:t>najistotniejszych barier rozwoju polskich firm, w szczególności</w:t>
      </w:r>
      <w:r w:rsidR="00362217">
        <w:rPr>
          <w:rFonts w:cs="Times New Roman"/>
          <w:szCs w:val="24"/>
        </w:rPr>
        <w:t xml:space="preserve"> mikro, małych i </w:t>
      </w:r>
      <w:r w:rsidRPr="00B81E7D">
        <w:rPr>
          <w:rFonts w:cs="Times New Roman"/>
          <w:szCs w:val="24"/>
        </w:rPr>
        <w:t>średnich. Przedsiębiorcy szacują, że ich p</w:t>
      </w:r>
      <w:r w:rsidR="009577A0" w:rsidRPr="00B81E7D">
        <w:rPr>
          <w:rFonts w:cs="Times New Roman"/>
          <w:szCs w:val="24"/>
        </w:rPr>
        <w:t>rzychody mogłyby być nawet o 10</w:t>
      </w:r>
      <w:r w:rsidRPr="00B81E7D">
        <w:rPr>
          <w:rFonts w:cs="Times New Roman"/>
          <w:szCs w:val="24"/>
        </w:rPr>
        <w:t>% wyższe gdyby nie musieli angażować zasobów na sprawy związane z administra</w:t>
      </w:r>
      <w:r w:rsidR="009577A0" w:rsidRPr="00B81E7D">
        <w:rPr>
          <w:rFonts w:cs="Times New Roman"/>
          <w:szCs w:val="24"/>
        </w:rPr>
        <w:t>cją i niejasnymi przepisami, 76</w:t>
      </w:r>
      <w:r w:rsidRPr="00B81E7D">
        <w:rPr>
          <w:rFonts w:cs="Times New Roman"/>
          <w:szCs w:val="24"/>
        </w:rPr>
        <w:t>% z 200 badanych przedsiębiorców wskazuje, że występujące bariery o charakterze administracyjnym i podatkowym pochłaniają czas, przez co ograniczają możliwość pracy nad przedsięwzięciami rozwojowymi</w:t>
      </w:r>
      <w:r w:rsidRPr="00B81E7D">
        <w:rPr>
          <w:rStyle w:val="Odwoanieprzypisudolnego"/>
          <w:rFonts w:cs="Times New Roman"/>
          <w:szCs w:val="24"/>
        </w:rPr>
        <w:footnoteReference w:id="1"/>
      </w:r>
      <w:r w:rsidRPr="00B81E7D">
        <w:rPr>
          <w:rFonts w:cs="Times New Roman"/>
          <w:szCs w:val="24"/>
        </w:rPr>
        <w:t>. Najmniejsze przedsiębiorstwa ponoszą nawet pięciokrotnie wyższe obciążenia administracyjne na pracownika w porównaniu do dużych firm</w:t>
      </w:r>
      <w:r w:rsidRPr="00B81E7D">
        <w:rPr>
          <w:rStyle w:val="Odwoanieprzypisudolnego"/>
          <w:rFonts w:cs="Times New Roman"/>
          <w:szCs w:val="24"/>
        </w:rPr>
        <w:footnoteReference w:id="2"/>
      </w:r>
      <w:r w:rsidRPr="00B81E7D">
        <w:rPr>
          <w:rFonts w:cs="Times New Roman"/>
          <w:szCs w:val="24"/>
        </w:rPr>
        <w:t>.</w:t>
      </w:r>
    </w:p>
    <w:p w:rsidR="00AB21EA" w:rsidRPr="00B81E7D" w:rsidRDefault="00AB21EA" w:rsidP="00B421C2">
      <w:pPr>
        <w:spacing w:after="120" w:line="360" w:lineRule="auto"/>
        <w:jc w:val="both"/>
        <w:rPr>
          <w:rFonts w:cs="Times New Roman"/>
          <w:szCs w:val="24"/>
        </w:rPr>
      </w:pPr>
      <w:r w:rsidRPr="00B81E7D">
        <w:rPr>
          <w:rFonts w:cs="Times New Roman"/>
          <w:szCs w:val="24"/>
        </w:rPr>
        <w:t>Działania na rzecz stałej poprawy otoczenia regulac</w:t>
      </w:r>
      <w:r w:rsidR="00362217">
        <w:rPr>
          <w:rFonts w:cs="Times New Roman"/>
          <w:szCs w:val="24"/>
        </w:rPr>
        <w:t>yjnego są już prowadzone (m.in. </w:t>
      </w:r>
      <w:r w:rsidRPr="00B81E7D">
        <w:rPr>
          <w:rFonts w:cs="Times New Roman"/>
          <w:szCs w:val="24"/>
        </w:rPr>
        <w:t>w ramach pakietu „100 zmian dla firm”, „Konsty</w:t>
      </w:r>
      <w:r w:rsidR="00362217">
        <w:rPr>
          <w:rFonts w:cs="Times New Roman"/>
          <w:szCs w:val="24"/>
        </w:rPr>
        <w:t>tucja Biznesu”, „Pakiet MŚP”) i </w:t>
      </w:r>
      <w:r w:rsidRPr="00B81E7D">
        <w:rPr>
          <w:rFonts w:cs="Times New Roman"/>
          <w:szCs w:val="24"/>
        </w:rPr>
        <w:t xml:space="preserve">pozostają jednym z </w:t>
      </w:r>
      <w:r w:rsidRPr="00B81E7D">
        <w:rPr>
          <w:rFonts w:cs="Times New Roman"/>
          <w:szCs w:val="24"/>
        </w:rPr>
        <w:lastRenderedPageBreak/>
        <w:t>priorytetów polityki rządu. Dodatkowo ustawa o zarządzie sukcesyjnym przedsiębiorstwem osoby fizycznej odpowiadała na najważniejszy i najbardziej palący problem dotyczący sukcesji biznesu w związku ze śmier</w:t>
      </w:r>
      <w:r w:rsidR="00362217">
        <w:rPr>
          <w:rFonts w:cs="Times New Roman"/>
          <w:szCs w:val="24"/>
        </w:rPr>
        <w:t>cią przedsiębiorcy wpisanego do </w:t>
      </w:r>
      <w:r w:rsidRPr="00B81E7D">
        <w:rPr>
          <w:rFonts w:cs="Times New Roman"/>
          <w:szCs w:val="24"/>
        </w:rPr>
        <w:t xml:space="preserve">CEIDG. Przyjazne otoczenie legislacyjne to jednak nie tyle stan, ile proces. W Globalnym Indeksie Konkurencyjności w zakresie obciążeń regulacyjnych prowadzonym przez Światowe Forum Ekonomiczne Polska zajmuje wciąż niską pozycję </w:t>
      </w:r>
      <w:r w:rsidR="00A733B6" w:rsidRPr="00B81E7D">
        <w:rPr>
          <w:rFonts w:cs="Times New Roman"/>
          <w:szCs w:val="24"/>
        </w:rPr>
        <w:t xml:space="preserve">111 </w:t>
      </w:r>
      <w:r w:rsidRPr="00B81E7D">
        <w:rPr>
          <w:rFonts w:cs="Times New Roman"/>
          <w:szCs w:val="24"/>
        </w:rPr>
        <w:t xml:space="preserve">na </w:t>
      </w:r>
      <w:r w:rsidR="00EE5B52" w:rsidRPr="00B81E7D">
        <w:rPr>
          <w:rFonts w:cs="Times New Roman"/>
          <w:szCs w:val="24"/>
        </w:rPr>
        <w:t xml:space="preserve">140 </w:t>
      </w:r>
      <w:r w:rsidRPr="00B81E7D">
        <w:rPr>
          <w:rFonts w:cs="Times New Roman"/>
          <w:szCs w:val="24"/>
        </w:rPr>
        <w:t xml:space="preserve">państw poddanych analizie, pomimo nieznacznej poprawy w porównaniu do </w:t>
      </w:r>
      <w:r w:rsidR="00EE5B52" w:rsidRPr="00B81E7D">
        <w:rPr>
          <w:rFonts w:cs="Times New Roman"/>
          <w:szCs w:val="24"/>
        </w:rPr>
        <w:t xml:space="preserve">poprzednich </w:t>
      </w:r>
      <w:r w:rsidRPr="00B81E7D">
        <w:rPr>
          <w:rFonts w:cs="Times New Roman"/>
          <w:szCs w:val="24"/>
        </w:rPr>
        <w:t>edycji badania (</w:t>
      </w:r>
      <w:r w:rsidR="0054774A">
        <w:rPr>
          <w:rFonts w:cs="Times New Roman"/>
          <w:szCs w:val="24"/>
        </w:rPr>
        <w:t>np. </w:t>
      </w:r>
      <w:r w:rsidR="00EE5B52" w:rsidRPr="00B81E7D">
        <w:rPr>
          <w:rFonts w:cs="Times New Roman"/>
          <w:szCs w:val="24"/>
        </w:rPr>
        <w:t>w</w:t>
      </w:r>
      <w:r w:rsidR="00D930B0" w:rsidRPr="00B81E7D">
        <w:rPr>
          <w:rFonts w:cs="Times New Roman"/>
          <w:szCs w:val="24"/>
        </w:rPr>
        <w:t> </w:t>
      </w:r>
      <w:r w:rsidR="00EE5B52" w:rsidRPr="00B81E7D">
        <w:rPr>
          <w:rFonts w:cs="Times New Roman"/>
          <w:szCs w:val="24"/>
        </w:rPr>
        <w:t xml:space="preserve">2016 r. </w:t>
      </w:r>
      <w:r w:rsidRPr="00B81E7D">
        <w:rPr>
          <w:rFonts w:cs="Times New Roman"/>
          <w:szCs w:val="24"/>
        </w:rPr>
        <w:t>Polska uplasowała się na 119 pozycji wśród 138 krajów)</w:t>
      </w:r>
      <w:r w:rsidRPr="00B81E7D">
        <w:rPr>
          <w:rStyle w:val="Odwoanieprzypisudolnego"/>
          <w:rFonts w:cs="Times New Roman"/>
          <w:szCs w:val="24"/>
        </w:rPr>
        <w:footnoteReference w:id="3"/>
      </w:r>
      <w:r w:rsidRPr="00B81E7D">
        <w:rPr>
          <w:rFonts w:cs="Times New Roman"/>
          <w:szCs w:val="24"/>
        </w:rPr>
        <w:t>.</w:t>
      </w:r>
    </w:p>
    <w:p w:rsidR="00AB21EA" w:rsidRPr="00B81E7D" w:rsidRDefault="00AB21EA" w:rsidP="00B421C2">
      <w:pPr>
        <w:spacing w:after="120" w:line="360" w:lineRule="auto"/>
        <w:jc w:val="both"/>
        <w:rPr>
          <w:rFonts w:cs="Times New Roman"/>
          <w:szCs w:val="24"/>
        </w:rPr>
      </w:pPr>
      <w:r w:rsidRPr="00B81E7D">
        <w:rPr>
          <w:rFonts w:cs="Times New Roman"/>
          <w:szCs w:val="24"/>
        </w:rPr>
        <w:t xml:space="preserve">W związku z tym w Strategii na rzecz Odpowiedzialnego Rozwoju wskazano na potrzebę uproszczenia prawa, które zapewni lepsze warunki do </w:t>
      </w:r>
      <w:r w:rsidR="009577A0" w:rsidRPr="00B81E7D">
        <w:rPr>
          <w:rFonts w:cs="Times New Roman"/>
          <w:szCs w:val="24"/>
        </w:rPr>
        <w:t xml:space="preserve">prowadzenia </w:t>
      </w:r>
      <w:r w:rsidRPr="00B81E7D">
        <w:rPr>
          <w:rFonts w:cs="Times New Roman"/>
          <w:szCs w:val="24"/>
        </w:rPr>
        <w:t>działalności gospodarczej i realizacji potrzeb obywateli, u</w:t>
      </w:r>
      <w:r w:rsidR="00A733B6" w:rsidRPr="00B81E7D">
        <w:rPr>
          <w:rFonts w:cs="Times New Roman"/>
          <w:szCs w:val="24"/>
        </w:rPr>
        <w:t xml:space="preserve">trzymanie jedynie koniecznych i </w:t>
      </w:r>
      <w:r w:rsidRPr="00B81E7D">
        <w:rPr>
          <w:rFonts w:cs="Times New Roman"/>
          <w:szCs w:val="24"/>
        </w:rPr>
        <w:t>korzystnych regulacji</w:t>
      </w:r>
      <w:r w:rsidR="00A733B6" w:rsidRPr="00B81E7D">
        <w:rPr>
          <w:rFonts w:cs="Times New Roman"/>
          <w:szCs w:val="24"/>
        </w:rPr>
        <w:t xml:space="preserve"> oraz eliminację niespójności i </w:t>
      </w:r>
      <w:r w:rsidRPr="00B81E7D">
        <w:rPr>
          <w:rFonts w:cs="Times New Roman"/>
          <w:szCs w:val="24"/>
        </w:rPr>
        <w:t>niejednoznaczności przepisów prawnych. Likwidacja barier administracyjnych jest pożądana w celu uwolnienia potencjału do dalszego rozwoju biznesu w Polsce.</w:t>
      </w:r>
    </w:p>
    <w:p w:rsidR="00451474" w:rsidRPr="00B81E7D" w:rsidRDefault="00AB21EA" w:rsidP="00B421C2">
      <w:pPr>
        <w:spacing w:after="120" w:line="360" w:lineRule="auto"/>
        <w:jc w:val="both"/>
        <w:rPr>
          <w:rFonts w:cs="Times New Roman"/>
          <w:szCs w:val="24"/>
          <w:lang w:eastAsia="pl-PL"/>
        </w:rPr>
      </w:pPr>
      <w:r w:rsidRPr="00B81E7D">
        <w:rPr>
          <w:rFonts w:cs="Times New Roman"/>
          <w:szCs w:val="24"/>
          <w:lang w:eastAsia="pl-PL"/>
        </w:rPr>
        <w:t>Członkowie Rady Ministrów dokonali przeglądu obowiązków administracyjnych w akta</w:t>
      </w:r>
      <w:r w:rsidR="009577A0" w:rsidRPr="00B81E7D">
        <w:rPr>
          <w:rFonts w:cs="Times New Roman"/>
          <w:szCs w:val="24"/>
          <w:lang w:eastAsia="pl-PL"/>
        </w:rPr>
        <w:t>ch prawnych. W wyniku przeglądu,</w:t>
      </w:r>
      <w:r w:rsidRPr="00B81E7D">
        <w:rPr>
          <w:rFonts w:cs="Times New Roman"/>
          <w:szCs w:val="24"/>
          <w:lang w:eastAsia="pl-PL"/>
        </w:rPr>
        <w:t xml:space="preserve"> obejmującego również wewnętrzne prace analityczne w Ministerstwie Przedsiębiorczości i Technologii, zidentyfikowano niektóre obciążenia regulacyjne, w szczególności natury adminis</w:t>
      </w:r>
      <w:r w:rsidR="00A733B6" w:rsidRPr="00B81E7D">
        <w:rPr>
          <w:rFonts w:cs="Times New Roman"/>
          <w:szCs w:val="24"/>
          <w:lang w:eastAsia="pl-PL"/>
        </w:rPr>
        <w:t xml:space="preserve">tracyjnej, które są nadmierne i </w:t>
      </w:r>
      <w:r w:rsidR="00362217">
        <w:rPr>
          <w:rFonts w:cs="Times New Roman"/>
          <w:szCs w:val="24"/>
          <w:lang w:eastAsia="pl-PL"/>
        </w:rPr>
        <w:t>nieadekwatne do </w:t>
      </w:r>
      <w:r w:rsidRPr="00B81E7D">
        <w:rPr>
          <w:rFonts w:cs="Times New Roman"/>
          <w:szCs w:val="24"/>
          <w:lang w:eastAsia="pl-PL"/>
        </w:rPr>
        <w:t>stawianych celów, w tym te zgłaszane przez odbiorców jako uciążliwe.</w:t>
      </w:r>
    </w:p>
    <w:p w:rsidR="00863F6D" w:rsidRPr="00B81E7D" w:rsidRDefault="00AB21EA" w:rsidP="00B421C2">
      <w:pPr>
        <w:spacing w:after="120" w:line="360" w:lineRule="auto"/>
        <w:jc w:val="both"/>
        <w:rPr>
          <w:rFonts w:cs="Times New Roman"/>
          <w:szCs w:val="24"/>
          <w:lang w:eastAsia="pl-PL"/>
        </w:rPr>
      </w:pPr>
      <w:r w:rsidRPr="00B81E7D">
        <w:rPr>
          <w:rFonts w:cs="Times New Roman"/>
          <w:szCs w:val="24"/>
          <w:lang w:eastAsia="pl-PL"/>
        </w:rPr>
        <w:t>Celem proponowanych działań jest ograniczenie zbędnych i nad</w:t>
      </w:r>
      <w:r w:rsidR="00E5100F" w:rsidRPr="00B81E7D">
        <w:rPr>
          <w:rFonts w:cs="Times New Roman"/>
          <w:szCs w:val="24"/>
          <w:lang w:eastAsia="pl-PL"/>
        </w:rPr>
        <w:t xml:space="preserve">miernych obciążeń regulacyjnych, </w:t>
      </w:r>
      <w:r w:rsidR="009577A0" w:rsidRPr="00B81E7D">
        <w:rPr>
          <w:rFonts w:cs="Times New Roman"/>
          <w:szCs w:val="24"/>
          <w:lang w:eastAsia="pl-PL"/>
        </w:rPr>
        <w:t>co umożliwi</w:t>
      </w:r>
      <w:r w:rsidR="00E5100F" w:rsidRPr="00B81E7D">
        <w:rPr>
          <w:rFonts w:cs="Times New Roman"/>
          <w:szCs w:val="24"/>
          <w:lang w:eastAsia="pl-PL"/>
        </w:rPr>
        <w:t xml:space="preserve"> wygenerowanie</w:t>
      </w:r>
      <w:r w:rsidRPr="00B81E7D">
        <w:rPr>
          <w:rFonts w:cs="Times New Roman"/>
          <w:szCs w:val="24"/>
          <w:lang w:eastAsia="pl-PL"/>
        </w:rPr>
        <w:t xml:space="preserve"> oszczędności po stronie obywateli i</w:t>
      </w:r>
      <w:r w:rsidR="00E5100F" w:rsidRPr="00B81E7D">
        <w:rPr>
          <w:rFonts w:cs="Times New Roman"/>
          <w:szCs w:val="24"/>
          <w:lang w:eastAsia="pl-PL"/>
        </w:rPr>
        <w:t> </w:t>
      </w:r>
      <w:r w:rsidRPr="00B81E7D">
        <w:rPr>
          <w:rFonts w:cs="Times New Roman"/>
          <w:szCs w:val="24"/>
          <w:lang w:eastAsia="pl-PL"/>
        </w:rPr>
        <w:t>przedsiębiorców. Działania powinny stworzyć impuls korzystnie wpływający na jakość życia, pespektywy gospodarcze oraz poziom zaufania s</w:t>
      </w:r>
      <w:r w:rsidR="00362217">
        <w:rPr>
          <w:rFonts w:cs="Times New Roman"/>
          <w:szCs w:val="24"/>
          <w:lang w:eastAsia="pl-PL"/>
        </w:rPr>
        <w:t>połecznego. W związku z tym, że </w:t>
      </w:r>
      <w:r w:rsidRPr="00B81E7D">
        <w:rPr>
          <w:rFonts w:cs="Times New Roman"/>
          <w:szCs w:val="24"/>
          <w:lang w:eastAsia="pl-PL"/>
        </w:rPr>
        <w:t xml:space="preserve">przyczyną zidentyfikowanych i opisanych problemów są konkretne przepisy prawne, które nakładają wymogi regulacyjne na obywateli i firmy, realizacja celu poprzez działania pozalegislacyjne w tym zakresie nie jest możliwa. </w:t>
      </w:r>
    </w:p>
    <w:p w:rsidR="009625CE" w:rsidRPr="00B81E7D" w:rsidRDefault="00AB21EA" w:rsidP="00B421C2">
      <w:pPr>
        <w:spacing w:after="120" w:line="360" w:lineRule="auto"/>
        <w:jc w:val="both"/>
        <w:rPr>
          <w:rFonts w:cs="Times New Roman"/>
          <w:szCs w:val="24"/>
          <w:lang w:eastAsia="pl-PL"/>
        </w:rPr>
      </w:pPr>
      <w:r w:rsidRPr="00B81E7D">
        <w:rPr>
          <w:rFonts w:cs="Times New Roman"/>
          <w:szCs w:val="24"/>
          <w:lang w:eastAsia="pl-PL"/>
        </w:rPr>
        <w:t>Możliwa jest oddzielna nowelizacja aktów prawnych, w których zidentyfikowano nadmierne obciążenia regulacyjne, jednak z uwagi na ich liczbę oraz ekonomikę procesu legislacyjnego rekomendowanym rozwiązaniem jest ograniczenie wymogów regulacyjnych w drodze jednej ustawy o charakterze przekrojowym.</w:t>
      </w:r>
    </w:p>
    <w:p w:rsidR="009625CE" w:rsidRPr="00B81E7D" w:rsidRDefault="009625CE" w:rsidP="00B421C2">
      <w:pPr>
        <w:spacing w:after="120" w:line="360" w:lineRule="auto"/>
        <w:jc w:val="both"/>
        <w:rPr>
          <w:rFonts w:cs="Times New Roman"/>
          <w:szCs w:val="24"/>
          <w:lang w:eastAsia="pl-PL"/>
        </w:rPr>
      </w:pPr>
    </w:p>
    <w:p w:rsidR="00561988" w:rsidRPr="00B81E7D" w:rsidRDefault="00451474" w:rsidP="009625CE">
      <w:pPr>
        <w:numPr>
          <w:ilvl w:val="0"/>
          <w:numId w:val="1"/>
        </w:numPr>
        <w:spacing w:after="120" w:line="360" w:lineRule="auto"/>
        <w:jc w:val="both"/>
        <w:rPr>
          <w:rFonts w:cs="Times New Roman"/>
          <w:b/>
          <w:spacing w:val="-2"/>
          <w:szCs w:val="24"/>
        </w:rPr>
      </w:pPr>
      <w:r w:rsidRPr="00B81E7D">
        <w:rPr>
          <w:rFonts w:cs="Times New Roman"/>
          <w:b/>
          <w:szCs w:val="24"/>
        </w:rPr>
        <w:t>SZCZEGÓŁOWY OPIS PROPONOWANYCH ZMIAN</w:t>
      </w:r>
    </w:p>
    <w:p w:rsidR="00492B8F" w:rsidRPr="00B81E7D" w:rsidRDefault="00492B8F" w:rsidP="00B421C2">
      <w:pPr>
        <w:numPr>
          <w:ilvl w:val="0"/>
          <w:numId w:val="2"/>
        </w:numPr>
        <w:spacing w:after="120" w:line="360" w:lineRule="auto"/>
        <w:jc w:val="both"/>
        <w:rPr>
          <w:rFonts w:cs="Times New Roman"/>
          <w:b/>
          <w:szCs w:val="24"/>
        </w:rPr>
      </w:pPr>
      <w:r w:rsidRPr="00B81E7D">
        <w:rPr>
          <w:rFonts w:cs="Times New Roman"/>
          <w:b/>
          <w:szCs w:val="24"/>
        </w:rPr>
        <w:t xml:space="preserve">Zmiany w ustawie z dnia 23 kwietnia 1964 r. – Kodeks cywilny </w:t>
      </w:r>
      <w:r w:rsidR="00B92987" w:rsidRPr="00B81E7D">
        <w:rPr>
          <w:rFonts w:cs="Times New Roman"/>
          <w:b/>
          <w:szCs w:val="24"/>
        </w:rPr>
        <w:t xml:space="preserve">(art. </w:t>
      </w:r>
      <w:r w:rsidR="003841A3" w:rsidRPr="00B81E7D">
        <w:rPr>
          <w:rFonts w:cs="Times New Roman"/>
          <w:b/>
          <w:szCs w:val="24"/>
        </w:rPr>
        <w:t>1</w:t>
      </w:r>
      <w:r w:rsidR="001A1C09" w:rsidRPr="00B81E7D">
        <w:rPr>
          <w:rFonts w:cs="Times New Roman"/>
          <w:b/>
          <w:szCs w:val="24"/>
        </w:rPr>
        <w:t xml:space="preserve"> </w:t>
      </w:r>
      <w:r w:rsidR="00B92987" w:rsidRPr="00B81E7D">
        <w:rPr>
          <w:rFonts w:cs="Times New Roman"/>
          <w:b/>
          <w:szCs w:val="24"/>
        </w:rPr>
        <w:t>projektu).</w:t>
      </w:r>
    </w:p>
    <w:p w:rsidR="00052D1D" w:rsidRPr="00B81E7D" w:rsidRDefault="00052D1D" w:rsidP="00B421C2">
      <w:pPr>
        <w:numPr>
          <w:ilvl w:val="2"/>
          <w:numId w:val="2"/>
        </w:numPr>
        <w:spacing w:before="120" w:after="120" w:line="360" w:lineRule="auto"/>
        <w:ind w:left="709" w:hanging="425"/>
        <w:jc w:val="both"/>
        <w:rPr>
          <w:rFonts w:cs="Times New Roman"/>
          <w:i/>
          <w:szCs w:val="24"/>
        </w:rPr>
      </w:pPr>
      <w:r w:rsidRPr="00B81E7D">
        <w:rPr>
          <w:rFonts w:cs="Times New Roman"/>
          <w:i/>
          <w:szCs w:val="24"/>
        </w:rPr>
        <w:t>Rozszerzenie ochrony konsumenckiej w niektórych c</w:t>
      </w:r>
      <w:r w:rsidR="008C06A0" w:rsidRPr="00B81E7D">
        <w:rPr>
          <w:rFonts w:cs="Times New Roman"/>
          <w:i/>
          <w:szCs w:val="24"/>
        </w:rPr>
        <w:t xml:space="preserve">zynnościach prawnych z udziałem </w:t>
      </w:r>
      <w:r w:rsidR="00E6062F" w:rsidRPr="00B81E7D">
        <w:rPr>
          <w:rFonts w:cs="Times New Roman"/>
          <w:i/>
          <w:szCs w:val="24"/>
        </w:rPr>
        <w:t xml:space="preserve">przedsiębiorców (art. </w:t>
      </w:r>
      <w:r w:rsidR="003841A3" w:rsidRPr="00B81E7D">
        <w:rPr>
          <w:rFonts w:cs="Times New Roman"/>
          <w:i/>
          <w:szCs w:val="24"/>
        </w:rPr>
        <w:t>1</w:t>
      </w:r>
      <w:r w:rsidR="001A1C09" w:rsidRPr="00B81E7D">
        <w:rPr>
          <w:rFonts w:cs="Times New Roman"/>
          <w:i/>
          <w:szCs w:val="24"/>
        </w:rPr>
        <w:t xml:space="preserve"> </w:t>
      </w:r>
      <w:r w:rsidR="00A733B6" w:rsidRPr="00B81E7D">
        <w:rPr>
          <w:rFonts w:cs="Times New Roman"/>
          <w:i/>
          <w:szCs w:val="24"/>
        </w:rPr>
        <w:t>pkt 1-3</w:t>
      </w:r>
      <w:r w:rsidR="00E6062F" w:rsidRPr="00B81E7D">
        <w:rPr>
          <w:rFonts w:cs="Times New Roman"/>
          <w:i/>
          <w:szCs w:val="24"/>
        </w:rPr>
        <w:t xml:space="preserve"> projektu).</w:t>
      </w:r>
    </w:p>
    <w:p w:rsidR="00052D1D" w:rsidRPr="00B81E7D" w:rsidRDefault="00052D1D" w:rsidP="00B421C2">
      <w:pPr>
        <w:spacing w:after="120" w:line="360" w:lineRule="auto"/>
        <w:jc w:val="both"/>
        <w:rPr>
          <w:rFonts w:cs="Times New Roman"/>
          <w:szCs w:val="24"/>
          <w:lang w:eastAsia="pl-PL"/>
        </w:rPr>
      </w:pPr>
      <w:r w:rsidRPr="00B81E7D">
        <w:rPr>
          <w:rFonts w:cs="Times New Roman"/>
          <w:bCs/>
          <w:szCs w:val="24"/>
        </w:rPr>
        <w:t>Z praktyki stosowania kodeksowej definicji konsumenta wynika, że osoba fizyczna prowadząca działalność gospodarczą, zawierając umowę z innym przedsiębiorcą – profesjonalistą (oferującym świadczenie z zakresu swojej</w:t>
      </w:r>
      <w:r w:rsidR="00362217">
        <w:rPr>
          <w:rFonts w:cs="Times New Roman"/>
          <w:bCs/>
          <w:szCs w:val="24"/>
        </w:rPr>
        <w:t xml:space="preserve"> branży lub specjalizacji) jest </w:t>
      </w:r>
      <w:r w:rsidRPr="00B81E7D">
        <w:rPr>
          <w:rFonts w:cs="Times New Roman"/>
          <w:bCs/>
          <w:szCs w:val="24"/>
        </w:rPr>
        <w:t>traktowana także jako podmiot profesjonalny, naw</w:t>
      </w:r>
      <w:r w:rsidR="00362217">
        <w:rPr>
          <w:rFonts w:cs="Times New Roman"/>
          <w:bCs/>
          <w:szCs w:val="24"/>
        </w:rPr>
        <w:t>et wtedy, gdy umowa ta nie jest </w:t>
      </w:r>
      <w:r w:rsidRPr="00B81E7D">
        <w:rPr>
          <w:rFonts w:cs="Times New Roman"/>
          <w:bCs/>
          <w:szCs w:val="24"/>
        </w:rPr>
        <w:t>bezpośrednio związana z branżą lub specjalizacją, którą ta osoba wykonuje/reprezentuje. Wystawienie faktury za towar lub usługę „na firmę” j</w:t>
      </w:r>
      <w:r w:rsidR="00362217">
        <w:rPr>
          <w:rFonts w:cs="Times New Roman"/>
          <w:bCs/>
          <w:szCs w:val="24"/>
        </w:rPr>
        <w:t>est równoznaczne z uznaniem, że </w:t>
      </w:r>
      <w:r w:rsidRPr="00B81E7D">
        <w:rPr>
          <w:rFonts w:cs="Times New Roman"/>
          <w:bCs/>
          <w:szCs w:val="24"/>
        </w:rPr>
        <w:t xml:space="preserve">dokonano tego w ramach obrotu z udziałem obu podmiotów profesjonalnych (każda czynność prawna potwierdzona fakturą wystawioną na </w:t>
      </w:r>
      <w:r w:rsidR="00362217">
        <w:rPr>
          <w:rFonts w:cs="Times New Roman"/>
          <w:bCs/>
          <w:szCs w:val="24"/>
        </w:rPr>
        <w:t>przedsiębiorcę jest uznawana za </w:t>
      </w:r>
      <w:r w:rsidRPr="00B81E7D">
        <w:rPr>
          <w:rFonts w:cs="Times New Roman"/>
          <w:bCs/>
          <w:szCs w:val="24"/>
        </w:rPr>
        <w:t>czynność bezpośrednio związaną z jego działalnością gospodarczą lub zawodową). Rodzi to dysproporcję w zakresie praw i obowiązków podmiotów występujących w danej czynności prawnej. Pr</w:t>
      </w:r>
      <w:r w:rsidR="00E65D47" w:rsidRPr="00B81E7D">
        <w:rPr>
          <w:rFonts w:cs="Times New Roman"/>
          <w:bCs/>
          <w:szCs w:val="24"/>
        </w:rPr>
        <w:t>zedsiębiorca dokonujący czynności prawnej</w:t>
      </w:r>
      <w:r w:rsidRPr="00B81E7D">
        <w:rPr>
          <w:rFonts w:cs="Times New Roman"/>
          <w:bCs/>
          <w:szCs w:val="24"/>
        </w:rPr>
        <w:t xml:space="preserve"> </w:t>
      </w:r>
      <w:r w:rsidR="00362217">
        <w:rPr>
          <w:rFonts w:cs="Times New Roman"/>
          <w:bCs/>
          <w:szCs w:val="24"/>
        </w:rPr>
        <w:t>z innym przedsiębiorcą, gdy nie </w:t>
      </w:r>
      <w:r w:rsidRPr="00B81E7D">
        <w:rPr>
          <w:rFonts w:cs="Times New Roman"/>
          <w:szCs w:val="24"/>
          <w:lang w:eastAsia="pl-PL"/>
        </w:rPr>
        <w:t xml:space="preserve">dysponuje on </w:t>
      </w:r>
      <w:r w:rsidR="00E65D47" w:rsidRPr="00B81E7D">
        <w:rPr>
          <w:rFonts w:cs="Times New Roman"/>
          <w:szCs w:val="24"/>
          <w:lang w:eastAsia="pl-PL"/>
        </w:rPr>
        <w:t>odpowiednią wiedzą i doświadczeniem</w:t>
      </w:r>
      <w:r w:rsidRPr="00B81E7D">
        <w:rPr>
          <w:rFonts w:cs="Times New Roman"/>
          <w:szCs w:val="24"/>
          <w:lang w:eastAsia="pl-PL"/>
        </w:rPr>
        <w:t xml:space="preserve"> koniecznym do oceny przedmiotu tej czynności, nie może korzystać z ochrony konsumenckiej, mimo, że znajduje się w tym zakresie w tej samej sytuacji, w jakiej znajduje się konsument (z założenia podmiot nieprofe</w:t>
      </w:r>
      <w:r w:rsidR="002B35E8" w:rsidRPr="00B81E7D">
        <w:rPr>
          <w:rFonts w:cs="Times New Roman"/>
          <w:szCs w:val="24"/>
          <w:lang w:eastAsia="pl-PL"/>
        </w:rPr>
        <w:t>sjonalny).</w:t>
      </w:r>
    </w:p>
    <w:p w:rsidR="00E101DC" w:rsidRPr="00B81E7D" w:rsidRDefault="00E101DC" w:rsidP="00E101DC">
      <w:pPr>
        <w:spacing w:after="120" w:line="360" w:lineRule="auto"/>
        <w:jc w:val="both"/>
        <w:rPr>
          <w:rFonts w:cs="Times New Roman"/>
          <w:szCs w:val="24"/>
          <w:lang w:eastAsia="pl-PL"/>
        </w:rPr>
      </w:pPr>
      <w:r w:rsidRPr="00B81E7D">
        <w:rPr>
          <w:rFonts w:cs="Times New Roman"/>
          <w:szCs w:val="24"/>
          <w:lang w:eastAsia="pl-PL"/>
        </w:rPr>
        <w:t xml:space="preserve">Przedstawione w projekcie rozwiązanie ma na celu przeciwdziałanie ww. problemowi. Proponuje się objęcie przepisami o ochronie konsumentów osoby fizycznej, która zawiera z innym przedsiębiorcą </w:t>
      </w:r>
      <w:r w:rsidRPr="00B81E7D">
        <w:rPr>
          <w:rFonts w:cs="Times New Roman"/>
          <w:bCs/>
          <w:szCs w:val="24"/>
        </w:rPr>
        <w:t xml:space="preserve">umowę związaną bezpośrednio z prowadzoną przez nią działalnością gospodarczą </w:t>
      </w:r>
      <w:r w:rsidRPr="00B81E7D">
        <w:rPr>
          <w:rFonts w:cs="Times New Roman"/>
          <w:szCs w:val="24"/>
          <w:lang w:eastAsia="pl-PL"/>
        </w:rPr>
        <w:t xml:space="preserve">lub zawodową, lecz nieposiadającą dla niej charakteru zawodowego. Przedsiębiorcy ci byliby objęci ochroną przewidzianą dla konsumentów, w zakresie stosowania klauzul abuzywnych, rękojmi za wady oraz </w:t>
      </w:r>
      <w:r w:rsidR="00362217">
        <w:rPr>
          <w:rFonts w:cs="Times New Roman"/>
          <w:szCs w:val="24"/>
          <w:lang w:eastAsia="pl-PL"/>
        </w:rPr>
        <w:t>w zakresie prawa odstąpienia od </w:t>
      </w:r>
      <w:r w:rsidRPr="00B81E7D">
        <w:rPr>
          <w:rFonts w:cs="Times New Roman"/>
          <w:szCs w:val="24"/>
          <w:lang w:eastAsia="pl-PL"/>
        </w:rPr>
        <w:t>umowy zawartej na odległość  lub</w:t>
      </w:r>
      <w:r w:rsidR="002B35E8" w:rsidRPr="00B81E7D">
        <w:rPr>
          <w:rFonts w:cs="Times New Roman"/>
          <w:szCs w:val="24"/>
          <w:lang w:eastAsia="pl-PL"/>
        </w:rPr>
        <w:t xml:space="preserve"> poza lokalem przedsiębiorstwa.</w:t>
      </w:r>
    </w:p>
    <w:p w:rsidR="00052D1D" w:rsidRPr="00B81E7D" w:rsidRDefault="00052D1D" w:rsidP="00B421C2">
      <w:pPr>
        <w:spacing w:line="360" w:lineRule="auto"/>
        <w:jc w:val="both"/>
        <w:rPr>
          <w:rFonts w:cs="Times New Roman"/>
          <w:bCs/>
          <w:szCs w:val="24"/>
        </w:rPr>
      </w:pPr>
      <w:r w:rsidRPr="00B81E7D">
        <w:rPr>
          <w:rFonts w:cs="Times New Roman"/>
          <w:bCs/>
          <w:szCs w:val="24"/>
        </w:rPr>
        <w:t xml:space="preserve">W przedstawianej propozycji nawiązano do znanego prawu cywilnemu wyrażenia „charakter zawodowy”. </w:t>
      </w:r>
      <w:r w:rsidR="00E65D47" w:rsidRPr="00B81E7D">
        <w:rPr>
          <w:rFonts w:cs="Times New Roman"/>
          <w:bCs/>
          <w:szCs w:val="24"/>
        </w:rPr>
        <w:t xml:space="preserve">Jest ono użyte w art. 355 § 2 </w:t>
      </w:r>
      <w:r w:rsidR="0080619C" w:rsidRPr="00B81E7D">
        <w:rPr>
          <w:rFonts w:cs="Times New Roman"/>
          <w:bCs/>
          <w:szCs w:val="24"/>
        </w:rPr>
        <w:t>Kodeksu cywilnego (dalej: k.c.)</w:t>
      </w:r>
      <w:r w:rsidRPr="00B81E7D">
        <w:rPr>
          <w:rFonts w:cs="Times New Roman"/>
          <w:bCs/>
          <w:szCs w:val="24"/>
        </w:rPr>
        <w:t xml:space="preserve"> normującym miernik należytej staranności przyjmowany dla przedsiębiorcy - dłużnika. Przedsiębiorca byłby traktowany </w:t>
      </w:r>
      <w:r w:rsidR="00E101DC" w:rsidRPr="00B81E7D">
        <w:rPr>
          <w:rFonts w:cs="Times New Roman"/>
          <w:bCs/>
          <w:szCs w:val="24"/>
        </w:rPr>
        <w:t xml:space="preserve">w określonych sytuacjach </w:t>
      </w:r>
      <w:r w:rsidRPr="00B81E7D">
        <w:rPr>
          <w:rFonts w:cs="Times New Roman"/>
          <w:bCs/>
          <w:szCs w:val="24"/>
        </w:rPr>
        <w:t>jak konsument jedynie</w:t>
      </w:r>
      <w:r w:rsidR="003C0AB3" w:rsidRPr="00B81E7D">
        <w:rPr>
          <w:rFonts w:cs="Times New Roman"/>
          <w:bCs/>
          <w:szCs w:val="24"/>
        </w:rPr>
        <w:t xml:space="preserve"> przy </w:t>
      </w:r>
      <w:r w:rsidR="00E101DC" w:rsidRPr="00B81E7D">
        <w:rPr>
          <w:rFonts w:cs="Times New Roman"/>
          <w:bCs/>
          <w:szCs w:val="24"/>
        </w:rPr>
        <w:t>zawieraniu umów</w:t>
      </w:r>
      <w:r w:rsidR="003C0AB3" w:rsidRPr="00B81E7D">
        <w:rPr>
          <w:rFonts w:cs="Times New Roman"/>
          <w:bCs/>
          <w:szCs w:val="24"/>
        </w:rPr>
        <w:t xml:space="preserve"> nie</w:t>
      </w:r>
      <w:r w:rsidRPr="00B81E7D">
        <w:rPr>
          <w:rFonts w:cs="Times New Roman"/>
          <w:bCs/>
          <w:szCs w:val="24"/>
        </w:rPr>
        <w:t xml:space="preserve">posiadających dla niego charakteru zawodowego, których </w:t>
      </w:r>
      <w:r w:rsidR="00E101DC" w:rsidRPr="00B81E7D">
        <w:rPr>
          <w:rFonts w:cs="Times New Roman"/>
          <w:bCs/>
          <w:szCs w:val="24"/>
        </w:rPr>
        <w:t>nie zawiera</w:t>
      </w:r>
      <w:r w:rsidRPr="00B81E7D">
        <w:rPr>
          <w:rFonts w:cs="Times New Roman"/>
          <w:bCs/>
          <w:szCs w:val="24"/>
        </w:rPr>
        <w:t xml:space="preserve"> w ramach dokonywanych codziennie czynności wynikających z przedmiotu działalności gospodarczej, </w:t>
      </w:r>
      <w:r w:rsidRPr="00B81E7D">
        <w:rPr>
          <w:rFonts w:cs="Times New Roman"/>
          <w:bCs/>
          <w:szCs w:val="24"/>
        </w:rPr>
        <w:lastRenderedPageBreak/>
        <w:t>który wskazał w CEIDG. CEIDG jest powszechnie dostępnym źródłem informacji o przedsiębiorcach będących osobami fizycznymi. Tym samym ułatwiona byłaby weryfikacja tego, czy dana czynność wchodzi w zakres czynności zawodowo podejmowanych w ramach rzeczywiście wykonywanej przez przedsiębio</w:t>
      </w:r>
      <w:r w:rsidR="001E3294" w:rsidRPr="00B81E7D">
        <w:rPr>
          <w:rFonts w:cs="Times New Roman"/>
          <w:bCs/>
          <w:szCs w:val="24"/>
        </w:rPr>
        <w:t xml:space="preserve">rcę działalności gospodarczej. </w:t>
      </w:r>
    </w:p>
    <w:p w:rsidR="00E101DC" w:rsidRPr="00B81E7D" w:rsidRDefault="00E101DC" w:rsidP="008B3060">
      <w:pPr>
        <w:spacing w:after="120" w:line="360" w:lineRule="auto"/>
        <w:jc w:val="both"/>
        <w:rPr>
          <w:rFonts w:cs="Times New Roman"/>
          <w:szCs w:val="24"/>
          <w:lang w:eastAsia="pl-PL"/>
        </w:rPr>
      </w:pPr>
      <w:r w:rsidRPr="00B81E7D">
        <w:rPr>
          <w:rFonts w:cs="Times New Roman"/>
          <w:bCs/>
          <w:szCs w:val="24"/>
        </w:rPr>
        <w:t xml:space="preserve">Zmiana jest komplementarna do proponowanej zmiany w ustawie z dnia 30 maja 2014 r. o prawach </w:t>
      </w:r>
      <w:r w:rsidRPr="00B81E7D">
        <w:rPr>
          <w:rFonts w:cs="Times New Roman"/>
          <w:szCs w:val="24"/>
          <w:lang w:eastAsia="pl-PL"/>
        </w:rPr>
        <w:t>konsumenta.</w:t>
      </w:r>
    </w:p>
    <w:p w:rsidR="00B94C8D" w:rsidRPr="00B81E7D" w:rsidRDefault="00B94C8D" w:rsidP="00B81E7D">
      <w:pPr>
        <w:spacing w:after="120" w:line="360" w:lineRule="auto"/>
        <w:jc w:val="both"/>
        <w:rPr>
          <w:rFonts w:cs="Times New Roman"/>
          <w:bCs/>
          <w:szCs w:val="24"/>
        </w:rPr>
      </w:pPr>
      <w:r w:rsidRPr="00B81E7D">
        <w:rPr>
          <w:rFonts w:cs="Times New Roman"/>
          <w:szCs w:val="24"/>
          <w:lang w:eastAsia="pl-PL"/>
        </w:rPr>
        <w:t>Przedsiębiorcy korzystający</w:t>
      </w:r>
      <w:r w:rsidRPr="00B81E7D">
        <w:rPr>
          <w:rFonts w:cs="Times New Roman"/>
          <w:bCs/>
          <w:szCs w:val="24"/>
        </w:rPr>
        <w:t xml:space="preserve"> z tak przyznanej ochrony nie byliby jednak objęci ochroną instytucjonalną konsumentów, sprawowaną przez Prezesa Urzędu Ochrony Konkurencji i Konsumentów oraz rzeczników powiatowych.</w:t>
      </w:r>
    </w:p>
    <w:p w:rsidR="00052D1D" w:rsidRPr="00B81E7D" w:rsidRDefault="00C9592A" w:rsidP="00B421C2">
      <w:pPr>
        <w:numPr>
          <w:ilvl w:val="2"/>
          <w:numId w:val="2"/>
        </w:numPr>
        <w:spacing w:before="120" w:after="120" w:line="360" w:lineRule="auto"/>
        <w:ind w:left="709" w:hanging="425"/>
        <w:jc w:val="both"/>
        <w:rPr>
          <w:rFonts w:cs="Times New Roman"/>
          <w:i/>
          <w:szCs w:val="24"/>
        </w:rPr>
      </w:pPr>
      <w:r w:rsidRPr="00B81E7D">
        <w:rPr>
          <w:rFonts w:cs="Times New Roman"/>
          <w:i/>
          <w:szCs w:val="24"/>
        </w:rPr>
        <w:t xml:space="preserve">Umożliwienie uczynienia przedmiotem zapisu windykacyjnego </w:t>
      </w:r>
      <w:r w:rsidR="00261D03" w:rsidRPr="00B81E7D">
        <w:rPr>
          <w:rFonts w:cs="Times New Roman"/>
          <w:i/>
          <w:szCs w:val="24"/>
        </w:rPr>
        <w:t>ogółu praw i obowiązków wspólnika</w:t>
      </w:r>
      <w:r w:rsidRPr="00B81E7D">
        <w:rPr>
          <w:rFonts w:cs="Times New Roman"/>
          <w:i/>
          <w:szCs w:val="24"/>
        </w:rPr>
        <w:t xml:space="preserve"> w spółce osobowej</w:t>
      </w:r>
      <w:r w:rsidR="00E6062F" w:rsidRPr="00B81E7D">
        <w:rPr>
          <w:rFonts w:cs="Times New Roman"/>
          <w:i/>
          <w:szCs w:val="24"/>
        </w:rPr>
        <w:t xml:space="preserve"> (art. </w:t>
      </w:r>
      <w:r w:rsidR="003841A3" w:rsidRPr="00B81E7D">
        <w:rPr>
          <w:rFonts w:cs="Times New Roman"/>
          <w:i/>
          <w:szCs w:val="24"/>
        </w:rPr>
        <w:t>1</w:t>
      </w:r>
      <w:r w:rsidR="001A1C09" w:rsidRPr="00B81E7D">
        <w:rPr>
          <w:rFonts w:cs="Times New Roman"/>
          <w:i/>
          <w:szCs w:val="24"/>
        </w:rPr>
        <w:t xml:space="preserve"> </w:t>
      </w:r>
      <w:r w:rsidR="00E6062F" w:rsidRPr="00B81E7D">
        <w:rPr>
          <w:rFonts w:cs="Times New Roman"/>
          <w:i/>
          <w:szCs w:val="24"/>
        </w:rPr>
        <w:t xml:space="preserve">pkt </w:t>
      </w:r>
      <w:r w:rsidR="002B35E8" w:rsidRPr="00B81E7D">
        <w:rPr>
          <w:rFonts w:cs="Times New Roman"/>
          <w:i/>
          <w:szCs w:val="24"/>
        </w:rPr>
        <w:t>4</w:t>
      </w:r>
      <w:r w:rsidR="00E6062F" w:rsidRPr="00B81E7D">
        <w:rPr>
          <w:rFonts w:cs="Times New Roman"/>
          <w:i/>
          <w:szCs w:val="24"/>
        </w:rPr>
        <w:t xml:space="preserve"> projektu).</w:t>
      </w:r>
    </w:p>
    <w:p w:rsidR="00800AE1" w:rsidRPr="00B81E7D" w:rsidRDefault="00BA3330" w:rsidP="00B421C2">
      <w:pPr>
        <w:spacing w:after="120" w:line="360" w:lineRule="auto"/>
        <w:jc w:val="both"/>
        <w:rPr>
          <w:rFonts w:cs="Times New Roman"/>
          <w:szCs w:val="24"/>
          <w:lang w:eastAsia="pl-PL"/>
        </w:rPr>
      </w:pPr>
      <w:r w:rsidRPr="00B81E7D">
        <w:rPr>
          <w:rFonts w:cs="Times New Roman"/>
          <w:bCs/>
          <w:szCs w:val="24"/>
        </w:rPr>
        <w:t>Zgodnie z art. 10 § 1 Kodeksu spółek handlowych (dalej: k.s.h.), o</w:t>
      </w:r>
      <w:r w:rsidR="00800AE1" w:rsidRPr="00B81E7D">
        <w:rPr>
          <w:rFonts w:cs="Times New Roman"/>
          <w:bCs/>
          <w:szCs w:val="24"/>
        </w:rPr>
        <w:t>gół praw i obowiązków wspólnika w spółce osobowej jest co do zasady niezbywa</w:t>
      </w:r>
      <w:r w:rsidR="00362217">
        <w:rPr>
          <w:rFonts w:cs="Times New Roman"/>
          <w:bCs/>
          <w:szCs w:val="24"/>
        </w:rPr>
        <w:t>lny, ale – w przeciwieństwie do </w:t>
      </w:r>
      <w:r w:rsidR="00800AE1" w:rsidRPr="00B81E7D">
        <w:rPr>
          <w:rFonts w:cs="Times New Roman"/>
          <w:bCs/>
          <w:szCs w:val="24"/>
        </w:rPr>
        <w:t>udziału w spółce cywilnej – umowa spółki osobowej może przewidywać, że taki „udział spó</w:t>
      </w:r>
      <w:r w:rsidRPr="00B81E7D">
        <w:rPr>
          <w:rFonts w:cs="Times New Roman"/>
          <w:bCs/>
          <w:szCs w:val="24"/>
        </w:rPr>
        <w:t xml:space="preserve">łkowy” będzie zbywalny. </w:t>
      </w:r>
      <w:r w:rsidR="00800AE1" w:rsidRPr="00B81E7D">
        <w:rPr>
          <w:rFonts w:cs="Times New Roman"/>
          <w:bCs/>
          <w:szCs w:val="24"/>
        </w:rPr>
        <w:t xml:space="preserve">Jeśli spadkobiercy wspólnika nie wstępują do spółki, skutki śmierci wspólnika są tożsame ze skutkami wystąpienia ze spółki, a do spadku wchodzi roszczenie o wypłatę wartości udziału kapitałowego </w:t>
      </w:r>
      <w:r w:rsidR="00800AE1" w:rsidRPr="00B81E7D">
        <w:rPr>
          <w:rFonts w:cs="Times New Roman"/>
          <w:szCs w:val="24"/>
          <w:lang w:eastAsia="pl-PL"/>
        </w:rPr>
        <w:t>przypadającego na zmarłego wspólnika (art. 65 k.s.h.). Roszczenie to może być przedmiotem zapisu windykacyjnego</w:t>
      </w:r>
      <w:r w:rsidR="00800AE1" w:rsidRPr="00B81E7D">
        <w:rPr>
          <w:rFonts w:cs="Times New Roman"/>
          <w:szCs w:val="24"/>
          <w:vertAlign w:val="superscript"/>
          <w:lang w:eastAsia="pl-PL"/>
        </w:rPr>
        <w:footnoteReference w:id="4"/>
      </w:r>
      <w:r w:rsidR="00800AE1" w:rsidRPr="00B81E7D">
        <w:rPr>
          <w:rFonts w:cs="Times New Roman"/>
          <w:szCs w:val="24"/>
          <w:lang w:eastAsia="pl-PL"/>
        </w:rPr>
        <w:t>.</w:t>
      </w:r>
    </w:p>
    <w:p w:rsidR="00800AE1" w:rsidRPr="00B81E7D" w:rsidRDefault="00800AE1" w:rsidP="00B421C2">
      <w:pPr>
        <w:spacing w:after="120" w:line="360" w:lineRule="auto"/>
        <w:jc w:val="both"/>
        <w:rPr>
          <w:rFonts w:cs="Times New Roman"/>
          <w:szCs w:val="24"/>
          <w:lang w:eastAsia="pl-PL"/>
        </w:rPr>
      </w:pPr>
      <w:r w:rsidRPr="00B81E7D">
        <w:rPr>
          <w:rFonts w:cs="Times New Roman"/>
          <w:szCs w:val="24"/>
          <w:lang w:eastAsia="pl-PL"/>
        </w:rPr>
        <w:t>Poważne wątpliwości budzi natomiast, czy przedmiotem zapisu windykacyjnego może być sam udział wspólnika</w:t>
      </w:r>
      <w:r w:rsidRPr="00B81E7D">
        <w:rPr>
          <w:rFonts w:cs="Times New Roman"/>
          <w:bCs/>
          <w:szCs w:val="24"/>
        </w:rPr>
        <w:t xml:space="preserve"> w handlowej spółce osobowej. Przyjmuje się, że ogół praw i obowiązków wspólnika spółki osobowej – nazywany niekiedy w doktrynie „udziałem spółkowym” – nie jest zbywalnym prawem majątkowym w rozumieniu art. 981</w:t>
      </w:r>
      <w:r w:rsidRPr="00B81E7D">
        <w:rPr>
          <w:rFonts w:cs="Times New Roman"/>
          <w:bCs/>
          <w:szCs w:val="24"/>
          <w:vertAlign w:val="superscript"/>
        </w:rPr>
        <w:t>1</w:t>
      </w:r>
      <w:r w:rsidRPr="00B81E7D">
        <w:rPr>
          <w:rFonts w:cs="Times New Roman"/>
          <w:bCs/>
          <w:szCs w:val="24"/>
        </w:rPr>
        <w:t xml:space="preserve"> § 2 pkt 2</w:t>
      </w:r>
      <w:r w:rsidR="00C803D3" w:rsidRPr="00B81E7D">
        <w:rPr>
          <w:rFonts w:cs="Times New Roman"/>
          <w:bCs/>
          <w:szCs w:val="24"/>
        </w:rPr>
        <w:t> </w:t>
      </w:r>
      <w:r w:rsidR="007F7402" w:rsidRPr="00B81E7D">
        <w:rPr>
          <w:rFonts w:cs="Times New Roman"/>
          <w:bCs/>
          <w:szCs w:val="24"/>
        </w:rPr>
        <w:t>k.c.</w:t>
      </w:r>
      <w:r w:rsidRPr="00B81E7D">
        <w:rPr>
          <w:rFonts w:cs="Times New Roman"/>
          <w:bCs/>
          <w:szCs w:val="24"/>
        </w:rPr>
        <w:t xml:space="preserve">, nawet jeżeli umowa spółki dopuszcza możliwość przeniesienia go. Prezentowane jest także stanowisko, zgodnie z którym pojęcie „ogółu praw i obowiązków wspólnika”, o którym mowa w art. 10 k.s.h. należy raczej rozumieć jako „członkostwo”, tj. stosunek prawny łączący </w:t>
      </w:r>
      <w:r w:rsidRPr="00B81E7D">
        <w:rPr>
          <w:rFonts w:cs="Times New Roman"/>
          <w:szCs w:val="24"/>
          <w:lang w:eastAsia="pl-PL"/>
        </w:rPr>
        <w:t>spółkę i wspólnika, na którego treść składają się wzajemne prawa i obowiązki spółki oraz wspólnika</w:t>
      </w:r>
      <w:r w:rsidRPr="00B81E7D">
        <w:rPr>
          <w:rFonts w:cs="Times New Roman"/>
          <w:szCs w:val="24"/>
          <w:vertAlign w:val="superscript"/>
          <w:lang w:eastAsia="pl-PL"/>
        </w:rPr>
        <w:footnoteReference w:id="5"/>
      </w:r>
      <w:r w:rsidRPr="00B81E7D">
        <w:rPr>
          <w:rFonts w:cs="Times New Roman"/>
          <w:szCs w:val="24"/>
          <w:lang w:eastAsia="pl-PL"/>
        </w:rPr>
        <w:t>.</w:t>
      </w:r>
    </w:p>
    <w:p w:rsidR="00800AE1" w:rsidRPr="00B81E7D" w:rsidRDefault="00800AE1" w:rsidP="00B421C2">
      <w:pPr>
        <w:spacing w:after="120" w:line="360" w:lineRule="auto"/>
        <w:jc w:val="both"/>
        <w:rPr>
          <w:rFonts w:cs="Times New Roman"/>
          <w:bCs/>
          <w:szCs w:val="24"/>
        </w:rPr>
      </w:pPr>
      <w:r w:rsidRPr="00B81E7D">
        <w:rPr>
          <w:rFonts w:cs="Times New Roman"/>
          <w:szCs w:val="24"/>
          <w:lang w:eastAsia="pl-PL"/>
        </w:rPr>
        <w:t>Nie budzi wątpliwości, że prawa i obowiązki wchodzące „w skład” ogółu praw i obowiązków wspólnika stanowią elementy</w:t>
      </w:r>
      <w:r w:rsidRPr="00B81E7D">
        <w:rPr>
          <w:rFonts w:cs="Times New Roman"/>
          <w:bCs/>
          <w:szCs w:val="24"/>
        </w:rPr>
        <w:t xml:space="preserve"> o różnym charakterze. W skład ich wchodzą zarówno prawa </w:t>
      </w:r>
      <w:r w:rsidRPr="00B81E7D">
        <w:rPr>
          <w:rFonts w:cs="Times New Roman"/>
          <w:bCs/>
          <w:szCs w:val="24"/>
        </w:rPr>
        <w:lastRenderedPageBreak/>
        <w:t>wewnątrzspółkowe, zobowiązania występującego wspólnika, prawa korporacyjne, jak i prawa czysto majątkowe, w tym prawo do udziału kapitałowego</w:t>
      </w:r>
      <w:r w:rsidRPr="00B81E7D">
        <w:rPr>
          <w:rFonts w:cs="Times New Roman"/>
          <w:bCs/>
          <w:szCs w:val="24"/>
          <w:vertAlign w:val="superscript"/>
        </w:rPr>
        <w:footnoteReference w:id="6"/>
      </w:r>
      <w:r w:rsidRPr="00B81E7D">
        <w:rPr>
          <w:rFonts w:cs="Times New Roman"/>
          <w:bCs/>
          <w:szCs w:val="24"/>
        </w:rPr>
        <w:t>. Udział kapitałowy wspólnika należy odróżnić od „udziału spółkowego”, do którego odnosi się art. 10 k.s.h. O udziale kapitałowym stanowi art. 50 § 1 k.s.h., zgodnie z którym udział kapitałowy wspólnika odpowiada wartości rzeczywiście wniesionego wkładu. Wyraża on zatem w pieniądzu rozmiar partycypacji majątkowej wspólnika w spółce z tytułu wniesienia do spółki wkładu. W doktrynie wskazuje się jednak, że udział kapitałowy nie jest samodzielnym i zbywalnym prawem przysługującym wspólnikowi. Wyklucza to uczynienie go przedmiotem zapisu windykacyjnego na podstawie obecnego brzmienia art. 981</w:t>
      </w:r>
      <w:r w:rsidRPr="00B81E7D">
        <w:rPr>
          <w:rFonts w:cs="Times New Roman"/>
          <w:bCs/>
          <w:szCs w:val="24"/>
          <w:vertAlign w:val="superscript"/>
        </w:rPr>
        <w:t>1</w:t>
      </w:r>
      <w:r w:rsidRPr="00B81E7D">
        <w:rPr>
          <w:rFonts w:cs="Times New Roman"/>
          <w:bCs/>
          <w:szCs w:val="24"/>
        </w:rPr>
        <w:t xml:space="preserve"> </w:t>
      </w:r>
      <w:r w:rsidR="007F7402" w:rsidRPr="00B81E7D">
        <w:rPr>
          <w:rFonts w:cs="Times New Roman"/>
          <w:bCs/>
          <w:szCs w:val="24"/>
        </w:rPr>
        <w:t>k.c.</w:t>
      </w:r>
    </w:p>
    <w:p w:rsidR="00261D03" w:rsidRPr="00B81E7D" w:rsidRDefault="00261D03" w:rsidP="00261D03">
      <w:pPr>
        <w:spacing w:after="120" w:line="360" w:lineRule="auto"/>
        <w:jc w:val="both"/>
        <w:rPr>
          <w:rFonts w:cs="Times New Roman"/>
          <w:szCs w:val="24"/>
          <w:lang w:eastAsia="pl-PL"/>
        </w:rPr>
      </w:pPr>
      <w:r w:rsidRPr="00B81E7D">
        <w:rPr>
          <w:rFonts w:cs="Times New Roman"/>
          <w:szCs w:val="24"/>
        </w:rPr>
        <w:t xml:space="preserve">Za przyjęciem takiego </w:t>
      </w:r>
      <w:r w:rsidRPr="00B81E7D">
        <w:rPr>
          <w:rFonts w:cs="Times New Roman"/>
          <w:szCs w:val="24"/>
          <w:lang w:eastAsia="pl-PL"/>
        </w:rPr>
        <w:t xml:space="preserve">rozwiązania przemawiają następujące argumenty. </w:t>
      </w:r>
    </w:p>
    <w:p w:rsidR="00261D03" w:rsidRPr="00B81E7D" w:rsidRDefault="00261D03" w:rsidP="00261D03">
      <w:pPr>
        <w:spacing w:after="120" w:line="360" w:lineRule="auto"/>
        <w:jc w:val="both"/>
        <w:rPr>
          <w:rFonts w:cs="Times New Roman"/>
          <w:szCs w:val="24"/>
          <w:lang w:eastAsia="pl-PL"/>
        </w:rPr>
      </w:pPr>
      <w:r w:rsidRPr="00B81E7D">
        <w:rPr>
          <w:rFonts w:cs="Times New Roman"/>
          <w:szCs w:val="24"/>
          <w:lang w:eastAsia="pl-PL"/>
        </w:rPr>
        <w:t>Wprowadzenie</w:t>
      </w:r>
      <w:r w:rsidRPr="00B81E7D">
        <w:rPr>
          <w:rFonts w:cs="Times New Roman"/>
          <w:szCs w:val="24"/>
        </w:rPr>
        <w:t xml:space="preserve"> </w:t>
      </w:r>
      <w:r w:rsidRPr="00B81E7D">
        <w:rPr>
          <w:rFonts w:cs="Times New Roman"/>
          <w:i/>
          <w:szCs w:val="24"/>
        </w:rPr>
        <w:t>expressis verbis</w:t>
      </w:r>
      <w:r w:rsidRPr="00B81E7D">
        <w:rPr>
          <w:rFonts w:cs="Times New Roman"/>
          <w:szCs w:val="24"/>
        </w:rPr>
        <w:t xml:space="preserve"> możliwości objęcia ogółu praw i obowiązków wspólnika spółki osobowej przyczyni się do osiągnięcia celu projektu, jakim jest ułatwienie przeprowadzania sukcesji w spółkach osobowy</w:t>
      </w:r>
      <w:r w:rsidR="00362217">
        <w:rPr>
          <w:rFonts w:cs="Times New Roman"/>
          <w:szCs w:val="24"/>
        </w:rPr>
        <w:t>ch. W doktrynie przedstawia się </w:t>
      </w:r>
      <w:r w:rsidRPr="00B81E7D">
        <w:rPr>
          <w:rFonts w:cs="Times New Roman"/>
          <w:szCs w:val="24"/>
        </w:rPr>
        <w:t xml:space="preserve">niezbywalność ogółu praw i obowiązków jako zasadę, a określone w art. 10 ustawy z dnia 15 września 2000 r. – Kodeks spółek handlowych przesłanki zbywalności ogółu praw i obowiązków jako wyjątki od tej zasady (odpowiednie postanowienie umowy spółki lub pisemna zgoda wszystkich pozostałych wspólników). Pojęcie ogółu praw i obowiązków zostało użyte w k.s.h. w odniesieniu do podlegającego warunkowo zbyciu konglomeratu praw wspólnika przysługujących mu z tytułu uczestnictwa w spółce. Zbycie ogółu praw i obowiązków wspólnika handlowej spółki osobowej pod określonymi warunkami jest możliwe w drodze czynności </w:t>
      </w:r>
      <w:r w:rsidRPr="00B81E7D">
        <w:rPr>
          <w:rFonts w:cs="Times New Roman"/>
          <w:i/>
          <w:szCs w:val="24"/>
        </w:rPr>
        <w:t>inter vivos</w:t>
      </w:r>
      <w:r w:rsidRPr="00B81E7D">
        <w:rPr>
          <w:rFonts w:cs="Times New Roman"/>
          <w:szCs w:val="24"/>
        </w:rPr>
        <w:t xml:space="preserve">. Przejście ogółu praw i obowiązków może nastąpić również </w:t>
      </w:r>
      <w:r w:rsidRPr="00B81E7D">
        <w:rPr>
          <w:rFonts w:cs="Times New Roman"/>
          <w:i/>
          <w:szCs w:val="24"/>
        </w:rPr>
        <w:t>mortis causa</w:t>
      </w:r>
      <w:r w:rsidRPr="00B81E7D">
        <w:rPr>
          <w:rFonts w:cs="Times New Roman"/>
          <w:szCs w:val="24"/>
        </w:rPr>
        <w:t>, ale z uwagi na treść art. 981</w:t>
      </w:r>
      <w:r w:rsidRPr="00B81E7D">
        <w:rPr>
          <w:rFonts w:cs="Times New Roman"/>
          <w:szCs w:val="24"/>
          <w:vertAlign w:val="superscript"/>
        </w:rPr>
        <w:t>1</w:t>
      </w:r>
      <w:r w:rsidRPr="00B81E7D">
        <w:rPr>
          <w:rFonts w:cs="Times New Roman"/>
          <w:szCs w:val="24"/>
        </w:rPr>
        <w:t xml:space="preserve"> k.c., wyłączającą </w:t>
      </w:r>
      <w:r w:rsidRPr="00B81E7D">
        <w:rPr>
          <w:rFonts w:cs="Times New Roman"/>
          <w:i/>
          <w:szCs w:val="24"/>
        </w:rPr>
        <w:t>de lege lata</w:t>
      </w:r>
      <w:r w:rsidRPr="00B81E7D">
        <w:rPr>
          <w:rFonts w:cs="Times New Roman"/>
          <w:szCs w:val="24"/>
        </w:rPr>
        <w:t xml:space="preserve"> objęcie zapisem windykacyjnym niezbywalnych co do zasady praw majątkowych, może to nastąpić jedynie w odniesieniu do spadkobierców zmarłego wspólnika na zasadach określonych w przepisach k.s.h. Zasady te należy rozumieć w ten sposób, że osoby dysponujące potwierdzeniem praw do spadku mogą wstąpić do spółki przy założeniu, że umowa spółki na to zezwala lub pozostali wspólnicy wyrażą na to zgodę. Użycie w treści art. 981</w:t>
      </w:r>
      <w:r w:rsidRPr="00B81E7D">
        <w:rPr>
          <w:rFonts w:cs="Times New Roman"/>
          <w:szCs w:val="24"/>
          <w:vertAlign w:val="superscript"/>
        </w:rPr>
        <w:t>1</w:t>
      </w:r>
      <w:r w:rsidRPr="00B81E7D">
        <w:rPr>
          <w:rFonts w:cs="Times New Roman"/>
          <w:szCs w:val="24"/>
        </w:rPr>
        <w:t xml:space="preserve"> k.c. pojęcia ogółu praw i obowiązków, które występuje w k.s.h. i jest powszechnie używane w obrocie, pozwoliłoby wprowadzić do k.s.h. nową podstawę wstąpienia do spółki sukcesorów zmarłego wspólnika: zapisobierców windykacyjnych. Do osób takich należałoby odpowiednio stosować przepisy dotyczące spadkobierców, co oznacza, że ich wstąpienie do spółki na zasadach </w:t>
      </w:r>
      <w:r w:rsidRPr="00B81E7D">
        <w:rPr>
          <w:rFonts w:cs="Times New Roman"/>
          <w:szCs w:val="24"/>
        </w:rPr>
        <w:lastRenderedPageBreak/>
        <w:t>wynikających z zapisu windykacyjnego, tj. nabycie ogółu praw z chwilą otwarcia spadku, będzie wymagało spełnienia warunków określonych w art. 10 k.s.h., względnie w art. 64 k.s.h. (na możliwość stosowania do zapisobierców windykacyjnych przepisów o spadkobiercach wskazał, w odniesieniu do objętych zapise</w:t>
      </w:r>
      <w:r w:rsidR="00362217">
        <w:rPr>
          <w:rFonts w:cs="Times New Roman"/>
          <w:szCs w:val="24"/>
        </w:rPr>
        <w:t>m udziałów w spółce z o.o., Sąd </w:t>
      </w:r>
      <w:r w:rsidRPr="00B81E7D">
        <w:rPr>
          <w:rFonts w:cs="Times New Roman"/>
          <w:szCs w:val="24"/>
        </w:rPr>
        <w:t xml:space="preserve">Apelacyjny w Warszawie w wyroku z 28 </w:t>
      </w:r>
      <w:r w:rsidRPr="00B81E7D">
        <w:rPr>
          <w:rFonts w:cs="Times New Roman"/>
          <w:szCs w:val="24"/>
          <w:lang w:eastAsia="pl-PL"/>
        </w:rPr>
        <w:t>października 2016 r., I ACa 1727/15).</w:t>
      </w:r>
    </w:p>
    <w:p w:rsidR="00800AE1" w:rsidRPr="00B81E7D" w:rsidRDefault="00800AE1" w:rsidP="00B421C2">
      <w:pPr>
        <w:spacing w:after="120" w:line="360" w:lineRule="auto"/>
        <w:jc w:val="both"/>
        <w:rPr>
          <w:rFonts w:cs="Times New Roman"/>
          <w:bCs/>
          <w:szCs w:val="24"/>
        </w:rPr>
      </w:pPr>
      <w:r w:rsidRPr="00B81E7D">
        <w:rPr>
          <w:rFonts w:cs="Times New Roman"/>
          <w:szCs w:val="24"/>
          <w:lang w:eastAsia="pl-PL"/>
        </w:rPr>
        <w:t>Wprowadzen</w:t>
      </w:r>
      <w:r w:rsidRPr="00B81E7D">
        <w:rPr>
          <w:rFonts w:cs="Times New Roman"/>
          <w:bCs/>
          <w:szCs w:val="24"/>
        </w:rPr>
        <w:t>ie opisanej zmiany ułatwi planowanie sukcesji w spółkach osobowych, często wykorzystywanych w działalności firm rodzinnych.</w:t>
      </w:r>
    </w:p>
    <w:p w:rsidR="009E0EBC" w:rsidRPr="00B81E7D" w:rsidRDefault="009E0EBC" w:rsidP="00B421C2">
      <w:pPr>
        <w:spacing w:before="120" w:line="360" w:lineRule="auto"/>
        <w:jc w:val="both"/>
        <w:rPr>
          <w:rFonts w:cs="Times New Roman"/>
          <w:szCs w:val="24"/>
        </w:rPr>
      </w:pPr>
      <w:bookmarkStart w:id="1" w:name="mip43087691"/>
      <w:bookmarkStart w:id="2" w:name="mip43087692"/>
      <w:bookmarkEnd w:id="1"/>
      <w:bookmarkEnd w:id="2"/>
    </w:p>
    <w:p w:rsidR="00FF1B74" w:rsidRPr="00B81E7D" w:rsidRDefault="00FF1B74" w:rsidP="00B421C2">
      <w:pPr>
        <w:numPr>
          <w:ilvl w:val="0"/>
          <w:numId w:val="2"/>
        </w:numPr>
        <w:spacing w:after="120" w:line="360" w:lineRule="auto"/>
        <w:jc w:val="both"/>
        <w:rPr>
          <w:rFonts w:cs="Times New Roman"/>
          <w:b/>
          <w:szCs w:val="24"/>
        </w:rPr>
      </w:pPr>
      <w:r w:rsidRPr="00B81E7D">
        <w:rPr>
          <w:rFonts w:cs="Times New Roman"/>
          <w:b/>
          <w:szCs w:val="24"/>
        </w:rPr>
        <w:t>Zmian</w:t>
      </w:r>
      <w:r w:rsidR="00B80FEC" w:rsidRPr="00B81E7D">
        <w:rPr>
          <w:rFonts w:cs="Times New Roman"/>
          <w:b/>
          <w:szCs w:val="24"/>
        </w:rPr>
        <w:t>y</w:t>
      </w:r>
      <w:r w:rsidRPr="00B81E7D">
        <w:rPr>
          <w:rFonts w:cs="Times New Roman"/>
          <w:b/>
          <w:szCs w:val="24"/>
        </w:rPr>
        <w:t xml:space="preserve"> w ustawie z dnia 17 listopada 1964 r. – Kodeks postępowania cywilnego (art. </w:t>
      </w:r>
      <w:r w:rsidR="003841A3" w:rsidRPr="00B81E7D">
        <w:rPr>
          <w:rFonts w:cs="Times New Roman"/>
          <w:b/>
          <w:szCs w:val="24"/>
        </w:rPr>
        <w:t>2</w:t>
      </w:r>
      <w:r w:rsidR="001A1C09" w:rsidRPr="00B81E7D">
        <w:rPr>
          <w:rFonts w:cs="Times New Roman"/>
          <w:b/>
          <w:szCs w:val="24"/>
        </w:rPr>
        <w:t xml:space="preserve"> </w:t>
      </w:r>
      <w:r w:rsidRPr="00B81E7D">
        <w:rPr>
          <w:rFonts w:cs="Times New Roman"/>
          <w:b/>
          <w:szCs w:val="24"/>
        </w:rPr>
        <w:t>projektu)</w:t>
      </w:r>
      <w:r w:rsidR="00405DF2" w:rsidRPr="00B81E7D">
        <w:rPr>
          <w:rFonts w:cs="Times New Roman"/>
          <w:b/>
          <w:szCs w:val="24"/>
        </w:rPr>
        <w:t>.</w:t>
      </w:r>
    </w:p>
    <w:p w:rsidR="00C27D5F" w:rsidRPr="00B81E7D" w:rsidRDefault="00E14E1D" w:rsidP="00B421C2">
      <w:pPr>
        <w:numPr>
          <w:ilvl w:val="2"/>
          <w:numId w:val="2"/>
        </w:numPr>
        <w:spacing w:before="120" w:after="120" w:line="360" w:lineRule="auto"/>
        <w:ind w:left="709" w:hanging="425"/>
        <w:jc w:val="both"/>
        <w:rPr>
          <w:rFonts w:cs="Times New Roman"/>
          <w:i/>
          <w:szCs w:val="24"/>
        </w:rPr>
      </w:pPr>
      <w:r w:rsidRPr="00B81E7D">
        <w:t>Ugody w sprawie odwołania do sądu ochrony konkurencji i konsumentów</w:t>
      </w:r>
      <w:r w:rsidRPr="00B81E7D" w:rsidDel="00E14E1D">
        <w:rPr>
          <w:rFonts w:cs="Times New Roman"/>
          <w:i/>
          <w:szCs w:val="24"/>
        </w:rPr>
        <w:t xml:space="preserve"> </w:t>
      </w:r>
      <w:r w:rsidR="00C27D5F" w:rsidRPr="00B81E7D">
        <w:rPr>
          <w:rFonts w:cs="Times New Roman"/>
          <w:i/>
          <w:szCs w:val="24"/>
        </w:rPr>
        <w:t xml:space="preserve">(art. </w:t>
      </w:r>
      <w:r w:rsidR="003841A3" w:rsidRPr="00B81E7D">
        <w:rPr>
          <w:rFonts w:cs="Times New Roman"/>
          <w:i/>
          <w:szCs w:val="24"/>
        </w:rPr>
        <w:t>2</w:t>
      </w:r>
      <w:r w:rsidR="001A1C09" w:rsidRPr="00B81E7D">
        <w:rPr>
          <w:rFonts w:cs="Times New Roman"/>
          <w:i/>
          <w:szCs w:val="24"/>
        </w:rPr>
        <w:t xml:space="preserve"> </w:t>
      </w:r>
      <w:r w:rsidR="00C27D5F" w:rsidRPr="00B81E7D">
        <w:rPr>
          <w:rFonts w:cs="Times New Roman"/>
          <w:i/>
          <w:szCs w:val="24"/>
        </w:rPr>
        <w:t>pkt 1</w:t>
      </w:r>
      <w:r w:rsidR="003841A3" w:rsidRPr="00B81E7D">
        <w:rPr>
          <w:rFonts w:cs="Times New Roman"/>
          <w:i/>
          <w:szCs w:val="24"/>
        </w:rPr>
        <w:t>-</w:t>
      </w:r>
      <w:r w:rsidRPr="00B81E7D">
        <w:rPr>
          <w:rFonts w:cs="Times New Roman"/>
          <w:i/>
          <w:szCs w:val="24"/>
        </w:rPr>
        <w:t xml:space="preserve">7 </w:t>
      </w:r>
      <w:r w:rsidR="00C27D5F" w:rsidRPr="00B81E7D">
        <w:rPr>
          <w:rFonts w:cs="Times New Roman"/>
          <w:i/>
          <w:szCs w:val="24"/>
        </w:rPr>
        <w:t>projektu).</w:t>
      </w:r>
    </w:p>
    <w:p w:rsidR="004C37CE" w:rsidRPr="00B81E7D" w:rsidRDefault="004C37CE" w:rsidP="004C37CE">
      <w:pPr>
        <w:spacing w:before="120" w:after="120" w:line="360" w:lineRule="auto"/>
        <w:jc w:val="both"/>
        <w:rPr>
          <w:rFonts w:cs="Times New Roman"/>
          <w:szCs w:val="24"/>
        </w:rPr>
      </w:pPr>
      <w:r w:rsidRPr="00B81E7D">
        <w:rPr>
          <w:rFonts w:cs="Times New Roman"/>
          <w:szCs w:val="24"/>
        </w:rPr>
        <w:t xml:space="preserve">Przepisy </w:t>
      </w:r>
      <w:r w:rsidR="005E7973" w:rsidRPr="00B81E7D">
        <w:rPr>
          <w:rFonts w:cs="Times New Roman"/>
          <w:szCs w:val="24"/>
        </w:rPr>
        <w:t xml:space="preserve">Kodeksu postępowania cywilnego (dalej: </w:t>
      </w:r>
      <w:r w:rsidRPr="00B81E7D">
        <w:rPr>
          <w:rFonts w:cs="Times New Roman"/>
          <w:szCs w:val="24"/>
        </w:rPr>
        <w:t>k.p.c.</w:t>
      </w:r>
      <w:r w:rsidR="005E7973" w:rsidRPr="00B81E7D">
        <w:rPr>
          <w:rFonts w:cs="Times New Roman"/>
          <w:szCs w:val="24"/>
        </w:rPr>
        <w:t>)</w:t>
      </w:r>
      <w:r w:rsidRPr="00B81E7D">
        <w:rPr>
          <w:rFonts w:cs="Times New Roman"/>
          <w:szCs w:val="24"/>
        </w:rPr>
        <w:t xml:space="preserve"> zawierają liczne rozwiązania wpierające polubowne zakończenie sporu poprzez zawarcie ugody. Jednym z</w:t>
      </w:r>
      <w:r w:rsidR="005E7973" w:rsidRPr="00B81E7D">
        <w:rPr>
          <w:rFonts w:cs="Times New Roman"/>
          <w:szCs w:val="24"/>
        </w:rPr>
        <w:t> </w:t>
      </w:r>
      <w:r w:rsidRPr="00B81E7D">
        <w:rPr>
          <w:rFonts w:cs="Times New Roman"/>
          <w:szCs w:val="24"/>
        </w:rPr>
        <w:t xml:space="preserve">najważniejszych przepisów w tym zakresie jest art. 223 § 1 k.p.c. obligujący przewodniczącego do skłaniania stron – we właściwej chwili – do pojednania. Zawarcie ugody stanowi szybszą i tańszą alternatywę rozwiązania sporu w stosunku do rozstrzygania sprawy przez sąd. W szczególności dotyczy to spraw złożonych i skomplikowanych, wymagających często zasięgnięcia opinii biegłego sądowego. </w:t>
      </w:r>
    </w:p>
    <w:p w:rsidR="004C37CE" w:rsidRPr="00B81E7D" w:rsidRDefault="004C37CE" w:rsidP="004C37CE">
      <w:pPr>
        <w:spacing w:before="120" w:after="120" w:line="360" w:lineRule="auto"/>
        <w:jc w:val="both"/>
        <w:rPr>
          <w:rFonts w:cs="Times New Roman"/>
          <w:szCs w:val="24"/>
        </w:rPr>
      </w:pPr>
      <w:r w:rsidRPr="00B81E7D">
        <w:rPr>
          <w:rFonts w:cs="Times New Roman"/>
          <w:szCs w:val="24"/>
        </w:rPr>
        <w:t xml:space="preserve">Możliwość zawarcia ugody i w ten sposób zakończenia </w:t>
      </w:r>
      <w:r w:rsidR="00362217">
        <w:rPr>
          <w:rFonts w:cs="Times New Roman"/>
          <w:szCs w:val="24"/>
        </w:rPr>
        <w:t>sporu sądowego uzależniona jest </w:t>
      </w:r>
      <w:r w:rsidRPr="00B81E7D">
        <w:rPr>
          <w:rFonts w:cs="Times New Roman"/>
          <w:szCs w:val="24"/>
        </w:rPr>
        <w:t>jednak od rodzaju i istoty stosunku prawnego, który legł u podstaw sporu między stronami. W doktrynie w zakresie ugód sądowych dominuje pogląd, że przedmiotem ugody może być tylko sprawa ze stosunku cywilnego</w:t>
      </w:r>
      <w:r w:rsidRPr="00B81E7D">
        <w:rPr>
          <w:rStyle w:val="Odwoanieprzypisudolnego"/>
          <w:color w:val="000000"/>
          <w:szCs w:val="24"/>
        </w:rPr>
        <w:footnoteReference w:id="7"/>
      </w:r>
      <w:r w:rsidRPr="00B81E7D">
        <w:rPr>
          <w:rFonts w:cs="Times New Roman"/>
          <w:szCs w:val="24"/>
        </w:rPr>
        <w:t>.  Art. 10 k.p.</w:t>
      </w:r>
      <w:r w:rsidR="00362217">
        <w:rPr>
          <w:rFonts w:cs="Times New Roman"/>
          <w:szCs w:val="24"/>
        </w:rPr>
        <w:t>c. stanowi, że „[w] sprawach, w </w:t>
      </w:r>
      <w:r w:rsidRPr="00B81E7D">
        <w:rPr>
          <w:rFonts w:cs="Times New Roman"/>
          <w:szCs w:val="24"/>
        </w:rPr>
        <w:t xml:space="preserve">których zawarcie ugody jest dopuszczalne, sąd dąży w każdym stanie postępowania do ich ugodowego załatwienia”. Przepis ten odnosi się do ugód, o których mowa w art. 917 ustawy – Kodeks cywilny, dotyczących łączących strony stosunków prywatnoprawnych, zasadniczo uprawniających strony do swobodnego dysponowania tym stosunkiem prawnym, w tym przede wszystkim zrzeczeniem się roszczenia w całości lub w części. </w:t>
      </w:r>
    </w:p>
    <w:p w:rsidR="004C37CE" w:rsidRPr="00B81E7D" w:rsidRDefault="004C37CE" w:rsidP="004C37CE">
      <w:pPr>
        <w:spacing w:before="120" w:after="120" w:line="360" w:lineRule="auto"/>
        <w:jc w:val="both"/>
        <w:rPr>
          <w:rFonts w:cs="Times New Roman"/>
          <w:szCs w:val="24"/>
        </w:rPr>
      </w:pPr>
      <w:r w:rsidRPr="00B81E7D">
        <w:rPr>
          <w:rFonts w:cs="Times New Roman"/>
          <w:szCs w:val="24"/>
        </w:rPr>
        <w:lastRenderedPageBreak/>
        <w:t xml:space="preserve">Zawarcie ugody w rozumieniu art. 917 k.c. w sprawie administracyjnej przede wszystkim wywołuje zastrzeżenia w świetle naczelnej zasady działania organu administracji publicznej, na podstawie i w granicach prawa. A zatem możliwość zawarcia ugody bądź zmiany decyzji administracyjnej zaskarżonej do Sądu Okręgowego w Warszawie – sąd ochrony konkurencji i konsumentów (dalej: SOKiK), przy pomocy innego instrumentu prawnego, powinna mieć podstawę prawną do podjęcia przez organ tego rodzaju działania. </w:t>
      </w:r>
    </w:p>
    <w:p w:rsidR="004C37CE" w:rsidRPr="00B81E7D" w:rsidRDefault="004C37CE" w:rsidP="004C37CE">
      <w:pPr>
        <w:spacing w:before="120" w:after="120" w:line="360" w:lineRule="auto"/>
        <w:jc w:val="both"/>
        <w:rPr>
          <w:rFonts w:cs="Times New Roman"/>
          <w:szCs w:val="24"/>
        </w:rPr>
      </w:pPr>
      <w:r w:rsidRPr="00B81E7D">
        <w:rPr>
          <w:rFonts w:cs="Times New Roman"/>
          <w:szCs w:val="24"/>
        </w:rPr>
        <w:t>Należy bowiem przyjąć, że sprawy rozpatrywane na podstawie przepisó</w:t>
      </w:r>
      <w:r w:rsidR="00362217">
        <w:rPr>
          <w:rFonts w:cs="Times New Roman"/>
          <w:szCs w:val="24"/>
        </w:rPr>
        <w:t>w k.p.c. nie należą do </w:t>
      </w:r>
      <w:r w:rsidRPr="00B81E7D">
        <w:rPr>
          <w:rFonts w:cs="Times New Roman"/>
          <w:szCs w:val="24"/>
        </w:rPr>
        <w:t>kategorii spraw, w których możliwe jest zawarcie ugody. Jak wyjaśnił Naczelny Sąd Administracyjny w postanowieniu z dnia 11 lutego 2009 r., sygn. akt II GSK 749/08, „(…) w szeroko rozumianym postępowaniu związanym z ochroną konkurencji i konsumentów</w:t>
      </w:r>
      <w:r w:rsidR="005E7973" w:rsidRPr="00B81E7D">
        <w:rPr>
          <w:rFonts w:cs="Times New Roman"/>
          <w:szCs w:val="24"/>
        </w:rPr>
        <w:t>,</w:t>
      </w:r>
      <w:r w:rsidRPr="00B81E7D">
        <w:rPr>
          <w:rFonts w:cs="Times New Roman"/>
          <w:szCs w:val="24"/>
        </w:rPr>
        <w:t xml:space="preserve"> ustawodawca wprowadził dwie fazy postępowania, tworzące jedną całość. Pierwsza toczy się w ramach szczególnego postępowania przed Prezesem UOKiK i kończy wydaniem przez niego odpowiedniej decyzji, druga toczy się już w ramach postępowania cywilnego i kończy wydaniem wyroku przez sąd ochrony konkurencji i konsumentów. Ta pierwsza faza postępowania stanowi w istocie „przedinstancję” sądową. Zarówno jednak w „przedinstancji”, jak i w toku wszystkich instancji sądowych rozpatrywane sprawy zachowują swój publicznoprawny charakter.”. Podobny pogląd wyrażono także w doktrynie</w:t>
      </w:r>
      <w:r w:rsidRPr="00B81E7D">
        <w:rPr>
          <w:rStyle w:val="Odwoanieprzypisudolnego"/>
          <w:color w:val="000000"/>
          <w:szCs w:val="24"/>
        </w:rPr>
        <w:footnoteReference w:id="8"/>
      </w:r>
      <w:r w:rsidR="005E7973" w:rsidRPr="00B81E7D">
        <w:rPr>
          <w:rFonts w:cs="Times New Roman"/>
          <w:szCs w:val="24"/>
        </w:rPr>
        <w:t>.</w:t>
      </w:r>
    </w:p>
    <w:p w:rsidR="004C37CE" w:rsidRPr="00B81E7D" w:rsidRDefault="004C37CE" w:rsidP="004C37CE">
      <w:pPr>
        <w:spacing w:before="120" w:after="120" w:line="360" w:lineRule="auto"/>
        <w:jc w:val="both"/>
        <w:rPr>
          <w:rFonts w:cs="Times New Roman"/>
          <w:szCs w:val="24"/>
        </w:rPr>
      </w:pPr>
      <w:r w:rsidRPr="00B81E7D">
        <w:rPr>
          <w:rFonts w:cs="Times New Roman"/>
          <w:szCs w:val="24"/>
        </w:rPr>
        <w:t>Z uwagi na fakt, że sprawy należące do właściwości SOKiK mogłyby zakończyć się w drodze polubownego zakończenia sporu między organem administracji publicznej a skarżącym, uzasadnione jest wprowadzenie możliwości zawarcia porozumienia kończącego spór bez konieczności wydania wyroku.</w:t>
      </w:r>
    </w:p>
    <w:p w:rsidR="005913A9" w:rsidRPr="00B81E7D" w:rsidRDefault="005913A9" w:rsidP="004C37CE">
      <w:pPr>
        <w:spacing w:before="120" w:after="120" w:line="360" w:lineRule="auto"/>
        <w:jc w:val="both"/>
        <w:rPr>
          <w:rFonts w:cs="Times New Roman"/>
          <w:szCs w:val="24"/>
        </w:rPr>
      </w:pPr>
      <w:r w:rsidRPr="00B81E7D">
        <w:t>Projektowana regulacja jest odrębnym i niezwiązanym z ugodą w sprawach cywilnych instytucją prawną, dlatego do ugody w sprawie odwołania do sądu ochrony konkurencji i</w:t>
      </w:r>
      <w:r w:rsidR="00BA7B5E">
        <w:t> </w:t>
      </w:r>
      <w:r w:rsidRPr="00B81E7D">
        <w:t>konsumentów nie będą stosowane</w:t>
      </w:r>
      <w:r w:rsidR="005C6C43">
        <w:t xml:space="preserve"> w szczególności</w:t>
      </w:r>
      <w:r w:rsidRPr="00B81E7D">
        <w:t xml:space="preserve"> przepisy o ugodach i mediacji, o których mowa w księdze pierwszej tytule VI dziale II rozdziale 1 oddziale 1 k.p.c.</w:t>
      </w:r>
    </w:p>
    <w:p w:rsidR="004C37CE" w:rsidRPr="00B81E7D" w:rsidRDefault="004C37CE" w:rsidP="004C37CE">
      <w:pPr>
        <w:spacing w:before="120" w:after="120" w:line="360" w:lineRule="auto"/>
        <w:jc w:val="both"/>
        <w:rPr>
          <w:rFonts w:cs="Times New Roman"/>
          <w:szCs w:val="24"/>
        </w:rPr>
      </w:pPr>
      <w:r w:rsidRPr="00B81E7D">
        <w:rPr>
          <w:rFonts w:cs="Times New Roman"/>
          <w:szCs w:val="24"/>
        </w:rPr>
        <w:t>Projektowana regulacja zakłada, że w sprawach przed SOKiK, o których mowa w art. 479</w:t>
      </w:r>
      <w:r w:rsidRPr="00B81E7D">
        <w:rPr>
          <w:rFonts w:cs="Times New Roman"/>
          <w:szCs w:val="24"/>
          <w:vertAlign w:val="superscript"/>
        </w:rPr>
        <w:t>28</w:t>
      </w:r>
      <w:r w:rsidRPr="00B81E7D">
        <w:rPr>
          <w:rFonts w:cs="Times New Roman"/>
          <w:szCs w:val="24"/>
        </w:rPr>
        <w:t xml:space="preserve"> § 1 pkt 1 k.p.c., strony mogą zawrzeć ugodę </w:t>
      </w:r>
      <w:r w:rsidR="00E14E1D" w:rsidRPr="00B81E7D">
        <w:t xml:space="preserve">w sprawie odwołania do sądu </w:t>
      </w:r>
      <w:r w:rsidRPr="00B81E7D">
        <w:rPr>
          <w:rFonts w:cs="Times New Roman"/>
          <w:szCs w:val="24"/>
        </w:rPr>
        <w:t xml:space="preserve">ochrony konkurencji i konsumentów w przedmiocie ustalenia co do losów zaskarżonej decyzji Prezesa Urzędu Ochrony Konkurencji i Konsumentów (dalej: UOKiK) w całości albo w części. </w:t>
      </w:r>
    </w:p>
    <w:p w:rsidR="004C37CE" w:rsidRPr="00B81E7D" w:rsidRDefault="004C37CE" w:rsidP="004C37CE">
      <w:pPr>
        <w:spacing w:before="120" w:after="120" w:line="360" w:lineRule="auto"/>
        <w:jc w:val="both"/>
        <w:rPr>
          <w:rFonts w:cs="Times New Roman"/>
          <w:szCs w:val="24"/>
        </w:rPr>
      </w:pPr>
      <w:r w:rsidRPr="00B81E7D">
        <w:rPr>
          <w:rFonts w:cs="Times New Roman"/>
          <w:szCs w:val="24"/>
        </w:rPr>
        <w:lastRenderedPageBreak/>
        <w:t xml:space="preserve">Ugoda ma być alternatywną w stosunku do wyroku formą zakończenia sprawy, która w wyniku skargi trafiła do sądu. Strony będą miały przy tym do dyspozycji szerszy katalog możliwych rozstrzygnięć niż SOKiK. Przykładowo będę mogły uzgodnić cofnięcie </w:t>
      </w:r>
      <w:r w:rsidR="00E14E1D" w:rsidRPr="00B81E7D">
        <w:rPr>
          <w:rFonts w:cs="Times New Roman"/>
          <w:szCs w:val="24"/>
        </w:rPr>
        <w:t xml:space="preserve">odwołania </w:t>
      </w:r>
      <w:r w:rsidRPr="00B81E7D">
        <w:rPr>
          <w:rFonts w:cs="Times New Roman"/>
          <w:szCs w:val="24"/>
        </w:rPr>
        <w:t xml:space="preserve">przez skarżącego. </w:t>
      </w:r>
    </w:p>
    <w:p w:rsidR="004C37CE" w:rsidRPr="00B81E7D" w:rsidRDefault="004C37CE" w:rsidP="004C37CE">
      <w:pPr>
        <w:spacing w:before="120" w:after="120" w:line="360" w:lineRule="auto"/>
        <w:jc w:val="both"/>
        <w:rPr>
          <w:rFonts w:cs="Times New Roman"/>
          <w:szCs w:val="24"/>
        </w:rPr>
      </w:pPr>
      <w:r w:rsidRPr="00B81E7D">
        <w:rPr>
          <w:rFonts w:cs="Times New Roman"/>
          <w:szCs w:val="24"/>
        </w:rPr>
        <w:t xml:space="preserve">Przystąpienie do rozmów między stronami </w:t>
      </w:r>
      <w:r w:rsidR="00E14E1D" w:rsidRPr="00B81E7D">
        <w:rPr>
          <w:rFonts w:cs="Times New Roman"/>
          <w:szCs w:val="24"/>
        </w:rPr>
        <w:t xml:space="preserve">sporu sądowego </w:t>
      </w:r>
      <w:r w:rsidR="00362217">
        <w:rPr>
          <w:rFonts w:cs="Times New Roman"/>
          <w:szCs w:val="24"/>
        </w:rPr>
        <w:t>i wyrażenie gotowości do </w:t>
      </w:r>
      <w:r w:rsidRPr="00B81E7D">
        <w:rPr>
          <w:rFonts w:cs="Times New Roman"/>
          <w:szCs w:val="24"/>
        </w:rPr>
        <w:t>podjęcia się prac nad rozwiązaniem sporu poza sądem będzie dobrowolne.</w:t>
      </w:r>
    </w:p>
    <w:p w:rsidR="004C37CE" w:rsidRPr="00B81E7D" w:rsidRDefault="004C37CE" w:rsidP="004C37CE">
      <w:pPr>
        <w:spacing w:before="120" w:after="120" w:line="360" w:lineRule="auto"/>
        <w:jc w:val="both"/>
        <w:rPr>
          <w:rFonts w:cs="Times New Roman"/>
          <w:szCs w:val="24"/>
        </w:rPr>
      </w:pPr>
      <w:r w:rsidRPr="00B81E7D">
        <w:rPr>
          <w:rFonts w:cs="Times New Roman"/>
          <w:szCs w:val="24"/>
        </w:rPr>
        <w:t>Ugoda będzie mogła być zawarta zarówno w toku postępowa</w:t>
      </w:r>
      <w:r w:rsidR="00BA7B5E">
        <w:rPr>
          <w:rFonts w:cs="Times New Roman"/>
          <w:szCs w:val="24"/>
        </w:rPr>
        <w:t>nia zainicjowanego skargą, jak </w:t>
      </w:r>
      <w:r w:rsidRPr="00B81E7D">
        <w:rPr>
          <w:rFonts w:cs="Times New Roman"/>
          <w:szCs w:val="24"/>
        </w:rPr>
        <w:t xml:space="preserve">i postępowania </w:t>
      </w:r>
      <w:r w:rsidR="00E14E1D" w:rsidRPr="00B81E7D">
        <w:rPr>
          <w:rFonts w:cs="Times New Roman"/>
          <w:szCs w:val="24"/>
        </w:rPr>
        <w:t>apelacyjnego</w:t>
      </w:r>
      <w:r w:rsidRPr="00B81E7D">
        <w:rPr>
          <w:rFonts w:cs="Times New Roman"/>
          <w:szCs w:val="24"/>
        </w:rPr>
        <w:t xml:space="preserve">. Przedmiotem </w:t>
      </w:r>
      <w:r w:rsidR="00DB3722" w:rsidRPr="00B81E7D">
        <w:rPr>
          <w:rFonts w:cs="Times New Roman"/>
          <w:szCs w:val="24"/>
        </w:rPr>
        <w:t xml:space="preserve">ugody </w:t>
      </w:r>
      <w:r w:rsidRPr="00B81E7D">
        <w:rPr>
          <w:rFonts w:cs="Times New Roman"/>
          <w:szCs w:val="24"/>
        </w:rPr>
        <w:t xml:space="preserve">będzie rozstrzygnięcie sprawy, w graniach dopuszczalnych przez przepisy prawa materialnego i prawa proceduralnego właściwe w danej sprawie. </w:t>
      </w:r>
    </w:p>
    <w:p w:rsidR="004C37CE" w:rsidRPr="00B81E7D" w:rsidRDefault="004C37CE" w:rsidP="004C37CE">
      <w:pPr>
        <w:spacing w:before="120" w:after="120" w:line="360" w:lineRule="auto"/>
        <w:jc w:val="both"/>
        <w:rPr>
          <w:rFonts w:cs="Times New Roman"/>
          <w:szCs w:val="24"/>
        </w:rPr>
      </w:pPr>
      <w:r w:rsidRPr="00B81E7D">
        <w:rPr>
          <w:rFonts w:cs="Times New Roman"/>
          <w:szCs w:val="24"/>
        </w:rPr>
        <w:t>W projektowanym art. 479</w:t>
      </w:r>
      <w:r w:rsidRPr="00B81E7D">
        <w:rPr>
          <w:rFonts w:cs="Times New Roman"/>
          <w:szCs w:val="24"/>
          <w:vertAlign w:val="superscript"/>
        </w:rPr>
        <w:t>30b</w:t>
      </w:r>
      <w:r w:rsidRPr="00B81E7D">
        <w:rPr>
          <w:rFonts w:cs="Times New Roman"/>
          <w:szCs w:val="24"/>
        </w:rPr>
        <w:t xml:space="preserve"> k.p.c. przyjęto, że sąd obligatoryjnie zawiesi postępowanie</w:t>
      </w:r>
      <w:r w:rsidR="00362217">
        <w:rPr>
          <w:rFonts w:cs="Times New Roman"/>
          <w:szCs w:val="24"/>
        </w:rPr>
        <w:t xml:space="preserve"> na </w:t>
      </w:r>
      <w:r w:rsidR="005E7973" w:rsidRPr="00B81E7D">
        <w:rPr>
          <w:rFonts w:cs="Times New Roman"/>
          <w:szCs w:val="24"/>
        </w:rPr>
        <w:t>okres trzech miesięcy</w:t>
      </w:r>
      <w:r w:rsidRPr="00B81E7D">
        <w:rPr>
          <w:rFonts w:cs="Times New Roman"/>
          <w:szCs w:val="24"/>
        </w:rPr>
        <w:t xml:space="preserve"> na zgod</w:t>
      </w:r>
      <w:r w:rsidR="00DB3722" w:rsidRPr="00B81E7D">
        <w:rPr>
          <w:rFonts w:cs="Times New Roman"/>
          <w:szCs w:val="24"/>
        </w:rPr>
        <w:t>n</w:t>
      </w:r>
      <w:r w:rsidRPr="00B81E7D">
        <w:rPr>
          <w:rFonts w:cs="Times New Roman"/>
          <w:szCs w:val="24"/>
        </w:rPr>
        <w:t xml:space="preserve">y wniosek stron zamierzających zawrzeć ugodę, </w:t>
      </w:r>
      <w:r w:rsidR="005E7973" w:rsidRPr="00B81E7D">
        <w:rPr>
          <w:rFonts w:cs="Times New Roman"/>
          <w:szCs w:val="24"/>
        </w:rPr>
        <w:t>Ponadto,</w:t>
      </w:r>
      <w:r w:rsidR="00362217">
        <w:rPr>
          <w:rFonts w:cs="Times New Roman"/>
          <w:szCs w:val="24"/>
        </w:rPr>
        <w:t> </w:t>
      </w:r>
      <w:r w:rsidRPr="00B81E7D">
        <w:rPr>
          <w:rFonts w:cs="Times New Roman"/>
          <w:szCs w:val="24"/>
        </w:rPr>
        <w:t>na zgodny wniosek stron lub z innych ważnych powodów okres zawieszenia może zostać przedłużony, jeżeli będzie to sprzyjać załatwieniu sprawy w dro</w:t>
      </w:r>
      <w:r w:rsidR="00DB3722" w:rsidRPr="00B81E7D">
        <w:rPr>
          <w:rFonts w:cs="Times New Roman"/>
          <w:szCs w:val="24"/>
        </w:rPr>
        <w:t xml:space="preserve">dze </w:t>
      </w:r>
      <w:r w:rsidRPr="00B81E7D">
        <w:rPr>
          <w:rFonts w:cs="Times New Roman"/>
          <w:szCs w:val="24"/>
        </w:rPr>
        <w:t>ugody. W przypadku gdy upłynie okres, na który zawieszono postępowanie i mimo to nie zawarto porozumienia, sąd z urzędu podejmie postępowanie. Przed upływem okresu, na który zawieszono postępowanie, sąd postanowi natomiast o podjęciu postępowania</w:t>
      </w:r>
      <w:r w:rsidR="00406B4D">
        <w:rPr>
          <w:rFonts w:cs="Times New Roman"/>
          <w:szCs w:val="24"/>
        </w:rPr>
        <w:t xml:space="preserve"> gdy strony zawrą ugodę albo</w:t>
      </w:r>
      <w:r w:rsidRPr="00B81E7D">
        <w:rPr>
          <w:rFonts w:cs="Times New Roman"/>
          <w:szCs w:val="24"/>
        </w:rPr>
        <w:t xml:space="preserve"> na wniosek strony</w:t>
      </w:r>
      <w:r w:rsidR="00406B4D">
        <w:rPr>
          <w:rFonts w:cs="Times New Roman"/>
          <w:szCs w:val="24"/>
        </w:rPr>
        <w:t xml:space="preserve">. </w:t>
      </w:r>
      <w:r w:rsidRPr="00B81E7D">
        <w:rPr>
          <w:rFonts w:cs="Times New Roman"/>
          <w:szCs w:val="24"/>
        </w:rPr>
        <w:t>Okres zawieszania postępowania ma zapewnić stron</w:t>
      </w:r>
      <w:r w:rsidR="005E7973" w:rsidRPr="00B81E7D">
        <w:rPr>
          <w:rFonts w:cs="Times New Roman"/>
          <w:szCs w:val="24"/>
        </w:rPr>
        <w:t>om</w:t>
      </w:r>
      <w:r w:rsidRPr="00B81E7D">
        <w:rPr>
          <w:rFonts w:cs="Times New Roman"/>
          <w:szCs w:val="24"/>
        </w:rPr>
        <w:t xml:space="preserve"> dogodne warunki do przedstawienia swoich propozycji i podjęcia próby sformułowania propozycji rozwiązania sporu.</w:t>
      </w:r>
    </w:p>
    <w:p w:rsidR="004C37CE" w:rsidRPr="00B81E7D" w:rsidRDefault="004C37CE" w:rsidP="004C37CE">
      <w:pPr>
        <w:spacing w:before="120" w:after="120" w:line="360" w:lineRule="auto"/>
        <w:jc w:val="both"/>
        <w:rPr>
          <w:rFonts w:cs="Times New Roman"/>
          <w:szCs w:val="24"/>
        </w:rPr>
      </w:pPr>
      <w:r w:rsidRPr="00B81E7D">
        <w:rPr>
          <w:rFonts w:cs="Times New Roman"/>
          <w:szCs w:val="24"/>
        </w:rPr>
        <w:t>W dodawanym art. 479</w:t>
      </w:r>
      <w:r w:rsidRPr="00B81E7D">
        <w:rPr>
          <w:rFonts w:cs="Times New Roman"/>
          <w:szCs w:val="24"/>
          <w:vertAlign w:val="superscript"/>
        </w:rPr>
        <w:t>30</w:t>
      </w:r>
      <w:r w:rsidRPr="00B81E7D">
        <w:rPr>
          <w:rFonts w:cs="Times New Roman"/>
          <w:szCs w:val="24"/>
        </w:rPr>
        <w:t xml:space="preserve"> § 2 k.p.c. proponuje się, aby w przypadku chęci rozwiązania sporu przez strony w drodze ugody i zawieszania z tego powodu postępowania</w:t>
      </w:r>
      <w:r w:rsidR="00D67F72" w:rsidRPr="00B81E7D">
        <w:rPr>
          <w:rFonts w:cs="Times New Roman"/>
          <w:szCs w:val="24"/>
        </w:rPr>
        <w:t>,</w:t>
      </w:r>
      <w:r w:rsidRPr="00B81E7D">
        <w:rPr>
          <w:rFonts w:cs="Times New Roman"/>
          <w:szCs w:val="24"/>
        </w:rPr>
        <w:t xml:space="preserve"> sąd wstrzymywał wykonanie decyzji do czasu</w:t>
      </w:r>
      <w:r w:rsidR="00E14E1D" w:rsidRPr="00B81E7D">
        <w:t xml:space="preserve"> wydania przez Prezesa Urzędu decyzji albo wykonania lub podjęcia innej czynność stosownie do okoliczności sprawy na podstawie zatwierdzonej przez sąd ugody w sprawie odwołania do sądu ochrony konkurencji i konsumentów albo uprawomocnienia się postanowienia o odmowie zatwierdzenia ugody w sprawie odwołania do sądu ochrony konkurencji i konsumentów albo podjęcia postępowania na wniosek strony. Postanowienie będzie mogło być w</w:t>
      </w:r>
      <w:r w:rsidR="00406B4D">
        <w:t>ydane na posiedzeniu niejawnym.</w:t>
      </w:r>
      <w:r w:rsidRPr="00B81E7D">
        <w:rPr>
          <w:rFonts w:cs="Times New Roman"/>
          <w:szCs w:val="24"/>
        </w:rPr>
        <w:t xml:space="preserve"> Ma to zapewnić skarżącemu ochronę przed ewentualnymi negatywnymi skutkami związanymi z wykonaniem decyzji, która jest przedmiotem </w:t>
      </w:r>
      <w:r w:rsidR="00E14E1D" w:rsidRPr="00B81E7D">
        <w:rPr>
          <w:rFonts w:cs="Times New Roman"/>
          <w:szCs w:val="24"/>
        </w:rPr>
        <w:t>odw</w:t>
      </w:r>
      <w:r w:rsidR="00406B4D">
        <w:rPr>
          <w:rFonts w:cs="Times New Roman"/>
          <w:szCs w:val="24"/>
        </w:rPr>
        <w:t>o</w:t>
      </w:r>
      <w:r w:rsidR="00E14E1D" w:rsidRPr="00B81E7D">
        <w:rPr>
          <w:rFonts w:cs="Times New Roman"/>
          <w:szCs w:val="24"/>
        </w:rPr>
        <w:t>łania</w:t>
      </w:r>
      <w:r w:rsidRPr="00B81E7D">
        <w:rPr>
          <w:rFonts w:cs="Times New Roman"/>
          <w:szCs w:val="24"/>
        </w:rPr>
        <w:t xml:space="preserve">. </w:t>
      </w:r>
    </w:p>
    <w:p w:rsidR="004C37CE" w:rsidRPr="00B81E7D" w:rsidRDefault="004C37CE" w:rsidP="004C37CE">
      <w:pPr>
        <w:spacing w:before="120" w:after="120" w:line="360" w:lineRule="auto"/>
        <w:jc w:val="both"/>
        <w:rPr>
          <w:rFonts w:cs="Times New Roman"/>
          <w:szCs w:val="24"/>
        </w:rPr>
      </w:pPr>
      <w:r w:rsidRPr="00B81E7D">
        <w:rPr>
          <w:rFonts w:cs="Times New Roman"/>
          <w:szCs w:val="24"/>
        </w:rPr>
        <w:t xml:space="preserve">Na postanowienie w przedmiocie wstrzymania wykonania decyzji będzie przysługiwało zażalenie (projektowany art. 394 § 1 pkt 13 k.p.c.). </w:t>
      </w:r>
    </w:p>
    <w:p w:rsidR="004C37CE" w:rsidRPr="00B81E7D" w:rsidRDefault="004C37CE" w:rsidP="004C37CE">
      <w:pPr>
        <w:spacing w:before="120" w:after="120" w:line="360" w:lineRule="auto"/>
        <w:jc w:val="both"/>
        <w:rPr>
          <w:rFonts w:cs="Times New Roman"/>
          <w:szCs w:val="24"/>
        </w:rPr>
      </w:pPr>
      <w:r w:rsidRPr="00B81E7D">
        <w:rPr>
          <w:rFonts w:cs="Times New Roman"/>
          <w:szCs w:val="24"/>
        </w:rPr>
        <w:lastRenderedPageBreak/>
        <w:t>Jeśli strony uzgodnią treść ugody</w:t>
      </w:r>
      <w:r w:rsidR="00407421" w:rsidRPr="00B81E7D">
        <w:rPr>
          <w:rFonts w:cs="Times New Roman"/>
          <w:szCs w:val="24"/>
        </w:rPr>
        <w:t xml:space="preserve"> </w:t>
      </w:r>
      <w:r w:rsidRPr="00B81E7D">
        <w:rPr>
          <w:rFonts w:cs="Times New Roman"/>
          <w:szCs w:val="24"/>
        </w:rPr>
        <w:t>i następnie ją zawrą, zgodnie z projektowanym art. 479</w:t>
      </w:r>
      <w:r w:rsidRPr="00B81E7D">
        <w:rPr>
          <w:rFonts w:cs="Times New Roman"/>
          <w:szCs w:val="24"/>
          <w:vertAlign w:val="superscript"/>
        </w:rPr>
        <w:t>30c</w:t>
      </w:r>
      <w:r w:rsidRPr="00B81E7D">
        <w:rPr>
          <w:rFonts w:cs="Times New Roman"/>
          <w:szCs w:val="24"/>
        </w:rPr>
        <w:t xml:space="preserve"> k.p.c., sąd niezwłocznie przeprowadzi postępowanie w przedmiocie zatwierdzenia ugody. Na</w:t>
      </w:r>
      <w:r w:rsidR="00362217">
        <w:rPr>
          <w:rFonts w:cs="Times New Roman"/>
          <w:szCs w:val="24"/>
        </w:rPr>
        <w:t> </w:t>
      </w:r>
      <w:r w:rsidRPr="00B81E7D">
        <w:rPr>
          <w:rFonts w:cs="Times New Roman"/>
          <w:szCs w:val="24"/>
        </w:rPr>
        <w:t>wzór art. 183</w:t>
      </w:r>
      <w:r w:rsidRPr="00B81E7D">
        <w:rPr>
          <w:rFonts w:cs="Times New Roman"/>
          <w:szCs w:val="24"/>
          <w:vertAlign w:val="superscript"/>
        </w:rPr>
        <w:t>14</w:t>
      </w:r>
      <w:r w:rsidRPr="00B81E7D">
        <w:rPr>
          <w:rFonts w:cs="Times New Roman"/>
          <w:szCs w:val="24"/>
        </w:rPr>
        <w:t xml:space="preserve"> § 3 k.p.c., przesłankami odmowy zatwierdzenia ugody, w całości albo w części, jest sprzeczność z prawem lub zasadami współżycia społecznego albo zmierzanie do obejścia prawa, a także niezrozumiałość lub sprzeczności.</w:t>
      </w:r>
    </w:p>
    <w:p w:rsidR="004C37CE" w:rsidRPr="00B81E7D" w:rsidRDefault="004C37CE" w:rsidP="004C37CE">
      <w:pPr>
        <w:spacing w:before="120" w:after="120" w:line="360" w:lineRule="auto"/>
        <w:jc w:val="both"/>
        <w:rPr>
          <w:rFonts w:cs="Times New Roman"/>
          <w:szCs w:val="24"/>
        </w:rPr>
      </w:pPr>
      <w:r w:rsidRPr="00B81E7D">
        <w:rPr>
          <w:rFonts w:cs="Times New Roman"/>
          <w:szCs w:val="24"/>
        </w:rPr>
        <w:t>W celu zapewnienia kontroli prawidłowości decyzji sądu co do zatwierdzenia ugody umożliwione zostanie złożenie zażalenia na postanowienie w przedmiocie zatwierdzenia ugody (projektowany art. 394 § 1 pkt 10</w:t>
      </w:r>
      <w:r w:rsidRPr="00B81E7D">
        <w:rPr>
          <w:rFonts w:cs="Times New Roman"/>
          <w:szCs w:val="24"/>
          <w:vertAlign w:val="superscript"/>
        </w:rPr>
        <w:t>2</w:t>
      </w:r>
      <w:r w:rsidRPr="00B81E7D">
        <w:rPr>
          <w:rFonts w:cs="Times New Roman"/>
          <w:szCs w:val="24"/>
        </w:rPr>
        <w:t xml:space="preserve"> k.p.c.).</w:t>
      </w:r>
    </w:p>
    <w:p w:rsidR="004C37CE" w:rsidRPr="00B81E7D" w:rsidRDefault="004C37CE" w:rsidP="004C37CE">
      <w:pPr>
        <w:spacing w:before="120" w:after="120" w:line="360" w:lineRule="auto"/>
        <w:jc w:val="both"/>
        <w:rPr>
          <w:rFonts w:cs="Times New Roman"/>
          <w:szCs w:val="24"/>
        </w:rPr>
      </w:pPr>
      <w:r w:rsidRPr="00B81E7D">
        <w:rPr>
          <w:rFonts w:cs="Times New Roman"/>
          <w:szCs w:val="24"/>
        </w:rPr>
        <w:t xml:space="preserve">Zatwierdzenie ugody będzie stanowić podstawę do </w:t>
      </w:r>
      <w:r w:rsidR="00535BD5">
        <w:rPr>
          <w:rFonts w:cs="Times New Roman"/>
          <w:szCs w:val="24"/>
        </w:rPr>
        <w:t xml:space="preserve">umorzenia </w:t>
      </w:r>
      <w:r w:rsidRPr="00B81E7D">
        <w:rPr>
          <w:rFonts w:cs="Times New Roman"/>
          <w:szCs w:val="24"/>
        </w:rPr>
        <w:t xml:space="preserve"> postępowania </w:t>
      </w:r>
      <w:r w:rsidR="005913A9" w:rsidRPr="00B81E7D">
        <w:rPr>
          <w:rFonts w:cs="Times New Roman"/>
          <w:szCs w:val="24"/>
        </w:rPr>
        <w:t xml:space="preserve">w części objętej ugodą </w:t>
      </w:r>
      <w:r w:rsidRPr="00B81E7D">
        <w:rPr>
          <w:rFonts w:cs="Times New Roman"/>
          <w:szCs w:val="24"/>
        </w:rPr>
        <w:t>(projektowany art. 479</w:t>
      </w:r>
      <w:r w:rsidRPr="00B81E7D">
        <w:rPr>
          <w:rFonts w:cs="Times New Roman"/>
          <w:szCs w:val="24"/>
          <w:vertAlign w:val="superscript"/>
        </w:rPr>
        <w:t>30d</w:t>
      </w:r>
      <w:r w:rsidRPr="00B81E7D">
        <w:rPr>
          <w:rFonts w:cs="Times New Roman"/>
          <w:szCs w:val="24"/>
        </w:rPr>
        <w:t>).</w:t>
      </w:r>
    </w:p>
    <w:p w:rsidR="005913A9" w:rsidRPr="00B81E7D" w:rsidRDefault="005913A9" w:rsidP="00B81E7D">
      <w:pPr>
        <w:pStyle w:val="ZARTzmartartykuempunktem"/>
        <w:ind w:left="0" w:firstLine="0"/>
      </w:pPr>
      <w:r w:rsidRPr="00B81E7D">
        <w:t>Na podstawie zatwierdzonej ugody w sprawie odwołani</w:t>
      </w:r>
      <w:r w:rsidR="00362217">
        <w:t>a do sądu ochrony konkurencji i </w:t>
      </w:r>
      <w:r w:rsidRPr="00B81E7D">
        <w:t>konsumentów, Prezes Urzędu będzie obowiązany uchylić lub zmienić zaskarżoną decyzję albo wykonać lub podjąć inną czynność stosownie do okoliczności sprawy w zakresie swojej właściwości i kompetencji. Do decyzji Prezesa Urzędu l</w:t>
      </w:r>
      <w:r w:rsidR="00362217">
        <w:t>ub innej czynności stosownej do </w:t>
      </w:r>
      <w:r w:rsidRPr="00B81E7D">
        <w:t>okoliczności sprawy w zakresie w jakim odzwierciedla zatwierdzoną ugodę w sprawie odwołania do sądu ochrony konkurencji i konsumentów będą stosowane odpowiednio przepisy o prawomocnej decyzji.</w:t>
      </w:r>
    </w:p>
    <w:p w:rsidR="005913A9" w:rsidRPr="00B81E7D" w:rsidRDefault="005913A9" w:rsidP="00B81E7D">
      <w:pPr>
        <w:pStyle w:val="ZARTzmartartykuempunktem"/>
        <w:ind w:left="0" w:firstLine="0"/>
      </w:pPr>
      <w:r w:rsidRPr="00B81E7D">
        <w:t>Koszty postępowania, w którym zatwierdzono ugodę w sprawie odwołania do sądu ochrony konkurencji i konsumentów, zostaną wzajemnie zniesione, jeżeli strony nie postanowią inaczej. Oznacza to, że co do zasady skarżący będzie ponosił koszty postępowania na takich samych zasadach jak w postępowaniu przed SOKiK. N</w:t>
      </w:r>
      <w:r w:rsidR="00362217">
        <w:t>ie można jednak wykluczyć, że w </w:t>
      </w:r>
      <w:r w:rsidRPr="00B81E7D">
        <w:t xml:space="preserve">przypadku poniesienia kosztów związanych z wniesionym odwołaniem Prezes Urzędu umówi się ze skarżącym na pokrycie albo zwrot części kosztów. </w:t>
      </w:r>
    </w:p>
    <w:p w:rsidR="005913A9" w:rsidRPr="00B81E7D" w:rsidRDefault="005913A9" w:rsidP="00B81E7D">
      <w:pPr>
        <w:pStyle w:val="ZUSTzmustartykuempunktem"/>
        <w:ind w:left="0" w:firstLine="0"/>
      </w:pPr>
      <w:r w:rsidRPr="00B81E7D">
        <w:t>Jeżeli zatwierdzona ugoda w sprawie odwołania do sądu ochrony konkurencji i konsumentów dotyczy części zaskarżonej decyzji, w pozostałym zakresie do kosztów postępowania będzie stosować się przepis art. 479</w:t>
      </w:r>
      <w:r w:rsidRPr="00B81E7D">
        <w:rPr>
          <w:rStyle w:val="IGindeksgrny"/>
        </w:rPr>
        <w:t>34</w:t>
      </w:r>
      <w:r w:rsidRPr="00B81E7D">
        <w:t xml:space="preserve">. </w:t>
      </w:r>
    </w:p>
    <w:p w:rsidR="004C37CE" w:rsidRPr="00B81E7D" w:rsidRDefault="004C37CE" w:rsidP="004C37CE">
      <w:pPr>
        <w:spacing w:before="120" w:after="120" w:line="360" w:lineRule="auto"/>
        <w:jc w:val="both"/>
        <w:rPr>
          <w:rFonts w:cs="Times New Roman"/>
          <w:szCs w:val="24"/>
        </w:rPr>
      </w:pPr>
      <w:r w:rsidRPr="00B81E7D">
        <w:rPr>
          <w:rFonts w:cs="Times New Roman"/>
          <w:szCs w:val="24"/>
        </w:rPr>
        <w:t>Dla zapewnienia możliwości zawarcia ugody w związku z postępowaniem przed SOKiK przez podmioty inne niż Prezes UOKiK proponuje się dodanie art. 479</w:t>
      </w:r>
      <w:r w:rsidRPr="00B81E7D">
        <w:rPr>
          <w:rFonts w:cs="Times New Roman"/>
          <w:szCs w:val="24"/>
          <w:vertAlign w:val="superscript"/>
        </w:rPr>
        <w:t>52a</w:t>
      </w:r>
      <w:r w:rsidRPr="00B81E7D">
        <w:rPr>
          <w:rFonts w:cs="Times New Roman"/>
          <w:szCs w:val="24"/>
        </w:rPr>
        <w:t>, art. 479</w:t>
      </w:r>
      <w:r w:rsidRPr="00B81E7D">
        <w:rPr>
          <w:rFonts w:cs="Times New Roman"/>
          <w:szCs w:val="24"/>
          <w:vertAlign w:val="superscript"/>
        </w:rPr>
        <w:t>63a</w:t>
      </w:r>
      <w:r w:rsidRPr="00B81E7D">
        <w:rPr>
          <w:rFonts w:cs="Times New Roman"/>
          <w:szCs w:val="24"/>
        </w:rPr>
        <w:t>, ar</w:t>
      </w:r>
      <w:r w:rsidR="00362217">
        <w:rPr>
          <w:rFonts w:cs="Times New Roman"/>
          <w:szCs w:val="24"/>
        </w:rPr>
        <w:t>t. </w:t>
      </w:r>
      <w:r w:rsidRPr="00B81E7D">
        <w:rPr>
          <w:rFonts w:cs="Times New Roman"/>
          <w:szCs w:val="24"/>
        </w:rPr>
        <w:t>479</w:t>
      </w:r>
      <w:r w:rsidRPr="00B81E7D">
        <w:rPr>
          <w:rFonts w:cs="Times New Roman"/>
          <w:szCs w:val="24"/>
          <w:vertAlign w:val="superscript"/>
        </w:rPr>
        <w:t>74a</w:t>
      </w:r>
      <w:r w:rsidRPr="00B81E7D">
        <w:rPr>
          <w:rFonts w:cs="Times New Roman"/>
          <w:szCs w:val="24"/>
        </w:rPr>
        <w:t>, art. 479</w:t>
      </w:r>
      <w:r w:rsidRPr="00B81E7D">
        <w:rPr>
          <w:rFonts w:cs="Times New Roman"/>
          <w:szCs w:val="24"/>
          <w:vertAlign w:val="superscript"/>
        </w:rPr>
        <w:t>85a</w:t>
      </w:r>
      <w:r w:rsidRPr="00B81E7D">
        <w:rPr>
          <w:rFonts w:cs="Times New Roman"/>
          <w:szCs w:val="24"/>
        </w:rPr>
        <w:t xml:space="preserve"> k.p.c. stanowiących, że analogiczne zmiany obejmą postępowania przed tym sądem w sprawach, w których stroną jest:</w:t>
      </w:r>
    </w:p>
    <w:p w:rsidR="004C37CE" w:rsidRPr="00B81E7D" w:rsidRDefault="004C37CE" w:rsidP="004C37CE">
      <w:pPr>
        <w:spacing w:before="120" w:after="120" w:line="360" w:lineRule="auto"/>
        <w:ind w:left="709"/>
        <w:jc w:val="both"/>
        <w:rPr>
          <w:rFonts w:cs="Times New Roman"/>
          <w:szCs w:val="24"/>
        </w:rPr>
      </w:pPr>
      <w:r w:rsidRPr="00B81E7D">
        <w:rPr>
          <w:rFonts w:cs="Times New Roman"/>
          <w:szCs w:val="24"/>
        </w:rPr>
        <w:t>1)</w:t>
      </w:r>
      <w:r w:rsidRPr="00B81E7D">
        <w:rPr>
          <w:rFonts w:cs="Times New Roman"/>
          <w:szCs w:val="24"/>
        </w:rPr>
        <w:tab/>
        <w:t>Prezes Urzędu Regulacji Energetyki;</w:t>
      </w:r>
    </w:p>
    <w:p w:rsidR="004C37CE" w:rsidRPr="00B81E7D" w:rsidRDefault="004C37CE" w:rsidP="004C37CE">
      <w:pPr>
        <w:spacing w:before="120" w:after="120" w:line="360" w:lineRule="auto"/>
        <w:ind w:left="709"/>
        <w:jc w:val="both"/>
        <w:rPr>
          <w:rFonts w:cs="Times New Roman"/>
          <w:szCs w:val="24"/>
        </w:rPr>
      </w:pPr>
      <w:r w:rsidRPr="00B81E7D">
        <w:rPr>
          <w:rFonts w:cs="Times New Roman"/>
          <w:szCs w:val="24"/>
        </w:rPr>
        <w:t>2)</w:t>
      </w:r>
      <w:r w:rsidRPr="00B81E7D">
        <w:rPr>
          <w:rFonts w:cs="Times New Roman"/>
          <w:szCs w:val="24"/>
        </w:rPr>
        <w:tab/>
        <w:t xml:space="preserve"> Prezes Urzędu Komunikacji Elektronicznej;</w:t>
      </w:r>
    </w:p>
    <w:p w:rsidR="004C37CE" w:rsidRPr="00B81E7D" w:rsidRDefault="004C37CE" w:rsidP="004C37CE">
      <w:pPr>
        <w:spacing w:before="120" w:after="120" w:line="360" w:lineRule="auto"/>
        <w:ind w:left="709"/>
        <w:jc w:val="both"/>
        <w:rPr>
          <w:rFonts w:cs="Times New Roman"/>
          <w:szCs w:val="24"/>
        </w:rPr>
      </w:pPr>
      <w:r w:rsidRPr="00B81E7D">
        <w:rPr>
          <w:rFonts w:cs="Times New Roman"/>
          <w:szCs w:val="24"/>
        </w:rPr>
        <w:lastRenderedPageBreak/>
        <w:t>3)</w:t>
      </w:r>
      <w:r w:rsidRPr="00B81E7D">
        <w:rPr>
          <w:rFonts w:cs="Times New Roman"/>
          <w:szCs w:val="24"/>
        </w:rPr>
        <w:tab/>
        <w:t xml:space="preserve">Prezesa Urzędu Transportu Kolejowego oraz </w:t>
      </w:r>
    </w:p>
    <w:p w:rsidR="004C37CE" w:rsidRPr="00B81E7D" w:rsidRDefault="004C37CE" w:rsidP="004C37CE">
      <w:pPr>
        <w:spacing w:before="120" w:after="120" w:line="360" w:lineRule="auto"/>
        <w:ind w:left="709"/>
        <w:jc w:val="both"/>
        <w:rPr>
          <w:rFonts w:cs="Times New Roman"/>
          <w:szCs w:val="24"/>
        </w:rPr>
      </w:pPr>
      <w:r w:rsidRPr="00B81E7D">
        <w:rPr>
          <w:rFonts w:cs="Times New Roman"/>
          <w:szCs w:val="24"/>
        </w:rPr>
        <w:t>4)</w:t>
      </w:r>
      <w:r w:rsidRPr="00B81E7D">
        <w:rPr>
          <w:rFonts w:cs="Times New Roman"/>
          <w:szCs w:val="24"/>
        </w:rPr>
        <w:tab/>
        <w:t>dyrektor regionalnego zarządu gospodarki wodnej Państwowego Gospodarstwa Wodnego Wody Polskie będący organem regulacyjnym, o którym mowa w art. 27a ust. 1 ustawy z dnia 7 czerwca 2001 r. o zbiorowym zaopatrzeniu w wodę i zbiorowym odprowadzaniu ścieków (Dz. U. z 2018 r. poz. 1152</w:t>
      </w:r>
      <w:r w:rsidR="009B4D44">
        <w:rPr>
          <w:rFonts w:cs="Times New Roman"/>
          <w:szCs w:val="24"/>
        </w:rPr>
        <w:t xml:space="preserve"> </w:t>
      </w:r>
      <w:r w:rsidR="00535BD5">
        <w:rPr>
          <w:rFonts w:cs="Times New Roman"/>
          <w:szCs w:val="24"/>
        </w:rPr>
        <w:t>i 1629</w:t>
      </w:r>
      <w:r w:rsidRPr="00B81E7D">
        <w:rPr>
          <w:rFonts w:cs="Times New Roman"/>
          <w:szCs w:val="24"/>
        </w:rPr>
        <w:t>).</w:t>
      </w:r>
    </w:p>
    <w:p w:rsidR="004456EE" w:rsidRPr="00B81E7D" w:rsidRDefault="00415C8C" w:rsidP="00F619F0">
      <w:pPr>
        <w:numPr>
          <w:ilvl w:val="2"/>
          <w:numId w:val="2"/>
        </w:numPr>
        <w:spacing w:before="120" w:after="120" w:line="360" w:lineRule="auto"/>
        <w:ind w:firstLine="66"/>
        <w:jc w:val="both"/>
        <w:rPr>
          <w:rFonts w:cs="Times New Roman"/>
          <w:i/>
          <w:szCs w:val="24"/>
        </w:rPr>
      </w:pPr>
      <w:r w:rsidRPr="00B81E7D">
        <w:rPr>
          <w:rFonts w:cs="Times New Roman"/>
          <w:i/>
          <w:szCs w:val="24"/>
        </w:rPr>
        <w:t>Zmiany dotyczące tymczasowego</w:t>
      </w:r>
      <w:r w:rsidR="004456EE" w:rsidRPr="00B81E7D">
        <w:rPr>
          <w:rFonts w:cs="Times New Roman"/>
          <w:i/>
          <w:szCs w:val="24"/>
        </w:rPr>
        <w:t xml:space="preserve"> przedstawiciel</w:t>
      </w:r>
      <w:r w:rsidRPr="00B81E7D">
        <w:rPr>
          <w:rFonts w:cs="Times New Roman"/>
          <w:i/>
          <w:szCs w:val="24"/>
        </w:rPr>
        <w:t>a</w:t>
      </w:r>
      <w:r w:rsidR="004456EE" w:rsidRPr="00B81E7D" w:rsidDel="00E14E1D">
        <w:rPr>
          <w:rFonts w:cs="Times New Roman"/>
          <w:i/>
          <w:szCs w:val="24"/>
        </w:rPr>
        <w:t xml:space="preserve"> </w:t>
      </w:r>
      <w:r w:rsidR="004456EE" w:rsidRPr="00B81E7D">
        <w:rPr>
          <w:rFonts w:cs="Times New Roman"/>
          <w:i/>
          <w:szCs w:val="24"/>
        </w:rPr>
        <w:t xml:space="preserve">(art. 2 pkt </w:t>
      </w:r>
      <w:r w:rsidRPr="00B81E7D">
        <w:rPr>
          <w:rFonts w:cs="Times New Roman"/>
          <w:i/>
          <w:szCs w:val="24"/>
        </w:rPr>
        <w:t>8</w:t>
      </w:r>
      <w:r w:rsidR="004456EE" w:rsidRPr="00B81E7D">
        <w:rPr>
          <w:rFonts w:cs="Times New Roman"/>
          <w:i/>
          <w:szCs w:val="24"/>
        </w:rPr>
        <w:t>-</w:t>
      </w:r>
      <w:r w:rsidRPr="00B81E7D">
        <w:rPr>
          <w:rFonts w:cs="Times New Roman"/>
          <w:i/>
          <w:szCs w:val="24"/>
        </w:rPr>
        <w:t>18</w:t>
      </w:r>
      <w:r w:rsidR="004456EE" w:rsidRPr="00B81E7D">
        <w:rPr>
          <w:rFonts w:cs="Times New Roman"/>
          <w:i/>
          <w:szCs w:val="24"/>
        </w:rPr>
        <w:t xml:space="preserve"> projektu).</w:t>
      </w:r>
    </w:p>
    <w:p w:rsidR="004456EE" w:rsidRPr="007D1E02" w:rsidRDefault="00415C8C" w:rsidP="000A6809">
      <w:pPr>
        <w:pStyle w:val="Akapitzlist"/>
        <w:numPr>
          <w:ilvl w:val="0"/>
          <w:numId w:val="20"/>
        </w:numPr>
        <w:spacing w:before="120" w:after="120" w:line="360" w:lineRule="auto"/>
        <w:ind w:left="0"/>
        <w:jc w:val="both"/>
        <w:rPr>
          <w:rFonts w:ascii="Times New Roman" w:hAnsi="Times New Roman"/>
          <w:sz w:val="24"/>
          <w:szCs w:val="24"/>
        </w:rPr>
      </w:pPr>
      <w:r w:rsidRPr="007D1E02">
        <w:rPr>
          <w:rFonts w:ascii="Times New Roman" w:hAnsi="Times New Roman"/>
          <w:sz w:val="24"/>
          <w:szCs w:val="24"/>
        </w:rPr>
        <w:t xml:space="preserve">W związku wprowadzaną instytucją tymczasowego przedstawiciela proponuje się, w k.p.c. nadać osobie, która będzie pełnić funkcję tymczasowego przedstawiciela następujące uprawnienia: </w:t>
      </w:r>
      <w:r w:rsidRPr="00015053">
        <w:rPr>
          <w:rFonts w:ascii="Times New Roman" w:hAnsi="Times New Roman"/>
          <w:sz w:val="24"/>
          <w:szCs w:val="24"/>
        </w:rPr>
        <w:t>złożeni</w:t>
      </w:r>
      <w:r w:rsidR="001C0789">
        <w:rPr>
          <w:rFonts w:ascii="Times New Roman" w:hAnsi="Times New Roman"/>
          <w:sz w:val="24"/>
          <w:szCs w:val="24"/>
        </w:rPr>
        <w:t>a</w:t>
      </w:r>
      <w:r w:rsidRPr="00015053">
        <w:rPr>
          <w:rFonts w:ascii="Times New Roman" w:hAnsi="Times New Roman"/>
          <w:sz w:val="24"/>
          <w:szCs w:val="24"/>
        </w:rPr>
        <w:t xml:space="preserve"> wniosku o zabezpieczenie spadku (zmiana </w:t>
      </w:r>
      <w:r w:rsidR="004456EE" w:rsidRPr="00484BF6">
        <w:rPr>
          <w:rFonts w:ascii="Times New Roman" w:hAnsi="Times New Roman"/>
          <w:sz w:val="24"/>
          <w:szCs w:val="24"/>
        </w:rPr>
        <w:t xml:space="preserve"> art. 635 § 2</w:t>
      </w:r>
      <w:r w:rsidRPr="00484BF6">
        <w:rPr>
          <w:rFonts w:ascii="Times New Roman" w:hAnsi="Times New Roman"/>
          <w:sz w:val="24"/>
          <w:szCs w:val="24"/>
        </w:rPr>
        <w:t>) i  możliwość zgłoszenia się w celu przejęcia zarządu majątkiem spadkowym, na skutek którego zabezpieczenie zostanie uch</w:t>
      </w:r>
      <w:r w:rsidRPr="004775F4">
        <w:rPr>
          <w:rFonts w:ascii="Times New Roman" w:hAnsi="Times New Roman"/>
          <w:sz w:val="24"/>
          <w:szCs w:val="24"/>
        </w:rPr>
        <w:t>ylone przez sąd (zmiana art. 636</w:t>
      </w:r>
      <w:r w:rsidRPr="004775F4">
        <w:rPr>
          <w:rStyle w:val="IGindeksgrny"/>
          <w:rFonts w:ascii="Times New Roman" w:hAnsi="Times New Roman"/>
          <w:sz w:val="24"/>
          <w:szCs w:val="24"/>
        </w:rPr>
        <w:t>1</w:t>
      </w:r>
      <w:r w:rsidRPr="004775F4">
        <w:rPr>
          <w:rFonts w:ascii="Times New Roman" w:hAnsi="Times New Roman"/>
          <w:sz w:val="24"/>
          <w:szCs w:val="24"/>
        </w:rPr>
        <w:t xml:space="preserve"> § 2),</w:t>
      </w:r>
      <w:r w:rsidR="0084375C" w:rsidRPr="004775F4">
        <w:rPr>
          <w:rFonts w:ascii="Times New Roman" w:hAnsi="Times New Roman"/>
          <w:sz w:val="24"/>
          <w:szCs w:val="24"/>
        </w:rPr>
        <w:t xml:space="preserve"> </w:t>
      </w:r>
      <w:r w:rsidRPr="00F059AC">
        <w:rPr>
          <w:rFonts w:ascii="Times New Roman" w:hAnsi="Times New Roman"/>
          <w:sz w:val="24"/>
          <w:szCs w:val="24"/>
        </w:rPr>
        <w:t>żądani</w:t>
      </w:r>
      <w:r w:rsidR="001C0789">
        <w:rPr>
          <w:rFonts w:ascii="Times New Roman" w:hAnsi="Times New Roman"/>
          <w:sz w:val="24"/>
          <w:szCs w:val="24"/>
        </w:rPr>
        <w:t>a</w:t>
      </w:r>
      <w:r w:rsidRPr="00F059AC">
        <w:rPr>
          <w:rFonts w:ascii="Times New Roman" w:hAnsi="Times New Roman"/>
          <w:sz w:val="24"/>
          <w:szCs w:val="24"/>
        </w:rPr>
        <w:t xml:space="preserve"> sporządzenia przez notariusza</w:t>
      </w:r>
      <w:r w:rsidRPr="007D1E02">
        <w:rPr>
          <w:rFonts w:ascii="Times New Roman" w:hAnsi="Times New Roman"/>
          <w:sz w:val="24"/>
          <w:szCs w:val="24"/>
        </w:rPr>
        <w:t xml:space="preserve"> protokołu obejmującego wykaz inwentarza (zmiana</w:t>
      </w:r>
      <w:r w:rsidR="004456EE" w:rsidRPr="007D1E02">
        <w:rPr>
          <w:rFonts w:ascii="Times New Roman" w:hAnsi="Times New Roman"/>
          <w:sz w:val="24"/>
          <w:szCs w:val="24"/>
        </w:rPr>
        <w:t xml:space="preserve"> art. 636</w:t>
      </w:r>
      <w:r w:rsidR="004456EE" w:rsidRPr="007D1E02">
        <w:rPr>
          <w:rStyle w:val="IGindeksgrny"/>
          <w:rFonts w:ascii="Times New Roman" w:hAnsi="Times New Roman"/>
          <w:sz w:val="24"/>
          <w:szCs w:val="24"/>
        </w:rPr>
        <w:t>3</w:t>
      </w:r>
      <w:r w:rsidR="004456EE" w:rsidRPr="007D1E02">
        <w:rPr>
          <w:rFonts w:ascii="Times New Roman" w:hAnsi="Times New Roman"/>
          <w:sz w:val="24"/>
          <w:szCs w:val="24"/>
        </w:rPr>
        <w:t xml:space="preserve"> § 2</w:t>
      </w:r>
      <w:r w:rsidRPr="007D1E02">
        <w:rPr>
          <w:rFonts w:ascii="Times New Roman" w:hAnsi="Times New Roman"/>
          <w:sz w:val="24"/>
          <w:szCs w:val="24"/>
        </w:rPr>
        <w:t>)</w:t>
      </w:r>
      <w:r w:rsidR="004456EE" w:rsidRPr="007D1E02">
        <w:rPr>
          <w:rFonts w:ascii="Times New Roman" w:hAnsi="Times New Roman"/>
          <w:sz w:val="24"/>
          <w:szCs w:val="24"/>
        </w:rPr>
        <w:t xml:space="preserve"> </w:t>
      </w:r>
      <w:r w:rsidRPr="007D1E02">
        <w:rPr>
          <w:rFonts w:ascii="Times New Roman" w:hAnsi="Times New Roman"/>
          <w:sz w:val="24"/>
          <w:szCs w:val="24"/>
        </w:rPr>
        <w:t>oraz żądani</w:t>
      </w:r>
      <w:r w:rsidR="001C0789">
        <w:rPr>
          <w:rFonts w:ascii="Times New Roman" w:hAnsi="Times New Roman"/>
          <w:sz w:val="24"/>
          <w:szCs w:val="24"/>
        </w:rPr>
        <w:t>a</w:t>
      </w:r>
      <w:r w:rsidRPr="007D1E02">
        <w:rPr>
          <w:rFonts w:ascii="Times New Roman" w:hAnsi="Times New Roman"/>
          <w:sz w:val="24"/>
          <w:szCs w:val="24"/>
        </w:rPr>
        <w:t xml:space="preserve"> wydania przez sąd spadku postanowienia o sporządzeniu spisu inwentarza (zmiana art. 637 § 1), a </w:t>
      </w:r>
      <w:r w:rsidR="0084375C" w:rsidRPr="007D1E02">
        <w:rPr>
          <w:rFonts w:ascii="Times New Roman" w:hAnsi="Times New Roman"/>
          <w:sz w:val="24"/>
          <w:szCs w:val="24"/>
        </w:rPr>
        <w:t>także prawo do otrzymania informacji o terminie sporządzenia spisu inwentarza (zmiana art. 638</w:t>
      </w:r>
      <w:r w:rsidR="0084375C" w:rsidRPr="007D1E02">
        <w:rPr>
          <w:rStyle w:val="IGindeksgrny"/>
          <w:rFonts w:ascii="Times New Roman" w:hAnsi="Times New Roman"/>
          <w:sz w:val="24"/>
          <w:szCs w:val="24"/>
        </w:rPr>
        <w:t xml:space="preserve">7 </w:t>
      </w:r>
      <w:r w:rsidR="0084375C" w:rsidRPr="007D1E02">
        <w:rPr>
          <w:rFonts w:ascii="Times New Roman" w:hAnsi="Times New Roman"/>
          <w:sz w:val="24"/>
          <w:szCs w:val="24"/>
        </w:rPr>
        <w:t>zdanie pierwsze) oraz prawo do żądania dokonania określonej czynności, gdy zachodzi wątpliwość co do prawidłowości sporządzenia spisu inwentarza (zmiana art. 655</w:t>
      </w:r>
      <w:r w:rsidR="0084375C" w:rsidRPr="007D1E02">
        <w:rPr>
          <w:rStyle w:val="IGindeksgrny"/>
          <w:rFonts w:ascii="Times New Roman" w:hAnsi="Times New Roman"/>
          <w:sz w:val="24"/>
          <w:szCs w:val="24"/>
        </w:rPr>
        <w:t xml:space="preserve"> </w:t>
      </w:r>
      <w:r w:rsidR="0084375C" w:rsidRPr="007D1E02">
        <w:rPr>
          <w:rFonts w:ascii="Times New Roman" w:hAnsi="Times New Roman"/>
          <w:sz w:val="24"/>
          <w:szCs w:val="24"/>
        </w:rPr>
        <w:t>w</w:t>
      </w:r>
      <w:r w:rsidR="0084375C" w:rsidRPr="007D1E02">
        <w:rPr>
          <w:rStyle w:val="IGindeksgrny"/>
          <w:rFonts w:ascii="Times New Roman" w:hAnsi="Times New Roman"/>
          <w:sz w:val="24"/>
          <w:szCs w:val="24"/>
        </w:rPr>
        <w:t xml:space="preserve"> </w:t>
      </w:r>
      <w:r w:rsidR="0084375C" w:rsidRPr="007D1E02">
        <w:rPr>
          <w:rFonts w:ascii="Times New Roman" w:hAnsi="Times New Roman"/>
          <w:sz w:val="24"/>
          <w:szCs w:val="24"/>
        </w:rPr>
        <w:t>§ 1),</w:t>
      </w:r>
    </w:p>
    <w:p w:rsidR="0084375C" w:rsidRPr="007D1E02" w:rsidRDefault="0084375C" w:rsidP="000A6809">
      <w:pPr>
        <w:pStyle w:val="Akapitzlist"/>
        <w:numPr>
          <w:ilvl w:val="0"/>
          <w:numId w:val="20"/>
        </w:numPr>
        <w:spacing w:before="120" w:after="120" w:line="360" w:lineRule="auto"/>
        <w:ind w:left="0"/>
        <w:jc w:val="both"/>
        <w:rPr>
          <w:rFonts w:ascii="Times New Roman" w:hAnsi="Times New Roman"/>
          <w:sz w:val="24"/>
          <w:szCs w:val="24"/>
        </w:rPr>
      </w:pPr>
      <w:r w:rsidRPr="00015053">
        <w:rPr>
          <w:rFonts w:ascii="Times New Roman" w:hAnsi="Times New Roman"/>
          <w:sz w:val="24"/>
          <w:szCs w:val="24"/>
        </w:rPr>
        <w:t>obowiązek powiadomienia przez sąd albo notariusza o otwarciu i ogłoszeniu testamentu (zmiana art. 652</w:t>
      </w:r>
      <w:r w:rsidRPr="00484BF6">
        <w:rPr>
          <w:rStyle w:val="IGindeksgrny"/>
          <w:rFonts w:ascii="Times New Roman" w:hAnsi="Times New Roman"/>
          <w:sz w:val="24"/>
          <w:szCs w:val="24"/>
        </w:rPr>
        <w:t xml:space="preserve"> </w:t>
      </w:r>
      <w:r w:rsidRPr="00484BF6">
        <w:rPr>
          <w:rFonts w:ascii="Times New Roman" w:hAnsi="Times New Roman"/>
          <w:sz w:val="24"/>
          <w:szCs w:val="24"/>
        </w:rPr>
        <w:t xml:space="preserve">zdanie pierwsze). </w:t>
      </w:r>
    </w:p>
    <w:p w:rsidR="004456EE" w:rsidRPr="00B81E7D" w:rsidRDefault="001819AD" w:rsidP="00B81E7D">
      <w:pPr>
        <w:spacing w:before="120" w:after="120" w:line="360" w:lineRule="auto"/>
        <w:ind w:left="-360"/>
        <w:jc w:val="both"/>
        <w:rPr>
          <w:rFonts w:cs="Times New Roman"/>
          <w:szCs w:val="24"/>
        </w:rPr>
      </w:pPr>
      <w:bookmarkStart w:id="3" w:name="mip43658003"/>
      <w:bookmarkEnd w:id="3"/>
      <w:r w:rsidRPr="00B81E7D">
        <w:rPr>
          <w:szCs w:val="24"/>
        </w:rPr>
        <w:t xml:space="preserve">W przypadku powołania tymczasowego przedstawiciela, na podstawie nowelizowanego </w:t>
      </w:r>
      <w:r w:rsidR="004456EE" w:rsidRPr="00B81E7D">
        <w:rPr>
          <w:rFonts w:cs="Times New Roman"/>
          <w:szCs w:val="24"/>
        </w:rPr>
        <w:t>art. 788</w:t>
      </w:r>
      <w:r w:rsidR="004456EE" w:rsidRPr="00B81E7D">
        <w:rPr>
          <w:rStyle w:val="IGindeksgrny"/>
          <w:rFonts w:cs="Times New Roman"/>
          <w:szCs w:val="24"/>
        </w:rPr>
        <w:t xml:space="preserve"> </w:t>
      </w:r>
      <w:r w:rsidR="004456EE" w:rsidRPr="00B81E7D">
        <w:rPr>
          <w:rFonts w:cs="Times New Roman"/>
          <w:szCs w:val="24"/>
        </w:rPr>
        <w:t xml:space="preserve">§ 2 </w:t>
      </w:r>
      <w:r w:rsidRPr="00B81E7D">
        <w:rPr>
          <w:rFonts w:cs="Times New Roman"/>
          <w:szCs w:val="24"/>
        </w:rPr>
        <w:t>k.p.c. z</w:t>
      </w:r>
      <w:r w:rsidR="004456EE" w:rsidRPr="00B81E7D">
        <w:rPr>
          <w:rFonts w:cs="Times New Roman"/>
          <w:szCs w:val="24"/>
        </w:rPr>
        <w:t>a prz</w:t>
      </w:r>
      <w:r w:rsidRPr="00B81E7D">
        <w:rPr>
          <w:rFonts w:cs="Times New Roman"/>
          <w:szCs w:val="24"/>
        </w:rPr>
        <w:t>ejście uprawnień lub obowiązków po powstaniu tytułu egzekucyjnego lub w toku sprawy przed wydaniem tytułu,</w:t>
      </w:r>
      <w:r w:rsidR="004456EE" w:rsidRPr="00B81E7D">
        <w:rPr>
          <w:rFonts w:cs="Times New Roman"/>
          <w:szCs w:val="24"/>
        </w:rPr>
        <w:t xml:space="preserve"> </w:t>
      </w:r>
      <w:r w:rsidRPr="00B81E7D">
        <w:rPr>
          <w:rFonts w:cs="Times New Roman"/>
          <w:szCs w:val="24"/>
        </w:rPr>
        <w:t xml:space="preserve">będzie </w:t>
      </w:r>
      <w:r w:rsidR="004456EE" w:rsidRPr="00B81E7D">
        <w:rPr>
          <w:rFonts w:cs="Times New Roman"/>
          <w:szCs w:val="24"/>
        </w:rPr>
        <w:t>uważa</w:t>
      </w:r>
      <w:r w:rsidRPr="00B81E7D">
        <w:rPr>
          <w:rFonts w:cs="Times New Roman"/>
          <w:szCs w:val="24"/>
        </w:rPr>
        <w:t>ć</w:t>
      </w:r>
      <w:r w:rsidR="004456EE" w:rsidRPr="00B81E7D">
        <w:rPr>
          <w:rFonts w:cs="Times New Roman"/>
          <w:szCs w:val="24"/>
        </w:rPr>
        <w:t xml:space="preserve"> się również zmiany w prawie rozporządzania mieniem wywołane powołaniem tymczasowego przedstawiciela, jak również wygaśnięciem funkcji tymczasowego przedstawiciela</w:t>
      </w:r>
      <w:r w:rsidRPr="00B81E7D">
        <w:rPr>
          <w:rFonts w:cs="Times New Roman"/>
          <w:szCs w:val="24"/>
        </w:rPr>
        <w:t>.</w:t>
      </w:r>
    </w:p>
    <w:p w:rsidR="001819AD" w:rsidRPr="00B81E7D" w:rsidRDefault="001819AD" w:rsidP="00B81E7D">
      <w:pPr>
        <w:spacing w:before="120" w:after="120" w:line="360" w:lineRule="auto"/>
        <w:ind w:left="-360"/>
        <w:jc w:val="both"/>
        <w:rPr>
          <w:szCs w:val="24"/>
        </w:rPr>
      </w:pPr>
      <w:r w:rsidRPr="00B81E7D">
        <w:rPr>
          <w:szCs w:val="24"/>
        </w:rPr>
        <w:t>Zakres uprawnień i obowiązków tymczasowego przedstawicie</w:t>
      </w:r>
      <w:r w:rsidR="00B4541D">
        <w:rPr>
          <w:szCs w:val="24"/>
        </w:rPr>
        <w:t>la będzie zatem analogiczny jak </w:t>
      </w:r>
      <w:r w:rsidRPr="00B81E7D">
        <w:rPr>
          <w:szCs w:val="24"/>
        </w:rPr>
        <w:t>wykonawcy testamentu.</w:t>
      </w:r>
    </w:p>
    <w:p w:rsidR="001C107F" w:rsidRPr="00B81E7D" w:rsidRDefault="0084375C" w:rsidP="00B81E7D">
      <w:pPr>
        <w:spacing w:before="120" w:after="120" w:line="360" w:lineRule="auto"/>
        <w:ind w:left="426"/>
        <w:jc w:val="both"/>
        <w:rPr>
          <w:rFonts w:cs="Times New Roman"/>
          <w:i/>
          <w:szCs w:val="24"/>
        </w:rPr>
      </w:pPr>
      <w:r w:rsidRPr="00B81E7D">
        <w:rPr>
          <w:rFonts w:cs="Times New Roman"/>
          <w:i/>
          <w:szCs w:val="24"/>
        </w:rPr>
        <w:t xml:space="preserve">3) </w:t>
      </w:r>
      <w:r w:rsidR="001C107F" w:rsidRPr="00B81E7D">
        <w:rPr>
          <w:rFonts w:cs="Times New Roman"/>
          <w:i/>
          <w:szCs w:val="24"/>
        </w:rPr>
        <w:t>Wyłączenie z egzekucji kwot pieniężnych niezbędnych prz</w:t>
      </w:r>
      <w:r w:rsidR="00BA7B5E">
        <w:rPr>
          <w:rFonts w:cs="Times New Roman"/>
          <w:i/>
          <w:szCs w:val="24"/>
        </w:rPr>
        <w:t>edsiębiorcy i jego rodzinie na  </w:t>
      </w:r>
      <w:r w:rsidR="001C107F" w:rsidRPr="00B81E7D">
        <w:rPr>
          <w:rFonts w:cs="Times New Roman"/>
          <w:i/>
          <w:szCs w:val="24"/>
        </w:rPr>
        <w:t>utrzymanie</w:t>
      </w:r>
      <w:r w:rsidR="00E6062F" w:rsidRPr="00B81E7D">
        <w:rPr>
          <w:rFonts w:cs="Times New Roman"/>
          <w:i/>
          <w:szCs w:val="24"/>
        </w:rPr>
        <w:t xml:space="preserve"> (art. </w:t>
      </w:r>
      <w:r w:rsidR="003841A3" w:rsidRPr="00B81E7D">
        <w:rPr>
          <w:rFonts w:cs="Times New Roman"/>
          <w:i/>
          <w:szCs w:val="24"/>
        </w:rPr>
        <w:t>2</w:t>
      </w:r>
      <w:r w:rsidR="005B22CF" w:rsidRPr="00B81E7D">
        <w:rPr>
          <w:rFonts w:cs="Times New Roman"/>
          <w:i/>
          <w:szCs w:val="24"/>
        </w:rPr>
        <w:t xml:space="preserve"> </w:t>
      </w:r>
      <w:r w:rsidR="00E6062F" w:rsidRPr="00B81E7D">
        <w:rPr>
          <w:rFonts w:cs="Times New Roman"/>
          <w:i/>
          <w:szCs w:val="24"/>
        </w:rPr>
        <w:t xml:space="preserve">pkt </w:t>
      </w:r>
      <w:r w:rsidR="003841A3" w:rsidRPr="00B81E7D">
        <w:rPr>
          <w:rFonts w:cs="Times New Roman"/>
          <w:i/>
          <w:szCs w:val="24"/>
        </w:rPr>
        <w:t>1</w:t>
      </w:r>
      <w:r w:rsidR="001C0789">
        <w:rPr>
          <w:rFonts w:cs="Times New Roman"/>
          <w:i/>
          <w:szCs w:val="24"/>
        </w:rPr>
        <w:t>6</w:t>
      </w:r>
      <w:r w:rsidR="00F94E85" w:rsidRPr="00B81E7D">
        <w:rPr>
          <w:rFonts w:cs="Times New Roman"/>
          <w:i/>
          <w:szCs w:val="24"/>
        </w:rPr>
        <w:t xml:space="preserve"> </w:t>
      </w:r>
      <w:r w:rsidR="00E6062F" w:rsidRPr="00B81E7D">
        <w:rPr>
          <w:rFonts w:cs="Times New Roman"/>
          <w:i/>
          <w:szCs w:val="24"/>
        </w:rPr>
        <w:t>projektu)</w:t>
      </w:r>
      <w:r w:rsidR="001C107F" w:rsidRPr="00B81E7D">
        <w:rPr>
          <w:rFonts w:cs="Times New Roman"/>
          <w:i/>
          <w:szCs w:val="24"/>
        </w:rPr>
        <w:t>.</w:t>
      </w:r>
    </w:p>
    <w:p w:rsidR="00FF1B74" w:rsidRPr="00B81E7D" w:rsidRDefault="00FF1B74" w:rsidP="00B421C2">
      <w:pPr>
        <w:spacing w:after="120" w:line="360" w:lineRule="auto"/>
        <w:jc w:val="both"/>
        <w:rPr>
          <w:rFonts w:cs="Times New Roman"/>
          <w:bCs/>
          <w:szCs w:val="24"/>
        </w:rPr>
      </w:pPr>
      <w:r w:rsidRPr="00B81E7D">
        <w:rPr>
          <w:rFonts w:cs="Times New Roman"/>
          <w:bCs/>
          <w:szCs w:val="24"/>
        </w:rPr>
        <w:t xml:space="preserve">Zgodnie z przepisami ustawy - Kodeks postępowania </w:t>
      </w:r>
      <w:r w:rsidR="00B4541D">
        <w:rPr>
          <w:rFonts w:cs="Times New Roman"/>
          <w:bCs/>
          <w:szCs w:val="24"/>
        </w:rPr>
        <w:t>cywilnego (art. 829 pkt 5), nie </w:t>
      </w:r>
      <w:r w:rsidRPr="00B81E7D">
        <w:rPr>
          <w:rFonts w:cs="Times New Roman"/>
          <w:bCs/>
          <w:szCs w:val="24"/>
        </w:rPr>
        <w:t>podlegają egzekucji pieniądze osób pobierającyc</w:t>
      </w:r>
      <w:r w:rsidR="00B4541D">
        <w:rPr>
          <w:rFonts w:cs="Times New Roman"/>
          <w:bCs/>
          <w:szCs w:val="24"/>
        </w:rPr>
        <w:t>h płacę niezbędne tym osobom na </w:t>
      </w:r>
      <w:r w:rsidRPr="00B81E7D">
        <w:rPr>
          <w:rFonts w:cs="Times New Roman"/>
          <w:bCs/>
          <w:szCs w:val="24"/>
        </w:rPr>
        <w:t>utrzymanie swoje i rodziny przez dwa tygodnie.</w:t>
      </w:r>
    </w:p>
    <w:p w:rsidR="00FF1B74" w:rsidRPr="00B81E7D" w:rsidRDefault="00F52DA5" w:rsidP="00B421C2">
      <w:pPr>
        <w:spacing w:after="120" w:line="360" w:lineRule="auto"/>
        <w:jc w:val="both"/>
        <w:rPr>
          <w:rFonts w:cs="Times New Roman"/>
          <w:bCs/>
          <w:szCs w:val="24"/>
          <w:u w:val="single"/>
        </w:rPr>
      </w:pPr>
      <w:r w:rsidRPr="00B81E7D">
        <w:rPr>
          <w:rFonts w:cs="Times New Roman"/>
          <w:bCs/>
          <w:szCs w:val="24"/>
        </w:rPr>
        <w:lastRenderedPageBreak/>
        <w:t>Propozycja</w:t>
      </w:r>
      <w:r w:rsidR="00405DF2" w:rsidRPr="00B81E7D">
        <w:rPr>
          <w:rFonts w:cs="Times New Roman"/>
          <w:bCs/>
          <w:szCs w:val="24"/>
        </w:rPr>
        <w:t xml:space="preserve"> obejmuje</w:t>
      </w:r>
      <w:r w:rsidR="00FF1B74" w:rsidRPr="00B81E7D">
        <w:rPr>
          <w:rFonts w:cs="Times New Roman"/>
          <w:bCs/>
          <w:szCs w:val="24"/>
        </w:rPr>
        <w:t xml:space="preserve"> wprowadzenie do Kodeksu postępowania cywilnego przedmiotowego ograniczenia egzekucji w zakresie posiadanych</w:t>
      </w:r>
      <w:r w:rsidR="00112863" w:rsidRPr="00B81E7D">
        <w:rPr>
          <w:rFonts w:cs="Times New Roman"/>
          <w:bCs/>
          <w:szCs w:val="24"/>
        </w:rPr>
        <w:t xml:space="preserve"> także</w:t>
      </w:r>
      <w:r w:rsidR="00FF1B74" w:rsidRPr="00B81E7D">
        <w:rPr>
          <w:rFonts w:cs="Times New Roman"/>
          <w:bCs/>
          <w:szCs w:val="24"/>
        </w:rPr>
        <w:t xml:space="preserve"> przez przedsiębiorców pieniędzy niezbędnych do utrzymania siebie i rodziny przez dwa tygodnie. </w:t>
      </w:r>
    </w:p>
    <w:p w:rsidR="00112863" w:rsidRPr="00B81E7D" w:rsidRDefault="00112863" w:rsidP="00B421C2">
      <w:pPr>
        <w:spacing w:after="120" w:line="360" w:lineRule="auto"/>
        <w:jc w:val="both"/>
        <w:rPr>
          <w:rFonts w:cs="Times New Roman"/>
          <w:bCs/>
          <w:szCs w:val="24"/>
        </w:rPr>
      </w:pPr>
      <w:r w:rsidRPr="00B81E7D">
        <w:rPr>
          <w:rFonts w:cs="Times New Roman"/>
          <w:bCs/>
          <w:szCs w:val="24"/>
        </w:rPr>
        <w:t>Na problem zwraca uwagę Rzecznik Praw Obywatelskich</w:t>
      </w:r>
      <w:r w:rsidRPr="00B81E7D">
        <w:rPr>
          <w:rFonts w:cs="Times New Roman"/>
          <w:bCs/>
          <w:szCs w:val="24"/>
          <w:vertAlign w:val="superscript"/>
        </w:rPr>
        <w:footnoteReference w:id="9"/>
      </w:r>
      <w:r w:rsidRPr="00B81E7D">
        <w:rPr>
          <w:rFonts w:cs="Times New Roman"/>
          <w:bCs/>
          <w:szCs w:val="24"/>
        </w:rPr>
        <w:t xml:space="preserve"> oraz sami przedsiębiorcy. W tym zakresie sytuacja przedsiębiorców jest mniej korzystna niż pracowników i osób zatrudnionych na podstawie umów cywilnoprawnych. Nie ma żadnego uzasadnienia dla istnienia tej dysproporcji w zakresie praw w postępowaniu egzekucyjnym przysługujących dłużnikom o różnym źródle dochodów. Jej istnienie narusza zasadę równości wobec prawa. Trudna sytuacja finansowa przedsiębiorców, która doprowadziła </w:t>
      </w:r>
      <w:r w:rsidR="00B4541D">
        <w:rPr>
          <w:rFonts w:cs="Times New Roman"/>
          <w:bCs/>
          <w:szCs w:val="24"/>
        </w:rPr>
        <w:t>do egzekucji z ich majątku, nie </w:t>
      </w:r>
      <w:r w:rsidRPr="00B81E7D">
        <w:rPr>
          <w:rFonts w:cs="Times New Roman"/>
          <w:bCs/>
          <w:szCs w:val="24"/>
        </w:rPr>
        <w:t>zawsze jest spowodowana ich winą. Często spowodowa</w:t>
      </w:r>
      <w:r w:rsidR="00B4541D">
        <w:rPr>
          <w:rFonts w:cs="Times New Roman"/>
          <w:bCs/>
          <w:szCs w:val="24"/>
        </w:rPr>
        <w:t>na jest ona utratą płynności ze </w:t>
      </w:r>
      <w:r w:rsidRPr="00B81E7D">
        <w:rPr>
          <w:rFonts w:cs="Times New Roman"/>
          <w:bCs/>
          <w:szCs w:val="24"/>
        </w:rPr>
        <w:t xml:space="preserve">względu na nierzetelność ich kontrahentów.  </w:t>
      </w:r>
    </w:p>
    <w:p w:rsidR="00823465" w:rsidRPr="00B81E7D" w:rsidRDefault="00823465" w:rsidP="00B421C2">
      <w:pPr>
        <w:spacing w:after="120" w:line="360" w:lineRule="auto"/>
        <w:jc w:val="both"/>
        <w:rPr>
          <w:rFonts w:cs="Times New Roman"/>
          <w:bCs/>
          <w:szCs w:val="24"/>
        </w:rPr>
      </w:pPr>
    </w:p>
    <w:p w:rsidR="00B92987" w:rsidRPr="00B81E7D" w:rsidRDefault="00492B8F" w:rsidP="00B421C2">
      <w:pPr>
        <w:numPr>
          <w:ilvl w:val="0"/>
          <w:numId w:val="2"/>
        </w:numPr>
        <w:spacing w:after="120" w:line="360" w:lineRule="auto"/>
        <w:jc w:val="both"/>
        <w:rPr>
          <w:rFonts w:cs="Times New Roman"/>
          <w:b/>
          <w:szCs w:val="24"/>
        </w:rPr>
      </w:pPr>
      <w:r w:rsidRPr="00B81E7D">
        <w:rPr>
          <w:rFonts w:cs="Times New Roman"/>
          <w:b/>
          <w:szCs w:val="24"/>
        </w:rPr>
        <w:t xml:space="preserve">Zmiany w </w:t>
      </w:r>
      <w:r w:rsidR="002874D4" w:rsidRPr="00B81E7D">
        <w:rPr>
          <w:rFonts w:cs="Times New Roman"/>
          <w:b/>
          <w:szCs w:val="24"/>
        </w:rPr>
        <w:t>ustawie</w:t>
      </w:r>
      <w:r w:rsidRPr="00B81E7D">
        <w:rPr>
          <w:rFonts w:cs="Times New Roman"/>
          <w:b/>
          <w:szCs w:val="24"/>
        </w:rPr>
        <w:t xml:space="preserve"> z dnia 17 czerwca 1966 r. o postępowan</w:t>
      </w:r>
      <w:r w:rsidR="00B92987" w:rsidRPr="00B81E7D">
        <w:rPr>
          <w:rFonts w:cs="Times New Roman"/>
          <w:b/>
          <w:szCs w:val="24"/>
        </w:rPr>
        <w:t xml:space="preserve">iu egzekucyjnym w administracji (art. </w:t>
      </w:r>
      <w:r w:rsidR="003841A3" w:rsidRPr="00B81E7D">
        <w:rPr>
          <w:rFonts w:cs="Times New Roman"/>
          <w:b/>
          <w:szCs w:val="24"/>
        </w:rPr>
        <w:t>3</w:t>
      </w:r>
      <w:r w:rsidR="00F45142" w:rsidRPr="00B81E7D">
        <w:rPr>
          <w:rFonts w:cs="Times New Roman"/>
          <w:b/>
          <w:szCs w:val="24"/>
        </w:rPr>
        <w:t xml:space="preserve"> </w:t>
      </w:r>
      <w:r w:rsidR="00B92987" w:rsidRPr="00B81E7D">
        <w:rPr>
          <w:rFonts w:cs="Times New Roman"/>
          <w:b/>
          <w:szCs w:val="24"/>
        </w:rPr>
        <w:t xml:space="preserve">projektu), </w:t>
      </w:r>
      <w:r w:rsidR="002874D4" w:rsidRPr="00B81E7D">
        <w:rPr>
          <w:rFonts w:cs="Times New Roman"/>
          <w:b/>
          <w:szCs w:val="24"/>
        </w:rPr>
        <w:t xml:space="preserve">ustawie </w:t>
      </w:r>
      <w:r w:rsidR="00B92987" w:rsidRPr="00B81E7D">
        <w:rPr>
          <w:rFonts w:cs="Times New Roman"/>
          <w:b/>
          <w:szCs w:val="24"/>
        </w:rPr>
        <w:t xml:space="preserve">z dnia 26 czerwca 1974 r. – Kodeks pracy (art. </w:t>
      </w:r>
      <w:r w:rsidR="003841A3" w:rsidRPr="00B81E7D">
        <w:rPr>
          <w:rFonts w:cs="Times New Roman"/>
          <w:b/>
          <w:szCs w:val="24"/>
        </w:rPr>
        <w:t>4</w:t>
      </w:r>
      <w:r w:rsidR="00F45142" w:rsidRPr="00B81E7D">
        <w:rPr>
          <w:rFonts w:cs="Times New Roman"/>
          <w:b/>
          <w:szCs w:val="24"/>
        </w:rPr>
        <w:t xml:space="preserve"> </w:t>
      </w:r>
      <w:r w:rsidR="00B92987" w:rsidRPr="00B81E7D">
        <w:rPr>
          <w:rFonts w:cs="Times New Roman"/>
          <w:b/>
          <w:szCs w:val="24"/>
        </w:rPr>
        <w:t>projektu),</w:t>
      </w:r>
      <w:r w:rsidR="002874D4" w:rsidRPr="00B81E7D">
        <w:rPr>
          <w:rFonts w:cs="Times New Roman"/>
          <w:b/>
          <w:szCs w:val="24"/>
        </w:rPr>
        <w:t xml:space="preserve"> ustawie z d</w:t>
      </w:r>
      <w:r w:rsidR="00556EFE" w:rsidRPr="00B81E7D">
        <w:rPr>
          <w:rFonts w:cs="Times New Roman"/>
          <w:b/>
          <w:szCs w:val="24"/>
        </w:rPr>
        <w:t>nia 14 lutego 1991 r. - Prawo o </w:t>
      </w:r>
      <w:r w:rsidR="004E6E82">
        <w:rPr>
          <w:rFonts w:cs="Times New Roman"/>
          <w:b/>
          <w:szCs w:val="24"/>
        </w:rPr>
        <w:t>notariacie (art. </w:t>
      </w:r>
      <w:r w:rsidR="003D315E" w:rsidRPr="00B81E7D">
        <w:rPr>
          <w:rFonts w:cs="Times New Roman"/>
          <w:b/>
          <w:szCs w:val="24"/>
        </w:rPr>
        <w:t xml:space="preserve">7 </w:t>
      </w:r>
      <w:r w:rsidR="002874D4" w:rsidRPr="00B81E7D">
        <w:rPr>
          <w:rFonts w:cs="Times New Roman"/>
          <w:b/>
          <w:szCs w:val="24"/>
        </w:rPr>
        <w:t>pkt 2 i 3 projektu),</w:t>
      </w:r>
      <w:r w:rsidR="00556EFE" w:rsidRPr="00B81E7D">
        <w:rPr>
          <w:rFonts w:cs="Times New Roman"/>
          <w:b/>
          <w:szCs w:val="24"/>
        </w:rPr>
        <w:t xml:space="preserve"> ustawie z dnia 26 lipca 1991 r. o podatku dochodowym od osób fizycznych (art. </w:t>
      </w:r>
      <w:r w:rsidR="003D315E" w:rsidRPr="00B81E7D">
        <w:rPr>
          <w:rFonts w:cs="Times New Roman"/>
          <w:b/>
          <w:szCs w:val="24"/>
        </w:rPr>
        <w:t xml:space="preserve">9 </w:t>
      </w:r>
      <w:r w:rsidR="00953D74" w:rsidRPr="00B81E7D">
        <w:rPr>
          <w:rFonts w:cs="Times New Roman"/>
          <w:b/>
          <w:szCs w:val="24"/>
        </w:rPr>
        <w:t>pkt 1</w:t>
      </w:r>
      <w:r w:rsidR="00556EFE" w:rsidRPr="00B81E7D">
        <w:rPr>
          <w:rFonts w:cs="Times New Roman"/>
          <w:b/>
          <w:szCs w:val="24"/>
        </w:rPr>
        <w:t xml:space="preserve"> projektu), ust</w:t>
      </w:r>
      <w:r w:rsidR="00197FB5" w:rsidRPr="00B81E7D">
        <w:rPr>
          <w:rFonts w:cs="Times New Roman"/>
          <w:b/>
          <w:szCs w:val="24"/>
        </w:rPr>
        <w:t>awie z dnia 15 lutego 1992 r. o </w:t>
      </w:r>
      <w:r w:rsidR="00556EFE" w:rsidRPr="00B81E7D">
        <w:rPr>
          <w:rFonts w:cs="Times New Roman"/>
          <w:b/>
          <w:szCs w:val="24"/>
        </w:rPr>
        <w:t xml:space="preserve">podatku dochodowym od osób prawnych (art. </w:t>
      </w:r>
      <w:r w:rsidR="003D315E" w:rsidRPr="00B81E7D">
        <w:rPr>
          <w:rFonts w:cs="Times New Roman"/>
          <w:b/>
          <w:szCs w:val="24"/>
        </w:rPr>
        <w:t xml:space="preserve">10 </w:t>
      </w:r>
      <w:r w:rsidR="00556EFE" w:rsidRPr="00B81E7D">
        <w:rPr>
          <w:rFonts w:cs="Times New Roman"/>
          <w:b/>
          <w:szCs w:val="24"/>
        </w:rPr>
        <w:t xml:space="preserve">projektu), </w:t>
      </w:r>
      <w:r w:rsidR="003975E5" w:rsidRPr="00B81E7D">
        <w:rPr>
          <w:rFonts w:cs="Times New Roman"/>
          <w:b/>
          <w:szCs w:val="24"/>
        </w:rPr>
        <w:t xml:space="preserve">w ustawie z dnia 29 września 1994 r. o rachunkowości (art. </w:t>
      </w:r>
      <w:r w:rsidR="003D315E" w:rsidRPr="00B81E7D">
        <w:rPr>
          <w:rFonts w:cs="Times New Roman"/>
          <w:b/>
          <w:szCs w:val="24"/>
        </w:rPr>
        <w:t xml:space="preserve">12 </w:t>
      </w:r>
      <w:r w:rsidR="003975E5" w:rsidRPr="00B81E7D">
        <w:rPr>
          <w:rFonts w:cs="Times New Roman"/>
          <w:b/>
          <w:szCs w:val="24"/>
        </w:rPr>
        <w:t xml:space="preserve">projektu), </w:t>
      </w:r>
      <w:r w:rsidR="00BF0EAE" w:rsidRPr="00B81E7D">
        <w:rPr>
          <w:rFonts w:cs="Times New Roman"/>
          <w:b/>
          <w:szCs w:val="24"/>
        </w:rPr>
        <w:t xml:space="preserve">ustawie z dnia 13 października 1995 r. o zasadach ewidencji i identyfikacji podatników i płatników (art. </w:t>
      </w:r>
      <w:r w:rsidR="003D315E" w:rsidRPr="00B81E7D">
        <w:rPr>
          <w:rFonts w:cs="Times New Roman"/>
          <w:b/>
          <w:szCs w:val="24"/>
        </w:rPr>
        <w:t>13</w:t>
      </w:r>
      <w:r w:rsidR="008469BB" w:rsidRPr="00B81E7D">
        <w:rPr>
          <w:rFonts w:cs="Times New Roman"/>
          <w:b/>
          <w:szCs w:val="24"/>
        </w:rPr>
        <w:t xml:space="preserve"> </w:t>
      </w:r>
      <w:r w:rsidR="00BF0EAE" w:rsidRPr="00B81E7D">
        <w:rPr>
          <w:rFonts w:cs="Times New Roman"/>
          <w:b/>
          <w:szCs w:val="24"/>
        </w:rPr>
        <w:t xml:space="preserve">projektu), w ustawie z dnia 10 kwietnia 1997 r. - Prawo energetyczne (art. </w:t>
      </w:r>
      <w:r w:rsidR="003D315E" w:rsidRPr="00B81E7D">
        <w:rPr>
          <w:rFonts w:cs="Times New Roman"/>
          <w:b/>
          <w:szCs w:val="24"/>
        </w:rPr>
        <w:t xml:space="preserve">14 </w:t>
      </w:r>
      <w:r w:rsidR="00BF0EAE" w:rsidRPr="00B81E7D">
        <w:rPr>
          <w:rFonts w:cs="Times New Roman"/>
          <w:b/>
          <w:szCs w:val="24"/>
        </w:rPr>
        <w:t xml:space="preserve">pkt </w:t>
      </w:r>
      <w:r w:rsidR="008469BB" w:rsidRPr="00B81E7D">
        <w:rPr>
          <w:rFonts w:cs="Times New Roman"/>
          <w:b/>
          <w:szCs w:val="24"/>
        </w:rPr>
        <w:t xml:space="preserve">3 </w:t>
      </w:r>
      <w:r w:rsidR="00EB20A3" w:rsidRPr="00B81E7D">
        <w:rPr>
          <w:rFonts w:cs="Times New Roman"/>
          <w:b/>
          <w:szCs w:val="24"/>
        </w:rPr>
        <w:t xml:space="preserve">lit. </w:t>
      </w:r>
      <w:r w:rsidR="00452180" w:rsidRPr="00B81E7D">
        <w:rPr>
          <w:rFonts w:cs="Times New Roman"/>
          <w:b/>
          <w:szCs w:val="24"/>
        </w:rPr>
        <w:t>a</w:t>
      </w:r>
      <w:r w:rsidR="00BF0EAE" w:rsidRPr="00B81E7D">
        <w:rPr>
          <w:rFonts w:cs="Times New Roman"/>
          <w:b/>
          <w:szCs w:val="24"/>
        </w:rPr>
        <w:t xml:space="preserve"> projektu), </w:t>
      </w:r>
      <w:r w:rsidR="003D27AD" w:rsidRPr="00B81E7D">
        <w:rPr>
          <w:rFonts w:cs="Times New Roman"/>
          <w:b/>
          <w:szCs w:val="24"/>
        </w:rPr>
        <w:t xml:space="preserve">ustawie z dnia 22 sierpnia 1997 r. o ochronie osób i mienia (art. </w:t>
      </w:r>
      <w:r w:rsidR="003D315E" w:rsidRPr="00B81E7D">
        <w:rPr>
          <w:rFonts w:cs="Times New Roman"/>
          <w:b/>
          <w:szCs w:val="24"/>
        </w:rPr>
        <w:t xml:space="preserve">15 </w:t>
      </w:r>
      <w:r w:rsidR="00535CD3" w:rsidRPr="00B81E7D">
        <w:rPr>
          <w:rFonts w:cs="Times New Roman"/>
          <w:b/>
          <w:szCs w:val="24"/>
        </w:rPr>
        <w:t>pkt 1</w:t>
      </w:r>
      <w:r w:rsidR="003D27AD" w:rsidRPr="00B81E7D">
        <w:rPr>
          <w:rFonts w:cs="Times New Roman"/>
          <w:b/>
          <w:szCs w:val="24"/>
        </w:rPr>
        <w:t xml:space="preserve"> projektu), </w:t>
      </w:r>
      <w:r w:rsidR="005C2CCA" w:rsidRPr="00B81E7D">
        <w:rPr>
          <w:rFonts w:cs="Times New Roman"/>
          <w:b/>
          <w:szCs w:val="24"/>
        </w:rPr>
        <w:t>ustawie z dnia 29 sierpnia 1997 r. – Prawo bankowe (art.</w:t>
      </w:r>
      <w:r w:rsidR="0011591F">
        <w:rPr>
          <w:rFonts w:cs="Times New Roman"/>
          <w:b/>
          <w:szCs w:val="24"/>
        </w:rPr>
        <w:t> </w:t>
      </w:r>
      <w:r w:rsidR="003D315E" w:rsidRPr="00B81E7D">
        <w:rPr>
          <w:rFonts w:cs="Times New Roman"/>
          <w:b/>
          <w:szCs w:val="24"/>
        </w:rPr>
        <w:t>18</w:t>
      </w:r>
      <w:r w:rsidR="0011591F">
        <w:rPr>
          <w:rFonts w:cs="Times New Roman"/>
          <w:b/>
          <w:szCs w:val="24"/>
        </w:rPr>
        <w:t> </w:t>
      </w:r>
      <w:r w:rsidR="005C2CCA" w:rsidRPr="00B81E7D">
        <w:rPr>
          <w:rFonts w:cs="Times New Roman"/>
          <w:b/>
          <w:szCs w:val="24"/>
        </w:rPr>
        <w:t xml:space="preserve">projektu), </w:t>
      </w:r>
      <w:r w:rsidR="00D61D54" w:rsidRPr="00B81E7D">
        <w:rPr>
          <w:rFonts w:cs="Times New Roman"/>
          <w:b/>
          <w:szCs w:val="24"/>
        </w:rPr>
        <w:t xml:space="preserve">ustawie z dnia 29 sierpnia 1997 r. – Ordynacja podatkowa (art. </w:t>
      </w:r>
      <w:r w:rsidR="003D315E" w:rsidRPr="00B81E7D">
        <w:rPr>
          <w:rFonts w:cs="Times New Roman"/>
          <w:b/>
          <w:szCs w:val="24"/>
        </w:rPr>
        <w:t xml:space="preserve">19 </w:t>
      </w:r>
      <w:r w:rsidR="00D61D54" w:rsidRPr="00B81E7D">
        <w:rPr>
          <w:rFonts w:cs="Times New Roman"/>
          <w:b/>
          <w:szCs w:val="24"/>
        </w:rPr>
        <w:t xml:space="preserve">projektu), ustawie z dnia 13 października 1998 r. o systemie ubezpieczeń społecznych (art. </w:t>
      </w:r>
      <w:r w:rsidR="003D315E" w:rsidRPr="00B81E7D">
        <w:rPr>
          <w:rFonts w:cs="Times New Roman"/>
          <w:b/>
          <w:szCs w:val="24"/>
        </w:rPr>
        <w:t xml:space="preserve">20 </w:t>
      </w:r>
      <w:r w:rsidR="00D61D54" w:rsidRPr="00B81E7D">
        <w:rPr>
          <w:rFonts w:cs="Times New Roman"/>
          <w:b/>
          <w:szCs w:val="24"/>
        </w:rPr>
        <w:t xml:space="preserve">projektu), ustawie z dnia 20 listopada 1998 r. o zryczałtowanym podatku dochodowym od niektórych przychodów osiąganych przez osoby fizyczne (art. </w:t>
      </w:r>
      <w:r w:rsidR="00565CD7" w:rsidRPr="00B81E7D">
        <w:rPr>
          <w:rFonts w:cs="Times New Roman"/>
          <w:b/>
          <w:szCs w:val="24"/>
        </w:rPr>
        <w:t xml:space="preserve">21 </w:t>
      </w:r>
      <w:r w:rsidR="00535CD3" w:rsidRPr="00B81E7D">
        <w:rPr>
          <w:rFonts w:cs="Times New Roman"/>
          <w:b/>
          <w:szCs w:val="24"/>
        </w:rPr>
        <w:t>pkt 1</w:t>
      </w:r>
      <w:r w:rsidR="00D61D54" w:rsidRPr="00B81E7D">
        <w:rPr>
          <w:rFonts w:cs="Times New Roman"/>
          <w:b/>
          <w:szCs w:val="24"/>
        </w:rPr>
        <w:t xml:space="preserve"> projektu),</w:t>
      </w:r>
      <w:r w:rsidR="003C2E38" w:rsidRPr="00B81E7D">
        <w:rPr>
          <w:rFonts w:cs="Times New Roman"/>
          <w:b/>
          <w:szCs w:val="24"/>
        </w:rPr>
        <w:t xml:space="preserve"> ust</w:t>
      </w:r>
      <w:r w:rsidR="00197FB5" w:rsidRPr="00B81E7D">
        <w:rPr>
          <w:rFonts w:cs="Times New Roman"/>
          <w:b/>
          <w:szCs w:val="24"/>
        </w:rPr>
        <w:t>awie z dnia 7 czerwca 2001 r. o </w:t>
      </w:r>
      <w:r w:rsidR="003C2E38" w:rsidRPr="00B81E7D">
        <w:rPr>
          <w:rFonts w:cs="Times New Roman"/>
          <w:b/>
          <w:szCs w:val="24"/>
        </w:rPr>
        <w:t xml:space="preserve">zbiorowym zaopatrzeniu w wodę i zbiorowym odprowadzaniu ścieków (art. </w:t>
      </w:r>
      <w:r w:rsidR="00565CD7" w:rsidRPr="00B81E7D">
        <w:rPr>
          <w:rFonts w:cs="Times New Roman"/>
          <w:b/>
          <w:szCs w:val="24"/>
        </w:rPr>
        <w:t>2</w:t>
      </w:r>
      <w:r w:rsidR="00F059AC">
        <w:rPr>
          <w:rFonts w:cs="Times New Roman"/>
          <w:b/>
          <w:szCs w:val="24"/>
        </w:rPr>
        <w:t>6</w:t>
      </w:r>
      <w:r w:rsidR="00565CD7" w:rsidRPr="00B81E7D">
        <w:rPr>
          <w:rFonts w:cs="Times New Roman"/>
          <w:b/>
          <w:szCs w:val="24"/>
        </w:rPr>
        <w:t xml:space="preserve"> </w:t>
      </w:r>
      <w:r w:rsidR="003C2E38" w:rsidRPr="00B81E7D">
        <w:rPr>
          <w:rFonts w:cs="Times New Roman"/>
          <w:b/>
          <w:szCs w:val="24"/>
        </w:rPr>
        <w:t>pkt 1 projektu),</w:t>
      </w:r>
      <w:r w:rsidR="00A50D07" w:rsidRPr="00B81E7D">
        <w:rPr>
          <w:rFonts w:cs="Times New Roman"/>
          <w:b/>
          <w:szCs w:val="24"/>
        </w:rPr>
        <w:t xml:space="preserve"> </w:t>
      </w:r>
      <w:r w:rsidR="009821C1" w:rsidRPr="00B81E7D">
        <w:rPr>
          <w:rFonts w:cs="Times New Roman"/>
          <w:b/>
          <w:szCs w:val="24"/>
        </w:rPr>
        <w:t xml:space="preserve">ustawie z dnia </w:t>
      </w:r>
      <w:r w:rsidR="00BE23C0">
        <w:rPr>
          <w:rFonts w:cs="Times New Roman"/>
          <w:b/>
          <w:szCs w:val="24"/>
        </w:rPr>
        <w:t xml:space="preserve">13 czerwca 2019 r. </w:t>
      </w:r>
      <w:r w:rsidR="009821C1" w:rsidRPr="00B81E7D">
        <w:rPr>
          <w:rFonts w:cs="Times New Roman"/>
          <w:b/>
          <w:szCs w:val="24"/>
        </w:rPr>
        <w:t xml:space="preserve"> o wykonywaniu działalności gospodarczej w zakresie wytwarzania i obrotu materiałami wybuchowymi, </w:t>
      </w:r>
      <w:r w:rsidR="009821C1" w:rsidRPr="00B81E7D">
        <w:rPr>
          <w:rFonts w:cs="Times New Roman"/>
          <w:b/>
          <w:szCs w:val="24"/>
        </w:rPr>
        <w:lastRenderedPageBreak/>
        <w:t>bronią, amunicją oraz wyrobami i technologią o</w:t>
      </w:r>
      <w:r w:rsidR="00535CD3" w:rsidRPr="00B81E7D">
        <w:rPr>
          <w:rFonts w:cs="Times New Roman"/>
          <w:b/>
          <w:szCs w:val="24"/>
        </w:rPr>
        <w:t> </w:t>
      </w:r>
      <w:r w:rsidR="004E6E82">
        <w:rPr>
          <w:rFonts w:cs="Times New Roman"/>
          <w:b/>
          <w:szCs w:val="24"/>
        </w:rPr>
        <w:t>przeznaczeniu wojskowym lub </w:t>
      </w:r>
      <w:r w:rsidR="009821C1" w:rsidRPr="00B81E7D">
        <w:rPr>
          <w:rFonts w:cs="Times New Roman"/>
          <w:b/>
          <w:szCs w:val="24"/>
        </w:rPr>
        <w:t xml:space="preserve">policyjnym (art. </w:t>
      </w:r>
      <w:r w:rsidR="00F5750C" w:rsidRPr="00B81E7D">
        <w:rPr>
          <w:rFonts w:cs="Times New Roman"/>
          <w:b/>
          <w:szCs w:val="24"/>
        </w:rPr>
        <w:t>6</w:t>
      </w:r>
      <w:r w:rsidR="00F059AC">
        <w:rPr>
          <w:rFonts w:cs="Times New Roman"/>
          <w:b/>
          <w:szCs w:val="24"/>
        </w:rPr>
        <w:t>6</w:t>
      </w:r>
      <w:r w:rsidR="00565CD7" w:rsidRPr="00B81E7D">
        <w:rPr>
          <w:rFonts w:cs="Times New Roman"/>
          <w:b/>
          <w:szCs w:val="24"/>
        </w:rPr>
        <w:t xml:space="preserve"> </w:t>
      </w:r>
      <w:r w:rsidR="00535CD3" w:rsidRPr="00B81E7D">
        <w:rPr>
          <w:rFonts w:cs="Times New Roman"/>
          <w:b/>
          <w:szCs w:val="24"/>
        </w:rPr>
        <w:t>pkt 1</w:t>
      </w:r>
      <w:r w:rsidR="00EB20A3" w:rsidRPr="00B81E7D">
        <w:rPr>
          <w:rFonts w:cs="Times New Roman"/>
          <w:b/>
          <w:szCs w:val="24"/>
        </w:rPr>
        <w:t xml:space="preserve"> lit. </w:t>
      </w:r>
      <w:r w:rsidR="00535CD3" w:rsidRPr="00B81E7D">
        <w:rPr>
          <w:rFonts w:cs="Times New Roman"/>
          <w:b/>
          <w:szCs w:val="24"/>
        </w:rPr>
        <w:t>a</w:t>
      </w:r>
      <w:r w:rsidR="009821C1" w:rsidRPr="00B81E7D">
        <w:rPr>
          <w:rFonts w:cs="Times New Roman"/>
          <w:b/>
          <w:szCs w:val="24"/>
        </w:rPr>
        <w:t xml:space="preserve"> projektu), </w:t>
      </w:r>
      <w:r w:rsidR="00A50D07" w:rsidRPr="00B81E7D">
        <w:rPr>
          <w:rFonts w:cs="Times New Roman"/>
          <w:b/>
          <w:szCs w:val="24"/>
        </w:rPr>
        <w:t xml:space="preserve">ustawie </w:t>
      </w:r>
      <w:r w:rsidR="00535CD3" w:rsidRPr="00B81E7D">
        <w:rPr>
          <w:rFonts w:cs="Times New Roman"/>
          <w:b/>
          <w:szCs w:val="24"/>
        </w:rPr>
        <w:t>z </w:t>
      </w:r>
      <w:r w:rsidR="00A50D07" w:rsidRPr="00B81E7D">
        <w:rPr>
          <w:rFonts w:cs="Times New Roman"/>
          <w:b/>
          <w:szCs w:val="24"/>
        </w:rPr>
        <w:t xml:space="preserve">dnia 6 września 2001 r. o transporcie drogowym (art. </w:t>
      </w:r>
      <w:r w:rsidR="00565CD7" w:rsidRPr="00B81E7D">
        <w:rPr>
          <w:rFonts w:cs="Times New Roman"/>
          <w:b/>
          <w:szCs w:val="24"/>
        </w:rPr>
        <w:t>2</w:t>
      </w:r>
      <w:r w:rsidR="00F059AC">
        <w:rPr>
          <w:rFonts w:cs="Times New Roman"/>
          <w:b/>
          <w:szCs w:val="24"/>
        </w:rPr>
        <w:t>8</w:t>
      </w:r>
      <w:r w:rsidR="00565CD7" w:rsidRPr="00B81E7D">
        <w:rPr>
          <w:rFonts w:cs="Times New Roman"/>
          <w:b/>
          <w:szCs w:val="24"/>
        </w:rPr>
        <w:t xml:space="preserve"> </w:t>
      </w:r>
      <w:r w:rsidR="00EB20A3" w:rsidRPr="00B81E7D">
        <w:rPr>
          <w:rFonts w:cs="Times New Roman"/>
          <w:b/>
          <w:szCs w:val="24"/>
        </w:rPr>
        <w:t>pkt 2 </w:t>
      </w:r>
      <w:r w:rsidR="00A50D07" w:rsidRPr="00B81E7D">
        <w:rPr>
          <w:rFonts w:cs="Times New Roman"/>
          <w:b/>
          <w:szCs w:val="24"/>
        </w:rPr>
        <w:t xml:space="preserve">projektu), ustawie z dnia 6 września 2001 r. – Prawo farmaceutyczne (art. </w:t>
      </w:r>
      <w:r w:rsidR="00565CD7" w:rsidRPr="00B81E7D">
        <w:rPr>
          <w:rFonts w:cs="Times New Roman"/>
          <w:b/>
          <w:szCs w:val="24"/>
        </w:rPr>
        <w:t>2</w:t>
      </w:r>
      <w:r w:rsidR="00F059AC">
        <w:rPr>
          <w:rFonts w:cs="Times New Roman"/>
          <w:b/>
          <w:szCs w:val="24"/>
        </w:rPr>
        <w:t>9</w:t>
      </w:r>
      <w:r w:rsidR="00565CD7" w:rsidRPr="00B81E7D">
        <w:rPr>
          <w:rFonts w:cs="Times New Roman"/>
          <w:b/>
          <w:szCs w:val="24"/>
        </w:rPr>
        <w:t xml:space="preserve"> </w:t>
      </w:r>
      <w:r w:rsidR="00535CD3" w:rsidRPr="00B81E7D">
        <w:rPr>
          <w:rFonts w:cs="Times New Roman"/>
          <w:b/>
          <w:szCs w:val="24"/>
        </w:rPr>
        <w:t>pkt 1</w:t>
      </w:r>
      <w:r w:rsidR="00EB20A3" w:rsidRPr="00B81E7D">
        <w:rPr>
          <w:rFonts w:cs="Times New Roman"/>
          <w:b/>
          <w:szCs w:val="24"/>
        </w:rPr>
        <w:t xml:space="preserve"> lit. </w:t>
      </w:r>
      <w:r w:rsidR="00535CD3" w:rsidRPr="00B81E7D">
        <w:rPr>
          <w:rFonts w:cs="Times New Roman"/>
          <w:b/>
          <w:szCs w:val="24"/>
        </w:rPr>
        <w:t xml:space="preserve">a i </w:t>
      </w:r>
      <w:r w:rsidR="00EB20A3" w:rsidRPr="00B81E7D">
        <w:rPr>
          <w:rFonts w:cs="Times New Roman"/>
          <w:b/>
          <w:szCs w:val="24"/>
        </w:rPr>
        <w:t xml:space="preserve">pkt </w:t>
      </w:r>
      <w:r w:rsidR="00535CD3" w:rsidRPr="00B81E7D">
        <w:rPr>
          <w:rFonts w:cs="Times New Roman"/>
          <w:b/>
          <w:szCs w:val="24"/>
        </w:rPr>
        <w:t>2</w:t>
      </w:r>
      <w:r w:rsidR="00A50D07" w:rsidRPr="00B81E7D">
        <w:rPr>
          <w:rFonts w:cs="Times New Roman"/>
          <w:b/>
          <w:szCs w:val="24"/>
        </w:rPr>
        <w:t xml:space="preserve"> projektu), </w:t>
      </w:r>
      <w:r w:rsidR="00197FB5" w:rsidRPr="00B81E7D">
        <w:rPr>
          <w:rFonts w:cs="Times New Roman"/>
          <w:b/>
          <w:szCs w:val="24"/>
        </w:rPr>
        <w:t>ustawie z dnia 3 </w:t>
      </w:r>
      <w:r w:rsidR="00FD13F7" w:rsidRPr="00B81E7D">
        <w:rPr>
          <w:rFonts w:cs="Times New Roman"/>
          <w:b/>
          <w:szCs w:val="24"/>
        </w:rPr>
        <w:t xml:space="preserve">lipca 2002 r. – Prawo lotnicze (art. </w:t>
      </w:r>
      <w:r w:rsidR="00F059AC">
        <w:rPr>
          <w:rFonts w:cs="Times New Roman"/>
          <w:b/>
          <w:szCs w:val="24"/>
        </w:rPr>
        <w:t>30</w:t>
      </w:r>
      <w:r w:rsidR="00F059AC" w:rsidRPr="00B81E7D">
        <w:rPr>
          <w:rFonts w:cs="Times New Roman"/>
          <w:b/>
          <w:szCs w:val="24"/>
        </w:rPr>
        <w:t xml:space="preserve"> </w:t>
      </w:r>
      <w:r w:rsidR="00FD13F7" w:rsidRPr="00B81E7D">
        <w:rPr>
          <w:rFonts w:cs="Times New Roman"/>
          <w:b/>
          <w:szCs w:val="24"/>
        </w:rPr>
        <w:t xml:space="preserve">pkt </w:t>
      </w:r>
      <w:r w:rsidR="00565CD7" w:rsidRPr="00B81E7D">
        <w:rPr>
          <w:rFonts w:cs="Times New Roman"/>
          <w:b/>
          <w:szCs w:val="24"/>
        </w:rPr>
        <w:t xml:space="preserve">7 </w:t>
      </w:r>
      <w:r w:rsidR="00FD13F7" w:rsidRPr="00B81E7D">
        <w:rPr>
          <w:rFonts w:cs="Times New Roman"/>
          <w:b/>
          <w:szCs w:val="24"/>
        </w:rPr>
        <w:t xml:space="preserve">projektu), ustawie z dnia 28 lutego 2003 r. – Prawo upadłościowe (art. </w:t>
      </w:r>
      <w:r w:rsidR="000D2C12" w:rsidRPr="00B81E7D">
        <w:rPr>
          <w:rFonts w:cs="Times New Roman"/>
          <w:b/>
          <w:szCs w:val="24"/>
        </w:rPr>
        <w:t>3</w:t>
      </w:r>
      <w:r w:rsidR="00F059AC">
        <w:rPr>
          <w:rFonts w:cs="Times New Roman"/>
          <w:b/>
          <w:szCs w:val="24"/>
        </w:rPr>
        <w:t>1</w:t>
      </w:r>
      <w:r w:rsidR="00565CD7" w:rsidRPr="00B81E7D">
        <w:rPr>
          <w:rFonts w:cs="Times New Roman"/>
          <w:b/>
          <w:szCs w:val="24"/>
        </w:rPr>
        <w:t xml:space="preserve"> </w:t>
      </w:r>
      <w:r w:rsidR="00FD13F7" w:rsidRPr="00B81E7D">
        <w:rPr>
          <w:rFonts w:cs="Times New Roman"/>
          <w:b/>
          <w:szCs w:val="24"/>
        </w:rPr>
        <w:t xml:space="preserve">projektu), </w:t>
      </w:r>
      <w:r w:rsidR="00C232B9" w:rsidRPr="00B81E7D">
        <w:rPr>
          <w:rFonts w:cs="Times New Roman"/>
          <w:b/>
          <w:szCs w:val="24"/>
        </w:rPr>
        <w:t xml:space="preserve">ustawie z dnia 11 marca 2004 r. o podatku od towarów i usług (art. </w:t>
      </w:r>
      <w:r w:rsidR="00F059AC" w:rsidRPr="00B81E7D">
        <w:rPr>
          <w:rFonts w:cs="Times New Roman"/>
          <w:b/>
          <w:szCs w:val="24"/>
        </w:rPr>
        <w:t>3</w:t>
      </w:r>
      <w:r w:rsidR="00F059AC">
        <w:rPr>
          <w:rFonts w:cs="Times New Roman"/>
          <w:b/>
          <w:szCs w:val="24"/>
        </w:rPr>
        <w:t>3</w:t>
      </w:r>
      <w:r w:rsidR="00F059AC" w:rsidRPr="00B81E7D">
        <w:rPr>
          <w:rFonts w:cs="Times New Roman"/>
          <w:b/>
          <w:szCs w:val="24"/>
        </w:rPr>
        <w:t xml:space="preserve"> </w:t>
      </w:r>
      <w:r w:rsidR="00535CD3" w:rsidRPr="00B81E7D">
        <w:rPr>
          <w:rFonts w:cs="Times New Roman"/>
          <w:b/>
          <w:szCs w:val="24"/>
        </w:rPr>
        <w:t>pkt 1</w:t>
      </w:r>
      <w:r w:rsidR="00C232B9" w:rsidRPr="00B81E7D">
        <w:rPr>
          <w:rFonts w:cs="Times New Roman"/>
          <w:b/>
          <w:szCs w:val="24"/>
        </w:rPr>
        <w:t xml:space="preserve"> projektu), ustawie z dnia 20 kwietnia 2004 r. o pracowniczych programach emerytalnych (art. </w:t>
      </w:r>
      <w:r w:rsidR="00565CD7" w:rsidRPr="00B81E7D">
        <w:rPr>
          <w:rFonts w:cs="Times New Roman"/>
          <w:b/>
          <w:szCs w:val="24"/>
        </w:rPr>
        <w:t>3</w:t>
      </w:r>
      <w:r w:rsidR="00F059AC">
        <w:rPr>
          <w:rFonts w:cs="Times New Roman"/>
          <w:b/>
          <w:szCs w:val="24"/>
        </w:rPr>
        <w:t>4</w:t>
      </w:r>
      <w:r w:rsidR="00565CD7" w:rsidRPr="00B81E7D">
        <w:rPr>
          <w:rFonts w:cs="Times New Roman"/>
          <w:b/>
          <w:szCs w:val="24"/>
        </w:rPr>
        <w:t xml:space="preserve"> </w:t>
      </w:r>
      <w:r w:rsidR="00C232B9" w:rsidRPr="00B81E7D">
        <w:rPr>
          <w:rFonts w:cs="Times New Roman"/>
          <w:b/>
          <w:szCs w:val="24"/>
        </w:rPr>
        <w:t xml:space="preserve">projektu), </w:t>
      </w:r>
      <w:r w:rsidR="002E44B3" w:rsidRPr="00B81E7D">
        <w:rPr>
          <w:rFonts w:cs="Times New Roman"/>
          <w:b/>
          <w:szCs w:val="24"/>
        </w:rPr>
        <w:t>ustaw</w:t>
      </w:r>
      <w:r w:rsidR="00197FB5" w:rsidRPr="00B81E7D">
        <w:rPr>
          <w:rFonts w:cs="Times New Roman"/>
          <w:b/>
          <w:szCs w:val="24"/>
        </w:rPr>
        <w:t>ie z </w:t>
      </w:r>
      <w:r w:rsidR="00EB20A3" w:rsidRPr="00B81E7D">
        <w:rPr>
          <w:rFonts w:cs="Times New Roman"/>
          <w:b/>
          <w:szCs w:val="24"/>
        </w:rPr>
        <w:t>dnia 24 sierpnia 2006 r. o </w:t>
      </w:r>
      <w:r w:rsidR="002E44B3" w:rsidRPr="00B81E7D">
        <w:rPr>
          <w:rFonts w:cs="Times New Roman"/>
          <w:b/>
          <w:szCs w:val="24"/>
        </w:rPr>
        <w:t xml:space="preserve">podatku tonażowym (art. </w:t>
      </w:r>
      <w:r w:rsidR="00565CD7" w:rsidRPr="00B81E7D">
        <w:rPr>
          <w:rFonts w:cs="Times New Roman"/>
          <w:b/>
          <w:szCs w:val="24"/>
        </w:rPr>
        <w:t>3</w:t>
      </w:r>
      <w:r w:rsidR="00F059AC">
        <w:rPr>
          <w:rFonts w:cs="Times New Roman"/>
          <w:b/>
          <w:szCs w:val="24"/>
        </w:rPr>
        <w:t>7</w:t>
      </w:r>
      <w:r w:rsidR="00565CD7" w:rsidRPr="00B81E7D">
        <w:rPr>
          <w:rFonts w:cs="Times New Roman"/>
          <w:b/>
          <w:szCs w:val="24"/>
        </w:rPr>
        <w:t xml:space="preserve"> </w:t>
      </w:r>
      <w:r w:rsidR="002E44B3" w:rsidRPr="00B81E7D">
        <w:rPr>
          <w:rFonts w:cs="Times New Roman"/>
          <w:b/>
          <w:szCs w:val="24"/>
        </w:rPr>
        <w:t>projektu),</w:t>
      </w:r>
      <w:r w:rsidR="00E46EE0" w:rsidRPr="00B81E7D">
        <w:rPr>
          <w:rFonts w:cs="Times New Roman"/>
          <w:b/>
          <w:szCs w:val="24"/>
        </w:rPr>
        <w:t xml:space="preserve"> ust</w:t>
      </w:r>
      <w:r w:rsidR="00EB20A3" w:rsidRPr="00B81E7D">
        <w:rPr>
          <w:rFonts w:cs="Times New Roman"/>
          <w:b/>
          <w:szCs w:val="24"/>
        </w:rPr>
        <w:t>awie z dnia 6 grudnia 2008 r. o </w:t>
      </w:r>
      <w:r w:rsidR="00E46EE0" w:rsidRPr="00B81E7D">
        <w:rPr>
          <w:rFonts w:cs="Times New Roman"/>
          <w:b/>
          <w:szCs w:val="24"/>
        </w:rPr>
        <w:t xml:space="preserve">podatku akcyzowym (art. </w:t>
      </w:r>
      <w:r w:rsidR="000D2C12" w:rsidRPr="00B81E7D">
        <w:rPr>
          <w:rFonts w:cs="Times New Roman"/>
          <w:b/>
          <w:szCs w:val="24"/>
        </w:rPr>
        <w:t>4</w:t>
      </w:r>
      <w:r w:rsidR="00F059AC">
        <w:rPr>
          <w:rFonts w:cs="Times New Roman"/>
          <w:b/>
          <w:szCs w:val="24"/>
        </w:rPr>
        <w:t>4</w:t>
      </w:r>
      <w:r w:rsidR="00565CD7" w:rsidRPr="00B81E7D">
        <w:rPr>
          <w:rFonts w:cs="Times New Roman"/>
          <w:b/>
          <w:szCs w:val="24"/>
        </w:rPr>
        <w:t xml:space="preserve"> </w:t>
      </w:r>
      <w:r w:rsidR="00E46EE0" w:rsidRPr="00B81E7D">
        <w:rPr>
          <w:rFonts w:cs="Times New Roman"/>
          <w:b/>
          <w:szCs w:val="24"/>
        </w:rPr>
        <w:t>projektu), ustaw</w:t>
      </w:r>
      <w:r w:rsidR="00197FB5" w:rsidRPr="00B81E7D">
        <w:rPr>
          <w:rFonts w:cs="Times New Roman"/>
          <w:b/>
          <w:szCs w:val="24"/>
        </w:rPr>
        <w:t>ie z dnia 5 </w:t>
      </w:r>
      <w:r w:rsidR="00EB20A3" w:rsidRPr="00B81E7D">
        <w:rPr>
          <w:rFonts w:cs="Times New Roman"/>
          <w:b/>
          <w:szCs w:val="24"/>
        </w:rPr>
        <w:t>listopada 2009 r. o </w:t>
      </w:r>
      <w:r w:rsidR="00E46EE0" w:rsidRPr="00B81E7D">
        <w:rPr>
          <w:rFonts w:cs="Times New Roman"/>
          <w:b/>
          <w:szCs w:val="24"/>
        </w:rPr>
        <w:t>spółdzielczych kasach oszczędnościowo</w:t>
      </w:r>
      <w:r w:rsidR="00E46EE0" w:rsidRPr="00B81E7D">
        <w:rPr>
          <w:rFonts w:cs="Times New Roman"/>
          <w:b/>
          <w:szCs w:val="24"/>
        </w:rPr>
        <w:noBreakHyphen/>
        <w:t xml:space="preserve">kredytowych (art. </w:t>
      </w:r>
      <w:r w:rsidR="00565CD7" w:rsidRPr="00B81E7D">
        <w:rPr>
          <w:rFonts w:cs="Times New Roman"/>
          <w:b/>
          <w:szCs w:val="24"/>
        </w:rPr>
        <w:t>4</w:t>
      </w:r>
      <w:r w:rsidR="00F059AC">
        <w:rPr>
          <w:rFonts w:cs="Times New Roman"/>
          <w:b/>
          <w:szCs w:val="24"/>
        </w:rPr>
        <w:t>7</w:t>
      </w:r>
      <w:r w:rsidR="00565CD7" w:rsidRPr="00B81E7D">
        <w:rPr>
          <w:rFonts w:cs="Times New Roman"/>
          <w:b/>
          <w:szCs w:val="24"/>
        </w:rPr>
        <w:t xml:space="preserve"> </w:t>
      </w:r>
      <w:r w:rsidR="00E46EE0" w:rsidRPr="00B81E7D">
        <w:rPr>
          <w:rFonts w:cs="Times New Roman"/>
          <w:b/>
          <w:szCs w:val="24"/>
        </w:rPr>
        <w:t xml:space="preserve">projektu), ustawie z dnia 19 listopada 2009 r. o grach hazardowych </w:t>
      </w:r>
      <w:r w:rsidR="00535CD3" w:rsidRPr="00B81E7D">
        <w:rPr>
          <w:rFonts w:cs="Times New Roman"/>
          <w:b/>
          <w:szCs w:val="24"/>
        </w:rPr>
        <w:t xml:space="preserve">(art. </w:t>
      </w:r>
      <w:r w:rsidR="00565CD7" w:rsidRPr="00B81E7D">
        <w:rPr>
          <w:rFonts w:cs="Times New Roman"/>
          <w:b/>
          <w:szCs w:val="24"/>
        </w:rPr>
        <w:t>4</w:t>
      </w:r>
      <w:r w:rsidR="00F059AC">
        <w:rPr>
          <w:rFonts w:cs="Times New Roman"/>
          <w:b/>
          <w:szCs w:val="24"/>
        </w:rPr>
        <w:t>8</w:t>
      </w:r>
      <w:r w:rsidR="00565CD7" w:rsidRPr="00B81E7D">
        <w:rPr>
          <w:rFonts w:cs="Times New Roman"/>
          <w:b/>
          <w:szCs w:val="24"/>
        </w:rPr>
        <w:t xml:space="preserve"> </w:t>
      </w:r>
      <w:r w:rsidR="00E46EE0" w:rsidRPr="00B81E7D">
        <w:rPr>
          <w:rFonts w:cs="Times New Roman"/>
          <w:b/>
          <w:szCs w:val="24"/>
        </w:rPr>
        <w:t xml:space="preserve">projektu), </w:t>
      </w:r>
      <w:r w:rsidR="00567BC3" w:rsidRPr="00B81E7D">
        <w:rPr>
          <w:rFonts w:cs="Times New Roman"/>
          <w:b/>
          <w:szCs w:val="24"/>
        </w:rPr>
        <w:t>ustawie z</w:t>
      </w:r>
      <w:r w:rsidR="00EB20A3" w:rsidRPr="00B81E7D">
        <w:rPr>
          <w:rFonts w:cs="Times New Roman"/>
          <w:b/>
          <w:szCs w:val="24"/>
        </w:rPr>
        <w:t> </w:t>
      </w:r>
      <w:r w:rsidR="00567BC3" w:rsidRPr="00B81E7D">
        <w:rPr>
          <w:rFonts w:cs="Times New Roman"/>
          <w:b/>
          <w:szCs w:val="24"/>
        </w:rPr>
        <w:t xml:space="preserve">dnia 6 lipca 2016 r. o aktywizacji przemysłu okrętowego i przemysłów komplementarnych (art. </w:t>
      </w:r>
      <w:r w:rsidR="00565CD7" w:rsidRPr="00B81E7D">
        <w:rPr>
          <w:rFonts w:cs="Times New Roman"/>
          <w:b/>
          <w:szCs w:val="24"/>
        </w:rPr>
        <w:t>5</w:t>
      </w:r>
      <w:r w:rsidR="00F059AC">
        <w:rPr>
          <w:rFonts w:cs="Times New Roman"/>
          <w:b/>
          <w:szCs w:val="24"/>
        </w:rPr>
        <w:t>8</w:t>
      </w:r>
      <w:r w:rsidR="00565CD7" w:rsidRPr="00B81E7D">
        <w:rPr>
          <w:rFonts w:cs="Times New Roman"/>
          <w:b/>
          <w:szCs w:val="24"/>
        </w:rPr>
        <w:t xml:space="preserve"> </w:t>
      </w:r>
      <w:r w:rsidR="00567BC3" w:rsidRPr="00B81E7D">
        <w:rPr>
          <w:rFonts w:cs="Times New Roman"/>
          <w:b/>
          <w:szCs w:val="24"/>
        </w:rPr>
        <w:t xml:space="preserve">projektu), </w:t>
      </w:r>
      <w:r w:rsidR="00587142" w:rsidRPr="00B81E7D">
        <w:rPr>
          <w:rFonts w:cs="Times New Roman"/>
          <w:b/>
          <w:szCs w:val="24"/>
        </w:rPr>
        <w:t xml:space="preserve">ustawie z dnia 6 marca 2018 r. – Prawo przedsiębiorców (art. </w:t>
      </w:r>
      <w:r w:rsidR="00F059AC">
        <w:rPr>
          <w:rFonts w:cs="Times New Roman"/>
          <w:b/>
          <w:szCs w:val="24"/>
        </w:rPr>
        <w:t>60</w:t>
      </w:r>
      <w:r w:rsidR="00F059AC" w:rsidRPr="00B81E7D">
        <w:rPr>
          <w:rFonts w:cs="Times New Roman"/>
          <w:b/>
          <w:szCs w:val="24"/>
        </w:rPr>
        <w:t xml:space="preserve"> </w:t>
      </w:r>
      <w:r w:rsidR="008D541D" w:rsidRPr="00B81E7D">
        <w:rPr>
          <w:rFonts w:cs="Times New Roman"/>
          <w:b/>
          <w:szCs w:val="24"/>
        </w:rPr>
        <w:t>pkt 2</w:t>
      </w:r>
      <w:r w:rsidR="00587142" w:rsidRPr="00B81E7D">
        <w:rPr>
          <w:rFonts w:cs="Times New Roman"/>
          <w:b/>
          <w:szCs w:val="24"/>
        </w:rPr>
        <w:t xml:space="preserve"> projektu), ustawie z dnia 6 marca 2</w:t>
      </w:r>
      <w:r w:rsidR="00B81E7D">
        <w:rPr>
          <w:rFonts w:cs="Times New Roman"/>
          <w:b/>
          <w:szCs w:val="24"/>
        </w:rPr>
        <w:t xml:space="preserve">018 r. o </w:t>
      </w:r>
      <w:r w:rsidR="00587142" w:rsidRPr="00B81E7D">
        <w:rPr>
          <w:rFonts w:cs="Times New Roman"/>
          <w:b/>
          <w:szCs w:val="24"/>
        </w:rPr>
        <w:t>Cent</w:t>
      </w:r>
      <w:r w:rsidR="00535CD3" w:rsidRPr="00B81E7D">
        <w:rPr>
          <w:rFonts w:cs="Times New Roman"/>
          <w:b/>
          <w:szCs w:val="24"/>
        </w:rPr>
        <w:t>ralnej Ewidencji i </w:t>
      </w:r>
      <w:r w:rsidR="00587142" w:rsidRPr="00B81E7D">
        <w:rPr>
          <w:rFonts w:cs="Times New Roman"/>
          <w:b/>
          <w:szCs w:val="24"/>
        </w:rPr>
        <w:t xml:space="preserve">Informacji o Działalności Gospodarczej i Punkcie Informacji dla Przedsiębiorcy (art. </w:t>
      </w:r>
      <w:r w:rsidR="00F059AC" w:rsidRPr="00B81E7D">
        <w:rPr>
          <w:rFonts w:cs="Times New Roman"/>
          <w:b/>
          <w:szCs w:val="24"/>
        </w:rPr>
        <w:t>6</w:t>
      </w:r>
      <w:r w:rsidR="00F059AC">
        <w:rPr>
          <w:rFonts w:cs="Times New Roman"/>
          <w:b/>
          <w:szCs w:val="24"/>
        </w:rPr>
        <w:t>1</w:t>
      </w:r>
      <w:r w:rsidR="00F059AC" w:rsidRPr="00B81E7D">
        <w:rPr>
          <w:rFonts w:cs="Times New Roman"/>
          <w:b/>
          <w:szCs w:val="24"/>
        </w:rPr>
        <w:t xml:space="preserve"> </w:t>
      </w:r>
      <w:r w:rsidR="00535CD3" w:rsidRPr="00B81E7D">
        <w:rPr>
          <w:rFonts w:cs="Times New Roman"/>
          <w:b/>
          <w:szCs w:val="24"/>
        </w:rPr>
        <w:t>pkt 1</w:t>
      </w:r>
      <w:r w:rsidR="00BE23C0">
        <w:rPr>
          <w:rFonts w:cs="Times New Roman"/>
          <w:b/>
          <w:szCs w:val="24"/>
        </w:rPr>
        <w:t xml:space="preserve"> i 4 </w:t>
      </w:r>
      <w:r w:rsidR="00587142" w:rsidRPr="00B81E7D">
        <w:rPr>
          <w:rFonts w:cs="Times New Roman"/>
          <w:b/>
          <w:szCs w:val="24"/>
        </w:rPr>
        <w:t xml:space="preserve"> projektu)</w:t>
      </w:r>
      <w:r w:rsidR="00831591" w:rsidRPr="00B81E7D">
        <w:rPr>
          <w:rFonts w:cs="Times New Roman"/>
          <w:b/>
          <w:szCs w:val="24"/>
        </w:rPr>
        <w:t>.</w:t>
      </w:r>
    </w:p>
    <w:p w:rsidR="00344D2A" w:rsidRDefault="003A0D6B" w:rsidP="00B421C2">
      <w:pPr>
        <w:spacing w:after="120" w:line="360" w:lineRule="auto"/>
        <w:jc w:val="both"/>
        <w:rPr>
          <w:rFonts w:cs="Times New Roman"/>
          <w:szCs w:val="24"/>
        </w:rPr>
      </w:pPr>
      <w:r w:rsidRPr="00B81E7D">
        <w:rPr>
          <w:rFonts w:cs="Times New Roman"/>
          <w:szCs w:val="24"/>
        </w:rPr>
        <w:t>Proponowan</w:t>
      </w:r>
      <w:r w:rsidR="00B92987" w:rsidRPr="00B81E7D">
        <w:rPr>
          <w:rFonts w:cs="Times New Roman"/>
          <w:szCs w:val="24"/>
        </w:rPr>
        <w:t>e</w:t>
      </w:r>
      <w:r w:rsidRPr="00B81E7D">
        <w:rPr>
          <w:rFonts w:cs="Times New Roman"/>
          <w:szCs w:val="24"/>
        </w:rPr>
        <w:t xml:space="preserve"> zmian</w:t>
      </w:r>
      <w:r w:rsidR="00B92987" w:rsidRPr="00B81E7D">
        <w:rPr>
          <w:rFonts w:cs="Times New Roman"/>
          <w:szCs w:val="24"/>
        </w:rPr>
        <w:t>y</w:t>
      </w:r>
      <w:r w:rsidRPr="00B81E7D">
        <w:rPr>
          <w:rFonts w:cs="Times New Roman"/>
          <w:szCs w:val="24"/>
        </w:rPr>
        <w:t xml:space="preserve"> ma</w:t>
      </w:r>
      <w:r w:rsidR="00B92987" w:rsidRPr="00B81E7D">
        <w:rPr>
          <w:rFonts w:cs="Times New Roman"/>
          <w:szCs w:val="24"/>
        </w:rPr>
        <w:t>ją</w:t>
      </w:r>
      <w:r w:rsidRPr="00B81E7D">
        <w:rPr>
          <w:rFonts w:cs="Times New Roman"/>
          <w:szCs w:val="24"/>
        </w:rPr>
        <w:t xml:space="preserve"> na celu dostosowanie przepisów ustaw w związku ze zmianą tytułu ustawy wprowadzającej zarząd sukcesyjny z „o zarządzie sukcesyjnym przedsiębiorstwem osoby fizycznej” na „o zarządzie sukcesyjnym przedsiębiorstwem osoby fizycznej i innych ułatwieniach związanych z sukcesją przedsiębiorstw”.</w:t>
      </w:r>
    </w:p>
    <w:p w:rsidR="000E36E1" w:rsidRDefault="000E36E1" w:rsidP="000E36E1">
      <w:pPr>
        <w:spacing w:after="120" w:line="360" w:lineRule="auto"/>
        <w:jc w:val="both"/>
        <w:rPr>
          <w:rFonts w:cs="Times New Roman"/>
          <w:szCs w:val="24"/>
        </w:rPr>
      </w:pPr>
      <w:r w:rsidRPr="000E36E1">
        <w:rPr>
          <w:rFonts w:cs="Times New Roman"/>
          <w:szCs w:val="24"/>
        </w:rPr>
        <w:t>W zakresie podatku dochodowego od osób prawnych ro</w:t>
      </w:r>
      <w:r>
        <w:rPr>
          <w:rFonts w:cs="Times New Roman"/>
          <w:szCs w:val="24"/>
        </w:rPr>
        <w:t>zszerzono katalog przychodów do</w:t>
      </w:r>
      <w:r w:rsidR="00110591">
        <w:rPr>
          <w:rFonts w:cs="Times New Roman"/>
          <w:szCs w:val="24"/>
        </w:rPr>
        <w:t> </w:t>
      </w:r>
      <w:r w:rsidRPr="000E36E1">
        <w:rPr>
          <w:rFonts w:cs="Times New Roman"/>
          <w:szCs w:val="24"/>
        </w:rPr>
        <w:t>których nie stosuje się przepisów ustawy. Nowy punkt doty</w:t>
      </w:r>
      <w:r>
        <w:rPr>
          <w:rFonts w:cs="Times New Roman"/>
          <w:szCs w:val="24"/>
        </w:rPr>
        <w:t xml:space="preserve">czy przychodów z tytułu udziału </w:t>
      </w:r>
      <w:r w:rsidRPr="000E36E1">
        <w:rPr>
          <w:rFonts w:cs="Times New Roman"/>
          <w:szCs w:val="24"/>
        </w:rPr>
        <w:t>w przedsiębiorstwie, w skład którego wchodzi udział z</w:t>
      </w:r>
      <w:r>
        <w:rPr>
          <w:rFonts w:cs="Times New Roman"/>
          <w:szCs w:val="24"/>
        </w:rPr>
        <w:t xml:space="preserve">marłego małżonka przedsiębiorcy </w:t>
      </w:r>
      <w:r w:rsidRPr="000E36E1">
        <w:rPr>
          <w:rFonts w:cs="Times New Roman"/>
          <w:szCs w:val="24"/>
        </w:rPr>
        <w:t xml:space="preserve">zarządzany przez tymczasowego przedstawiciela </w:t>
      </w:r>
      <w:r w:rsidR="00BA5158">
        <w:rPr>
          <w:rFonts w:cs="Times New Roman"/>
          <w:szCs w:val="24"/>
        </w:rPr>
        <w:t xml:space="preserve">na podstawie ustawy o zarządzie </w:t>
      </w:r>
      <w:r w:rsidRPr="000E36E1">
        <w:rPr>
          <w:rFonts w:cs="Times New Roman"/>
          <w:szCs w:val="24"/>
        </w:rPr>
        <w:t>sukcesyjnym przedsiębiorstwem osoby fizycznej i</w:t>
      </w:r>
      <w:r>
        <w:rPr>
          <w:rFonts w:cs="Times New Roman"/>
          <w:szCs w:val="24"/>
        </w:rPr>
        <w:t xml:space="preserve"> innych ułatwieniach związanych </w:t>
      </w:r>
      <w:r w:rsidRPr="000E36E1">
        <w:rPr>
          <w:rFonts w:cs="Times New Roman"/>
          <w:szCs w:val="24"/>
        </w:rPr>
        <w:t>z sukcesją prz</w:t>
      </w:r>
      <w:r w:rsidR="00BA5158">
        <w:rPr>
          <w:rFonts w:cs="Times New Roman"/>
          <w:szCs w:val="24"/>
        </w:rPr>
        <w:t>edsiębiorstw.</w:t>
      </w:r>
    </w:p>
    <w:p w:rsidR="00CE6253" w:rsidRDefault="00BA5158" w:rsidP="00B421C2">
      <w:pPr>
        <w:spacing w:after="120" w:line="360" w:lineRule="auto"/>
        <w:jc w:val="both"/>
        <w:rPr>
          <w:rFonts w:cs="Times New Roman"/>
          <w:szCs w:val="24"/>
        </w:rPr>
      </w:pPr>
      <w:r>
        <w:rPr>
          <w:rFonts w:cs="Times New Roman"/>
          <w:szCs w:val="24"/>
        </w:rPr>
        <w:t>Ponadto, w</w:t>
      </w:r>
      <w:r w:rsidR="00780908" w:rsidRPr="00780908">
        <w:rPr>
          <w:rFonts w:cs="Times New Roman"/>
          <w:szCs w:val="24"/>
        </w:rPr>
        <w:t xml:space="preserve"> przypa</w:t>
      </w:r>
      <w:r w:rsidR="00780908">
        <w:rPr>
          <w:rFonts w:cs="Times New Roman"/>
          <w:szCs w:val="24"/>
        </w:rPr>
        <w:t xml:space="preserve">dku ustawy o grach hazardowych, </w:t>
      </w:r>
      <w:r>
        <w:rPr>
          <w:rFonts w:cs="Times New Roman"/>
          <w:szCs w:val="24"/>
        </w:rPr>
        <w:t>wprowadzenie wyjątku od </w:t>
      </w:r>
      <w:r w:rsidR="00780908" w:rsidRPr="00780908">
        <w:rPr>
          <w:rFonts w:cs="Times New Roman"/>
          <w:szCs w:val="24"/>
        </w:rPr>
        <w:t>przedmiotowej instytucji (okre</w:t>
      </w:r>
      <w:r w:rsidR="00780908">
        <w:rPr>
          <w:rFonts w:cs="Times New Roman"/>
          <w:szCs w:val="24"/>
        </w:rPr>
        <w:t xml:space="preserve">ślonej w art. 21a ustawy z dnia </w:t>
      </w:r>
      <w:r w:rsidR="00780908" w:rsidRPr="00780908">
        <w:rPr>
          <w:rFonts w:cs="Times New Roman"/>
          <w:szCs w:val="24"/>
        </w:rPr>
        <w:t xml:space="preserve">6 marca 2018 r. </w:t>
      </w:r>
      <w:r w:rsidR="00F64E47">
        <w:rPr>
          <w:rFonts w:cs="Times New Roman"/>
          <w:szCs w:val="24"/>
        </w:rPr>
        <w:t xml:space="preserve">- </w:t>
      </w:r>
      <w:r w:rsidR="00780908" w:rsidRPr="00780908">
        <w:rPr>
          <w:rFonts w:cs="Times New Roman"/>
          <w:szCs w:val="24"/>
        </w:rPr>
        <w:t>Prawo przedsiębiorców)</w:t>
      </w:r>
      <w:r w:rsidR="00780908">
        <w:rPr>
          <w:rFonts w:cs="Times New Roman"/>
          <w:szCs w:val="24"/>
        </w:rPr>
        <w:t xml:space="preserve"> </w:t>
      </w:r>
      <w:r w:rsidR="00F64E47">
        <w:rPr>
          <w:rFonts w:cs="Times New Roman"/>
          <w:szCs w:val="24"/>
        </w:rPr>
        <w:t xml:space="preserve">jest </w:t>
      </w:r>
      <w:r w:rsidR="00CE6253" w:rsidRPr="00CE6253">
        <w:rPr>
          <w:rFonts w:cs="Times New Roman"/>
          <w:szCs w:val="24"/>
        </w:rPr>
        <w:t>spowodowane  szczególnym rodzajem działalności jakim są gry hazardowe. Stwierdzić należy, że gry hazardowe, w szczególności prowadzone wbrew przepisom ustawy o grach hazardowych (która reguluje również kwestie ochrony gracza) stwarzają zagrożenie dla</w:t>
      </w:r>
      <w:r w:rsidR="001F1B42">
        <w:rPr>
          <w:rFonts w:cs="Times New Roman"/>
          <w:szCs w:val="24"/>
        </w:rPr>
        <w:t> </w:t>
      </w:r>
      <w:r w:rsidR="00CE6253" w:rsidRPr="00CE6253">
        <w:rPr>
          <w:rFonts w:cs="Times New Roman"/>
          <w:szCs w:val="24"/>
        </w:rPr>
        <w:t xml:space="preserve">społeczeństwa w postaci zwiększonego ryzyka uzależnień. </w:t>
      </w:r>
      <w:r>
        <w:rPr>
          <w:rFonts w:cs="Times New Roman"/>
          <w:szCs w:val="24"/>
        </w:rPr>
        <w:lastRenderedPageBreak/>
        <w:t>W </w:t>
      </w:r>
      <w:r w:rsidR="00CE6253" w:rsidRPr="00CE6253">
        <w:rPr>
          <w:rFonts w:cs="Times New Roman"/>
          <w:szCs w:val="24"/>
        </w:rPr>
        <w:t>zakresie gier hazardowych, w tym w szczególności nie</w:t>
      </w:r>
      <w:r>
        <w:rPr>
          <w:rFonts w:cs="Times New Roman"/>
          <w:szCs w:val="24"/>
        </w:rPr>
        <w:t>legalnego urządzania gier na </w:t>
      </w:r>
      <w:r w:rsidR="00CE6253" w:rsidRPr="00CE6253">
        <w:rPr>
          <w:rFonts w:cs="Times New Roman"/>
          <w:szCs w:val="24"/>
        </w:rPr>
        <w:t>automatach, projektowane rozwiązanie mogłoby prowadzić do nadużyć, stwarzać możliwości do prania pieniędzy i powodować zwiększenie rozmiaru szarej strefy w tym sektorze.</w:t>
      </w:r>
    </w:p>
    <w:p w:rsidR="00B81E7D" w:rsidRPr="00B81E7D" w:rsidRDefault="00B81E7D" w:rsidP="00B421C2">
      <w:pPr>
        <w:spacing w:after="120" w:line="360" w:lineRule="auto"/>
        <w:jc w:val="both"/>
        <w:rPr>
          <w:rFonts w:cs="Times New Roman"/>
          <w:szCs w:val="24"/>
        </w:rPr>
      </w:pPr>
    </w:p>
    <w:p w:rsidR="00720529" w:rsidRPr="00B81E7D" w:rsidRDefault="00720529" w:rsidP="00B421C2">
      <w:pPr>
        <w:numPr>
          <w:ilvl w:val="0"/>
          <w:numId w:val="2"/>
        </w:numPr>
        <w:spacing w:after="120" w:line="360" w:lineRule="auto"/>
        <w:jc w:val="both"/>
        <w:rPr>
          <w:rFonts w:cs="Times New Roman"/>
          <w:b/>
          <w:szCs w:val="24"/>
        </w:rPr>
      </w:pPr>
      <w:r w:rsidRPr="00B81E7D">
        <w:rPr>
          <w:rFonts w:cs="Times New Roman"/>
          <w:b/>
          <w:szCs w:val="24"/>
        </w:rPr>
        <w:t>Zmiany w ustawie z dnia 21 marca 1985</w:t>
      </w:r>
      <w:r w:rsidR="00410719" w:rsidRPr="00B81E7D">
        <w:rPr>
          <w:rFonts w:cs="Times New Roman"/>
          <w:b/>
          <w:szCs w:val="24"/>
        </w:rPr>
        <w:t xml:space="preserve"> r. o drogach publicznych (art.</w:t>
      </w:r>
      <w:r w:rsidR="0011591F">
        <w:rPr>
          <w:rFonts w:cs="Times New Roman"/>
          <w:b/>
          <w:szCs w:val="24"/>
        </w:rPr>
        <w:t> </w:t>
      </w:r>
      <w:r w:rsidR="003841A3" w:rsidRPr="00B81E7D">
        <w:rPr>
          <w:rFonts w:cs="Times New Roman"/>
          <w:b/>
          <w:szCs w:val="24"/>
        </w:rPr>
        <w:t>5</w:t>
      </w:r>
      <w:r w:rsidR="0011591F">
        <w:rPr>
          <w:rFonts w:cs="Times New Roman"/>
          <w:b/>
          <w:szCs w:val="24"/>
        </w:rPr>
        <w:t> </w:t>
      </w:r>
      <w:r w:rsidRPr="00B81E7D">
        <w:rPr>
          <w:rFonts w:cs="Times New Roman"/>
          <w:b/>
          <w:szCs w:val="24"/>
        </w:rPr>
        <w:t xml:space="preserve">projektu), w ustawie z dnia 21 marca 1991 r. o obszarach morskich Rzeczpospolitej Polskiej i administracji morskiej (art. </w:t>
      </w:r>
      <w:r w:rsidR="00DA3D74" w:rsidRPr="00B81E7D">
        <w:rPr>
          <w:rFonts w:cs="Times New Roman"/>
          <w:b/>
          <w:szCs w:val="24"/>
        </w:rPr>
        <w:t xml:space="preserve">8 </w:t>
      </w:r>
      <w:r w:rsidRPr="00B81E7D">
        <w:rPr>
          <w:rFonts w:cs="Times New Roman"/>
          <w:b/>
          <w:szCs w:val="24"/>
        </w:rPr>
        <w:t xml:space="preserve">projektu), </w:t>
      </w:r>
      <w:r w:rsidR="003972A8" w:rsidRPr="00B81E7D">
        <w:rPr>
          <w:rFonts w:cs="Times New Roman"/>
          <w:b/>
          <w:szCs w:val="24"/>
        </w:rPr>
        <w:t xml:space="preserve"> w ustawie z </w:t>
      </w:r>
      <w:r w:rsidR="00452180" w:rsidRPr="00B81E7D">
        <w:rPr>
          <w:rFonts w:cs="Times New Roman"/>
          <w:b/>
          <w:szCs w:val="24"/>
        </w:rPr>
        <w:t xml:space="preserve">dnia 18 stycznia 2001 r. o wyścigach konnych (art. </w:t>
      </w:r>
      <w:r w:rsidR="00DA3D74" w:rsidRPr="00B81E7D">
        <w:rPr>
          <w:rFonts w:cs="Times New Roman"/>
          <w:b/>
          <w:szCs w:val="24"/>
        </w:rPr>
        <w:t>2</w:t>
      </w:r>
      <w:r w:rsidR="00F059AC">
        <w:rPr>
          <w:rFonts w:cs="Times New Roman"/>
          <w:b/>
          <w:szCs w:val="24"/>
        </w:rPr>
        <w:t>4</w:t>
      </w:r>
      <w:r w:rsidR="00DA3D74" w:rsidRPr="00B81E7D">
        <w:rPr>
          <w:rFonts w:cs="Times New Roman"/>
          <w:b/>
          <w:szCs w:val="24"/>
        </w:rPr>
        <w:t xml:space="preserve"> </w:t>
      </w:r>
      <w:r w:rsidR="00452180" w:rsidRPr="00B81E7D">
        <w:rPr>
          <w:rFonts w:cs="Times New Roman"/>
          <w:b/>
          <w:szCs w:val="24"/>
        </w:rPr>
        <w:t xml:space="preserve">projektu), </w:t>
      </w:r>
      <w:r w:rsidRPr="00B81E7D">
        <w:rPr>
          <w:rFonts w:cs="Times New Roman"/>
          <w:b/>
          <w:szCs w:val="24"/>
        </w:rPr>
        <w:t xml:space="preserve">ustawie </w:t>
      </w:r>
      <w:r w:rsidR="00410719" w:rsidRPr="00B81E7D">
        <w:rPr>
          <w:rFonts w:cs="Times New Roman"/>
          <w:b/>
          <w:szCs w:val="24"/>
        </w:rPr>
        <w:t>z dnia 27 </w:t>
      </w:r>
      <w:r w:rsidRPr="00B81E7D">
        <w:rPr>
          <w:rFonts w:cs="Times New Roman"/>
          <w:b/>
          <w:szCs w:val="24"/>
        </w:rPr>
        <w:t xml:space="preserve">lipca 2001 r. Prawo o ustroju sądów powszechnych (art. </w:t>
      </w:r>
      <w:r w:rsidR="00DA3D74" w:rsidRPr="00B81E7D">
        <w:rPr>
          <w:rFonts w:cs="Times New Roman"/>
          <w:b/>
          <w:szCs w:val="24"/>
        </w:rPr>
        <w:t>2</w:t>
      </w:r>
      <w:r w:rsidR="00F059AC">
        <w:rPr>
          <w:rFonts w:cs="Times New Roman"/>
          <w:b/>
          <w:szCs w:val="24"/>
        </w:rPr>
        <w:t>7</w:t>
      </w:r>
      <w:r w:rsidR="00DA3D74" w:rsidRPr="00B81E7D">
        <w:rPr>
          <w:rFonts w:cs="Times New Roman"/>
          <w:b/>
          <w:szCs w:val="24"/>
        </w:rPr>
        <w:t xml:space="preserve"> </w:t>
      </w:r>
      <w:r w:rsidRPr="00B81E7D">
        <w:rPr>
          <w:rFonts w:cs="Times New Roman"/>
          <w:b/>
          <w:szCs w:val="24"/>
        </w:rPr>
        <w:t>projektu)</w:t>
      </w:r>
      <w:r w:rsidR="003A7905" w:rsidRPr="00B81E7D">
        <w:rPr>
          <w:rFonts w:cs="Times New Roman"/>
          <w:b/>
          <w:szCs w:val="24"/>
        </w:rPr>
        <w:t xml:space="preserve">, </w:t>
      </w:r>
      <w:r w:rsidR="00410719" w:rsidRPr="00B81E7D">
        <w:rPr>
          <w:rFonts w:cs="Times New Roman"/>
          <w:b/>
          <w:szCs w:val="24"/>
        </w:rPr>
        <w:t>w </w:t>
      </w:r>
      <w:r w:rsidR="00AB5DCE" w:rsidRPr="00B81E7D">
        <w:rPr>
          <w:rFonts w:cs="Times New Roman"/>
          <w:b/>
          <w:szCs w:val="24"/>
        </w:rPr>
        <w:t>ustawie z </w:t>
      </w:r>
      <w:r w:rsidRPr="00B81E7D">
        <w:rPr>
          <w:rFonts w:cs="Times New Roman"/>
          <w:b/>
          <w:szCs w:val="24"/>
        </w:rPr>
        <w:t xml:space="preserve">dnia 25 czerwca 2010 r. o sporcie (art. </w:t>
      </w:r>
      <w:r w:rsidR="00F059AC" w:rsidRPr="00B81E7D">
        <w:rPr>
          <w:rFonts w:cs="Times New Roman"/>
          <w:b/>
          <w:szCs w:val="24"/>
        </w:rPr>
        <w:t>4</w:t>
      </w:r>
      <w:r w:rsidR="00F059AC">
        <w:rPr>
          <w:rFonts w:cs="Times New Roman"/>
          <w:b/>
          <w:szCs w:val="24"/>
        </w:rPr>
        <w:t>9</w:t>
      </w:r>
      <w:r w:rsidR="00F059AC" w:rsidRPr="00B81E7D">
        <w:rPr>
          <w:rFonts w:cs="Times New Roman"/>
          <w:b/>
          <w:szCs w:val="24"/>
        </w:rPr>
        <w:t xml:space="preserve"> </w:t>
      </w:r>
      <w:r w:rsidRPr="00B81E7D">
        <w:rPr>
          <w:rFonts w:cs="Times New Roman"/>
          <w:b/>
          <w:szCs w:val="24"/>
        </w:rPr>
        <w:t>projektu),</w:t>
      </w:r>
      <w:r w:rsidR="00BE24BB" w:rsidRPr="00B81E7D">
        <w:rPr>
          <w:rFonts w:cs="Times New Roman"/>
          <w:b/>
          <w:szCs w:val="24"/>
        </w:rPr>
        <w:t xml:space="preserve"> </w:t>
      </w:r>
      <w:r w:rsidR="0011591F">
        <w:rPr>
          <w:rFonts w:cs="Times New Roman"/>
          <w:b/>
          <w:szCs w:val="24"/>
        </w:rPr>
        <w:t>ustawie z dnia 20 </w:t>
      </w:r>
      <w:r w:rsidR="00452180" w:rsidRPr="00B81E7D">
        <w:rPr>
          <w:rFonts w:cs="Times New Roman"/>
          <w:b/>
          <w:szCs w:val="24"/>
        </w:rPr>
        <w:t xml:space="preserve">lipca 2017 r. – Prawo wodne (art. </w:t>
      </w:r>
      <w:r w:rsidR="00DA3D74" w:rsidRPr="00B81E7D">
        <w:rPr>
          <w:rFonts w:cs="Times New Roman"/>
          <w:b/>
          <w:szCs w:val="24"/>
        </w:rPr>
        <w:t>5</w:t>
      </w:r>
      <w:r w:rsidR="00F059AC">
        <w:rPr>
          <w:rFonts w:cs="Times New Roman"/>
          <w:b/>
          <w:szCs w:val="24"/>
        </w:rPr>
        <w:t>9</w:t>
      </w:r>
      <w:r w:rsidR="00DA3D74" w:rsidRPr="00B81E7D">
        <w:rPr>
          <w:rFonts w:cs="Times New Roman"/>
          <w:b/>
          <w:szCs w:val="24"/>
        </w:rPr>
        <w:t xml:space="preserve"> </w:t>
      </w:r>
      <w:r w:rsidR="00452180" w:rsidRPr="00B81E7D">
        <w:rPr>
          <w:rFonts w:cs="Times New Roman"/>
          <w:b/>
          <w:szCs w:val="24"/>
        </w:rPr>
        <w:t>projektu)</w:t>
      </w:r>
      <w:r w:rsidRPr="00B81E7D">
        <w:rPr>
          <w:rFonts w:cs="Times New Roman"/>
          <w:b/>
          <w:szCs w:val="24"/>
        </w:rPr>
        <w:t>.</w:t>
      </w:r>
    </w:p>
    <w:p w:rsidR="00720529" w:rsidRPr="00B81E7D" w:rsidRDefault="00720529" w:rsidP="00B421C2">
      <w:pPr>
        <w:pStyle w:val="NormalnyWeb"/>
        <w:suppressAutoHyphens/>
        <w:spacing w:after="120" w:line="360" w:lineRule="auto"/>
        <w:jc w:val="both"/>
        <w:rPr>
          <w:rFonts w:cs="Times New Roman"/>
          <w:bCs/>
          <w:color w:val="auto"/>
        </w:rPr>
      </w:pPr>
      <w:r w:rsidRPr="00B81E7D">
        <w:rPr>
          <w:rFonts w:cs="Times New Roman"/>
          <w:bCs/>
          <w:color w:val="auto"/>
        </w:rPr>
        <w:t>Milczące załatwienie sprawy i postępowanie uproszczone w Kodeksie postępowania administracyjnego mają charakter ramowy. Oznacza to, że podstawę prawną do zastosowania tych instytucji stanowić ma przepis prawa materialnego w ustawie odrębnej, nakazujący stosowanie w danej kategorii spraw odpowiednich przepisów k.p.a.</w:t>
      </w:r>
    </w:p>
    <w:p w:rsidR="00720529" w:rsidRPr="00B81E7D" w:rsidRDefault="00720529" w:rsidP="00B421C2">
      <w:pPr>
        <w:pStyle w:val="NormalnyWeb"/>
        <w:suppressAutoHyphens/>
        <w:spacing w:after="120" w:line="360" w:lineRule="auto"/>
        <w:jc w:val="both"/>
        <w:rPr>
          <w:rFonts w:cs="Times New Roman"/>
          <w:bCs/>
          <w:color w:val="auto"/>
        </w:rPr>
      </w:pPr>
      <w:r w:rsidRPr="00B81E7D">
        <w:rPr>
          <w:rFonts w:cs="Times New Roman"/>
          <w:bCs/>
          <w:color w:val="auto"/>
        </w:rPr>
        <w:t>Kodeks przewiduje dwie postaci milczącego załatwienia sprawy – w przypadku milczącej zgody milczenie organu jest docelowym sposobem rozstrzygnięcia sprawy. W przypadku złożenia prawidłowego i kompletnego wniosku organ zostaje niejako zwolniony z konieczności p</w:t>
      </w:r>
      <w:r w:rsidR="006A0725" w:rsidRPr="00B81E7D">
        <w:rPr>
          <w:rFonts w:cs="Times New Roman"/>
          <w:bCs/>
          <w:color w:val="auto"/>
        </w:rPr>
        <w:t xml:space="preserve">odejmowania działań. Dopiero w </w:t>
      </w:r>
      <w:r w:rsidRPr="00B81E7D">
        <w:rPr>
          <w:rFonts w:cs="Times New Roman"/>
          <w:bCs/>
          <w:color w:val="auto"/>
        </w:rPr>
        <w:t>przypadku nieprawidłowości organ wydaje decyzję - sprzeciw. W drugim wariancie milczące załatwienie sprawy ma charakter instytucji eliminując</w:t>
      </w:r>
      <w:r w:rsidR="00AB5DCE" w:rsidRPr="00B81E7D">
        <w:rPr>
          <w:rFonts w:cs="Times New Roman"/>
          <w:bCs/>
          <w:color w:val="auto"/>
        </w:rPr>
        <w:t>ej</w:t>
      </w:r>
      <w:r w:rsidRPr="00B81E7D">
        <w:rPr>
          <w:rFonts w:cs="Times New Roman"/>
          <w:bCs/>
          <w:color w:val="auto"/>
        </w:rPr>
        <w:t xml:space="preserve"> przewlekłość. Jeżeli organ nie dotrzyma terminu na rozstrzygnięcie sprawy – powstaje automatycznie skutek wydania decyzji zgodnej z wnioskiem strony. Jest to milczące zakończenie postępowania.</w:t>
      </w:r>
    </w:p>
    <w:p w:rsidR="00720529" w:rsidRPr="00B81E7D" w:rsidRDefault="00720529" w:rsidP="00B421C2">
      <w:pPr>
        <w:pStyle w:val="NormalnyWeb"/>
        <w:suppressAutoHyphens/>
        <w:spacing w:before="0" w:after="120" w:line="360" w:lineRule="auto"/>
        <w:jc w:val="both"/>
        <w:rPr>
          <w:rFonts w:cs="Times New Roman"/>
          <w:bCs/>
          <w:color w:val="auto"/>
        </w:rPr>
      </w:pPr>
      <w:r w:rsidRPr="00B81E7D">
        <w:rPr>
          <w:rFonts w:cs="Times New Roman"/>
          <w:bCs/>
          <w:color w:val="auto"/>
        </w:rPr>
        <w:t>Postępowanie uproszczone zmierza z kolei do ograniczenia formalizmu procesowego w sprawach o nieskomplikowanym stanie faktycznym i prawnym. Przyspiesza postępowanie i ogranicza obowiązki organu. Z założenia należy w tej procedurze stosować milczące załatwienie sprawy, ale nie jest to konieczne. Kwestia ta może być w ustawie odrębnej uregulowana inaczej.</w:t>
      </w:r>
    </w:p>
    <w:p w:rsidR="00720529" w:rsidRPr="00B81E7D" w:rsidRDefault="00720529" w:rsidP="00B421C2">
      <w:pPr>
        <w:pStyle w:val="NormalnyWeb"/>
        <w:suppressAutoHyphens/>
        <w:spacing w:before="0" w:after="120" w:line="360" w:lineRule="auto"/>
        <w:jc w:val="both"/>
        <w:rPr>
          <w:rFonts w:cs="Times New Roman"/>
          <w:bCs/>
          <w:color w:val="auto"/>
        </w:rPr>
      </w:pPr>
      <w:r w:rsidRPr="00B81E7D">
        <w:rPr>
          <w:rFonts w:cs="Times New Roman"/>
          <w:bCs/>
          <w:color w:val="auto"/>
        </w:rPr>
        <w:t xml:space="preserve">Szybkość działania i ograniczenie formalizmu procesowego to kluczowe oczekiwania wobec dobrej i skutecznej administracji. Okoliczności przemawiające za wprowadzeniem milczącego załatwienia sprawy to przede wszystkim wszczynanie postępowań na wniosek </w:t>
      </w:r>
      <w:r w:rsidRPr="00B81E7D">
        <w:rPr>
          <w:rFonts w:cs="Times New Roman"/>
          <w:bCs/>
          <w:color w:val="auto"/>
        </w:rPr>
        <w:lastRenderedPageBreak/>
        <w:t>oraz stosunkowo niewielki stopień skomplikowania spraw pod względem faktycznym i prawnym. W przypadku powyższych spraw nie zachodzi również poważne ryzyko naruszenia interesu publicznego czy pewności obrotu w wyniku ewentualnego niezamierzonego milczącego załatwienia sprawy. W związku z proponowanymi zmianami, w przypadku niektórych procedur konieczne będzie opracowanie urzędowych formularzy, na których mogłyby być składane odpowiednie wnioski. Wzór wniosku powinien określać dokumenty, które strona obowiązkowo załącza do wniosku.</w:t>
      </w:r>
    </w:p>
    <w:p w:rsidR="007D6DB8" w:rsidRPr="00B81E7D" w:rsidRDefault="00720529" w:rsidP="00D06E33">
      <w:pPr>
        <w:pStyle w:val="NormalnyWeb"/>
        <w:numPr>
          <w:ilvl w:val="0"/>
          <w:numId w:val="23"/>
        </w:numPr>
        <w:suppressAutoHyphens/>
        <w:spacing w:before="0" w:after="120" w:line="360" w:lineRule="auto"/>
        <w:jc w:val="both"/>
        <w:rPr>
          <w:rFonts w:cs="Times New Roman"/>
          <w:bCs/>
          <w:color w:val="auto"/>
        </w:rPr>
      </w:pPr>
      <w:r w:rsidRPr="00B81E7D">
        <w:rPr>
          <w:rFonts w:cs="Times New Roman"/>
          <w:bCs/>
          <w:color w:val="auto"/>
        </w:rPr>
        <w:t xml:space="preserve">Zmiany w ustawie z dnia 21 marca 1985 r. o drogach publicznych wprowadzają przepisy o postępowaniu uproszczonym oraz, w ograniczonym zakresie, przepisy o milczącej zgodzie lub milczącym załatwieniu sprawy w odniesieniu do </w:t>
      </w:r>
      <w:r w:rsidR="00D16645" w:rsidRPr="00B81E7D">
        <w:rPr>
          <w:rFonts w:cs="Times New Roman"/>
          <w:bCs/>
          <w:color w:val="auto"/>
        </w:rPr>
        <w:t>następujących</w:t>
      </w:r>
      <w:r w:rsidRPr="00B81E7D">
        <w:rPr>
          <w:rFonts w:cs="Times New Roman"/>
          <w:bCs/>
          <w:color w:val="auto"/>
        </w:rPr>
        <w:t xml:space="preserve"> postępowań: </w:t>
      </w:r>
    </w:p>
    <w:p w:rsidR="007D6DB8" w:rsidRPr="00B81E7D" w:rsidRDefault="007D6DB8" w:rsidP="000A6809">
      <w:pPr>
        <w:pStyle w:val="NormalnyWeb"/>
        <w:numPr>
          <w:ilvl w:val="0"/>
          <w:numId w:val="13"/>
        </w:numPr>
        <w:suppressAutoHyphens/>
        <w:spacing w:after="120" w:line="360" w:lineRule="auto"/>
        <w:jc w:val="both"/>
        <w:rPr>
          <w:rFonts w:cs="Times New Roman"/>
          <w:bCs/>
          <w:color w:val="auto"/>
        </w:rPr>
      </w:pPr>
      <w:r w:rsidRPr="00B81E7D">
        <w:rPr>
          <w:rFonts w:cs="Times New Roman"/>
          <w:bCs/>
          <w:color w:val="auto"/>
        </w:rPr>
        <w:t xml:space="preserve">udostępnienia kanału technologicznego albo odmowa udostępnienia tego kanału (art. 39 ust. 7ac) – postępowanie uproszczone z </w:t>
      </w:r>
      <w:r w:rsidR="00F45142" w:rsidRPr="00B81E7D">
        <w:rPr>
          <w:rFonts w:cs="Times New Roman"/>
          <w:bCs/>
          <w:color w:val="auto"/>
        </w:rPr>
        <w:t xml:space="preserve">wyjątkiem </w:t>
      </w:r>
      <w:r w:rsidRPr="00B81E7D">
        <w:rPr>
          <w:rFonts w:cs="Times New Roman"/>
          <w:bCs/>
          <w:color w:val="auto"/>
        </w:rPr>
        <w:t>milczącej zgody</w:t>
      </w:r>
      <w:r w:rsidR="00B62651" w:rsidRPr="00B81E7D">
        <w:rPr>
          <w:rFonts w:cs="Times New Roman"/>
          <w:bCs/>
          <w:color w:val="auto"/>
        </w:rPr>
        <w:t>;</w:t>
      </w:r>
    </w:p>
    <w:p w:rsidR="007D6DB8" w:rsidRPr="00B81E7D" w:rsidRDefault="007D6DB8" w:rsidP="000A6809">
      <w:pPr>
        <w:pStyle w:val="NormalnyWeb"/>
        <w:numPr>
          <w:ilvl w:val="0"/>
          <w:numId w:val="13"/>
        </w:numPr>
        <w:suppressAutoHyphens/>
        <w:spacing w:after="120" w:line="360" w:lineRule="auto"/>
        <w:jc w:val="both"/>
        <w:rPr>
          <w:rFonts w:cs="Times New Roman"/>
          <w:bCs/>
          <w:color w:val="auto"/>
        </w:rPr>
      </w:pPr>
      <w:r w:rsidRPr="00B81E7D">
        <w:rPr>
          <w:rFonts w:cs="Times New Roman"/>
          <w:bCs/>
          <w:color w:val="auto"/>
        </w:rPr>
        <w:t>ustalenia warunków zajęcia pasa drogowego w razie konieczności usunięcia awarii urządzeń niezwiązanych z potrzebami zarządzania drogami lub potrzebami ruchu drogowego (art. 40 ust. 14a) – postępowanie uproszczone z wyjątkiem milczącego załatwienia sprawy</w:t>
      </w:r>
      <w:r w:rsidR="00B62651" w:rsidRPr="00B81E7D">
        <w:rPr>
          <w:rFonts w:cs="Times New Roman"/>
          <w:bCs/>
          <w:color w:val="auto"/>
        </w:rPr>
        <w:t>;</w:t>
      </w:r>
    </w:p>
    <w:p w:rsidR="00720529" w:rsidRPr="00B81E7D" w:rsidRDefault="007D6DB8" w:rsidP="000A6809">
      <w:pPr>
        <w:pStyle w:val="NormalnyWeb"/>
        <w:numPr>
          <w:ilvl w:val="0"/>
          <w:numId w:val="13"/>
        </w:numPr>
        <w:suppressAutoHyphens/>
        <w:spacing w:after="120" w:line="360" w:lineRule="auto"/>
        <w:jc w:val="both"/>
        <w:rPr>
          <w:rFonts w:cs="Times New Roman"/>
          <w:bCs/>
          <w:color w:val="auto"/>
        </w:rPr>
      </w:pPr>
      <w:r w:rsidRPr="00B81E7D">
        <w:rPr>
          <w:rFonts w:cs="Times New Roman"/>
          <w:bCs/>
          <w:color w:val="auto"/>
        </w:rPr>
        <w:t>przeniesienia decyzji o zezwoleniu na zajęcie pasa drogowego na cele związane z infrastrukturą telekomunikacyjną (art. 40e) – postępowanie uproszczone z uwzględnieniem milczącego zakończenia postępowania</w:t>
      </w:r>
      <w:r w:rsidR="00D16645" w:rsidRPr="00B81E7D">
        <w:rPr>
          <w:rFonts w:cs="Times New Roman"/>
          <w:bCs/>
          <w:color w:val="auto"/>
        </w:rPr>
        <w:t>.</w:t>
      </w:r>
      <w:r w:rsidR="00720529" w:rsidRPr="00B81E7D">
        <w:rPr>
          <w:rFonts w:cs="Times New Roman"/>
          <w:bCs/>
          <w:color w:val="auto"/>
        </w:rPr>
        <w:t xml:space="preserve"> </w:t>
      </w:r>
    </w:p>
    <w:p w:rsidR="00720529" w:rsidRPr="00B81E7D" w:rsidRDefault="00720529" w:rsidP="00B421C2">
      <w:pPr>
        <w:pStyle w:val="NormalnyWeb"/>
        <w:suppressAutoHyphens/>
        <w:spacing w:before="0" w:after="120" w:line="360" w:lineRule="auto"/>
        <w:jc w:val="both"/>
        <w:rPr>
          <w:rFonts w:cs="Times New Roman"/>
          <w:bCs/>
          <w:color w:val="auto"/>
        </w:rPr>
      </w:pPr>
      <w:r w:rsidRPr="00B81E7D">
        <w:rPr>
          <w:rFonts w:cs="Times New Roman"/>
          <w:bCs/>
          <w:color w:val="auto"/>
        </w:rPr>
        <w:t>W przypadku decyzji, o której mowa w art. 39 ust. 7 ustawy, wzór wniosku o udostępnienie kanału technologicznego, zgodnie z ust. 7k tego przepisu, określa, w drodze rozporządzenia, minister właściwy do spraw informatyzacji w porozumieniu z ministrem właściwym do spraw transportu. Aktualnie w przedmiotowym zakresie obowiązuje rozporządzenie Ministra Cyfryzacji z dnia 29 czerwca 2016 r. w sprawie udostępniania kanału technologicznego przez zarządców dróg publicznych oraz wysokości stawek opłat za udostępnienie 1 mb kanału technologicznego (Dz.U. . poz. 957). W związku z tym, nie ma potrzeby przygotowywania dodatkowych przepisów dotyczących urzędowego wzoru wniosku o wszczęcie postępowania.</w:t>
      </w:r>
    </w:p>
    <w:p w:rsidR="00720529" w:rsidRPr="00B81E7D" w:rsidRDefault="00720529" w:rsidP="00B421C2">
      <w:pPr>
        <w:pStyle w:val="NormalnyWeb"/>
        <w:suppressAutoHyphens/>
        <w:spacing w:before="0" w:after="120" w:line="360" w:lineRule="auto"/>
        <w:jc w:val="both"/>
        <w:rPr>
          <w:rFonts w:cs="Times New Roman"/>
          <w:bCs/>
          <w:color w:val="auto"/>
        </w:rPr>
      </w:pPr>
      <w:r w:rsidRPr="00B81E7D">
        <w:rPr>
          <w:rFonts w:cs="Times New Roman"/>
          <w:bCs/>
          <w:color w:val="auto"/>
        </w:rPr>
        <w:t>W odniesieniu do decyzji wydawanych w razie konieczności usunięcia awarii urządzeń niezwiązanych z potrzebami zarządzania drogami lub potrzebami ruchu drogowego, a znajdujących się w pasie drogowym (art. 40 ust</w:t>
      </w:r>
      <w:r w:rsidR="00C66849" w:rsidRPr="00B81E7D">
        <w:rPr>
          <w:rFonts w:cs="Times New Roman"/>
          <w:bCs/>
          <w:color w:val="auto"/>
        </w:rPr>
        <w:t>. 14a ustawy) wskazać należy na </w:t>
      </w:r>
      <w:r w:rsidRPr="00B81E7D">
        <w:rPr>
          <w:rFonts w:cs="Times New Roman"/>
          <w:bCs/>
          <w:color w:val="auto"/>
        </w:rPr>
        <w:t>okoliczności, w których postępowanie to jest ws</w:t>
      </w:r>
      <w:r w:rsidR="00C66849" w:rsidRPr="00B81E7D">
        <w:rPr>
          <w:rFonts w:cs="Times New Roman"/>
          <w:bCs/>
          <w:color w:val="auto"/>
        </w:rPr>
        <w:t>zczynane. Prowadzący roboty, po </w:t>
      </w:r>
      <w:r w:rsidRPr="00B81E7D">
        <w:rPr>
          <w:rFonts w:cs="Times New Roman"/>
          <w:bCs/>
          <w:color w:val="auto"/>
        </w:rPr>
        <w:t xml:space="preserve">zlokalizowaniu awarii jest bowiem zobowiązany niezwłocznie zawiadomić zarządcę drogi </w:t>
      </w:r>
      <w:r w:rsidRPr="00B81E7D">
        <w:rPr>
          <w:rFonts w:cs="Times New Roman"/>
          <w:bCs/>
          <w:color w:val="auto"/>
        </w:rPr>
        <w:lastRenderedPageBreak/>
        <w:t xml:space="preserve">oraz w porozumieniu z nim określać termin i powierzchnię zajętego pasa drogowego. Zachodzi tu więc konieczność pilnych i odformalizowanych ustaleń (np. drogą telefoniczną), wynikiem których będzie formalne wydanie decyzji, o których mowa w art. 40 ust. 14a ustawy. Wyklucza to możliwość wprowadzenia urzędowego wzoru wniosku o wszczęcie postępowania – takie rozwiązanie, wykluczające możliwość prowadzenia odformalizowanych ustaleń na linii strona-organ mogłoby utrudnić szybkie usuwanie awarii, co z kolei mogłoby negatywnie wpłynąć </w:t>
      </w:r>
      <w:r w:rsidR="007A531A" w:rsidRPr="00B81E7D">
        <w:rPr>
          <w:rFonts w:cs="Times New Roman"/>
          <w:bCs/>
          <w:color w:val="auto"/>
        </w:rPr>
        <w:t>na poziom bezpieczeństwa ruchu.</w:t>
      </w:r>
    </w:p>
    <w:p w:rsidR="00720529" w:rsidRPr="00B81E7D" w:rsidRDefault="00720529" w:rsidP="00B421C2">
      <w:pPr>
        <w:pStyle w:val="NormalnyWeb"/>
        <w:suppressAutoHyphens/>
        <w:spacing w:before="0" w:after="120" w:line="360" w:lineRule="auto"/>
        <w:jc w:val="both"/>
        <w:rPr>
          <w:rFonts w:cs="Times New Roman"/>
          <w:bCs/>
          <w:color w:val="auto"/>
        </w:rPr>
      </w:pPr>
      <w:r w:rsidRPr="00B81E7D">
        <w:rPr>
          <w:rFonts w:cs="Times New Roman"/>
          <w:bCs/>
          <w:color w:val="auto"/>
        </w:rPr>
        <w:t xml:space="preserve">Przepis art. 40e ustawy przewiduje, że organ, który udzielił zezwolenia na zajęcie pasa drogowego na cele związane z infrastrukturą telekomunikacyjną, przenosi, w drodze decyzji, na rzecz podmiotu będącego nabywcą tej infrastruktury, na jego wniosek, prawa i obowiązki wynikające z tego zezwolenia. W związku z faktem, że we wniosku o wszczęcie przedmiotowego postępowania należy w praktyce zawrzeć wyłącznie podstawowe informacje, to jest wskazanie infrastruktury oraz jej zbywcy i nabywcy, nie ma podstaw aby w przedmiotowym zakresie wprowadzać urzędowy formularz wniosku o wszczęcie postępowania. </w:t>
      </w:r>
    </w:p>
    <w:p w:rsidR="00C66849" w:rsidRPr="00B81E7D" w:rsidRDefault="00720529" w:rsidP="00D06E33">
      <w:pPr>
        <w:pStyle w:val="NormalnyWeb"/>
        <w:numPr>
          <w:ilvl w:val="0"/>
          <w:numId w:val="23"/>
        </w:numPr>
        <w:suppressAutoHyphens/>
        <w:spacing w:after="120" w:line="360" w:lineRule="auto"/>
        <w:jc w:val="both"/>
        <w:rPr>
          <w:rFonts w:cs="Times New Roman"/>
          <w:bCs/>
          <w:color w:val="auto"/>
        </w:rPr>
      </w:pPr>
      <w:r w:rsidRPr="00B81E7D">
        <w:rPr>
          <w:rFonts w:cs="Times New Roman"/>
          <w:bCs/>
          <w:color w:val="auto"/>
        </w:rPr>
        <w:t xml:space="preserve">Nowelizacja ustawy z dnia z 21 marca 1991 r. o obszarach morskich Rzeczypospolitej Polskiej i administracji morskiej ma na celu </w:t>
      </w:r>
      <w:r w:rsidR="00C66849" w:rsidRPr="00B81E7D">
        <w:rPr>
          <w:rFonts w:cs="Times New Roman"/>
          <w:bCs/>
          <w:color w:val="auto"/>
        </w:rPr>
        <w:t>uproszczenie procedur:</w:t>
      </w:r>
    </w:p>
    <w:p w:rsidR="00C66849" w:rsidRPr="00B81E7D" w:rsidRDefault="00C66849" w:rsidP="000A6809">
      <w:pPr>
        <w:pStyle w:val="NormalnyWeb"/>
        <w:numPr>
          <w:ilvl w:val="0"/>
          <w:numId w:val="14"/>
        </w:numPr>
        <w:suppressAutoHyphens/>
        <w:spacing w:after="120" w:line="360" w:lineRule="auto"/>
        <w:jc w:val="both"/>
        <w:rPr>
          <w:rFonts w:cs="Times New Roman"/>
          <w:bCs/>
          <w:color w:val="auto"/>
        </w:rPr>
      </w:pPr>
      <w:r w:rsidRPr="00B81E7D">
        <w:rPr>
          <w:rFonts w:cs="Times New Roman"/>
          <w:bCs/>
          <w:color w:val="auto"/>
        </w:rPr>
        <w:t>wydania pozwolenia na rozpalenie ognisk na terenie pasa technicznego (np. plaża) (art. 37) – postępowanie uproszczone z wyłączeniem działu II rozdziału 8a k.p.a.</w:t>
      </w:r>
      <w:r w:rsidR="00B62651" w:rsidRPr="00B81E7D">
        <w:rPr>
          <w:rFonts w:cs="Times New Roman"/>
          <w:bCs/>
          <w:color w:val="auto"/>
        </w:rPr>
        <w:t>;</w:t>
      </w:r>
    </w:p>
    <w:p w:rsidR="00C66849" w:rsidRPr="00B81E7D" w:rsidRDefault="00C66849" w:rsidP="000A6809">
      <w:pPr>
        <w:pStyle w:val="NormalnyWeb"/>
        <w:numPr>
          <w:ilvl w:val="0"/>
          <w:numId w:val="14"/>
        </w:numPr>
        <w:suppressAutoHyphens/>
        <w:spacing w:after="120" w:line="360" w:lineRule="auto"/>
        <w:jc w:val="both"/>
        <w:rPr>
          <w:rFonts w:cs="Times New Roman"/>
          <w:bCs/>
          <w:color w:val="auto"/>
        </w:rPr>
      </w:pPr>
      <w:r w:rsidRPr="00B81E7D">
        <w:rPr>
          <w:rFonts w:cs="Times New Roman"/>
          <w:bCs/>
          <w:color w:val="auto"/>
        </w:rPr>
        <w:t>wydania pozwolenia na przeprowadzanie ceremonii i krótkoterminowych imprez w obrębie pasa technicznego bez wznoszenia obiektów tymczasowych (art. 37) – postępowanie uproszczone z wyłączeniem działu II rozdziału 8a k.p.a.</w:t>
      </w:r>
      <w:r w:rsidR="00B62651" w:rsidRPr="00B81E7D">
        <w:rPr>
          <w:rFonts w:cs="Times New Roman"/>
          <w:bCs/>
          <w:color w:val="auto"/>
        </w:rPr>
        <w:t>;</w:t>
      </w:r>
    </w:p>
    <w:p w:rsidR="00C66849" w:rsidRPr="00B81E7D" w:rsidRDefault="00C66849" w:rsidP="000A6809">
      <w:pPr>
        <w:pStyle w:val="NormalnyWeb"/>
        <w:numPr>
          <w:ilvl w:val="0"/>
          <w:numId w:val="14"/>
        </w:numPr>
        <w:suppressAutoHyphens/>
        <w:spacing w:after="120" w:line="360" w:lineRule="auto"/>
        <w:jc w:val="both"/>
        <w:rPr>
          <w:rFonts w:cs="Times New Roman"/>
          <w:bCs/>
          <w:color w:val="auto"/>
        </w:rPr>
      </w:pPr>
      <w:r w:rsidRPr="00B81E7D">
        <w:rPr>
          <w:rFonts w:cs="Times New Roman"/>
          <w:bCs/>
          <w:color w:val="auto"/>
        </w:rPr>
        <w:t>wydania pozwolenia na wjazd na teren pasa technicznego przez przedsiębiorców lub instytucje (art. 37) – postępowanie uproszczone z wyłączeniem działu II rozdziału 8a k.p.a.</w:t>
      </w:r>
    </w:p>
    <w:p w:rsidR="00720529" w:rsidRPr="00B81E7D" w:rsidRDefault="008B5033" w:rsidP="00B421C2">
      <w:pPr>
        <w:pStyle w:val="NormalnyWeb"/>
        <w:suppressAutoHyphens/>
        <w:spacing w:after="120" w:line="360" w:lineRule="auto"/>
        <w:jc w:val="both"/>
        <w:rPr>
          <w:rFonts w:cs="Times New Roman"/>
          <w:bCs/>
          <w:color w:val="auto"/>
        </w:rPr>
      </w:pPr>
      <w:r w:rsidRPr="00B81E7D">
        <w:rPr>
          <w:rFonts w:cs="Times New Roman"/>
          <w:bCs/>
          <w:color w:val="auto"/>
        </w:rPr>
        <w:t xml:space="preserve">Wskazane powyżej procedury odnoszą się </w:t>
      </w:r>
      <w:r w:rsidR="00720529" w:rsidRPr="00B81E7D">
        <w:rPr>
          <w:rFonts w:cs="Times New Roman"/>
          <w:bCs/>
          <w:color w:val="auto"/>
        </w:rPr>
        <w:t>do postępowań</w:t>
      </w:r>
      <w:r w:rsidRPr="00B81E7D">
        <w:rPr>
          <w:rFonts w:cs="Times New Roman"/>
          <w:bCs/>
          <w:color w:val="auto"/>
        </w:rPr>
        <w:t>, które związane są z wykorzystywaniem</w:t>
      </w:r>
      <w:r w:rsidR="00720529" w:rsidRPr="00B81E7D">
        <w:rPr>
          <w:rFonts w:cs="Times New Roman"/>
          <w:bCs/>
          <w:color w:val="auto"/>
        </w:rPr>
        <w:t xml:space="preserve"> pasa technicznego do innego celu niż określony w art</w:t>
      </w:r>
      <w:r w:rsidR="00C803D3" w:rsidRPr="00B81E7D">
        <w:rPr>
          <w:rFonts w:cs="Times New Roman"/>
          <w:bCs/>
          <w:color w:val="auto"/>
        </w:rPr>
        <w:t>. 36 ust. 2 </w:t>
      </w:r>
      <w:r w:rsidR="003972A8" w:rsidRPr="00B81E7D">
        <w:rPr>
          <w:rFonts w:cs="Times New Roman"/>
          <w:bCs/>
          <w:color w:val="auto"/>
        </w:rPr>
        <w:t>pkt 1 </w:t>
      </w:r>
      <w:r w:rsidR="00720529" w:rsidRPr="00B81E7D">
        <w:rPr>
          <w:rFonts w:cs="Times New Roman"/>
          <w:bCs/>
          <w:color w:val="auto"/>
        </w:rPr>
        <w:t>stosowania przepisów o postępowaniu uproszczonym, o którym mowa w rozdziale 14 działu II ustawy z dnia 14 czerwca 1960 r. – Kodeks postępowania administracyjnego.</w:t>
      </w:r>
    </w:p>
    <w:p w:rsidR="00720529" w:rsidRPr="00B81E7D" w:rsidRDefault="00720529" w:rsidP="00B421C2">
      <w:pPr>
        <w:pStyle w:val="NormalnyWeb"/>
        <w:suppressAutoHyphens/>
        <w:spacing w:after="120" w:line="360" w:lineRule="auto"/>
        <w:jc w:val="both"/>
        <w:rPr>
          <w:rFonts w:cs="Times New Roman"/>
          <w:bCs/>
          <w:color w:val="auto"/>
        </w:rPr>
      </w:pPr>
      <w:r w:rsidRPr="00B81E7D">
        <w:rPr>
          <w:rFonts w:cs="Times New Roman"/>
          <w:bCs/>
          <w:color w:val="auto"/>
        </w:rPr>
        <w:t xml:space="preserve">Art. 36 ust. 2 pkt 1 ustawy odnosi się do rozpalania ogniska na plaży, używania pojazdu silnikowego lub zaprzęgowego lub motoroweru, przeprowadzania imprez, uroczystości </w:t>
      </w:r>
      <w:r w:rsidRPr="00B81E7D">
        <w:rPr>
          <w:rFonts w:cs="Times New Roman"/>
          <w:bCs/>
          <w:color w:val="auto"/>
        </w:rPr>
        <w:lastRenderedPageBreak/>
        <w:t xml:space="preserve">i ceremonii bez wznoszenia obiektów tymczasowych. Są to sprawy powtarzalne o relatywnie prostym charakterze, co uzasadnia wprowadzenie stosowania postępowania uproszczonego. Jednocześnie w tych postępowaniach zachodzi konieczność zakończenia sprawy w drodze decyzji administracyjnej ustalającej warunki wykorzystania pasa technicznego, gdyż zgodnie z art. 37 ust. 1 ustawy o obszarach morskich Rzeczypospolitej Polskiej i administracji morskiej, pas techniczny może być wykorzystywany do innego celu niż określony w art. 36 ust. 2 pkt 1, za zgodą właściwego terytorialnie dyrektora urzędu morskiego, wydaną w drodze decyzji, która jednocześnie określa warunki takiego wykorzystania. </w:t>
      </w:r>
    </w:p>
    <w:p w:rsidR="00720529" w:rsidRPr="00B81E7D" w:rsidRDefault="00720529" w:rsidP="00B421C2">
      <w:pPr>
        <w:pStyle w:val="NormalnyWeb"/>
        <w:suppressAutoHyphens/>
        <w:spacing w:after="120" w:line="360" w:lineRule="auto"/>
        <w:jc w:val="both"/>
        <w:rPr>
          <w:rFonts w:cs="Times New Roman"/>
          <w:bCs/>
          <w:color w:val="auto"/>
        </w:rPr>
      </w:pPr>
      <w:r w:rsidRPr="00B81E7D">
        <w:rPr>
          <w:rFonts w:cs="Times New Roman"/>
          <w:bCs/>
          <w:color w:val="auto"/>
        </w:rPr>
        <w:t>Z tego względu nie jest jednak możliwe w tego typu sprawach zastosowanie przepisów o milczącym załatwieniu sprawy. W myśl art. 163b § 3 ustawy Kodeks postępowania administracyjnego, w sprawie rozpoznawanej w postępowaniu uproszczonym stosuje się przepisy o milczącym załatwieniu sprawy, chyba że przepis szczególny stanowi inaczej. Mając na uwadze tę regulację, projekt wyłącza stosowanie przepisów o milczącym załatwieniu sprawy, tj. przepisów rozdziału 8a działu II ustawy Kodeks postępowania administracyjnego.</w:t>
      </w:r>
    </w:p>
    <w:p w:rsidR="00720529" w:rsidRPr="00B81E7D" w:rsidRDefault="00720529" w:rsidP="00B421C2">
      <w:pPr>
        <w:pStyle w:val="NormalnyWeb"/>
        <w:suppressAutoHyphens/>
        <w:spacing w:before="0" w:after="120" w:line="360" w:lineRule="auto"/>
        <w:jc w:val="both"/>
        <w:rPr>
          <w:rFonts w:cs="Times New Roman"/>
          <w:bCs/>
          <w:color w:val="auto"/>
        </w:rPr>
      </w:pPr>
      <w:r w:rsidRPr="00B81E7D">
        <w:rPr>
          <w:rFonts w:cs="Times New Roman"/>
          <w:bCs/>
          <w:color w:val="auto"/>
        </w:rPr>
        <w:t>Projektowany art. 37 ust. 1g przewiduje, że minister właściwy do spraw gospodarki morskiej określi, w drodze rozporządzenia, wzór urzędowego formularza wniosku o wydanie zgody w sprawie wykorzystywania pasa technicznego do innego celu niż określony w art. 36 ust. 2 pkt 1 oraz wykaz dokumentów, które należy dołączyć do wniosku mając na uwadze potrzebę zapewnienia jednolitości wniosków i sprawnej realizacji zadań w tym zakresie. Proponowane upoważnienie ma na celu ujednolicenie składanych wniosków w postępowaniach tego typu, a także wypełnienie dyspozycji art. 163c § 1 – 4 ustawy Kodeks postępowania administracyjnego.</w:t>
      </w:r>
    </w:p>
    <w:p w:rsidR="00D06E33" w:rsidRDefault="00720529" w:rsidP="00D06E33">
      <w:pPr>
        <w:pStyle w:val="NormalnyWeb"/>
        <w:numPr>
          <w:ilvl w:val="0"/>
          <w:numId w:val="23"/>
        </w:numPr>
        <w:suppressAutoHyphens/>
        <w:spacing w:before="0" w:after="120" w:line="360" w:lineRule="auto"/>
        <w:jc w:val="both"/>
        <w:rPr>
          <w:rFonts w:cs="Times New Roman"/>
          <w:bCs/>
          <w:color w:val="auto"/>
        </w:rPr>
      </w:pPr>
      <w:r w:rsidRPr="00B81E7D">
        <w:rPr>
          <w:rFonts w:cs="Times New Roman"/>
          <w:bCs/>
          <w:color w:val="auto"/>
        </w:rPr>
        <w:t xml:space="preserve">W projektowanym art. 424a ustawy z dnia 20 lipca 2017 r. – Prawo wodne przesądza się jednoznacznie, że w zakresie nieuregulowanym w rozdziale 4 Działu IX ustawy z dnia 20 lipca 2017 r. – Prawo wodne, do zgłoszeń wodnoprawnych stosuje się przepisy o milczącym załatwieniu sprawy, o których mowa w rozdziale 8a działu II ustawy Kodeks postępowania administracyjnego. Art. 423 ust. 4 ustawy </w:t>
      </w:r>
      <w:r w:rsidR="00C06A17">
        <w:rPr>
          <w:rFonts w:cs="Times New Roman"/>
          <w:bCs/>
          <w:color w:val="auto"/>
        </w:rPr>
        <w:t xml:space="preserve">- </w:t>
      </w:r>
      <w:r w:rsidRPr="00B81E7D">
        <w:rPr>
          <w:rFonts w:cs="Times New Roman"/>
          <w:bCs/>
          <w:color w:val="auto"/>
        </w:rPr>
        <w:t>Praw</w:t>
      </w:r>
      <w:r w:rsidR="00816FE9" w:rsidRPr="00B81E7D">
        <w:rPr>
          <w:rFonts w:cs="Times New Roman"/>
          <w:bCs/>
          <w:color w:val="auto"/>
        </w:rPr>
        <w:t>o wodne przewiduje, w przypadku</w:t>
      </w:r>
      <w:r w:rsidRPr="00B81E7D">
        <w:rPr>
          <w:rFonts w:cs="Times New Roman"/>
          <w:bCs/>
          <w:color w:val="auto"/>
        </w:rPr>
        <w:t xml:space="preserve"> nieuzupełnienia brakujących dokumentów lub informacji, wniesienie sprzeciwu, w drodze decyzji, przez organ właściwy d</w:t>
      </w:r>
      <w:r w:rsidR="00D06E33">
        <w:rPr>
          <w:rFonts w:cs="Times New Roman"/>
          <w:bCs/>
          <w:color w:val="auto"/>
        </w:rPr>
        <w:t>o wydania zgody wodnoprawnej. Z </w:t>
      </w:r>
      <w:r w:rsidRPr="00B81E7D">
        <w:rPr>
          <w:rFonts w:cs="Times New Roman"/>
          <w:bCs/>
          <w:color w:val="auto"/>
        </w:rPr>
        <w:t xml:space="preserve">tego względu do sprzeciwu, o którym mowa w rozdziale 4 działu IX ustawy </w:t>
      </w:r>
      <w:r w:rsidR="00C06A17">
        <w:rPr>
          <w:rFonts w:cs="Times New Roman"/>
          <w:bCs/>
          <w:color w:val="auto"/>
        </w:rPr>
        <w:t xml:space="preserve">- </w:t>
      </w:r>
      <w:r w:rsidRPr="00B81E7D">
        <w:rPr>
          <w:rFonts w:cs="Times New Roman"/>
          <w:bCs/>
          <w:color w:val="auto"/>
        </w:rPr>
        <w:t xml:space="preserve">Prawo wodne, będą miały zastosowanie przepisy rozdziału 8a działu II ustawy Kodeks </w:t>
      </w:r>
      <w:r w:rsidRPr="00B81E7D">
        <w:rPr>
          <w:rFonts w:cs="Times New Roman"/>
          <w:bCs/>
          <w:color w:val="auto"/>
        </w:rPr>
        <w:lastRenderedPageBreak/>
        <w:t>postępowania administracyjnego, które dotyczą instytuc</w:t>
      </w:r>
      <w:r w:rsidR="00D06E33">
        <w:rPr>
          <w:rFonts w:cs="Times New Roman"/>
          <w:bCs/>
          <w:color w:val="auto"/>
        </w:rPr>
        <w:t>ji prawnej milczącej zgody, tj. </w:t>
      </w:r>
      <w:r w:rsidRPr="00B81E7D">
        <w:rPr>
          <w:rFonts w:cs="Times New Roman"/>
          <w:bCs/>
          <w:color w:val="auto"/>
        </w:rPr>
        <w:t>sytuacji nie wniesienia sprzeciwu w drodze decyzji.</w:t>
      </w:r>
    </w:p>
    <w:p w:rsidR="00720529" w:rsidRPr="00D06E33" w:rsidRDefault="00720529" w:rsidP="00D06E33">
      <w:pPr>
        <w:pStyle w:val="NormalnyWeb"/>
        <w:numPr>
          <w:ilvl w:val="0"/>
          <w:numId w:val="23"/>
        </w:numPr>
        <w:suppressAutoHyphens/>
        <w:spacing w:before="0" w:after="120" w:line="360" w:lineRule="auto"/>
        <w:jc w:val="both"/>
        <w:rPr>
          <w:rFonts w:cs="Times New Roman"/>
          <w:bCs/>
          <w:color w:val="auto"/>
        </w:rPr>
      </w:pPr>
      <w:r w:rsidRPr="00D06E33">
        <w:rPr>
          <w:rFonts w:cs="Times New Roman"/>
        </w:rPr>
        <w:t>W przypadku wpisu na listę stałych mediatorów dokonywanego zgodnie z art. 157b ustawy z dnia 27 lipca 2001 r. – Prawo o ustroju są</w:t>
      </w:r>
      <w:r w:rsidR="00D06E33">
        <w:rPr>
          <w:rFonts w:cs="Times New Roman"/>
        </w:rPr>
        <w:t>dów powszechnych, proponuje się </w:t>
      </w:r>
      <w:r w:rsidRPr="00D06E33">
        <w:rPr>
          <w:rFonts w:cs="Times New Roman"/>
        </w:rPr>
        <w:t>zastosowanie milczącej zgody. Prezes sądu</w:t>
      </w:r>
      <w:r w:rsidR="00D06E33">
        <w:rPr>
          <w:rFonts w:cs="Times New Roman"/>
        </w:rPr>
        <w:t xml:space="preserve"> okręgowego po zapoznaniu się z </w:t>
      </w:r>
      <w:r w:rsidRPr="00D06E33">
        <w:rPr>
          <w:rFonts w:cs="Times New Roman"/>
        </w:rPr>
        <w:t xml:space="preserve">wnioskiem mediatora o wpis, nie mając zastrzeżeń do jego kwalifikacji, dokonuje wpisu i tym samym zamyka postępowanie. Obecnie na listach prowadzonych przez prezesów sądów okręgowych wpisanych jest ok. 2,5 tys. stałych mediatorów. Aby móc ubiegać się o wpis na listę, mediator musi spełnić wymagania określone w ustawie z dnia 10 września 2015 r. o zmianie niektórych ustaw w związku ze wspieraniem polubownych metod rozwiązywania sporów. Oznacza to, że mediator znajdujący się na liście ma potwierdzone kwalifikacje i w pewnym sensie otrzymuje rekomendacje sądu. </w:t>
      </w:r>
    </w:p>
    <w:p w:rsidR="00720529" w:rsidRPr="00D06E33" w:rsidRDefault="00720529" w:rsidP="00B421C2">
      <w:pPr>
        <w:spacing w:after="200" w:line="360" w:lineRule="auto"/>
        <w:jc w:val="both"/>
        <w:rPr>
          <w:rFonts w:cs="Times New Roman"/>
          <w:szCs w:val="24"/>
        </w:rPr>
      </w:pPr>
      <w:r w:rsidRPr="00B81E7D">
        <w:rPr>
          <w:rFonts w:cs="Times New Roman"/>
          <w:szCs w:val="24"/>
        </w:rPr>
        <w:t>W załączniku do obecnie obowiązującego rozporządzenia Min</w:t>
      </w:r>
      <w:r w:rsidR="00B4541D">
        <w:rPr>
          <w:rFonts w:cs="Times New Roman"/>
          <w:szCs w:val="24"/>
        </w:rPr>
        <w:t>istra Sprawiedliwości z dnia 20 </w:t>
      </w:r>
      <w:r w:rsidRPr="00B81E7D">
        <w:rPr>
          <w:rFonts w:cs="Times New Roman"/>
          <w:szCs w:val="24"/>
        </w:rPr>
        <w:t xml:space="preserve">stycznia 2016 r. w sprawie prowadzenia listy stałych mediatorów (Dz. U. poz. 122) określony został wzór formularza wniosku o wpis na listę stałych mediatorów. Brzmienie rozporządzenia, w tym jego załącznika, jest wynikiem realizacji wytycznych do jego wydania określonych w art. 157f u.s.p., zgodnie z którym Minister Sprawiedliwości określi, w drodze rozporządzenia, m.in. wzór formularza wniosku o wpis na listę stałych mediatorów, uwzględniając potrzebę zapewnienia wiarygodnej i aktualnej informacji o stałych mediatorach, jednolitości wniosków i sprawnego przebiegu procedury wpisu na listę stałych mediatorów. Tak sformułowane wytyczne nie wykluczają zastosowania tego samego wzoru formularza w sytuacji, w której wpisu na listę dokonuje się w przypadku niewydania decyzji o wpisie w zakreślonym terminie (milczące załatwienie sprawy). W związku z powyższym, nie zachodzi potrzeba określenia odrębnego wzoru formularza wniosku o wpis na listę stałych </w:t>
      </w:r>
      <w:r w:rsidRPr="00D06E33">
        <w:rPr>
          <w:rFonts w:cs="Times New Roman"/>
          <w:szCs w:val="24"/>
        </w:rPr>
        <w:t>mediatorów stosowanego tylko w przypadku milczącego załatwienia sprawy.</w:t>
      </w:r>
    </w:p>
    <w:p w:rsidR="004762CC" w:rsidRPr="00D06E33" w:rsidRDefault="00873785" w:rsidP="00D06E33">
      <w:pPr>
        <w:pStyle w:val="Akapitzlist"/>
        <w:numPr>
          <w:ilvl w:val="0"/>
          <w:numId w:val="24"/>
        </w:numPr>
        <w:spacing w:after="120" w:line="360" w:lineRule="auto"/>
        <w:jc w:val="both"/>
        <w:rPr>
          <w:rFonts w:ascii="Times New Roman" w:hAnsi="Times New Roman"/>
          <w:color w:val="000000"/>
          <w:sz w:val="24"/>
          <w:szCs w:val="24"/>
        </w:rPr>
      </w:pPr>
      <w:r w:rsidRPr="00D06E33">
        <w:rPr>
          <w:rFonts w:ascii="Times New Roman" w:hAnsi="Times New Roman"/>
          <w:color w:val="000000"/>
          <w:sz w:val="24"/>
          <w:szCs w:val="24"/>
        </w:rPr>
        <w:t xml:space="preserve">W ustawie z dnia 25 czerwca 2010 r. o sporcie proponuje się zastosowanie do procedury </w:t>
      </w:r>
      <w:r w:rsidR="00C15F38" w:rsidRPr="00D06E33">
        <w:rPr>
          <w:rFonts w:ascii="Times New Roman" w:hAnsi="Times New Roman"/>
          <w:color w:val="000000"/>
          <w:sz w:val="24"/>
          <w:szCs w:val="24"/>
        </w:rPr>
        <w:t xml:space="preserve">wpisu do ewidencji uczniowskich klubów sportowych </w:t>
      </w:r>
      <w:r w:rsidR="00E01D62" w:rsidRPr="00D06E33">
        <w:rPr>
          <w:rFonts w:ascii="Times New Roman" w:hAnsi="Times New Roman"/>
          <w:color w:val="000000"/>
          <w:sz w:val="24"/>
          <w:szCs w:val="24"/>
        </w:rPr>
        <w:t>przepisów</w:t>
      </w:r>
      <w:r w:rsidR="00B4541D" w:rsidRPr="00D06E33">
        <w:rPr>
          <w:rFonts w:ascii="Times New Roman" w:hAnsi="Times New Roman"/>
          <w:color w:val="000000"/>
          <w:sz w:val="24"/>
          <w:szCs w:val="24"/>
        </w:rPr>
        <w:t xml:space="preserve"> działu II rozdziału 14 </w:t>
      </w:r>
      <w:r w:rsidR="00C15F38" w:rsidRPr="00D06E33">
        <w:rPr>
          <w:rFonts w:ascii="Times New Roman" w:hAnsi="Times New Roman"/>
          <w:color w:val="000000"/>
          <w:sz w:val="24"/>
          <w:szCs w:val="24"/>
        </w:rPr>
        <w:t>ustawy z dnia 14 czerwca 1960 r. - Kodeks postępowa</w:t>
      </w:r>
      <w:r w:rsidR="00B4541D" w:rsidRPr="00D06E33">
        <w:rPr>
          <w:rFonts w:ascii="Times New Roman" w:hAnsi="Times New Roman"/>
          <w:color w:val="000000"/>
          <w:sz w:val="24"/>
          <w:szCs w:val="24"/>
        </w:rPr>
        <w:t>nia administracyjnego (Dz. U. z </w:t>
      </w:r>
      <w:r w:rsidR="00C15F38" w:rsidRPr="00D06E33">
        <w:rPr>
          <w:rFonts w:ascii="Times New Roman" w:hAnsi="Times New Roman"/>
          <w:color w:val="000000"/>
          <w:sz w:val="24"/>
          <w:szCs w:val="24"/>
        </w:rPr>
        <w:t>2018 r. poz. 2096 oraz z 2019 r. poz. 60</w:t>
      </w:r>
      <w:r w:rsidR="00C06A17">
        <w:rPr>
          <w:rFonts w:ascii="Times New Roman" w:hAnsi="Times New Roman"/>
          <w:color w:val="000000"/>
          <w:sz w:val="24"/>
          <w:szCs w:val="24"/>
        </w:rPr>
        <w:t>, 730 i 1133</w:t>
      </w:r>
      <w:r w:rsidR="00C15F38" w:rsidRPr="00D06E33">
        <w:rPr>
          <w:rFonts w:ascii="Times New Roman" w:hAnsi="Times New Roman"/>
          <w:color w:val="000000"/>
          <w:sz w:val="24"/>
          <w:szCs w:val="24"/>
        </w:rPr>
        <w:t>).</w:t>
      </w:r>
      <w:r w:rsidRPr="00D06E33">
        <w:rPr>
          <w:rFonts w:ascii="Times New Roman" w:hAnsi="Times New Roman"/>
          <w:color w:val="000000"/>
          <w:sz w:val="24"/>
          <w:szCs w:val="24"/>
        </w:rPr>
        <w:t xml:space="preserve"> Zgodnie z art. 4 ust. 4 ustawy o sporcie</w:t>
      </w:r>
      <w:r w:rsidR="006C77A9" w:rsidRPr="00D06E33">
        <w:rPr>
          <w:rFonts w:ascii="Times New Roman" w:hAnsi="Times New Roman"/>
          <w:color w:val="000000"/>
          <w:sz w:val="24"/>
          <w:szCs w:val="24"/>
        </w:rPr>
        <w:t>,</w:t>
      </w:r>
      <w:r w:rsidRPr="00D06E33">
        <w:rPr>
          <w:rFonts w:ascii="Times New Roman" w:hAnsi="Times New Roman"/>
          <w:color w:val="000000"/>
          <w:sz w:val="24"/>
          <w:szCs w:val="24"/>
        </w:rPr>
        <w:t xml:space="preserve"> uczniowski klub sportowy podlega wpisowi do ewidencji prowadzonej przez starostę właściwego ze względu na siedzibę klubu. Wpisu i wykreślenia wpisu z ewidencji dokonuje się na podstawie wniosku. Wpis, odmowa wpisu do </w:t>
      </w:r>
      <w:r w:rsidR="00B4541D" w:rsidRPr="00D06E33">
        <w:rPr>
          <w:rFonts w:ascii="Times New Roman" w:hAnsi="Times New Roman"/>
          <w:color w:val="000000"/>
          <w:sz w:val="24"/>
          <w:szCs w:val="24"/>
        </w:rPr>
        <w:t>ewidencji i wykreślenie wpisu z </w:t>
      </w:r>
      <w:r w:rsidRPr="00D06E33">
        <w:rPr>
          <w:rFonts w:ascii="Times New Roman" w:hAnsi="Times New Roman"/>
          <w:color w:val="000000"/>
          <w:sz w:val="24"/>
          <w:szCs w:val="24"/>
        </w:rPr>
        <w:t>ewidencji następuje w drodze decyzji.</w:t>
      </w:r>
      <w:r w:rsidR="004762CC" w:rsidRPr="00D06E33">
        <w:rPr>
          <w:rFonts w:ascii="Times New Roman" w:hAnsi="Times New Roman"/>
          <w:color w:val="000000"/>
          <w:sz w:val="24"/>
          <w:szCs w:val="24"/>
        </w:rPr>
        <w:t xml:space="preserve"> </w:t>
      </w:r>
    </w:p>
    <w:p w:rsidR="00C15F38" w:rsidRPr="00B81E7D" w:rsidRDefault="004762CC" w:rsidP="00B421C2">
      <w:pPr>
        <w:spacing w:after="120" w:line="360" w:lineRule="auto"/>
        <w:jc w:val="both"/>
        <w:rPr>
          <w:rFonts w:cs="Times New Roman"/>
          <w:color w:val="000000"/>
          <w:szCs w:val="24"/>
        </w:rPr>
      </w:pPr>
      <w:r w:rsidRPr="00B81E7D">
        <w:rPr>
          <w:rFonts w:cs="Times New Roman"/>
          <w:color w:val="000000"/>
          <w:szCs w:val="24"/>
        </w:rPr>
        <w:lastRenderedPageBreak/>
        <w:t>Zgodnie z intencją ustawodawcy, który w 2010 r. opracował projekt nowej ustawy o sporcie uczniowski klub sportowy jest szczególnym rodzajem klubu sportowego, który ma zrzeszać jako swoich członków, w szczególności uczniów, rodziców i nauczycieli, a procedury związane z jego funkcjonowaniem powinny być możliwie uproszczone.</w:t>
      </w:r>
      <w:r w:rsidR="00DF5A73" w:rsidRPr="00B81E7D">
        <w:rPr>
          <w:rFonts w:cs="Times New Roman"/>
          <w:color w:val="000000"/>
          <w:szCs w:val="24"/>
        </w:rPr>
        <w:t xml:space="preserve"> Na tym tle zastosowanie postępowania uproszczonego do procedury wpisu do ewidencji uczniowskich klubów sportowych jest zasadne oraz zgodne z celem funkcjonowania odrębnej formy działalności klubu sportowego</w:t>
      </w:r>
      <w:r w:rsidR="006C77A9" w:rsidRPr="00B81E7D">
        <w:rPr>
          <w:rFonts w:cs="Times New Roman"/>
          <w:color w:val="000000"/>
          <w:szCs w:val="24"/>
        </w:rPr>
        <w:t>,</w:t>
      </w:r>
      <w:r w:rsidR="00DF5A73" w:rsidRPr="00B81E7D">
        <w:rPr>
          <w:rFonts w:cs="Times New Roman"/>
          <w:color w:val="000000"/>
          <w:szCs w:val="24"/>
        </w:rPr>
        <w:t xml:space="preserve"> jakim jest uczniowski klub sportowy. </w:t>
      </w:r>
    </w:p>
    <w:p w:rsidR="00C15F38" w:rsidRPr="00D06E33" w:rsidRDefault="00E01D62" w:rsidP="00B421C2">
      <w:pPr>
        <w:spacing w:after="120" w:line="360" w:lineRule="auto"/>
        <w:jc w:val="both"/>
        <w:rPr>
          <w:rFonts w:cs="Times New Roman"/>
          <w:color w:val="000000"/>
          <w:szCs w:val="24"/>
        </w:rPr>
      </w:pPr>
      <w:r w:rsidRPr="00B81E7D">
        <w:rPr>
          <w:rFonts w:cs="Times New Roman"/>
          <w:color w:val="000000"/>
          <w:szCs w:val="24"/>
        </w:rPr>
        <w:t xml:space="preserve">Konsekwencją wprowadzonej zmiany będzie uproszczone, a więc szybsze uzyskanie wpisu do ewidencji przez uczniowski klub sportowy, a tym samym uzyskanie osobowości prawnej, </w:t>
      </w:r>
      <w:r w:rsidRPr="00D06E33">
        <w:rPr>
          <w:rFonts w:cs="Times New Roman"/>
          <w:color w:val="000000"/>
          <w:szCs w:val="24"/>
        </w:rPr>
        <w:t>która umożliwi jego pełnoprawne funkcjonowanie.</w:t>
      </w:r>
    </w:p>
    <w:p w:rsidR="004F5A87" w:rsidRPr="00D06E33" w:rsidRDefault="00DF1549" w:rsidP="00D06E33">
      <w:pPr>
        <w:pStyle w:val="Akapitzlist"/>
        <w:numPr>
          <w:ilvl w:val="0"/>
          <w:numId w:val="24"/>
        </w:numPr>
        <w:spacing w:after="120" w:line="360" w:lineRule="auto"/>
        <w:jc w:val="both"/>
        <w:rPr>
          <w:rFonts w:ascii="Times New Roman" w:hAnsi="Times New Roman"/>
          <w:sz w:val="24"/>
          <w:szCs w:val="24"/>
        </w:rPr>
      </w:pPr>
      <w:r w:rsidRPr="00D06E33">
        <w:rPr>
          <w:rFonts w:ascii="Times New Roman" w:hAnsi="Times New Roman"/>
          <w:sz w:val="24"/>
          <w:szCs w:val="24"/>
        </w:rPr>
        <w:t>W przypadku ustawy</w:t>
      </w:r>
      <w:r w:rsidR="00720529" w:rsidRPr="00D06E33">
        <w:rPr>
          <w:rFonts w:ascii="Times New Roman" w:hAnsi="Times New Roman"/>
          <w:sz w:val="24"/>
          <w:szCs w:val="24"/>
        </w:rPr>
        <w:t xml:space="preserve"> dnia 18 stycznia 2001 r. o wyścigach konnych </w:t>
      </w:r>
      <w:r w:rsidRPr="00D06E33">
        <w:rPr>
          <w:rFonts w:ascii="Times New Roman" w:hAnsi="Times New Roman"/>
          <w:sz w:val="24"/>
          <w:szCs w:val="24"/>
        </w:rPr>
        <w:t xml:space="preserve">proponuje się zastosowanie </w:t>
      </w:r>
      <w:r w:rsidR="000C1C2D" w:rsidRPr="00D06E33">
        <w:rPr>
          <w:rFonts w:ascii="Times New Roman" w:hAnsi="Times New Roman"/>
          <w:sz w:val="24"/>
          <w:szCs w:val="24"/>
        </w:rPr>
        <w:t>przepisów Działu II Rozdziału 14 ustawy z dnia 14 czerwca 1960 r. - Kodeks postępowania administracyjnego do procedur</w:t>
      </w:r>
      <w:r w:rsidR="00F24260" w:rsidRPr="00D06E33">
        <w:rPr>
          <w:rFonts w:ascii="Times New Roman" w:hAnsi="Times New Roman"/>
          <w:sz w:val="24"/>
          <w:szCs w:val="24"/>
        </w:rPr>
        <w:t>:</w:t>
      </w:r>
    </w:p>
    <w:p w:rsidR="004F5A87" w:rsidRPr="00D06E33" w:rsidRDefault="00F24260" w:rsidP="000A6809">
      <w:pPr>
        <w:numPr>
          <w:ilvl w:val="0"/>
          <w:numId w:val="15"/>
        </w:numPr>
        <w:spacing w:after="120" w:line="360" w:lineRule="auto"/>
        <w:jc w:val="both"/>
        <w:rPr>
          <w:rFonts w:cs="Times New Roman"/>
          <w:szCs w:val="24"/>
        </w:rPr>
      </w:pPr>
      <w:r w:rsidRPr="00D06E33">
        <w:rPr>
          <w:rFonts w:cs="Times New Roman"/>
          <w:szCs w:val="24"/>
        </w:rPr>
        <w:t>wydania zgody</w:t>
      </w:r>
      <w:r w:rsidR="004F5A87" w:rsidRPr="00D06E33">
        <w:rPr>
          <w:rFonts w:cs="Times New Roman"/>
          <w:szCs w:val="24"/>
        </w:rPr>
        <w:t xml:space="preserve"> na przeprowadzenie dodatkowej gonitwy (art. 20) – postępowanie uproszczone</w:t>
      </w:r>
      <w:r w:rsidR="00B62651" w:rsidRPr="00D06E33">
        <w:rPr>
          <w:rFonts w:cs="Times New Roman"/>
          <w:szCs w:val="24"/>
        </w:rPr>
        <w:t>;</w:t>
      </w:r>
    </w:p>
    <w:p w:rsidR="004F5A87" w:rsidRPr="00B81E7D" w:rsidRDefault="00F24260" w:rsidP="000A6809">
      <w:pPr>
        <w:numPr>
          <w:ilvl w:val="0"/>
          <w:numId w:val="15"/>
        </w:numPr>
        <w:spacing w:after="120" w:line="360" w:lineRule="auto"/>
        <w:jc w:val="both"/>
        <w:rPr>
          <w:rFonts w:cs="Times New Roman"/>
          <w:szCs w:val="24"/>
        </w:rPr>
      </w:pPr>
      <w:r w:rsidRPr="00D06E33">
        <w:rPr>
          <w:rFonts w:cs="Times New Roman"/>
          <w:szCs w:val="24"/>
        </w:rPr>
        <w:t>wydania pozwolenia</w:t>
      </w:r>
      <w:r w:rsidR="004F5A87" w:rsidRPr="00B81E7D">
        <w:rPr>
          <w:rFonts w:cs="Times New Roman"/>
          <w:szCs w:val="24"/>
        </w:rPr>
        <w:t xml:space="preserve"> na kierowanie stajnią wyścigową (art. 21b ust 3) – postępowanie uproszczone</w:t>
      </w:r>
      <w:r w:rsidR="00B62651" w:rsidRPr="00B81E7D">
        <w:rPr>
          <w:rFonts w:cs="Times New Roman"/>
          <w:szCs w:val="24"/>
        </w:rPr>
        <w:t>;</w:t>
      </w:r>
    </w:p>
    <w:p w:rsidR="004F5A87" w:rsidRPr="00B81E7D" w:rsidRDefault="00F24260" w:rsidP="000A6809">
      <w:pPr>
        <w:numPr>
          <w:ilvl w:val="0"/>
          <w:numId w:val="15"/>
        </w:numPr>
        <w:spacing w:after="120" w:line="360" w:lineRule="auto"/>
        <w:jc w:val="both"/>
        <w:rPr>
          <w:rFonts w:cs="Times New Roman"/>
          <w:szCs w:val="24"/>
        </w:rPr>
      </w:pPr>
      <w:r w:rsidRPr="00B81E7D">
        <w:rPr>
          <w:rFonts w:cs="Times New Roman"/>
          <w:szCs w:val="24"/>
        </w:rPr>
        <w:t>udzielenia</w:t>
      </w:r>
      <w:r w:rsidR="004F5A87" w:rsidRPr="00B81E7D">
        <w:rPr>
          <w:rFonts w:cs="Times New Roman"/>
          <w:szCs w:val="24"/>
        </w:rPr>
        <w:t xml:space="preserve"> licencji na trenowanie koni (art. 21c ust. 6) – postępowanie uproszczone</w:t>
      </w:r>
      <w:r w:rsidR="006C77A9" w:rsidRPr="00B81E7D">
        <w:rPr>
          <w:rFonts w:cs="Times New Roman"/>
          <w:szCs w:val="24"/>
        </w:rPr>
        <w:t>;</w:t>
      </w:r>
    </w:p>
    <w:p w:rsidR="004F5A87" w:rsidRPr="00B81E7D" w:rsidRDefault="00F24260" w:rsidP="000A6809">
      <w:pPr>
        <w:numPr>
          <w:ilvl w:val="0"/>
          <w:numId w:val="15"/>
        </w:numPr>
        <w:spacing w:after="120" w:line="360" w:lineRule="auto"/>
        <w:jc w:val="both"/>
        <w:rPr>
          <w:rFonts w:cs="Times New Roman"/>
          <w:szCs w:val="24"/>
        </w:rPr>
      </w:pPr>
      <w:r w:rsidRPr="00B81E7D">
        <w:rPr>
          <w:rFonts w:cs="Times New Roman"/>
          <w:szCs w:val="24"/>
        </w:rPr>
        <w:t>udzielenia</w:t>
      </w:r>
      <w:r w:rsidR="004F5A87" w:rsidRPr="00B81E7D">
        <w:rPr>
          <w:rFonts w:cs="Times New Roman"/>
          <w:szCs w:val="24"/>
        </w:rPr>
        <w:t xml:space="preserve"> licencji na dosiadanie (powożenie) koni (art. 21d ust. 5) – postępowanie uproszczone</w:t>
      </w:r>
      <w:r w:rsidR="00B62651" w:rsidRPr="00B81E7D">
        <w:rPr>
          <w:rFonts w:cs="Times New Roman"/>
          <w:szCs w:val="24"/>
        </w:rPr>
        <w:t>;</w:t>
      </w:r>
    </w:p>
    <w:p w:rsidR="004F5A87" w:rsidRPr="00B81E7D" w:rsidRDefault="00F24260" w:rsidP="000A6809">
      <w:pPr>
        <w:numPr>
          <w:ilvl w:val="0"/>
          <w:numId w:val="15"/>
        </w:numPr>
        <w:spacing w:after="120" w:line="360" w:lineRule="auto"/>
        <w:jc w:val="both"/>
        <w:rPr>
          <w:rFonts w:cs="Times New Roman"/>
          <w:szCs w:val="24"/>
        </w:rPr>
      </w:pPr>
      <w:r w:rsidRPr="00B81E7D">
        <w:rPr>
          <w:rFonts w:cs="Times New Roman"/>
          <w:szCs w:val="24"/>
        </w:rPr>
        <w:t>udzielenia</w:t>
      </w:r>
      <w:r w:rsidR="004F5A87" w:rsidRPr="00B81E7D">
        <w:rPr>
          <w:rFonts w:cs="Times New Roman"/>
          <w:szCs w:val="24"/>
        </w:rPr>
        <w:t xml:space="preserve"> licencji na pełnienie funkcji sędziego wyścigowego (art. 21e) – postępowanie uproszczone</w:t>
      </w:r>
      <w:r w:rsidR="00B62651" w:rsidRPr="00B81E7D">
        <w:rPr>
          <w:rFonts w:cs="Times New Roman"/>
          <w:szCs w:val="24"/>
        </w:rPr>
        <w:t>.</w:t>
      </w:r>
    </w:p>
    <w:p w:rsidR="005B060F" w:rsidRPr="00B81E7D" w:rsidRDefault="00DF1549" w:rsidP="00B421C2">
      <w:pPr>
        <w:spacing w:after="120" w:line="360" w:lineRule="auto"/>
        <w:jc w:val="both"/>
        <w:rPr>
          <w:rFonts w:cs="Times New Roman"/>
          <w:szCs w:val="24"/>
        </w:rPr>
      </w:pPr>
      <w:r w:rsidRPr="00B81E7D">
        <w:rPr>
          <w:rFonts w:cs="Times New Roman"/>
          <w:szCs w:val="24"/>
        </w:rPr>
        <w:t>Czas trwania przedmiotowych postępowań w praktyce jest krótki i nie przekracza  miesiąca. W sprawach tych nie występują zatem długotrwałe postępowania dowodowe. W większości przypadków w postępowaniach tych są corocznie odnawiane uprawnienia tym samym osobom. Jednocześnie, ze względów na łatwość posług</w:t>
      </w:r>
      <w:r w:rsidR="00BC3D22" w:rsidRPr="00B81E7D">
        <w:rPr>
          <w:rFonts w:cs="Times New Roman"/>
          <w:szCs w:val="24"/>
        </w:rPr>
        <w:t>iwania się tymi dokumentami dla </w:t>
      </w:r>
      <w:r w:rsidRPr="00B81E7D">
        <w:rPr>
          <w:rFonts w:cs="Times New Roman"/>
          <w:szCs w:val="24"/>
        </w:rPr>
        <w:t>strony</w:t>
      </w:r>
      <w:r w:rsidR="006C77A9" w:rsidRPr="00B81E7D">
        <w:rPr>
          <w:rFonts w:cs="Times New Roman"/>
          <w:szCs w:val="24"/>
        </w:rPr>
        <w:t>,</w:t>
      </w:r>
      <w:r w:rsidRPr="00B81E7D">
        <w:rPr>
          <w:rFonts w:cs="Times New Roman"/>
          <w:szCs w:val="24"/>
        </w:rPr>
        <w:t xml:space="preserve"> korzystniejsze jest uzyskanie wnioskowanego</w:t>
      </w:r>
      <w:r w:rsidR="00BC3D22" w:rsidRPr="00B81E7D">
        <w:rPr>
          <w:rFonts w:cs="Times New Roman"/>
          <w:szCs w:val="24"/>
        </w:rPr>
        <w:t xml:space="preserve"> pozwolenia lub licencji, a nie </w:t>
      </w:r>
      <w:r w:rsidRPr="00B81E7D">
        <w:rPr>
          <w:rFonts w:cs="Times New Roman"/>
          <w:szCs w:val="24"/>
        </w:rPr>
        <w:t>zaświadczenia o milczącym załatwieniu sprawy. Ponadto, o wydanie takiego zaświadczenia strona musiałaby dodatkowo wnioskować, co byłoby dla niej dodatkowym obciążeniem.</w:t>
      </w:r>
    </w:p>
    <w:p w:rsidR="00D27427" w:rsidRPr="00B81E7D" w:rsidRDefault="00D27427" w:rsidP="00B421C2">
      <w:pPr>
        <w:spacing w:after="120" w:line="360" w:lineRule="auto"/>
        <w:jc w:val="both"/>
        <w:rPr>
          <w:rFonts w:cs="Times New Roman"/>
          <w:b/>
          <w:szCs w:val="24"/>
        </w:rPr>
      </w:pPr>
    </w:p>
    <w:p w:rsidR="00B04375" w:rsidRPr="00B81E7D" w:rsidRDefault="00B04375" w:rsidP="00B421C2">
      <w:pPr>
        <w:numPr>
          <w:ilvl w:val="0"/>
          <w:numId w:val="2"/>
        </w:numPr>
        <w:spacing w:after="120" w:line="360" w:lineRule="auto"/>
        <w:jc w:val="both"/>
        <w:rPr>
          <w:rFonts w:cs="Times New Roman"/>
          <w:b/>
          <w:szCs w:val="24"/>
        </w:rPr>
      </w:pPr>
      <w:r w:rsidRPr="00B81E7D">
        <w:rPr>
          <w:rFonts w:cs="Times New Roman"/>
          <w:b/>
          <w:szCs w:val="24"/>
        </w:rPr>
        <w:lastRenderedPageBreak/>
        <w:t xml:space="preserve">Zmiany w ustawie z dnia 22 marca 1989 r. o rzemiośle (art. </w:t>
      </w:r>
      <w:r w:rsidR="003841A3" w:rsidRPr="00B81E7D">
        <w:rPr>
          <w:rFonts w:cs="Times New Roman"/>
          <w:b/>
          <w:szCs w:val="24"/>
        </w:rPr>
        <w:t>6</w:t>
      </w:r>
      <w:r w:rsidR="00F45142" w:rsidRPr="00B81E7D">
        <w:rPr>
          <w:rFonts w:cs="Times New Roman"/>
          <w:b/>
          <w:szCs w:val="24"/>
        </w:rPr>
        <w:t xml:space="preserve"> </w:t>
      </w:r>
      <w:r w:rsidRPr="00B81E7D">
        <w:rPr>
          <w:rFonts w:cs="Times New Roman"/>
          <w:b/>
          <w:szCs w:val="24"/>
        </w:rPr>
        <w:t>projektu).</w:t>
      </w:r>
    </w:p>
    <w:p w:rsidR="00DB0558" w:rsidRPr="00B81E7D" w:rsidRDefault="00DB0558" w:rsidP="000A6809">
      <w:pPr>
        <w:numPr>
          <w:ilvl w:val="2"/>
          <w:numId w:val="11"/>
        </w:numPr>
        <w:spacing w:before="120" w:after="120" w:line="360" w:lineRule="auto"/>
        <w:ind w:left="709" w:hanging="425"/>
        <w:jc w:val="both"/>
        <w:rPr>
          <w:rFonts w:cs="Times New Roman"/>
          <w:i/>
          <w:szCs w:val="24"/>
        </w:rPr>
      </w:pPr>
      <w:r w:rsidRPr="00B81E7D">
        <w:rPr>
          <w:rFonts w:cs="Times New Roman"/>
          <w:i/>
          <w:szCs w:val="24"/>
        </w:rPr>
        <w:t>Rozszerzenie katalogu form prowadzenia działalności gospodarczej przez rzemieślników</w:t>
      </w:r>
      <w:r w:rsidR="00B57A93" w:rsidRPr="00B81E7D">
        <w:rPr>
          <w:rFonts w:cs="Times New Roman"/>
          <w:i/>
          <w:szCs w:val="24"/>
        </w:rPr>
        <w:t xml:space="preserve"> (art. </w:t>
      </w:r>
      <w:r w:rsidR="003841A3" w:rsidRPr="00B81E7D">
        <w:rPr>
          <w:rFonts w:cs="Times New Roman"/>
          <w:i/>
          <w:szCs w:val="24"/>
        </w:rPr>
        <w:t>6</w:t>
      </w:r>
      <w:r w:rsidR="00F45142" w:rsidRPr="00B81E7D">
        <w:rPr>
          <w:rFonts w:cs="Times New Roman"/>
          <w:i/>
          <w:szCs w:val="24"/>
        </w:rPr>
        <w:t xml:space="preserve"> </w:t>
      </w:r>
      <w:r w:rsidR="00B57A93" w:rsidRPr="00B81E7D">
        <w:rPr>
          <w:rFonts w:cs="Times New Roman"/>
          <w:i/>
          <w:szCs w:val="24"/>
        </w:rPr>
        <w:t xml:space="preserve">pkt </w:t>
      </w:r>
      <w:r w:rsidR="00B175FD" w:rsidRPr="00B81E7D">
        <w:rPr>
          <w:rFonts w:cs="Times New Roman"/>
          <w:i/>
          <w:szCs w:val="24"/>
        </w:rPr>
        <w:t xml:space="preserve">2 </w:t>
      </w:r>
      <w:r w:rsidR="00B57A93" w:rsidRPr="00B81E7D">
        <w:rPr>
          <w:rFonts w:cs="Times New Roman"/>
          <w:i/>
          <w:szCs w:val="24"/>
        </w:rPr>
        <w:t>projektu)</w:t>
      </w:r>
      <w:r w:rsidRPr="00B81E7D">
        <w:rPr>
          <w:rFonts w:cs="Times New Roman"/>
          <w:i/>
          <w:szCs w:val="24"/>
        </w:rPr>
        <w:t>.</w:t>
      </w:r>
    </w:p>
    <w:p w:rsidR="00B04375" w:rsidRPr="00B81E7D" w:rsidRDefault="00B04375" w:rsidP="00B421C2">
      <w:pPr>
        <w:spacing w:after="120" w:line="360" w:lineRule="auto"/>
        <w:jc w:val="both"/>
        <w:rPr>
          <w:rFonts w:cs="Times New Roman"/>
          <w:szCs w:val="24"/>
        </w:rPr>
      </w:pPr>
      <w:r w:rsidRPr="00B81E7D">
        <w:rPr>
          <w:rFonts w:cs="Times New Roman"/>
          <w:szCs w:val="24"/>
        </w:rPr>
        <w:t>Zgodnie z aktualnym brzmieniem ustawy o rzemiośle, rzemiosłem jest wykonywanie działalności gospodarczej jedynie przez osobę fizyczną, z wykorzystaniem zawodowych kwalifikacji tej osoby i jej pracy własnej, w imieniu własnym i na rachunek tej osoby - jeżeli jest ona mikroprzedsiębiorcą, małym przedsiębiorc</w:t>
      </w:r>
      <w:r w:rsidR="00B65797" w:rsidRPr="00B81E7D">
        <w:rPr>
          <w:rFonts w:cs="Times New Roman"/>
          <w:szCs w:val="24"/>
        </w:rPr>
        <w:t>ą albo średnim przedsiębiorcą w r</w:t>
      </w:r>
      <w:r w:rsidRPr="00B81E7D">
        <w:rPr>
          <w:rFonts w:cs="Times New Roman"/>
          <w:szCs w:val="24"/>
        </w:rPr>
        <w:t xml:space="preserve">ozumieniu ustawy z dnia 6 marca 2018 r. </w:t>
      </w:r>
      <w:r w:rsidR="00817FA9" w:rsidRPr="00B81E7D">
        <w:rPr>
          <w:rFonts w:cs="Times New Roman"/>
          <w:szCs w:val="24"/>
        </w:rPr>
        <w:t>–</w:t>
      </w:r>
      <w:r w:rsidRPr="00B81E7D">
        <w:rPr>
          <w:rFonts w:cs="Times New Roman"/>
          <w:szCs w:val="24"/>
        </w:rPr>
        <w:t xml:space="preserve"> Prawo</w:t>
      </w:r>
      <w:r w:rsidR="00817FA9" w:rsidRPr="00B81E7D">
        <w:rPr>
          <w:rFonts w:cs="Times New Roman"/>
          <w:szCs w:val="24"/>
        </w:rPr>
        <w:t xml:space="preserve"> </w:t>
      </w:r>
      <w:r w:rsidRPr="00B81E7D">
        <w:rPr>
          <w:rFonts w:cs="Times New Roman"/>
          <w:szCs w:val="24"/>
        </w:rPr>
        <w:t xml:space="preserve">przedsiębiorców lub wspólników spółki cywilnej osób fizycznych. </w:t>
      </w:r>
    </w:p>
    <w:p w:rsidR="00B04375" w:rsidRPr="00B81E7D" w:rsidRDefault="00B04375" w:rsidP="00B421C2">
      <w:pPr>
        <w:spacing w:after="120" w:line="360" w:lineRule="auto"/>
        <w:jc w:val="both"/>
        <w:rPr>
          <w:rFonts w:cs="Times New Roman"/>
          <w:szCs w:val="24"/>
        </w:rPr>
      </w:pPr>
      <w:r w:rsidRPr="00B81E7D">
        <w:rPr>
          <w:rFonts w:cs="Times New Roman"/>
          <w:szCs w:val="24"/>
        </w:rPr>
        <w:t xml:space="preserve">Aktualny stan powoduje zatem trudności w rozpoczynaniu działalności </w:t>
      </w:r>
      <w:r w:rsidR="00B65797" w:rsidRPr="00B81E7D">
        <w:rPr>
          <w:rFonts w:cs="Times New Roman"/>
          <w:szCs w:val="24"/>
        </w:rPr>
        <w:t>gospodarczej w </w:t>
      </w:r>
      <w:r w:rsidRPr="00B81E7D">
        <w:rPr>
          <w:rFonts w:cs="Times New Roman"/>
          <w:szCs w:val="24"/>
        </w:rPr>
        <w:t>rzemiośle w innych formach niż działalność gospodarcza podlegająca wpisowi do CEIDG (przedsiębiorcy</w:t>
      </w:r>
      <w:r w:rsidR="00817FA9" w:rsidRPr="00B81E7D">
        <w:rPr>
          <w:rFonts w:cs="Times New Roman"/>
          <w:szCs w:val="24"/>
        </w:rPr>
        <w:t xml:space="preserve"> – </w:t>
      </w:r>
      <w:r w:rsidRPr="00B81E7D">
        <w:rPr>
          <w:rFonts w:cs="Times New Roman"/>
          <w:szCs w:val="24"/>
        </w:rPr>
        <w:t xml:space="preserve">osoby fizyczne). </w:t>
      </w:r>
      <w:r w:rsidR="009D24E8" w:rsidRPr="00B81E7D">
        <w:rPr>
          <w:rFonts w:cs="Times New Roman"/>
          <w:szCs w:val="24"/>
        </w:rPr>
        <w:t>Obecnie osoby, które zamierzają rozpocząć działalność w oparciu o posiadane zawodowe kwalifikacje (dyplom mistrza lub świadectwo czeladnika w danej dziedzinie) nie mogą wybrać jako formy prowadzenia działalności gospodarczej spółki prawa handlowego, tj. spółki jawnej czy kapitałowej, bowiem wówczas taka działalność nie może być nazwana rzemiosłem.</w:t>
      </w:r>
      <w:r w:rsidR="00B65797" w:rsidRPr="00B81E7D">
        <w:rPr>
          <w:rFonts w:cs="Times New Roman"/>
          <w:szCs w:val="24"/>
        </w:rPr>
        <w:t xml:space="preserve"> S</w:t>
      </w:r>
      <w:r w:rsidRPr="00B81E7D">
        <w:rPr>
          <w:rFonts w:cs="Times New Roman"/>
          <w:szCs w:val="24"/>
        </w:rPr>
        <w:t>ą niejako „skazane” na podjęcie działalności gospodarczej na podstawie wpisu w CEIDG</w:t>
      </w:r>
      <w:r w:rsidR="00B65797" w:rsidRPr="00B81E7D">
        <w:rPr>
          <w:rFonts w:cs="Times New Roman"/>
          <w:szCs w:val="24"/>
        </w:rPr>
        <w:t>, a </w:t>
      </w:r>
      <w:r w:rsidRPr="00B81E7D">
        <w:rPr>
          <w:rFonts w:cs="Times New Roman"/>
          <w:szCs w:val="24"/>
        </w:rPr>
        <w:t>w</w:t>
      </w:r>
      <w:r w:rsidR="00B65797" w:rsidRPr="00B81E7D">
        <w:rPr>
          <w:rFonts w:cs="Times New Roman"/>
          <w:szCs w:val="24"/>
        </w:rPr>
        <w:t> </w:t>
      </w:r>
      <w:r w:rsidRPr="00B81E7D">
        <w:rPr>
          <w:rFonts w:cs="Times New Roman"/>
          <w:szCs w:val="24"/>
        </w:rPr>
        <w:t xml:space="preserve">przypadku wspólnego z innym przedsiębiorcą (ale tylko rzemieślnikiem) wykonywania działalności gospodarczej </w:t>
      </w:r>
      <w:r w:rsidR="00B65797" w:rsidRPr="00B81E7D">
        <w:rPr>
          <w:rFonts w:cs="Times New Roman"/>
          <w:szCs w:val="24"/>
        </w:rPr>
        <w:t xml:space="preserve">– </w:t>
      </w:r>
      <w:r w:rsidRPr="00B81E7D">
        <w:rPr>
          <w:rFonts w:cs="Times New Roman"/>
          <w:szCs w:val="24"/>
        </w:rPr>
        <w:t>na</w:t>
      </w:r>
      <w:r w:rsidR="00B4541D">
        <w:rPr>
          <w:rFonts w:cs="Times New Roman"/>
          <w:szCs w:val="24"/>
        </w:rPr>
        <w:t> </w:t>
      </w:r>
      <w:r w:rsidRPr="00B81E7D">
        <w:rPr>
          <w:rFonts w:cs="Times New Roman"/>
          <w:szCs w:val="24"/>
        </w:rPr>
        <w:t>zawarcie umowy spółki cywilnej. Jednocześnie aktualna definicja wskazuje, że rzemiosło może być wykonywane przez średniego przedsiębiorcę (zatrudnienie średnioroczne poniżej 250 osób oraz  roczny obrót netto nieprzekraczający równowartości w złot</w:t>
      </w:r>
      <w:r w:rsidR="001C107F" w:rsidRPr="00B81E7D">
        <w:rPr>
          <w:rFonts w:cs="Times New Roman"/>
          <w:szCs w:val="24"/>
        </w:rPr>
        <w:t>ych 50 milionów euro</w:t>
      </w:r>
      <w:r w:rsidR="00B65797" w:rsidRPr="00B81E7D">
        <w:rPr>
          <w:rFonts w:cs="Times New Roman"/>
          <w:szCs w:val="24"/>
        </w:rPr>
        <w:t>), który</w:t>
      </w:r>
      <w:r w:rsidRPr="00B81E7D">
        <w:rPr>
          <w:rFonts w:cs="Times New Roman"/>
          <w:szCs w:val="24"/>
        </w:rPr>
        <w:t xml:space="preserve"> z uwagi na rozmiar i charakter produkcji, jej organizację i ciągłość</w:t>
      </w:r>
      <w:r w:rsidR="00B65797" w:rsidRPr="00B81E7D">
        <w:rPr>
          <w:rFonts w:cs="Times New Roman"/>
          <w:szCs w:val="24"/>
        </w:rPr>
        <w:t>,</w:t>
      </w:r>
      <w:r w:rsidRPr="00B81E7D">
        <w:rPr>
          <w:rFonts w:cs="Times New Roman"/>
          <w:szCs w:val="24"/>
        </w:rPr>
        <w:t xml:space="preserve"> wybiera ja</w:t>
      </w:r>
      <w:r w:rsidR="001C107F" w:rsidRPr="00B81E7D">
        <w:rPr>
          <w:rFonts w:cs="Times New Roman"/>
          <w:szCs w:val="24"/>
        </w:rPr>
        <w:t>ko formę wykonywania działalności gospodarczej</w:t>
      </w:r>
      <w:r w:rsidRPr="00B81E7D">
        <w:rPr>
          <w:rFonts w:cs="Times New Roman"/>
          <w:szCs w:val="24"/>
        </w:rPr>
        <w:t xml:space="preserve"> spółkę prawa handlowego. Wielkość firmy jest zatem czynnikiem decydującym o jej formie prawno-organizacyjnej. Wśród fir</w:t>
      </w:r>
      <w:r w:rsidR="00B65797" w:rsidRPr="00B81E7D">
        <w:rPr>
          <w:rFonts w:cs="Times New Roman"/>
          <w:szCs w:val="24"/>
        </w:rPr>
        <w:t>m mikro dominują osoby fizyczne</w:t>
      </w:r>
      <w:r w:rsidRPr="00B81E7D">
        <w:rPr>
          <w:rFonts w:cs="Times New Roman"/>
          <w:szCs w:val="24"/>
        </w:rPr>
        <w:t xml:space="preserve"> prowadzące wła</w:t>
      </w:r>
      <w:r w:rsidR="00B65797" w:rsidRPr="00B81E7D">
        <w:rPr>
          <w:rFonts w:cs="Times New Roman"/>
          <w:szCs w:val="24"/>
        </w:rPr>
        <w:t>sną działalność gospodarczą, ale</w:t>
      </w:r>
      <w:r w:rsidRPr="00B81E7D">
        <w:rPr>
          <w:rFonts w:cs="Times New Roman"/>
          <w:szCs w:val="24"/>
        </w:rPr>
        <w:t xml:space="preserve"> wraz ze wzrostem wielkości firmy na znaczeniu coraz bardziej zyskują inne formy prawne, przede wszystkim spółki z o.o. lub jawne.</w:t>
      </w:r>
    </w:p>
    <w:p w:rsidR="00B04375" w:rsidRPr="00B81E7D" w:rsidRDefault="00B04375" w:rsidP="00B421C2">
      <w:pPr>
        <w:spacing w:after="120" w:line="360" w:lineRule="auto"/>
        <w:jc w:val="both"/>
        <w:rPr>
          <w:rFonts w:cs="Times New Roman"/>
          <w:szCs w:val="24"/>
        </w:rPr>
      </w:pPr>
      <w:r w:rsidRPr="00B81E7D">
        <w:rPr>
          <w:rFonts w:cs="Times New Roman"/>
          <w:szCs w:val="24"/>
        </w:rPr>
        <w:t>Dostępne formy prawne prowadzenia rzemieślniczej działaln</w:t>
      </w:r>
      <w:r w:rsidR="00B65797" w:rsidRPr="00B81E7D">
        <w:rPr>
          <w:rFonts w:cs="Times New Roman"/>
          <w:szCs w:val="24"/>
        </w:rPr>
        <w:t>ości gospodarczej nie są więc w </w:t>
      </w:r>
      <w:r w:rsidRPr="00B81E7D">
        <w:rPr>
          <w:rFonts w:cs="Times New Roman"/>
          <w:szCs w:val="24"/>
        </w:rPr>
        <w:t xml:space="preserve">pełni adekwatne do potrzeb zgłaszanych przez przedsiębiorców oraz samorząd gospodarczy. </w:t>
      </w:r>
    </w:p>
    <w:p w:rsidR="00B04375" w:rsidRPr="00B81E7D" w:rsidRDefault="00B04375" w:rsidP="00B421C2">
      <w:pPr>
        <w:spacing w:after="120" w:line="360" w:lineRule="auto"/>
        <w:jc w:val="both"/>
        <w:rPr>
          <w:rFonts w:cs="Times New Roman"/>
          <w:szCs w:val="24"/>
        </w:rPr>
      </w:pPr>
      <w:r w:rsidRPr="00B81E7D">
        <w:rPr>
          <w:rFonts w:cs="Times New Roman"/>
          <w:szCs w:val="24"/>
        </w:rPr>
        <w:t xml:space="preserve">Tak skonstruowana definicja rzemiosła, zakładająca </w:t>
      </w:r>
      <w:r w:rsidR="00B4541D">
        <w:rPr>
          <w:rFonts w:cs="Times New Roman"/>
          <w:szCs w:val="24"/>
        </w:rPr>
        <w:t>konieczność posiadania przez co </w:t>
      </w:r>
      <w:r w:rsidRPr="00B81E7D">
        <w:rPr>
          <w:rFonts w:cs="Times New Roman"/>
          <w:szCs w:val="24"/>
        </w:rPr>
        <w:t>najmniej jednego ze wsp</w:t>
      </w:r>
      <w:r w:rsidR="00B65797" w:rsidRPr="00B81E7D">
        <w:rPr>
          <w:rFonts w:cs="Times New Roman"/>
          <w:szCs w:val="24"/>
        </w:rPr>
        <w:t>ólników kwalifikacji zawodowych</w:t>
      </w:r>
      <w:r w:rsidR="009D24E8" w:rsidRPr="00B81E7D">
        <w:rPr>
          <w:rFonts w:cs="Times New Roman"/>
          <w:szCs w:val="24"/>
        </w:rPr>
        <w:t xml:space="preserve"> (mistrz, czeladnik)</w:t>
      </w:r>
      <w:r w:rsidR="00B4541D">
        <w:rPr>
          <w:rFonts w:cs="Times New Roman"/>
          <w:szCs w:val="24"/>
        </w:rPr>
        <w:t xml:space="preserve"> sprawia, </w:t>
      </w:r>
      <w:r w:rsidR="00B4541D">
        <w:rPr>
          <w:rFonts w:cs="Times New Roman"/>
          <w:szCs w:val="24"/>
        </w:rPr>
        <w:lastRenderedPageBreak/>
        <w:t>że </w:t>
      </w:r>
      <w:r w:rsidRPr="00B81E7D">
        <w:rPr>
          <w:rFonts w:cs="Times New Roman"/>
          <w:szCs w:val="24"/>
        </w:rPr>
        <w:t xml:space="preserve">wykonywanie działalności gospodarczej w danej branży np. cukierniczej, kosmetycznej będzie oparte na wysokich standardach. </w:t>
      </w:r>
    </w:p>
    <w:p w:rsidR="00B04375" w:rsidRPr="00B81E7D" w:rsidRDefault="009D24E8" w:rsidP="00B421C2">
      <w:pPr>
        <w:spacing w:after="120" w:line="360" w:lineRule="auto"/>
        <w:jc w:val="both"/>
        <w:rPr>
          <w:rFonts w:cs="Times New Roman"/>
          <w:szCs w:val="24"/>
        </w:rPr>
      </w:pPr>
      <w:r w:rsidRPr="00B81E7D">
        <w:rPr>
          <w:rFonts w:cs="Times New Roman"/>
          <w:szCs w:val="24"/>
        </w:rPr>
        <w:t xml:space="preserve">Rozszerzenie definicji o spółki osobowe i jednoosobową spółkę kapitałową umożliwi przedsiębiorcom posiadającym dyplom czeladnika lub mistrza kształcenie młodzieży w rzemiośle i tym samym zwiększy liczbę uczniów realizujących przygotowanie zawodowe w rzemiośle przystępujących do egzaminu czeladniczego w rzemiośle. </w:t>
      </w:r>
      <w:r w:rsidR="00B65797" w:rsidRPr="00B81E7D">
        <w:rPr>
          <w:rFonts w:cs="Times New Roman"/>
          <w:szCs w:val="24"/>
        </w:rPr>
        <w:t>Nauka w </w:t>
      </w:r>
      <w:r w:rsidR="00B04375" w:rsidRPr="00B81E7D">
        <w:rPr>
          <w:rFonts w:cs="Times New Roman"/>
          <w:szCs w:val="24"/>
        </w:rPr>
        <w:t xml:space="preserve">rzemiośle łączy bowiem naukę u rzemieślnika (praktyka) z kształceniem w szkole (nauka teoretyczna), przyczyniając się do budowy nowego zaplecza przyszłych fachowców, którzy zasilają potencjał firm. </w:t>
      </w:r>
      <w:r w:rsidR="00B65797" w:rsidRPr="00B81E7D">
        <w:rPr>
          <w:rFonts w:cs="Times New Roman"/>
          <w:szCs w:val="24"/>
        </w:rPr>
        <w:t>Jednocześnie</w:t>
      </w:r>
      <w:r w:rsidR="00B04375" w:rsidRPr="00B81E7D">
        <w:rPr>
          <w:rFonts w:cs="Times New Roman"/>
          <w:szCs w:val="24"/>
        </w:rPr>
        <w:t xml:space="preserve"> młodzież uzyska dostęp do szerszej oferty edukacyjnej (w wielu przypadkach dostęp do nowoczesnych, innowacyjnych linii produkcyjnych) </w:t>
      </w:r>
      <w:r w:rsidR="00B65797" w:rsidRPr="00B81E7D">
        <w:rPr>
          <w:rFonts w:cs="Times New Roman"/>
          <w:szCs w:val="24"/>
        </w:rPr>
        <w:t>w </w:t>
      </w:r>
      <w:r w:rsidR="00B04375" w:rsidRPr="00B81E7D">
        <w:rPr>
          <w:rFonts w:cs="Times New Roman"/>
          <w:szCs w:val="24"/>
        </w:rPr>
        <w:t>ramach praktyki realizowanej w spółkach prawa handlowego.</w:t>
      </w:r>
    </w:p>
    <w:p w:rsidR="00B04375" w:rsidRPr="00B81E7D" w:rsidRDefault="00B04375" w:rsidP="00B421C2">
      <w:pPr>
        <w:spacing w:after="120" w:line="360" w:lineRule="auto"/>
        <w:jc w:val="both"/>
        <w:rPr>
          <w:rFonts w:cs="Times New Roman"/>
          <w:szCs w:val="24"/>
        </w:rPr>
      </w:pPr>
      <w:r w:rsidRPr="00B81E7D">
        <w:rPr>
          <w:rFonts w:cs="Times New Roman"/>
          <w:szCs w:val="24"/>
        </w:rPr>
        <w:t>Należy podkreślić, że firmy rzemieślnicze to głównie f</w:t>
      </w:r>
      <w:r w:rsidR="00B65797" w:rsidRPr="00B81E7D">
        <w:rPr>
          <w:rFonts w:cs="Times New Roman"/>
          <w:szCs w:val="24"/>
        </w:rPr>
        <w:t>irmy rodzinne. Poprzez udział w </w:t>
      </w:r>
      <w:r w:rsidRPr="00B81E7D">
        <w:rPr>
          <w:rFonts w:cs="Times New Roman"/>
          <w:szCs w:val="24"/>
        </w:rPr>
        <w:t xml:space="preserve">spółkach osobowych i kapitałowych członków najbliższej rodziny możliwy będzie transfer wiedzy, doświadczenia w zarządzaniu oraz wspólnego wypracowania strategii dalszego rozwoju firmy z zachowaniem indywidualnych dla danego </w:t>
      </w:r>
      <w:r w:rsidR="00B4541D">
        <w:rPr>
          <w:rFonts w:cs="Times New Roman"/>
          <w:szCs w:val="24"/>
        </w:rPr>
        <w:t>biznesu i rodziny wartości. Tym </w:t>
      </w:r>
      <w:r w:rsidRPr="00B81E7D">
        <w:rPr>
          <w:rFonts w:cs="Times New Roman"/>
          <w:szCs w:val="24"/>
        </w:rPr>
        <w:t>samym możliwa będzie sukcesja międzypokoleniowa, dzięki której dana firma rzemieślnicza będzie miała szansę istnieć i rozwijać się nadal. Rozszerzenie definicji rzemiosła o inne formy prawne prowadzenia działalności gospodarczej będzie zapobiegała likwidacji firm rzemieślniczych wraz ze śmiercią przedsiębiorcy</w:t>
      </w:r>
      <w:r w:rsidR="00817FA9" w:rsidRPr="00B81E7D">
        <w:rPr>
          <w:rFonts w:cs="Times New Roman"/>
          <w:szCs w:val="24"/>
        </w:rPr>
        <w:t xml:space="preserve"> – </w:t>
      </w:r>
      <w:r w:rsidR="00F02B7B" w:rsidRPr="00B81E7D">
        <w:rPr>
          <w:rFonts w:cs="Times New Roman"/>
          <w:szCs w:val="24"/>
        </w:rPr>
        <w:t>rzemieślnika.</w:t>
      </w:r>
    </w:p>
    <w:p w:rsidR="00B04375" w:rsidRPr="00B81E7D" w:rsidRDefault="00B04375" w:rsidP="00B421C2">
      <w:pPr>
        <w:spacing w:after="120" w:line="360" w:lineRule="auto"/>
        <w:jc w:val="both"/>
        <w:rPr>
          <w:rFonts w:cs="Times New Roman"/>
          <w:szCs w:val="24"/>
        </w:rPr>
      </w:pPr>
      <w:r w:rsidRPr="00B81E7D">
        <w:rPr>
          <w:rFonts w:cs="Times New Roman"/>
          <w:szCs w:val="24"/>
        </w:rPr>
        <w:t>Biorąc pod uwagę konieczność stworzenia warunków do rozwoju firm rzemieślniczych mających głównie charakter rodzinny, które pozwolą na dobór optymalnej dla danej działalności gospodarczej formy prawnej</w:t>
      </w:r>
      <w:r w:rsidR="00F02B7B" w:rsidRPr="00B81E7D">
        <w:rPr>
          <w:rFonts w:cs="Times New Roman"/>
          <w:szCs w:val="24"/>
        </w:rPr>
        <w:t>,</w:t>
      </w:r>
      <w:r w:rsidRPr="00B81E7D">
        <w:rPr>
          <w:rFonts w:cs="Times New Roman"/>
          <w:szCs w:val="24"/>
        </w:rPr>
        <w:t xml:space="preserve"> zapewniającej szybkie reagowanie na zmiany zachodzące w otoczeniu biznesowym, istnieje potrzeba wprowadzenia regulacji, które zapewni</w:t>
      </w:r>
      <w:r w:rsidR="00F02B7B" w:rsidRPr="00B81E7D">
        <w:rPr>
          <w:rFonts w:cs="Times New Roman"/>
          <w:szCs w:val="24"/>
        </w:rPr>
        <w:t>ą</w:t>
      </w:r>
      <w:r w:rsidRPr="00B81E7D">
        <w:rPr>
          <w:rFonts w:cs="Times New Roman"/>
          <w:szCs w:val="24"/>
        </w:rPr>
        <w:t xml:space="preserve"> odpowiednią elastyczność i swobodę działania.</w:t>
      </w:r>
    </w:p>
    <w:p w:rsidR="00BF3234" w:rsidRPr="00B81E7D" w:rsidRDefault="00BF3234" w:rsidP="000A6809">
      <w:pPr>
        <w:numPr>
          <w:ilvl w:val="2"/>
          <w:numId w:val="11"/>
        </w:numPr>
        <w:spacing w:before="120" w:after="120" w:line="360" w:lineRule="auto"/>
        <w:ind w:left="709" w:hanging="425"/>
        <w:jc w:val="both"/>
        <w:rPr>
          <w:rFonts w:cs="Times New Roman"/>
          <w:i/>
          <w:szCs w:val="24"/>
        </w:rPr>
      </w:pPr>
      <w:r w:rsidRPr="00B81E7D">
        <w:rPr>
          <w:rFonts w:cs="Times New Roman"/>
          <w:i/>
          <w:szCs w:val="24"/>
        </w:rPr>
        <w:t xml:space="preserve">Udostępnianie w CEIDG informacji o kwalifikacjach rzemieślnika (art. </w:t>
      </w:r>
      <w:r w:rsidR="003841A3" w:rsidRPr="00B81E7D">
        <w:rPr>
          <w:rFonts w:cs="Times New Roman"/>
          <w:i/>
          <w:szCs w:val="24"/>
        </w:rPr>
        <w:t>6</w:t>
      </w:r>
      <w:r w:rsidR="00B175FD" w:rsidRPr="00B81E7D">
        <w:rPr>
          <w:rFonts w:cs="Times New Roman"/>
          <w:i/>
          <w:szCs w:val="24"/>
        </w:rPr>
        <w:t xml:space="preserve"> </w:t>
      </w:r>
      <w:r w:rsidRPr="00B81E7D">
        <w:rPr>
          <w:rFonts w:cs="Times New Roman"/>
          <w:i/>
          <w:szCs w:val="24"/>
        </w:rPr>
        <w:t xml:space="preserve">pkt </w:t>
      </w:r>
      <w:r w:rsidR="00770481">
        <w:rPr>
          <w:rFonts w:cs="Times New Roman"/>
          <w:i/>
          <w:szCs w:val="24"/>
        </w:rPr>
        <w:t xml:space="preserve">4b </w:t>
      </w:r>
      <w:r w:rsidRPr="00B81E7D">
        <w:rPr>
          <w:rFonts w:cs="Times New Roman"/>
          <w:i/>
          <w:szCs w:val="24"/>
        </w:rPr>
        <w:t xml:space="preserve">i </w:t>
      </w:r>
      <w:r w:rsidR="00770481">
        <w:rPr>
          <w:rFonts w:cs="Times New Roman"/>
          <w:i/>
          <w:szCs w:val="24"/>
        </w:rPr>
        <w:t>7</w:t>
      </w:r>
      <w:r w:rsidR="00B175FD" w:rsidRPr="00B81E7D">
        <w:rPr>
          <w:rFonts w:cs="Times New Roman"/>
          <w:i/>
          <w:szCs w:val="24"/>
        </w:rPr>
        <w:t xml:space="preserve"> </w:t>
      </w:r>
      <w:r w:rsidRPr="00B81E7D">
        <w:rPr>
          <w:rFonts w:cs="Times New Roman"/>
          <w:i/>
          <w:szCs w:val="24"/>
        </w:rPr>
        <w:t>projektu).</w:t>
      </w:r>
    </w:p>
    <w:p w:rsidR="00BF3234" w:rsidRPr="00B81E7D" w:rsidRDefault="00BF3234" w:rsidP="00B421C2">
      <w:pPr>
        <w:spacing w:after="120" w:line="360" w:lineRule="auto"/>
        <w:jc w:val="both"/>
        <w:rPr>
          <w:rFonts w:cs="Times New Roman"/>
          <w:szCs w:val="24"/>
        </w:rPr>
      </w:pPr>
      <w:r w:rsidRPr="00B81E7D">
        <w:rPr>
          <w:rFonts w:cs="Times New Roman"/>
          <w:szCs w:val="24"/>
        </w:rPr>
        <w:t>Zmiana w art. 3 oraz 11 ustawy o rzemiośle wynika z dostosowania do zmian planowanych w ustawie o Centralnej Ewidencji i Informacji o Działalności Gospodarczej i Punkcie Informacji dla Przedsiębiorcy polegających na udostępnianiu w CEIDG informacji o posiadanych przez rzemieślnika kwalifikacjach (dyplomie mistrza lub czeladnika). Przepis ma na celu stworzenie podstawy do publikowania ww. danych za pośrednictwem CEIDG.</w:t>
      </w:r>
    </w:p>
    <w:p w:rsidR="00BF3234" w:rsidRPr="00B81E7D" w:rsidRDefault="00BF3234" w:rsidP="00B421C2">
      <w:pPr>
        <w:spacing w:after="120" w:line="360" w:lineRule="auto"/>
        <w:jc w:val="both"/>
        <w:rPr>
          <w:rFonts w:cs="Times New Roman"/>
          <w:szCs w:val="24"/>
        </w:rPr>
      </w:pPr>
      <w:r w:rsidRPr="00B81E7D">
        <w:rPr>
          <w:rFonts w:cs="Times New Roman"/>
          <w:szCs w:val="24"/>
        </w:rPr>
        <w:lastRenderedPageBreak/>
        <w:t>Informacje w zakresie posiadanych przez rzemieślnika uprawnień będą podpisywane przez poszczególne izby rzemieślnicze na wniosek przedsiębiorcy. W związku z powyższym, niezbędne jest rozszerzenie zakresu zadań izb rzemieślniczych o zadania wynikające z ustawy o CEIDG i PIP.</w:t>
      </w:r>
    </w:p>
    <w:p w:rsidR="00B57A93" w:rsidRPr="00B81E7D" w:rsidRDefault="00B57A93" w:rsidP="000A6809">
      <w:pPr>
        <w:numPr>
          <w:ilvl w:val="2"/>
          <w:numId w:val="11"/>
        </w:numPr>
        <w:spacing w:before="120" w:after="120" w:line="360" w:lineRule="auto"/>
        <w:ind w:left="709" w:hanging="425"/>
        <w:jc w:val="both"/>
        <w:rPr>
          <w:rFonts w:cs="Times New Roman"/>
          <w:i/>
          <w:szCs w:val="24"/>
        </w:rPr>
      </w:pPr>
      <w:r w:rsidRPr="00B81E7D">
        <w:rPr>
          <w:rFonts w:cs="Times New Roman"/>
          <w:i/>
          <w:szCs w:val="24"/>
        </w:rPr>
        <w:t xml:space="preserve">Aktualizacja przepisów (art. </w:t>
      </w:r>
      <w:r w:rsidR="003841A3" w:rsidRPr="00B81E7D">
        <w:rPr>
          <w:rFonts w:cs="Times New Roman"/>
          <w:i/>
          <w:szCs w:val="24"/>
        </w:rPr>
        <w:t>6</w:t>
      </w:r>
      <w:r w:rsidR="00B175FD" w:rsidRPr="00B81E7D">
        <w:rPr>
          <w:rFonts w:cs="Times New Roman"/>
          <w:i/>
          <w:szCs w:val="24"/>
        </w:rPr>
        <w:t xml:space="preserve"> </w:t>
      </w:r>
      <w:r w:rsidRPr="00B81E7D">
        <w:rPr>
          <w:rFonts w:cs="Times New Roman"/>
          <w:i/>
          <w:szCs w:val="24"/>
        </w:rPr>
        <w:t xml:space="preserve">pkt </w:t>
      </w:r>
      <w:r w:rsidR="00830D02" w:rsidRPr="00B81E7D">
        <w:rPr>
          <w:rFonts w:cs="Times New Roman"/>
          <w:i/>
          <w:szCs w:val="24"/>
        </w:rPr>
        <w:t>1,</w:t>
      </w:r>
      <w:r w:rsidR="00770481">
        <w:rPr>
          <w:rFonts w:cs="Times New Roman"/>
          <w:i/>
          <w:szCs w:val="24"/>
        </w:rPr>
        <w:t xml:space="preserve"> 2, </w:t>
      </w:r>
      <w:r w:rsidR="00BF3234" w:rsidRPr="00B81E7D">
        <w:rPr>
          <w:rFonts w:cs="Times New Roman"/>
          <w:i/>
          <w:szCs w:val="24"/>
        </w:rPr>
        <w:t>3</w:t>
      </w:r>
      <w:r w:rsidR="00830D02" w:rsidRPr="00B81E7D">
        <w:rPr>
          <w:rFonts w:cs="Times New Roman"/>
          <w:i/>
          <w:szCs w:val="24"/>
        </w:rPr>
        <w:t>,</w:t>
      </w:r>
      <w:r w:rsidR="00F059AC">
        <w:rPr>
          <w:rFonts w:cs="Times New Roman"/>
          <w:i/>
          <w:szCs w:val="24"/>
        </w:rPr>
        <w:t xml:space="preserve"> </w:t>
      </w:r>
      <w:r w:rsidR="00830D02" w:rsidRPr="00B81E7D">
        <w:rPr>
          <w:rFonts w:cs="Times New Roman"/>
          <w:i/>
          <w:szCs w:val="24"/>
        </w:rPr>
        <w:t>4,</w:t>
      </w:r>
      <w:r w:rsidR="00F059AC">
        <w:rPr>
          <w:rFonts w:cs="Times New Roman"/>
          <w:i/>
          <w:szCs w:val="24"/>
        </w:rPr>
        <w:t xml:space="preserve"> </w:t>
      </w:r>
      <w:r w:rsidR="00830D02" w:rsidRPr="00B81E7D">
        <w:rPr>
          <w:rFonts w:cs="Times New Roman"/>
          <w:i/>
          <w:szCs w:val="24"/>
        </w:rPr>
        <w:t>6</w:t>
      </w:r>
      <w:r w:rsidR="00770481">
        <w:rPr>
          <w:rFonts w:cs="Times New Roman"/>
          <w:i/>
          <w:szCs w:val="24"/>
        </w:rPr>
        <w:t xml:space="preserve"> </w:t>
      </w:r>
      <w:r w:rsidRPr="00B81E7D">
        <w:rPr>
          <w:rFonts w:cs="Times New Roman"/>
          <w:i/>
          <w:szCs w:val="24"/>
        </w:rPr>
        <w:t>projektu).</w:t>
      </w:r>
    </w:p>
    <w:p w:rsidR="00830D02" w:rsidRPr="00B81E7D" w:rsidRDefault="00711735" w:rsidP="00B421C2">
      <w:pPr>
        <w:spacing w:after="120" w:line="360" w:lineRule="auto"/>
        <w:jc w:val="both"/>
        <w:rPr>
          <w:rFonts w:cs="Times New Roman"/>
          <w:szCs w:val="24"/>
        </w:rPr>
      </w:pPr>
      <w:r w:rsidRPr="00B81E7D">
        <w:rPr>
          <w:rFonts w:cs="Times New Roman"/>
          <w:szCs w:val="24"/>
        </w:rPr>
        <w:t xml:space="preserve">Proponowana zmiana w ustawie o rzemiośle jest konsekwencją rozszerzenia definicji rzemiosła poprzez uznanie, że rzemiosłem jest wykonywanie działalności gospodarczej także przez spółki osobowe i jednoosobową spółkę kapitałową. Pojęcie rzemieślnika będzie odnosiło się już nie tylko do osoby fizycznej ale także do osoby prawnej. </w:t>
      </w:r>
    </w:p>
    <w:p w:rsidR="00830D02" w:rsidRPr="00B81E7D" w:rsidRDefault="00830D02" w:rsidP="00B421C2">
      <w:pPr>
        <w:spacing w:after="120" w:line="360" w:lineRule="auto"/>
        <w:jc w:val="both"/>
        <w:rPr>
          <w:rFonts w:cs="Times New Roman"/>
          <w:szCs w:val="24"/>
        </w:rPr>
      </w:pPr>
      <w:r w:rsidRPr="00B81E7D">
        <w:rPr>
          <w:rFonts w:cs="Times New Roman"/>
          <w:szCs w:val="24"/>
        </w:rPr>
        <w:t>Tym samym niezbędne było prowadzenie zmian co d</w:t>
      </w:r>
      <w:r w:rsidR="003972A8" w:rsidRPr="00B81E7D">
        <w:rPr>
          <w:rFonts w:cs="Times New Roman"/>
          <w:szCs w:val="24"/>
        </w:rPr>
        <w:t>o zakresu podmiotowego ustawy i </w:t>
      </w:r>
      <w:r w:rsidRPr="00B81E7D">
        <w:rPr>
          <w:rFonts w:cs="Times New Roman"/>
          <w:szCs w:val="24"/>
        </w:rPr>
        <w:t>wskazanie, że nie odnosi się ona jedynie do osób fiz</w:t>
      </w:r>
      <w:r w:rsidR="00B4541D">
        <w:rPr>
          <w:rFonts w:cs="Times New Roman"/>
          <w:szCs w:val="24"/>
        </w:rPr>
        <w:t>ycznych lecz szerszej grupy tj. </w:t>
      </w:r>
      <w:r w:rsidRPr="00B81E7D">
        <w:rPr>
          <w:rFonts w:cs="Times New Roman"/>
          <w:szCs w:val="24"/>
        </w:rPr>
        <w:t>przedsiębiorców wykonujący działalność gospodarczą na podstawie ustawy z dnia 6 marca 2018 r. - Prawo przedsiębiorców. Zgodnie z art. 4 ust. 1 przedsiębiorcą jest osoba fizyczna, osoba prawna lub jednostka organizacyjna niebędąca osobą prawną, której odrębna ustawa przyznaje zdolność prawną, wyko</w:t>
      </w:r>
      <w:r w:rsidR="00F02B7B" w:rsidRPr="00B81E7D">
        <w:rPr>
          <w:rFonts w:cs="Times New Roman"/>
          <w:szCs w:val="24"/>
        </w:rPr>
        <w:t>nująca działalność gospodarczą.</w:t>
      </w:r>
    </w:p>
    <w:p w:rsidR="00830D02" w:rsidRPr="00B81E7D" w:rsidRDefault="00830D02" w:rsidP="00B421C2">
      <w:pPr>
        <w:spacing w:after="120" w:line="360" w:lineRule="auto"/>
        <w:jc w:val="both"/>
        <w:rPr>
          <w:rFonts w:cs="Times New Roman"/>
          <w:szCs w:val="24"/>
        </w:rPr>
      </w:pPr>
      <w:r w:rsidRPr="00B81E7D">
        <w:rPr>
          <w:rFonts w:cs="Times New Roman"/>
          <w:szCs w:val="24"/>
        </w:rPr>
        <w:t>Niezbędne było również wskazanie, że rzemieślnikiem jest osoba fizyczna, w tym wspólnik spółki cywilnej</w:t>
      </w:r>
      <w:r w:rsidR="00F02B7B" w:rsidRPr="00B81E7D">
        <w:rPr>
          <w:rFonts w:cs="Times New Roman"/>
          <w:szCs w:val="24"/>
        </w:rPr>
        <w:t>,</w:t>
      </w:r>
      <w:r w:rsidRPr="00B81E7D">
        <w:rPr>
          <w:rFonts w:cs="Times New Roman"/>
          <w:szCs w:val="24"/>
        </w:rPr>
        <w:t xml:space="preserve"> wykonująca działalność gospodarczą z wykorzystaniem zawodowych kwalifikacji</w:t>
      </w:r>
      <w:r w:rsidR="00F02B7B" w:rsidRPr="00B81E7D">
        <w:rPr>
          <w:rFonts w:cs="Times New Roman"/>
          <w:szCs w:val="24"/>
        </w:rPr>
        <w:t>,</w:t>
      </w:r>
      <w:r w:rsidRPr="00B81E7D">
        <w:rPr>
          <w:rFonts w:cs="Times New Roman"/>
          <w:szCs w:val="24"/>
        </w:rPr>
        <w:t xml:space="preserve"> oraz spółka jawna, komandytowa, komandytowo-akcyjna oraz jednoosobowa </w:t>
      </w:r>
      <w:r w:rsidR="00613903" w:rsidRPr="00B81E7D">
        <w:rPr>
          <w:rFonts w:cs="Times New Roman"/>
          <w:szCs w:val="24"/>
        </w:rPr>
        <w:t xml:space="preserve">spółka kapitałowa, z udziałem wspólników posiadających kwalifikacje zawodowe (dyplom mistrza lub czeladnika), a także spółki, w których tylko niektórzy wspólnicy mają kwalifikacje (dyplom mistrza lub czeladnika), </w:t>
      </w:r>
      <w:r w:rsidRPr="00B81E7D">
        <w:rPr>
          <w:rFonts w:cs="Times New Roman"/>
          <w:szCs w:val="24"/>
        </w:rPr>
        <w:t>tyle, że w t</w:t>
      </w:r>
      <w:r w:rsidR="00B4541D">
        <w:rPr>
          <w:rFonts w:cs="Times New Roman"/>
          <w:szCs w:val="24"/>
        </w:rPr>
        <w:t>ym przypadku warunkiem jest,</w:t>
      </w:r>
      <w:r w:rsidR="004875D7">
        <w:rPr>
          <w:rFonts w:cs="Times New Roman"/>
          <w:szCs w:val="24"/>
        </w:rPr>
        <w:t> </w:t>
      </w:r>
      <w:r w:rsidR="00B4541D">
        <w:rPr>
          <w:rFonts w:cs="Times New Roman"/>
          <w:szCs w:val="24"/>
        </w:rPr>
        <w:t>że </w:t>
      </w:r>
      <w:r w:rsidRPr="00B81E7D">
        <w:rPr>
          <w:rFonts w:cs="Times New Roman"/>
          <w:szCs w:val="24"/>
        </w:rPr>
        <w:t>pozostali wspólnicy są spokrewnieni z tym wspólnikami (małżonek lub krewni w linii prostej – wstępni i zstępni).</w:t>
      </w:r>
    </w:p>
    <w:p w:rsidR="00830D02" w:rsidRPr="00B81E7D" w:rsidRDefault="00830D02" w:rsidP="00B421C2">
      <w:pPr>
        <w:spacing w:after="120" w:line="360" w:lineRule="auto"/>
        <w:jc w:val="both"/>
        <w:rPr>
          <w:rFonts w:cs="Times New Roman"/>
          <w:szCs w:val="24"/>
        </w:rPr>
      </w:pPr>
      <w:r w:rsidRPr="00B81E7D">
        <w:rPr>
          <w:rFonts w:cs="Times New Roman"/>
          <w:szCs w:val="24"/>
        </w:rPr>
        <w:t xml:space="preserve">Ponadto zmiana w ustawie o rzemiośle ma na celu usunięcie </w:t>
      </w:r>
      <w:r w:rsidR="00B57A93" w:rsidRPr="00B81E7D">
        <w:rPr>
          <w:rFonts w:cs="Times New Roman"/>
          <w:szCs w:val="24"/>
        </w:rPr>
        <w:t xml:space="preserve">niewłaściwego odesłania w przepisie art. 4 ust. 5. Norma tam zawarta odwołuje się bowiem do „art. 19 ustawy wymienionej w art. 1”. Takie odesłanie było poprawne w czasach, gdy obowiązywała jeszcze ustawa o swobodzie działalności gospodarczej, która to przed 30 kwietnia 2018 r. wymieniona była w treści art. 1. Jednak wraz z wejściem w życie tzw. „Konstytucji Biznesu” ustawa o swobodzie działalności gospodarczej została zastąpiona przez ustawę - Prawo przedsiębiorców; odpowiednia zmiana dostosowawcza nastąpiła także w treści art. 1 ustawy o rzemiośle. Modyfikacji nie uległ jednak przepis art. 4 ust. 5, przez co obecnie odsyła on do normy Prawa przedsiębiorców traktującej o zupełnie innej kwestii (tj. dokonywania </w:t>
      </w:r>
      <w:r w:rsidR="00B57A93" w:rsidRPr="00B81E7D">
        <w:rPr>
          <w:rFonts w:cs="Times New Roman"/>
          <w:szCs w:val="24"/>
        </w:rPr>
        <w:lastRenderedPageBreak/>
        <w:t xml:space="preserve">i przyjmowania płatności przez przedsiębiorców, nie zaś uprawnień zawodowych). Co istotne, w obecnym stanie prawnym żaden przepis </w:t>
      </w:r>
      <w:r w:rsidR="006D5532">
        <w:rPr>
          <w:rFonts w:cs="Times New Roman"/>
          <w:szCs w:val="24"/>
        </w:rPr>
        <w:t xml:space="preserve">ustawy - </w:t>
      </w:r>
      <w:r w:rsidR="00B57A93" w:rsidRPr="00B81E7D">
        <w:rPr>
          <w:rFonts w:cs="Times New Roman"/>
          <w:szCs w:val="24"/>
        </w:rPr>
        <w:t>Praw</w:t>
      </w:r>
      <w:r w:rsidR="006D5532">
        <w:rPr>
          <w:rFonts w:cs="Times New Roman"/>
          <w:szCs w:val="24"/>
        </w:rPr>
        <w:t>o</w:t>
      </w:r>
      <w:r w:rsidR="00B57A93" w:rsidRPr="00B81E7D">
        <w:rPr>
          <w:rFonts w:cs="Times New Roman"/>
          <w:szCs w:val="24"/>
        </w:rPr>
        <w:t xml:space="preserve"> przedsiębiorców nie reguluje bezpośrednio materii, której dotykał niegdyś przepis art. 19 ustawy o swobodzie działalności gospodarczej. Z tego powodu konieczne jest dokonanie takiej modyfikacji brzmienia art. 4 ust. 5 ustawy o rzemiośle, które zapewni z jednej strony zachowanie wyrażonego tam obowiązku, z drugiej zaś – nie będzie odsyłało do treści innych aktów prawnych.</w:t>
      </w:r>
    </w:p>
    <w:p w:rsidR="00830D02" w:rsidRPr="00B81E7D" w:rsidRDefault="00830D02" w:rsidP="000A6809">
      <w:pPr>
        <w:numPr>
          <w:ilvl w:val="2"/>
          <w:numId w:val="11"/>
        </w:numPr>
        <w:spacing w:before="120" w:after="120" w:line="360" w:lineRule="auto"/>
        <w:ind w:left="709" w:hanging="283"/>
        <w:jc w:val="both"/>
        <w:rPr>
          <w:rFonts w:cs="Times New Roman"/>
          <w:i/>
          <w:szCs w:val="24"/>
        </w:rPr>
      </w:pPr>
      <w:r w:rsidRPr="00B81E7D">
        <w:rPr>
          <w:rFonts w:cs="Times New Roman"/>
          <w:i/>
          <w:szCs w:val="24"/>
        </w:rPr>
        <w:t xml:space="preserve">Obniżenie opłat za egzamin (art. </w:t>
      </w:r>
      <w:r w:rsidR="003841A3" w:rsidRPr="00B81E7D">
        <w:rPr>
          <w:rFonts w:cs="Times New Roman"/>
          <w:i/>
          <w:szCs w:val="24"/>
        </w:rPr>
        <w:t>6</w:t>
      </w:r>
      <w:r w:rsidRPr="00B81E7D">
        <w:rPr>
          <w:rFonts w:cs="Times New Roman"/>
          <w:i/>
          <w:szCs w:val="24"/>
        </w:rPr>
        <w:t xml:space="preserve"> pkt </w:t>
      </w:r>
      <w:r w:rsidR="00C822A1">
        <w:rPr>
          <w:rFonts w:cs="Times New Roman"/>
          <w:i/>
          <w:szCs w:val="24"/>
        </w:rPr>
        <w:t>4d i e</w:t>
      </w:r>
      <w:r w:rsidRPr="00B81E7D">
        <w:rPr>
          <w:rFonts w:cs="Times New Roman"/>
          <w:i/>
          <w:szCs w:val="24"/>
        </w:rPr>
        <w:t xml:space="preserve"> projektu)</w:t>
      </w:r>
      <w:r w:rsidR="0095338F" w:rsidRPr="00B81E7D">
        <w:rPr>
          <w:rFonts w:cs="Times New Roman"/>
          <w:i/>
          <w:szCs w:val="24"/>
        </w:rPr>
        <w:t>.</w:t>
      </w:r>
    </w:p>
    <w:p w:rsidR="00830D02" w:rsidRPr="00B81E7D" w:rsidRDefault="00830D02" w:rsidP="00B421C2">
      <w:pPr>
        <w:spacing w:line="360" w:lineRule="auto"/>
        <w:jc w:val="both"/>
        <w:rPr>
          <w:rFonts w:cs="Times New Roman"/>
          <w:szCs w:val="24"/>
          <w:lang w:eastAsia="pl-PL"/>
        </w:rPr>
      </w:pPr>
      <w:r w:rsidRPr="00B81E7D">
        <w:rPr>
          <w:rFonts w:cs="Times New Roman"/>
          <w:szCs w:val="24"/>
          <w:lang w:eastAsia="pl-PL"/>
        </w:rPr>
        <w:t xml:space="preserve">Zaproponowana zmiana polega na przyjęciu kwotowych opłat za egzaminy z uwzględnieniem waloryzacji tych kwot wskaźnikiem cen towarów i usług konsumpcyjnych ogółem, jeżeli ten wskaźnik w poprzednim roku kalendarzowym wynosi co najmniej 99%. </w:t>
      </w:r>
    </w:p>
    <w:p w:rsidR="00830D02" w:rsidRPr="00B81E7D" w:rsidRDefault="00830D02" w:rsidP="00B421C2">
      <w:pPr>
        <w:spacing w:line="360" w:lineRule="auto"/>
        <w:jc w:val="both"/>
        <w:rPr>
          <w:rFonts w:cs="Times New Roman"/>
          <w:b/>
          <w:szCs w:val="24"/>
          <w:lang w:eastAsia="pl-PL"/>
        </w:rPr>
      </w:pPr>
      <w:r w:rsidRPr="00B81E7D">
        <w:rPr>
          <w:rFonts w:cs="Times New Roman"/>
          <w:szCs w:val="24"/>
          <w:lang w:eastAsia="pl-PL"/>
        </w:rPr>
        <w:t>Wniosek podyktowany jest sygnałami napływającymi, zarówno ze śr</w:t>
      </w:r>
      <w:r w:rsidR="00F02B7B" w:rsidRPr="00B81E7D">
        <w:rPr>
          <w:rFonts w:cs="Times New Roman"/>
          <w:szCs w:val="24"/>
          <w:lang w:eastAsia="pl-PL"/>
        </w:rPr>
        <w:t xml:space="preserve">odowiska rzemieślniczego jak i </w:t>
      </w:r>
      <w:r w:rsidRPr="00B81E7D">
        <w:rPr>
          <w:rFonts w:cs="Times New Roman"/>
          <w:szCs w:val="24"/>
          <w:lang w:eastAsia="pl-PL"/>
        </w:rPr>
        <w:t>kandydatów składających wnioski o egzaminy. Obowiązujący aktualnie sposób ustalania i waloryzacji stawek opłat spowodował, iż na przestrzeni trzech lat op</w:t>
      </w:r>
      <w:r w:rsidR="00B4541D">
        <w:rPr>
          <w:rFonts w:cs="Times New Roman"/>
          <w:szCs w:val="24"/>
          <w:lang w:eastAsia="pl-PL"/>
        </w:rPr>
        <w:t>łaty te </w:t>
      </w:r>
      <w:r w:rsidR="00F02B7B" w:rsidRPr="00B81E7D">
        <w:rPr>
          <w:rFonts w:cs="Times New Roman"/>
          <w:szCs w:val="24"/>
          <w:lang w:eastAsia="pl-PL"/>
        </w:rPr>
        <w:t>wzrosły o blisko 20 %.</w:t>
      </w:r>
    </w:p>
    <w:p w:rsidR="00830D02" w:rsidRPr="00B81E7D" w:rsidRDefault="00830D02" w:rsidP="00B421C2">
      <w:pPr>
        <w:spacing w:before="120" w:line="360" w:lineRule="auto"/>
        <w:jc w:val="both"/>
        <w:rPr>
          <w:rFonts w:cs="Times New Roman"/>
          <w:szCs w:val="24"/>
          <w:lang w:eastAsia="pl-PL"/>
        </w:rPr>
      </w:pPr>
      <w:r w:rsidRPr="00B81E7D">
        <w:rPr>
          <w:rFonts w:cs="Times New Roman"/>
          <w:szCs w:val="24"/>
          <w:lang w:eastAsia="pl-PL"/>
        </w:rPr>
        <w:t>Zgodnie z obowiązującymi przepisami (art. 3 ustawy o rzemiośle) do zadań izb rzemieślniczych należy informowanie kandydatów o wysokości opłat za egzaminy przeprowadzane przez komisje egzaminacyjne</w:t>
      </w:r>
      <w:r w:rsidR="003972A8" w:rsidRPr="00B81E7D">
        <w:rPr>
          <w:rFonts w:cs="Times New Roman"/>
          <w:szCs w:val="24"/>
          <w:lang w:eastAsia="pl-PL"/>
        </w:rPr>
        <w:t xml:space="preserve"> powołane w trybie określonym w </w:t>
      </w:r>
      <w:r w:rsidRPr="00B81E7D">
        <w:rPr>
          <w:rFonts w:cs="Times New Roman"/>
          <w:szCs w:val="24"/>
          <w:lang w:eastAsia="pl-PL"/>
        </w:rPr>
        <w:t xml:space="preserve">rozporządzeniu Ministra Edukacji Narodowej z dnia 10 stycznia 2017 r. w sprawie egzaminu czeladniczego, egzaminu mistrzowskiego oraz egzaminu sprawdzającego, przeprowadzanych przez komisje egzaminacyjne izb rzemieślniczych (Dz. U.  poz. 1607). Wysokość opłat za poszczególne rodzaje egzaminów określono w ustawie </w:t>
      </w:r>
      <w:r w:rsidR="007A531A" w:rsidRPr="00B81E7D">
        <w:rPr>
          <w:rFonts w:cs="Times New Roman"/>
          <w:szCs w:val="24"/>
          <w:lang w:eastAsia="pl-PL"/>
        </w:rPr>
        <w:t>procentowo tj</w:t>
      </w:r>
      <w:r w:rsidR="00652F2E">
        <w:rPr>
          <w:rFonts w:cs="Times New Roman"/>
          <w:szCs w:val="24"/>
          <w:lang w:eastAsia="pl-PL"/>
        </w:rPr>
        <w:t>.</w:t>
      </w:r>
      <w:r w:rsidR="007A531A" w:rsidRPr="00B81E7D">
        <w:rPr>
          <w:rFonts w:cs="Times New Roman"/>
          <w:szCs w:val="24"/>
          <w:lang w:eastAsia="pl-PL"/>
        </w:rPr>
        <w:t>: mistrzowski 30%,</w:t>
      </w:r>
      <w:r w:rsidRPr="00B81E7D">
        <w:rPr>
          <w:rFonts w:cs="Times New Roman"/>
          <w:szCs w:val="24"/>
          <w:lang w:eastAsia="pl-PL"/>
        </w:rPr>
        <w:t xml:space="preserve"> czeladniczy 15%, sprawdzający 5%, w stosunku do przeciętnego miesięcznego wynagrodzenia w sektorze przedsiębiorstw bez wypłat nagród z zysku w IV kwartale roku poprzedniego, ogłaszanego przez prezesa Głównego Urzędu Statystycznego.</w:t>
      </w:r>
    </w:p>
    <w:p w:rsidR="00830D02" w:rsidRPr="00B81E7D" w:rsidRDefault="00830D02" w:rsidP="00B421C2">
      <w:pPr>
        <w:spacing w:before="120" w:line="360" w:lineRule="auto"/>
        <w:jc w:val="both"/>
        <w:rPr>
          <w:rFonts w:cs="Times New Roman"/>
          <w:szCs w:val="24"/>
          <w:lang w:eastAsia="pl-PL"/>
        </w:rPr>
      </w:pPr>
      <w:r w:rsidRPr="00B81E7D">
        <w:rPr>
          <w:rFonts w:cs="Times New Roman"/>
          <w:szCs w:val="24"/>
          <w:lang w:eastAsia="pl-PL"/>
        </w:rPr>
        <w:t>Pobierane opłaty za egzaminy: czeladniczy, mistrzowski i sprawdzający służą finansowaniu całego procesu walidacji, tj. od zorganizowania przez izbę rzemieślniczą komisji egzaminacyjnych do zabezpieczania zasobów archiwalnych powstałych w wyniku przeprowadzonych egzaminów i egzaminy te w żaden sposób nie są finansowane ze środków publicznych, a więc nie pociągają żadnych obciążeń  dla budżetu.</w:t>
      </w:r>
    </w:p>
    <w:p w:rsidR="00830D02" w:rsidRPr="00B81E7D" w:rsidRDefault="00830D02" w:rsidP="00B421C2">
      <w:pPr>
        <w:spacing w:before="120" w:line="360" w:lineRule="auto"/>
        <w:jc w:val="both"/>
        <w:rPr>
          <w:rFonts w:cs="Times New Roman"/>
          <w:szCs w:val="24"/>
          <w:lang w:eastAsia="pl-PL"/>
        </w:rPr>
      </w:pPr>
      <w:r w:rsidRPr="00B81E7D">
        <w:rPr>
          <w:rFonts w:cs="Times New Roman"/>
          <w:szCs w:val="24"/>
          <w:lang w:eastAsia="pl-PL"/>
        </w:rPr>
        <w:t xml:space="preserve">Stawki opłat za egzaminy od 2015 r. kształtowały się następująco: </w:t>
      </w: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52"/>
        <w:gridCol w:w="1276"/>
        <w:gridCol w:w="992"/>
        <w:gridCol w:w="992"/>
        <w:gridCol w:w="992"/>
        <w:gridCol w:w="1134"/>
        <w:gridCol w:w="1276"/>
      </w:tblGrid>
      <w:tr w:rsidR="00830D02" w:rsidRPr="00B81E7D" w:rsidTr="00830D02">
        <w:tc>
          <w:tcPr>
            <w:tcW w:w="2552" w:type="dxa"/>
            <w:tcBorders>
              <w:top w:val="single" w:sz="4" w:space="0" w:color="auto"/>
              <w:left w:val="single" w:sz="4" w:space="0" w:color="auto"/>
              <w:bottom w:val="single" w:sz="4" w:space="0" w:color="auto"/>
              <w:right w:val="single" w:sz="4" w:space="0" w:color="auto"/>
            </w:tcBorders>
          </w:tcPr>
          <w:p w:rsidR="00830D02" w:rsidRPr="00B81E7D" w:rsidRDefault="00830D02" w:rsidP="00B421C2">
            <w:pPr>
              <w:spacing w:line="360" w:lineRule="auto"/>
              <w:jc w:val="both"/>
              <w:rPr>
                <w:rFonts w:cs="Times New Roman"/>
                <w:sz w:val="14"/>
                <w:szCs w:val="24"/>
                <w:lang w:eastAsia="pl-PL"/>
              </w:rPr>
            </w:pPr>
          </w:p>
        </w:tc>
        <w:tc>
          <w:tcPr>
            <w:tcW w:w="1276" w:type="dxa"/>
            <w:tcBorders>
              <w:top w:val="single" w:sz="4" w:space="0" w:color="auto"/>
              <w:left w:val="single" w:sz="4" w:space="0" w:color="auto"/>
              <w:bottom w:val="single" w:sz="4" w:space="0" w:color="auto"/>
              <w:right w:val="single" w:sz="4" w:space="0" w:color="auto"/>
            </w:tcBorders>
            <w:hideMark/>
          </w:tcPr>
          <w:p w:rsidR="00830D02" w:rsidRPr="00B81E7D" w:rsidRDefault="00830D02" w:rsidP="00B421C2">
            <w:pPr>
              <w:spacing w:line="360" w:lineRule="auto"/>
              <w:jc w:val="both"/>
              <w:rPr>
                <w:rFonts w:cs="Times New Roman"/>
                <w:b/>
                <w:sz w:val="14"/>
                <w:szCs w:val="24"/>
                <w:lang w:eastAsia="pl-PL"/>
              </w:rPr>
            </w:pPr>
            <w:r w:rsidRPr="00B81E7D">
              <w:rPr>
                <w:rFonts w:cs="Times New Roman"/>
                <w:b/>
                <w:sz w:val="14"/>
                <w:szCs w:val="24"/>
                <w:lang w:eastAsia="pl-PL"/>
              </w:rPr>
              <w:t>Rok 2015</w:t>
            </w:r>
          </w:p>
          <w:p w:rsidR="00830D02" w:rsidRPr="00B81E7D" w:rsidRDefault="00830D02" w:rsidP="00B421C2">
            <w:pPr>
              <w:spacing w:line="360" w:lineRule="auto"/>
              <w:jc w:val="both"/>
              <w:rPr>
                <w:rFonts w:cs="Times New Roman"/>
                <w:sz w:val="14"/>
                <w:szCs w:val="24"/>
                <w:lang w:eastAsia="pl-PL"/>
              </w:rPr>
            </w:pPr>
            <w:r w:rsidRPr="00B81E7D">
              <w:rPr>
                <w:rFonts w:cs="Times New Roman"/>
                <w:sz w:val="14"/>
                <w:szCs w:val="24"/>
                <w:lang w:eastAsia="pl-PL"/>
              </w:rPr>
              <w:t>(miesiące 10-12.2015)</w:t>
            </w:r>
          </w:p>
        </w:tc>
        <w:tc>
          <w:tcPr>
            <w:tcW w:w="992" w:type="dxa"/>
            <w:tcBorders>
              <w:top w:val="single" w:sz="4" w:space="0" w:color="auto"/>
              <w:left w:val="single" w:sz="4" w:space="0" w:color="auto"/>
              <w:bottom w:val="single" w:sz="4" w:space="0" w:color="auto"/>
              <w:right w:val="single" w:sz="4" w:space="0" w:color="auto"/>
            </w:tcBorders>
            <w:hideMark/>
          </w:tcPr>
          <w:p w:rsidR="00830D02" w:rsidRPr="00B81E7D" w:rsidRDefault="00830D02" w:rsidP="00B421C2">
            <w:pPr>
              <w:spacing w:line="360" w:lineRule="auto"/>
              <w:jc w:val="both"/>
              <w:rPr>
                <w:rFonts w:cs="Times New Roman"/>
                <w:b/>
                <w:sz w:val="14"/>
                <w:szCs w:val="24"/>
                <w:lang w:eastAsia="pl-PL"/>
              </w:rPr>
            </w:pPr>
            <w:r w:rsidRPr="00B81E7D">
              <w:rPr>
                <w:rFonts w:cs="Times New Roman"/>
                <w:b/>
                <w:sz w:val="14"/>
                <w:szCs w:val="24"/>
                <w:lang w:eastAsia="pl-PL"/>
              </w:rPr>
              <w:t>Rok 2016</w:t>
            </w:r>
          </w:p>
        </w:tc>
        <w:tc>
          <w:tcPr>
            <w:tcW w:w="992" w:type="dxa"/>
            <w:tcBorders>
              <w:top w:val="single" w:sz="4" w:space="0" w:color="auto"/>
              <w:left w:val="single" w:sz="4" w:space="0" w:color="auto"/>
              <w:bottom w:val="single" w:sz="4" w:space="0" w:color="auto"/>
              <w:right w:val="single" w:sz="4" w:space="0" w:color="auto"/>
            </w:tcBorders>
            <w:hideMark/>
          </w:tcPr>
          <w:p w:rsidR="00830D02" w:rsidRPr="00B81E7D" w:rsidRDefault="00830D02" w:rsidP="00B421C2">
            <w:pPr>
              <w:spacing w:line="360" w:lineRule="auto"/>
              <w:jc w:val="both"/>
              <w:rPr>
                <w:rFonts w:cs="Times New Roman"/>
                <w:b/>
                <w:sz w:val="14"/>
                <w:szCs w:val="24"/>
                <w:lang w:eastAsia="pl-PL"/>
              </w:rPr>
            </w:pPr>
            <w:r w:rsidRPr="00B81E7D">
              <w:rPr>
                <w:rFonts w:cs="Times New Roman"/>
                <w:b/>
                <w:sz w:val="14"/>
                <w:szCs w:val="24"/>
                <w:lang w:eastAsia="pl-PL"/>
              </w:rPr>
              <w:t>Rok 2017</w:t>
            </w:r>
          </w:p>
        </w:tc>
        <w:tc>
          <w:tcPr>
            <w:tcW w:w="992" w:type="dxa"/>
            <w:tcBorders>
              <w:top w:val="single" w:sz="4" w:space="0" w:color="auto"/>
              <w:left w:val="single" w:sz="4" w:space="0" w:color="auto"/>
              <w:bottom w:val="single" w:sz="4" w:space="0" w:color="auto"/>
              <w:right w:val="single" w:sz="4" w:space="0" w:color="auto"/>
            </w:tcBorders>
            <w:hideMark/>
          </w:tcPr>
          <w:p w:rsidR="00830D02" w:rsidRPr="00B81E7D" w:rsidRDefault="00830D02" w:rsidP="00B421C2">
            <w:pPr>
              <w:spacing w:line="360" w:lineRule="auto"/>
              <w:jc w:val="both"/>
              <w:rPr>
                <w:rFonts w:cs="Times New Roman"/>
                <w:b/>
                <w:sz w:val="14"/>
                <w:szCs w:val="24"/>
                <w:lang w:eastAsia="pl-PL"/>
              </w:rPr>
            </w:pPr>
            <w:r w:rsidRPr="00B81E7D">
              <w:rPr>
                <w:rFonts w:cs="Times New Roman"/>
                <w:b/>
                <w:sz w:val="14"/>
                <w:szCs w:val="24"/>
                <w:lang w:eastAsia="pl-PL"/>
              </w:rPr>
              <w:t>Rok 2018</w:t>
            </w:r>
          </w:p>
        </w:tc>
        <w:tc>
          <w:tcPr>
            <w:tcW w:w="1134" w:type="dxa"/>
            <w:tcBorders>
              <w:top w:val="single" w:sz="4" w:space="0" w:color="auto"/>
              <w:left w:val="single" w:sz="4" w:space="0" w:color="auto"/>
              <w:bottom w:val="single" w:sz="4" w:space="0" w:color="auto"/>
              <w:right w:val="single" w:sz="4" w:space="0" w:color="auto"/>
            </w:tcBorders>
            <w:hideMark/>
          </w:tcPr>
          <w:p w:rsidR="00830D02" w:rsidRPr="00B81E7D" w:rsidRDefault="00830D02" w:rsidP="00B421C2">
            <w:pPr>
              <w:spacing w:line="360" w:lineRule="auto"/>
              <w:jc w:val="both"/>
              <w:rPr>
                <w:rFonts w:cs="Times New Roman"/>
                <w:b/>
                <w:sz w:val="14"/>
                <w:szCs w:val="24"/>
                <w:lang w:eastAsia="pl-PL"/>
              </w:rPr>
            </w:pPr>
            <w:r w:rsidRPr="00B81E7D">
              <w:rPr>
                <w:rFonts w:cs="Times New Roman"/>
                <w:b/>
                <w:sz w:val="14"/>
                <w:szCs w:val="24"/>
                <w:lang w:eastAsia="pl-PL"/>
              </w:rPr>
              <w:t>Rok 2019</w:t>
            </w:r>
          </w:p>
        </w:tc>
        <w:tc>
          <w:tcPr>
            <w:tcW w:w="1276" w:type="dxa"/>
            <w:tcBorders>
              <w:top w:val="single" w:sz="4" w:space="0" w:color="auto"/>
              <w:left w:val="single" w:sz="4" w:space="0" w:color="auto"/>
              <w:bottom w:val="single" w:sz="4" w:space="0" w:color="auto"/>
              <w:right w:val="single" w:sz="4" w:space="0" w:color="auto"/>
            </w:tcBorders>
            <w:hideMark/>
          </w:tcPr>
          <w:p w:rsidR="00830D02" w:rsidRPr="00B81E7D" w:rsidRDefault="00830D02" w:rsidP="00B421C2">
            <w:pPr>
              <w:spacing w:line="360" w:lineRule="auto"/>
              <w:jc w:val="both"/>
              <w:rPr>
                <w:rFonts w:cs="Times New Roman"/>
                <w:b/>
                <w:sz w:val="14"/>
                <w:szCs w:val="24"/>
                <w:lang w:eastAsia="pl-PL"/>
              </w:rPr>
            </w:pPr>
            <w:r w:rsidRPr="00B81E7D">
              <w:rPr>
                <w:rFonts w:cs="Times New Roman"/>
                <w:b/>
                <w:sz w:val="14"/>
                <w:szCs w:val="24"/>
                <w:lang w:eastAsia="pl-PL"/>
              </w:rPr>
              <w:t>Lata 2015/2018</w:t>
            </w:r>
          </w:p>
        </w:tc>
      </w:tr>
      <w:tr w:rsidR="00830D02" w:rsidRPr="00B81E7D" w:rsidTr="00830D02">
        <w:tc>
          <w:tcPr>
            <w:tcW w:w="2552" w:type="dxa"/>
            <w:tcBorders>
              <w:top w:val="single" w:sz="4" w:space="0" w:color="auto"/>
              <w:left w:val="single" w:sz="4" w:space="0" w:color="auto"/>
              <w:bottom w:val="single" w:sz="4" w:space="0" w:color="auto"/>
              <w:right w:val="single" w:sz="4" w:space="0" w:color="auto"/>
            </w:tcBorders>
            <w:hideMark/>
          </w:tcPr>
          <w:p w:rsidR="00830D02" w:rsidRPr="00B81E7D" w:rsidRDefault="00830D02" w:rsidP="00B421C2">
            <w:pPr>
              <w:spacing w:line="360" w:lineRule="auto"/>
              <w:rPr>
                <w:rFonts w:cs="Times New Roman"/>
                <w:i/>
                <w:sz w:val="14"/>
                <w:szCs w:val="24"/>
                <w:lang w:eastAsia="pl-PL"/>
              </w:rPr>
            </w:pPr>
            <w:r w:rsidRPr="00B81E7D">
              <w:rPr>
                <w:rFonts w:cs="Times New Roman"/>
                <w:i/>
                <w:sz w:val="14"/>
                <w:szCs w:val="24"/>
                <w:lang w:eastAsia="pl-PL"/>
              </w:rPr>
              <w:lastRenderedPageBreak/>
              <w:t>Przeciętne miesięczne wynagrodzenie w sektorze przedsiębiorstw bez wypłat nagród z zysku w IV kwartale roku poprzedniego</w:t>
            </w:r>
          </w:p>
        </w:tc>
        <w:tc>
          <w:tcPr>
            <w:tcW w:w="1276" w:type="dxa"/>
            <w:tcBorders>
              <w:top w:val="single" w:sz="4" w:space="0" w:color="auto"/>
              <w:left w:val="single" w:sz="4" w:space="0" w:color="auto"/>
              <w:bottom w:val="single" w:sz="4" w:space="0" w:color="auto"/>
              <w:right w:val="single" w:sz="4" w:space="0" w:color="auto"/>
            </w:tcBorders>
            <w:hideMark/>
          </w:tcPr>
          <w:p w:rsidR="00830D02" w:rsidRPr="00B81E7D" w:rsidRDefault="00830D02" w:rsidP="00B421C2">
            <w:pPr>
              <w:spacing w:line="360" w:lineRule="auto"/>
              <w:jc w:val="both"/>
              <w:rPr>
                <w:rFonts w:cs="Times New Roman"/>
                <w:b/>
                <w:sz w:val="14"/>
                <w:szCs w:val="24"/>
                <w:lang w:eastAsia="pl-PL"/>
              </w:rPr>
            </w:pPr>
            <w:r w:rsidRPr="00B81E7D">
              <w:rPr>
                <w:rFonts w:cs="Times New Roman"/>
                <w:b/>
                <w:sz w:val="14"/>
                <w:szCs w:val="24"/>
                <w:lang w:eastAsia="pl-PL"/>
              </w:rPr>
              <w:t>4 138,58</w:t>
            </w:r>
          </w:p>
        </w:tc>
        <w:tc>
          <w:tcPr>
            <w:tcW w:w="992" w:type="dxa"/>
            <w:tcBorders>
              <w:top w:val="single" w:sz="4" w:space="0" w:color="auto"/>
              <w:left w:val="single" w:sz="4" w:space="0" w:color="auto"/>
              <w:bottom w:val="single" w:sz="4" w:space="0" w:color="auto"/>
              <w:right w:val="single" w:sz="4" w:space="0" w:color="auto"/>
            </w:tcBorders>
            <w:hideMark/>
          </w:tcPr>
          <w:p w:rsidR="00830D02" w:rsidRPr="00B81E7D" w:rsidRDefault="00830D02" w:rsidP="00B421C2">
            <w:pPr>
              <w:spacing w:line="360" w:lineRule="auto"/>
              <w:jc w:val="both"/>
              <w:rPr>
                <w:rFonts w:cs="Times New Roman"/>
                <w:b/>
                <w:sz w:val="14"/>
                <w:szCs w:val="24"/>
                <w:lang w:eastAsia="pl-PL"/>
              </w:rPr>
            </w:pPr>
            <w:r w:rsidRPr="00B81E7D">
              <w:rPr>
                <w:rFonts w:cs="Times New Roman"/>
                <w:b/>
                <w:sz w:val="14"/>
                <w:szCs w:val="24"/>
                <w:lang w:eastAsia="pl-PL"/>
              </w:rPr>
              <w:t>4 280,39</w:t>
            </w:r>
          </w:p>
        </w:tc>
        <w:tc>
          <w:tcPr>
            <w:tcW w:w="992" w:type="dxa"/>
            <w:tcBorders>
              <w:top w:val="single" w:sz="4" w:space="0" w:color="auto"/>
              <w:left w:val="single" w:sz="4" w:space="0" w:color="auto"/>
              <w:bottom w:val="single" w:sz="4" w:space="0" w:color="auto"/>
              <w:right w:val="single" w:sz="4" w:space="0" w:color="auto"/>
            </w:tcBorders>
            <w:hideMark/>
          </w:tcPr>
          <w:p w:rsidR="00830D02" w:rsidRPr="00B81E7D" w:rsidRDefault="00830D02" w:rsidP="00B421C2">
            <w:pPr>
              <w:spacing w:line="360" w:lineRule="auto"/>
              <w:jc w:val="both"/>
              <w:rPr>
                <w:rFonts w:cs="Times New Roman"/>
                <w:b/>
                <w:sz w:val="14"/>
                <w:szCs w:val="24"/>
                <w:lang w:eastAsia="pl-PL"/>
              </w:rPr>
            </w:pPr>
            <w:r w:rsidRPr="00B81E7D">
              <w:rPr>
                <w:rFonts w:cs="Times New Roman"/>
                <w:b/>
                <w:sz w:val="14"/>
                <w:szCs w:val="24"/>
                <w:lang w:eastAsia="pl-PL"/>
              </w:rPr>
              <w:t>4 403,78</w:t>
            </w:r>
          </w:p>
        </w:tc>
        <w:tc>
          <w:tcPr>
            <w:tcW w:w="992" w:type="dxa"/>
            <w:tcBorders>
              <w:top w:val="single" w:sz="4" w:space="0" w:color="auto"/>
              <w:left w:val="single" w:sz="4" w:space="0" w:color="auto"/>
              <w:bottom w:val="single" w:sz="4" w:space="0" w:color="auto"/>
              <w:right w:val="single" w:sz="4" w:space="0" w:color="auto"/>
            </w:tcBorders>
            <w:hideMark/>
          </w:tcPr>
          <w:p w:rsidR="00830D02" w:rsidRPr="00B81E7D" w:rsidRDefault="00830D02" w:rsidP="00B421C2">
            <w:pPr>
              <w:spacing w:line="360" w:lineRule="auto"/>
              <w:jc w:val="both"/>
              <w:rPr>
                <w:rFonts w:cs="Times New Roman"/>
                <w:b/>
                <w:sz w:val="14"/>
                <w:szCs w:val="24"/>
                <w:lang w:eastAsia="pl-PL"/>
              </w:rPr>
            </w:pPr>
            <w:r w:rsidRPr="00B81E7D">
              <w:rPr>
                <w:rFonts w:cs="Times New Roman"/>
                <w:b/>
                <w:sz w:val="14"/>
                <w:szCs w:val="24"/>
                <w:lang w:eastAsia="pl-PL"/>
              </w:rPr>
              <w:t>4 739,51</w:t>
            </w:r>
          </w:p>
        </w:tc>
        <w:tc>
          <w:tcPr>
            <w:tcW w:w="1134" w:type="dxa"/>
            <w:tcBorders>
              <w:top w:val="single" w:sz="4" w:space="0" w:color="auto"/>
              <w:left w:val="single" w:sz="4" w:space="0" w:color="auto"/>
              <w:bottom w:val="single" w:sz="4" w:space="0" w:color="auto"/>
              <w:right w:val="single" w:sz="4" w:space="0" w:color="auto"/>
            </w:tcBorders>
            <w:hideMark/>
          </w:tcPr>
          <w:p w:rsidR="00830D02" w:rsidRPr="00B81E7D" w:rsidRDefault="00830D02" w:rsidP="00B421C2">
            <w:pPr>
              <w:spacing w:line="360" w:lineRule="auto"/>
              <w:jc w:val="both"/>
              <w:rPr>
                <w:rFonts w:cs="Times New Roman"/>
                <w:b/>
                <w:sz w:val="14"/>
                <w:szCs w:val="24"/>
                <w:lang w:eastAsia="pl-PL"/>
              </w:rPr>
            </w:pPr>
            <w:r w:rsidRPr="00B81E7D">
              <w:rPr>
                <w:rFonts w:cs="Times New Roman"/>
                <w:b/>
                <w:sz w:val="14"/>
                <w:szCs w:val="24"/>
                <w:lang w:eastAsia="pl-PL"/>
              </w:rPr>
              <w:t>5 071,25</w:t>
            </w:r>
          </w:p>
        </w:tc>
        <w:tc>
          <w:tcPr>
            <w:tcW w:w="1276" w:type="dxa"/>
            <w:tcBorders>
              <w:top w:val="single" w:sz="4" w:space="0" w:color="auto"/>
              <w:left w:val="single" w:sz="4" w:space="0" w:color="auto"/>
              <w:bottom w:val="single" w:sz="4" w:space="0" w:color="auto"/>
              <w:right w:val="single" w:sz="4" w:space="0" w:color="auto"/>
            </w:tcBorders>
            <w:hideMark/>
          </w:tcPr>
          <w:p w:rsidR="00830D02" w:rsidRPr="00B81E7D" w:rsidRDefault="00830D02" w:rsidP="00B421C2">
            <w:pPr>
              <w:spacing w:line="360" w:lineRule="auto"/>
              <w:jc w:val="both"/>
              <w:rPr>
                <w:rFonts w:cs="Times New Roman"/>
                <w:b/>
                <w:sz w:val="14"/>
                <w:szCs w:val="24"/>
                <w:lang w:eastAsia="pl-PL"/>
              </w:rPr>
            </w:pPr>
            <w:r w:rsidRPr="00B81E7D">
              <w:rPr>
                <w:rFonts w:cs="Times New Roman"/>
                <w:b/>
                <w:sz w:val="14"/>
                <w:szCs w:val="24"/>
                <w:lang w:eastAsia="pl-PL"/>
              </w:rPr>
              <w:t>+18,6%</w:t>
            </w:r>
          </w:p>
        </w:tc>
      </w:tr>
      <w:tr w:rsidR="00830D02" w:rsidRPr="00B81E7D" w:rsidTr="00830D02">
        <w:tc>
          <w:tcPr>
            <w:tcW w:w="2552" w:type="dxa"/>
            <w:tcBorders>
              <w:top w:val="single" w:sz="4" w:space="0" w:color="auto"/>
              <w:left w:val="single" w:sz="4" w:space="0" w:color="auto"/>
              <w:bottom w:val="single" w:sz="4" w:space="0" w:color="auto"/>
              <w:right w:val="single" w:sz="4" w:space="0" w:color="auto"/>
            </w:tcBorders>
            <w:hideMark/>
          </w:tcPr>
          <w:p w:rsidR="00830D02" w:rsidRPr="00B81E7D" w:rsidRDefault="00830D02" w:rsidP="00B421C2">
            <w:pPr>
              <w:spacing w:line="360" w:lineRule="auto"/>
              <w:rPr>
                <w:rFonts w:cs="Times New Roman"/>
                <w:sz w:val="14"/>
                <w:szCs w:val="24"/>
                <w:lang w:eastAsia="pl-PL"/>
              </w:rPr>
            </w:pPr>
            <w:r w:rsidRPr="00B81E7D">
              <w:rPr>
                <w:rFonts w:cs="Times New Roman"/>
                <w:sz w:val="14"/>
                <w:szCs w:val="24"/>
                <w:lang w:eastAsia="pl-PL"/>
              </w:rPr>
              <w:t>Stawka opłaty za egzamin mistrzowski</w:t>
            </w:r>
          </w:p>
        </w:tc>
        <w:tc>
          <w:tcPr>
            <w:tcW w:w="1276" w:type="dxa"/>
            <w:tcBorders>
              <w:top w:val="single" w:sz="4" w:space="0" w:color="auto"/>
              <w:left w:val="single" w:sz="4" w:space="0" w:color="auto"/>
              <w:bottom w:val="single" w:sz="4" w:space="0" w:color="auto"/>
              <w:right w:val="single" w:sz="4" w:space="0" w:color="auto"/>
            </w:tcBorders>
            <w:hideMark/>
          </w:tcPr>
          <w:p w:rsidR="00830D02" w:rsidRPr="00B81E7D" w:rsidRDefault="00830D02" w:rsidP="00B421C2">
            <w:pPr>
              <w:spacing w:line="360" w:lineRule="auto"/>
              <w:jc w:val="both"/>
              <w:rPr>
                <w:rFonts w:cs="Times New Roman"/>
                <w:sz w:val="14"/>
                <w:szCs w:val="24"/>
                <w:lang w:eastAsia="pl-PL"/>
              </w:rPr>
            </w:pPr>
            <w:r w:rsidRPr="00B81E7D">
              <w:rPr>
                <w:rFonts w:cs="Times New Roman"/>
                <w:sz w:val="14"/>
                <w:szCs w:val="24"/>
                <w:lang w:eastAsia="pl-PL"/>
              </w:rPr>
              <w:t>1 241,57</w:t>
            </w:r>
          </w:p>
        </w:tc>
        <w:tc>
          <w:tcPr>
            <w:tcW w:w="992" w:type="dxa"/>
            <w:tcBorders>
              <w:top w:val="single" w:sz="4" w:space="0" w:color="auto"/>
              <w:left w:val="single" w:sz="4" w:space="0" w:color="auto"/>
              <w:bottom w:val="single" w:sz="4" w:space="0" w:color="auto"/>
              <w:right w:val="single" w:sz="4" w:space="0" w:color="auto"/>
            </w:tcBorders>
            <w:hideMark/>
          </w:tcPr>
          <w:p w:rsidR="00830D02" w:rsidRPr="00B81E7D" w:rsidRDefault="00830D02" w:rsidP="00B421C2">
            <w:pPr>
              <w:spacing w:line="360" w:lineRule="auto"/>
              <w:jc w:val="both"/>
              <w:rPr>
                <w:rFonts w:cs="Times New Roman"/>
                <w:sz w:val="14"/>
                <w:szCs w:val="24"/>
                <w:lang w:eastAsia="pl-PL"/>
              </w:rPr>
            </w:pPr>
            <w:r w:rsidRPr="00B81E7D">
              <w:rPr>
                <w:rFonts w:cs="Times New Roman"/>
                <w:sz w:val="14"/>
                <w:szCs w:val="24"/>
                <w:lang w:eastAsia="pl-PL"/>
              </w:rPr>
              <w:t>1 284,11</w:t>
            </w:r>
          </w:p>
        </w:tc>
        <w:tc>
          <w:tcPr>
            <w:tcW w:w="992" w:type="dxa"/>
            <w:tcBorders>
              <w:top w:val="single" w:sz="4" w:space="0" w:color="auto"/>
              <w:left w:val="single" w:sz="4" w:space="0" w:color="auto"/>
              <w:bottom w:val="single" w:sz="4" w:space="0" w:color="auto"/>
              <w:right w:val="single" w:sz="4" w:space="0" w:color="auto"/>
            </w:tcBorders>
            <w:hideMark/>
          </w:tcPr>
          <w:p w:rsidR="00830D02" w:rsidRPr="00B81E7D" w:rsidRDefault="00830D02" w:rsidP="00B421C2">
            <w:pPr>
              <w:spacing w:line="360" w:lineRule="auto"/>
              <w:jc w:val="both"/>
              <w:rPr>
                <w:rFonts w:cs="Times New Roman"/>
                <w:sz w:val="14"/>
                <w:szCs w:val="24"/>
                <w:lang w:eastAsia="pl-PL"/>
              </w:rPr>
            </w:pPr>
            <w:r w:rsidRPr="00B81E7D">
              <w:rPr>
                <w:rFonts w:cs="Times New Roman"/>
                <w:sz w:val="14"/>
                <w:szCs w:val="24"/>
                <w:lang w:eastAsia="pl-PL"/>
              </w:rPr>
              <w:t>1 321,00</w:t>
            </w:r>
          </w:p>
        </w:tc>
        <w:tc>
          <w:tcPr>
            <w:tcW w:w="992" w:type="dxa"/>
            <w:tcBorders>
              <w:top w:val="single" w:sz="4" w:space="0" w:color="auto"/>
              <w:left w:val="single" w:sz="4" w:space="0" w:color="auto"/>
              <w:bottom w:val="single" w:sz="4" w:space="0" w:color="auto"/>
              <w:right w:val="single" w:sz="4" w:space="0" w:color="auto"/>
            </w:tcBorders>
            <w:hideMark/>
          </w:tcPr>
          <w:p w:rsidR="00830D02" w:rsidRPr="00B81E7D" w:rsidRDefault="00830D02" w:rsidP="00B421C2">
            <w:pPr>
              <w:spacing w:line="360" w:lineRule="auto"/>
              <w:jc w:val="both"/>
              <w:rPr>
                <w:rFonts w:cs="Times New Roman"/>
                <w:sz w:val="14"/>
                <w:szCs w:val="24"/>
                <w:lang w:eastAsia="pl-PL"/>
              </w:rPr>
            </w:pPr>
            <w:r w:rsidRPr="00B81E7D">
              <w:rPr>
                <w:rFonts w:cs="Times New Roman"/>
                <w:sz w:val="14"/>
                <w:szCs w:val="24"/>
                <w:lang w:eastAsia="pl-PL"/>
              </w:rPr>
              <w:t>1 421,85</w:t>
            </w:r>
          </w:p>
        </w:tc>
        <w:tc>
          <w:tcPr>
            <w:tcW w:w="1134" w:type="dxa"/>
            <w:tcBorders>
              <w:top w:val="single" w:sz="4" w:space="0" w:color="auto"/>
              <w:left w:val="single" w:sz="4" w:space="0" w:color="auto"/>
              <w:bottom w:val="single" w:sz="4" w:space="0" w:color="auto"/>
              <w:right w:val="single" w:sz="4" w:space="0" w:color="auto"/>
            </w:tcBorders>
            <w:hideMark/>
          </w:tcPr>
          <w:p w:rsidR="00830D02" w:rsidRPr="00B81E7D" w:rsidRDefault="00830D02" w:rsidP="00B421C2">
            <w:pPr>
              <w:spacing w:line="360" w:lineRule="auto"/>
              <w:jc w:val="both"/>
              <w:rPr>
                <w:rFonts w:cs="Times New Roman"/>
                <w:b/>
                <w:sz w:val="14"/>
                <w:szCs w:val="24"/>
                <w:lang w:eastAsia="pl-PL"/>
              </w:rPr>
            </w:pPr>
            <w:r w:rsidRPr="00B81E7D">
              <w:rPr>
                <w:rFonts w:cs="Times New Roman"/>
                <w:b/>
                <w:sz w:val="14"/>
                <w:szCs w:val="24"/>
                <w:lang w:eastAsia="pl-PL"/>
              </w:rPr>
              <w:t>1 521,37</w:t>
            </w:r>
          </w:p>
        </w:tc>
        <w:tc>
          <w:tcPr>
            <w:tcW w:w="1276" w:type="dxa"/>
            <w:tcBorders>
              <w:top w:val="single" w:sz="4" w:space="0" w:color="auto"/>
              <w:left w:val="single" w:sz="4" w:space="0" w:color="auto"/>
              <w:bottom w:val="single" w:sz="4" w:space="0" w:color="auto"/>
              <w:right w:val="single" w:sz="4" w:space="0" w:color="auto"/>
            </w:tcBorders>
            <w:hideMark/>
          </w:tcPr>
          <w:p w:rsidR="00830D02" w:rsidRPr="00B81E7D" w:rsidRDefault="00830D02" w:rsidP="00B421C2">
            <w:pPr>
              <w:spacing w:line="360" w:lineRule="auto"/>
              <w:jc w:val="both"/>
              <w:rPr>
                <w:rFonts w:cs="Times New Roman"/>
                <w:b/>
                <w:sz w:val="14"/>
                <w:szCs w:val="24"/>
                <w:lang w:eastAsia="pl-PL"/>
              </w:rPr>
            </w:pPr>
            <w:r w:rsidRPr="00B81E7D">
              <w:rPr>
                <w:rFonts w:cs="Times New Roman"/>
                <w:b/>
                <w:sz w:val="14"/>
                <w:szCs w:val="24"/>
                <w:lang w:eastAsia="pl-PL"/>
              </w:rPr>
              <w:t>+ 18,5%</w:t>
            </w:r>
          </w:p>
        </w:tc>
      </w:tr>
      <w:tr w:rsidR="00830D02" w:rsidRPr="00B81E7D" w:rsidTr="00830D02">
        <w:tc>
          <w:tcPr>
            <w:tcW w:w="2552" w:type="dxa"/>
            <w:tcBorders>
              <w:top w:val="single" w:sz="4" w:space="0" w:color="auto"/>
              <w:left w:val="single" w:sz="4" w:space="0" w:color="auto"/>
              <w:bottom w:val="single" w:sz="4" w:space="0" w:color="auto"/>
              <w:right w:val="single" w:sz="4" w:space="0" w:color="auto"/>
            </w:tcBorders>
            <w:hideMark/>
          </w:tcPr>
          <w:p w:rsidR="00830D02" w:rsidRPr="00B81E7D" w:rsidRDefault="00830D02" w:rsidP="00B421C2">
            <w:pPr>
              <w:spacing w:line="360" w:lineRule="auto"/>
              <w:rPr>
                <w:rFonts w:cs="Times New Roman"/>
                <w:sz w:val="14"/>
                <w:szCs w:val="24"/>
                <w:lang w:eastAsia="pl-PL"/>
              </w:rPr>
            </w:pPr>
            <w:r w:rsidRPr="00B81E7D">
              <w:rPr>
                <w:rFonts w:cs="Times New Roman"/>
                <w:sz w:val="14"/>
                <w:szCs w:val="24"/>
                <w:lang w:eastAsia="pl-PL"/>
              </w:rPr>
              <w:t>Stawka opłaty za egzamin czeladniczy</w:t>
            </w:r>
          </w:p>
        </w:tc>
        <w:tc>
          <w:tcPr>
            <w:tcW w:w="1276" w:type="dxa"/>
            <w:tcBorders>
              <w:top w:val="single" w:sz="4" w:space="0" w:color="auto"/>
              <w:left w:val="single" w:sz="4" w:space="0" w:color="auto"/>
              <w:bottom w:val="single" w:sz="4" w:space="0" w:color="auto"/>
              <w:right w:val="single" w:sz="4" w:space="0" w:color="auto"/>
            </w:tcBorders>
            <w:hideMark/>
          </w:tcPr>
          <w:p w:rsidR="00830D02" w:rsidRPr="00B81E7D" w:rsidRDefault="00830D02" w:rsidP="00B421C2">
            <w:pPr>
              <w:spacing w:line="360" w:lineRule="auto"/>
              <w:jc w:val="both"/>
              <w:rPr>
                <w:rFonts w:cs="Times New Roman"/>
                <w:sz w:val="14"/>
                <w:szCs w:val="24"/>
                <w:lang w:eastAsia="pl-PL"/>
              </w:rPr>
            </w:pPr>
            <w:r w:rsidRPr="00B81E7D">
              <w:rPr>
                <w:rFonts w:cs="Times New Roman"/>
                <w:sz w:val="14"/>
                <w:szCs w:val="24"/>
                <w:lang w:eastAsia="pl-PL"/>
              </w:rPr>
              <w:t>620,79</w:t>
            </w:r>
          </w:p>
        </w:tc>
        <w:tc>
          <w:tcPr>
            <w:tcW w:w="992" w:type="dxa"/>
            <w:tcBorders>
              <w:top w:val="single" w:sz="4" w:space="0" w:color="auto"/>
              <w:left w:val="single" w:sz="4" w:space="0" w:color="auto"/>
              <w:bottom w:val="single" w:sz="4" w:space="0" w:color="auto"/>
              <w:right w:val="single" w:sz="4" w:space="0" w:color="auto"/>
            </w:tcBorders>
            <w:hideMark/>
          </w:tcPr>
          <w:p w:rsidR="00830D02" w:rsidRPr="00B81E7D" w:rsidRDefault="00830D02" w:rsidP="00B421C2">
            <w:pPr>
              <w:spacing w:line="360" w:lineRule="auto"/>
              <w:jc w:val="both"/>
              <w:rPr>
                <w:rFonts w:cs="Times New Roman"/>
                <w:sz w:val="14"/>
                <w:szCs w:val="24"/>
                <w:lang w:eastAsia="pl-PL"/>
              </w:rPr>
            </w:pPr>
            <w:r w:rsidRPr="00B81E7D">
              <w:rPr>
                <w:rFonts w:cs="Times New Roman"/>
                <w:sz w:val="14"/>
                <w:szCs w:val="24"/>
                <w:lang w:eastAsia="pl-PL"/>
              </w:rPr>
              <w:t>642,05</w:t>
            </w:r>
          </w:p>
        </w:tc>
        <w:tc>
          <w:tcPr>
            <w:tcW w:w="992" w:type="dxa"/>
            <w:tcBorders>
              <w:top w:val="single" w:sz="4" w:space="0" w:color="auto"/>
              <w:left w:val="single" w:sz="4" w:space="0" w:color="auto"/>
              <w:bottom w:val="single" w:sz="4" w:space="0" w:color="auto"/>
              <w:right w:val="single" w:sz="4" w:space="0" w:color="auto"/>
            </w:tcBorders>
            <w:hideMark/>
          </w:tcPr>
          <w:p w:rsidR="00830D02" w:rsidRPr="00B81E7D" w:rsidRDefault="00830D02" w:rsidP="00B421C2">
            <w:pPr>
              <w:spacing w:line="360" w:lineRule="auto"/>
              <w:jc w:val="both"/>
              <w:rPr>
                <w:rFonts w:cs="Times New Roman"/>
                <w:sz w:val="14"/>
                <w:szCs w:val="24"/>
                <w:lang w:eastAsia="pl-PL"/>
              </w:rPr>
            </w:pPr>
            <w:r w:rsidRPr="00B81E7D">
              <w:rPr>
                <w:rFonts w:cs="Times New Roman"/>
                <w:sz w:val="14"/>
                <w:szCs w:val="24"/>
                <w:lang w:eastAsia="pl-PL"/>
              </w:rPr>
              <w:t>661,00</w:t>
            </w:r>
          </w:p>
        </w:tc>
        <w:tc>
          <w:tcPr>
            <w:tcW w:w="992" w:type="dxa"/>
            <w:tcBorders>
              <w:top w:val="single" w:sz="4" w:space="0" w:color="auto"/>
              <w:left w:val="single" w:sz="4" w:space="0" w:color="auto"/>
              <w:bottom w:val="single" w:sz="4" w:space="0" w:color="auto"/>
              <w:right w:val="single" w:sz="4" w:space="0" w:color="auto"/>
            </w:tcBorders>
            <w:hideMark/>
          </w:tcPr>
          <w:p w:rsidR="00830D02" w:rsidRPr="00B81E7D" w:rsidRDefault="00830D02" w:rsidP="00B421C2">
            <w:pPr>
              <w:spacing w:line="360" w:lineRule="auto"/>
              <w:jc w:val="both"/>
              <w:rPr>
                <w:rFonts w:cs="Times New Roman"/>
                <w:sz w:val="14"/>
                <w:szCs w:val="24"/>
                <w:lang w:eastAsia="pl-PL"/>
              </w:rPr>
            </w:pPr>
            <w:r w:rsidRPr="00B81E7D">
              <w:rPr>
                <w:rFonts w:cs="Times New Roman"/>
                <w:sz w:val="14"/>
                <w:szCs w:val="24"/>
                <w:lang w:eastAsia="pl-PL"/>
              </w:rPr>
              <w:t>710,92</w:t>
            </w:r>
          </w:p>
        </w:tc>
        <w:tc>
          <w:tcPr>
            <w:tcW w:w="1134" w:type="dxa"/>
            <w:tcBorders>
              <w:top w:val="single" w:sz="4" w:space="0" w:color="auto"/>
              <w:left w:val="single" w:sz="4" w:space="0" w:color="auto"/>
              <w:bottom w:val="single" w:sz="4" w:space="0" w:color="auto"/>
              <w:right w:val="single" w:sz="4" w:space="0" w:color="auto"/>
            </w:tcBorders>
            <w:hideMark/>
          </w:tcPr>
          <w:p w:rsidR="00830D02" w:rsidRPr="00B81E7D" w:rsidRDefault="00830D02" w:rsidP="00B421C2">
            <w:pPr>
              <w:spacing w:line="360" w:lineRule="auto"/>
              <w:jc w:val="both"/>
              <w:rPr>
                <w:rFonts w:cs="Times New Roman"/>
                <w:b/>
                <w:sz w:val="14"/>
                <w:szCs w:val="24"/>
                <w:lang w:eastAsia="pl-PL"/>
              </w:rPr>
            </w:pPr>
            <w:r w:rsidRPr="00B81E7D">
              <w:rPr>
                <w:rFonts w:cs="Times New Roman"/>
                <w:b/>
                <w:sz w:val="14"/>
                <w:szCs w:val="24"/>
                <w:lang w:eastAsia="pl-PL"/>
              </w:rPr>
              <w:t>760,68</w:t>
            </w:r>
          </w:p>
        </w:tc>
        <w:tc>
          <w:tcPr>
            <w:tcW w:w="1276" w:type="dxa"/>
            <w:tcBorders>
              <w:top w:val="single" w:sz="4" w:space="0" w:color="auto"/>
              <w:left w:val="single" w:sz="4" w:space="0" w:color="auto"/>
              <w:bottom w:val="single" w:sz="4" w:space="0" w:color="auto"/>
              <w:right w:val="single" w:sz="4" w:space="0" w:color="auto"/>
            </w:tcBorders>
            <w:hideMark/>
          </w:tcPr>
          <w:p w:rsidR="00830D02" w:rsidRPr="00B81E7D" w:rsidRDefault="00830D02" w:rsidP="00B421C2">
            <w:pPr>
              <w:spacing w:line="360" w:lineRule="auto"/>
              <w:jc w:val="both"/>
              <w:rPr>
                <w:rFonts w:cs="Times New Roman"/>
                <w:b/>
                <w:sz w:val="14"/>
                <w:szCs w:val="24"/>
                <w:lang w:eastAsia="pl-PL"/>
              </w:rPr>
            </w:pPr>
            <w:r w:rsidRPr="00B81E7D">
              <w:rPr>
                <w:rFonts w:cs="Times New Roman"/>
                <w:b/>
                <w:sz w:val="14"/>
                <w:szCs w:val="24"/>
                <w:lang w:eastAsia="pl-PL"/>
              </w:rPr>
              <w:t>+ 18,4%</w:t>
            </w:r>
          </w:p>
        </w:tc>
      </w:tr>
      <w:tr w:rsidR="00830D02" w:rsidRPr="00B81E7D" w:rsidTr="00830D02">
        <w:tc>
          <w:tcPr>
            <w:tcW w:w="2552" w:type="dxa"/>
            <w:tcBorders>
              <w:top w:val="single" w:sz="4" w:space="0" w:color="auto"/>
              <w:left w:val="single" w:sz="4" w:space="0" w:color="auto"/>
              <w:bottom w:val="single" w:sz="4" w:space="0" w:color="auto"/>
              <w:right w:val="single" w:sz="4" w:space="0" w:color="auto"/>
            </w:tcBorders>
            <w:hideMark/>
          </w:tcPr>
          <w:p w:rsidR="00830D02" w:rsidRPr="00B81E7D" w:rsidRDefault="00830D02" w:rsidP="00B421C2">
            <w:pPr>
              <w:spacing w:line="360" w:lineRule="auto"/>
              <w:rPr>
                <w:rFonts w:cs="Times New Roman"/>
                <w:sz w:val="14"/>
                <w:szCs w:val="24"/>
                <w:lang w:eastAsia="pl-PL"/>
              </w:rPr>
            </w:pPr>
            <w:r w:rsidRPr="00B81E7D">
              <w:rPr>
                <w:rFonts w:cs="Times New Roman"/>
                <w:sz w:val="14"/>
                <w:szCs w:val="24"/>
                <w:lang w:eastAsia="pl-PL"/>
              </w:rPr>
              <w:t>Stawka opłaty za egzamin sprawdzający</w:t>
            </w:r>
          </w:p>
        </w:tc>
        <w:tc>
          <w:tcPr>
            <w:tcW w:w="1276" w:type="dxa"/>
            <w:tcBorders>
              <w:top w:val="single" w:sz="4" w:space="0" w:color="auto"/>
              <w:left w:val="single" w:sz="4" w:space="0" w:color="auto"/>
              <w:bottom w:val="single" w:sz="4" w:space="0" w:color="auto"/>
              <w:right w:val="single" w:sz="4" w:space="0" w:color="auto"/>
            </w:tcBorders>
            <w:hideMark/>
          </w:tcPr>
          <w:p w:rsidR="00830D02" w:rsidRPr="00B81E7D" w:rsidRDefault="00830D02" w:rsidP="00B421C2">
            <w:pPr>
              <w:spacing w:line="360" w:lineRule="auto"/>
              <w:jc w:val="both"/>
              <w:rPr>
                <w:rFonts w:cs="Times New Roman"/>
                <w:sz w:val="14"/>
                <w:szCs w:val="24"/>
                <w:lang w:eastAsia="pl-PL"/>
              </w:rPr>
            </w:pPr>
            <w:r w:rsidRPr="00B81E7D">
              <w:rPr>
                <w:rFonts w:cs="Times New Roman"/>
                <w:sz w:val="14"/>
                <w:szCs w:val="24"/>
                <w:lang w:eastAsia="pl-PL"/>
              </w:rPr>
              <w:t>206,93</w:t>
            </w:r>
          </w:p>
        </w:tc>
        <w:tc>
          <w:tcPr>
            <w:tcW w:w="992" w:type="dxa"/>
            <w:tcBorders>
              <w:top w:val="single" w:sz="4" w:space="0" w:color="auto"/>
              <w:left w:val="single" w:sz="4" w:space="0" w:color="auto"/>
              <w:bottom w:val="single" w:sz="4" w:space="0" w:color="auto"/>
              <w:right w:val="single" w:sz="4" w:space="0" w:color="auto"/>
            </w:tcBorders>
            <w:hideMark/>
          </w:tcPr>
          <w:p w:rsidR="00830D02" w:rsidRPr="00B81E7D" w:rsidRDefault="00830D02" w:rsidP="00B421C2">
            <w:pPr>
              <w:spacing w:line="360" w:lineRule="auto"/>
              <w:jc w:val="both"/>
              <w:rPr>
                <w:rFonts w:cs="Times New Roman"/>
                <w:sz w:val="14"/>
                <w:szCs w:val="24"/>
                <w:lang w:eastAsia="pl-PL"/>
              </w:rPr>
            </w:pPr>
            <w:r w:rsidRPr="00B81E7D">
              <w:rPr>
                <w:rFonts w:cs="Times New Roman"/>
                <w:sz w:val="14"/>
                <w:szCs w:val="24"/>
                <w:lang w:eastAsia="pl-PL"/>
              </w:rPr>
              <w:t>214,01</w:t>
            </w:r>
          </w:p>
        </w:tc>
        <w:tc>
          <w:tcPr>
            <w:tcW w:w="992" w:type="dxa"/>
            <w:tcBorders>
              <w:top w:val="single" w:sz="4" w:space="0" w:color="auto"/>
              <w:left w:val="single" w:sz="4" w:space="0" w:color="auto"/>
              <w:bottom w:val="single" w:sz="4" w:space="0" w:color="auto"/>
              <w:right w:val="single" w:sz="4" w:space="0" w:color="auto"/>
            </w:tcBorders>
            <w:hideMark/>
          </w:tcPr>
          <w:p w:rsidR="00830D02" w:rsidRPr="00B81E7D" w:rsidRDefault="00830D02" w:rsidP="00B421C2">
            <w:pPr>
              <w:spacing w:line="360" w:lineRule="auto"/>
              <w:jc w:val="both"/>
              <w:rPr>
                <w:rFonts w:cs="Times New Roman"/>
                <w:sz w:val="14"/>
                <w:szCs w:val="24"/>
                <w:lang w:eastAsia="pl-PL"/>
              </w:rPr>
            </w:pPr>
            <w:r w:rsidRPr="00B81E7D">
              <w:rPr>
                <w:rFonts w:cs="Times New Roman"/>
                <w:sz w:val="14"/>
                <w:szCs w:val="24"/>
                <w:lang w:eastAsia="pl-PL"/>
              </w:rPr>
              <w:t>220,00</w:t>
            </w:r>
          </w:p>
        </w:tc>
        <w:tc>
          <w:tcPr>
            <w:tcW w:w="992" w:type="dxa"/>
            <w:tcBorders>
              <w:top w:val="single" w:sz="4" w:space="0" w:color="auto"/>
              <w:left w:val="single" w:sz="4" w:space="0" w:color="auto"/>
              <w:bottom w:val="single" w:sz="4" w:space="0" w:color="auto"/>
              <w:right w:val="single" w:sz="4" w:space="0" w:color="auto"/>
            </w:tcBorders>
            <w:hideMark/>
          </w:tcPr>
          <w:p w:rsidR="00830D02" w:rsidRPr="00B81E7D" w:rsidRDefault="00830D02" w:rsidP="00B421C2">
            <w:pPr>
              <w:spacing w:line="360" w:lineRule="auto"/>
              <w:jc w:val="both"/>
              <w:rPr>
                <w:rFonts w:cs="Times New Roman"/>
                <w:sz w:val="14"/>
                <w:szCs w:val="24"/>
                <w:lang w:eastAsia="pl-PL"/>
              </w:rPr>
            </w:pPr>
            <w:r w:rsidRPr="00B81E7D">
              <w:rPr>
                <w:rFonts w:cs="Times New Roman"/>
                <w:sz w:val="14"/>
                <w:szCs w:val="24"/>
                <w:lang w:eastAsia="pl-PL"/>
              </w:rPr>
              <w:t>236,97</w:t>
            </w:r>
          </w:p>
        </w:tc>
        <w:tc>
          <w:tcPr>
            <w:tcW w:w="1134" w:type="dxa"/>
            <w:tcBorders>
              <w:top w:val="single" w:sz="4" w:space="0" w:color="auto"/>
              <w:left w:val="single" w:sz="4" w:space="0" w:color="auto"/>
              <w:bottom w:val="single" w:sz="4" w:space="0" w:color="auto"/>
              <w:right w:val="single" w:sz="4" w:space="0" w:color="auto"/>
            </w:tcBorders>
            <w:hideMark/>
          </w:tcPr>
          <w:p w:rsidR="00830D02" w:rsidRPr="00B81E7D" w:rsidRDefault="00830D02" w:rsidP="00B421C2">
            <w:pPr>
              <w:spacing w:line="360" w:lineRule="auto"/>
              <w:jc w:val="both"/>
              <w:rPr>
                <w:rFonts w:cs="Times New Roman"/>
                <w:b/>
                <w:sz w:val="14"/>
                <w:szCs w:val="24"/>
                <w:lang w:eastAsia="pl-PL"/>
              </w:rPr>
            </w:pPr>
            <w:r w:rsidRPr="00B81E7D">
              <w:rPr>
                <w:rFonts w:cs="Times New Roman"/>
                <w:b/>
                <w:sz w:val="14"/>
                <w:szCs w:val="24"/>
                <w:lang w:eastAsia="pl-PL"/>
              </w:rPr>
              <w:t>253,56</w:t>
            </w:r>
          </w:p>
        </w:tc>
        <w:tc>
          <w:tcPr>
            <w:tcW w:w="1276" w:type="dxa"/>
            <w:tcBorders>
              <w:top w:val="single" w:sz="4" w:space="0" w:color="auto"/>
              <w:left w:val="single" w:sz="4" w:space="0" w:color="auto"/>
              <w:bottom w:val="single" w:sz="4" w:space="0" w:color="auto"/>
              <w:right w:val="single" w:sz="4" w:space="0" w:color="auto"/>
            </w:tcBorders>
            <w:hideMark/>
          </w:tcPr>
          <w:p w:rsidR="00830D02" w:rsidRPr="00B81E7D" w:rsidRDefault="00830D02" w:rsidP="00B421C2">
            <w:pPr>
              <w:spacing w:line="360" w:lineRule="auto"/>
              <w:jc w:val="both"/>
              <w:rPr>
                <w:rFonts w:cs="Times New Roman"/>
                <w:b/>
                <w:sz w:val="14"/>
                <w:szCs w:val="24"/>
                <w:lang w:eastAsia="pl-PL"/>
              </w:rPr>
            </w:pPr>
            <w:r w:rsidRPr="00B81E7D">
              <w:rPr>
                <w:rFonts w:cs="Times New Roman"/>
                <w:b/>
                <w:sz w:val="14"/>
                <w:szCs w:val="24"/>
                <w:lang w:eastAsia="pl-PL"/>
              </w:rPr>
              <w:t>+ 18,5%</w:t>
            </w:r>
          </w:p>
        </w:tc>
      </w:tr>
    </w:tbl>
    <w:p w:rsidR="00830D02" w:rsidRPr="00B81E7D" w:rsidRDefault="00830D02" w:rsidP="00B421C2">
      <w:pPr>
        <w:spacing w:line="360" w:lineRule="auto"/>
        <w:jc w:val="both"/>
        <w:rPr>
          <w:rFonts w:cs="Times New Roman"/>
          <w:szCs w:val="24"/>
          <w:lang w:eastAsia="pl-PL"/>
        </w:rPr>
      </w:pPr>
    </w:p>
    <w:p w:rsidR="00830D02" w:rsidRPr="00B81E7D" w:rsidRDefault="00830D02" w:rsidP="00C90CD0">
      <w:pPr>
        <w:spacing w:before="120" w:line="360" w:lineRule="auto"/>
        <w:jc w:val="both"/>
        <w:rPr>
          <w:rFonts w:cs="Times New Roman"/>
          <w:szCs w:val="24"/>
          <w:lang w:eastAsia="pl-PL"/>
        </w:rPr>
      </w:pPr>
      <w:r w:rsidRPr="00B81E7D">
        <w:rPr>
          <w:rFonts w:cs="Times New Roman"/>
          <w:szCs w:val="24"/>
          <w:lang w:eastAsia="pl-PL"/>
        </w:rPr>
        <w:t>Po 5-letnim okresie stosowania opłat za egzaminy w wysokości wyliczanej wg stałych wielkości procentowych w stosunku do przeciętnego miesięcznego wynagrodzenia w sektorze przedsiębiorstw bez wypłat nagród z zysku w IV kwartale roku poprzedniego, stwierdzono narastanie problemu zbyt szybkiego wzrostu stawek przedmiotowych opłat. Przyczyną jest podstawa naliczenia opłat, która co roku znacznie wzrasta, co powoduje podwyższenie stawek opłat za egzaminy. Zatrzymanie wzrostu opłat, choć nie jest korzystne z punktu widzenia podmiotów pobierających te opłaty, to w kontekście społecznym jest oczekiwanym rozwiązaniem. Należy podkreślić, że opłata</w:t>
      </w:r>
      <w:r w:rsidR="00C90CD0" w:rsidRPr="00B81E7D">
        <w:rPr>
          <w:rFonts w:cs="Times New Roman"/>
          <w:szCs w:val="24"/>
          <w:lang w:eastAsia="pl-PL"/>
        </w:rPr>
        <w:t xml:space="preserve"> za egzamin pobierana jest raz. </w:t>
      </w:r>
    </w:p>
    <w:p w:rsidR="00830D02" w:rsidRPr="00B81E7D" w:rsidRDefault="00830D02" w:rsidP="00C90CD0">
      <w:pPr>
        <w:spacing w:before="120" w:line="360" w:lineRule="auto"/>
        <w:jc w:val="both"/>
        <w:rPr>
          <w:rFonts w:cs="Times New Roman"/>
          <w:szCs w:val="24"/>
          <w:lang w:eastAsia="pl-PL"/>
        </w:rPr>
      </w:pPr>
      <w:r w:rsidRPr="00B81E7D">
        <w:rPr>
          <w:rFonts w:cs="Times New Roman"/>
          <w:szCs w:val="24"/>
          <w:lang w:eastAsia="pl-PL"/>
        </w:rPr>
        <w:t>Proponuje się przyjęcie zasady waloryzacji stawek opłat analogicznej, jak w przypadku dofinansowania kosztów wykształcenia młodocianych pracowników: „</w:t>
      </w:r>
      <w:r w:rsidRPr="00B81E7D">
        <w:rPr>
          <w:rFonts w:cs="Times New Roman"/>
          <w:i/>
          <w:szCs w:val="24"/>
          <w:lang w:eastAsia="pl-PL"/>
        </w:rPr>
        <w:t>Kwoty dofinansowania określone w [ust. 2] podlegają waloryzacji wskaźnikiem cen towarów i usług konsumpcyjnych ogółem, jeżeli ten wskaźnik w roku kalendarzowym poprzedzającym rok, w którym następuje wypłata dofinansowania, wynosi co najmniej 105%. 4. Wskaźnik, o którym mowa w ust. 3, Prezes Głównego Urzędu Statystycznego ogłasza w Dzienniku Urzędowym Rzeczypospolitej Polskiej „Monitor Polski” na podstawie przepisów o emeryturach i rentach z Funduszu Ubezpieczeń Społecznych.”</w:t>
      </w:r>
      <w:r w:rsidRPr="00B81E7D">
        <w:rPr>
          <w:rFonts w:cs="Times New Roman"/>
          <w:szCs w:val="24"/>
          <w:lang w:eastAsia="pl-PL"/>
        </w:rPr>
        <w:t xml:space="preserve">  </w:t>
      </w:r>
    </w:p>
    <w:p w:rsidR="00830D02" w:rsidRPr="00B81E7D" w:rsidRDefault="00830D02" w:rsidP="00C90CD0">
      <w:pPr>
        <w:spacing w:before="120" w:line="360" w:lineRule="auto"/>
        <w:jc w:val="both"/>
        <w:rPr>
          <w:rFonts w:cs="Times New Roman"/>
          <w:i/>
          <w:szCs w:val="24"/>
          <w:lang w:eastAsia="pl-PL"/>
        </w:rPr>
      </w:pPr>
      <w:r w:rsidRPr="00B81E7D">
        <w:rPr>
          <w:rFonts w:cs="Times New Roman"/>
          <w:szCs w:val="24"/>
          <w:lang w:eastAsia="pl-PL"/>
        </w:rPr>
        <w:t>Przyjęcie takiego wyliczenia stawek opłat za egzaminy wydaje się uzasadnione organizacyjnie i sł</w:t>
      </w:r>
      <w:r w:rsidR="00C90CD0" w:rsidRPr="00B81E7D">
        <w:rPr>
          <w:rFonts w:cs="Times New Roman"/>
          <w:szCs w:val="24"/>
          <w:lang w:eastAsia="pl-PL"/>
        </w:rPr>
        <w:t>uszne ze względów społecznych.</w:t>
      </w:r>
      <w:r w:rsidR="00C90CD0" w:rsidRPr="00B81E7D">
        <w:rPr>
          <w:rFonts w:cs="Times New Roman"/>
          <w:i/>
          <w:szCs w:val="24"/>
          <w:lang w:eastAsia="pl-PL"/>
        </w:rPr>
        <w:t xml:space="preserve"> </w:t>
      </w:r>
    </w:p>
    <w:p w:rsidR="00830D02" w:rsidRPr="00B81E7D" w:rsidRDefault="00830D02" w:rsidP="00C90CD0">
      <w:pPr>
        <w:spacing w:before="120" w:line="360" w:lineRule="auto"/>
        <w:jc w:val="both"/>
        <w:rPr>
          <w:rFonts w:cs="Times New Roman"/>
          <w:i/>
          <w:szCs w:val="24"/>
          <w:lang w:eastAsia="pl-PL"/>
        </w:rPr>
      </w:pPr>
      <w:r w:rsidRPr="00B81E7D">
        <w:rPr>
          <w:rFonts w:cs="Times New Roman"/>
          <w:i/>
          <w:szCs w:val="24"/>
          <w:lang w:eastAsia="pl-PL"/>
        </w:rPr>
        <w:t>Symulacja stawek opłat na 2019 rok przy zastosowaniu no</w:t>
      </w:r>
      <w:r w:rsidR="00B4541D">
        <w:rPr>
          <w:rFonts w:cs="Times New Roman"/>
          <w:i/>
          <w:szCs w:val="24"/>
          <w:lang w:eastAsia="pl-PL"/>
        </w:rPr>
        <w:t>wego sposobu ustalania opłat za </w:t>
      </w:r>
      <w:r w:rsidRPr="00B81E7D">
        <w:rPr>
          <w:rFonts w:cs="Times New Roman"/>
          <w:i/>
          <w:szCs w:val="24"/>
          <w:lang w:eastAsia="pl-PL"/>
        </w:rPr>
        <w:t>egzaminy:</w:t>
      </w: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84"/>
        <w:gridCol w:w="1559"/>
        <w:gridCol w:w="1701"/>
        <w:gridCol w:w="1560"/>
        <w:gridCol w:w="1417"/>
        <w:gridCol w:w="1418"/>
      </w:tblGrid>
      <w:tr w:rsidR="00830D02" w:rsidRPr="00B81E7D" w:rsidTr="00830D02">
        <w:trPr>
          <w:trHeight w:val="1235"/>
        </w:trPr>
        <w:tc>
          <w:tcPr>
            <w:tcW w:w="1384" w:type="dxa"/>
            <w:tcBorders>
              <w:top w:val="single" w:sz="4" w:space="0" w:color="auto"/>
              <w:left w:val="single" w:sz="4" w:space="0" w:color="auto"/>
              <w:bottom w:val="single" w:sz="4" w:space="0" w:color="auto"/>
              <w:right w:val="single" w:sz="4" w:space="0" w:color="auto"/>
            </w:tcBorders>
          </w:tcPr>
          <w:p w:rsidR="00830D02" w:rsidRPr="00B81E7D" w:rsidRDefault="00830D02" w:rsidP="00B421C2">
            <w:pPr>
              <w:spacing w:line="360" w:lineRule="auto"/>
              <w:jc w:val="both"/>
              <w:rPr>
                <w:rFonts w:cs="Times New Roman"/>
                <w:sz w:val="14"/>
                <w:szCs w:val="24"/>
                <w:lang w:eastAsia="pl-PL"/>
              </w:rPr>
            </w:pPr>
          </w:p>
        </w:tc>
        <w:tc>
          <w:tcPr>
            <w:tcW w:w="1559" w:type="dxa"/>
            <w:tcBorders>
              <w:top w:val="single" w:sz="4" w:space="0" w:color="auto"/>
              <w:left w:val="single" w:sz="4" w:space="0" w:color="auto"/>
              <w:bottom w:val="single" w:sz="4" w:space="0" w:color="auto"/>
              <w:right w:val="single" w:sz="4" w:space="0" w:color="auto"/>
            </w:tcBorders>
            <w:hideMark/>
          </w:tcPr>
          <w:p w:rsidR="00830D02" w:rsidRPr="00B81E7D" w:rsidRDefault="00830D02" w:rsidP="00B421C2">
            <w:pPr>
              <w:spacing w:line="360" w:lineRule="auto"/>
              <w:jc w:val="center"/>
              <w:rPr>
                <w:rFonts w:cs="Times New Roman"/>
                <w:sz w:val="14"/>
                <w:szCs w:val="24"/>
                <w:lang w:eastAsia="pl-PL"/>
              </w:rPr>
            </w:pPr>
          </w:p>
          <w:p w:rsidR="00830D02" w:rsidRPr="00B81E7D" w:rsidRDefault="00830D02" w:rsidP="00B421C2">
            <w:pPr>
              <w:spacing w:line="360" w:lineRule="auto"/>
              <w:jc w:val="center"/>
              <w:rPr>
                <w:rFonts w:cs="Times New Roman"/>
                <w:sz w:val="14"/>
                <w:szCs w:val="24"/>
                <w:lang w:eastAsia="pl-PL"/>
              </w:rPr>
            </w:pPr>
            <w:r w:rsidRPr="00B81E7D">
              <w:rPr>
                <w:rFonts w:cs="Times New Roman"/>
                <w:sz w:val="14"/>
                <w:szCs w:val="24"/>
                <w:lang w:eastAsia="pl-PL"/>
              </w:rPr>
              <w:t>Stawki opłat za egzaminy 2018 r</w:t>
            </w:r>
          </w:p>
          <w:p w:rsidR="00830D02" w:rsidRPr="00B81E7D" w:rsidRDefault="00830D02" w:rsidP="00B421C2">
            <w:pPr>
              <w:spacing w:line="360" w:lineRule="auto"/>
              <w:jc w:val="center"/>
              <w:rPr>
                <w:rFonts w:cs="Times New Roman"/>
                <w:sz w:val="14"/>
                <w:szCs w:val="24"/>
                <w:lang w:eastAsia="pl-PL"/>
              </w:rPr>
            </w:pPr>
            <w:r w:rsidRPr="00B81E7D">
              <w:rPr>
                <w:rFonts w:cs="Times New Roman"/>
                <w:sz w:val="14"/>
                <w:szCs w:val="24"/>
                <w:lang w:eastAsia="pl-PL"/>
              </w:rPr>
              <w:t>wyliczone wg obecnych zasad</w:t>
            </w:r>
          </w:p>
          <w:p w:rsidR="00830D02" w:rsidRPr="00B81E7D" w:rsidRDefault="00830D02" w:rsidP="00B421C2">
            <w:pPr>
              <w:spacing w:line="360" w:lineRule="auto"/>
              <w:jc w:val="center"/>
              <w:rPr>
                <w:rFonts w:cs="Times New Roman"/>
                <w:sz w:val="14"/>
                <w:szCs w:val="24"/>
                <w:lang w:eastAsia="pl-PL"/>
              </w:rPr>
            </w:pPr>
            <w:r w:rsidRPr="00B81E7D">
              <w:rPr>
                <w:rFonts w:cs="Times New Roman"/>
                <w:sz w:val="14"/>
                <w:szCs w:val="24"/>
                <w:lang w:eastAsia="pl-PL"/>
              </w:rPr>
              <w:t>(% przeciętnego wynagr. w zł.)</w:t>
            </w:r>
          </w:p>
        </w:tc>
        <w:tc>
          <w:tcPr>
            <w:tcW w:w="1701" w:type="dxa"/>
            <w:tcBorders>
              <w:top w:val="single" w:sz="4" w:space="0" w:color="auto"/>
              <w:left w:val="single" w:sz="4" w:space="0" w:color="auto"/>
              <w:bottom w:val="single" w:sz="4" w:space="0" w:color="auto"/>
              <w:right w:val="single" w:sz="4" w:space="0" w:color="auto"/>
            </w:tcBorders>
            <w:hideMark/>
          </w:tcPr>
          <w:p w:rsidR="00830D02" w:rsidRPr="00B81E7D" w:rsidRDefault="00830D02" w:rsidP="00B421C2">
            <w:pPr>
              <w:spacing w:line="360" w:lineRule="auto"/>
              <w:jc w:val="center"/>
              <w:rPr>
                <w:rFonts w:cs="Times New Roman"/>
                <w:sz w:val="14"/>
                <w:szCs w:val="24"/>
                <w:lang w:eastAsia="pl-PL"/>
              </w:rPr>
            </w:pPr>
          </w:p>
          <w:p w:rsidR="00830D02" w:rsidRPr="00B81E7D" w:rsidRDefault="00830D02" w:rsidP="00B421C2">
            <w:pPr>
              <w:spacing w:line="360" w:lineRule="auto"/>
              <w:jc w:val="center"/>
              <w:rPr>
                <w:rFonts w:cs="Times New Roman"/>
                <w:b/>
                <w:sz w:val="14"/>
                <w:szCs w:val="24"/>
                <w:u w:val="single"/>
                <w:lang w:eastAsia="pl-PL"/>
              </w:rPr>
            </w:pPr>
            <w:r w:rsidRPr="00B81E7D">
              <w:rPr>
                <w:rFonts w:cs="Times New Roman"/>
                <w:sz w:val="14"/>
                <w:szCs w:val="24"/>
                <w:lang w:eastAsia="pl-PL"/>
              </w:rPr>
              <w:t xml:space="preserve">Stawki opłat za egzaminy </w:t>
            </w:r>
            <w:r w:rsidRPr="00B81E7D">
              <w:rPr>
                <w:rFonts w:cs="Times New Roman"/>
                <w:sz w:val="14"/>
                <w:szCs w:val="24"/>
                <w:u w:val="single"/>
                <w:lang w:eastAsia="pl-PL"/>
              </w:rPr>
              <w:t>2019 r</w:t>
            </w:r>
          </w:p>
          <w:p w:rsidR="00830D02" w:rsidRPr="00B81E7D" w:rsidRDefault="00830D02" w:rsidP="00B421C2">
            <w:pPr>
              <w:spacing w:line="360" w:lineRule="auto"/>
              <w:jc w:val="center"/>
              <w:rPr>
                <w:rFonts w:cs="Times New Roman"/>
                <w:sz w:val="14"/>
                <w:szCs w:val="24"/>
                <w:lang w:eastAsia="pl-PL"/>
              </w:rPr>
            </w:pPr>
            <w:r w:rsidRPr="00B81E7D">
              <w:rPr>
                <w:rFonts w:cs="Times New Roman"/>
                <w:sz w:val="14"/>
                <w:szCs w:val="24"/>
                <w:lang w:eastAsia="pl-PL"/>
              </w:rPr>
              <w:t>wyliczone wg obecnych zasad</w:t>
            </w:r>
          </w:p>
          <w:p w:rsidR="00830D02" w:rsidRPr="00B81E7D" w:rsidRDefault="00830D02" w:rsidP="00B421C2">
            <w:pPr>
              <w:spacing w:line="360" w:lineRule="auto"/>
              <w:jc w:val="center"/>
              <w:rPr>
                <w:rFonts w:cs="Times New Roman"/>
                <w:sz w:val="14"/>
                <w:szCs w:val="24"/>
                <w:lang w:eastAsia="pl-PL"/>
              </w:rPr>
            </w:pPr>
            <w:r w:rsidRPr="00B81E7D">
              <w:rPr>
                <w:rFonts w:cs="Times New Roman"/>
                <w:sz w:val="14"/>
                <w:szCs w:val="24"/>
                <w:lang w:eastAsia="pl-PL"/>
              </w:rPr>
              <w:t>(% przeciętnego wynagr. w zł.)</w:t>
            </w:r>
          </w:p>
        </w:tc>
        <w:tc>
          <w:tcPr>
            <w:tcW w:w="1560" w:type="dxa"/>
            <w:tcBorders>
              <w:top w:val="single" w:sz="4" w:space="0" w:color="auto"/>
              <w:left w:val="single" w:sz="4" w:space="0" w:color="auto"/>
              <w:bottom w:val="single" w:sz="4" w:space="0" w:color="auto"/>
              <w:right w:val="single" w:sz="4" w:space="0" w:color="auto"/>
            </w:tcBorders>
            <w:shd w:val="clear" w:color="auto" w:fill="D9D9D9"/>
            <w:hideMark/>
          </w:tcPr>
          <w:p w:rsidR="00830D02" w:rsidRPr="00B81E7D" w:rsidRDefault="00830D02" w:rsidP="00B421C2">
            <w:pPr>
              <w:spacing w:line="360" w:lineRule="auto"/>
              <w:rPr>
                <w:rFonts w:cs="Times New Roman"/>
                <w:b/>
                <w:sz w:val="14"/>
                <w:szCs w:val="24"/>
                <w:lang w:eastAsia="pl-PL"/>
              </w:rPr>
            </w:pPr>
          </w:p>
          <w:p w:rsidR="00830D02" w:rsidRPr="00B81E7D" w:rsidRDefault="00830D02" w:rsidP="00B421C2">
            <w:pPr>
              <w:spacing w:line="360" w:lineRule="auto"/>
              <w:rPr>
                <w:rFonts w:cs="Times New Roman"/>
                <w:b/>
                <w:sz w:val="14"/>
                <w:szCs w:val="24"/>
                <w:lang w:eastAsia="pl-PL"/>
              </w:rPr>
            </w:pPr>
            <w:r w:rsidRPr="00B81E7D">
              <w:rPr>
                <w:rFonts w:cs="Times New Roman"/>
                <w:b/>
                <w:sz w:val="14"/>
                <w:szCs w:val="24"/>
                <w:lang w:eastAsia="pl-PL"/>
              </w:rPr>
              <w:t>ZMIANA NA OPŁATY KWOTOWE</w:t>
            </w:r>
          </w:p>
          <w:p w:rsidR="00830D02" w:rsidRPr="00B81E7D" w:rsidRDefault="00830D02" w:rsidP="00B421C2">
            <w:pPr>
              <w:spacing w:line="360" w:lineRule="auto"/>
              <w:rPr>
                <w:rFonts w:cs="Times New Roman"/>
                <w:b/>
                <w:sz w:val="14"/>
                <w:szCs w:val="24"/>
                <w:lang w:eastAsia="pl-PL"/>
              </w:rPr>
            </w:pPr>
            <w:r w:rsidRPr="00B81E7D">
              <w:rPr>
                <w:rFonts w:cs="Times New Roman"/>
                <w:b/>
                <w:sz w:val="14"/>
                <w:szCs w:val="24"/>
                <w:lang w:eastAsia="pl-PL"/>
              </w:rPr>
              <w:t>np. od 1.01.2020 r.</w:t>
            </w:r>
          </w:p>
        </w:tc>
        <w:tc>
          <w:tcPr>
            <w:tcW w:w="1417" w:type="dxa"/>
            <w:tcBorders>
              <w:top w:val="single" w:sz="4" w:space="0" w:color="auto"/>
              <w:left w:val="single" w:sz="4" w:space="0" w:color="auto"/>
              <w:bottom w:val="single" w:sz="4" w:space="0" w:color="auto"/>
              <w:right w:val="single" w:sz="4" w:space="0" w:color="auto"/>
            </w:tcBorders>
            <w:shd w:val="clear" w:color="auto" w:fill="D9D9D9"/>
            <w:hideMark/>
          </w:tcPr>
          <w:p w:rsidR="00830D02" w:rsidRPr="00B81E7D" w:rsidRDefault="00830D02" w:rsidP="00B421C2">
            <w:pPr>
              <w:spacing w:line="360" w:lineRule="auto"/>
              <w:jc w:val="center"/>
              <w:rPr>
                <w:rFonts w:cs="Times New Roman"/>
                <w:sz w:val="14"/>
                <w:szCs w:val="24"/>
                <w:lang w:eastAsia="pl-PL"/>
              </w:rPr>
            </w:pPr>
            <w:r w:rsidRPr="00B81E7D">
              <w:rPr>
                <w:rFonts w:cs="Times New Roman"/>
                <w:b/>
                <w:sz w:val="14"/>
                <w:szCs w:val="24"/>
                <w:lang w:eastAsia="pl-PL"/>
              </w:rPr>
              <w:t>Wskaźnik waloryzacji</w:t>
            </w:r>
            <w:r w:rsidRPr="00B81E7D">
              <w:rPr>
                <w:rFonts w:cs="Times New Roman"/>
                <w:sz w:val="14"/>
                <w:szCs w:val="24"/>
                <w:lang w:eastAsia="pl-PL"/>
              </w:rPr>
              <w:t xml:space="preserve"> 101,6%</w:t>
            </w:r>
          </w:p>
          <w:p w:rsidR="00830D02" w:rsidRPr="00B81E7D" w:rsidRDefault="00830D02" w:rsidP="00B421C2">
            <w:pPr>
              <w:spacing w:line="360" w:lineRule="auto"/>
              <w:jc w:val="center"/>
              <w:rPr>
                <w:rFonts w:cs="Times New Roman"/>
                <w:sz w:val="14"/>
                <w:szCs w:val="24"/>
                <w:lang w:eastAsia="pl-PL"/>
              </w:rPr>
            </w:pPr>
            <w:r w:rsidRPr="00B81E7D">
              <w:rPr>
                <w:rFonts w:cs="Times New Roman"/>
                <w:sz w:val="14"/>
                <w:szCs w:val="24"/>
                <w:lang w:eastAsia="pl-PL"/>
              </w:rPr>
              <w:t>(w 2018)</w:t>
            </w:r>
          </w:p>
          <w:p w:rsidR="00830D02" w:rsidRPr="00B81E7D" w:rsidRDefault="00830D02" w:rsidP="00B421C2">
            <w:pPr>
              <w:spacing w:line="360" w:lineRule="auto"/>
              <w:jc w:val="center"/>
              <w:rPr>
                <w:rFonts w:cs="Times New Roman"/>
                <w:sz w:val="14"/>
                <w:szCs w:val="24"/>
                <w:lang w:eastAsia="pl-PL"/>
              </w:rPr>
            </w:pPr>
            <w:r w:rsidRPr="00B81E7D">
              <w:rPr>
                <w:rFonts w:cs="Times New Roman"/>
                <w:sz w:val="14"/>
                <w:szCs w:val="24"/>
                <w:lang w:eastAsia="pl-PL"/>
              </w:rPr>
              <w:t>– kwota waloryzacji (w zł)</w:t>
            </w:r>
          </w:p>
        </w:tc>
        <w:tc>
          <w:tcPr>
            <w:tcW w:w="1418" w:type="dxa"/>
            <w:tcBorders>
              <w:top w:val="single" w:sz="4" w:space="0" w:color="auto"/>
              <w:left w:val="single" w:sz="4" w:space="0" w:color="auto"/>
              <w:bottom w:val="single" w:sz="4" w:space="0" w:color="auto"/>
              <w:right w:val="single" w:sz="4" w:space="0" w:color="auto"/>
            </w:tcBorders>
            <w:shd w:val="clear" w:color="auto" w:fill="D9D9D9"/>
            <w:hideMark/>
          </w:tcPr>
          <w:p w:rsidR="00830D02" w:rsidRPr="00B81E7D" w:rsidRDefault="00830D02" w:rsidP="00B421C2">
            <w:pPr>
              <w:spacing w:line="360" w:lineRule="auto"/>
              <w:jc w:val="center"/>
              <w:rPr>
                <w:rFonts w:cs="Times New Roman"/>
                <w:b/>
                <w:sz w:val="14"/>
                <w:szCs w:val="24"/>
                <w:lang w:eastAsia="pl-PL"/>
              </w:rPr>
            </w:pPr>
            <w:r w:rsidRPr="00B81E7D">
              <w:rPr>
                <w:rFonts w:cs="Times New Roman"/>
                <w:b/>
                <w:sz w:val="14"/>
                <w:szCs w:val="24"/>
                <w:lang w:eastAsia="pl-PL"/>
              </w:rPr>
              <w:t>Stawki opłat</w:t>
            </w:r>
          </w:p>
          <w:p w:rsidR="00830D02" w:rsidRPr="00B81E7D" w:rsidRDefault="00830D02" w:rsidP="00B421C2">
            <w:pPr>
              <w:spacing w:line="360" w:lineRule="auto"/>
              <w:jc w:val="center"/>
              <w:rPr>
                <w:rFonts w:cs="Times New Roman"/>
                <w:sz w:val="14"/>
                <w:szCs w:val="24"/>
                <w:lang w:eastAsia="pl-PL"/>
              </w:rPr>
            </w:pPr>
            <w:r w:rsidRPr="00B81E7D">
              <w:rPr>
                <w:rFonts w:cs="Times New Roman"/>
                <w:sz w:val="14"/>
                <w:szCs w:val="24"/>
                <w:lang w:eastAsia="pl-PL"/>
              </w:rPr>
              <w:t>wersja ze wzrostem cen o 1,6%</w:t>
            </w:r>
          </w:p>
        </w:tc>
      </w:tr>
      <w:tr w:rsidR="00830D02" w:rsidRPr="00B81E7D" w:rsidTr="00830D02">
        <w:tc>
          <w:tcPr>
            <w:tcW w:w="1384" w:type="dxa"/>
            <w:tcBorders>
              <w:top w:val="single" w:sz="4" w:space="0" w:color="auto"/>
              <w:left w:val="single" w:sz="4" w:space="0" w:color="auto"/>
              <w:bottom w:val="single" w:sz="4" w:space="0" w:color="auto"/>
              <w:right w:val="single" w:sz="4" w:space="0" w:color="auto"/>
            </w:tcBorders>
            <w:hideMark/>
          </w:tcPr>
          <w:p w:rsidR="00830D02" w:rsidRPr="00B81E7D" w:rsidRDefault="00830D02" w:rsidP="00B421C2">
            <w:pPr>
              <w:spacing w:line="360" w:lineRule="auto"/>
              <w:jc w:val="both"/>
              <w:rPr>
                <w:rFonts w:cs="Times New Roman"/>
                <w:b/>
                <w:sz w:val="14"/>
                <w:szCs w:val="24"/>
                <w:lang w:eastAsia="pl-PL"/>
              </w:rPr>
            </w:pPr>
            <w:r w:rsidRPr="00B81E7D">
              <w:rPr>
                <w:rFonts w:cs="Times New Roman"/>
                <w:b/>
                <w:sz w:val="14"/>
                <w:szCs w:val="24"/>
                <w:lang w:eastAsia="pl-PL"/>
              </w:rPr>
              <w:t>Egzamin mistrzowski</w:t>
            </w:r>
          </w:p>
        </w:tc>
        <w:tc>
          <w:tcPr>
            <w:tcW w:w="1559" w:type="dxa"/>
            <w:tcBorders>
              <w:top w:val="single" w:sz="4" w:space="0" w:color="auto"/>
              <w:left w:val="single" w:sz="4" w:space="0" w:color="auto"/>
              <w:bottom w:val="single" w:sz="4" w:space="0" w:color="auto"/>
              <w:right w:val="single" w:sz="4" w:space="0" w:color="auto"/>
            </w:tcBorders>
            <w:hideMark/>
          </w:tcPr>
          <w:p w:rsidR="00830D02" w:rsidRPr="00B81E7D" w:rsidRDefault="00830D02" w:rsidP="00B421C2">
            <w:pPr>
              <w:spacing w:line="360" w:lineRule="auto"/>
              <w:jc w:val="both"/>
              <w:rPr>
                <w:rFonts w:cs="Times New Roman"/>
                <w:i/>
                <w:sz w:val="14"/>
                <w:szCs w:val="24"/>
                <w:lang w:eastAsia="pl-PL"/>
              </w:rPr>
            </w:pPr>
            <w:r w:rsidRPr="00B81E7D">
              <w:rPr>
                <w:rFonts w:cs="Times New Roman"/>
                <w:i/>
                <w:sz w:val="14"/>
                <w:szCs w:val="24"/>
                <w:lang w:eastAsia="pl-PL"/>
              </w:rPr>
              <w:t>1 421,85</w:t>
            </w:r>
          </w:p>
          <w:p w:rsidR="00830D02" w:rsidRPr="00B81E7D" w:rsidRDefault="00830D02" w:rsidP="00B421C2">
            <w:pPr>
              <w:spacing w:line="360" w:lineRule="auto"/>
              <w:jc w:val="both"/>
              <w:rPr>
                <w:rFonts w:cs="Times New Roman"/>
                <w:b/>
                <w:sz w:val="14"/>
                <w:szCs w:val="24"/>
                <w:lang w:eastAsia="pl-PL"/>
              </w:rPr>
            </w:pPr>
            <w:r w:rsidRPr="00B81E7D">
              <w:rPr>
                <w:rFonts w:cs="Times New Roman"/>
                <w:b/>
                <w:sz w:val="14"/>
                <w:szCs w:val="24"/>
                <w:lang w:eastAsia="pl-PL"/>
              </w:rPr>
              <w:t>1 422,00</w:t>
            </w:r>
          </w:p>
        </w:tc>
        <w:tc>
          <w:tcPr>
            <w:tcW w:w="1701" w:type="dxa"/>
            <w:tcBorders>
              <w:top w:val="single" w:sz="4" w:space="0" w:color="auto"/>
              <w:left w:val="single" w:sz="4" w:space="0" w:color="auto"/>
              <w:bottom w:val="single" w:sz="4" w:space="0" w:color="auto"/>
              <w:right w:val="single" w:sz="4" w:space="0" w:color="auto"/>
            </w:tcBorders>
            <w:hideMark/>
          </w:tcPr>
          <w:p w:rsidR="00830D02" w:rsidRPr="00B81E7D" w:rsidRDefault="00830D02" w:rsidP="00B421C2">
            <w:pPr>
              <w:spacing w:line="360" w:lineRule="auto"/>
              <w:jc w:val="both"/>
              <w:rPr>
                <w:rFonts w:cs="Times New Roman"/>
                <w:sz w:val="14"/>
                <w:szCs w:val="24"/>
                <w:lang w:eastAsia="pl-PL"/>
              </w:rPr>
            </w:pPr>
            <w:r w:rsidRPr="00B81E7D">
              <w:rPr>
                <w:rFonts w:cs="Times New Roman"/>
                <w:sz w:val="14"/>
                <w:szCs w:val="24"/>
                <w:lang w:eastAsia="pl-PL"/>
              </w:rPr>
              <w:t>1 521,37</w:t>
            </w:r>
          </w:p>
        </w:tc>
        <w:tc>
          <w:tcPr>
            <w:tcW w:w="1560" w:type="dxa"/>
            <w:tcBorders>
              <w:top w:val="single" w:sz="4" w:space="0" w:color="auto"/>
              <w:left w:val="single" w:sz="4" w:space="0" w:color="auto"/>
              <w:bottom w:val="single" w:sz="4" w:space="0" w:color="auto"/>
              <w:right w:val="single" w:sz="4" w:space="0" w:color="auto"/>
            </w:tcBorders>
            <w:shd w:val="clear" w:color="auto" w:fill="D9D9D9"/>
            <w:hideMark/>
          </w:tcPr>
          <w:p w:rsidR="00830D02" w:rsidRPr="00B81E7D" w:rsidRDefault="00830D02" w:rsidP="00B421C2">
            <w:pPr>
              <w:spacing w:line="360" w:lineRule="auto"/>
              <w:jc w:val="both"/>
              <w:rPr>
                <w:rFonts w:cs="Times New Roman"/>
                <w:b/>
                <w:sz w:val="14"/>
                <w:szCs w:val="24"/>
                <w:lang w:eastAsia="pl-PL"/>
              </w:rPr>
            </w:pPr>
            <w:r w:rsidRPr="00B81E7D">
              <w:rPr>
                <w:rFonts w:cs="Times New Roman"/>
                <w:b/>
                <w:sz w:val="14"/>
                <w:szCs w:val="24"/>
                <w:lang w:eastAsia="pl-PL"/>
              </w:rPr>
              <w:t>1 400,00</w:t>
            </w:r>
          </w:p>
        </w:tc>
        <w:tc>
          <w:tcPr>
            <w:tcW w:w="1417" w:type="dxa"/>
            <w:tcBorders>
              <w:top w:val="single" w:sz="4" w:space="0" w:color="auto"/>
              <w:left w:val="single" w:sz="4" w:space="0" w:color="auto"/>
              <w:bottom w:val="single" w:sz="4" w:space="0" w:color="auto"/>
              <w:right w:val="single" w:sz="4" w:space="0" w:color="auto"/>
            </w:tcBorders>
            <w:shd w:val="clear" w:color="auto" w:fill="D9D9D9"/>
            <w:hideMark/>
          </w:tcPr>
          <w:p w:rsidR="00830D02" w:rsidRPr="00B81E7D" w:rsidRDefault="00830D02" w:rsidP="00B421C2">
            <w:pPr>
              <w:spacing w:line="360" w:lineRule="auto"/>
              <w:jc w:val="both"/>
              <w:rPr>
                <w:rFonts w:cs="Times New Roman"/>
                <w:sz w:val="14"/>
                <w:szCs w:val="24"/>
                <w:lang w:eastAsia="pl-PL"/>
              </w:rPr>
            </w:pPr>
            <w:r w:rsidRPr="00B81E7D">
              <w:rPr>
                <w:rFonts w:cs="Times New Roman"/>
                <w:sz w:val="14"/>
                <w:szCs w:val="24"/>
                <w:lang w:eastAsia="pl-PL"/>
              </w:rPr>
              <w:t>+ 22,40</w:t>
            </w:r>
          </w:p>
        </w:tc>
        <w:tc>
          <w:tcPr>
            <w:tcW w:w="1418" w:type="dxa"/>
            <w:tcBorders>
              <w:top w:val="single" w:sz="4" w:space="0" w:color="auto"/>
              <w:left w:val="single" w:sz="4" w:space="0" w:color="auto"/>
              <w:bottom w:val="single" w:sz="4" w:space="0" w:color="auto"/>
              <w:right w:val="single" w:sz="4" w:space="0" w:color="auto"/>
            </w:tcBorders>
            <w:shd w:val="clear" w:color="auto" w:fill="D9D9D9"/>
            <w:hideMark/>
          </w:tcPr>
          <w:p w:rsidR="00830D02" w:rsidRPr="00B81E7D" w:rsidRDefault="00830D02" w:rsidP="00B421C2">
            <w:pPr>
              <w:spacing w:line="360" w:lineRule="auto"/>
              <w:jc w:val="both"/>
              <w:rPr>
                <w:rFonts w:cs="Times New Roman"/>
                <w:sz w:val="14"/>
                <w:szCs w:val="24"/>
                <w:lang w:eastAsia="pl-PL"/>
              </w:rPr>
            </w:pPr>
            <w:r w:rsidRPr="00B81E7D">
              <w:rPr>
                <w:rFonts w:cs="Times New Roman"/>
                <w:sz w:val="14"/>
                <w:szCs w:val="24"/>
                <w:lang w:eastAsia="pl-PL"/>
              </w:rPr>
              <w:t>1 422,40</w:t>
            </w:r>
          </w:p>
        </w:tc>
      </w:tr>
      <w:tr w:rsidR="00830D02" w:rsidRPr="00B81E7D" w:rsidTr="00830D02">
        <w:tc>
          <w:tcPr>
            <w:tcW w:w="1384" w:type="dxa"/>
            <w:tcBorders>
              <w:top w:val="single" w:sz="4" w:space="0" w:color="auto"/>
              <w:left w:val="single" w:sz="4" w:space="0" w:color="auto"/>
              <w:bottom w:val="single" w:sz="4" w:space="0" w:color="auto"/>
              <w:right w:val="single" w:sz="4" w:space="0" w:color="auto"/>
            </w:tcBorders>
            <w:hideMark/>
          </w:tcPr>
          <w:p w:rsidR="00830D02" w:rsidRPr="00B81E7D" w:rsidRDefault="00830D02" w:rsidP="00B421C2">
            <w:pPr>
              <w:spacing w:line="360" w:lineRule="auto"/>
              <w:jc w:val="both"/>
              <w:rPr>
                <w:rFonts w:cs="Times New Roman"/>
                <w:b/>
                <w:sz w:val="14"/>
                <w:szCs w:val="24"/>
                <w:lang w:eastAsia="pl-PL"/>
              </w:rPr>
            </w:pPr>
            <w:r w:rsidRPr="00B81E7D">
              <w:rPr>
                <w:rFonts w:cs="Times New Roman"/>
                <w:b/>
                <w:sz w:val="14"/>
                <w:szCs w:val="24"/>
                <w:lang w:eastAsia="pl-PL"/>
              </w:rPr>
              <w:t>Egzamin czeladniczy</w:t>
            </w:r>
          </w:p>
        </w:tc>
        <w:tc>
          <w:tcPr>
            <w:tcW w:w="1559" w:type="dxa"/>
            <w:tcBorders>
              <w:top w:val="single" w:sz="4" w:space="0" w:color="auto"/>
              <w:left w:val="single" w:sz="4" w:space="0" w:color="auto"/>
              <w:bottom w:val="single" w:sz="4" w:space="0" w:color="auto"/>
              <w:right w:val="single" w:sz="4" w:space="0" w:color="auto"/>
            </w:tcBorders>
            <w:hideMark/>
          </w:tcPr>
          <w:p w:rsidR="00830D02" w:rsidRPr="00B81E7D" w:rsidRDefault="00830D02" w:rsidP="00B421C2">
            <w:pPr>
              <w:spacing w:line="360" w:lineRule="auto"/>
              <w:jc w:val="both"/>
              <w:rPr>
                <w:rFonts w:cs="Times New Roman"/>
                <w:i/>
                <w:sz w:val="14"/>
                <w:szCs w:val="24"/>
                <w:lang w:eastAsia="pl-PL"/>
              </w:rPr>
            </w:pPr>
            <w:r w:rsidRPr="00B81E7D">
              <w:rPr>
                <w:rFonts w:cs="Times New Roman"/>
                <w:i/>
                <w:sz w:val="14"/>
                <w:szCs w:val="24"/>
                <w:lang w:eastAsia="pl-PL"/>
              </w:rPr>
              <w:t>710,92</w:t>
            </w:r>
          </w:p>
          <w:p w:rsidR="00830D02" w:rsidRPr="00B81E7D" w:rsidRDefault="00830D02" w:rsidP="00B421C2">
            <w:pPr>
              <w:spacing w:line="360" w:lineRule="auto"/>
              <w:jc w:val="both"/>
              <w:rPr>
                <w:rFonts w:cs="Times New Roman"/>
                <w:b/>
                <w:sz w:val="14"/>
                <w:szCs w:val="24"/>
                <w:lang w:eastAsia="pl-PL"/>
              </w:rPr>
            </w:pPr>
            <w:r w:rsidRPr="00B81E7D">
              <w:rPr>
                <w:rFonts w:cs="Times New Roman"/>
                <w:b/>
                <w:sz w:val="14"/>
                <w:szCs w:val="24"/>
                <w:lang w:eastAsia="pl-PL"/>
              </w:rPr>
              <w:t>711,00</w:t>
            </w:r>
          </w:p>
        </w:tc>
        <w:tc>
          <w:tcPr>
            <w:tcW w:w="1701" w:type="dxa"/>
            <w:tcBorders>
              <w:top w:val="single" w:sz="4" w:space="0" w:color="auto"/>
              <w:left w:val="single" w:sz="4" w:space="0" w:color="auto"/>
              <w:bottom w:val="single" w:sz="4" w:space="0" w:color="auto"/>
              <w:right w:val="single" w:sz="4" w:space="0" w:color="auto"/>
            </w:tcBorders>
            <w:hideMark/>
          </w:tcPr>
          <w:p w:rsidR="00830D02" w:rsidRPr="00B81E7D" w:rsidRDefault="00830D02" w:rsidP="00B421C2">
            <w:pPr>
              <w:spacing w:line="360" w:lineRule="auto"/>
              <w:jc w:val="both"/>
              <w:rPr>
                <w:rFonts w:cs="Times New Roman"/>
                <w:sz w:val="14"/>
                <w:szCs w:val="24"/>
                <w:lang w:eastAsia="pl-PL"/>
              </w:rPr>
            </w:pPr>
            <w:r w:rsidRPr="00B81E7D">
              <w:rPr>
                <w:rFonts w:cs="Times New Roman"/>
                <w:sz w:val="14"/>
                <w:szCs w:val="24"/>
                <w:lang w:eastAsia="pl-PL"/>
              </w:rPr>
              <w:t>760,68</w:t>
            </w:r>
          </w:p>
        </w:tc>
        <w:tc>
          <w:tcPr>
            <w:tcW w:w="1560" w:type="dxa"/>
            <w:tcBorders>
              <w:top w:val="single" w:sz="4" w:space="0" w:color="auto"/>
              <w:left w:val="single" w:sz="4" w:space="0" w:color="auto"/>
              <w:bottom w:val="single" w:sz="4" w:space="0" w:color="auto"/>
              <w:right w:val="single" w:sz="4" w:space="0" w:color="auto"/>
            </w:tcBorders>
            <w:shd w:val="clear" w:color="auto" w:fill="D9D9D9"/>
            <w:hideMark/>
          </w:tcPr>
          <w:p w:rsidR="00830D02" w:rsidRPr="00B81E7D" w:rsidRDefault="00830D02" w:rsidP="00B421C2">
            <w:pPr>
              <w:spacing w:line="360" w:lineRule="auto"/>
              <w:jc w:val="both"/>
              <w:rPr>
                <w:rFonts w:cs="Times New Roman"/>
                <w:b/>
                <w:sz w:val="14"/>
                <w:szCs w:val="24"/>
                <w:lang w:eastAsia="pl-PL"/>
              </w:rPr>
            </w:pPr>
            <w:r w:rsidRPr="00B81E7D">
              <w:rPr>
                <w:rFonts w:cs="Times New Roman"/>
                <w:b/>
                <w:sz w:val="14"/>
                <w:szCs w:val="24"/>
                <w:lang w:eastAsia="pl-PL"/>
              </w:rPr>
              <w:t>700,00</w:t>
            </w:r>
          </w:p>
        </w:tc>
        <w:tc>
          <w:tcPr>
            <w:tcW w:w="1417" w:type="dxa"/>
            <w:tcBorders>
              <w:top w:val="single" w:sz="4" w:space="0" w:color="auto"/>
              <w:left w:val="single" w:sz="4" w:space="0" w:color="auto"/>
              <w:bottom w:val="single" w:sz="4" w:space="0" w:color="auto"/>
              <w:right w:val="single" w:sz="4" w:space="0" w:color="auto"/>
            </w:tcBorders>
            <w:shd w:val="clear" w:color="auto" w:fill="D9D9D9"/>
            <w:hideMark/>
          </w:tcPr>
          <w:p w:rsidR="00830D02" w:rsidRPr="00B81E7D" w:rsidRDefault="00830D02" w:rsidP="00B421C2">
            <w:pPr>
              <w:spacing w:line="360" w:lineRule="auto"/>
              <w:jc w:val="both"/>
              <w:rPr>
                <w:rFonts w:cs="Times New Roman"/>
                <w:sz w:val="14"/>
                <w:szCs w:val="24"/>
                <w:lang w:eastAsia="pl-PL"/>
              </w:rPr>
            </w:pPr>
            <w:r w:rsidRPr="00B81E7D">
              <w:rPr>
                <w:rFonts w:cs="Times New Roman"/>
                <w:sz w:val="14"/>
                <w:szCs w:val="24"/>
                <w:lang w:eastAsia="pl-PL"/>
              </w:rPr>
              <w:t>+11,20</w:t>
            </w:r>
          </w:p>
        </w:tc>
        <w:tc>
          <w:tcPr>
            <w:tcW w:w="1418" w:type="dxa"/>
            <w:tcBorders>
              <w:top w:val="single" w:sz="4" w:space="0" w:color="auto"/>
              <w:left w:val="single" w:sz="4" w:space="0" w:color="auto"/>
              <w:bottom w:val="single" w:sz="4" w:space="0" w:color="auto"/>
              <w:right w:val="single" w:sz="4" w:space="0" w:color="auto"/>
            </w:tcBorders>
            <w:shd w:val="clear" w:color="auto" w:fill="D9D9D9"/>
            <w:hideMark/>
          </w:tcPr>
          <w:p w:rsidR="00830D02" w:rsidRPr="00B81E7D" w:rsidRDefault="00830D02" w:rsidP="00B421C2">
            <w:pPr>
              <w:spacing w:line="360" w:lineRule="auto"/>
              <w:jc w:val="both"/>
              <w:rPr>
                <w:rFonts w:cs="Times New Roman"/>
                <w:sz w:val="14"/>
                <w:szCs w:val="24"/>
                <w:lang w:eastAsia="pl-PL"/>
              </w:rPr>
            </w:pPr>
            <w:r w:rsidRPr="00B81E7D">
              <w:rPr>
                <w:rFonts w:cs="Times New Roman"/>
                <w:sz w:val="14"/>
                <w:szCs w:val="24"/>
                <w:lang w:eastAsia="pl-PL"/>
              </w:rPr>
              <w:t>711,20</w:t>
            </w:r>
          </w:p>
        </w:tc>
      </w:tr>
      <w:tr w:rsidR="00830D02" w:rsidRPr="00B81E7D" w:rsidTr="00830D02">
        <w:tc>
          <w:tcPr>
            <w:tcW w:w="1384" w:type="dxa"/>
            <w:tcBorders>
              <w:top w:val="single" w:sz="4" w:space="0" w:color="auto"/>
              <w:left w:val="single" w:sz="4" w:space="0" w:color="auto"/>
              <w:bottom w:val="single" w:sz="4" w:space="0" w:color="auto"/>
              <w:right w:val="single" w:sz="4" w:space="0" w:color="auto"/>
            </w:tcBorders>
            <w:hideMark/>
          </w:tcPr>
          <w:p w:rsidR="00830D02" w:rsidRPr="00B81E7D" w:rsidRDefault="00830D02" w:rsidP="00B421C2">
            <w:pPr>
              <w:spacing w:line="360" w:lineRule="auto"/>
              <w:jc w:val="both"/>
              <w:rPr>
                <w:rFonts w:cs="Times New Roman"/>
                <w:b/>
                <w:sz w:val="14"/>
                <w:szCs w:val="24"/>
                <w:lang w:eastAsia="pl-PL"/>
              </w:rPr>
            </w:pPr>
            <w:r w:rsidRPr="00B81E7D">
              <w:rPr>
                <w:rFonts w:cs="Times New Roman"/>
                <w:b/>
                <w:sz w:val="14"/>
                <w:szCs w:val="24"/>
                <w:lang w:eastAsia="pl-PL"/>
              </w:rPr>
              <w:t xml:space="preserve">Egzamin </w:t>
            </w:r>
            <w:r w:rsidRPr="00B81E7D">
              <w:rPr>
                <w:rFonts w:cs="Times New Roman"/>
                <w:b/>
                <w:sz w:val="14"/>
                <w:szCs w:val="24"/>
                <w:lang w:eastAsia="pl-PL"/>
              </w:rPr>
              <w:lastRenderedPageBreak/>
              <w:t>sprawdzający</w:t>
            </w:r>
          </w:p>
        </w:tc>
        <w:tc>
          <w:tcPr>
            <w:tcW w:w="1559" w:type="dxa"/>
            <w:tcBorders>
              <w:top w:val="single" w:sz="4" w:space="0" w:color="auto"/>
              <w:left w:val="single" w:sz="4" w:space="0" w:color="auto"/>
              <w:bottom w:val="single" w:sz="4" w:space="0" w:color="auto"/>
              <w:right w:val="single" w:sz="4" w:space="0" w:color="auto"/>
            </w:tcBorders>
            <w:hideMark/>
          </w:tcPr>
          <w:p w:rsidR="00830D02" w:rsidRPr="00B81E7D" w:rsidRDefault="00830D02" w:rsidP="00B421C2">
            <w:pPr>
              <w:spacing w:line="360" w:lineRule="auto"/>
              <w:jc w:val="both"/>
              <w:rPr>
                <w:rFonts w:cs="Times New Roman"/>
                <w:i/>
                <w:sz w:val="14"/>
                <w:szCs w:val="24"/>
                <w:lang w:eastAsia="pl-PL"/>
              </w:rPr>
            </w:pPr>
            <w:r w:rsidRPr="00B81E7D">
              <w:rPr>
                <w:rFonts w:cs="Times New Roman"/>
                <w:i/>
                <w:sz w:val="14"/>
                <w:szCs w:val="24"/>
                <w:lang w:eastAsia="pl-PL"/>
              </w:rPr>
              <w:lastRenderedPageBreak/>
              <w:t>236,97</w:t>
            </w:r>
          </w:p>
          <w:p w:rsidR="00830D02" w:rsidRPr="00B81E7D" w:rsidRDefault="00830D02" w:rsidP="00B421C2">
            <w:pPr>
              <w:spacing w:line="360" w:lineRule="auto"/>
              <w:jc w:val="both"/>
              <w:rPr>
                <w:rFonts w:cs="Times New Roman"/>
                <w:b/>
                <w:sz w:val="14"/>
                <w:szCs w:val="24"/>
                <w:lang w:eastAsia="pl-PL"/>
              </w:rPr>
            </w:pPr>
            <w:r w:rsidRPr="00B81E7D">
              <w:rPr>
                <w:rFonts w:cs="Times New Roman"/>
                <w:b/>
                <w:sz w:val="14"/>
                <w:szCs w:val="24"/>
                <w:lang w:eastAsia="pl-PL"/>
              </w:rPr>
              <w:lastRenderedPageBreak/>
              <w:t>237,00</w:t>
            </w:r>
          </w:p>
        </w:tc>
        <w:tc>
          <w:tcPr>
            <w:tcW w:w="1701" w:type="dxa"/>
            <w:tcBorders>
              <w:top w:val="single" w:sz="4" w:space="0" w:color="auto"/>
              <w:left w:val="single" w:sz="4" w:space="0" w:color="auto"/>
              <w:bottom w:val="single" w:sz="4" w:space="0" w:color="auto"/>
              <w:right w:val="single" w:sz="4" w:space="0" w:color="auto"/>
            </w:tcBorders>
            <w:hideMark/>
          </w:tcPr>
          <w:p w:rsidR="00830D02" w:rsidRPr="00B81E7D" w:rsidRDefault="00830D02" w:rsidP="00B421C2">
            <w:pPr>
              <w:spacing w:line="360" w:lineRule="auto"/>
              <w:jc w:val="both"/>
              <w:rPr>
                <w:rFonts w:cs="Times New Roman"/>
                <w:sz w:val="14"/>
                <w:szCs w:val="24"/>
                <w:lang w:eastAsia="pl-PL"/>
              </w:rPr>
            </w:pPr>
            <w:r w:rsidRPr="00B81E7D">
              <w:rPr>
                <w:rFonts w:cs="Times New Roman"/>
                <w:sz w:val="14"/>
                <w:szCs w:val="24"/>
                <w:lang w:eastAsia="pl-PL"/>
              </w:rPr>
              <w:lastRenderedPageBreak/>
              <w:t>253,56</w:t>
            </w:r>
          </w:p>
        </w:tc>
        <w:tc>
          <w:tcPr>
            <w:tcW w:w="1560" w:type="dxa"/>
            <w:tcBorders>
              <w:top w:val="single" w:sz="4" w:space="0" w:color="auto"/>
              <w:left w:val="single" w:sz="4" w:space="0" w:color="auto"/>
              <w:bottom w:val="single" w:sz="4" w:space="0" w:color="auto"/>
              <w:right w:val="single" w:sz="4" w:space="0" w:color="auto"/>
            </w:tcBorders>
            <w:shd w:val="clear" w:color="auto" w:fill="D9D9D9"/>
            <w:hideMark/>
          </w:tcPr>
          <w:p w:rsidR="00830D02" w:rsidRPr="00B81E7D" w:rsidRDefault="00830D02" w:rsidP="00B421C2">
            <w:pPr>
              <w:spacing w:line="360" w:lineRule="auto"/>
              <w:jc w:val="both"/>
              <w:rPr>
                <w:rFonts w:cs="Times New Roman"/>
                <w:b/>
                <w:sz w:val="14"/>
                <w:szCs w:val="24"/>
                <w:lang w:eastAsia="pl-PL"/>
              </w:rPr>
            </w:pPr>
            <w:r w:rsidRPr="00B81E7D">
              <w:rPr>
                <w:rFonts w:cs="Times New Roman"/>
                <w:b/>
                <w:sz w:val="14"/>
                <w:szCs w:val="24"/>
                <w:lang w:eastAsia="pl-PL"/>
              </w:rPr>
              <w:t>250,00</w:t>
            </w:r>
          </w:p>
        </w:tc>
        <w:tc>
          <w:tcPr>
            <w:tcW w:w="1417" w:type="dxa"/>
            <w:tcBorders>
              <w:top w:val="single" w:sz="4" w:space="0" w:color="auto"/>
              <w:left w:val="single" w:sz="4" w:space="0" w:color="auto"/>
              <w:bottom w:val="single" w:sz="4" w:space="0" w:color="auto"/>
              <w:right w:val="single" w:sz="4" w:space="0" w:color="auto"/>
            </w:tcBorders>
            <w:shd w:val="clear" w:color="auto" w:fill="D9D9D9"/>
            <w:hideMark/>
          </w:tcPr>
          <w:p w:rsidR="00830D02" w:rsidRPr="00B81E7D" w:rsidRDefault="00830D02" w:rsidP="00B421C2">
            <w:pPr>
              <w:spacing w:line="360" w:lineRule="auto"/>
              <w:jc w:val="both"/>
              <w:rPr>
                <w:rFonts w:cs="Times New Roman"/>
                <w:sz w:val="14"/>
                <w:szCs w:val="24"/>
                <w:lang w:eastAsia="pl-PL"/>
              </w:rPr>
            </w:pPr>
            <w:r w:rsidRPr="00B81E7D">
              <w:rPr>
                <w:rFonts w:cs="Times New Roman"/>
                <w:sz w:val="14"/>
                <w:szCs w:val="24"/>
                <w:lang w:eastAsia="pl-PL"/>
              </w:rPr>
              <w:t>+ 4,00</w:t>
            </w:r>
          </w:p>
        </w:tc>
        <w:tc>
          <w:tcPr>
            <w:tcW w:w="1418" w:type="dxa"/>
            <w:tcBorders>
              <w:top w:val="single" w:sz="4" w:space="0" w:color="auto"/>
              <w:left w:val="single" w:sz="4" w:space="0" w:color="auto"/>
              <w:bottom w:val="single" w:sz="4" w:space="0" w:color="auto"/>
              <w:right w:val="single" w:sz="4" w:space="0" w:color="auto"/>
            </w:tcBorders>
            <w:shd w:val="clear" w:color="auto" w:fill="D9D9D9"/>
            <w:hideMark/>
          </w:tcPr>
          <w:p w:rsidR="00830D02" w:rsidRPr="00B81E7D" w:rsidRDefault="00830D02" w:rsidP="00B421C2">
            <w:pPr>
              <w:spacing w:line="360" w:lineRule="auto"/>
              <w:jc w:val="both"/>
              <w:rPr>
                <w:rFonts w:cs="Times New Roman"/>
                <w:sz w:val="14"/>
                <w:szCs w:val="24"/>
                <w:lang w:eastAsia="pl-PL"/>
              </w:rPr>
            </w:pPr>
            <w:r w:rsidRPr="00B81E7D">
              <w:rPr>
                <w:rFonts w:cs="Times New Roman"/>
                <w:sz w:val="14"/>
                <w:szCs w:val="24"/>
                <w:lang w:eastAsia="pl-PL"/>
              </w:rPr>
              <w:t>254,00</w:t>
            </w:r>
          </w:p>
        </w:tc>
      </w:tr>
    </w:tbl>
    <w:p w:rsidR="00D57C45" w:rsidRPr="00B81E7D" w:rsidRDefault="00D57C45" w:rsidP="00B421C2">
      <w:pPr>
        <w:spacing w:after="120" w:line="360" w:lineRule="auto"/>
        <w:jc w:val="both"/>
        <w:rPr>
          <w:rFonts w:cs="Times New Roman"/>
          <w:b/>
          <w:szCs w:val="24"/>
        </w:rPr>
      </w:pPr>
    </w:p>
    <w:p w:rsidR="00492B8F" w:rsidRPr="00B81E7D" w:rsidRDefault="00492B8F" w:rsidP="00B421C2">
      <w:pPr>
        <w:numPr>
          <w:ilvl w:val="0"/>
          <w:numId w:val="2"/>
        </w:numPr>
        <w:spacing w:after="120" w:line="360" w:lineRule="auto"/>
        <w:jc w:val="both"/>
        <w:rPr>
          <w:rFonts w:cs="Times New Roman"/>
          <w:b/>
          <w:szCs w:val="24"/>
        </w:rPr>
      </w:pPr>
      <w:r w:rsidRPr="00B81E7D">
        <w:rPr>
          <w:rFonts w:cs="Times New Roman"/>
          <w:b/>
          <w:szCs w:val="24"/>
        </w:rPr>
        <w:t>Zmian</w:t>
      </w:r>
      <w:r w:rsidR="00C5503F" w:rsidRPr="00B81E7D">
        <w:rPr>
          <w:rFonts w:cs="Times New Roman"/>
          <w:b/>
          <w:szCs w:val="24"/>
        </w:rPr>
        <w:t>y</w:t>
      </w:r>
      <w:r w:rsidRPr="00B81E7D">
        <w:rPr>
          <w:rFonts w:cs="Times New Roman"/>
          <w:b/>
          <w:szCs w:val="24"/>
        </w:rPr>
        <w:t xml:space="preserve"> w ustawie z dnia 14 lutego 1991 r. - Prawo o notariacie </w:t>
      </w:r>
      <w:r w:rsidR="00611870" w:rsidRPr="00B81E7D">
        <w:rPr>
          <w:rFonts w:cs="Times New Roman"/>
          <w:b/>
          <w:szCs w:val="24"/>
        </w:rPr>
        <w:t xml:space="preserve">(art. </w:t>
      </w:r>
      <w:r w:rsidR="003841A3" w:rsidRPr="00B81E7D">
        <w:rPr>
          <w:rFonts w:cs="Times New Roman"/>
          <w:b/>
          <w:szCs w:val="24"/>
        </w:rPr>
        <w:t>7</w:t>
      </w:r>
      <w:r w:rsidR="00B175FD" w:rsidRPr="00B81E7D">
        <w:rPr>
          <w:rFonts w:cs="Times New Roman"/>
          <w:b/>
          <w:szCs w:val="24"/>
        </w:rPr>
        <w:t xml:space="preserve"> </w:t>
      </w:r>
      <w:r w:rsidR="00B57A93" w:rsidRPr="00B81E7D">
        <w:rPr>
          <w:rFonts w:cs="Times New Roman"/>
          <w:b/>
          <w:szCs w:val="24"/>
        </w:rPr>
        <w:t>pkt 1 i 4</w:t>
      </w:r>
      <w:r w:rsidR="00B175FD" w:rsidRPr="00B81E7D">
        <w:rPr>
          <w:rFonts w:cs="Times New Roman"/>
          <w:b/>
          <w:szCs w:val="24"/>
        </w:rPr>
        <w:t>-6</w:t>
      </w:r>
      <w:r w:rsidR="00B57A93" w:rsidRPr="00B81E7D">
        <w:rPr>
          <w:rFonts w:cs="Times New Roman"/>
          <w:b/>
          <w:szCs w:val="24"/>
        </w:rPr>
        <w:t xml:space="preserve"> </w:t>
      </w:r>
      <w:r w:rsidR="00611870" w:rsidRPr="00B81E7D">
        <w:rPr>
          <w:rFonts w:cs="Times New Roman"/>
          <w:b/>
          <w:szCs w:val="24"/>
        </w:rPr>
        <w:t>projektu).</w:t>
      </w:r>
    </w:p>
    <w:p w:rsidR="00B6585D" w:rsidRPr="00B81E7D" w:rsidRDefault="00B6585D" w:rsidP="00B421C2">
      <w:pPr>
        <w:spacing w:after="120" w:line="360" w:lineRule="auto"/>
        <w:jc w:val="both"/>
        <w:rPr>
          <w:rFonts w:cs="Times New Roman"/>
          <w:szCs w:val="24"/>
        </w:rPr>
      </w:pPr>
      <w:r w:rsidRPr="00B81E7D">
        <w:rPr>
          <w:rFonts w:cs="Times New Roman"/>
          <w:bCs/>
          <w:szCs w:val="24"/>
        </w:rPr>
        <w:t>Proponowan</w:t>
      </w:r>
      <w:r w:rsidR="00FA1CF0" w:rsidRPr="00B81E7D">
        <w:rPr>
          <w:rFonts w:cs="Times New Roman"/>
          <w:bCs/>
          <w:szCs w:val="24"/>
        </w:rPr>
        <w:t>a</w:t>
      </w:r>
      <w:r w:rsidRPr="00B81E7D">
        <w:rPr>
          <w:rFonts w:cs="Times New Roman"/>
          <w:bCs/>
          <w:szCs w:val="24"/>
        </w:rPr>
        <w:t xml:space="preserve"> zmian</w:t>
      </w:r>
      <w:r w:rsidR="00FA1CF0" w:rsidRPr="00B81E7D">
        <w:rPr>
          <w:rFonts w:cs="Times New Roman"/>
          <w:bCs/>
          <w:szCs w:val="24"/>
        </w:rPr>
        <w:t>a</w:t>
      </w:r>
      <w:r w:rsidRPr="00B81E7D">
        <w:rPr>
          <w:rFonts w:cs="Times New Roman"/>
          <w:bCs/>
          <w:szCs w:val="24"/>
        </w:rPr>
        <w:t xml:space="preserve"> ma na celu dostosowanie przepisów ustawy w związku ze zmianą ustawy o zarządzie sukcesyjnym przedsiębiorstwem osoby fizycznej i innych ułatwieniach związanych z </w:t>
      </w:r>
      <w:r w:rsidRPr="00B81E7D">
        <w:rPr>
          <w:rFonts w:cs="Times New Roman"/>
          <w:szCs w:val="24"/>
        </w:rPr>
        <w:t>sukcesją przedsiębiorstw.</w:t>
      </w:r>
      <w:r w:rsidR="00C5503F" w:rsidRPr="00B81E7D">
        <w:rPr>
          <w:rFonts w:cs="Times New Roman"/>
          <w:szCs w:val="24"/>
        </w:rPr>
        <w:t xml:space="preserve"> Oprócz dostosowania treści poszczególnych przepisów, konieczne jest również rozszerzenie kompetencji notariusza w zakresie i</w:t>
      </w:r>
      <w:r w:rsidR="00FF21D8" w:rsidRPr="00B81E7D">
        <w:rPr>
          <w:rFonts w:cs="Times New Roman"/>
          <w:szCs w:val="24"/>
        </w:rPr>
        <w:t>nstytucji wprowadzanych ustawą.</w:t>
      </w:r>
    </w:p>
    <w:p w:rsidR="00662F64" w:rsidRPr="00B81E7D" w:rsidRDefault="00662F64" w:rsidP="00B421C2">
      <w:pPr>
        <w:spacing w:after="120" w:line="360" w:lineRule="auto"/>
        <w:jc w:val="both"/>
        <w:rPr>
          <w:rFonts w:cs="Times New Roman"/>
          <w:szCs w:val="24"/>
        </w:rPr>
      </w:pPr>
      <w:r w:rsidRPr="00B81E7D">
        <w:rPr>
          <w:rFonts w:cs="Times New Roman"/>
          <w:szCs w:val="24"/>
        </w:rPr>
        <w:t>Po drugie, przepisy ustawy dotyczące treści aktów powołania i odwołania zarządcy sukcesyjnego proponuje się uzupełnić o informację o wysokości udziału w przedsiębiorstwie w spadku, jaki przysługuje osobie powołującej lub odwołującej zarządcę sukcesyjnego. Ponadto, w celu właściwej identyfikacji zarządcy, w aktach tych proponuje się podawać datę urodzenia zarządcy, jeżeli nie posiada on numeru PESEL.</w:t>
      </w:r>
    </w:p>
    <w:p w:rsidR="00C90CD0" w:rsidRPr="00B81E7D" w:rsidRDefault="00C90CD0" w:rsidP="00B421C2">
      <w:pPr>
        <w:pStyle w:val="Akapitzlist"/>
        <w:spacing w:line="360" w:lineRule="auto"/>
        <w:ind w:left="0"/>
        <w:contextualSpacing w:val="0"/>
        <w:rPr>
          <w:rFonts w:ascii="Times New Roman" w:hAnsi="Times New Roman"/>
          <w:b/>
          <w:sz w:val="24"/>
          <w:szCs w:val="24"/>
        </w:rPr>
      </w:pPr>
    </w:p>
    <w:p w:rsidR="00953D74" w:rsidRPr="00B81E7D" w:rsidRDefault="00953D74" w:rsidP="00B421C2">
      <w:pPr>
        <w:numPr>
          <w:ilvl w:val="0"/>
          <w:numId w:val="2"/>
        </w:numPr>
        <w:spacing w:after="120" w:line="360" w:lineRule="auto"/>
        <w:jc w:val="both"/>
        <w:rPr>
          <w:rFonts w:cs="Times New Roman"/>
          <w:b/>
          <w:szCs w:val="24"/>
        </w:rPr>
      </w:pPr>
      <w:r w:rsidRPr="00B81E7D">
        <w:rPr>
          <w:rFonts w:cs="Times New Roman"/>
          <w:b/>
          <w:szCs w:val="24"/>
        </w:rPr>
        <w:t xml:space="preserve">Zmiana w ustawie z dnia 26 lipca 1991 r. o podatku dochodowym od osób fizycznych (art. </w:t>
      </w:r>
      <w:r w:rsidR="003841A3" w:rsidRPr="00B81E7D">
        <w:rPr>
          <w:rFonts w:cs="Times New Roman"/>
          <w:b/>
          <w:szCs w:val="24"/>
        </w:rPr>
        <w:t>9</w:t>
      </w:r>
      <w:r w:rsidRPr="00B81E7D">
        <w:rPr>
          <w:rFonts w:cs="Times New Roman"/>
          <w:b/>
          <w:szCs w:val="24"/>
        </w:rPr>
        <w:t xml:space="preserve"> </w:t>
      </w:r>
      <w:r w:rsidR="00A83B5D" w:rsidRPr="00B81E7D">
        <w:rPr>
          <w:rFonts w:cs="Times New Roman"/>
          <w:b/>
          <w:szCs w:val="24"/>
        </w:rPr>
        <w:t xml:space="preserve"> </w:t>
      </w:r>
      <w:r w:rsidRPr="00B81E7D">
        <w:rPr>
          <w:rFonts w:cs="Times New Roman"/>
          <w:b/>
          <w:szCs w:val="24"/>
        </w:rPr>
        <w:t xml:space="preserve">projektu). </w:t>
      </w:r>
    </w:p>
    <w:p w:rsidR="00953D74" w:rsidRPr="00B81E7D" w:rsidRDefault="0016122B" w:rsidP="00B421C2">
      <w:pPr>
        <w:spacing w:after="120" w:line="360" w:lineRule="auto"/>
        <w:jc w:val="both"/>
        <w:rPr>
          <w:rFonts w:cs="Times New Roman"/>
          <w:szCs w:val="24"/>
        </w:rPr>
      </w:pPr>
      <w:r w:rsidRPr="00B81E7D">
        <w:rPr>
          <w:rFonts w:cs="Times New Roman"/>
          <w:szCs w:val="24"/>
        </w:rPr>
        <w:t>Zmian</w:t>
      </w:r>
      <w:r w:rsidR="00A83B5D" w:rsidRPr="00B81E7D">
        <w:rPr>
          <w:rFonts w:cs="Times New Roman"/>
          <w:szCs w:val="24"/>
        </w:rPr>
        <w:t xml:space="preserve">y w pkt 1 i 2 </w:t>
      </w:r>
      <w:r w:rsidRPr="00B81E7D">
        <w:rPr>
          <w:rFonts w:cs="Times New Roman"/>
          <w:szCs w:val="24"/>
        </w:rPr>
        <w:t xml:space="preserve"> ma</w:t>
      </w:r>
      <w:r w:rsidR="00A83B5D" w:rsidRPr="00B81E7D">
        <w:rPr>
          <w:rFonts w:cs="Times New Roman"/>
          <w:szCs w:val="24"/>
        </w:rPr>
        <w:t>ją</w:t>
      </w:r>
      <w:r w:rsidRPr="00B81E7D">
        <w:rPr>
          <w:rFonts w:cs="Times New Roman"/>
          <w:szCs w:val="24"/>
        </w:rPr>
        <w:t xml:space="preserve"> na celu doprecyzowanie przepisu w zwią</w:t>
      </w:r>
      <w:r w:rsidR="0095338F" w:rsidRPr="00B81E7D">
        <w:rPr>
          <w:rFonts w:cs="Times New Roman"/>
          <w:szCs w:val="24"/>
        </w:rPr>
        <w:t>zku ze zmianami wprowadzanymi w </w:t>
      </w:r>
      <w:r w:rsidRPr="00B81E7D">
        <w:rPr>
          <w:rFonts w:cs="Times New Roman"/>
          <w:szCs w:val="24"/>
        </w:rPr>
        <w:t xml:space="preserve">zakresie ustanawiania zarządu sukcesyjnego. </w:t>
      </w:r>
    </w:p>
    <w:p w:rsidR="00A83B5D" w:rsidRPr="00B81E7D" w:rsidRDefault="00A83B5D" w:rsidP="00A83B5D">
      <w:pPr>
        <w:spacing w:after="120" w:line="360" w:lineRule="auto"/>
        <w:jc w:val="both"/>
        <w:rPr>
          <w:rFonts w:cs="Times New Roman"/>
          <w:szCs w:val="24"/>
        </w:rPr>
      </w:pPr>
      <w:r w:rsidRPr="00B81E7D">
        <w:rPr>
          <w:rFonts w:cs="Times New Roman"/>
          <w:szCs w:val="24"/>
        </w:rPr>
        <w:t>Zmiana w pkt 3 zakłada, że dla celów podatkowych w przypadku śmierci małżonka przedsiębiorcy, do którego w zakresie praw z udziału w przedsiębiorstwie stosuje się przepisy  Rozdziału 11a „Tymczasowe wykonywanie praw z udziału małżonka przedsiębiorcy w przedsiębiorstwie” projektu, podatnikiem od całości przychodów będzie przedsiębiorca nadal prowadzący działalność gospodarczą.</w:t>
      </w:r>
    </w:p>
    <w:p w:rsidR="0016122B" w:rsidRPr="00B81E7D" w:rsidRDefault="00A83B5D" w:rsidP="00B81E7D">
      <w:pPr>
        <w:spacing w:after="120" w:line="360" w:lineRule="auto"/>
        <w:jc w:val="both"/>
        <w:rPr>
          <w:rFonts w:cs="Times New Roman"/>
          <w:szCs w:val="24"/>
        </w:rPr>
      </w:pPr>
      <w:r w:rsidRPr="00B81E7D">
        <w:rPr>
          <w:rFonts w:cs="Times New Roman"/>
          <w:szCs w:val="24"/>
        </w:rPr>
        <w:t>Zasada ta ma dotyczyć również innych form opodatkowania podatkiem dochodowym np. opodatkowanie na podstawie ustawy o zryczałtowanym podatku dochodowym od niektórych przychodów osiąganych przez osoby fizyczne</w:t>
      </w:r>
      <w:r w:rsidR="005D28F2" w:rsidRPr="00B81E7D">
        <w:rPr>
          <w:rFonts w:cs="Times New Roman"/>
          <w:szCs w:val="24"/>
        </w:rPr>
        <w:t>.</w:t>
      </w:r>
    </w:p>
    <w:p w:rsidR="005D28F2" w:rsidRPr="00B81E7D" w:rsidRDefault="005D28F2" w:rsidP="00B81E7D">
      <w:pPr>
        <w:spacing w:after="120" w:line="360" w:lineRule="auto"/>
        <w:jc w:val="both"/>
        <w:rPr>
          <w:rFonts w:cs="Times New Roman"/>
          <w:szCs w:val="24"/>
        </w:rPr>
      </w:pPr>
    </w:p>
    <w:p w:rsidR="00451474" w:rsidRPr="00B81E7D" w:rsidRDefault="00451474" w:rsidP="00B421C2">
      <w:pPr>
        <w:numPr>
          <w:ilvl w:val="0"/>
          <w:numId w:val="2"/>
        </w:numPr>
        <w:spacing w:after="120" w:line="360" w:lineRule="auto"/>
        <w:jc w:val="both"/>
        <w:rPr>
          <w:rFonts w:cs="Times New Roman"/>
          <w:b/>
          <w:szCs w:val="24"/>
        </w:rPr>
      </w:pPr>
      <w:r w:rsidRPr="00B81E7D">
        <w:rPr>
          <w:rFonts w:cs="Times New Roman"/>
          <w:b/>
          <w:szCs w:val="24"/>
        </w:rPr>
        <w:t>Zmian</w:t>
      </w:r>
      <w:r w:rsidR="00E41354" w:rsidRPr="00B81E7D">
        <w:rPr>
          <w:rFonts w:cs="Times New Roman"/>
          <w:b/>
          <w:szCs w:val="24"/>
        </w:rPr>
        <w:t>a</w:t>
      </w:r>
      <w:r w:rsidRPr="00B81E7D">
        <w:rPr>
          <w:rFonts w:cs="Times New Roman"/>
          <w:b/>
          <w:szCs w:val="24"/>
        </w:rPr>
        <w:t xml:space="preserve"> w ustawie z dnia 29 grudnia 1992 r. o radiofonii i telewizji </w:t>
      </w:r>
      <w:r w:rsidR="008F7758" w:rsidRPr="00B81E7D">
        <w:rPr>
          <w:rFonts w:cs="Times New Roman"/>
          <w:b/>
          <w:szCs w:val="24"/>
        </w:rPr>
        <w:t xml:space="preserve">(art. </w:t>
      </w:r>
      <w:r w:rsidR="00D41562" w:rsidRPr="00B81E7D">
        <w:rPr>
          <w:rFonts w:cs="Times New Roman"/>
          <w:b/>
          <w:szCs w:val="24"/>
        </w:rPr>
        <w:t>1</w:t>
      </w:r>
      <w:r w:rsidR="00D920F6" w:rsidRPr="00B81E7D">
        <w:rPr>
          <w:rFonts w:cs="Times New Roman"/>
          <w:b/>
          <w:szCs w:val="24"/>
        </w:rPr>
        <w:t>1</w:t>
      </w:r>
      <w:r w:rsidR="008469BB" w:rsidRPr="00B81E7D">
        <w:rPr>
          <w:rFonts w:cs="Times New Roman"/>
          <w:b/>
          <w:szCs w:val="24"/>
        </w:rPr>
        <w:t xml:space="preserve"> </w:t>
      </w:r>
      <w:r w:rsidR="008F7758" w:rsidRPr="00B81E7D">
        <w:rPr>
          <w:rFonts w:cs="Times New Roman"/>
          <w:b/>
          <w:szCs w:val="24"/>
        </w:rPr>
        <w:t>projektu).</w:t>
      </w:r>
    </w:p>
    <w:p w:rsidR="007A3CE1" w:rsidRPr="00B81E7D" w:rsidRDefault="00667EC0" w:rsidP="00DF0187">
      <w:pPr>
        <w:spacing w:after="120" w:line="360" w:lineRule="auto"/>
        <w:jc w:val="both"/>
        <w:rPr>
          <w:rFonts w:cs="Times New Roman"/>
          <w:bCs/>
          <w:szCs w:val="24"/>
        </w:rPr>
      </w:pPr>
      <w:r w:rsidRPr="00B81E7D">
        <w:rPr>
          <w:rFonts w:cs="Times New Roman"/>
          <w:bCs/>
          <w:szCs w:val="24"/>
        </w:rPr>
        <w:lastRenderedPageBreak/>
        <w:t xml:space="preserve">Koncesja, w zakresie określonym w art. 37 ust. 1 pkt 3 ustawy o radiofonii i telewizji, jest udzielana w porozumieniu z Prezesem Urzędu Komunikacji Elektronicznej, który zajmuje stanowisko, mając na względzie spełnienie warunków określonych w art. 114 ust. 3 ustawy z dnia 16 lipca 2004 r. - Prawo telekomunikacyjne. Brzmienie powyższego przepisu nie uwzględnia aktualnego poziomu rozwoju technologii, który pozwala na wyeliminowanie zakłóceń częstotliwości wykorzystywanych w sieciach telekomunikacyjnych innych niż wykorzystywane do rozpowszechniania rozsiewczego naziemnego lub rozsiewczego satelitarnego. W związku z tym nie jest konieczne uzgadnianie udzielanych i zmienianych koncesji przez Przewodniczącego Krajowej Rady Radiofonii i Telewizji z Prezesem Urzędu Komunikacji Elektronicznej w zakresie dotyczącym rozpowszechniania rozsiewczego satelitarnego oraz rozpowszechniania w sieciach telekomunikacyjnych innych niż wykorzystywane do rozpowszechniania rozsiewczego naziemnego </w:t>
      </w:r>
      <w:r w:rsidR="00DF0187" w:rsidRPr="00B81E7D">
        <w:rPr>
          <w:rFonts w:cs="Times New Roman"/>
          <w:bCs/>
          <w:szCs w:val="24"/>
        </w:rPr>
        <w:t>lub rozsiewczego satelitarnego.</w:t>
      </w:r>
    </w:p>
    <w:p w:rsidR="00817FA9" w:rsidRPr="00B81E7D" w:rsidRDefault="00817FA9" w:rsidP="00D335AE">
      <w:pPr>
        <w:tabs>
          <w:tab w:val="left" w:pos="2655"/>
        </w:tabs>
        <w:spacing w:after="120" w:line="360" w:lineRule="auto"/>
        <w:jc w:val="both"/>
        <w:rPr>
          <w:rFonts w:cs="Times New Roman"/>
          <w:szCs w:val="24"/>
        </w:rPr>
      </w:pPr>
    </w:p>
    <w:p w:rsidR="0016122B" w:rsidRPr="00B81E7D" w:rsidRDefault="0016122B" w:rsidP="00B421C2">
      <w:pPr>
        <w:numPr>
          <w:ilvl w:val="0"/>
          <w:numId w:val="2"/>
        </w:numPr>
        <w:spacing w:after="120" w:line="360" w:lineRule="auto"/>
        <w:jc w:val="both"/>
        <w:rPr>
          <w:rFonts w:cs="Times New Roman"/>
          <w:b/>
          <w:szCs w:val="24"/>
        </w:rPr>
      </w:pPr>
      <w:r w:rsidRPr="00B81E7D">
        <w:rPr>
          <w:rFonts w:cs="Times New Roman"/>
          <w:b/>
          <w:szCs w:val="24"/>
        </w:rPr>
        <w:t>Zmiany w ustawie z dnia 29 września 1994 r. o rachunkowości (art. 1</w:t>
      </w:r>
      <w:r w:rsidR="00D920F6" w:rsidRPr="00B81E7D">
        <w:rPr>
          <w:rFonts w:cs="Times New Roman"/>
          <w:b/>
          <w:szCs w:val="24"/>
        </w:rPr>
        <w:t>2</w:t>
      </w:r>
      <w:r w:rsidRPr="00B81E7D">
        <w:rPr>
          <w:rFonts w:cs="Times New Roman"/>
          <w:b/>
          <w:szCs w:val="24"/>
        </w:rPr>
        <w:t xml:space="preserve"> pkt 2 i 3 projektu).</w:t>
      </w:r>
    </w:p>
    <w:p w:rsidR="0016122B" w:rsidRPr="00B81E7D" w:rsidRDefault="0016122B" w:rsidP="00B421C2">
      <w:pPr>
        <w:spacing w:after="120" w:line="360" w:lineRule="auto"/>
        <w:jc w:val="both"/>
        <w:rPr>
          <w:rFonts w:cs="Times New Roman"/>
          <w:szCs w:val="24"/>
        </w:rPr>
      </w:pPr>
      <w:r w:rsidRPr="00B81E7D">
        <w:rPr>
          <w:rFonts w:cs="Times New Roman"/>
          <w:szCs w:val="24"/>
        </w:rPr>
        <w:t>Brzmienie art. 45 ust. 1f oraz art. 63c ust. 2a ustawy należy uzupełnić w sposób pozwalający podmiotom zobowiązanym na podpisywanie składanych sprawozdań finansowych „podpisem osobistym”. Zasadnym jest bowiem</w:t>
      </w:r>
      <w:r w:rsidR="00FF21D8" w:rsidRPr="00B81E7D">
        <w:rPr>
          <w:rFonts w:cs="Times New Roman"/>
          <w:szCs w:val="24"/>
        </w:rPr>
        <w:t>,</w:t>
      </w:r>
      <w:r w:rsidRPr="00B81E7D">
        <w:rPr>
          <w:rFonts w:cs="Times New Roman"/>
          <w:szCs w:val="24"/>
        </w:rPr>
        <w:t xml:space="preserve"> aby podmioty sk</w:t>
      </w:r>
      <w:r w:rsidR="00741B6C">
        <w:rPr>
          <w:rFonts w:cs="Times New Roman"/>
          <w:szCs w:val="24"/>
        </w:rPr>
        <w:t>ładające sprawozdania mogły się </w:t>
      </w:r>
      <w:r w:rsidRPr="00B81E7D">
        <w:rPr>
          <w:rFonts w:cs="Times New Roman"/>
          <w:szCs w:val="24"/>
        </w:rPr>
        <w:t>posługiwać szerszym niż obecnie zbiorem podpisów elektronicznyc</w:t>
      </w:r>
      <w:r w:rsidR="003972A8" w:rsidRPr="00B81E7D">
        <w:rPr>
          <w:rFonts w:cs="Times New Roman"/>
          <w:szCs w:val="24"/>
        </w:rPr>
        <w:t>h. W związku z </w:t>
      </w:r>
      <w:r w:rsidRPr="00B81E7D">
        <w:rPr>
          <w:rFonts w:cs="Times New Roman"/>
          <w:szCs w:val="24"/>
        </w:rPr>
        <w:t>powyższym, proponowana zmiana pozwoli w prz</w:t>
      </w:r>
      <w:r w:rsidR="00B4541D">
        <w:rPr>
          <w:rFonts w:cs="Times New Roman"/>
          <w:szCs w:val="24"/>
        </w:rPr>
        <w:t>yszłości każdemu obywatelowi na </w:t>
      </w:r>
      <w:r w:rsidRPr="00B81E7D">
        <w:rPr>
          <w:rFonts w:cs="Times New Roman"/>
          <w:szCs w:val="24"/>
        </w:rPr>
        <w:t>podpisanie składanego sprawozdania finansowego, bez konieczności podejmowania dodatkowych czynności w celu nabycia kwalifikowanego podpis</w:t>
      </w:r>
      <w:r w:rsidR="00741B6C">
        <w:rPr>
          <w:rFonts w:cs="Times New Roman"/>
          <w:szCs w:val="24"/>
        </w:rPr>
        <w:t>u elektronicznego lub </w:t>
      </w:r>
      <w:r w:rsidRPr="00B81E7D">
        <w:rPr>
          <w:rFonts w:cs="Times New Roman"/>
          <w:szCs w:val="24"/>
        </w:rPr>
        <w:t>po</w:t>
      </w:r>
      <w:r w:rsidR="00FF21D8" w:rsidRPr="00B81E7D">
        <w:rPr>
          <w:rFonts w:cs="Times New Roman"/>
          <w:szCs w:val="24"/>
        </w:rPr>
        <w:t>służenia się podpisem zaufanym.</w:t>
      </w:r>
    </w:p>
    <w:p w:rsidR="0016122B" w:rsidRPr="00B81E7D" w:rsidRDefault="0016122B" w:rsidP="00B421C2">
      <w:pPr>
        <w:spacing w:after="120" w:line="360" w:lineRule="auto"/>
        <w:jc w:val="both"/>
        <w:rPr>
          <w:rFonts w:cs="Times New Roman"/>
          <w:szCs w:val="24"/>
        </w:rPr>
      </w:pPr>
      <w:r w:rsidRPr="00B81E7D">
        <w:rPr>
          <w:rFonts w:cs="Times New Roman"/>
          <w:szCs w:val="24"/>
        </w:rPr>
        <w:t>Zasadnym jest ponadto skorygowanie brzmienia w art. 45 ust. 1f</w:t>
      </w:r>
      <w:r w:rsidR="00A35436" w:rsidRPr="00B81E7D">
        <w:rPr>
          <w:rFonts w:cs="Times New Roman"/>
          <w:szCs w:val="24"/>
        </w:rPr>
        <w:t>, art. 49 ust. 7,</w:t>
      </w:r>
      <w:r w:rsidRPr="00B81E7D">
        <w:rPr>
          <w:rFonts w:cs="Times New Roman"/>
          <w:szCs w:val="24"/>
        </w:rPr>
        <w:t xml:space="preserve"> art. 63c ust. 2a </w:t>
      </w:r>
      <w:r w:rsidR="00A35436" w:rsidRPr="00B81E7D">
        <w:rPr>
          <w:rFonts w:cs="Times New Roman"/>
          <w:szCs w:val="24"/>
        </w:rPr>
        <w:t xml:space="preserve">oraz art. 63k </w:t>
      </w:r>
      <w:r w:rsidRPr="00B81E7D">
        <w:rPr>
          <w:rFonts w:cs="Times New Roman"/>
          <w:szCs w:val="24"/>
        </w:rPr>
        <w:t>ustawy o rachunkowości, poprzez zastąpienie fragmentu „podpisem potwierdzonym profilem zaufanym ePUAP” treścią „podpisem zaufanym”. Należy bowiem wskazać, że „podpis zaufany”, zdefiniowany obecnie w art. 3 pkt 14a ustawy</w:t>
      </w:r>
      <w:r w:rsidR="00FF21D8" w:rsidRPr="00B81E7D">
        <w:rPr>
          <w:rFonts w:cs="Times New Roman"/>
          <w:szCs w:val="24"/>
        </w:rPr>
        <w:t xml:space="preserve"> o </w:t>
      </w:r>
      <w:r w:rsidRPr="00B81E7D">
        <w:rPr>
          <w:rFonts w:cs="Times New Roman"/>
          <w:szCs w:val="24"/>
        </w:rPr>
        <w:t>informatyzacji</w:t>
      </w:r>
      <w:r w:rsidR="00FF21D8" w:rsidRPr="00B81E7D">
        <w:rPr>
          <w:rFonts w:cs="Times New Roman"/>
          <w:szCs w:val="24"/>
        </w:rPr>
        <w:t xml:space="preserve"> działalności podmiotów realizujących zadania publiczne</w:t>
      </w:r>
      <w:r w:rsidRPr="00B81E7D">
        <w:rPr>
          <w:rFonts w:cs="Times New Roman"/>
          <w:szCs w:val="24"/>
        </w:rPr>
        <w:t>, zastąpił uprzednio regulowany przepisami tej ustawy „podpis potwierdzony profilem zaufanym ePUAP”. Przedmiotowa zmiana została wprowadzona przez przepisy ustawy z</w:t>
      </w:r>
      <w:r w:rsidR="003972A8" w:rsidRPr="00B81E7D">
        <w:rPr>
          <w:rFonts w:cs="Times New Roman"/>
          <w:szCs w:val="24"/>
        </w:rPr>
        <w:t xml:space="preserve"> dnia 5 lipca 2018 r. o </w:t>
      </w:r>
      <w:r w:rsidR="00FF21D8" w:rsidRPr="00B81E7D">
        <w:rPr>
          <w:rFonts w:cs="Times New Roman"/>
          <w:szCs w:val="24"/>
        </w:rPr>
        <w:t>zmianie ustawy o </w:t>
      </w:r>
      <w:r w:rsidRPr="00B81E7D">
        <w:rPr>
          <w:rFonts w:cs="Times New Roman"/>
          <w:szCs w:val="24"/>
        </w:rPr>
        <w:t>usługach zaufania oraz identyfikacji elektronicznej oraz niektórych innych ustaw (Dz. U. poz. 1544).</w:t>
      </w:r>
    </w:p>
    <w:p w:rsidR="00A853A8" w:rsidRPr="00B81E7D" w:rsidRDefault="00A853A8" w:rsidP="00B421C2">
      <w:pPr>
        <w:spacing w:after="120" w:line="360" w:lineRule="auto"/>
        <w:jc w:val="both"/>
        <w:rPr>
          <w:rFonts w:cs="Times New Roman"/>
          <w:szCs w:val="24"/>
        </w:rPr>
      </w:pPr>
    </w:p>
    <w:p w:rsidR="00451474" w:rsidRPr="00B81E7D" w:rsidRDefault="00E341B9" w:rsidP="00B421C2">
      <w:pPr>
        <w:numPr>
          <w:ilvl w:val="0"/>
          <w:numId w:val="2"/>
        </w:numPr>
        <w:spacing w:after="120" w:line="360" w:lineRule="auto"/>
        <w:jc w:val="both"/>
        <w:rPr>
          <w:rFonts w:cs="Times New Roman"/>
          <w:b/>
          <w:szCs w:val="24"/>
        </w:rPr>
      </w:pPr>
      <w:r w:rsidRPr="00B81E7D">
        <w:rPr>
          <w:rFonts w:cs="Times New Roman"/>
          <w:b/>
          <w:szCs w:val="24"/>
        </w:rPr>
        <w:t xml:space="preserve">Zmiany w ustawie z dnia 10 kwietnia 1997 r. - Prawo energetyczne </w:t>
      </w:r>
      <w:r w:rsidR="00BF0EAE" w:rsidRPr="00B81E7D">
        <w:rPr>
          <w:rFonts w:cs="Times New Roman"/>
          <w:b/>
          <w:szCs w:val="24"/>
        </w:rPr>
        <w:t xml:space="preserve">(art. </w:t>
      </w:r>
      <w:r w:rsidR="006B1DAE" w:rsidRPr="00B81E7D">
        <w:rPr>
          <w:rFonts w:cs="Times New Roman"/>
          <w:b/>
          <w:szCs w:val="24"/>
        </w:rPr>
        <w:t>1</w:t>
      </w:r>
      <w:r w:rsidR="00D920F6" w:rsidRPr="00B81E7D">
        <w:rPr>
          <w:rFonts w:cs="Times New Roman"/>
          <w:b/>
          <w:szCs w:val="24"/>
        </w:rPr>
        <w:t>4</w:t>
      </w:r>
      <w:r w:rsidR="00A853A8" w:rsidRPr="00B81E7D">
        <w:rPr>
          <w:rFonts w:cs="Times New Roman"/>
          <w:b/>
          <w:szCs w:val="24"/>
        </w:rPr>
        <w:t xml:space="preserve"> </w:t>
      </w:r>
      <w:r w:rsidR="00BF0EAE" w:rsidRPr="00B81E7D">
        <w:rPr>
          <w:rFonts w:cs="Times New Roman"/>
          <w:b/>
          <w:szCs w:val="24"/>
        </w:rPr>
        <w:t xml:space="preserve">projektu). </w:t>
      </w:r>
    </w:p>
    <w:p w:rsidR="00E41354" w:rsidRPr="00B81E7D" w:rsidRDefault="00E41354" w:rsidP="00B421C2">
      <w:pPr>
        <w:spacing w:after="120" w:line="360" w:lineRule="auto"/>
        <w:jc w:val="both"/>
        <w:rPr>
          <w:rFonts w:eastAsia="Calibri" w:cs="Times New Roman"/>
          <w:szCs w:val="24"/>
        </w:rPr>
      </w:pPr>
      <w:r w:rsidRPr="00B81E7D">
        <w:rPr>
          <w:rFonts w:cs="Times New Roman"/>
          <w:szCs w:val="24"/>
        </w:rPr>
        <w:t>W obecnym stanie prawnym przedsiębiorstwa energetyczne składają sprawozdanie o tej samej treści do różnych organów administracji. Stanowi to nieuzasadnione obciążenie zarówno po stronie przedsiębiorstw, jak i organów administracji, które weryfikują, czy sprawozdanie zostało złożone w ustawowym terminie. Proponuje się, aby sprawozdania składane były do jednego organu – Prezesa U</w:t>
      </w:r>
      <w:r w:rsidR="00817FA9" w:rsidRPr="00B81E7D">
        <w:rPr>
          <w:rFonts w:cs="Times New Roman"/>
          <w:szCs w:val="24"/>
        </w:rPr>
        <w:t xml:space="preserve">rzędu </w:t>
      </w:r>
      <w:r w:rsidRPr="00B81E7D">
        <w:rPr>
          <w:rFonts w:cs="Times New Roman"/>
          <w:szCs w:val="24"/>
        </w:rPr>
        <w:t>R</w:t>
      </w:r>
      <w:r w:rsidR="00817FA9" w:rsidRPr="00B81E7D">
        <w:rPr>
          <w:rFonts w:cs="Times New Roman"/>
          <w:szCs w:val="24"/>
        </w:rPr>
        <w:t xml:space="preserve">egulacji </w:t>
      </w:r>
      <w:r w:rsidRPr="00B81E7D">
        <w:rPr>
          <w:rFonts w:cs="Times New Roman"/>
          <w:szCs w:val="24"/>
        </w:rPr>
        <w:t>E</w:t>
      </w:r>
      <w:r w:rsidR="00817FA9" w:rsidRPr="00B81E7D">
        <w:rPr>
          <w:rFonts w:cs="Times New Roman"/>
          <w:szCs w:val="24"/>
        </w:rPr>
        <w:t>nergetyki (dalej: URE)</w:t>
      </w:r>
      <w:r w:rsidRPr="00B81E7D">
        <w:rPr>
          <w:rFonts w:cs="Times New Roman"/>
          <w:szCs w:val="24"/>
        </w:rPr>
        <w:t>, który następnie przekaże zestawienia zbiorcze tych sprawozdań pozostałym organom (tj. ministrowi właściwemu ds. energii, ministrowi właściwemu ds. finansów publicznych, Prezesowi ARM). W przypadku wystąpienia takiej potrzeby, na wniosek tych organów Prezes URE przekazywałby im kopie sprawozdań. Proponowana zmiana wprowadziłaby znaczące ułatwienie w zakresie działań podejmowanych przez podmioty realizujące obowiązek sprawozdawczy (niższe koszty administracyjne, ale także niższe koszty opłat</w:t>
      </w:r>
      <w:r w:rsidR="00367FD6" w:rsidRPr="00B81E7D">
        <w:rPr>
          <w:rFonts w:cs="Times New Roman"/>
          <w:szCs w:val="24"/>
        </w:rPr>
        <w:t>y</w:t>
      </w:r>
      <w:r w:rsidRPr="00B81E7D">
        <w:rPr>
          <w:rFonts w:cs="Times New Roman"/>
          <w:szCs w:val="24"/>
        </w:rPr>
        <w:t xml:space="preserve"> </w:t>
      </w:r>
      <w:r w:rsidR="00367FD6" w:rsidRPr="00B81E7D">
        <w:rPr>
          <w:rFonts w:cs="Times New Roman"/>
          <w:szCs w:val="24"/>
        </w:rPr>
        <w:t xml:space="preserve">skarbowej ponoszonej </w:t>
      </w:r>
      <w:r w:rsidRPr="00B81E7D">
        <w:rPr>
          <w:rFonts w:cs="Times New Roman"/>
          <w:szCs w:val="24"/>
        </w:rPr>
        <w:t xml:space="preserve">przez przedsiębiorców, które wynikają z ustanowienia pełnomocnika do złożenia każdego sprawozdania do </w:t>
      </w:r>
      <w:r w:rsidRPr="00B81E7D">
        <w:rPr>
          <w:rFonts w:eastAsia="Calibri" w:cs="Times New Roman"/>
          <w:szCs w:val="24"/>
        </w:rPr>
        <w:t>każdego właściwego organu).</w:t>
      </w:r>
    </w:p>
    <w:p w:rsidR="00931A10" w:rsidRPr="00B81E7D" w:rsidRDefault="001C717A" w:rsidP="00D335AE">
      <w:pPr>
        <w:spacing w:after="120" w:line="360" w:lineRule="auto"/>
        <w:jc w:val="both"/>
        <w:rPr>
          <w:rFonts w:cs="Times New Roman"/>
          <w:szCs w:val="24"/>
        </w:rPr>
      </w:pPr>
      <w:r w:rsidRPr="00B81E7D">
        <w:rPr>
          <w:rFonts w:eastAsia="Calibri" w:cs="Times New Roman"/>
          <w:szCs w:val="24"/>
        </w:rPr>
        <w:t>W celu cyfryzacji ww.</w:t>
      </w:r>
      <w:r w:rsidRPr="00B81E7D">
        <w:rPr>
          <w:rFonts w:cs="Times New Roman"/>
          <w:szCs w:val="24"/>
        </w:rPr>
        <w:t xml:space="preserve"> procesów koniecznym będzie wprowadzenie systemu teleinformatycznego w URE, który umożliwi składanie sprawozdań oraz przetwarzanie i udostępnianie danych, co ułatwi przedsiębiorcom wykonywanie ustawowych obowiązków i przyspieszy proces przetwarzania danych przez Prezesa URE.</w:t>
      </w:r>
      <w:r w:rsidR="001C107F" w:rsidRPr="00B81E7D">
        <w:rPr>
          <w:rFonts w:cs="Times New Roman"/>
          <w:szCs w:val="24"/>
        </w:rPr>
        <w:t xml:space="preserve"> Proponowany system teleinformatyczny będzie mógł stanowić zalążek platformy paliwowej stanowiącej bazę danych dotyczących sektora paliwowego, która jest ujęta w Programie przeciwdziałania i zwalczania przestępczości</w:t>
      </w:r>
      <w:r w:rsidR="00E10937" w:rsidRPr="00B81E7D">
        <w:rPr>
          <w:rFonts w:cs="Times New Roman"/>
          <w:szCs w:val="24"/>
        </w:rPr>
        <w:t xml:space="preserve"> gospodarczej na lata 2015-2020.</w:t>
      </w:r>
    </w:p>
    <w:p w:rsidR="00265ED0" w:rsidRPr="00B81E7D" w:rsidRDefault="00265ED0" w:rsidP="00B421C2">
      <w:pPr>
        <w:pStyle w:val="ListParagraph1"/>
        <w:widowControl w:val="0"/>
        <w:tabs>
          <w:tab w:val="left" w:pos="567"/>
        </w:tabs>
        <w:snapToGrid w:val="0"/>
        <w:spacing w:after="60" w:line="360" w:lineRule="auto"/>
        <w:ind w:left="0" w:right="1"/>
        <w:contextualSpacing w:val="0"/>
        <w:rPr>
          <w:b/>
          <w:sz w:val="24"/>
          <w:szCs w:val="24"/>
        </w:rPr>
      </w:pPr>
    </w:p>
    <w:p w:rsidR="00BF0EAE" w:rsidRPr="00B81E7D" w:rsidRDefault="00931A10" w:rsidP="00B421C2">
      <w:pPr>
        <w:numPr>
          <w:ilvl w:val="0"/>
          <w:numId w:val="2"/>
        </w:numPr>
        <w:spacing w:after="120" w:line="360" w:lineRule="auto"/>
        <w:jc w:val="both"/>
        <w:rPr>
          <w:rFonts w:cs="Times New Roman"/>
          <w:b/>
          <w:szCs w:val="24"/>
        </w:rPr>
      </w:pPr>
      <w:r w:rsidRPr="00B81E7D">
        <w:rPr>
          <w:rFonts w:cs="Times New Roman"/>
          <w:b/>
          <w:szCs w:val="24"/>
        </w:rPr>
        <w:t xml:space="preserve">Zmiany w ustawie z dnia 10 kwietnia 1997 r. - Prawo energetyczne (art. </w:t>
      </w:r>
      <w:r w:rsidR="006B1DAE" w:rsidRPr="00B81E7D">
        <w:rPr>
          <w:rFonts w:cs="Times New Roman"/>
          <w:b/>
          <w:szCs w:val="24"/>
        </w:rPr>
        <w:t>1</w:t>
      </w:r>
      <w:r w:rsidR="00D920F6" w:rsidRPr="00B81E7D">
        <w:rPr>
          <w:rFonts w:cs="Times New Roman"/>
          <w:b/>
          <w:szCs w:val="24"/>
        </w:rPr>
        <w:t>4</w:t>
      </w:r>
      <w:r w:rsidR="006B1DAE" w:rsidRPr="00B81E7D">
        <w:rPr>
          <w:rFonts w:cs="Times New Roman"/>
          <w:b/>
          <w:szCs w:val="24"/>
        </w:rPr>
        <w:t xml:space="preserve"> </w:t>
      </w:r>
      <w:r w:rsidR="003D27AD" w:rsidRPr="00B81E7D">
        <w:rPr>
          <w:rFonts w:cs="Times New Roman"/>
          <w:b/>
          <w:szCs w:val="24"/>
        </w:rPr>
        <w:t xml:space="preserve">pkt </w:t>
      </w:r>
      <w:r w:rsidR="006B1DAE" w:rsidRPr="00B81E7D">
        <w:rPr>
          <w:rFonts w:cs="Times New Roman"/>
          <w:b/>
          <w:szCs w:val="24"/>
        </w:rPr>
        <w:t>3 </w:t>
      </w:r>
      <w:r w:rsidR="00817FA9" w:rsidRPr="00B81E7D">
        <w:rPr>
          <w:rFonts w:cs="Times New Roman"/>
          <w:b/>
          <w:szCs w:val="24"/>
        </w:rPr>
        <w:t xml:space="preserve">lit. b </w:t>
      </w:r>
      <w:r w:rsidRPr="00B81E7D">
        <w:rPr>
          <w:rFonts w:cs="Times New Roman"/>
          <w:b/>
          <w:szCs w:val="24"/>
        </w:rPr>
        <w:t>projektu)</w:t>
      </w:r>
      <w:r w:rsidR="003D27AD" w:rsidRPr="00B81E7D">
        <w:rPr>
          <w:rFonts w:cs="Times New Roman"/>
          <w:b/>
          <w:szCs w:val="24"/>
        </w:rPr>
        <w:t xml:space="preserve">, ustawie z dnia 22 sierpnia 1997 r. o ochronie osób i mienia (art. </w:t>
      </w:r>
      <w:r w:rsidR="00730356" w:rsidRPr="00B81E7D">
        <w:rPr>
          <w:rFonts w:cs="Times New Roman"/>
          <w:b/>
          <w:szCs w:val="24"/>
        </w:rPr>
        <w:t>15</w:t>
      </w:r>
      <w:r w:rsidR="00445257" w:rsidRPr="00B81E7D">
        <w:rPr>
          <w:rFonts w:cs="Times New Roman"/>
          <w:b/>
          <w:szCs w:val="24"/>
        </w:rPr>
        <w:t xml:space="preserve"> </w:t>
      </w:r>
      <w:r w:rsidR="006B2A89" w:rsidRPr="00B81E7D">
        <w:rPr>
          <w:rFonts w:cs="Times New Roman"/>
          <w:b/>
          <w:szCs w:val="24"/>
        </w:rPr>
        <w:t>pkt 2</w:t>
      </w:r>
      <w:r w:rsidR="00B57A93" w:rsidRPr="00B81E7D">
        <w:rPr>
          <w:rFonts w:cs="Times New Roman"/>
          <w:b/>
          <w:szCs w:val="24"/>
        </w:rPr>
        <w:t xml:space="preserve"> </w:t>
      </w:r>
      <w:r w:rsidR="003D27AD" w:rsidRPr="00B81E7D">
        <w:rPr>
          <w:rFonts w:cs="Times New Roman"/>
          <w:b/>
          <w:szCs w:val="24"/>
        </w:rPr>
        <w:t xml:space="preserve">projektu), </w:t>
      </w:r>
      <w:r w:rsidR="00D61D54" w:rsidRPr="00B81E7D">
        <w:rPr>
          <w:rFonts w:cs="Times New Roman"/>
          <w:b/>
          <w:szCs w:val="24"/>
        </w:rPr>
        <w:t>ustawie z dnia 7 czerwca 200</w:t>
      </w:r>
      <w:r w:rsidR="00817FA9" w:rsidRPr="00B81E7D">
        <w:rPr>
          <w:rFonts w:cs="Times New Roman"/>
          <w:b/>
          <w:szCs w:val="24"/>
        </w:rPr>
        <w:t>1 r. o zbiorowym zaopatrzeniu w </w:t>
      </w:r>
      <w:r w:rsidR="00D61D54" w:rsidRPr="00B81E7D">
        <w:rPr>
          <w:rFonts w:cs="Times New Roman"/>
          <w:b/>
          <w:szCs w:val="24"/>
        </w:rPr>
        <w:t xml:space="preserve">wodę i zbiorowym odprowadzaniu ścieków (art. </w:t>
      </w:r>
      <w:r w:rsidR="00F059AC" w:rsidRPr="00B81E7D">
        <w:rPr>
          <w:rFonts w:cs="Times New Roman"/>
          <w:b/>
          <w:szCs w:val="24"/>
        </w:rPr>
        <w:t>2</w:t>
      </w:r>
      <w:r w:rsidR="00F059AC">
        <w:rPr>
          <w:rFonts w:cs="Times New Roman"/>
          <w:b/>
          <w:szCs w:val="24"/>
        </w:rPr>
        <w:t>6</w:t>
      </w:r>
      <w:r w:rsidR="00F059AC" w:rsidRPr="00B81E7D">
        <w:rPr>
          <w:rFonts w:cs="Times New Roman"/>
          <w:b/>
          <w:szCs w:val="24"/>
        </w:rPr>
        <w:t xml:space="preserve"> </w:t>
      </w:r>
      <w:r w:rsidR="00674B64" w:rsidRPr="00B81E7D">
        <w:rPr>
          <w:rFonts w:cs="Times New Roman"/>
          <w:b/>
          <w:szCs w:val="24"/>
        </w:rPr>
        <w:t xml:space="preserve">pkt 2 </w:t>
      </w:r>
      <w:r w:rsidR="00D61D54" w:rsidRPr="00B81E7D">
        <w:rPr>
          <w:rFonts w:cs="Times New Roman"/>
          <w:b/>
          <w:szCs w:val="24"/>
        </w:rPr>
        <w:t xml:space="preserve">projektu), </w:t>
      </w:r>
      <w:r w:rsidR="003972A8" w:rsidRPr="00B81E7D">
        <w:rPr>
          <w:rFonts w:cs="Times New Roman"/>
          <w:b/>
          <w:szCs w:val="24"/>
        </w:rPr>
        <w:t>ustawie z </w:t>
      </w:r>
      <w:r w:rsidR="00472D4F" w:rsidRPr="00B81E7D">
        <w:rPr>
          <w:rFonts w:cs="Times New Roman"/>
          <w:b/>
          <w:szCs w:val="24"/>
        </w:rPr>
        <w:t xml:space="preserve">dnia </w:t>
      </w:r>
      <w:r w:rsidR="00B726BF">
        <w:rPr>
          <w:rFonts w:cs="Times New Roman"/>
          <w:b/>
          <w:szCs w:val="24"/>
        </w:rPr>
        <w:t xml:space="preserve">13 czerwca 2019 r. </w:t>
      </w:r>
      <w:r w:rsidR="00472D4F" w:rsidRPr="00B81E7D">
        <w:rPr>
          <w:rFonts w:cs="Times New Roman"/>
          <w:b/>
          <w:szCs w:val="24"/>
        </w:rPr>
        <w:t xml:space="preserve"> o wykonywaniu działalności gospodarczej w zakresie wytwarzania i obrotu materiałami wybuchowymi, bronią, amunicją oraz wyrobami i technologią o przeznaczeniu wojskowym lub policyjnym (art. </w:t>
      </w:r>
      <w:r w:rsidR="00F059AC" w:rsidRPr="00B81E7D">
        <w:rPr>
          <w:rFonts w:cs="Times New Roman"/>
          <w:b/>
          <w:szCs w:val="24"/>
        </w:rPr>
        <w:t>6</w:t>
      </w:r>
      <w:r w:rsidR="00F059AC">
        <w:rPr>
          <w:rFonts w:cs="Times New Roman"/>
          <w:b/>
          <w:szCs w:val="24"/>
        </w:rPr>
        <w:t>6</w:t>
      </w:r>
      <w:r w:rsidR="00F059AC" w:rsidRPr="00B81E7D">
        <w:rPr>
          <w:rFonts w:cs="Times New Roman"/>
          <w:b/>
          <w:szCs w:val="24"/>
        </w:rPr>
        <w:t xml:space="preserve"> </w:t>
      </w:r>
      <w:r w:rsidR="0013670D" w:rsidRPr="00B81E7D">
        <w:rPr>
          <w:rFonts w:cs="Times New Roman"/>
          <w:b/>
          <w:szCs w:val="24"/>
        </w:rPr>
        <w:t xml:space="preserve">pkt 1 lit. b </w:t>
      </w:r>
      <w:r w:rsidR="00472D4F" w:rsidRPr="00B81E7D">
        <w:rPr>
          <w:rFonts w:cs="Times New Roman"/>
          <w:b/>
          <w:szCs w:val="24"/>
        </w:rPr>
        <w:t xml:space="preserve">projektu), </w:t>
      </w:r>
      <w:r w:rsidR="002742D0" w:rsidRPr="00B81E7D">
        <w:rPr>
          <w:rFonts w:cs="Times New Roman"/>
          <w:b/>
          <w:szCs w:val="24"/>
        </w:rPr>
        <w:t xml:space="preserve">ustawie z dnia 6 września 2001 r. o transporcie drogowym (art. </w:t>
      </w:r>
      <w:r w:rsidR="00F059AC" w:rsidRPr="00B81E7D">
        <w:rPr>
          <w:rFonts w:cs="Times New Roman"/>
          <w:b/>
          <w:szCs w:val="24"/>
        </w:rPr>
        <w:lastRenderedPageBreak/>
        <w:t>2</w:t>
      </w:r>
      <w:r w:rsidR="00F059AC">
        <w:rPr>
          <w:rFonts w:cs="Times New Roman"/>
          <w:b/>
          <w:szCs w:val="24"/>
        </w:rPr>
        <w:t>8</w:t>
      </w:r>
      <w:r w:rsidR="00F059AC" w:rsidRPr="00B81E7D">
        <w:rPr>
          <w:rFonts w:cs="Times New Roman"/>
          <w:b/>
          <w:szCs w:val="24"/>
        </w:rPr>
        <w:t xml:space="preserve"> </w:t>
      </w:r>
      <w:r w:rsidR="002742D0" w:rsidRPr="00B81E7D">
        <w:rPr>
          <w:rFonts w:cs="Times New Roman"/>
          <w:b/>
          <w:szCs w:val="24"/>
        </w:rPr>
        <w:t xml:space="preserve">pkt 1 projektu), </w:t>
      </w:r>
      <w:r w:rsidR="00A50D07" w:rsidRPr="00B81E7D">
        <w:rPr>
          <w:rFonts w:cs="Times New Roman"/>
          <w:b/>
          <w:szCs w:val="24"/>
        </w:rPr>
        <w:t xml:space="preserve">ustawie z dnia 6 września 2001 r. – Prawo farmaceutyczne (art. </w:t>
      </w:r>
      <w:r w:rsidR="00F059AC" w:rsidRPr="00B81E7D">
        <w:rPr>
          <w:rFonts w:cs="Times New Roman"/>
          <w:b/>
          <w:szCs w:val="24"/>
        </w:rPr>
        <w:t>2</w:t>
      </w:r>
      <w:r w:rsidR="00F059AC">
        <w:rPr>
          <w:rFonts w:cs="Times New Roman"/>
          <w:b/>
          <w:szCs w:val="24"/>
        </w:rPr>
        <w:t>9</w:t>
      </w:r>
      <w:r w:rsidR="00F059AC" w:rsidRPr="00B81E7D">
        <w:rPr>
          <w:rFonts w:cs="Times New Roman"/>
          <w:b/>
          <w:szCs w:val="24"/>
        </w:rPr>
        <w:t xml:space="preserve"> </w:t>
      </w:r>
      <w:r w:rsidR="00A50D07" w:rsidRPr="00B81E7D">
        <w:rPr>
          <w:rFonts w:cs="Times New Roman"/>
          <w:b/>
          <w:szCs w:val="24"/>
        </w:rPr>
        <w:t>pkt 1</w:t>
      </w:r>
      <w:r w:rsidR="00817FA9" w:rsidRPr="00B81E7D">
        <w:rPr>
          <w:rFonts w:cs="Times New Roman"/>
          <w:b/>
          <w:szCs w:val="24"/>
        </w:rPr>
        <w:t xml:space="preserve"> lit. </w:t>
      </w:r>
      <w:r w:rsidR="00E765F3" w:rsidRPr="00B81E7D">
        <w:rPr>
          <w:rFonts w:cs="Times New Roman"/>
          <w:b/>
          <w:szCs w:val="24"/>
        </w:rPr>
        <w:t>b</w:t>
      </w:r>
      <w:r w:rsidR="00A50D07" w:rsidRPr="00B81E7D">
        <w:rPr>
          <w:rFonts w:cs="Times New Roman"/>
          <w:b/>
          <w:szCs w:val="24"/>
        </w:rPr>
        <w:t xml:space="preserve"> projektu)</w:t>
      </w:r>
      <w:r w:rsidR="00831591" w:rsidRPr="00B81E7D">
        <w:rPr>
          <w:rFonts w:cs="Times New Roman"/>
          <w:b/>
          <w:szCs w:val="24"/>
        </w:rPr>
        <w:t>.</w:t>
      </w:r>
    </w:p>
    <w:p w:rsidR="00931A10" w:rsidRPr="00B81E7D" w:rsidRDefault="00931A10" w:rsidP="00B421C2">
      <w:pPr>
        <w:spacing w:after="120" w:line="360" w:lineRule="auto"/>
        <w:jc w:val="both"/>
        <w:rPr>
          <w:rFonts w:cs="Times New Roman"/>
          <w:szCs w:val="24"/>
        </w:rPr>
      </w:pPr>
      <w:r w:rsidRPr="00B81E7D">
        <w:rPr>
          <w:rFonts w:cs="Times New Roman"/>
          <w:szCs w:val="24"/>
        </w:rPr>
        <w:t>Zmiany we wskazanych ustawach są konsekwencją zmian wprowadzanych w ustawie z dnia 5 lipca 2018 r. o zarządzie sukcesyjnym przedsiębiorstwem osoby fizycznej i mają na celu zapewnienie nabywcy przedsiębiorstwa możliwości powołania się na:</w:t>
      </w:r>
    </w:p>
    <w:p w:rsidR="00931A10" w:rsidRPr="00B81E7D" w:rsidRDefault="00931A10" w:rsidP="00B421C2">
      <w:pPr>
        <w:pStyle w:val="ListParagraph1"/>
        <w:widowControl w:val="0"/>
        <w:tabs>
          <w:tab w:val="left" w:pos="567"/>
        </w:tabs>
        <w:snapToGrid w:val="0"/>
        <w:spacing w:after="60" w:line="360" w:lineRule="auto"/>
        <w:ind w:left="0" w:right="1"/>
        <w:contextualSpacing w:val="0"/>
        <w:rPr>
          <w:rFonts w:eastAsia="Times New Roman"/>
          <w:sz w:val="24"/>
          <w:szCs w:val="24"/>
          <w:lang w:eastAsia="en-US"/>
        </w:rPr>
      </w:pPr>
      <w:r w:rsidRPr="00B81E7D">
        <w:rPr>
          <w:sz w:val="24"/>
          <w:szCs w:val="24"/>
        </w:rPr>
        <w:t xml:space="preserve">- </w:t>
      </w:r>
      <w:r w:rsidRPr="00B81E7D">
        <w:rPr>
          <w:rFonts w:eastAsia="Times New Roman"/>
          <w:sz w:val="24"/>
          <w:szCs w:val="24"/>
          <w:lang w:eastAsia="en-US"/>
        </w:rPr>
        <w:t xml:space="preserve">promesę w przypadku ubiegania się o udzielenie koncesji na wykonywanie działalności gospodarczej polegającej na wytwarzaniu, przetwarzaniu, magazynowaniu, przesyłaniu, dystrybucji oraz obrocie paliwami lub energią, skraplaniu gazu ziemnego i regazyfikacji skroplonego gazu ziemnego – </w:t>
      </w:r>
      <w:r w:rsidR="003D27AD" w:rsidRPr="00B81E7D">
        <w:rPr>
          <w:rFonts w:eastAsia="Times New Roman"/>
          <w:sz w:val="24"/>
          <w:szCs w:val="24"/>
          <w:lang w:eastAsia="en-US"/>
        </w:rPr>
        <w:t>zmiana</w:t>
      </w:r>
      <w:r w:rsidR="00271786" w:rsidRPr="00B81E7D">
        <w:rPr>
          <w:rFonts w:eastAsia="Times New Roman"/>
          <w:sz w:val="24"/>
          <w:szCs w:val="24"/>
          <w:lang w:eastAsia="en-US"/>
        </w:rPr>
        <w:t xml:space="preserve"> w ustawie Prawo energetyczne;</w:t>
      </w:r>
    </w:p>
    <w:p w:rsidR="003D27AD" w:rsidRPr="00B81E7D" w:rsidRDefault="003D27AD" w:rsidP="00B421C2">
      <w:pPr>
        <w:pStyle w:val="ListParagraph1"/>
        <w:widowControl w:val="0"/>
        <w:tabs>
          <w:tab w:val="left" w:pos="567"/>
        </w:tabs>
        <w:snapToGrid w:val="0"/>
        <w:spacing w:after="60" w:line="360" w:lineRule="auto"/>
        <w:ind w:left="0" w:right="1"/>
        <w:contextualSpacing w:val="0"/>
        <w:rPr>
          <w:rFonts w:eastAsia="Times New Roman"/>
          <w:sz w:val="24"/>
          <w:szCs w:val="24"/>
          <w:lang w:eastAsia="en-US"/>
        </w:rPr>
      </w:pPr>
      <w:r w:rsidRPr="00B81E7D">
        <w:rPr>
          <w:rFonts w:eastAsia="Times New Roman"/>
          <w:sz w:val="24"/>
          <w:szCs w:val="24"/>
          <w:lang w:eastAsia="en-US"/>
        </w:rPr>
        <w:t>- promesę w przypadku ubiegania się o udzielenie koncesji na wykonywanie działalności gospodarczej określonej w tej promesie – zmiana w u</w:t>
      </w:r>
      <w:r w:rsidR="00271786" w:rsidRPr="00B81E7D">
        <w:rPr>
          <w:rFonts w:eastAsia="Times New Roman"/>
          <w:sz w:val="24"/>
          <w:szCs w:val="24"/>
          <w:lang w:eastAsia="en-US"/>
        </w:rPr>
        <w:t>stawie o ochronie osób i mienia;</w:t>
      </w:r>
    </w:p>
    <w:p w:rsidR="00472D4F" w:rsidRPr="00B81E7D" w:rsidRDefault="00472D4F" w:rsidP="00B421C2">
      <w:pPr>
        <w:pStyle w:val="ListParagraph1"/>
        <w:widowControl w:val="0"/>
        <w:tabs>
          <w:tab w:val="left" w:pos="567"/>
        </w:tabs>
        <w:snapToGrid w:val="0"/>
        <w:spacing w:after="60" w:line="360" w:lineRule="auto"/>
        <w:ind w:left="0" w:right="1"/>
        <w:contextualSpacing w:val="0"/>
        <w:rPr>
          <w:rFonts w:eastAsia="Times New Roman"/>
          <w:sz w:val="24"/>
          <w:szCs w:val="24"/>
          <w:lang w:eastAsia="en-US"/>
        </w:rPr>
      </w:pPr>
      <w:r w:rsidRPr="00B81E7D">
        <w:rPr>
          <w:rFonts w:eastAsia="Times New Roman"/>
          <w:sz w:val="24"/>
          <w:szCs w:val="24"/>
          <w:lang w:eastAsia="en-US"/>
        </w:rPr>
        <w:t>- promesę w przypadku ubiegania się o udzielenie o zezwoleni</w:t>
      </w:r>
      <w:r w:rsidR="00D2795A" w:rsidRPr="00B81E7D">
        <w:rPr>
          <w:rFonts w:eastAsia="Times New Roman"/>
          <w:sz w:val="24"/>
          <w:szCs w:val="24"/>
          <w:lang w:eastAsia="en-US"/>
        </w:rPr>
        <w:t>a</w:t>
      </w:r>
      <w:r w:rsidRPr="00B81E7D">
        <w:rPr>
          <w:rFonts w:eastAsia="Times New Roman"/>
          <w:sz w:val="24"/>
          <w:szCs w:val="24"/>
          <w:lang w:eastAsia="en-US"/>
        </w:rPr>
        <w:t xml:space="preserve"> w zakresie zbiorowego zaopatrzenia w wodę lub zbiorowego odprowadzania ścieków – zmiana w ustawie o zbiorowym zaopatrzeniu w wodę i </w:t>
      </w:r>
      <w:r w:rsidR="00271786" w:rsidRPr="00B81E7D">
        <w:rPr>
          <w:rFonts w:eastAsia="Times New Roman"/>
          <w:sz w:val="24"/>
          <w:szCs w:val="24"/>
          <w:lang w:eastAsia="en-US"/>
        </w:rPr>
        <w:t>zbiorowym odprowadzaniu ścieków;</w:t>
      </w:r>
    </w:p>
    <w:p w:rsidR="00D61D54" w:rsidRPr="00B81E7D" w:rsidRDefault="00472D4F" w:rsidP="00B421C2">
      <w:pPr>
        <w:pStyle w:val="ListParagraph1"/>
        <w:widowControl w:val="0"/>
        <w:tabs>
          <w:tab w:val="left" w:pos="567"/>
        </w:tabs>
        <w:snapToGrid w:val="0"/>
        <w:spacing w:after="60" w:line="360" w:lineRule="auto"/>
        <w:ind w:left="0" w:right="1"/>
        <w:contextualSpacing w:val="0"/>
        <w:rPr>
          <w:rFonts w:eastAsia="Times New Roman"/>
          <w:sz w:val="24"/>
          <w:szCs w:val="24"/>
          <w:lang w:eastAsia="en-US"/>
        </w:rPr>
      </w:pPr>
      <w:r w:rsidRPr="00B81E7D">
        <w:rPr>
          <w:rFonts w:eastAsia="Times New Roman"/>
          <w:sz w:val="24"/>
          <w:szCs w:val="24"/>
          <w:lang w:eastAsia="en-US"/>
        </w:rPr>
        <w:t>- promesę w przypadku ubiegania się o udzielenie koncesji na wykonywanie działalności gospodarczej określonej w tej promesie – zmiana w ustawie o wykonywaniu działalności gospodarczej w zakresie wytwarzania i obrotu materiałami wybuchowymi, bronią, amunicją oraz wyrobami i technologią o przeznaczeniu wojskowym lub po</w:t>
      </w:r>
      <w:r w:rsidR="00271786" w:rsidRPr="00B81E7D">
        <w:rPr>
          <w:rFonts w:eastAsia="Times New Roman"/>
          <w:sz w:val="24"/>
          <w:szCs w:val="24"/>
          <w:lang w:eastAsia="en-US"/>
        </w:rPr>
        <w:t>licyjnym;</w:t>
      </w:r>
    </w:p>
    <w:p w:rsidR="002742D0" w:rsidRPr="00B81E7D" w:rsidRDefault="002742D0" w:rsidP="00B421C2">
      <w:pPr>
        <w:pStyle w:val="ListParagraph1"/>
        <w:widowControl w:val="0"/>
        <w:tabs>
          <w:tab w:val="left" w:pos="567"/>
        </w:tabs>
        <w:snapToGrid w:val="0"/>
        <w:spacing w:after="60" w:line="360" w:lineRule="auto"/>
        <w:ind w:left="0" w:right="1"/>
        <w:contextualSpacing w:val="0"/>
        <w:rPr>
          <w:rFonts w:eastAsia="Times New Roman"/>
          <w:sz w:val="24"/>
          <w:szCs w:val="24"/>
          <w:lang w:eastAsia="en-US"/>
        </w:rPr>
      </w:pPr>
      <w:r w:rsidRPr="00B81E7D">
        <w:rPr>
          <w:rFonts w:eastAsia="Times New Roman"/>
          <w:sz w:val="24"/>
          <w:szCs w:val="24"/>
          <w:lang w:eastAsia="en-US"/>
        </w:rPr>
        <w:t>- zezwolenie na wykonywanie zawodu przewoźnika drogowego lub licencji – zmiana w</w:t>
      </w:r>
      <w:r w:rsidR="00271786" w:rsidRPr="00B81E7D">
        <w:rPr>
          <w:rFonts w:eastAsia="Times New Roman"/>
          <w:sz w:val="24"/>
          <w:szCs w:val="24"/>
          <w:lang w:eastAsia="en-US"/>
        </w:rPr>
        <w:t> ustawie o transporcie drogowym;</w:t>
      </w:r>
    </w:p>
    <w:p w:rsidR="00A50D07" w:rsidRPr="00B81E7D" w:rsidRDefault="00A50D07" w:rsidP="00B421C2">
      <w:pPr>
        <w:pStyle w:val="ListParagraph1"/>
        <w:widowControl w:val="0"/>
        <w:tabs>
          <w:tab w:val="left" w:pos="567"/>
        </w:tabs>
        <w:snapToGrid w:val="0"/>
        <w:spacing w:after="60" w:line="360" w:lineRule="auto"/>
        <w:ind w:left="0" w:right="1"/>
        <w:contextualSpacing w:val="0"/>
        <w:rPr>
          <w:rFonts w:eastAsia="Times New Roman"/>
          <w:sz w:val="24"/>
          <w:szCs w:val="24"/>
          <w:lang w:eastAsia="en-US"/>
        </w:rPr>
      </w:pPr>
      <w:r w:rsidRPr="00B81E7D">
        <w:rPr>
          <w:rFonts w:eastAsia="Times New Roman"/>
          <w:sz w:val="24"/>
          <w:szCs w:val="24"/>
          <w:lang w:eastAsia="en-US"/>
        </w:rPr>
        <w:t>- promesę w przypadku ubiegania się o udzielenie zezwolenia na wykonywanie działalności gospodarczej określonej w tej promesie – zmiana</w:t>
      </w:r>
      <w:r w:rsidR="00D2795A" w:rsidRPr="00B81E7D">
        <w:rPr>
          <w:rFonts w:eastAsia="Times New Roman"/>
          <w:sz w:val="24"/>
          <w:szCs w:val="24"/>
          <w:lang w:eastAsia="en-US"/>
        </w:rPr>
        <w:t xml:space="preserve"> w ustawie Prawo farmaceutyczne.</w:t>
      </w:r>
    </w:p>
    <w:p w:rsidR="003C2E38" w:rsidRPr="00B81E7D" w:rsidRDefault="003C2E38" w:rsidP="00B421C2">
      <w:pPr>
        <w:spacing w:after="120" w:line="360" w:lineRule="auto"/>
        <w:jc w:val="both"/>
        <w:rPr>
          <w:rFonts w:cs="Times New Roman"/>
          <w:b/>
          <w:szCs w:val="24"/>
        </w:rPr>
      </w:pPr>
    </w:p>
    <w:p w:rsidR="00E341B9" w:rsidRPr="00B81E7D" w:rsidRDefault="00E341B9" w:rsidP="00B421C2">
      <w:pPr>
        <w:numPr>
          <w:ilvl w:val="0"/>
          <w:numId w:val="2"/>
        </w:numPr>
        <w:spacing w:after="120" w:line="360" w:lineRule="auto"/>
        <w:jc w:val="both"/>
        <w:rPr>
          <w:rFonts w:cs="Times New Roman"/>
          <w:b/>
          <w:szCs w:val="24"/>
        </w:rPr>
      </w:pPr>
      <w:r w:rsidRPr="00B81E7D">
        <w:rPr>
          <w:rFonts w:cs="Times New Roman"/>
          <w:b/>
          <w:szCs w:val="24"/>
        </w:rPr>
        <w:t>Zmian</w:t>
      </w:r>
      <w:r w:rsidR="00B76E1B" w:rsidRPr="00B81E7D">
        <w:rPr>
          <w:rFonts w:cs="Times New Roman"/>
          <w:b/>
          <w:szCs w:val="24"/>
        </w:rPr>
        <w:t>a</w:t>
      </w:r>
      <w:r w:rsidRPr="00B81E7D">
        <w:rPr>
          <w:rFonts w:cs="Times New Roman"/>
          <w:b/>
          <w:szCs w:val="24"/>
        </w:rPr>
        <w:t xml:space="preserve"> w ustawie z dnia 27 sierpnia 1997 r. o rehabilitacji zawodowej i społecznej oraz zatrudnianiu osób niepełnosprawnych </w:t>
      </w:r>
      <w:r w:rsidR="0068644B" w:rsidRPr="00B81E7D">
        <w:rPr>
          <w:rFonts w:cs="Times New Roman"/>
          <w:b/>
          <w:szCs w:val="24"/>
        </w:rPr>
        <w:t xml:space="preserve">(art. </w:t>
      </w:r>
      <w:r w:rsidR="00730356" w:rsidRPr="00B81E7D">
        <w:rPr>
          <w:rFonts w:cs="Times New Roman"/>
          <w:b/>
          <w:szCs w:val="24"/>
        </w:rPr>
        <w:t>16</w:t>
      </w:r>
      <w:r w:rsidR="009B0D27" w:rsidRPr="00B81E7D">
        <w:rPr>
          <w:rFonts w:cs="Times New Roman"/>
          <w:b/>
          <w:szCs w:val="24"/>
        </w:rPr>
        <w:t xml:space="preserve"> </w:t>
      </w:r>
      <w:r w:rsidR="0068644B" w:rsidRPr="00B81E7D">
        <w:rPr>
          <w:rFonts w:cs="Times New Roman"/>
          <w:b/>
          <w:szCs w:val="24"/>
        </w:rPr>
        <w:t>projektu).</w:t>
      </w:r>
    </w:p>
    <w:p w:rsidR="005F7C5B" w:rsidRPr="00B81E7D" w:rsidRDefault="005F7C5B" w:rsidP="00B421C2">
      <w:pPr>
        <w:spacing w:before="120" w:line="360" w:lineRule="auto"/>
        <w:jc w:val="both"/>
        <w:rPr>
          <w:rFonts w:cs="Times New Roman"/>
          <w:szCs w:val="24"/>
        </w:rPr>
      </w:pPr>
      <w:r w:rsidRPr="00B81E7D">
        <w:rPr>
          <w:rFonts w:cs="Times New Roman"/>
          <w:szCs w:val="24"/>
        </w:rPr>
        <w:t xml:space="preserve">Wprowadzenie przepisu umożliwiającego niedochodzenie przez Państwowy Fundusz Rehabilitacji Osób Niepełnosprawnych odsetek za zwłokę, jeżeli ich wysokość nie przekracza trzykrotności wartości opłaty pobieranej przez operatora za traktowanie przesyłki listowej jako poleconej (wartości wskazanej w art. 54 § 1 pkt 5 ustawy z dnia 29 sierpnia 1997 r. Ordynacja podatkowa), ma na celu zmniejszenie obciążeń administracyjno-finansowych ciążących na Beneficjentach pomocy udzielanej przez PFRON oraz leżących po stronie Funduszu w związku z prowadzonymi postępowaniami. Na PFRON, jako na jednostce </w:t>
      </w:r>
      <w:r w:rsidRPr="00B81E7D">
        <w:rPr>
          <w:rFonts w:cs="Times New Roman"/>
          <w:szCs w:val="24"/>
        </w:rPr>
        <w:lastRenderedPageBreak/>
        <w:t>sektora finansów publicznych, dysponującej środkami publicznymi, ciąży obowiązek dochodzenia zwrotu nienależnie pobranych środków wraz z odsetkami, w wysokości określonej jak dla zaległości podatkowych, liczonymi od dnia otrzymania środków do dnia ich zwrotu. W sytuacji, gdy podmiot wezwany do zwrotu środków, nie wypełni obowiązku zwrotu kwoty we wskazanym terminie, bądź nie przedstawi dokumentów przeczących ustaleniom poczynionym przez PFRON, zostanie wszczęte z urzędu postępowanie administracyjne, które może zakończyć się wydaniem decyzji administracyjnej nakazującej zwrot środków Funduszu i skierowaniem sprawy na drogę postępowania egzekucyjnego.</w:t>
      </w:r>
    </w:p>
    <w:p w:rsidR="005F7C5B" w:rsidRPr="00B81E7D" w:rsidRDefault="005F7C5B" w:rsidP="00B421C2">
      <w:pPr>
        <w:spacing w:before="120" w:line="360" w:lineRule="auto"/>
        <w:jc w:val="both"/>
        <w:rPr>
          <w:rFonts w:cs="Times New Roman"/>
          <w:szCs w:val="24"/>
        </w:rPr>
      </w:pPr>
      <w:r w:rsidRPr="00B81E7D">
        <w:rPr>
          <w:rFonts w:cs="Times New Roman"/>
          <w:szCs w:val="24"/>
        </w:rPr>
        <w:t xml:space="preserve">Zgodnie z przepisem 49f </w:t>
      </w:r>
      <w:r w:rsidR="000B2D1D">
        <w:rPr>
          <w:rFonts w:cs="Times New Roman"/>
          <w:szCs w:val="24"/>
        </w:rPr>
        <w:t xml:space="preserve">zmienianej </w:t>
      </w:r>
      <w:r w:rsidRPr="00B81E7D">
        <w:rPr>
          <w:rFonts w:cs="Times New Roman"/>
          <w:szCs w:val="24"/>
        </w:rPr>
        <w:t xml:space="preserve"> ustawy , w przypadku, gdy decyzja stanie się ostateczna, beneficjent lub jego pełnomocnik, może zwrócić się do PFRON z wnioskiem o rozłożenie na raty lub umorzenie należności wynikającej z decyzji administracyjnej, nakazującej zwrot środków. Należy mieć jednak na uwadze, że w niniejszym zakresie będzie się toczyło osobne postępowani</w:t>
      </w:r>
      <w:r w:rsidR="00D2795A" w:rsidRPr="00B81E7D">
        <w:rPr>
          <w:rFonts w:cs="Times New Roman"/>
          <w:szCs w:val="24"/>
        </w:rPr>
        <w:t>e</w:t>
      </w:r>
      <w:r w:rsidRPr="00B81E7D">
        <w:rPr>
          <w:rFonts w:cs="Times New Roman"/>
          <w:szCs w:val="24"/>
        </w:rPr>
        <w:t xml:space="preserve"> administracyjne, w wyniku którego PFRON będzie zobligowany ustalić czy może dokonać umorzenia lub rozłożenia na raty, tj. czy strona spełnia warunki określone w art. 49f (w szczególności ust. 1) </w:t>
      </w:r>
      <w:r w:rsidR="004B59E5">
        <w:rPr>
          <w:rFonts w:cs="Times New Roman"/>
          <w:szCs w:val="24"/>
        </w:rPr>
        <w:t xml:space="preserve">zmienianej </w:t>
      </w:r>
      <w:r w:rsidRPr="00B81E7D">
        <w:rPr>
          <w:rFonts w:cs="Times New Roman"/>
          <w:szCs w:val="24"/>
        </w:rPr>
        <w:t>. ustawy</w:t>
      </w:r>
      <w:r w:rsidR="004B59E5">
        <w:rPr>
          <w:rFonts w:cs="Times New Roman"/>
          <w:szCs w:val="24"/>
        </w:rPr>
        <w:t>.</w:t>
      </w:r>
      <w:r w:rsidRPr="00B81E7D">
        <w:rPr>
          <w:rFonts w:cs="Times New Roman"/>
          <w:szCs w:val="24"/>
        </w:rPr>
        <w:t xml:space="preserve"> </w:t>
      </w:r>
    </w:p>
    <w:p w:rsidR="005F7C5B" w:rsidRPr="00B81E7D" w:rsidRDefault="005F7C5B" w:rsidP="00B421C2">
      <w:pPr>
        <w:spacing w:before="120" w:line="360" w:lineRule="auto"/>
        <w:jc w:val="both"/>
        <w:rPr>
          <w:rFonts w:cs="Times New Roman"/>
          <w:szCs w:val="24"/>
        </w:rPr>
      </w:pPr>
      <w:r w:rsidRPr="00B81E7D">
        <w:rPr>
          <w:rFonts w:cs="Times New Roman"/>
          <w:szCs w:val="24"/>
        </w:rPr>
        <w:t>Umorzenie odsetek, w tym odsetek nie przekraczających wartości wskazanej w art. 54 § 1 p</w:t>
      </w:r>
      <w:r w:rsidR="00D2795A" w:rsidRPr="00B81E7D">
        <w:rPr>
          <w:rFonts w:cs="Times New Roman"/>
          <w:szCs w:val="24"/>
        </w:rPr>
        <w:t>kt 5 ustawy Ordynacja podatkowa</w:t>
      </w:r>
      <w:r w:rsidRPr="00B81E7D">
        <w:rPr>
          <w:rFonts w:cs="Times New Roman"/>
          <w:szCs w:val="24"/>
        </w:rPr>
        <w:t xml:space="preserve"> jest dopuszczalne, ale na wniosek strony i w przypadku spełnienia określonych warunków. W innym wypadku Fundusz zobowiązany jest dochodzić zwrotu odsetek nawet w przypadku, jeżeli ich wartość jest niewielka i wynosi kilka złotych, a nawet kilkadziesiąt groszy. </w:t>
      </w:r>
    </w:p>
    <w:p w:rsidR="005F7C5B" w:rsidRPr="00B81E7D" w:rsidRDefault="005F7C5B" w:rsidP="00B421C2">
      <w:pPr>
        <w:spacing w:before="120" w:line="360" w:lineRule="auto"/>
        <w:jc w:val="both"/>
        <w:rPr>
          <w:rFonts w:cs="Times New Roman"/>
          <w:szCs w:val="24"/>
        </w:rPr>
      </w:pPr>
      <w:r w:rsidRPr="00B81E7D">
        <w:rPr>
          <w:rFonts w:cs="Times New Roman"/>
          <w:szCs w:val="24"/>
        </w:rPr>
        <w:t>Wprowadzenie do ustawy o rehabilitacji wspomnianego przepisu umożliwiającego niedochodzeni</w:t>
      </w:r>
      <w:r w:rsidR="00D2795A" w:rsidRPr="00B81E7D">
        <w:rPr>
          <w:rFonts w:cs="Times New Roman"/>
          <w:szCs w:val="24"/>
        </w:rPr>
        <w:t>e</w:t>
      </w:r>
      <w:r w:rsidRPr="00B81E7D">
        <w:rPr>
          <w:rFonts w:cs="Times New Roman"/>
          <w:szCs w:val="24"/>
        </w:rPr>
        <w:t xml:space="preserve"> przez Fundusz odsetek za zwłokę – stanowiłoby ułatwienie dla Beneficjentów pomocy udzielanej przez PFRON pod kątem nie tyle finansowym, jak administracyjnym. Instytucja umorzenia należności w trybie wnioskowym stanowi szczególnego rodzaju ulgę, której zastosowanie może mieć miejsce w przypadku uzasadnionym ważnym interesem dłużnika, interesem publicznym, względami gospodarczymi lub społecznymi lub innymi przyczynami zasługującymi na uwzględnienie, w szczególności w razie całkowitej nieściągalności. Stosowanie tego rodzaju ulgi oparte jest </w:t>
      </w:r>
      <w:r w:rsidR="00B4541D">
        <w:rPr>
          <w:rFonts w:cs="Times New Roman"/>
          <w:szCs w:val="24"/>
        </w:rPr>
        <w:t>na uznaniu administracyjnym, co </w:t>
      </w:r>
      <w:r w:rsidRPr="00B81E7D">
        <w:rPr>
          <w:rFonts w:cs="Times New Roman"/>
          <w:szCs w:val="24"/>
        </w:rPr>
        <w:t>oznacza, że organ może, ale nie musi skorzystać z uprawnienia określonego w tym przepisie. Beneficjent ubiegający się o umorzenie należności</w:t>
      </w:r>
      <w:r w:rsidR="00B4541D">
        <w:rPr>
          <w:rFonts w:cs="Times New Roman"/>
          <w:szCs w:val="24"/>
        </w:rPr>
        <w:t xml:space="preserve"> - w tym odsetek niezależnie od </w:t>
      </w:r>
      <w:r w:rsidRPr="00B81E7D">
        <w:rPr>
          <w:rFonts w:cs="Times New Roman"/>
          <w:szCs w:val="24"/>
        </w:rPr>
        <w:t>ich wielkości - w toku prowadzenia postepowania adm</w:t>
      </w:r>
      <w:r w:rsidR="00B4541D">
        <w:rPr>
          <w:rFonts w:cs="Times New Roman"/>
          <w:szCs w:val="24"/>
        </w:rPr>
        <w:t>inistracyjnego zobowiązany jest </w:t>
      </w:r>
      <w:r w:rsidRPr="00B81E7D">
        <w:rPr>
          <w:rFonts w:cs="Times New Roman"/>
          <w:szCs w:val="24"/>
        </w:rPr>
        <w:t xml:space="preserve">przedstawić szereg dokumentów, w oparciu o które Fundusz może wydać ostateczną decyzję. </w:t>
      </w:r>
    </w:p>
    <w:p w:rsidR="005F7C5B" w:rsidRPr="00B81E7D" w:rsidRDefault="005F7C5B" w:rsidP="00B421C2">
      <w:pPr>
        <w:spacing w:before="120" w:line="360" w:lineRule="auto"/>
        <w:jc w:val="both"/>
        <w:rPr>
          <w:rFonts w:cs="Times New Roman"/>
          <w:szCs w:val="24"/>
        </w:rPr>
      </w:pPr>
      <w:r w:rsidRPr="00B81E7D">
        <w:rPr>
          <w:rFonts w:cs="Times New Roman"/>
          <w:szCs w:val="24"/>
        </w:rPr>
        <w:lastRenderedPageBreak/>
        <w:t>Dodatkowo należy podkreślić, iż koszt postępowań administracyjnych, a następnie niejednokrotnie koszt postępowania egzekucyjnego (koszty korespondencji i wynagrodzenia pracownika) znacząco przewyższa wartość dochodzonej przez Fundusz kwoty odsetek, stąd zmiana byłaby także pozytywna dla PFRON.</w:t>
      </w:r>
    </w:p>
    <w:p w:rsidR="00990676" w:rsidRPr="00B81E7D" w:rsidRDefault="00990676" w:rsidP="00B421C2">
      <w:pPr>
        <w:suppressAutoHyphens/>
        <w:autoSpaceDN w:val="0"/>
        <w:spacing w:before="120" w:line="360" w:lineRule="auto"/>
        <w:jc w:val="both"/>
        <w:textAlignment w:val="baseline"/>
        <w:rPr>
          <w:rFonts w:eastAsia="Calibri" w:cs="Times New Roman"/>
          <w:szCs w:val="24"/>
        </w:rPr>
      </w:pPr>
    </w:p>
    <w:p w:rsidR="00E341B9" w:rsidRPr="00B81E7D" w:rsidRDefault="00E341B9" w:rsidP="00B421C2">
      <w:pPr>
        <w:numPr>
          <w:ilvl w:val="0"/>
          <w:numId w:val="2"/>
        </w:numPr>
        <w:spacing w:after="120" w:line="360" w:lineRule="auto"/>
        <w:jc w:val="both"/>
        <w:rPr>
          <w:rFonts w:cs="Times New Roman"/>
          <w:b/>
          <w:szCs w:val="24"/>
        </w:rPr>
      </w:pPr>
      <w:r w:rsidRPr="00B81E7D">
        <w:rPr>
          <w:rFonts w:cs="Times New Roman"/>
          <w:b/>
          <w:szCs w:val="24"/>
        </w:rPr>
        <w:t>Zmian</w:t>
      </w:r>
      <w:r w:rsidR="004241CD" w:rsidRPr="00B81E7D">
        <w:rPr>
          <w:rFonts w:cs="Times New Roman"/>
          <w:b/>
          <w:szCs w:val="24"/>
        </w:rPr>
        <w:t>a</w:t>
      </w:r>
      <w:r w:rsidRPr="00B81E7D">
        <w:rPr>
          <w:rFonts w:cs="Times New Roman"/>
          <w:b/>
          <w:szCs w:val="24"/>
        </w:rPr>
        <w:t xml:space="preserve"> w ustawie z dnia 28 sierpnia 1997 r. o organizacji i funkcjonowaniu funduszy emerytalnych </w:t>
      </w:r>
      <w:r w:rsidR="0068644B" w:rsidRPr="00B81E7D">
        <w:rPr>
          <w:rFonts w:cs="Times New Roman"/>
          <w:b/>
          <w:szCs w:val="24"/>
        </w:rPr>
        <w:t xml:space="preserve">(art. </w:t>
      </w:r>
      <w:r w:rsidR="00730356" w:rsidRPr="00B81E7D">
        <w:rPr>
          <w:rFonts w:cs="Times New Roman"/>
          <w:b/>
          <w:szCs w:val="24"/>
        </w:rPr>
        <w:t>17</w:t>
      </w:r>
      <w:r w:rsidR="00674B64" w:rsidRPr="00B81E7D">
        <w:rPr>
          <w:rFonts w:cs="Times New Roman"/>
          <w:b/>
          <w:szCs w:val="24"/>
        </w:rPr>
        <w:t xml:space="preserve"> </w:t>
      </w:r>
      <w:r w:rsidR="0068644B" w:rsidRPr="00B81E7D">
        <w:rPr>
          <w:rFonts w:cs="Times New Roman"/>
          <w:b/>
          <w:szCs w:val="24"/>
        </w:rPr>
        <w:t>projektu).</w:t>
      </w:r>
    </w:p>
    <w:p w:rsidR="00AB10B4" w:rsidRPr="00B81E7D" w:rsidRDefault="00A935E8" w:rsidP="0000472F">
      <w:pPr>
        <w:spacing w:before="120" w:line="360" w:lineRule="auto"/>
        <w:jc w:val="both"/>
        <w:rPr>
          <w:rFonts w:cs="Times New Roman"/>
          <w:szCs w:val="24"/>
        </w:rPr>
      </w:pPr>
      <w:r w:rsidRPr="00B81E7D">
        <w:rPr>
          <w:rFonts w:cs="Times New Roman"/>
          <w:szCs w:val="24"/>
        </w:rPr>
        <w:t>Do wniosku towarzystwa o wydanie zezwolenia na utworzenie funduszu</w:t>
      </w:r>
      <w:r w:rsidR="00452993" w:rsidRPr="00B81E7D">
        <w:rPr>
          <w:rFonts w:cs="Times New Roman"/>
          <w:szCs w:val="24"/>
        </w:rPr>
        <w:t>, wniosku o wpisanie funduszu do rejestru funduszy oraz  wniosku o zmianę danych w rejestrze funduszy</w:t>
      </w:r>
      <w:r w:rsidRPr="00B81E7D">
        <w:rPr>
          <w:rFonts w:cs="Times New Roman"/>
          <w:szCs w:val="24"/>
        </w:rPr>
        <w:t xml:space="preserve"> należy dołączyć m.in.</w:t>
      </w:r>
      <w:bookmarkStart w:id="4" w:name="mip38647592"/>
      <w:bookmarkEnd w:id="4"/>
      <w:r w:rsidRPr="00B81E7D">
        <w:rPr>
          <w:rFonts w:cs="Times New Roman"/>
          <w:szCs w:val="24"/>
        </w:rPr>
        <w:t xml:space="preserve"> zaświadczenie albo oświadczenie o wpisi</w:t>
      </w:r>
      <w:r w:rsidR="003972A8" w:rsidRPr="00B81E7D">
        <w:rPr>
          <w:rFonts w:cs="Times New Roman"/>
          <w:szCs w:val="24"/>
        </w:rPr>
        <w:t>e do rejestru przedsiębiorców w </w:t>
      </w:r>
      <w:r w:rsidRPr="00B81E7D">
        <w:rPr>
          <w:rFonts w:cs="Times New Roman"/>
          <w:szCs w:val="24"/>
        </w:rPr>
        <w:t>Krajowym Rejestrze Sądowym</w:t>
      </w:r>
      <w:r w:rsidR="00113129" w:rsidRPr="00B81E7D">
        <w:rPr>
          <w:rFonts w:cs="Times New Roman"/>
          <w:szCs w:val="24"/>
        </w:rPr>
        <w:t xml:space="preserve"> (dalej: KRS)</w:t>
      </w:r>
      <w:r w:rsidRPr="00B81E7D">
        <w:rPr>
          <w:rFonts w:cs="Times New Roman"/>
          <w:szCs w:val="24"/>
        </w:rPr>
        <w:t>. W związku z tym, że organ może samodzielnie ustalić te dane w ogólnodostępnej bazie KRS proponuje się zniesienie tego obowiązku.</w:t>
      </w:r>
    </w:p>
    <w:p w:rsidR="00E90FD9" w:rsidRPr="00B81E7D" w:rsidRDefault="00E90FD9" w:rsidP="00DF0187">
      <w:pPr>
        <w:spacing w:after="120" w:line="360" w:lineRule="auto"/>
        <w:jc w:val="both"/>
        <w:rPr>
          <w:rFonts w:cs="Times New Roman"/>
          <w:b/>
          <w:szCs w:val="24"/>
        </w:rPr>
      </w:pPr>
    </w:p>
    <w:p w:rsidR="00EF3575" w:rsidRPr="00B81E7D" w:rsidRDefault="00EF3575" w:rsidP="00B421C2">
      <w:pPr>
        <w:numPr>
          <w:ilvl w:val="0"/>
          <w:numId w:val="2"/>
        </w:numPr>
        <w:spacing w:after="120" w:line="360" w:lineRule="auto"/>
        <w:jc w:val="both"/>
        <w:rPr>
          <w:rFonts w:cs="Times New Roman"/>
          <w:b/>
          <w:szCs w:val="24"/>
        </w:rPr>
      </w:pPr>
      <w:r w:rsidRPr="00B81E7D">
        <w:rPr>
          <w:rFonts w:cs="Times New Roman"/>
          <w:b/>
          <w:szCs w:val="24"/>
        </w:rPr>
        <w:t xml:space="preserve">Zmiana w ustawie z dnia 20 listopada 1998 r. o zryczałtowanym podatku dochodowym od niektórych przychodów osiąganych przez osoby fizyczne (art. </w:t>
      </w:r>
      <w:r w:rsidR="00674B64" w:rsidRPr="00B81E7D">
        <w:rPr>
          <w:rFonts w:cs="Times New Roman"/>
          <w:b/>
          <w:szCs w:val="24"/>
        </w:rPr>
        <w:t>2</w:t>
      </w:r>
      <w:r w:rsidR="00730356" w:rsidRPr="00B81E7D">
        <w:rPr>
          <w:rFonts w:cs="Times New Roman"/>
          <w:b/>
          <w:szCs w:val="24"/>
        </w:rPr>
        <w:t>1</w:t>
      </w:r>
      <w:r w:rsidR="00674B64" w:rsidRPr="00B81E7D">
        <w:rPr>
          <w:rFonts w:cs="Times New Roman"/>
          <w:b/>
          <w:szCs w:val="24"/>
        </w:rPr>
        <w:t xml:space="preserve"> </w:t>
      </w:r>
      <w:r w:rsidR="00E765F3" w:rsidRPr="00B81E7D">
        <w:rPr>
          <w:rFonts w:cs="Times New Roman"/>
          <w:b/>
          <w:szCs w:val="24"/>
        </w:rPr>
        <w:t xml:space="preserve">pkt 2 </w:t>
      </w:r>
      <w:r w:rsidRPr="00B81E7D">
        <w:rPr>
          <w:rFonts w:cs="Times New Roman"/>
          <w:b/>
          <w:szCs w:val="24"/>
        </w:rPr>
        <w:t>projektu).</w:t>
      </w:r>
    </w:p>
    <w:p w:rsidR="00EF3575" w:rsidRPr="00B81E7D" w:rsidRDefault="00EF3575" w:rsidP="00B421C2">
      <w:pPr>
        <w:spacing w:line="360" w:lineRule="auto"/>
        <w:jc w:val="both"/>
        <w:rPr>
          <w:rFonts w:cs="Times New Roman"/>
          <w:szCs w:val="24"/>
        </w:rPr>
      </w:pPr>
      <w:r w:rsidRPr="00B81E7D">
        <w:rPr>
          <w:rFonts w:cs="Times New Roman"/>
          <w:szCs w:val="24"/>
        </w:rPr>
        <w:t>Przepis jest konsekwencją zmiany wpr</w:t>
      </w:r>
      <w:r w:rsidR="000A6211" w:rsidRPr="00B81E7D">
        <w:rPr>
          <w:rFonts w:cs="Times New Roman"/>
          <w:szCs w:val="24"/>
        </w:rPr>
        <w:t>owadzonej w art. 6 ust. 4 pkt 3</w:t>
      </w:r>
      <w:r w:rsidRPr="00B81E7D">
        <w:rPr>
          <w:rFonts w:cs="Times New Roman"/>
          <w:szCs w:val="24"/>
        </w:rPr>
        <w:t xml:space="preserve"> ustawy o Centralnej Ewidencji i Informacji o Działalności Gospodarczej i Punkcie Informacji dla Przedsiębiorcy. Ma na celu wyeliminowanie dwukrotnego powiadamiani</w:t>
      </w:r>
      <w:r w:rsidR="00D2795A" w:rsidRPr="00B81E7D">
        <w:rPr>
          <w:rFonts w:cs="Times New Roman"/>
          <w:szCs w:val="24"/>
        </w:rPr>
        <w:t>a</w:t>
      </w:r>
      <w:r w:rsidRPr="00B81E7D">
        <w:rPr>
          <w:rFonts w:cs="Times New Roman"/>
          <w:szCs w:val="24"/>
        </w:rPr>
        <w:t xml:space="preserve"> prz</w:t>
      </w:r>
      <w:r w:rsidR="00072E41">
        <w:rPr>
          <w:rFonts w:cs="Times New Roman"/>
          <w:szCs w:val="24"/>
        </w:rPr>
        <w:t>ez przedsiębiorcę o zmianie lub </w:t>
      </w:r>
      <w:r w:rsidRPr="00B81E7D">
        <w:rPr>
          <w:rFonts w:cs="Times New Roman"/>
          <w:szCs w:val="24"/>
        </w:rPr>
        <w:t>likwidacji działalności gospodarczej opodatkowanej na za</w:t>
      </w:r>
      <w:r w:rsidR="00B4541D">
        <w:rPr>
          <w:rFonts w:cs="Times New Roman"/>
          <w:szCs w:val="24"/>
        </w:rPr>
        <w:t>sadach karty podatkowej. Takie </w:t>
      </w:r>
      <w:r w:rsidRPr="00B81E7D">
        <w:rPr>
          <w:rFonts w:cs="Times New Roman"/>
          <w:szCs w:val="24"/>
        </w:rPr>
        <w:t>rozwiązanie upraszcza przekazywanie informacji do urzędu skarbowego i eliminuje nadmierne</w:t>
      </w:r>
      <w:r w:rsidR="00B15377" w:rsidRPr="00B81E7D">
        <w:rPr>
          <w:rFonts w:cs="Times New Roman"/>
          <w:szCs w:val="24"/>
        </w:rPr>
        <w:t xml:space="preserve"> obciążenia</w:t>
      </w:r>
      <w:r w:rsidRPr="00B81E7D">
        <w:rPr>
          <w:rFonts w:cs="Times New Roman"/>
          <w:szCs w:val="24"/>
        </w:rPr>
        <w:t xml:space="preserve"> biurokratyczne, tym bardziej, że istnieje możliwość powiadamiania urzędu skarbowego w zakresie formy opodatkowania wnio</w:t>
      </w:r>
      <w:r w:rsidR="000A6211" w:rsidRPr="00B81E7D">
        <w:rPr>
          <w:rFonts w:cs="Times New Roman"/>
          <w:szCs w:val="24"/>
        </w:rPr>
        <w:t>skiem CEIDG-1. Jest to forma, z </w:t>
      </w:r>
      <w:r w:rsidRPr="00B81E7D">
        <w:rPr>
          <w:rFonts w:cs="Times New Roman"/>
          <w:szCs w:val="24"/>
        </w:rPr>
        <w:t xml:space="preserve">której często korzystają przedsiębiorcy. </w:t>
      </w:r>
    </w:p>
    <w:p w:rsidR="00360CD8" w:rsidRPr="00B81E7D" w:rsidRDefault="00360CD8" w:rsidP="009625CE">
      <w:pPr>
        <w:spacing w:after="120" w:line="360" w:lineRule="auto"/>
        <w:jc w:val="both"/>
        <w:rPr>
          <w:rFonts w:cs="Times New Roman"/>
          <w:b/>
          <w:szCs w:val="24"/>
        </w:rPr>
      </w:pPr>
    </w:p>
    <w:p w:rsidR="00383551" w:rsidRDefault="00484BF6" w:rsidP="007D1E02">
      <w:pPr>
        <w:numPr>
          <w:ilvl w:val="0"/>
          <w:numId w:val="2"/>
        </w:numPr>
        <w:spacing w:after="120" w:line="360" w:lineRule="auto"/>
        <w:jc w:val="both"/>
        <w:rPr>
          <w:rFonts w:cs="Times New Roman"/>
          <w:b/>
          <w:szCs w:val="24"/>
        </w:rPr>
      </w:pPr>
      <w:r w:rsidRPr="00484BF6">
        <w:rPr>
          <w:rFonts w:cs="Times New Roman"/>
          <w:b/>
          <w:szCs w:val="24"/>
        </w:rPr>
        <w:t xml:space="preserve">Zmiana  w ustawie z dnia 8 września 2000 r. o komercjalizacji i restrukturyzacji przedsiębiorstwa państwowego „Polskie Koleje Państwowe” (art. </w:t>
      </w:r>
      <w:r w:rsidR="004775F4">
        <w:rPr>
          <w:rFonts w:cs="Times New Roman"/>
          <w:b/>
          <w:szCs w:val="24"/>
        </w:rPr>
        <w:t>22</w:t>
      </w:r>
      <w:r w:rsidRPr="00484BF6">
        <w:rPr>
          <w:rFonts w:cs="Times New Roman"/>
          <w:b/>
          <w:szCs w:val="24"/>
        </w:rPr>
        <w:t xml:space="preserve"> projektu).</w:t>
      </w:r>
    </w:p>
    <w:p w:rsidR="00E26580" w:rsidRPr="00E26580" w:rsidRDefault="00E26580" w:rsidP="00E26580">
      <w:pPr>
        <w:spacing w:after="120" w:line="360" w:lineRule="auto"/>
        <w:jc w:val="both"/>
        <w:rPr>
          <w:rFonts w:cs="Times New Roman"/>
          <w:szCs w:val="24"/>
        </w:rPr>
      </w:pPr>
      <w:r w:rsidRPr="00E26580">
        <w:rPr>
          <w:rFonts w:cs="Times New Roman"/>
          <w:szCs w:val="24"/>
        </w:rPr>
        <w:t>Polskie Koleje Państwowe jako grupa podmiotów powstała w wyniku restrukturyzacji przedsiębiorstwa państwowego Polskie Koleje Państwowe w 2001 r. Charakter oraz zakres działalności powoduje, że PKP jest jednym z najwięks</w:t>
      </w:r>
      <w:r>
        <w:rPr>
          <w:rFonts w:cs="Times New Roman"/>
          <w:szCs w:val="24"/>
        </w:rPr>
        <w:t>zych polskich przedsiębiorstw o </w:t>
      </w:r>
      <w:r w:rsidRPr="00E26580">
        <w:rPr>
          <w:rFonts w:cs="Times New Roman"/>
          <w:szCs w:val="24"/>
        </w:rPr>
        <w:t xml:space="preserve">strategicznym znaczeniu. Kluczowym celem jest więc zapewnienie sprawności i płynności </w:t>
      </w:r>
      <w:r w:rsidRPr="00E26580">
        <w:rPr>
          <w:rFonts w:cs="Times New Roman"/>
          <w:szCs w:val="24"/>
        </w:rPr>
        <w:lastRenderedPageBreak/>
        <w:t>funkcjonowania spółki. W tym celu konieczna jest zmiana obecnie obowiązujących przepisów, które w aktualnym brzmieniu w znaczący sposób utrudniają efektywne zarządzenie Funduszem Własności Pracowniczej PKP (dalej</w:t>
      </w:r>
      <w:r>
        <w:rPr>
          <w:rFonts w:cs="Times New Roman"/>
          <w:szCs w:val="24"/>
        </w:rPr>
        <w:t>:</w:t>
      </w:r>
      <w:r w:rsidRPr="00E26580">
        <w:rPr>
          <w:rFonts w:cs="Times New Roman"/>
          <w:szCs w:val="24"/>
        </w:rPr>
        <w:t xml:space="preserve"> </w:t>
      </w:r>
      <w:r>
        <w:rPr>
          <w:rFonts w:cs="Times New Roman"/>
          <w:szCs w:val="24"/>
        </w:rPr>
        <w:t>FWP), który jest</w:t>
      </w:r>
      <w:r w:rsidRPr="00E26580">
        <w:rPr>
          <w:rFonts w:cs="Times New Roman"/>
          <w:szCs w:val="24"/>
        </w:rPr>
        <w:t xml:space="preserve"> </w:t>
      </w:r>
      <w:r w:rsidRPr="00F939A9">
        <w:rPr>
          <w:rFonts w:cs="Times New Roman"/>
          <w:szCs w:val="24"/>
        </w:rPr>
        <w:t xml:space="preserve">specjalistycznym funduszem inwestycyjnym otwartym </w:t>
      </w:r>
      <w:r>
        <w:rPr>
          <w:rFonts w:cs="Times New Roman"/>
          <w:szCs w:val="24"/>
        </w:rPr>
        <w:t>(dalej: SFIO) w rozumieniu ustawy o </w:t>
      </w:r>
      <w:r w:rsidRPr="00F939A9">
        <w:rPr>
          <w:rFonts w:cs="Times New Roman"/>
          <w:szCs w:val="24"/>
        </w:rPr>
        <w:t xml:space="preserve">funduszach inwestycyjnych. </w:t>
      </w:r>
    </w:p>
    <w:p w:rsidR="00E26580" w:rsidRDefault="00E26580" w:rsidP="004B2C25">
      <w:pPr>
        <w:spacing w:after="120" w:line="360" w:lineRule="auto"/>
        <w:jc w:val="both"/>
        <w:rPr>
          <w:rFonts w:cs="Times New Roman"/>
          <w:szCs w:val="24"/>
        </w:rPr>
      </w:pPr>
      <w:r w:rsidRPr="00E26580">
        <w:rPr>
          <w:rFonts w:cs="Times New Roman"/>
          <w:szCs w:val="24"/>
        </w:rPr>
        <w:t>Niniejsza zmiana ma na celu zwolnienie Funduszu Własności Pracowniczej PKP, działającego jako specjalistyczny fundusz inwestycyjny otwarty, z obowiązku zwoływania zgromadzenia uczestników celem wyrażenia zgody na przejęcie zarządzania Funduszem PKP przez inne towarzystwo.</w:t>
      </w:r>
    </w:p>
    <w:p w:rsidR="004B2C25" w:rsidRPr="00F939A9" w:rsidRDefault="00E26580" w:rsidP="004B2C25">
      <w:pPr>
        <w:spacing w:after="120" w:line="360" w:lineRule="auto"/>
        <w:jc w:val="both"/>
        <w:rPr>
          <w:rFonts w:cs="Times New Roman"/>
          <w:szCs w:val="24"/>
        </w:rPr>
      </w:pPr>
      <w:r>
        <w:rPr>
          <w:rFonts w:cs="Times New Roman"/>
          <w:szCs w:val="24"/>
        </w:rPr>
        <w:t>Zgodnie</w:t>
      </w:r>
      <w:r w:rsidR="004B2C25" w:rsidRPr="00F939A9">
        <w:rPr>
          <w:rFonts w:cs="Times New Roman"/>
          <w:szCs w:val="24"/>
        </w:rPr>
        <w:t xml:space="preserve"> z ww. ustawą zmiana towarzystwa zarządzającego SFIO (przejęcie zarządzania) wymaga uchwały zgromadzenia uczestników SFIO:</w:t>
      </w:r>
    </w:p>
    <w:p w:rsidR="004B2C25" w:rsidRPr="00F939A9" w:rsidRDefault="004B2C25" w:rsidP="004B2C25">
      <w:pPr>
        <w:pStyle w:val="Akapitzlist"/>
        <w:numPr>
          <w:ilvl w:val="0"/>
          <w:numId w:val="25"/>
        </w:numPr>
        <w:spacing w:after="120" w:line="360" w:lineRule="auto"/>
        <w:jc w:val="both"/>
        <w:rPr>
          <w:rFonts w:ascii="Times New Roman" w:hAnsi="Times New Roman"/>
          <w:sz w:val="24"/>
          <w:szCs w:val="24"/>
        </w:rPr>
      </w:pPr>
      <w:r w:rsidRPr="00F939A9">
        <w:rPr>
          <w:rFonts w:ascii="Times New Roman" w:hAnsi="Times New Roman"/>
          <w:sz w:val="24"/>
          <w:szCs w:val="24"/>
        </w:rPr>
        <w:t>podjętej większością 2/3 głosów uczestnik</w:t>
      </w:r>
      <w:r w:rsidR="00AD0385">
        <w:rPr>
          <w:rFonts w:ascii="Times New Roman" w:hAnsi="Times New Roman"/>
          <w:sz w:val="24"/>
          <w:szCs w:val="24"/>
        </w:rPr>
        <w:t>ów obecnych/reprezentowanych na </w:t>
      </w:r>
      <w:r w:rsidRPr="00F939A9">
        <w:rPr>
          <w:rFonts w:ascii="Times New Roman" w:hAnsi="Times New Roman"/>
          <w:sz w:val="24"/>
          <w:szCs w:val="24"/>
        </w:rPr>
        <w:t>zgromadzeniu uczestników,</w:t>
      </w:r>
    </w:p>
    <w:p w:rsidR="004B2C25" w:rsidRPr="00F939A9" w:rsidRDefault="004B2C25" w:rsidP="004B2C25">
      <w:pPr>
        <w:pStyle w:val="Akapitzlist"/>
        <w:numPr>
          <w:ilvl w:val="0"/>
          <w:numId w:val="25"/>
        </w:numPr>
        <w:spacing w:after="120" w:line="360" w:lineRule="auto"/>
        <w:jc w:val="both"/>
        <w:rPr>
          <w:rFonts w:ascii="Times New Roman" w:hAnsi="Times New Roman"/>
          <w:sz w:val="24"/>
          <w:szCs w:val="24"/>
        </w:rPr>
      </w:pPr>
      <w:r w:rsidRPr="00F939A9">
        <w:rPr>
          <w:rFonts w:ascii="Times New Roman" w:hAnsi="Times New Roman"/>
          <w:sz w:val="24"/>
          <w:szCs w:val="24"/>
        </w:rPr>
        <w:t>reprezentujących co najmniej 50 % jednostek uczestnictwa.</w:t>
      </w:r>
    </w:p>
    <w:p w:rsidR="004B2C25" w:rsidRPr="00F939A9" w:rsidRDefault="004B2C25" w:rsidP="004B2C25">
      <w:pPr>
        <w:spacing w:after="120" w:line="360" w:lineRule="auto"/>
        <w:jc w:val="both"/>
        <w:rPr>
          <w:rFonts w:cs="Times New Roman"/>
          <w:szCs w:val="24"/>
        </w:rPr>
      </w:pPr>
      <w:r w:rsidRPr="00F939A9">
        <w:rPr>
          <w:rFonts w:cs="Times New Roman"/>
          <w:szCs w:val="24"/>
        </w:rPr>
        <w:t>FWP aktualnie (</w:t>
      </w:r>
      <w:r w:rsidR="004B59E5">
        <w:rPr>
          <w:rFonts w:cs="Times New Roman"/>
          <w:szCs w:val="24"/>
        </w:rPr>
        <w:t xml:space="preserve">stan na </w:t>
      </w:r>
      <w:r w:rsidRPr="00F939A9">
        <w:rPr>
          <w:rFonts w:cs="Times New Roman"/>
          <w:szCs w:val="24"/>
        </w:rPr>
        <w:t>marzec 2019 rok) liczy:</w:t>
      </w:r>
    </w:p>
    <w:p w:rsidR="004B2C25" w:rsidRPr="00F939A9" w:rsidRDefault="004B2C25" w:rsidP="004B2C25">
      <w:pPr>
        <w:pStyle w:val="Akapitzlist"/>
        <w:numPr>
          <w:ilvl w:val="0"/>
          <w:numId w:val="26"/>
        </w:numPr>
        <w:spacing w:after="120" w:line="360" w:lineRule="auto"/>
        <w:jc w:val="both"/>
        <w:rPr>
          <w:rFonts w:ascii="Times New Roman" w:hAnsi="Times New Roman"/>
          <w:sz w:val="24"/>
          <w:szCs w:val="24"/>
        </w:rPr>
      </w:pPr>
      <w:r w:rsidRPr="00F939A9">
        <w:rPr>
          <w:rFonts w:ascii="Times New Roman" w:hAnsi="Times New Roman"/>
          <w:sz w:val="24"/>
          <w:szCs w:val="24"/>
        </w:rPr>
        <w:t>183.838 uczestników,</w:t>
      </w:r>
    </w:p>
    <w:p w:rsidR="004B2C25" w:rsidRPr="00F939A9" w:rsidRDefault="004B2C25" w:rsidP="004B2C25">
      <w:pPr>
        <w:pStyle w:val="Akapitzlist"/>
        <w:numPr>
          <w:ilvl w:val="0"/>
          <w:numId w:val="26"/>
        </w:numPr>
        <w:spacing w:after="120" w:line="360" w:lineRule="auto"/>
        <w:jc w:val="both"/>
        <w:rPr>
          <w:rFonts w:ascii="Times New Roman" w:hAnsi="Times New Roman"/>
          <w:sz w:val="24"/>
          <w:szCs w:val="24"/>
        </w:rPr>
      </w:pPr>
      <w:r w:rsidRPr="00F939A9">
        <w:rPr>
          <w:rFonts w:ascii="Times New Roman" w:hAnsi="Times New Roman"/>
          <w:sz w:val="24"/>
          <w:szCs w:val="24"/>
        </w:rPr>
        <w:t xml:space="preserve">posiadających 1.908.381.648 jednostek uczestnictwa. </w:t>
      </w:r>
    </w:p>
    <w:p w:rsidR="004B2C25" w:rsidRPr="00F939A9" w:rsidRDefault="004B2C25" w:rsidP="004B2C25">
      <w:pPr>
        <w:spacing w:after="120" w:line="360" w:lineRule="auto"/>
        <w:jc w:val="both"/>
        <w:rPr>
          <w:rFonts w:cs="Times New Roman"/>
          <w:szCs w:val="24"/>
        </w:rPr>
      </w:pPr>
      <w:r w:rsidRPr="00F939A9">
        <w:rPr>
          <w:rFonts w:cs="Times New Roman"/>
          <w:szCs w:val="24"/>
        </w:rPr>
        <w:t>Z powyższego wynika, że dla ważności uchwały w sprawie wyboru/zmiany towarzystwa zarządzającego FWP (w obecnym stanie prawnym) należy podczas zgromadzenia uczestników:</w:t>
      </w:r>
    </w:p>
    <w:p w:rsidR="004B2C25" w:rsidRPr="00F939A9" w:rsidRDefault="004B2C25" w:rsidP="004B2C25">
      <w:pPr>
        <w:pStyle w:val="Akapitzlist"/>
        <w:numPr>
          <w:ilvl w:val="0"/>
          <w:numId w:val="27"/>
        </w:numPr>
        <w:spacing w:after="120" w:line="360" w:lineRule="auto"/>
        <w:jc w:val="both"/>
        <w:rPr>
          <w:rFonts w:ascii="Times New Roman" w:hAnsi="Times New Roman"/>
          <w:sz w:val="24"/>
          <w:szCs w:val="24"/>
        </w:rPr>
      </w:pPr>
      <w:r w:rsidRPr="00F939A9">
        <w:rPr>
          <w:rFonts w:ascii="Times New Roman" w:hAnsi="Times New Roman"/>
          <w:sz w:val="24"/>
          <w:szCs w:val="24"/>
        </w:rPr>
        <w:t xml:space="preserve">w jednym miejscu i czasie zgromadzić ok. 100.000 </w:t>
      </w:r>
      <w:r w:rsidR="00AD0385">
        <w:rPr>
          <w:rFonts w:ascii="Times New Roman" w:hAnsi="Times New Roman"/>
          <w:sz w:val="24"/>
          <w:szCs w:val="24"/>
        </w:rPr>
        <w:t>uczestników reprezentujących co </w:t>
      </w:r>
      <w:r w:rsidRPr="00F939A9">
        <w:rPr>
          <w:rFonts w:ascii="Times New Roman" w:hAnsi="Times New Roman"/>
          <w:sz w:val="24"/>
          <w:szCs w:val="24"/>
        </w:rPr>
        <w:t>najmniej 50% jednostek uczestnictwa, tj. nie mniej 954.190.824 jednostki uczestnictwa,</w:t>
      </w:r>
    </w:p>
    <w:p w:rsidR="004B2C25" w:rsidRPr="00F939A9" w:rsidRDefault="004B2C25" w:rsidP="004B2C25">
      <w:pPr>
        <w:pStyle w:val="Akapitzlist"/>
        <w:numPr>
          <w:ilvl w:val="0"/>
          <w:numId w:val="27"/>
        </w:numPr>
        <w:spacing w:after="120" w:line="360" w:lineRule="auto"/>
        <w:jc w:val="both"/>
        <w:rPr>
          <w:rFonts w:ascii="Times New Roman" w:hAnsi="Times New Roman"/>
          <w:sz w:val="24"/>
          <w:szCs w:val="24"/>
        </w:rPr>
      </w:pPr>
      <w:r w:rsidRPr="00F939A9">
        <w:rPr>
          <w:rFonts w:ascii="Times New Roman" w:hAnsi="Times New Roman"/>
          <w:sz w:val="24"/>
          <w:szCs w:val="24"/>
        </w:rPr>
        <w:t xml:space="preserve">uzyskać kwalifikowaną większość 2/3, tj. 636.127.216 jednostek uczestnictwa głosujących „za” przyjęciem uchwały. </w:t>
      </w:r>
    </w:p>
    <w:p w:rsidR="004B2C25" w:rsidRPr="00F939A9" w:rsidRDefault="004B2C25" w:rsidP="004B2C25">
      <w:pPr>
        <w:spacing w:after="120" w:line="360" w:lineRule="auto"/>
        <w:jc w:val="both"/>
        <w:rPr>
          <w:rFonts w:cs="Times New Roman"/>
          <w:szCs w:val="24"/>
        </w:rPr>
      </w:pPr>
      <w:r w:rsidRPr="00F939A9">
        <w:rPr>
          <w:rFonts w:cs="Times New Roman"/>
          <w:szCs w:val="24"/>
        </w:rPr>
        <w:t>Zadośćuczynienie powyższym wymaganiom w obowiązującym stanie prawnym nie jest możliwe:</w:t>
      </w:r>
    </w:p>
    <w:p w:rsidR="004B2C25" w:rsidRPr="00F939A9" w:rsidRDefault="004B2C25" w:rsidP="004B2C25">
      <w:pPr>
        <w:pStyle w:val="Akapitzlist"/>
        <w:numPr>
          <w:ilvl w:val="0"/>
          <w:numId w:val="28"/>
        </w:numPr>
        <w:spacing w:after="120" w:line="360" w:lineRule="auto"/>
        <w:jc w:val="both"/>
        <w:rPr>
          <w:rFonts w:ascii="Times New Roman" w:hAnsi="Times New Roman"/>
          <w:sz w:val="24"/>
          <w:szCs w:val="24"/>
        </w:rPr>
      </w:pPr>
      <w:r w:rsidRPr="00F939A9">
        <w:rPr>
          <w:rFonts w:ascii="Times New Roman" w:hAnsi="Times New Roman"/>
          <w:sz w:val="24"/>
          <w:szCs w:val="24"/>
        </w:rPr>
        <w:t>z technicznego punktu widzenia (brak lokalizacji spełniającej wymóg bezpiecznego odbycia zgromadzenia w liczbie ok. 100.000 osób),</w:t>
      </w:r>
    </w:p>
    <w:p w:rsidR="004B2C25" w:rsidRPr="00F939A9" w:rsidRDefault="004B2C25" w:rsidP="004B2C25">
      <w:pPr>
        <w:pStyle w:val="Akapitzlist"/>
        <w:numPr>
          <w:ilvl w:val="0"/>
          <w:numId w:val="28"/>
        </w:numPr>
        <w:spacing w:after="120" w:line="360" w:lineRule="auto"/>
        <w:jc w:val="both"/>
        <w:rPr>
          <w:rFonts w:ascii="Times New Roman" w:hAnsi="Times New Roman"/>
          <w:sz w:val="24"/>
          <w:szCs w:val="24"/>
        </w:rPr>
      </w:pPr>
      <w:r w:rsidRPr="00F939A9">
        <w:rPr>
          <w:rFonts w:ascii="Times New Roman" w:hAnsi="Times New Roman"/>
          <w:sz w:val="24"/>
          <w:szCs w:val="24"/>
        </w:rPr>
        <w:t xml:space="preserve">społecznego punktu widzenia – z uwagi na średni wiek uczestników FWP (powyżej 68 lat) zachodzi niemal pewność, że nigdy nie </w:t>
      </w:r>
      <w:r w:rsidR="00F939A9">
        <w:rPr>
          <w:rFonts w:ascii="Times New Roman" w:hAnsi="Times New Roman"/>
          <w:sz w:val="24"/>
          <w:szCs w:val="24"/>
        </w:rPr>
        <w:t xml:space="preserve">uda się zgromadzić wymaganego </w:t>
      </w:r>
      <w:r w:rsidR="00F939A9">
        <w:rPr>
          <w:rFonts w:ascii="Times New Roman" w:hAnsi="Times New Roman"/>
          <w:sz w:val="24"/>
          <w:szCs w:val="24"/>
        </w:rPr>
        <w:lastRenderedPageBreak/>
        <w:t>w </w:t>
      </w:r>
      <w:r w:rsidRPr="00F939A9">
        <w:rPr>
          <w:rFonts w:ascii="Times New Roman" w:hAnsi="Times New Roman"/>
          <w:sz w:val="24"/>
          <w:szCs w:val="24"/>
        </w:rPr>
        <w:t>aktualnych przepisach kworum (nie uda się dostatecznie zmobilizować uczestników FWP zamieszkałych na terenie całej Polski).</w:t>
      </w:r>
    </w:p>
    <w:p w:rsidR="004B2C25" w:rsidRPr="00F939A9" w:rsidRDefault="004B2C25" w:rsidP="004B2C25">
      <w:pPr>
        <w:spacing w:after="120" w:line="360" w:lineRule="auto"/>
        <w:jc w:val="both"/>
        <w:rPr>
          <w:rFonts w:cs="Times New Roman"/>
          <w:szCs w:val="24"/>
        </w:rPr>
      </w:pPr>
      <w:r w:rsidRPr="00F939A9">
        <w:rPr>
          <w:rFonts w:cs="Times New Roman"/>
          <w:szCs w:val="24"/>
        </w:rPr>
        <w:t xml:space="preserve">Skutkiem obowiązujących przepisów jest trwała niemożność dokonania wyboru towarzystwa zarządzającego FWP. </w:t>
      </w:r>
    </w:p>
    <w:p w:rsidR="008030CB" w:rsidRPr="008030CB" w:rsidRDefault="004B2C25" w:rsidP="008030CB">
      <w:pPr>
        <w:spacing w:after="120" w:line="360" w:lineRule="auto"/>
        <w:jc w:val="both"/>
        <w:rPr>
          <w:rFonts w:cs="Times New Roman"/>
          <w:szCs w:val="24"/>
        </w:rPr>
      </w:pPr>
      <w:r w:rsidRPr="00F939A9">
        <w:rPr>
          <w:rFonts w:cs="Times New Roman"/>
          <w:szCs w:val="24"/>
        </w:rPr>
        <w:t>Poza powyższymi uwagami pozostają nader istotne zagadnienia związane z kosztami zwoływania zgromadze</w:t>
      </w:r>
      <w:r w:rsidR="008030CB">
        <w:rPr>
          <w:rFonts w:cs="Times New Roman"/>
          <w:szCs w:val="24"/>
        </w:rPr>
        <w:t>nia uczestników, w tym kosztami:</w:t>
      </w:r>
    </w:p>
    <w:p w:rsidR="008030CB" w:rsidRPr="008030CB" w:rsidRDefault="008030CB" w:rsidP="008030CB">
      <w:pPr>
        <w:pStyle w:val="Akapitzlist"/>
        <w:numPr>
          <w:ilvl w:val="0"/>
          <w:numId w:val="29"/>
        </w:numPr>
        <w:spacing w:after="120" w:line="360" w:lineRule="auto"/>
        <w:jc w:val="both"/>
        <w:rPr>
          <w:rFonts w:ascii="Times New Roman" w:hAnsi="Times New Roman"/>
          <w:sz w:val="24"/>
          <w:szCs w:val="24"/>
        </w:rPr>
      </w:pPr>
      <w:r w:rsidRPr="008030CB">
        <w:rPr>
          <w:rFonts w:ascii="Times New Roman" w:hAnsi="Times New Roman"/>
          <w:sz w:val="24"/>
          <w:szCs w:val="24"/>
        </w:rPr>
        <w:t>zawiadomień listownych,</w:t>
      </w:r>
    </w:p>
    <w:p w:rsidR="00F939A9" w:rsidRPr="008030CB" w:rsidRDefault="004B2C25" w:rsidP="004B2C25">
      <w:pPr>
        <w:pStyle w:val="Akapitzlist"/>
        <w:numPr>
          <w:ilvl w:val="0"/>
          <w:numId w:val="29"/>
        </w:numPr>
        <w:spacing w:after="120" w:line="360" w:lineRule="auto"/>
        <w:jc w:val="both"/>
        <w:rPr>
          <w:rFonts w:ascii="Times New Roman" w:hAnsi="Times New Roman"/>
          <w:sz w:val="24"/>
          <w:szCs w:val="24"/>
        </w:rPr>
      </w:pPr>
      <w:r w:rsidRPr="008030CB">
        <w:rPr>
          <w:rFonts w:ascii="Times New Roman" w:hAnsi="Times New Roman"/>
          <w:sz w:val="24"/>
          <w:szCs w:val="24"/>
        </w:rPr>
        <w:t>poszukiwania i najmu stosownych przestrzeni wraz z koniecznym zapleczem socjalnym,</w:t>
      </w:r>
    </w:p>
    <w:p w:rsidR="004B2C25" w:rsidRPr="008030CB" w:rsidRDefault="004B2C25" w:rsidP="004B2C25">
      <w:pPr>
        <w:pStyle w:val="Akapitzlist"/>
        <w:numPr>
          <w:ilvl w:val="0"/>
          <w:numId w:val="29"/>
        </w:numPr>
        <w:spacing w:after="120" w:line="360" w:lineRule="auto"/>
        <w:jc w:val="both"/>
        <w:rPr>
          <w:rFonts w:ascii="Times New Roman" w:hAnsi="Times New Roman"/>
          <w:sz w:val="24"/>
          <w:szCs w:val="24"/>
        </w:rPr>
      </w:pPr>
      <w:r w:rsidRPr="008030CB">
        <w:rPr>
          <w:rFonts w:ascii="Times New Roman" w:hAnsi="Times New Roman"/>
          <w:sz w:val="24"/>
          <w:szCs w:val="24"/>
        </w:rPr>
        <w:t>za</w:t>
      </w:r>
      <w:r w:rsidR="00F939A9" w:rsidRPr="008030CB">
        <w:rPr>
          <w:rFonts w:ascii="Times New Roman" w:hAnsi="Times New Roman"/>
          <w:sz w:val="24"/>
          <w:szCs w:val="24"/>
        </w:rPr>
        <w:t>bezpieczenia zgromadzenia, itp.</w:t>
      </w:r>
    </w:p>
    <w:p w:rsidR="00484BF6" w:rsidRDefault="00484BF6" w:rsidP="007D1E02">
      <w:pPr>
        <w:spacing w:after="120" w:line="360" w:lineRule="auto"/>
        <w:ind w:left="720"/>
        <w:jc w:val="both"/>
        <w:rPr>
          <w:rFonts w:cs="Times New Roman"/>
          <w:b/>
          <w:szCs w:val="24"/>
        </w:rPr>
      </w:pPr>
    </w:p>
    <w:p w:rsidR="00CF114F" w:rsidRPr="00B81E7D" w:rsidRDefault="00CF114F" w:rsidP="00B421C2">
      <w:pPr>
        <w:numPr>
          <w:ilvl w:val="0"/>
          <w:numId w:val="2"/>
        </w:numPr>
        <w:spacing w:after="120" w:line="360" w:lineRule="auto"/>
        <w:jc w:val="both"/>
        <w:rPr>
          <w:rFonts w:cs="Times New Roman"/>
          <w:b/>
          <w:szCs w:val="24"/>
        </w:rPr>
      </w:pPr>
      <w:r w:rsidRPr="00B81E7D">
        <w:rPr>
          <w:rFonts w:cs="Times New Roman"/>
          <w:b/>
          <w:szCs w:val="24"/>
        </w:rPr>
        <w:t xml:space="preserve">Zmiany w ustawie z dnia 29 listopada 2000 r. - Prawo atomowe </w:t>
      </w:r>
      <w:r w:rsidR="00D61D54" w:rsidRPr="00B81E7D">
        <w:rPr>
          <w:rFonts w:cs="Times New Roman"/>
          <w:b/>
          <w:szCs w:val="24"/>
        </w:rPr>
        <w:t xml:space="preserve">(art. </w:t>
      </w:r>
      <w:r w:rsidR="004775F4" w:rsidRPr="00B81E7D">
        <w:rPr>
          <w:rFonts w:cs="Times New Roman"/>
          <w:b/>
          <w:szCs w:val="24"/>
        </w:rPr>
        <w:t>2</w:t>
      </w:r>
      <w:r w:rsidR="004775F4">
        <w:rPr>
          <w:rFonts w:cs="Times New Roman"/>
          <w:b/>
          <w:szCs w:val="24"/>
        </w:rPr>
        <w:t>3</w:t>
      </w:r>
      <w:r w:rsidR="004775F4" w:rsidRPr="00B81E7D">
        <w:rPr>
          <w:rFonts w:cs="Times New Roman"/>
          <w:b/>
          <w:szCs w:val="24"/>
        </w:rPr>
        <w:t xml:space="preserve"> </w:t>
      </w:r>
      <w:r w:rsidR="00D61D54" w:rsidRPr="00B81E7D">
        <w:rPr>
          <w:rFonts w:cs="Times New Roman"/>
          <w:b/>
          <w:szCs w:val="24"/>
        </w:rPr>
        <w:t>projektu)</w:t>
      </w:r>
      <w:r w:rsidRPr="00B81E7D">
        <w:rPr>
          <w:rFonts w:cs="Times New Roman"/>
          <w:b/>
          <w:szCs w:val="24"/>
        </w:rPr>
        <w:t>.</w:t>
      </w:r>
    </w:p>
    <w:p w:rsidR="00B76E1B" w:rsidRPr="00B81E7D" w:rsidRDefault="00B76E1B" w:rsidP="00B421C2">
      <w:pPr>
        <w:spacing w:before="120" w:line="360" w:lineRule="auto"/>
        <w:jc w:val="both"/>
        <w:rPr>
          <w:rFonts w:cs="Times New Roman"/>
          <w:szCs w:val="24"/>
        </w:rPr>
      </w:pPr>
      <w:r w:rsidRPr="00B81E7D">
        <w:rPr>
          <w:rFonts w:cs="Times New Roman"/>
          <w:szCs w:val="24"/>
        </w:rPr>
        <w:t>Zgodnie z art. 20 ust. 4 ustawy z dnia 6 marca 2018 r.- Prawo przedsiębiorców (Dz. U. z 2018 r. poz. 646), przy załatwianiu spraw organ może żądać od przedsiębiorcy, dla celów identyfikacji, podania wyłącznie firmy przedsiębiorcy oraz numeru identyfikacji podatkowej (NIP). Według zaproponowanej zmiany, przedsiębiorca składający wniosek o wydanie zezwolenia na wykonywanie działalności związanej z narażeniem albo wniosek o wydanie wyprzedzającej opinii dotyczącej planowanej lokalizacji obiektu jądrowego, będzie zobligowany do podawania we wniosku o wydanie ww. zezwolenia jedynie numeru NIP (o ile taki numer posiada), który pozwoli w pełni zidentyfikować przedsiębiorcę zgodnie z obowiązującymi przepisami.</w:t>
      </w:r>
    </w:p>
    <w:p w:rsidR="00AB10B4" w:rsidRPr="00B81E7D" w:rsidRDefault="00AB10B4" w:rsidP="00B421C2">
      <w:pPr>
        <w:spacing w:before="120" w:line="360" w:lineRule="auto"/>
        <w:jc w:val="both"/>
        <w:rPr>
          <w:rFonts w:cs="Times New Roman"/>
          <w:bCs/>
          <w:szCs w:val="24"/>
        </w:rPr>
      </w:pPr>
    </w:p>
    <w:p w:rsidR="004241CD" w:rsidRPr="00B81E7D" w:rsidRDefault="00CF114F" w:rsidP="00B421C2">
      <w:pPr>
        <w:numPr>
          <w:ilvl w:val="0"/>
          <w:numId w:val="2"/>
        </w:numPr>
        <w:spacing w:after="120" w:line="360" w:lineRule="auto"/>
        <w:jc w:val="both"/>
        <w:rPr>
          <w:rFonts w:cs="Times New Roman"/>
          <w:b/>
          <w:szCs w:val="24"/>
        </w:rPr>
      </w:pPr>
      <w:r w:rsidRPr="00B81E7D">
        <w:rPr>
          <w:rFonts w:cs="Times New Roman"/>
          <w:b/>
          <w:szCs w:val="24"/>
        </w:rPr>
        <w:t>Zmian</w:t>
      </w:r>
      <w:r w:rsidR="009C53AB" w:rsidRPr="00B81E7D">
        <w:rPr>
          <w:rFonts w:cs="Times New Roman"/>
          <w:b/>
          <w:szCs w:val="24"/>
        </w:rPr>
        <w:t>a</w:t>
      </w:r>
      <w:r w:rsidRPr="00B81E7D">
        <w:rPr>
          <w:rFonts w:cs="Times New Roman"/>
          <w:b/>
          <w:szCs w:val="24"/>
        </w:rPr>
        <w:t xml:space="preserve"> w ustawie z dnia 27 kwietnia 2001 r. - Prawo ochrony środowiska </w:t>
      </w:r>
      <w:r w:rsidR="00D61D54" w:rsidRPr="00B81E7D">
        <w:rPr>
          <w:rFonts w:cs="Times New Roman"/>
          <w:b/>
          <w:szCs w:val="24"/>
        </w:rPr>
        <w:t xml:space="preserve">(art. </w:t>
      </w:r>
      <w:r w:rsidR="004775F4" w:rsidRPr="00B81E7D">
        <w:rPr>
          <w:rFonts w:cs="Times New Roman"/>
          <w:b/>
          <w:szCs w:val="24"/>
        </w:rPr>
        <w:t>2</w:t>
      </w:r>
      <w:r w:rsidR="004775F4">
        <w:rPr>
          <w:rFonts w:cs="Times New Roman"/>
          <w:b/>
          <w:szCs w:val="24"/>
        </w:rPr>
        <w:t>5</w:t>
      </w:r>
      <w:r w:rsidR="004775F4" w:rsidRPr="00B81E7D">
        <w:rPr>
          <w:rFonts w:cs="Times New Roman"/>
          <w:b/>
          <w:szCs w:val="24"/>
        </w:rPr>
        <w:t xml:space="preserve"> </w:t>
      </w:r>
      <w:r w:rsidR="00D61D54" w:rsidRPr="00B81E7D">
        <w:rPr>
          <w:rFonts w:cs="Times New Roman"/>
          <w:b/>
          <w:szCs w:val="24"/>
        </w:rPr>
        <w:t>projektu)</w:t>
      </w:r>
      <w:r w:rsidRPr="00B81E7D">
        <w:rPr>
          <w:rFonts w:cs="Times New Roman"/>
          <w:b/>
          <w:szCs w:val="24"/>
        </w:rPr>
        <w:t>.</w:t>
      </w:r>
    </w:p>
    <w:p w:rsidR="00881665" w:rsidRPr="00B81E7D" w:rsidRDefault="00611BA2" w:rsidP="00B421C2">
      <w:pPr>
        <w:spacing w:before="120" w:line="360" w:lineRule="auto"/>
        <w:jc w:val="both"/>
        <w:rPr>
          <w:rFonts w:cs="Times New Roman"/>
          <w:szCs w:val="24"/>
        </w:rPr>
      </w:pPr>
      <w:r w:rsidRPr="00B81E7D">
        <w:rPr>
          <w:rFonts w:cs="Times New Roman"/>
          <w:szCs w:val="24"/>
        </w:rPr>
        <w:t>Wnioski</w:t>
      </w:r>
      <w:r w:rsidR="009C53AB" w:rsidRPr="00B81E7D">
        <w:rPr>
          <w:rFonts w:cs="Times New Roman"/>
          <w:szCs w:val="24"/>
        </w:rPr>
        <w:t xml:space="preserve"> o wydanie</w:t>
      </w:r>
      <w:r w:rsidRPr="00B81E7D">
        <w:rPr>
          <w:rFonts w:cs="Times New Roman"/>
          <w:szCs w:val="24"/>
        </w:rPr>
        <w:t xml:space="preserve"> lub zmianę</w:t>
      </w:r>
      <w:r w:rsidR="009C53AB" w:rsidRPr="00B81E7D">
        <w:rPr>
          <w:rFonts w:cs="Times New Roman"/>
          <w:szCs w:val="24"/>
        </w:rPr>
        <w:t xml:space="preserve"> pozwolenia zintegrowanego składa się w postaci papierowej w 2 egzemplarzach. Dodatkowo do wniosku dołącza się zapis wniosku w postaci elektronicznej na informatycznych nośnikach danych. Propon</w:t>
      </w:r>
      <w:r w:rsidRPr="00B81E7D">
        <w:rPr>
          <w:rFonts w:cs="Times New Roman"/>
          <w:szCs w:val="24"/>
        </w:rPr>
        <w:t xml:space="preserve">uje się uproszczenie procedury pozwalające na </w:t>
      </w:r>
      <w:r w:rsidR="009C53AB" w:rsidRPr="00B81E7D">
        <w:rPr>
          <w:rFonts w:cs="Times New Roman"/>
          <w:szCs w:val="24"/>
        </w:rPr>
        <w:t xml:space="preserve">składanie </w:t>
      </w:r>
      <w:r w:rsidR="0042474C">
        <w:rPr>
          <w:rFonts w:cs="Times New Roman"/>
          <w:szCs w:val="24"/>
        </w:rPr>
        <w:t xml:space="preserve">jednego </w:t>
      </w:r>
      <w:r w:rsidR="009C53AB" w:rsidRPr="00B81E7D">
        <w:rPr>
          <w:rFonts w:cs="Times New Roman"/>
          <w:szCs w:val="24"/>
        </w:rPr>
        <w:t xml:space="preserve">egzemplarza papierowej wersji </w:t>
      </w:r>
      <w:r w:rsidRPr="00B81E7D">
        <w:rPr>
          <w:rFonts w:cs="Times New Roman"/>
          <w:szCs w:val="24"/>
        </w:rPr>
        <w:t>danego wniosku (w związku z </w:t>
      </w:r>
      <w:r w:rsidR="009C53AB" w:rsidRPr="00B81E7D">
        <w:rPr>
          <w:rFonts w:cs="Times New Roman"/>
          <w:szCs w:val="24"/>
        </w:rPr>
        <w:t>procedurą administracyjną, w ramach której pe</w:t>
      </w:r>
      <w:r w:rsidR="00B4541D">
        <w:rPr>
          <w:rFonts w:cs="Times New Roman"/>
          <w:szCs w:val="24"/>
        </w:rPr>
        <w:t>łną dokumentację udostępnia się </w:t>
      </w:r>
      <w:r w:rsidR="009C53AB" w:rsidRPr="00B81E7D">
        <w:rPr>
          <w:rFonts w:cs="Times New Roman"/>
          <w:szCs w:val="24"/>
        </w:rPr>
        <w:t>zainteresowanym stronom, w tym mapy, plany, wypisy w</w:t>
      </w:r>
      <w:r w:rsidRPr="00B81E7D">
        <w:rPr>
          <w:rFonts w:cs="Times New Roman"/>
          <w:szCs w:val="24"/>
        </w:rPr>
        <w:t xml:space="preserve">yrysów, itp.) </w:t>
      </w:r>
    </w:p>
    <w:p w:rsidR="00BE133C" w:rsidRPr="00B81E7D" w:rsidRDefault="00BE133C" w:rsidP="00B421C2">
      <w:pPr>
        <w:spacing w:after="120" w:line="360" w:lineRule="auto"/>
        <w:jc w:val="both"/>
        <w:rPr>
          <w:rFonts w:cs="Times New Roman"/>
          <w:b/>
          <w:szCs w:val="24"/>
        </w:rPr>
      </w:pPr>
    </w:p>
    <w:p w:rsidR="00614FDC" w:rsidRPr="00B81E7D" w:rsidRDefault="00CF114F" w:rsidP="00B421C2">
      <w:pPr>
        <w:numPr>
          <w:ilvl w:val="0"/>
          <w:numId w:val="2"/>
        </w:numPr>
        <w:spacing w:after="120" w:line="360" w:lineRule="auto"/>
        <w:jc w:val="both"/>
        <w:rPr>
          <w:rFonts w:cs="Times New Roman"/>
          <w:b/>
          <w:szCs w:val="24"/>
        </w:rPr>
      </w:pPr>
      <w:r w:rsidRPr="00B81E7D">
        <w:rPr>
          <w:rFonts w:cs="Times New Roman"/>
          <w:b/>
          <w:szCs w:val="24"/>
        </w:rPr>
        <w:t xml:space="preserve">Zmiany w ustawie z dnia 3 lipca 2002 r. – Prawo lotnicze </w:t>
      </w:r>
      <w:r w:rsidR="00171C84" w:rsidRPr="00B81E7D">
        <w:rPr>
          <w:rFonts w:cs="Times New Roman"/>
          <w:b/>
          <w:szCs w:val="24"/>
        </w:rPr>
        <w:t xml:space="preserve">(art. </w:t>
      </w:r>
      <w:r w:rsidR="004775F4">
        <w:rPr>
          <w:rFonts w:cs="Times New Roman"/>
          <w:b/>
          <w:szCs w:val="24"/>
        </w:rPr>
        <w:t>30</w:t>
      </w:r>
      <w:r w:rsidR="004775F4" w:rsidRPr="00B81E7D">
        <w:rPr>
          <w:rFonts w:cs="Times New Roman"/>
          <w:b/>
          <w:szCs w:val="24"/>
        </w:rPr>
        <w:t xml:space="preserve"> </w:t>
      </w:r>
      <w:r w:rsidR="00FD13F7" w:rsidRPr="00B81E7D">
        <w:rPr>
          <w:rFonts w:cs="Times New Roman"/>
          <w:b/>
          <w:szCs w:val="24"/>
        </w:rPr>
        <w:t>projektu).</w:t>
      </w:r>
    </w:p>
    <w:p w:rsidR="00025D01" w:rsidRPr="00B81E7D" w:rsidRDefault="00025D01" w:rsidP="000A6809">
      <w:pPr>
        <w:numPr>
          <w:ilvl w:val="0"/>
          <w:numId w:val="7"/>
        </w:numPr>
        <w:spacing w:before="120" w:after="120" w:line="360" w:lineRule="auto"/>
        <w:ind w:left="709" w:hanging="425"/>
        <w:jc w:val="both"/>
        <w:rPr>
          <w:rFonts w:cs="Times New Roman"/>
          <w:i/>
          <w:szCs w:val="24"/>
        </w:rPr>
      </w:pPr>
      <w:r w:rsidRPr="00B81E7D">
        <w:rPr>
          <w:rFonts w:cs="Times New Roman"/>
          <w:i/>
          <w:szCs w:val="24"/>
        </w:rPr>
        <w:t xml:space="preserve">Dopuszczenie możliwości wykonania w polskiej przestrzeni powietrznej lotu statku powietrznego, który jeszcze nie został wpisany do </w:t>
      </w:r>
      <w:r w:rsidR="00696A00" w:rsidRPr="00B81E7D">
        <w:rPr>
          <w:rFonts w:cs="Times New Roman"/>
          <w:i/>
          <w:szCs w:val="24"/>
        </w:rPr>
        <w:t>R</w:t>
      </w:r>
      <w:r w:rsidRPr="00B81E7D">
        <w:rPr>
          <w:rFonts w:cs="Times New Roman"/>
          <w:i/>
          <w:szCs w:val="24"/>
        </w:rPr>
        <w:t xml:space="preserve">ejestru </w:t>
      </w:r>
      <w:r w:rsidR="00696A00" w:rsidRPr="00B81E7D">
        <w:rPr>
          <w:rFonts w:cs="Times New Roman"/>
          <w:i/>
          <w:szCs w:val="24"/>
        </w:rPr>
        <w:t>C</w:t>
      </w:r>
      <w:r w:rsidRPr="00B81E7D">
        <w:rPr>
          <w:rFonts w:cs="Times New Roman"/>
          <w:i/>
          <w:szCs w:val="24"/>
        </w:rPr>
        <w:t xml:space="preserve">ywilnych </w:t>
      </w:r>
      <w:r w:rsidR="00696A00" w:rsidRPr="00B81E7D">
        <w:rPr>
          <w:rFonts w:cs="Times New Roman"/>
          <w:i/>
          <w:szCs w:val="24"/>
        </w:rPr>
        <w:t>S</w:t>
      </w:r>
      <w:r w:rsidRPr="00B81E7D">
        <w:rPr>
          <w:rFonts w:cs="Times New Roman"/>
          <w:i/>
          <w:szCs w:val="24"/>
        </w:rPr>
        <w:t xml:space="preserve">tatków </w:t>
      </w:r>
      <w:r w:rsidR="00696A00" w:rsidRPr="00B81E7D">
        <w:rPr>
          <w:rFonts w:cs="Times New Roman"/>
          <w:i/>
          <w:szCs w:val="24"/>
        </w:rPr>
        <w:t>P</w:t>
      </w:r>
      <w:r w:rsidRPr="00B81E7D">
        <w:rPr>
          <w:rFonts w:cs="Times New Roman"/>
          <w:i/>
          <w:szCs w:val="24"/>
        </w:rPr>
        <w:t>owietrznych</w:t>
      </w:r>
      <w:r w:rsidR="00171C84" w:rsidRPr="00B81E7D">
        <w:rPr>
          <w:rFonts w:cs="Times New Roman"/>
          <w:i/>
          <w:szCs w:val="24"/>
        </w:rPr>
        <w:t xml:space="preserve"> (art. </w:t>
      </w:r>
      <w:r w:rsidR="004775F4">
        <w:rPr>
          <w:rFonts w:cs="Times New Roman"/>
          <w:i/>
          <w:szCs w:val="24"/>
        </w:rPr>
        <w:t>30</w:t>
      </w:r>
      <w:r w:rsidR="004775F4" w:rsidRPr="00B81E7D">
        <w:rPr>
          <w:rFonts w:cs="Times New Roman"/>
          <w:i/>
          <w:szCs w:val="24"/>
        </w:rPr>
        <w:t xml:space="preserve"> </w:t>
      </w:r>
      <w:r w:rsidR="00171C84" w:rsidRPr="00B81E7D">
        <w:rPr>
          <w:rFonts w:cs="Times New Roman"/>
          <w:i/>
          <w:szCs w:val="24"/>
        </w:rPr>
        <w:t xml:space="preserve">pkt 1 i </w:t>
      </w:r>
      <w:r w:rsidR="00986F49" w:rsidRPr="00B81E7D">
        <w:rPr>
          <w:rFonts w:cs="Times New Roman"/>
          <w:i/>
          <w:szCs w:val="24"/>
        </w:rPr>
        <w:t xml:space="preserve">3 </w:t>
      </w:r>
      <w:r w:rsidR="00171C84" w:rsidRPr="00B81E7D">
        <w:rPr>
          <w:rFonts w:cs="Times New Roman"/>
          <w:i/>
          <w:szCs w:val="24"/>
        </w:rPr>
        <w:t>projektu).</w:t>
      </w:r>
    </w:p>
    <w:p w:rsidR="00696A00" w:rsidRPr="00B81E7D" w:rsidRDefault="00696A00" w:rsidP="00B421C2">
      <w:pPr>
        <w:spacing w:after="120" w:line="360" w:lineRule="auto"/>
        <w:jc w:val="both"/>
        <w:rPr>
          <w:rFonts w:cs="Times New Roman"/>
          <w:bCs/>
          <w:szCs w:val="24"/>
        </w:rPr>
      </w:pPr>
      <w:r w:rsidRPr="00B81E7D">
        <w:rPr>
          <w:rFonts w:cs="Times New Roman"/>
          <w:szCs w:val="24"/>
        </w:rPr>
        <w:t>W obecnym stanie prawnym brak jest możliwości wykonania prób w locie bez uprzedniego wpisu statku powietrznego do Rejestru Cywilnych Statków Powietrznych (</w:t>
      </w:r>
      <w:r w:rsidR="00763A0B" w:rsidRPr="00B81E7D">
        <w:rPr>
          <w:rFonts w:cs="Times New Roman"/>
          <w:szCs w:val="24"/>
        </w:rPr>
        <w:t xml:space="preserve">dalej: </w:t>
      </w:r>
      <w:r w:rsidRPr="00B81E7D">
        <w:rPr>
          <w:rFonts w:cs="Times New Roman"/>
          <w:szCs w:val="24"/>
        </w:rPr>
        <w:t>RCSP). Należy zwrócić uwagę na czasochłonność i kosztowność obecnie funkcjonujących procedur wynikającą z opłat administracyjnych, ilości</w:t>
      </w:r>
      <w:r w:rsidR="0004678B" w:rsidRPr="00B81E7D">
        <w:rPr>
          <w:rFonts w:cs="Times New Roman"/>
          <w:szCs w:val="24"/>
        </w:rPr>
        <w:t xml:space="preserve"> dokumentacji, korespondencji i </w:t>
      </w:r>
      <w:r w:rsidRPr="00B81E7D">
        <w:rPr>
          <w:rFonts w:cs="Times New Roman"/>
          <w:szCs w:val="24"/>
        </w:rPr>
        <w:t xml:space="preserve">podróży służbowych niezbędnych do uzyskania wpisu statku powietrznego do RCSP. Istnieje zatem </w:t>
      </w:r>
      <w:r w:rsidRPr="00B81E7D">
        <w:rPr>
          <w:rFonts w:cs="Times New Roman"/>
          <w:bCs/>
          <w:szCs w:val="24"/>
        </w:rPr>
        <w:t xml:space="preserve">realna potrzeba wdrożenia przepisów prawnych na poziomie ustawowym oraz rozporządzenia wykonawczego umożliwiających wykonywanie </w:t>
      </w:r>
      <w:r w:rsidR="00D76F5C" w:rsidRPr="00B81E7D">
        <w:rPr>
          <w:rFonts w:cs="Times New Roman"/>
          <w:bCs/>
          <w:szCs w:val="24"/>
        </w:rPr>
        <w:t>próby w locie</w:t>
      </w:r>
      <w:r w:rsidRPr="00B81E7D">
        <w:rPr>
          <w:rFonts w:cs="Times New Roman"/>
          <w:bCs/>
          <w:szCs w:val="24"/>
        </w:rPr>
        <w:t xml:space="preserve"> przez producentów statków powietrznych bez ich rejestracji.</w:t>
      </w:r>
    </w:p>
    <w:p w:rsidR="00696A00" w:rsidRPr="00B81E7D" w:rsidRDefault="00696A00" w:rsidP="00B421C2">
      <w:pPr>
        <w:spacing w:after="120" w:line="360" w:lineRule="auto"/>
        <w:jc w:val="both"/>
        <w:rPr>
          <w:rFonts w:cs="Times New Roman"/>
          <w:szCs w:val="24"/>
        </w:rPr>
      </w:pPr>
      <w:r w:rsidRPr="00B81E7D">
        <w:rPr>
          <w:rFonts w:cs="Times New Roman"/>
          <w:bCs/>
          <w:szCs w:val="24"/>
        </w:rPr>
        <w:t>Nowa regulacja pozwalająca na przeprowadzenie prób w locie bez konieczności wpisu statku powietrznego w RCSP przełoży się zarówno na możliwość</w:t>
      </w:r>
      <w:r w:rsidR="003972A8" w:rsidRPr="00B81E7D">
        <w:rPr>
          <w:rFonts w:cs="Times New Roman"/>
          <w:bCs/>
          <w:szCs w:val="24"/>
        </w:rPr>
        <w:t xml:space="preserve"> ograniczenia czasochłonności i </w:t>
      </w:r>
      <w:r w:rsidRPr="00B81E7D">
        <w:rPr>
          <w:rFonts w:cs="Times New Roman"/>
          <w:bCs/>
          <w:szCs w:val="24"/>
        </w:rPr>
        <w:t>wyeliminowania kosztów związanych z rejestracj</w:t>
      </w:r>
      <w:r w:rsidR="00072E41">
        <w:rPr>
          <w:rFonts w:cs="Times New Roman"/>
          <w:bCs/>
          <w:szCs w:val="24"/>
        </w:rPr>
        <w:t>ą statku powietrznego, jak i na </w:t>
      </w:r>
      <w:r w:rsidRPr="00B81E7D">
        <w:rPr>
          <w:rFonts w:cs="Times New Roman"/>
          <w:bCs/>
          <w:szCs w:val="24"/>
        </w:rPr>
        <w:t>przyspieszenie</w:t>
      </w:r>
      <w:r w:rsidRPr="00B81E7D">
        <w:rPr>
          <w:rFonts w:cs="Times New Roman"/>
          <w:szCs w:val="24"/>
        </w:rPr>
        <w:t xml:space="preserve"> procesu jego sprzedaży kontrahentowi krajowemu lub zagranicznemu. </w:t>
      </w:r>
      <w:r w:rsidR="00D2795A" w:rsidRPr="00B81E7D">
        <w:rPr>
          <w:rFonts w:cs="Times New Roman"/>
          <w:szCs w:val="24"/>
        </w:rPr>
        <w:t xml:space="preserve">Będzie to miało pozytywny wpływ zwłaszcza dla MŚP – producentów statków powietrznych. </w:t>
      </w:r>
      <w:r w:rsidRPr="00B81E7D">
        <w:rPr>
          <w:rFonts w:cs="Times New Roman"/>
          <w:szCs w:val="24"/>
        </w:rPr>
        <w:t>W</w:t>
      </w:r>
      <w:r w:rsidR="003972A8" w:rsidRPr="00B81E7D">
        <w:rPr>
          <w:rFonts w:cs="Times New Roman"/>
          <w:szCs w:val="24"/>
        </w:rPr>
        <w:t> </w:t>
      </w:r>
      <w:r w:rsidRPr="00B81E7D">
        <w:rPr>
          <w:rFonts w:cs="Times New Roman"/>
          <w:szCs w:val="24"/>
        </w:rPr>
        <w:t>latach 2016-2018 wpisano do RCSP 44 fabrycznie now</w:t>
      </w:r>
      <w:r w:rsidR="0042474C">
        <w:rPr>
          <w:rFonts w:cs="Times New Roman"/>
          <w:szCs w:val="24"/>
        </w:rPr>
        <w:t>e</w:t>
      </w:r>
      <w:r w:rsidRPr="00B81E7D">
        <w:rPr>
          <w:rFonts w:cs="Times New Roman"/>
          <w:szCs w:val="24"/>
        </w:rPr>
        <w:t xml:space="preserve"> statk</w:t>
      </w:r>
      <w:r w:rsidR="0042474C">
        <w:rPr>
          <w:rFonts w:cs="Times New Roman"/>
          <w:szCs w:val="24"/>
        </w:rPr>
        <w:t xml:space="preserve">i </w:t>
      </w:r>
      <w:r w:rsidRPr="00B81E7D">
        <w:rPr>
          <w:rFonts w:cs="Times New Roman"/>
          <w:szCs w:val="24"/>
        </w:rPr>
        <w:t>powietrzn</w:t>
      </w:r>
      <w:r w:rsidR="0042474C">
        <w:rPr>
          <w:rFonts w:cs="Times New Roman"/>
          <w:szCs w:val="24"/>
        </w:rPr>
        <w:t>e</w:t>
      </w:r>
      <w:r w:rsidRPr="00B81E7D">
        <w:rPr>
          <w:rFonts w:cs="Times New Roman"/>
          <w:szCs w:val="24"/>
        </w:rPr>
        <w:t xml:space="preserve"> produkcji polskiej, z czego ponad połowa</w:t>
      </w:r>
      <w:r w:rsidR="00C803D3" w:rsidRPr="00B81E7D">
        <w:rPr>
          <w:rFonts w:cs="Times New Roman"/>
          <w:szCs w:val="24"/>
        </w:rPr>
        <w:t xml:space="preserve"> została następnie wykreślona i </w:t>
      </w:r>
      <w:r w:rsidR="00B4541D">
        <w:rPr>
          <w:rFonts w:cs="Times New Roman"/>
          <w:szCs w:val="24"/>
        </w:rPr>
        <w:t>sprzedana za </w:t>
      </w:r>
      <w:r w:rsidRPr="00B81E7D">
        <w:rPr>
          <w:rFonts w:cs="Times New Roman"/>
          <w:szCs w:val="24"/>
        </w:rPr>
        <w:t>granicę. Należy zauważyć, że proponowane rozwiązanie jest od lat stosowane przez nadzory lotnicze innych państw (np. nadzór lotniczy Austrii przydziela takie znaki producentowi Diamond Industries GmbH).</w:t>
      </w:r>
    </w:p>
    <w:p w:rsidR="00443B3F" w:rsidRPr="00B81E7D" w:rsidRDefault="002E5801" w:rsidP="000A6809">
      <w:pPr>
        <w:numPr>
          <w:ilvl w:val="0"/>
          <w:numId w:val="7"/>
        </w:numPr>
        <w:spacing w:before="120" w:after="120" w:line="360" w:lineRule="auto"/>
        <w:ind w:left="709" w:hanging="425"/>
        <w:jc w:val="both"/>
        <w:rPr>
          <w:rFonts w:cs="Times New Roman"/>
          <w:i/>
          <w:szCs w:val="24"/>
        </w:rPr>
      </w:pPr>
      <w:r w:rsidRPr="00B81E7D">
        <w:rPr>
          <w:rFonts w:cs="Times New Roman"/>
          <w:i/>
          <w:szCs w:val="24"/>
        </w:rPr>
        <w:t>Zniesienie</w:t>
      </w:r>
      <w:r w:rsidR="00443B3F" w:rsidRPr="00B81E7D">
        <w:rPr>
          <w:rFonts w:cs="Times New Roman"/>
          <w:i/>
          <w:szCs w:val="24"/>
        </w:rPr>
        <w:t xml:space="preserve"> obciążeń regulacyjnych wobec podmi</w:t>
      </w:r>
      <w:r w:rsidR="00B4541D">
        <w:rPr>
          <w:rFonts w:cs="Times New Roman"/>
          <w:i/>
          <w:szCs w:val="24"/>
        </w:rPr>
        <w:t>otów ubiegających się o wpis do </w:t>
      </w:r>
      <w:r w:rsidR="00443B3F" w:rsidRPr="00B81E7D">
        <w:rPr>
          <w:rFonts w:cs="Times New Roman"/>
          <w:i/>
          <w:szCs w:val="24"/>
        </w:rPr>
        <w:t>rejestr</w:t>
      </w:r>
      <w:r w:rsidR="00171C84" w:rsidRPr="00B81E7D">
        <w:rPr>
          <w:rFonts w:cs="Times New Roman"/>
          <w:i/>
          <w:szCs w:val="24"/>
        </w:rPr>
        <w:t xml:space="preserve">u cywilnych statków powietrznych (art. </w:t>
      </w:r>
      <w:r w:rsidR="004775F4">
        <w:rPr>
          <w:rFonts w:cs="Times New Roman"/>
          <w:i/>
          <w:szCs w:val="24"/>
        </w:rPr>
        <w:t>30</w:t>
      </w:r>
      <w:r w:rsidR="004775F4" w:rsidRPr="00B81E7D">
        <w:rPr>
          <w:rFonts w:cs="Times New Roman"/>
          <w:i/>
          <w:szCs w:val="24"/>
        </w:rPr>
        <w:t xml:space="preserve"> </w:t>
      </w:r>
      <w:r w:rsidR="00171C84" w:rsidRPr="00B81E7D">
        <w:rPr>
          <w:rFonts w:cs="Times New Roman"/>
          <w:i/>
          <w:szCs w:val="24"/>
        </w:rPr>
        <w:t>pkt 2 projektu).</w:t>
      </w:r>
    </w:p>
    <w:p w:rsidR="00DA7EAB" w:rsidRPr="00B81E7D" w:rsidRDefault="005162F2" w:rsidP="00B421C2">
      <w:pPr>
        <w:pStyle w:val="pkt1"/>
        <w:spacing w:before="120" w:after="120" w:line="360" w:lineRule="auto"/>
        <w:ind w:left="0" w:firstLine="0"/>
        <w:rPr>
          <w:szCs w:val="24"/>
        </w:rPr>
      </w:pPr>
      <w:r w:rsidRPr="00B81E7D">
        <w:rPr>
          <w:szCs w:val="24"/>
        </w:rPr>
        <w:t>Zmiana polega na usunięciu</w:t>
      </w:r>
      <w:r w:rsidR="00443B3F" w:rsidRPr="00B81E7D">
        <w:rPr>
          <w:szCs w:val="24"/>
        </w:rPr>
        <w:t xml:space="preserve"> przepisu dotyczącego zaświadczenia w sprawie uiszczenia podatku od towarów i usług</w:t>
      </w:r>
      <w:r w:rsidR="00D2795A" w:rsidRPr="00B81E7D">
        <w:rPr>
          <w:szCs w:val="24"/>
        </w:rPr>
        <w:t>. W</w:t>
      </w:r>
      <w:r w:rsidR="00443B3F" w:rsidRPr="00B81E7D">
        <w:rPr>
          <w:szCs w:val="24"/>
        </w:rPr>
        <w:t>ynika</w:t>
      </w:r>
      <w:r w:rsidR="00D2795A" w:rsidRPr="00B81E7D">
        <w:rPr>
          <w:szCs w:val="24"/>
        </w:rPr>
        <w:t xml:space="preserve"> ona</w:t>
      </w:r>
      <w:r w:rsidR="00443B3F" w:rsidRPr="00B81E7D">
        <w:rPr>
          <w:szCs w:val="24"/>
        </w:rPr>
        <w:t xml:space="preserve"> z</w:t>
      </w:r>
      <w:r w:rsidR="00D2795A" w:rsidRPr="00B81E7D">
        <w:rPr>
          <w:szCs w:val="24"/>
        </w:rPr>
        <w:t xml:space="preserve"> tego, że taki dokument nie jest już wystawiany </w:t>
      </w:r>
      <w:r w:rsidR="00443B3F" w:rsidRPr="00B81E7D">
        <w:rPr>
          <w:szCs w:val="24"/>
        </w:rPr>
        <w:t>w</w:t>
      </w:r>
      <w:r w:rsidR="00D2795A" w:rsidRPr="00B81E7D">
        <w:rPr>
          <w:szCs w:val="24"/>
        </w:rPr>
        <w:t> </w:t>
      </w:r>
      <w:r w:rsidR="00443B3F" w:rsidRPr="00B81E7D">
        <w:rPr>
          <w:szCs w:val="24"/>
        </w:rPr>
        <w:t>związku z</w:t>
      </w:r>
      <w:r w:rsidRPr="00B81E7D">
        <w:rPr>
          <w:szCs w:val="24"/>
        </w:rPr>
        <w:t> </w:t>
      </w:r>
      <w:r w:rsidR="00443B3F" w:rsidRPr="00B81E7D">
        <w:rPr>
          <w:szCs w:val="24"/>
        </w:rPr>
        <w:t>uchyleniem art. 103 ust. 6 i art. 105 ustawy z dnia 11 marca</w:t>
      </w:r>
      <w:r w:rsidR="00B4541D">
        <w:rPr>
          <w:szCs w:val="24"/>
        </w:rPr>
        <w:t xml:space="preserve"> 2004 r. o podatku od </w:t>
      </w:r>
      <w:r w:rsidRPr="00B81E7D">
        <w:rPr>
          <w:szCs w:val="24"/>
        </w:rPr>
        <w:t>towarów i u</w:t>
      </w:r>
      <w:r w:rsidR="00443B3F" w:rsidRPr="00B81E7D">
        <w:rPr>
          <w:szCs w:val="24"/>
        </w:rPr>
        <w:t xml:space="preserve">sług. </w:t>
      </w:r>
    </w:p>
    <w:p w:rsidR="005162F2" w:rsidRPr="00B81E7D" w:rsidRDefault="005162F2" w:rsidP="000A6809">
      <w:pPr>
        <w:numPr>
          <w:ilvl w:val="0"/>
          <w:numId w:val="7"/>
        </w:numPr>
        <w:spacing w:before="120" w:after="120" w:line="360" w:lineRule="auto"/>
        <w:ind w:left="709" w:hanging="425"/>
        <w:jc w:val="both"/>
        <w:rPr>
          <w:rFonts w:cs="Times New Roman"/>
          <w:i/>
          <w:szCs w:val="24"/>
        </w:rPr>
      </w:pPr>
      <w:r w:rsidRPr="00B81E7D">
        <w:rPr>
          <w:rFonts w:cs="Times New Roman"/>
          <w:i/>
          <w:szCs w:val="24"/>
        </w:rPr>
        <w:t>Uproszczenia w zakresie rejestracji podmiotów szkolących</w:t>
      </w:r>
      <w:r w:rsidR="00D11014" w:rsidRPr="00B81E7D">
        <w:rPr>
          <w:rFonts w:cs="Times New Roman"/>
          <w:i/>
          <w:szCs w:val="24"/>
        </w:rPr>
        <w:t xml:space="preserve"> (art. </w:t>
      </w:r>
      <w:r w:rsidR="004775F4">
        <w:rPr>
          <w:rFonts w:cs="Times New Roman"/>
          <w:i/>
          <w:szCs w:val="24"/>
        </w:rPr>
        <w:t>30</w:t>
      </w:r>
      <w:r w:rsidR="004775F4" w:rsidRPr="00B81E7D">
        <w:rPr>
          <w:rFonts w:cs="Times New Roman"/>
          <w:i/>
          <w:szCs w:val="24"/>
        </w:rPr>
        <w:t xml:space="preserve"> </w:t>
      </w:r>
      <w:r w:rsidR="00D11014" w:rsidRPr="00B81E7D">
        <w:rPr>
          <w:rFonts w:cs="Times New Roman"/>
          <w:i/>
          <w:szCs w:val="24"/>
        </w:rPr>
        <w:t xml:space="preserve">pkt </w:t>
      </w:r>
      <w:r w:rsidR="00986F49" w:rsidRPr="00B81E7D">
        <w:rPr>
          <w:rFonts w:cs="Times New Roman"/>
          <w:i/>
          <w:szCs w:val="24"/>
        </w:rPr>
        <w:t xml:space="preserve">4 </w:t>
      </w:r>
      <w:r w:rsidR="00D11014" w:rsidRPr="00B81E7D">
        <w:rPr>
          <w:rFonts w:cs="Times New Roman"/>
          <w:i/>
          <w:szCs w:val="24"/>
        </w:rPr>
        <w:t>projektu)</w:t>
      </w:r>
      <w:r w:rsidR="00A170DD" w:rsidRPr="00B81E7D">
        <w:rPr>
          <w:rFonts w:cs="Times New Roman"/>
          <w:i/>
          <w:szCs w:val="24"/>
        </w:rPr>
        <w:t>.</w:t>
      </w:r>
    </w:p>
    <w:p w:rsidR="005162F2" w:rsidRPr="00B81E7D" w:rsidRDefault="005162F2" w:rsidP="00B421C2">
      <w:pPr>
        <w:spacing w:after="120" w:line="360" w:lineRule="auto"/>
        <w:jc w:val="both"/>
        <w:rPr>
          <w:rFonts w:cs="Times New Roman"/>
          <w:bCs/>
          <w:szCs w:val="24"/>
        </w:rPr>
      </w:pPr>
      <w:r w:rsidRPr="00B81E7D">
        <w:rPr>
          <w:rFonts w:cs="Times New Roman"/>
          <w:szCs w:val="24"/>
        </w:rPr>
        <w:lastRenderedPageBreak/>
        <w:t xml:space="preserve">Proponuje się doprecyzowanie w art. 95a ust. 3 pkt 8, że wniosek o wpis do rejestru podmiotów szkolących może być składany przez przedsiębiorcę – nie musi być to ośrodek szkolenia lotniczego. Obecnie przepis o tym wprost nie stanowi, natomiast taki wniosek może być </w:t>
      </w:r>
      <w:r w:rsidRPr="00B81E7D">
        <w:rPr>
          <w:rFonts w:cs="Times New Roman"/>
          <w:bCs/>
          <w:szCs w:val="24"/>
        </w:rPr>
        <w:t>składany przez przedsiębiorcę nieprowadzącego działalności jako ośrodek szkolenia lotniczego.</w:t>
      </w:r>
    </w:p>
    <w:p w:rsidR="005162F2" w:rsidRPr="00B81E7D" w:rsidRDefault="005162F2" w:rsidP="00B421C2">
      <w:pPr>
        <w:spacing w:after="120" w:line="360" w:lineRule="auto"/>
        <w:jc w:val="both"/>
        <w:rPr>
          <w:rFonts w:cs="Times New Roman"/>
          <w:szCs w:val="24"/>
        </w:rPr>
      </w:pPr>
      <w:r w:rsidRPr="00B81E7D">
        <w:rPr>
          <w:rFonts w:cs="Times New Roman"/>
          <w:bCs/>
          <w:szCs w:val="24"/>
        </w:rPr>
        <w:t>Ponadto, propozycja przewiduje zniesienie wymogu przedstawiania informacji o posiadanym ubezpieczeniu odpowiedzialności cywilnej w zakresie prowadzonego szkolenia na etapie składania wniosku</w:t>
      </w:r>
      <w:r w:rsidRPr="00B81E7D">
        <w:rPr>
          <w:rFonts w:cs="Times New Roman"/>
          <w:szCs w:val="24"/>
        </w:rPr>
        <w:t xml:space="preserve"> o wpis do rejestru podmiotów szkolących. W miejsce obecnego wymogu proponuje się składanie oświadczenia zawierającego zapewnienie, że wnioskodawca ubezpieczy od odpowiedzialności cywilnej działalność w zakresie prowadzonego szkolenia po jej rozpoczęciu. Jest to o tyle istotne i dogodne dla wnioskodawcy, iż nie musi on ponosić kosztów jeszcze przed rozpoczęciem działalności, kiedy zakr</w:t>
      </w:r>
      <w:r w:rsidR="00B4541D">
        <w:rPr>
          <w:rFonts w:cs="Times New Roman"/>
          <w:szCs w:val="24"/>
        </w:rPr>
        <w:t>es zatwierdzonego szkolenia nie </w:t>
      </w:r>
      <w:r w:rsidRPr="00B81E7D">
        <w:rPr>
          <w:rFonts w:cs="Times New Roman"/>
          <w:szCs w:val="24"/>
        </w:rPr>
        <w:t>jest ostatecznie znany. Wnioskodawca zyskuje czas na dopełnienie formalności oraz komfort w postaci możliwości ubezpieczenia OC odpowiednio do zatwierdzonego zakresu działalności szkoleniowej.</w:t>
      </w:r>
      <w:r w:rsidR="002A442E" w:rsidRPr="00B81E7D">
        <w:rPr>
          <w:rFonts w:cs="Times New Roman"/>
          <w:szCs w:val="24"/>
        </w:rPr>
        <w:t xml:space="preserve"> </w:t>
      </w:r>
    </w:p>
    <w:p w:rsidR="00D01F21" w:rsidRPr="00B81E7D" w:rsidRDefault="002E5801" w:rsidP="000A6809">
      <w:pPr>
        <w:numPr>
          <w:ilvl w:val="0"/>
          <w:numId w:val="7"/>
        </w:numPr>
        <w:spacing w:before="120" w:after="120" w:line="360" w:lineRule="auto"/>
        <w:ind w:left="709" w:hanging="425"/>
        <w:jc w:val="both"/>
        <w:rPr>
          <w:rFonts w:cs="Times New Roman"/>
          <w:i/>
          <w:szCs w:val="24"/>
        </w:rPr>
      </w:pPr>
      <w:r w:rsidRPr="00B81E7D">
        <w:rPr>
          <w:rFonts w:cs="Times New Roman"/>
          <w:i/>
          <w:szCs w:val="24"/>
        </w:rPr>
        <w:t>U</w:t>
      </w:r>
      <w:r w:rsidR="00D01F21" w:rsidRPr="00B81E7D">
        <w:rPr>
          <w:rFonts w:cs="Times New Roman"/>
          <w:i/>
          <w:szCs w:val="24"/>
        </w:rPr>
        <w:t xml:space="preserve">proszczenie procedury ubiegania się o </w:t>
      </w:r>
      <w:r w:rsidR="00217A20" w:rsidRPr="00B81E7D">
        <w:rPr>
          <w:rFonts w:cs="Times New Roman"/>
          <w:i/>
          <w:szCs w:val="24"/>
        </w:rPr>
        <w:t>zezwolenie</w:t>
      </w:r>
      <w:r w:rsidR="000273C2" w:rsidRPr="00B81E7D">
        <w:rPr>
          <w:rFonts w:cs="Times New Roman"/>
          <w:i/>
          <w:szCs w:val="24"/>
        </w:rPr>
        <w:t xml:space="preserve"> na obsługę naziemną statków powietrznych, załóg, pasażerów i ładunku</w:t>
      </w:r>
      <w:r w:rsidR="009B0645" w:rsidRPr="00B81E7D">
        <w:rPr>
          <w:rFonts w:cs="Times New Roman"/>
          <w:i/>
          <w:szCs w:val="24"/>
        </w:rPr>
        <w:t xml:space="preserve"> (art.</w:t>
      </w:r>
      <w:r w:rsidR="002042E8" w:rsidRPr="00B81E7D">
        <w:rPr>
          <w:rFonts w:cs="Times New Roman"/>
          <w:i/>
          <w:szCs w:val="24"/>
        </w:rPr>
        <w:t xml:space="preserve"> </w:t>
      </w:r>
      <w:r w:rsidR="004775F4">
        <w:rPr>
          <w:rFonts w:cs="Times New Roman"/>
          <w:i/>
          <w:szCs w:val="24"/>
        </w:rPr>
        <w:t>30</w:t>
      </w:r>
      <w:r w:rsidR="004775F4" w:rsidRPr="00B81E7D">
        <w:rPr>
          <w:rFonts w:cs="Times New Roman"/>
          <w:i/>
          <w:szCs w:val="24"/>
        </w:rPr>
        <w:t xml:space="preserve">  </w:t>
      </w:r>
      <w:r w:rsidR="009B0645" w:rsidRPr="00B81E7D">
        <w:rPr>
          <w:rFonts w:cs="Times New Roman"/>
          <w:i/>
          <w:szCs w:val="24"/>
        </w:rPr>
        <w:t xml:space="preserve">pkt </w:t>
      </w:r>
      <w:r w:rsidR="00986F49" w:rsidRPr="00B81E7D">
        <w:rPr>
          <w:rFonts w:cs="Times New Roman"/>
          <w:i/>
          <w:szCs w:val="24"/>
        </w:rPr>
        <w:t>5</w:t>
      </w:r>
      <w:r w:rsidR="0036175E" w:rsidRPr="00B81E7D">
        <w:rPr>
          <w:rFonts w:cs="Times New Roman"/>
          <w:i/>
          <w:szCs w:val="24"/>
        </w:rPr>
        <w:t xml:space="preserve">, </w:t>
      </w:r>
      <w:r w:rsidR="00986F49" w:rsidRPr="00B81E7D">
        <w:rPr>
          <w:rFonts w:cs="Times New Roman"/>
          <w:i/>
          <w:szCs w:val="24"/>
        </w:rPr>
        <w:t xml:space="preserve">6 </w:t>
      </w:r>
      <w:r w:rsidR="009B0645" w:rsidRPr="00B81E7D">
        <w:rPr>
          <w:rFonts w:cs="Times New Roman"/>
          <w:i/>
          <w:szCs w:val="24"/>
        </w:rPr>
        <w:t>projektu)</w:t>
      </w:r>
      <w:r w:rsidR="000273C2" w:rsidRPr="00B81E7D">
        <w:rPr>
          <w:rFonts w:cs="Times New Roman"/>
          <w:i/>
          <w:szCs w:val="24"/>
        </w:rPr>
        <w:t xml:space="preserve">. </w:t>
      </w:r>
    </w:p>
    <w:p w:rsidR="00A9335A" w:rsidRPr="00B81E7D" w:rsidRDefault="00A9335A" w:rsidP="00B421C2">
      <w:pPr>
        <w:spacing w:after="120" w:line="360" w:lineRule="auto"/>
        <w:jc w:val="both"/>
        <w:rPr>
          <w:rFonts w:cs="Times New Roman"/>
          <w:szCs w:val="24"/>
        </w:rPr>
      </w:pPr>
      <w:r w:rsidRPr="00B81E7D">
        <w:rPr>
          <w:rFonts w:cs="Times New Roman"/>
          <w:szCs w:val="24"/>
        </w:rPr>
        <w:t>Proponuje się modyfikację dotychczasowego rozwiązania zawartego w art. 175 ust. 3 pkt 2, która ma na celu zniesienie ww. ograniczenia w odniesieniu do agentów obsługi naziemnej, wyłącznie z przyczyn, o których mowa w art. 175 w ust. 4 pkt 2 ustawy, czyli nierozpoczęcia działalności w zakresie obsługi naziemnej albo zaprzestania prowadzenia działalności objętej zezwoleniem. Cofnięcie zezwolenia na podstawie art. 175 ust. 4 pkt 2 ustawy następuje często z przyczyn niezależnych od przedsiębiorcy, np.: w sytuacji, gdy przedsiębiorca nie wygra przetargu. Udzielenie zezwolenia powinno być zależne od spełniania warunków jego udzielenia określon</w:t>
      </w:r>
      <w:r w:rsidR="00C7395A" w:rsidRPr="00B81E7D">
        <w:rPr>
          <w:rFonts w:cs="Times New Roman"/>
          <w:szCs w:val="24"/>
        </w:rPr>
        <w:t>ych w ustawie – Prawo lotnicze.</w:t>
      </w:r>
    </w:p>
    <w:p w:rsidR="00567317" w:rsidRPr="00B81E7D" w:rsidRDefault="003172FD" w:rsidP="00B421C2">
      <w:pPr>
        <w:pStyle w:val="ust"/>
        <w:spacing w:before="120" w:after="120" w:line="360" w:lineRule="auto"/>
        <w:ind w:left="0" w:firstLine="0"/>
        <w:rPr>
          <w:szCs w:val="24"/>
        </w:rPr>
      </w:pPr>
      <w:r w:rsidRPr="00B81E7D">
        <w:rPr>
          <w:szCs w:val="24"/>
        </w:rPr>
        <w:t>W związku z powyższym p</w:t>
      </w:r>
      <w:r w:rsidR="00D01F21" w:rsidRPr="00B81E7D">
        <w:rPr>
          <w:szCs w:val="24"/>
        </w:rPr>
        <w:t xml:space="preserve">roponuje się </w:t>
      </w:r>
      <w:r w:rsidRPr="00B81E7D">
        <w:rPr>
          <w:szCs w:val="24"/>
        </w:rPr>
        <w:t xml:space="preserve">też </w:t>
      </w:r>
      <w:r w:rsidR="00D01F21" w:rsidRPr="00B81E7D">
        <w:rPr>
          <w:szCs w:val="24"/>
        </w:rPr>
        <w:t>doprecyzowanie art. 176a ustawy – Prawo lotnicze poprzez wskazanie, że Prezes Urzędu Lotnictwa</w:t>
      </w:r>
      <w:r w:rsidR="00B4541D">
        <w:rPr>
          <w:szCs w:val="24"/>
        </w:rPr>
        <w:t xml:space="preserve"> Cywilnego wydaje zezwolenie na </w:t>
      </w:r>
      <w:r w:rsidR="00D01F21" w:rsidRPr="00B81E7D">
        <w:rPr>
          <w:szCs w:val="24"/>
        </w:rPr>
        <w:t xml:space="preserve">kategorie usług, o których mowa w art. 176 lub rodzaje usług w poszczególnych kategoriach, określonych w przepisach wydanych na podstawie art. </w:t>
      </w:r>
      <w:r w:rsidR="00B4541D">
        <w:rPr>
          <w:szCs w:val="24"/>
        </w:rPr>
        <w:t>182 ustawy. Przepis art. </w:t>
      </w:r>
      <w:r w:rsidRPr="00B81E7D">
        <w:rPr>
          <w:szCs w:val="24"/>
        </w:rPr>
        <w:t>176a w </w:t>
      </w:r>
      <w:r w:rsidR="00D01F21" w:rsidRPr="00B81E7D">
        <w:rPr>
          <w:szCs w:val="24"/>
        </w:rPr>
        <w:t xml:space="preserve">dotychczasowym brzmieniu wskazywał, że wydaje się zezwolenie na kategorie lub rodzaje usług w poszczególnych kategoriach, o których mowa w art. 176. Jednocześnie art. 176 wskazuje tylko kategorie usług. Rodzaje usług w poszczególnych kategoriach </w:t>
      </w:r>
      <w:r w:rsidR="00D01F21" w:rsidRPr="00B81E7D">
        <w:rPr>
          <w:szCs w:val="24"/>
        </w:rPr>
        <w:lastRenderedPageBreak/>
        <w:t xml:space="preserve">wskazuje wykaz usług obsługi naziemnej, stanowiący załącznik do rozporządzenia wydanego na podstawie art. 182. </w:t>
      </w:r>
      <w:r w:rsidR="00A9335A" w:rsidRPr="00B81E7D">
        <w:rPr>
          <w:szCs w:val="24"/>
        </w:rPr>
        <w:t>Wymagało to zatem doprecyzowania.</w:t>
      </w:r>
    </w:p>
    <w:p w:rsidR="00394AB2" w:rsidRPr="00B81E7D" w:rsidRDefault="00394AB2" w:rsidP="00B421C2">
      <w:pPr>
        <w:pStyle w:val="Akapitzlist"/>
        <w:spacing w:line="360" w:lineRule="auto"/>
        <w:ind w:left="0"/>
        <w:contextualSpacing w:val="0"/>
        <w:rPr>
          <w:rFonts w:ascii="Times New Roman" w:hAnsi="Times New Roman"/>
          <w:b/>
          <w:sz w:val="24"/>
          <w:szCs w:val="24"/>
        </w:rPr>
      </w:pPr>
    </w:p>
    <w:p w:rsidR="00B432D2" w:rsidRPr="00B81E7D" w:rsidRDefault="00B432D2" w:rsidP="00AD47B7">
      <w:pPr>
        <w:numPr>
          <w:ilvl w:val="0"/>
          <w:numId w:val="2"/>
        </w:numPr>
        <w:spacing w:after="120" w:line="360" w:lineRule="auto"/>
        <w:jc w:val="both"/>
        <w:rPr>
          <w:rFonts w:cs="Times New Roman"/>
          <w:b/>
          <w:szCs w:val="24"/>
        </w:rPr>
      </w:pPr>
      <w:r w:rsidRPr="00B81E7D">
        <w:rPr>
          <w:rFonts w:cs="Times New Roman"/>
          <w:b/>
          <w:szCs w:val="24"/>
        </w:rPr>
        <w:t xml:space="preserve">Zmiany w ustawie z dnia 13 listopada 2003 r. o dochodach jednostek samorządu </w:t>
      </w:r>
      <w:r w:rsidR="00A0471F" w:rsidRPr="00B81E7D">
        <w:rPr>
          <w:rFonts w:cs="Times New Roman"/>
          <w:b/>
          <w:szCs w:val="24"/>
        </w:rPr>
        <w:t xml:space="preserve">terytorialnego </w:t>
      </w:r>
      <w:r w:rsidRPr="00B81E7D">
        <w:rPr>
          <w:rFonts w:cs="Times New Roman"/>
          <w:b/>
          <w:szCs w:val="24"/>
        </w:rPr>
        <w:t xml:space="preserve">(art. </w:t>
      </w:r>
      <w:r w:rsidR="004775F4" w:rsidRPr="00B81E7D">
        <w:rPr>
          <w:rFonts w:cs="Times New Roman"/>
          <w:b/>
          <w:szCs w:val="24"/>
        </w:rPr>
        <w:t>3</w:t>
      </w:r>
      <w:r w:rsidR="004775F4">
        <w:rPr>
          <w:rFonts w:cs="Times New Roman"/>
          <w:b/>
          <w:szCs w:val="24"/>
        </w:rPr>
        <w:t>2</w:t>
      </w:r>
      <w:r w:rsidR="004775F4" w:rsidRPr="00B81E7D">
        <w:rPr>
          <w:rFonts w:cs="Times New Roman"/>
          <w:b/>
          <w:szCs w:val="24"/>
        </w:rPr>
        <w:t xml:space="preserve"> </w:t>
      </w:r>
      <w:r w:rsidRPr="00B81E7D">
        <w:rPr>
          <w:rFonts w:cs="Times New Roman"/>
          <w:b/>
          <w:szCs w:val="24"/>
        </w:rPr>
        <w:t>projektu).</w:t>
      </w:r>
    </w:p>
    <w:p w:rsidR="00A0471F" w:rsidRPr="00B81E7D" w:rsidRDefault="00A0471F" w:rsidP="00A0471F">
      <w:pPr>
        <w:autoSpaceDE w:val="0"/>
        <w:autoSpaceDN w:val="0"/>
        <w:adjustRightInd w:val="0"/>
        <w:spacing w:line="360" w:lineRule="auto"/>
        <w:jc w:val="both"/>
        <w:rPr>
          <w:rFonts w:cs="Times New Roman"/>
          <w:szCs w:val="24"/>
        </w:rPr>
      </w:pPr>
      <w:r w:rsidRPr="00B81E7D">
        <w:rPr>
          <w:rFonts w:cs="Times New Roman"/>
          <w:szCs w:val="24"/>
        </w:rPr>
        <w:t>Ustanowienie Funduszu Niskoemisyjnego Transportu, kryteriów i warunków finansowania projektów określonych w ustawie z dnia 25 sierpnia 2006 r. o biokomponentach i biopaliwach ciekłych (Dz.</w:t>
      </w:r>
      <w:r w:rsidR="00527C5C" w:rsidRPr="00B81E7D">
        <w:rPr>
          <w:rFonts w:cs="Times New Roman"/>
          <w:szCs w:val="24"/>
        </w:rPr>
        <w:t xml:space="preserve"> </w:t>
      </w:r>
      <w:r w:rsidRPr="00B81E7D">
        <w:rPr>
          <w:rFonts w:cs="Times New Roman"/>
          <w:szCs w:val="24"/>
        </w:rPr>
        <w:t>U. 2018</w:t>
      </w:r>
      <w:r w:rsidR="00531B87">
        <w:rPr>
          <w:rFonts w:cs="Times New Roman"/>
          <w:szCs w:val="24"/>
        </w:rPr>
        <w:t xml:space="preserve"> r. </w:t>
      </w:r>
      <w:r w:rsidRPr="00B81E7D">
        <w:rPr>
          <w:rFonts w:cs="Times New Roman"/>
          <w:szCs w:val="24"/>
        </w:rPr>
        <w:t xml:space="preserve"> poz.1356 z późn. zm.), a w szczególnośc</w:t>
      </w:r>
      <w:r w:rsidR="00B4541D">
        <w:rPr>
          <w:rFonts w:cs="Times New Roman"/>
          <w:szCs w:val="24"/>
        </w:rPr>
        <w:t>i przepisy art. 28ze ust. 1 pkt </w:t>
      </w:r>
      <w:r w:rsidRPr="00B81E7D">
        <w:rPr>
          <w:rFonts w:cs="Times New Roman"/>
          <w:szCs w:val="24"/>
        </w:rPr>
        <w:t>2 i 5, praktycznie konsumuje delegację dla ministra właściwego do spraw gospodarki zawartą w art. 42 ustawy z dnia 13 listopada 2003 r. o dochodach jednostek samorządu terytorialnego (Dz. U. z 2018 r. poz. 1530</w:t>
      </w:r>
      <w:r w:rsidR="00531B87">
        <w:rPr>
          <w:rFonts w:cs="Times New Roman"/>
          <w:szCs w:val="24"/>
        </w:rPr>
        <w:t>, z późn.zm.</w:t>
      </w:r>
      <w:r w:rsidRPr="00B81E7D">
        <w:rPr>
          <w:rFonts w:cs="Times New Roman"/>
          <w:szCs w:val="24"/>
        </w:rPr>
        <w:t xml:space="preserve"> </w:t>
      </w:r>
      <w:r w:rsidRPr="00B81E7D">
        <w:rPr>
          <w:rStyle w:val="Odwoanieprzypisudolnego"/>
          <w:rFonts w:cs="Times New Roman"/>
          <w:szCs w:val="24"/>
        </w:rPr>
        <w:footnoteReference w:id="10"/>
      </w:r>
      <w:r w:rsidRPr="00B81E7D">
        <w:rPr>
          <w:rFonts w:cs="Times New Roman"/>
          <w:szCs w:val="24"/>
        </w:rPr>
        <w:t>).</w:t>
      </w:r>
    </w:p>
    <w:p w:rsidR="00A0471F" w:rsidRPr="00B81E7D" w:rsidRDefault="00A0471F" w:rsidP="00A0471F">
      <w:pPr>
        <w:autoSpaceDE w:val="0"/>
        <w:autoSpaceDN w:val="0"/>
        <w:adjustRightInd w:val="0"/>
        <w:spacing w:line="360" w:lineRule="auto"/>
        <w:jc w:val="both"/>
        <w:rPr>
          <w:rFonts w:cs="Times New Roman"/>
          <w:szCs w:val="24"/>
        </w:rPr>
      </w:pPr>
      <w:r w:rsidRPr="00B81E7D">
        <w:rPr>
          <w:rFonts w:cs="Times New Roman"/>
          <w:szCs w:val="24"/>
        </w:rPr>
        <w:t>Delegacja ta została wprowadzona do art. 42 ustawy z dnia 13 listopada 2003 r. o dochodach jednostek samorządu terytorialnego przepisem zawartym w art. 57 ustawy z dnia 11 stycznia 2018 r. o elektromobilności i paliwach alternatywnych (Rozdział 7 Zmiany w przepisach obowiązujących).</w:t>
      </w:r>
    </w:p>
    <w:p w:rsidR="00A0471F" w:rsidRPr="00B81E7D" w:rsidRDefault="00A0471F" w:rsidP="00A0471F">
      <w:pPr>
        <w:autoSpaceDE w:val="0"/>
        <w:autoSpaceDN w:val="0"/>
        <w:adjustRightInd w:val="0"/>
        <w:spacing w:line="360" w:lineRule="auto"/>
        <w:jc w:val="both"/>
        <w:rPr>
          <w:rFonts w:cs="Times New Roman"/>
          <w:szCs w:val="24"/>
        </w:rPr>
      </w:pPr>
      <w:r w:rsidRPr="00B81E7D">
        <w:rPr>
          <w:rFonts w:cs="Times New Roman"/>
          <w:szCs w:val="24"/>
        </w:rPr>
        <w:t>Zapis ww. art. 57 ustawy z dnia 11 stycznia 2018 r. o elektromobilności i paliwach alternatywnych projektowany był w okresie jeszcze przed powstaniem finalnego projektu zmiany ustawy o biokomponentach i biopaliwach ciekłych, powołującej Fundusz Niskoemisyjnego Transportu. Uchylenie ww. delegacji wymaga zmiany ustawowej.</w:t>
      </w:r>
    </w:p>
    <w:p w:rsidR="00B432D2" w:rsidRPr="00B81E7D" w:rsidRDefault="00B432D2" w:rsidP="00B432D2">
      <w:pPr>
        <w:spacing w:after="120" w:line="360" w:lineRule="auto"/>
        <w:ind w:left="720"/>
        <w:jc w:val="both"/>
        <w:rPr>
          <w:rFonts w:cs="Times New Roman"/>
          <w:b/>
          <w:szCs w:val="24"/>
        </w:rPr>
      </w:pPr>
    </w:p>
    <w:p w:rsidR="00C04C54" w:rsidRPr="00B81E7D" w:rsidRDefault="00394AB2" w:rsidP="00AD47B7">
      <w:pPr>
        <w:numPr>
          <w:ilvl w:val="0"/>
          <w:numId w:val="2"/>
        </w:numPr>
        <w:spacing w:after="120" w:line="360" w:lineRule="auto"/>
        <w:jc w:val="both"/>
        <w:rPr>
          <w:rFonts w:cs="Times New Roman"/>
          <w:szCs w:val="24"/>
        </w:rPr>
      </w:pPr>
      <w:r w:rsidRPr="00B81E7D">
        <w:rPr>
          <w:rFonts w:cs="Times New Roman"/>
          <w:b/>
          <w:szCs w:val="24"/>
        </w:rPr>
        <w:t xml:space="preserve">Zmiana w </w:t>
      </w:r>
      <w:r w:rsidR="00C232B9" w:rsidRPr="00B81E7D">
        <w:rPr>
          <w:rFonts w:cs="Times New Roman"/>
          <w:b/>
          <w:szCs w:val="24"/>
        </w:rPr>
        <w:t xml:space="preserve">ustawie z dnia 11 marca 2004 r. o podatku od towarów i usług (art. </w:t>
      </w:r>
      <w:r w:rsidR="004775F4" w:rsidRPr="00B81E7D">
        <w:rPr>
          <w:rFonts w:cs="Times New Roman"/>
          <w:b/>
          <w:szCs w:val="24"/>
        </w:rPr>
        <w:t>3</w:t>
      </w:r>
      <w:r w:rsidR="004775F4">
        <w:rPr>
          <w:rFonts w:cs="Times New Roman"/>
          <w:b/>
          <w:szCs w:val="24"/>
        </w:rPr>
        <w:t>3</w:t>
      </w:r>
      <w:r w:rsidR="004775F4" w:rsidRPr="00B81E7D">
        <w:rPr>
          <w:rFonts w:cs="Times New Roman"/>
          <w:b/>
          <w:szCs w:val="24"/>
        </w:rPr>
        <w:t xml:space="preserve"> </w:t>
      </w:r>
      <w:r w:rsidR="002042E8" w:rsidRPr="00B81E7D">
        <w:rPr>
          <w:rFonts w:cs="Times New Roman"/>
          <w:b/>
          <w:szCs w:val="24"/>
        </w:rPr>
        <w:t>pkt 2</w:t>
      </w:r>
      <w:r w:rsidR="00DD77FD" w:rsidRPr="00B81E7D">
        <w:rPr>
          <w:rFonts w:cs="Times New Roman"/>
          <w:b/>
          <w:szCs w:val="24"/>
        </w:rPr>
        <w:t xml:space="preserve"> i 3</w:t>
      </w:r>
      <w:r w:rsidR="00C232B9" w:rsidRPr="00B81E7D">
        <w:rPr>
          <w:rFonts w:cs="Times New Roman"/>
          <w:b/>
          <w:szCs w:val="24"/>
        </w:rPr>
        <w:t xml:space="preserve"> projektu). </w:t>
      </w:r>
    </w:p>
    <w:p w:rsidR="00DD77FD" w:rsidRDefault="00DD77FD" w:rsidP="000A6809">
      <w:pPr>
        <w:numPr>
          <w:ilvl w:val="0"/>
          <w:numId w:val="8"/>
        </w:numPr>
        <w:spacing w:before="120" w:after="120" w:line="360" w:lineRule="auto"/>
        <w:ind w:left="709" w:hanging="425"/>
        <w:jc w:val="both"/>
        <w:rPr>
          <w:rFonts w:cs="Times New Roman"/>
          <w:i/>
          <w:szCs w:val="24"/>
        </w:rPr>
      </w:pPr>
      <w:r w:rsidRPr="00B81E7D">
        <w:rPr>
          <w:rFonts w:cs="Times New Roman"/>
          <w:i/>
          <w:szCs w:val="24"/>
        </w:rPr>
        <w:t xml:space="preserve">Zmiana w zakresie rozliczania podatku VAT od towarów importowanych (art. </w:t>
      </w:r>
      <w:r w:rsidR="004775F4" w:rsidRPr="00B81E7D">
        <w:rPr>
          <w:rFonts w:cs="Times New Roman"/>
          <w:i/>
          <w:szCs w:val="24"/>
        </w:rPr>
        <w:t>3</w:t>
      </w:r>
      <w:r w:rsidR="004775F4">
        <w:rPr>
          <w:rFonts w:cs="Times New Roman"/>
          <w:i/>
          <w:szCs w:val="24"/>
        </w:rPr>
        <w:t>3</w:t>
      </w:r>
      <w:r w:rsidR="004775F4" w:rsidRPr="00B81E7D">
        <w:rPr>
          <w:rFonts w:cs="Times New Roman"/>
          <w:i/>
          <w:szCs w:val="24"/>
        </w:rPr>
        <w:t xml:space="preserve"> </w:t>
      </w:r>
      <w:r w:rsidRPr="00B81E7D">
        <w:rPr>
          <w:rFonts w:cs="Times New Roman"/>
          <w:i/>
          <w:szCs w:val="24"/>
        </w:rPr>
        <w:t>pkt 2 projektu).</w:t>
      </w:r>
    </w:p>
    <w:p w:rsidR="00923FC4" w:rsidRPr="00923FC4" w:rsidRDefault="00923FC4" w:rsidP="00923FC4">
      <w:pPr>
        <w:spacing w:before="120" w:after="120" w:line="360" w:lineRule="auto"/>
        <w:jc w:val="both"/>
        <w:rPr>
          <w:rFonts w:cs="Times New Roman"/>
          <w:szCs w:val="24"/>
        </w:rPr>
      </w:pPr>
      <w:r w:rsidRPr="00923FC4">
        <w:rPr>
          <w:rFonts w:cs="Times New Roman"/>
          <w:szCs w:val="24"/>
        </w:rPr>
        <w:t>Propozycja zmierza do zwiększenia wolumenu i wartości importu odprawianego głównie przez polskie porty przeładunkowe. W obecnym stan</w:t>
      </w:r>
      <w:r w:rsidR="005506CF">
        <w:rPr>
          <w:rFonts w:cs="Times New Roman"/>
          <w:szCs w:val="24"/>
        </w:rPr>
        <w:t>ie prawnym polskie porty nie są </w:t>
      </w:r>
      <w:r w:rsidRPr="00923FC4">
        <w:rPr>
          <w:rFonts w:cs="Times New Roman"/>
          <w:szCs w:val="24"/>
        </w:rPr>
        <w:t xml:space="preserve">konkurencyjne wobec portów niemieckich, holenderskich czy litewskich pod względem rozwiązań z zakresu rozliczania VAT. Niemcy, Holandia czy Litwa oferują możliwość odroczonej płatności VAT od importowanych towarów . Z kolei w Polsce, co do zasady, </w:t>
      </w:r>
      <w:r w:rsidRPr="00923FC4">
        <w:rPr>
          <w:rFonts w:cs="Times New Roman"/>
          <w:szCs w:val="24"/>
        </w:rPr>
        <w:lastRenderedPageBreak/>
        <w:t>płatność musi nastąpić w terminie 10 dni od odprawy celnej (albo od dnia wydania decyzji celnej)Na podstawie obecnych przepisów ustawy VAT preferencyjne rozliczenie podatku VAT bezpośrednio w deklaracji podatkowej jest dostępne tylko dla części podmiotów (tj.</w:t>
      </w:r>
      <w:r w:rsidR="005506CF">
        <w:rPr>
          <w:rFonts w:cs="Times New Roman"/>
          <w:szCs w:val="24"/>
        </w:rPr>
        <w:t> </w:t>
      </w:r>
      <w:r w:rsidRPr="00923FC4">
        <w:rPr>
          <w:rFonts w:cs="Times New Roman"/>
          <w:szCs w:val="24"/>
        </w:rPr>
        <w:t>podmiotów spełniających warunki procedury uproszczonej i dla tzw. upoważnionych przedsiębiorców, tzw. AEO). Z tej możliwości korzysta miesięcznie średnio ok. 6,5 tysiąc</w:t>
      </w:r>
      <w:r w:rsidR="0042474C">
        <w:rPr>
          <w:rFonts w:cs="Times New Roman"/>
          <w:szCs w:val="24"/>
        </w:rPr>
        <w:t>a</w:t>
      </w:r>
      <w:r w:rsidRPr="00923FC4">
        <w:rPr>
          <w:rFonts w:cs="Times New Roman"/>
          <w:szCs w:val="24"/>
        </w:rPr>
        <w:t xml:space="preserve"> importerów, głównie duże firmy polskie oraz zagraniczne, które stać na spełnienie warunków do dopuszczenia do procedury uproszczonej lub uzyskania statusu firmy upoważnionej AEO. Te firmy, ze względu na wartość realizują większość </w:t>
      </w:r>
      <w:r w:rsidR="005506CF">
        <w:rPr>
          <w:rFonts w:cs="Times New Roman"/>
          <w:szCs w:val="24"/>
        </w:rPr>
        <w:t>wpłat z tytułu VAT w imporcie z </w:t>
      </w:r>
      <w:r w:rsidRPr="00923FC4">
        <w:rPr>
          <w:rFonts w:cs="Times New Roman"/>
          <w:szCs w:val="24"/>
        </w:rPr>
        <w:t xml:space="preserve">odpraw na polskiej granicy. </w:t>
      </w:r>
    </w:p>
    <w:p w:rsidR="00923FC4" w:rsidRPr="00923FC4" w:rsidRDefault="00923FC4" w:rsidP="00923FC4">
      <w:pPr>
        <w:spacing w:before="120" w:after="120" w:line="360" w:lineRule="auto"/>
        <w:jc w:val="both"/>
        <w:rPr>
          <w:rFonts w:cs="Times New Roman"/>
          <w:szCs w:val="24"/>
        </w:rPr>
      </w:pPr>
      <w:r w:rsidRPr="00923FC4">
        <w:rPr>
          <w:rFonts w:cs="Times New Roman"/>
          <w:szCs w:val="24"/>
        </w:rPr>
        <w:t>Propozycja polega na wprowadzeniu jako ogólnej zasady m</w:t>
      </w:r>
      <w:r w:rsidR="005506CF">
        <w:rPr>
          <w:rFonts w:cs="Times New Roman"/>
          <w:szCs w:val="24"/>
        </w:rPr>
        <w:t>ożliwości rozliczania podatku z </w:t>
      </w:r>
      <w:r w:rsidRPr="00923FC4">
        <w:rPr>
          <w:rFonts w:cs="Times New Roman"/>
          <w:szCs w:val="24"/>
        </w:rPr>
        <w:t>tytułu importu towarów bezpośrednio w deklaracji podatkowej  dla podatników zarejestrowanych jako podatnicy VAT czynni, jeżeli będą dokonywać zgłoszeń celnych przez przedstawiciela bezpośredniego lub pośredniego w rozumieniu przepisów celnych. Warunek ten nie będzie miał zastosowania  do podmiotów posiadających pozwolenie na stosowanie uproszczeń, o których mowa w art.</w:t>
      </w:r>
      <w:r w:rsidR="00EA1F28">
        <w:rPr>
          <w:rFonts w:cs="Times New Roman"/>
          <w:szCs w:val="24"/>
        </w:rPr>
        <w:t xml:space="preserve"> </w:t>
      </w:r>
      <w:r w:rsidRPr="00923FC4">
        <w:rPr>
          <w:rFonts w:cs="Times New Roman"/>
          <w:szCs w:val="24"/>
        </w:rPr>
        <w:t>166 oraz w art.</w:t>
      </w:r>
      <w:r w:rsidR="00EA1F28">
        <w:rPr>
          <w:rFonts w:cs="Times New Roman"/>
          <w:szCs w:val="24"/>
        </w:rPr>
        <w:t xml:space="preserve"> </w:t>
      </w:r>
      <w:r w:rsidRPr="00923FC4">
        <w:rPr>
          <w:rFonts w:cs="Times New Roman"/>
          <w:szCs w:val="24"/>
        </w:rPr>
        <w:t>18</w:t>
      </w:r>
      <w:r w:rsidR="005506CF">
        <w:rPr>
          <w:rFonts w:cs="Times New Roman"/>
          <w:szCs w:val="24"/>
        </w:rPr>
        <w:t>2 unijnego kodeksu celnego i do </w:t>
      </w:r>
      <w:r w:rsidRPr="00923FC4">
        <w:rPr>
          <w:rFonts w:cs="Times New Roman"/>
          <w:szCs w:val="24"/>
        </w:rPr>
        <w:t xml:space="preserve">podmiotów posiadających status upoważnionych przedsiębiorców, tzw. AEO. Dotychczasowy obowiązek przedstawiania zaświadczeń / </w:t>
      </w:r>
      <w:r w:rsidR="005506CF">
        <w:rPr>
          <w:rFonts w:cs="Times New Roman"/>
          <w:szCs w:val="24"/>
        </w:rPr>
        <w:t>oświadczeń o braku zaległości i </w:t>
      </w:r>
      <w:r w:rsidRPr="00923FC4">
        <w:rPr>
          <w:rFonts w:cs="Times New Roman"/>
          <w:szCs w:val="24"/>
        </w:rPr>
        <w:t>potwierdzenia zarejestrowania podatnika jako podatnika VAT czynnego  nie ulega zmianie.</w:t>
      </w:r>
    </w:p>
    <w:p w:rsidR="00923FC4" w:rsidRPr="00923FC4" w:rsidRDefault="00923FC4" w:rsidP="00923FC4">
      <w:pPr>
        <w:spacing w:before="120" w:after="120" w:line="360" w:lineRule="auto"/>
        <w:jc w:val="both"/>
        <w:rPr>
          <w:rFonts w:cs="Times New Roman"/>
          <w:szCs w:val="24"/>
        </w:rPr>
      </w:pPr>
      <w:r w:rsidRPr="00923FC4">
        <w:rPr>
          <w:rFonts w:cs="Times New Roman"/>
          <w:szCs w:val="24"/>
        </w:rPr>
        <w:t>Rozliczeniem podatku bezpośrednio w deklaracji podatkowej będzie mógł być objęty cały import towarów, tj. zarówno objęty uproszczeniami celnymi jak i objęty zgłoszeniami celnymi na ogólnych zasadach. Nie ulega zmianie dotychczasowy obowiązek przedstawiania zaświadczeń / oświadczeń o braku zaległości i potwierdzenia zarejestrowania podatnika jako podatnika VAT czynnego.</w:t>
      </w:r>
    </w:p>
    <w:p w:rsidR="00923FC4" w:rsidRPr="00923FC4" w:rsidRDefault="00923FC4" w:rsidP="00923FC4">
      <w:pPr>
        <w:spacing w:before="120" w:after="120" w:line="360" w:lineRule="auto"/>
        <w:jc w:val="both"/>
        <w:rPr>
          <w:rFonts w:cs="Times New Roman"/>
          <w:szCs w:val="24"/>
        </w:rPr>
      </w:pPr>
      <w:r w:rsidRPr="00923FC4">
        <w:rPr>
          <w:rFonts w:cs="Times New Roman"/>
          <w:szCs w:val="24"/>
        </w:rPr>
        <w:t>Proponowane przepisy utrzymują także odpowiedzialność solidarną przedstawicieli bezpośrednich lub pośrednich, jeżeli działają oni na rzecz podatników nieposiadających statusu AEO lub nieposiadających pozwolenia na procedury uproszczone, o których</w:t>
      </w:r>
      <w:r w:rsidR="005506CF">
        <w:rPr>
          <w:rFonts w:cs="Times New Roman"/>
          <w:szCs w:val="24"/>
        </w:rPr>
        <w:t xml:space="preserve"> mowa w </w:t>
      </w:r>
      <w:r w:rsidRPr="00923FC4">
        <w:rPr>
          <w:rFonts w:cs="Times New Roman"/>
          <w:szCs w:val="24"/>
        </w:rPr>
        <w:t xml:space="preserve">art. 166 i art. 182 unijnego kodeksu celnego. </w:t>
      </w:r>
    </w:p>
    <w:p w:rsidR="00923FC4" w:rsidRPr="00923FC4" w:rsidRDefault="00923FC4" w:rsidP="00923FC4">
      <w:pPr>
        <w:spacing w:before="120" w:after="120" w:line="360" w:lineRule="auto"/>
        <w:jc w:val="both"/>
        <w:rPr>
          <w:rFonts w:cs="Times New Roman"/>
          <w:szCs w:val="24"/>
        </w:rPr>
      </w:pPr>
      <w:r w:rsidRPr="00923FC4">
        <w:rPr>
          <w:rFonts w:cs="Times New Roman"/>
          <w:szCs w:val="24"/>
        </w:rPr>
        <w:t>Rozszerzenie grupy podatników uprawnionych do rozliczenia VAT od importu na zasadach ogólnych powoduje konieczność zmiany ust. 1, 2, 5 i 8, do</w:t>
      </w:r>
      <w:r w:rsidR="005506CF">
        <w:rPr>
          <w:rFonts w:cs="Times New Roman"/>
          <w:szCs w:val="24"/>
        </w:rPr>
        <w:t>danie ust. 2d i ust. 8a,  oraz  </w:t>
      </w:r>
      <w:r w:rsidRPr="00923FC4">
        <w:rPr>
          <w:rFonts w:cs="Times New Roman"/>
          <w:szCs w:val="24"/>
        </w:rPr>
        <w:t>uchylenie</w:t>
      </w:r>
      <w:r w:rsidR="00EA1F28">
        <w:rPr>
          <w:rFonts w:cs="Times New Roman"/>
          <w:szCs w:val="24"/>
        </w:rPr>
        <w:t xml:space="preserve"> ust. 4 i </w:t>
      </w:r>
      <w:r w:rsidRPr="00923FC4">
        <w:rPr>
          <w:rFonts w:cs="Times New Roman"/>
          <w:szCs w:val="24"/>
        </w:rPr>
        <w:t xml:space="preserve"> 12 w art. 33a ustawy VAT).</w:t>
      </w:r>
    </w:p>
    <w:p w:rsidR="00923FC4" w:rsidRPr="00923FC4" w:rsidRDefault="00923FC4" w:rsidP="00923FC4">
      <w:pPr>
        <w:spacing w:before="120" w:after="120" w:line="360" w:lineRule="auto"/>
        <w:jc w:val="both"/>
        <w:rPr>
          <w:rFonts w:cs="Times New Roman"/>
          <w:szCs w:val="24"/>
        </w:rPr>
      </w:pPr>
      <w:r w:rsidRPr="00923FC4">
        <w:rPr>
          <w:rFonts w:cs="Times New Roman"/>
          <w:szCs w:val="24"/>
        </w:rPr>
        <w:t>Ponadto projekt zakłada wprowadzenie zasady, że podatnicy</w:t>
      </w:r>
      <w:r w:rsidR="005506CF">
        <w:rPr>
          <w:rFonts w:cs="Times New Roman"/>
          <w:szCs w:val="24"/>
        </w:rPr>
        <w:t xml:space="preserve"> rozliczający podatek należny z </w:t>
      </w:r>
      <w:r w:rsidRPr="00923FC4">
        <w:rPr>
          <w:rFonts w:cs="Times New Roman"/>
          <w:szCs w:val="24"/>
        </w:rPr>
        <w:t xml:space="preserve">tytułu importu towarów bezpośrednio w deklaracji VAT będą wyłączeni z możliwości </w:t>
      </w:r>
      <w:r w:rsidRPr="00923FC4">
        <w:rPr>
          <w:rFonts w:cs="Times New Roman"/>
          <w:szCs w:val="24"/>
        </w:rPr>
        <w:lastRenderedPageBreak/>
        <w:t>składania kwartalnych deklaracji VAT. Podatnicy będą mogli składać deklaracje kwartalne nie wcześniej niż po upływie 12 miesięcy następujących p</w:t>
      </w:r>
      <w:r w:rsidR="005506CF">
        <w:rPr>
          <w:rFonts w:cs="Times New Roman"/>
          <w:szCs w:val="24"/>
        </w:rPr>
        <w:t>o ostatnim miesiącu kwartału, w </w:t>
      </w:r>
      <w:r w:rsidRPr="00923FC4">
        <w:rPr>
          <w:rFonts w:cs="Times New Roman"/>
          <w:szCs w:val="24"/>
        </w:rPr>
        <w:t xml:space="preserve">którym dokonali importu towarów rozliczanego bezpośrednio w deklaracji podatkowej. Powyższe powoduje konieczność zmiany ust. 3a, dodanie ust. 3d i ust. 4a w art. 99 ustawy VAT. </w:t>
      </w:r>
    </w:p>
    <w:p w:rsidR="00923FC4" w:rsidRPr="00923FC4" w:rsidRDefault="00923FC4" w:rsidP="00923FC4">
      <w:pPr>
        <w:spacing w:before="120" w:after="120" w:line="360" w:lineRule="auto"/>
        <w:jc w:val="both"/>
        <w:rPr>
          <w:rFonts w:cs="Times New Roman"/>
          <w:szCs w:val="24"/>
        </w:rPr>
      </w:pPr>
      <w:r w:rsidRPr="00923FC4">
        <w:rPr>
          <w:rFonts w:cs="Times New Roman"/>
          <w:szCs w:val="24"/>
        </w:rPr>
        <w:t xml:space="preserve">Zmiana ta umożliwi wcześniejsze otrzymywanie informacji od podatników o rozliczeniu importu towarów objętych tym uproszczeniem, a w konsekwencji umożliwi szybszą weryfikację przez KAS pod kątem prawidłowego rozliczenia tego podatku. </w:t>
      </w:r>
    </w:p>
    <w:p w:rsidR="00923FC4" w:rsidRPr="00923FC4" w:rsidRDefault="00923FC4" w:rsidP="00923FC4">
      <w:pPr>
        <w:spacing w:before="120" w:after="120" w:line="360" w:lineRule="auto"/>
        <w:jc w:val="both"/>
        <w:rPr>
          <w:rFonts w:cs="Times New Roman"/>
          <w:szCs w:val="24"/>
        </w:rPr>
      </w:pPr>
      <w:r w:rsidRPr="00923FC4">
        <w:rPr>
          <w:rFonts w:cs="Times New Roman"/>
          <w:szCs w:val="24"/>
        </w:rPr>
        <w:t>Jednocześnie zaproponowano wprowadzenie innych uproszczeń</w:t>
      </w:r>
      <w:r w:rsidR="00EA1F28">
        <w:rPr>
          <w:rFonts w:cs="Times New Roman"/>
          <w:szCs w:val="24"/>
        </w:rPr>
        <w:t xml:space="preserve">, w tym dotyczących </w:t>
      </w:r>
      <w:r w:rsidRPr="00923FC4">
        <w:rPr>
          <w:rFonts w:cs="Times New Roman"/>
          <w:szCs w:val="24"/>
        </w:rPr>
        <w:t>składani</w:t>
      </w:r>
      <w:r w:rsidR="00EA1F28">
        <w:rPr>
          <w:rFonts w:cs="Times New Roman"/>
          <w:szCs w:val="24"/>
        </w:rPr>
        <w:t>a</w:t>
      </w:r>
      <w:r w:rsidRPr="00923FC4">
        <w:rPr>
          <w:rFonts w:cs="Times New Roman"/>
          <w:szCs w:val="24"/>
        </w:rPr>
        <w:t xml:space="preserve"> zaświadczeń /oświadczeń do jednego naczelnika a nie jak obecnie do każdego, przed którym dokonywany jest import i zniesienie obowiązku informowania naczelnika urzędu skarbowo - celne</w:t>
      </w:r>
      <w:r w:rsidR="005506CF">
        <w:rPr>
          <w:rFonts w:cs="Times New Roman"/>
          <w:szCs w:val="24"/>
        </w:rPr>
        <w:t>go i </w:t>
      </w:r>
      <w:r w:rsidRPr="00923FC4">
        <w:rPr>
          <w:rFonts w:cs="Times New Roman"/>
          <w:szCs w:val="24"/>
        </w:rPr>
        <w:t xml:space="preserve">urzędu skarbowego o rozpoczęciu lub o rezygnacji z korzystania z art. 33a (zmiana ust. 2, dodanie ust. 2c i uchylenie ust.4). </w:t>
      </w:r>
      <w:r w:rsidR="00EA1F28">
        <w:rPr>
          <w:rFonts w:cs="Times New Roman"/>
          <w:szCs w:val="24"/>
        </w:rPr>
        <w:t xml:space="preserve">Utworzenie </w:t>
      </w:r>
      <w:r w:rsidRPr="00923FC4">
        <w:rPr>
          <w:rFonts w:cs="Times New Roman"/>
          <w:szCs w:val="24"/>
        </w:rPr>
        <w:t xml:space="preserve"> Krajo</w:t>
      </w:r>
      <w:r w:rsidR="005506CF">
        <w:rPr>
          <w:rFonts w:cs="Times New Roman"/>
          <w:szCs w:val="24"/>
        </w:rPr>
        <w:t>wej Administracji Skarbowej i w </w:t>
      </w:r>
      <w:r w:rsidRPr="00923FC4">
        <w:rPr>
          <w:rFonts w:cs="Times New Roman"/>
          <w:szCs w:val="24"/>
        </w:rPr>
        <w:t>konsekwencji połączenie baz danych urzędów skarbowych i urzędów celno-skarbowych spowodowało, że dostęp do informacji będących w posiadaniu służb celnych i podatkowych został ułatwiony, a tym samym można odciążyć podatników od nadmiernych obowiązków.</w:t>
      </w:r>
    </w:p>
    <w:p w:rsidR="00DD77FD" w:rsidRPr="00B81E7D" w:rsidRDefault="00923FC4" w:rsidP="000A6809">
      <w:pPr>
        <w:numPr>
          <w:ilvl w:val="0"/>
          <w:numId w:val="8"/>
        </w:numPr>
        <w:spacing w:before="120" w:after="120" w:line="360" w:lineRule="auto"/>
        <w:ind w:left="709" w:hanging="425"/>
        <w:jc w:val="both"/>
        <w:rPr>
          <w:rFonts w:cs="Times New Roman"/>
          <w:i/>
          <w:szCs w:val="24"/>
        </w:rPr>
      </w:pPr>
      <w:r w:rsidRPr="00923FC4">
        <w:rPr>
          <w:rFonts w:cs="Times New Roman"/>
          <w:szCs w:val="24"/>
        </w:rPr>
        <w:t xml:space="preserve">Wprowadzenie postulowanych zmian umożliwi poprawę konkurencyjności polskiej gospodarki, w tym przede wszystkim polskich portów przeładunkowych oraz zwiększenie ilości odpraw dokonywanych w Polsce </w:t>
      </w:r>
      <w:r w:rsidR="005506CF">
        <w:rPr>
          <w:rFonts w:cs="Times New Roman"/>
          <w:szCs w:val="24"/>
        </w:rPr>
        <w:t>(co finalnie zwiększy wpływy do </w:t>
      </w:r>
      <w:r w:rsidRPr="00923FC4">
        <w:rPr>
          <w:rFonts w:cs="Times New Roman"/>
          <w:szCs w:val="24"/>
        </w:rPr>
        <w:t xml:space="preserve">budżetu). W innych krajach regulacje </w:t>
      </w:r>
      <w:r w:rsidR="005506CF">
        <w:rPr>
          <w:rFonts w:cs="Times New Roman"/>
          <w:szCs w:val="24"/>
        </w:rPr>
        <w:t>w tym zakresie są korzystne dla </w:t>
      </w:r>
      <w:r w:rsidRPr="00923FC4">
        <w:rPr>
          <w:rFonts w:cs="Times New Roman"/>
          <w:szCs w:val="24"/>
        </w:rPr>
        <w:t>MŚP.</w:t>
      </w:r>
      <w:r w:rsidR="005506CF">
        <w:rPr>
          <w:rFonts w:cs="Times New Roman"/>
          <w:szCs w:val="24"/>
        </w:rPr>
        <w:t xml:space="preserve"> </w:t>
      </w:r>
      <w:r w:rsidR="005422E5" w:rsidRPr="00B81E7D">
        <w:rPr>
          <w:rFonts w:cs="Times New Roman"/>
          <w:i/>
          <w:szCs w:val="24"/>
        </w:rPr>
        <w:t xml:space="preserve">Propozycja zmiany uzupełniającej w zakresie zarządu sukcesyjnego </w:t>
      </w:r>
      <w:r w:rsidR="00DD77FD" w:rsidRPr="00B81E7D">
        <w:rPr>
          <w:rFonts w:cs="Times New Roman"/>
          <w:i/>
          <w:szCs w:val="24"/>
        </w:rPr>
        <w:t xml:space="preserve">(art. </w:t>
      </w:r>
      <w:r w:rsidR="004775F4" w:rsidRPr="00B81E7D">
        <w:rPr>
          <w:rFonts w:cs="Times New Roman"/>
          <w:i/>
          <w:szCs w:val="24"/>
        </w:rPr>
        <w:t>3</w:t>
      </w:r>
      <w:r w:rsidR="004775F4">
        <w:rPr>
          <w:rFonts w:cs="Times New Roman"/>
          <w:i/>
          <w:szCs w:val="24"/>
        </w:rPr>
        <w:t>3</w:t>
      </w:r>
      <w:r w:rsidR="004775F4" w:rsidRPr="00B81E7D">
        <w:rPr>
          <w:rFonts w:cs="Times New Roman"/>
          <w:i/>
          <w:szCs w:val="24"/>
        </w:rPr>
        <w:t xml:space="preserve"> </w:t>
      </w:r>
      <w:r w:rsidR="00DD77FD" w:rsidRPr="00B81E7D">
        <w:rPr>
          <w:rFonts w:cs="Times New Roman"/>
          <w:i/>
          <w:szCs w:val="24"/>
        </w:rPr>
        <w:t>pk</w:t>
      </w:r>
      <w:r w:rsidR="00CF2E0E" w:rsidRPr="00B81E7D">
        <w:rPr>
          <w:rFonts w:cs="Times New Roman"/>
          <w:i/>
          <w:szCs w:val="24"/>
        </w:rPr>
        <w:t>t</w:t>
      </w:r>
      <w:r w:rsidR="00DD77FD" w:rsidRPr="00B81E7D">
        <w:rPr>
          <w:rFonts w:cs="Times New Roman"/>
          <w:i/>
          <w:szCs w:val="24"/>
        </w:rPr>
        <w:t xml:space="preserve"> 3 projektu).</w:t>
      </w:r>
    </w:p>
    <w:p w:rsidR="00A853A8" w:rsidRPr="00B81E7D" w:rsidRDefault="005422E5" w:rsidP="00B421C2">
      <w:pPr>
        <w:spacing w:before="120" w:after="120" w:line="360" w:lineRule="auto"/>
        <w:jc w:val="both"/>
        <w:rPr>
          <w:rFonts w:cs="Times New Roman"/>
          <w:bCs/>
          <w:szCs w:val="24"/>
        </w:rPr>
      </w:pPr>
      <w:r w:rsidRPr="00B81E7D">
        <w:rPr>
          <w:rFonts w:cs="Times New Roman"/>
          <w:szCs w:val="24"/>
        </w:rPr>
        <w:t xml:space="preserve">Propozycja </w:t>
      </w:r>
      <w:r w:rsidRPr="00B81E7D">
        <w:rPr>
          <w:rFonts w:cs="Times New Roman"/>
          <w:bCs/>
          <w:szCs w:val="24"/>
        </w:rPr>
        <w:t>uchylenia ust. 7a w art. 96 ustawy o podatku od towarów i usług jest związana ze zmianą w art. 22 ustawy o CEIDG w zakresie informowania o zarządcy sukcesyjnym (i ewentualnie rezerwo</w:t>
      </w:r>
      <w:r w:rsidR="007200DB" w:rsidRPr="00B81E7D">
        <w:rPr>
          <w:rFonts w:cs="Times New Roman"/>
          <w:bCs/>
          <w:szCs w:val="24"/>
        </w:rPr>
        <w:t>wym zarządcy sukcesyjnym) oraz o</w:t>
      </w:r>
      <w:r w:rsidRPr="00B81E7D">
        <w:rPr>
          <w:rFonts w:cs="Times New Roman"/>
          <w:bCs/>
          <w:szCs w:val="24"/>
        </w:rPr>
        <w:t xml:space="preserve"> zmianach CEIDG przekazywanych do właściwego urzędu skarbowego.</w:t>
      </w:r>
      <w:r w:rsidR="00A76A4B" w:rsidRPr="00B81E7D">
        <w:rPr>
          <w:rFonts w:cs="Times New Roman"/>
          <w:bCs/>
          <w:szCs w:val="24"/>
        </w:rPr>
        <w:t xml:space="preserve"> </w:t>
      </w:r>
      <w:r w:rsidR="00DD2DC8" w:rsidRPr="00B81E7D">
        <w:rPr>
          <w:rFonts w:cs="Times New Roman"/>
          <w:bCs/>
          <w:szCs w:val="24"/>
        </w:rPr>
        <w:t>Nało</w:t>
      </w:r>
      <w:r w:rsidR="00B4541D">
        <w:rPr>
          <w:rFonts w:cs="Times New Roman"/>
          <w:bCs/>
          <w:szCs w:val="24"/>
        </w:rPr>
        <w:t>żony tym przepisem obowiązek na </w:t>
      </w:r>
      <w:r w:rsidR="00DD2DC8" w:rsidRPr="00B81E7D">
        <w:rPr>
          <w:rFonts w:cs="Times New Roman"/>
          <w:bCs/>
          <w:szCs w:val="24"/>
        </w:rPr>
        <w:t>podatnika ma charakter informacyjny i zawiera informacje zawarte w dostępnej dla naczelnika urzędu skarbowego Centralnej Ewidencji i Informacji o Działalności Gospodarczej.</w:t>
      </w:r>
    </w:p>
    <w:p w:rsidR="00E4200B" w:rsidRPr="00B81E7D" w:rsidRDefault="00E4200B" w:rsidP="00B421C2">
      <w:pPr>
        <w:spacing w:line="360" w:lineRule="auto"/>
        <w:jc w:val="both"/>
        <w:rPr>
          <w:rFonts w:cs="Times New Roman"/>
          <w:szCs w:val="24"/>
        </w:rPr>
      </w:pPr>
    </w:p>
    <w:p w:rsidR="00E86BC9" w:rsidRPr="00B81E7D" w:rsidRDefault="00A308FB" w:rsidP="00AD47B7">
      <w:pPr>
        <w:numPr>
          <w:ilvl w:val="0"/>
          <w:numId w:val="2"/>
        </w:numPr>
        <w:spacing w:after="120" w:line="360" w:lineRule="auto"/>
        <w:jc w:val="both"/>
        <w:rPr>
          <w:rFonts w:cs="Times New Roman"/>
          <w:b/>
          <w:szCs w:val="24"/>
        </w:rPr>
      </w:pPr>
      <w:r w:rsidRPr="00B81E7D">
        <w:rPr>
          <w:rFonts w:cs="Times New Roman"/>
          <w:b/>
          <w:szCs w:val="24"/>
        </w:rPr>
        <w:lastRenderedPageBreak/>
        <w:t xml:space="preserve">Zmiana w </w:t>
      </w:r>
      <w:r w:rsidR="00E86BC9" w:rsidRPr="00B81E7D">
        <w:rPr>
          <w:rFonts w:cs="Times New Roman"/>
          <w:b/>
          <w:szCs w:val="24"/>
        </w:rPr>
        <w:t>ustawie z dnia 27 maja 2004 r</w:t>
      </w:r>
      <w:r w:rsidR="00D930B0" w:rsidRPr="00B81E7D">
        <w:rPr>
          <w:rFonts w:cs="Times New Roman"/>
          <w:b/>
          <w:szCs w:val="24"/>
        </w:rPr>
        <w:t>. o funduszach inwestycyjnych i </w:t>
      </w:r>
      <w:r w:rsidR="00E86BC9" w:rsidRPr="00B81E7D">
        <w:rPr>
          <w:rFonts w:cs="Times New Roman"/>
          <w:b/>
          <w:szCs w:val="24"/>
        </w:rPr>
        <w:t xml:space="preserve">zarządzaniu alternatywnymi funduszami inwestycyjnymi </w:t>
      </w:r>
      <w:r w:rsidRPr="00B81E7D">
        <w:rPr>
          <w:rFonts w:cs="Times New Roman"/>
          <w:b/>
          <w:szCs w:val="24"/>
        </w:rPr>
        <w:t xml:space="preserve">(art. </w:t>
      </w:r>
      <w:r w:rsidR="004775F4" w:rsidRPr="00B81E7D">
        <w:rPr>
          <w:rFonts w:cs="Times New Roman"/>
          <w:b/>
          <w:szCs w:val="24"/>
        </w:rPr>
        <w:t>3</w:t>
      </w:r>
      <w:r w:rsidR="004775F4">
        <w:rPr>
          <w:rFonts w:cs="Times New Roman"/>
          <w:b/>
          <w:szCs w:val="24"/>
        </w:rPr>
        <w:t>5</w:t>
      </w:r>
      <w:r w:rsidR="004775F4" w:rsidRPr="00B81E7D">
        <w:rPr>
          <w:rFonts w:cs="Times New Roman"/>
          <w:b/>
          <w:szCs w:val="24"/>
        </w:rPr>
        <w:t xml:space="preserve"> </w:t>
      </w:r>
      <w:r w:rsidRPr="00B81E7D">
        <w:rPr>
          <w:rFonts w:cs="Times New Roman"/>
          <w:b/>
          <w:szCs w:val="24"/>
        </w:rPr>
        <w:t>projektu).</w:t>
      </w:r>
    </w:p>
    <w:p w:rsidR="00C2383B" w:rsidRPr="00B81E7D" w:rsidRDefault="00E86BC9" w:rsidP="00B421C2">
      <w:pPr>
        <w:spacing w:after="120" w:line="360" w:lineRule="auto"/>
        <w:jc w:val="both"/>
        <w:rPr>
          <w:rFonts w:cs="Times New Roman"/>
          <w:szCs w:val="24"/>
        </w:rPr>
      </w:pPr>
      <w:r w:rsidRPr="00B81E7D">
        <w:rPr>
          <w:rFonts w:cs="Times New Roman"/>
          <w:szCs w:val="24"/>
        </w:rPr>
        <w:t>Towarzystwo, które uzyskało zezwolenie na utworzenie fu</w:t>
      </w:r>
      <w:r w:rsidR="00B4541D">
        <w:rPr>
          <w:rFonts w:cs="Times New Roman"/>
          <w:szCs w:val="24"/>
        </w:rPr>
        <w:t>nduszu inwestycyjnego, który ma </w:t>
      </w:r>
      <w:r w:rsidRPr="00B81E7D">
        <w:rPr>
          <w:rFonts w:cs="Times New Roman"/>
          <w:szCs w:val="24"/>
        </w:rPr>
        <w:t>być funduszem przejmującym, składa do sądu wnio</w:t>
      </w:r>
      <w:r w:rsidR="00B4541D">
        <w:rPr>
          <w:rFonts w:cs="Times New Roman"/>
          <w:szCs w:val="24"/>
        </w:rPr>
        <w:t>sek o wpisanie tego funduszu do </w:t>
      </w:r>
      <w:r w:rsidRPr="00B81E7D">
        <w:rPr>
          <w:rFonts w:cs="Times New Roman"/>
          <w:szCs w:val="24"/>
        </w:rPr>
        <w:t xml:space="preserve">rejestru funduszy inwestycyjnych. Do wniosku towarzystwo dołącza m.in. odpis z KRS. </w:t>
      </w:r>
      <w:r w:rsidR="00B4541D">
        <w:rPr>
          <w:rFonts w:cs="Times New Roman"/>
          <w:szCs w:val="24"/>
        </w:rPr>
        <w:t>W </w:t>
      </w:r>
      <w:r w:rsidR="00D930B0" w:rsidRPr="00B81E7D">
        <w:rPr>
          <w:rFonts w:cs="Times New Roman"/>
          <w:szCs w:val="24"/>
        </w:rPr>
        <w:t>związku z </w:t>
      </w:r>
      <w:r w:rsidRPr="00B81E7D">
        <w:rPr>
          <w:rFonts w:cs="Times New Roman"/>
          <w:szCs w:val="24"/>
        </w:rPr>
        <w:t>tym, że organ może samodzielnie ustalić te dane w ogólnodostępnej bazie KRS proponuje się zniesienie tego obowiązku.</w:t>
      </w:r>
    </w:p>
    <w:p w:rsidR="00B432D2" w:rsidRPr="00B81E7D" w:rsidRDefault="00B432D2" w:rsidP="00B421C2">
      <w:pPr>
        <w:spacing w:after="120" w:line="360" w:lineRule="auto"/>
        <w:jc w:val="both"/>
        <w:rPr>
          <w:rFonts w:cs="Times New Roman"/>
          <w:b/>
          <w:szCs w:val="24"/>
        </w:rPr>
      </w:pPr>
    </w:p>
    <w:p w:rsidR="00F27B06" w:rsidRPr="00B81E7D" w:rsidRDefault="00F27B06" w:rsidP="00AD47B7">
      <w:pPr>
        <w:numPr>
          <w:ilvl w:val="0"/>
          <w:numId w:val="2"/>
        </w:numPr>
        <w:spacing w:after="120" w:line="360" w:lineRule="auto"/>
        <w:jc w:val="both"/>
        <w:rPr>
          <w:rFonts w:cs="Times New Roman"/>
          <w:b/>
          <w:szCs w:val="24"/>
        </w:rPr>
      </w:pPr>
      <w:r w:rsidRPr="00B81E7D">
        <w:rPr>
          <w:rFonts w:cs="Times New Roman"/>
          <w:b/>
          <w:szCs w:val="24"/>
        </w:rPr>
        <w:t xml:space="preserve">Zmiana w ustawie z dnia 17 grudnia 2004 r. o odpowiedzialności za naruszenie dyscypliny finansów publicznych (art. </w:t>
      </w:r>
      <w:r w:rsidR="004775F4" w:rsidRPr="00B81E7D">
        <w:rPr>
          <w:rFonts w:cs="Times New Roman"/>
          <w:b/>
          <w:szCs w:val="24"/>
        </w:rPr>
        <w:t>3</w:t>
      </w:r>
      <w:r w:rsidR="004775F4">
        <w:rPr>
          <w:rFonts w:cs="Times New Roman"/>
          <w:b/>
          <w:szCs w:val="24"/>
        </w:rPr>
        <w:t>6</w:t>
      </w:r>
      <w:r w:rsidR="004775F4" w:rsidRPr="00B81E7D">
        <w:rPr>
          <w:rFonts w:cs="Times New Roman"/>
          <w:b/>
          <w:szCs w:val="24"/>
        </w:rPr>
        <w:t xml:space="preserve"> </w:t>
      </w:r>
      <w:r w:rsidRPr="00B81E7D">
        <w:rPr>
          <w:rFonts w:cs="Times New Roman"/>
          <w:b/>
          <w:szCs w:val="24"/>
        </w:rPr>
        <w:t>projektu).</w:t>
      </w:r>
    </w:p>
    <w:p w:rsidR="00F27B06" w:rsidRDefault="00F27B06" w:rsidP="00B421C2">
      <w:pPr>
        <w:spacing w:after="120" w:line="360" w:lineRule="auto"/>
        <w:jc w:val="both"/>
        <w:rPr>
          <w:rFonts w:cs="Times New Roman"/>
          <w:szCs w:val="24"/>
        </w:rPr>
      </w:pPr>
      <w:r w:rsidRPr="00B81E7D">
        <w:rPr>
          <w:rFonts w:cs="Times New Roman"/>
          <w:szCs w:val="24"/>
        </w:rPr>
        <w:t>Zmiana jest komplementarna do zmian proponowanych w Kodeksie postępowania cywilnego.</w:t>
      </w:r>
    </w:p>
    <w:p w:rsidR="00B81E7D" w:rsidRPr="00B81E7D" w:rsidRDefault="00B81E7D" w:rsidP="00B421C2">
      <w:pPr>
        <w:spacing w:after="120" w:line="360" w:lineRule="auto"/>
        <w:jc w:val="both"/>
        <w:rPr>
          <w:rFonts w:cs="Times New Roman"/>
          <w:szCs w:val="24"/>
        </w:rPr>
      </w:pPr>
    </w:p>
    <w:p w:rsidR="00CF114F" w:rsidRPr="00B81E7D" w:rsidRDefault="00CF114F" w:rsidP="00AD47B7">
      <w:pPr>
        <w:numPr>
          <w:ilvl w:val="0"/>
          <w:numId w:val="2"/>
        </w:numPr>
        <w:spacing w:after="120" w:line="360" w:lineRule="auto"/>
        <w:jc w:val="both"/>
        <w:rPr>
          <w:rFonts w:cs="Times New Roman"/>
          <w:b/>
          <w:szCs w:val="24"/>
        </w:rPr>
      </w:pPr>
      <w:r w:rsidRPr="00B81E7D">
        <w:rPr>
          <w:rFonts w:cs="Times New Roman"/>
          <w:b/>
          <w:szCs w:val="24"/>
        </w:rPr>
        <w:t>Zmian</w:t>
      </w:r>
      <w:r w:rsidR="00185561" w:rsidRPr="00B81E7D">
        <w:rPr>
          <w:rFonts w:cs="Times New Roman"/>
          <w:b/>
          <w:szCs w:val="24"/>
        </w:rPr>
        <w:t>a</w:t>
      </w:r>
      <w:r w:rsidRPr="00B81E7D">
        <w:rPr>
          <w:rFonts w:cs="Times New Roman"/>
          <w:b/>
          <w:szCs w:val="24"/>
        </w:rPr>
        <w:t xml:space="preserve"> w ustawie z dnia 18 października 2006 r. </w:t>
      </w:r>
      <w:bookmarkStart w:id="5" w:name="highlightHit_1"/>
      <w:bookmarkEnd w:id="5"/>
      <w:r w:rsidRPr="00B81E7D">
        <w:rPr>
          <w:rFonts w:cs="Times New Roman"/>
          <w:b/>
          <w:szCs w:val="24"/>
        </w:rPr>
        <w:t xml:space="preserve">o </w:t>
      </w:r>
      <w:bookmarkStart w:id="6" w:name="highlightHit_2"/>
      <w:bookmarkEnd w:id="6"/>
      <w:r w:rsidRPr="00B81E7D">
        <w:rPr>
          <w:rFonts w:cs="Times New Roman"/>
          <w:b/>
          <w:szCs w:val="24"/>
        </w:rPr>
        <w:t xml:space="preserve">wyrobie </w:t>
      </w:r>
      <w:bookmarkStart w:id="7" w:name="highlightHit_3"/>
      <w:bookmarkEnd w:id="7"/>
      <w:r w:rsidRPr="00B81E7D">
        <w:rPr>
          <w:rFonts w:cs="Times New Roman"/>
          <w:b/>
          <w:szCs w:val="24"/>
        </w:rPr>
        <w:t xml:space="preserve">napojów </w:t>
      </w:r>
      <w:bookmarkStart w:id="8" w:name="highlightHit_4"/>
      <w:bookmarkEnd w:id="8"/>
      <w:r w:rsidRPr="00B81E7D">
        <w:rPr>
          <w:rFonts w:cs="Times New Roman"/>
          <w:b/>
          <w:szCs w:val="24"/>
        </w:rPr>
        <w:t xml:space="preserve">spirytusowych </w:t>
      </w:r>
      <w:bookmarkStart w:id="9" w:name="highlightHit_5"/>
      <w:bookmarkEnd w:id="9"/>
      <w:r w:rsidRPr="00B81E7D">
        <w:rPr>
          <w:rFonts w:cs="Times New Roman"/>
          <w:b/>
          <w:szCs w:val="24"/>
        </w:rPr>
        <w:t xml:space="preserve">oraz </w:t>
      </w:r>
      <w:bookmarkStart w:id="10" w:name="highlightHit_6"/>
      <w:bookmarkEnd w:id="10"/>
      <w:r w:rsidRPr="00B81E7D">
        <w:rPr>
          <w:rFonts w:cs="Times New Roman"/>
          <w:b/>
          <w:szCs w:val="24"/>
        </w:rPr>
        <w:t xml:space="preserve">o </w:t>
      </w:r>
      <w:bookmarkStart w:id="11" w:name="highlightHit_7"/>
      <w:bookmarkEnd w:id="11"/>
      <w:r w:rsidRPr="00B81E7D">
        <w:rPr>
          <w:rFonts w:cs="Times New Roman"/>
          <w:b/>
          <w:szCs w:val="24"/>
        </w:rPr>
        <w:t xml:space="preserve">rejestracji </w:t>
      </w:r>
      <w:bookmarkStart w:id="12" w:name="highlightHit_8"/>
      <w:bookmarkEnd w:id="12"/>
      <w:r w:rsidRPr="00B81E7D">
        <w:rPr>
          <w:rFonts w:cs="Times New Roman"/>
          <w:b/>
          <w:szCs w:val="24"/>
        </w:rPr>
        <w:t xml:space="preserve">i </w:t>
      </w:r>
      <w:bookmarkStart w:id="13" w:name="highlightHit_9"/>
      <w:bookmarkEnd w:id="13"/>
      <w:r w:rsidRPr="00B81E7D">
        <w:rPr>
          <w:rFonts w:cs="Times New Roman"/>
          <w:b/>
          <w:szCs w:val="24"/>
        </w:rPr>
        <w:t xml:space="preserve">ochronie </w:t>
      </w:r>
      <w:bookmarkStart w:id="14" w:name="highlightHit_10"/>
      <w:bookmarkEnd w:id="14"/>
      <w:r w:rsidRPr="00B81E7D">
        <w:rPr>
          <w:rFonts w:cs="Times New Roman"/>
          <w:b/>
          <w:szCs w:val="24"/>
        </w:rPr>
        <w:t xml:space="preserve">oznaczeń </w:t>
      </w:r>
      <w:bookmarkStart w:id="15" w:name="highlightHit_11"/>
      <w:bookmarkEnd w:id="15"/>
      <w:r w:rsidRPr="00B81E7D">
        <w:rPr>
          <w:rFonts w:cs="Times New Roman"/>
          <w:b/>
          <w:szCs w:val="24"/>
        </w:rPr>
        <w:t xml:space="preserve">geograficznych </w:t>
      </w:r>
      <w:bookmarkStart w:id="16" w:name="highlightHit_12"/>
      <w:bookmarkEnd w:id="16"/>
      <w:r w:rsidRPr="00B81E7D">
        <w:rPr>
          <w:rFonts w:cs="Times New Roman"/>
          <w:b/>
          <w:szCs w:val="24"/>
        </w:rPr>
        <w:t xml:space="preserve">napojów </w:t>
      </w:r>
      <w:bookmarkStart w:id="17" w:name="highlightHit_13"/>
      <w:bookmarkEnd w:id="17"/>
      <w:r w:rsidRPr="00B81E7D">
        <w:rPr>
          <w:rFonts w:cs="Times New Roman"/>
          <w:b/>
          <w:szCs w:val="24"/>
        </w:rPr>
        <w:t xml:space="preserve">spirytusowych </w:t>
      </w:r>
      <w:r w:rsidR="00DF24A0" w:rsidRPr="00B81E7D">
        <w:rPr>
          <w:rFonts w:cs="Times New Roman"/>
          <w:b/>
          <w:szCs w:val="24"/>
        </w:rPr>
        <w:t xml:space="preserve">(art. </w:t>
      </w:r>
      <w:r w:rsidR="004775F4" w:rsidRPr="00B81E7D">
        <w:rPr>
          <w:rFonts w:cs="Times New Roman"/>
          <w:b/>
          <w:szCs w:val="24"/>
        </w:rPr>
        <w:t>3</w:t>
      </w:r>
      <w:r w:rsidR="004775F4">
        <w:rPr>
          <w:rFonts w:cs="Times New Roman"/>
          <w:b/>
          <w:szCs w:val="24"/>
        </w:rPr>
        <w:t>8</w:t>
      </w:r>
      <w:r w:rsidR="004775F4" w:rsidRPr="00B81E7D">
        <w:rPr>
          <w:rFonts w:cs="Times New Roman"/>
          <w:b/>
          <w:szCs w:val="24"/>
        </w:rPr>
        <w:t xml:space="preserve"> </w:t>
      </w:r>
      <w:r w:rsidR="00DF24A0" w:rsidRPr="00B81E7D">
        <w:rPr>
          <w:rFonts w:cs="Times New Roman"/>
          <w:b/>
          <w:szCs w:val="24"/>
        </w:rPr>
        <w:t>projektu).</w:t>
      </w:r>
    </w:p>
    <w:p w:rsidR="003B0A45" w:rsidRPr="00B81E7D" w:rsidRDefault="007200DB" w:rsidP="00B421C2">
      <w:pPr>
        <w:spacing w:after="120" w:line="360" w:lineRule="auto"/>
        <w:jc w:val="both"/>
        <w:rPr>
          <w:rFonts w:cs="Times New Roman"/>
          <w:szCs w:val="24"/>
        </w:rPr>
      </w:pPr>
      <w:r w:rsidRPr="00B81E7D">
        <w:rPr>
          <w:rFonts w:cs="Times New Roman"/>
          <w:szCs w:val="24"/>
        </w:rPr>
        <w:t>Aktualnie wniosek</w:t>
      </w:r>
      <w:r w:rsidR="003B0A45" w:rsidRPr="00B81E7D">
        <w:rPr>
          <w:rFonts w:cs="Times New Roman"/>
          <w:szCs w:val="24"/>
        </w:rPr>
        <w:t xml:space="preserve"> składa się na piśmi</w:t>
      </w:r>
      <w:r w:rsidR="00D32662" w:rsidRPr="00B81E7D">
        <w:rPr>
          <w:rFonts w:cs="Times New Roman"/>
          <w:szCs w:val="24"/>
        </w:rPr>
        <w:t>e w formie papierowej w 2 egzemplarzach</w:t>
      </w:r>
      <w:r w:rsidR="00B4541D">
        <w:rPr>
          <w:rFonts w:cs="Times New Roman"/>
          <w:szCs w:val="24"/>
        </w:rPr>
        <w:t xml:space="preserve"> oraz na </w:t>
      </w:r>
      <w:r w:rsidR="003B0A45" w:rsidRPr="00B81E7D">
        <w:rPr>
          <w:rFonts w:cs="Times New Roman"/>
          <w:szCs w:val="24"/>
        </w:rPr>
        <w:t xml:space="preserve">informatycznym nośniku danych. Proponuje się zmianę procedury, aby umożliwić przedkładanie wniosku </w:t>
      </w:r>
      <w:r w:rsidR="003C2E38" w:rsidRPr="00B81E7D">
        <w:rPr>
          <w:rFonts w:cs="Times New Roman"/>
          <w:szCs w:val="24"/>
        </w:rPr>
        <w:t>na informatycznym nośniku danych albo przy użyciu elektronicznej skrzynki podawczej ministra właś</w:t>
      </w:r>
      <w:r w:rsidRPr="00B81E7D">
        <w:rPr>
          <w:rFonts w:cs="Times New Roman"/>
          <w:szCs w:val="24"/>
        </w:rPr>
        <w:t>ciwego do spraw rynków rolnych.</w:t>
      </w:r>
    </w:p>
    <w:p w:rsidR="003B0A45" w:rsidRPr="00B81E7D" w:rsidRDefault="003B0A45" w:rsidP="00B421C2">
      <w:pPr>
        <w:spacing w:after="120" w:line="360" w:lineRule="auto"/>
        <w:jc w:val="both"/>
        <w:rPr>
          <w:rFonts w:cs="Times New Roman"/>
          <w:b/>
          <w:szCs w:val="24"/>
        </w:rPr>
      </w:pPr>
    </w:p>
    <w:p w:rsidR="00CF114F" w:rsidRPr="00B81E7D" w:rsidRDefault="00CF114F" w:rsidP="00AD47B7">
      <w:pPr>
        <w:numPr>
          <w:ilvl w:val="0"/>
          <w:numId w:val="2"/>
        </w:numPr>
        <w:spacing w:after="120" w:line="360" w:lineRule="auto"/>
        <w:jc w:val="both"/>
        <w:rPr>
          <w:rFonts w:cs="Times New Roman"/>
          <w:b/>
          <w:szCs w:val="24"/>
        </w:rPr>
      </w:pPr>
      <w:r w:rsidRPr="00B81E7D">
        <w:rPr>
          <w:rFonts w:cs="Times New Roman"/>
          <w:b/>
          <w:szCs w:val="24"/>
        </w:rPr>
        <w:t>Zmian</w:t>
      </w:r>
      <w:r w:rsidR="00E14120" w:rsidRPr="00B81E7D">
        <w:rPr>
          <w:rFonts w:cs="Times New Roman"/>
          <w:b/>
          <w:szCs w:val="24"/>
        </w:rPr>
        <w:t>a</w:t>
      </w:r>
      <w:r w:rsidRPr="00B81E7D">
        <w:rPr>
          <w:rFonts w:cs="Times New Roman"/>
          <w:b/>
          <w:szCs w:val="24"/>
        </w:rPr>
        <w:t xml:space="preserve"> w ustawie z dnia 16 listopada 2006 r. o opłacie skarbowej </w:t>
      </w:r>
      <w:r w:rsidR="00E01AAE">
        <w:rPr>
          <w:rFonts w:cs="Times New Roman"/>
          <w:b/>
          <w:szCs w:val="24"/>
        </w:rPr>
        <w:t>(art. </w:t>
      </w:r>
      <w:r w:rsidR="004775F4" w:rsidRPr="00B81E7D">
        <w:rPr>
          <w:rFonts w:cs="Times New Roman"/>
          <w:b/>
          <w:szCs w:val="24"/>
        </w:rPr>
        <w:t>3</w:t>
      </w:r>
      <w:r w:rsidR="00E01AAE">
        <w:rPr>
          <w:rFonts w:cs="Times New Roman"/>
          <w:b/>
          <w:szCs w:val="24"/>
        </w:rPr>
        <w:t>9 </w:t>
      </w:r>
      <w:r w:rsidR="004775F4" w:rsidRPr="00B81E7D">
        <w:rPr>
          <w:rFonts w:cs="Times New Roman"/>
          <w:b/>
          <w:szCs w:val="24"/>
        </w:rPr>
        <w:t>projektu</w:t>
      </w:r>
      <w:r w:rsidR="008D285C" w:rsidRPr="00B81E7D">
        <w:rPr>
          <w:rFonts w:cs="Times New Roman"/>
          <w:b/>
          <w:szCs w:val="24"/>
        </w:rPr>
        <w:t>).</w:t>
      </w:r>
    </w:p>
    <w:p w:rsidR="00CF2E0E" w:rsidRPr="00B81E7D" w:rsidRDefault="00CF2E0E" w:rsidP="000A6809">
      <w:pPr>
        <w:numPr>
          <w:ilvl w:val="0"/>
          <w:numId w:val="17"/>
        </w:numPr>
        <w:spacing w:before="120" w:after="120" w:line="360" w:lineRule="auto"/>
        <w:ind w:left="709" w:hanging="425"/>
        <w:jc w:val="both"/>
        <w:rPr>
          <w:rFonts w:cs="Times New Roman"/>
          <w:i/>
          <w:szCs w:val="24"/>
        </w:rPr>
      </w:pPr>
      <w:r w:rsidRPr="00B81E7D">
        <w:rPr>
          <w:rFonts w:cs="Times New Roman"/>
          <w:i/>
          <w:szCs w:val="24"/>
        </w:rPr>
        <w:t xml:space="preserve">Zwolnienie z opłaty skarbowej przy dokonywaniu wpisu do Rejestru operatorów pocztowych (art. </w:t>
      </w:r>
      <w:r w:rsidR="004775F4">
        <w:rPr>
          <w:rFonts w:cs="Times New Roman"/>
          <w:i/>
          <w:szCs w:val="24"/>
        </w:rPr>
        <w:t>39</w:t>
      </w:r>
      <w:r w:rsidR="004775F4" w:rsidRPr="00B81E7D">
        <w:rPr>
          <w:rFonts w:cs="Times New Roman"/>
          <w:i/>
          <w:szCs w:val="24"/>
        </w:rPr>
        <w:t xml:space="preserve"> </w:t>
      </w:r>
      <w:r w:rsidRPr="00B81E7D">
        <w:rPr>
          <w:rFonts w:cs="Times New Roman"/>
          <w:i/>
          <w:szCs w:val="24"/>
        </w:rPr>
        <w:t>pkt 1 projektu).</w:t>
      </w:r>
    </w:p>
    <w:p w:rsidR="007200DB" w:rsidRPr="00B81E7D" w:rsidRDefault="00156B24" w:rsidP="00B421C2">
      <w:pPr>
        <w:spacing w:before="120" w:line="360" w:lineRule="auto"/>
        <w:jc w:val="both"/>
        <w:rPr>
          <w:rFonts w:cs="Times New Roman"/>
          <w:szCs w:val="24"/>
        </w:rPr>
      </w:pPr>
      <w:r w:rsidRPr="00B81E7D">
        <w:rPr>
          <w:rFonts w:cs="Times New Roman"/>
          <w:szCs w:val="24"/>
        </w:rPr>
        <w:t xml:space="preserve">Zgodnie z </w:t>
      </w:r>
      <w:r w:rsidR="002A5FF9" w:rsidRPr="00B81E7D">
        <w:rPr>
          <w:rFonts w:cs="Times New Roman"/>
          <w:szCs w:val="24"/>
        </w:rPr>
        <w:t>wcześniej</w:t>
      </w:r>
      <w:r w:rsidRPr="00B81E7D">
        <w:rPr>
          <w:rFonts w:cs="Times New Roman"/>
          <w:szCs w:val="24"/>
        </w:rPr>
        <w:t xml:space="preserve"> obowiązującym art. 64 ust. 2 ustawy z dnia 2 lipca 2004 r. o swobodzie działalności gospodarczej, w związku z art. 1 ust. 1 pkt 1 lit. a ustawy z dnia 16 listopada 2006 r. o opłacie skarbowej dokonanie wpisu do Rejestru operatorów pocztowych prowadzonego przez Prezesa UKE podlega opłacie skarbowej w kwocie 412 zł, </w:t>
      </w:r>
      <w:r w:rsidR="00ED2328" w:rsidRPr="00B81E7D">
        <w:rPr>
          <w:rFonts w:cs="Times New Roman"/>
          <w:szCs w:val="24"/>
        </w:rPr>
        <w:t>zgodnie z </w:t>
      </w:r>
      <w:r w:rsidR="00367FD6" w:rsidRPr="00B81E7D">
        <w:rPr>
          <w:rFonts w:cs="Times New Roman"/>
          <w:szCs w:val="24"/>
        </w:rPr>
        <w:t>częścią I ust. 36 pkt 9 załącznika do ustawy o opłacie skarbowej.</w:t>
      </w:r>
      <w:r w:rsidR="00B4541D">
        <w:rPr>
          <w:rFonts w:cs="Times New Roman"/>
          <w:szCs w:val="24"/>
        </w:rPr>
        <w:t xml:space="preserve"> Należy wyjaśnić, że </w:t>
      </w:r>
      <w:r w:rsidRPr="00B81E7D">
        <w:rPr>
          <w:rFonts w:cs="Times New Roman"/>
          <w:szCs w:val="24"/>
        </w:rPr>
        <w:t>dokonanie wpisu do rejestru na podstawie ustawy z </w:t>
      </w:r>
      <w:r w:rsidR="00C803D3" w:rsidRPr="00B81E7D">
        <w:rPr>
          <w:rFonts w:cs="Times New Roman"/>
          <w:szCs w:val="24"/>
        </w:rPr>
        <w:t xml:space="preserve">dnia </w:t>
      </w:r>
      <w:r w:rsidR="006D4247">
        <w:rPr>
          <w:rFonts w:cs="Times New Roman"/>
          <w:szCs w:val="24"/>
        </w:rPr>
        <w:t>6</w:t>
      </w:r>
      <w:r w:rsidR="00C803D3" w:rsidRPr="00B81E7D">
        <w:rPr>
          <w:rFonts w:cs="Times New Roman"/>
          <w:szCs w:val="24"/>
        </w:rPr>
        <w:t> </w:t>
      </w:r>
      <w:r w:rsidRPr="00B81E7D">
        <w:rPr>
          <w:rFonts w:cs="Times New Roman"/>
          <w:szCs w:val="24"/>
        </w:rPr>
        <w:t xml:space="preserve">marca 2018 r. </w:t>
      </w:r>
      <w:r w:rsidR="00145ED2">
        <w:rPr>
          <w:rFonts w:cs="Times New Roman"/>
          <w:szCs w:val="24"/>
        </w:rPr>
        <w:t xml:space="preserve">- </w:t>
      </w:r>
      <w:r w:rsidRPr="00B81E7D">
        <w:rPr>
          <w:rFonts w:cs="Times New Roman"/>
          <w:szCs w:val="24"/>
        </w:rPr>
        <w:t xml:space="preserve">Prawo </w:t>
      </w:r>
      <w:r w:rsidRPr="00B81E7D">
        <w:rPr>
          <w:rFonts w:cs="Times New Roman"/>
          <w:szCs w:val="24"/>
        </w:rPr>
        <w:lastRenderedPageBreak/>
        <w:t>przedsiębiorców, pomimo braku analogicznej regulacji w art. 64 ust</w:t>
      </w:r>
      <w:r w:rsidR="00C803D3" w:rsidRPr="00B81E7D">
        <w:rPr>
          <w:rFonts w:cs="Times New Roman"/>
          <w:szCs w:val="24"/>
        </w:rPr>
        <w:t>. 2 </w:t>
      </w:r>
      <w:r w:rsidRPr="00B81E7D">
        <w:rPr>
          <w:rFonts w:cs="Times New Roman"/>
          <w:szCs w:val="24"/>
        </w:rPr>
        <w:t>ustawy o swobodzie działalności gospodarczej, również podlegać będzie opłacie skarbowej, zgodnie z przepisami ustawy o opłacie skarbowej. Przyrost nowych podmiotów jest stosunkowo niewielki w skali roku i utrzymuje się on na wyrównanym poziomie. Roczny</w:t>
      </w:r>
      <w:r w:rsidR="00B4541D">
        <w:rPr>
          <w:rFonts w:cs="Times New Roman"/>
          <w:szCs w:val="24"/>
        </w:rPr>
        <w:t xml:space="preserve"> przychód z dokonanych opłat za </w:t>
      </w:r>
      <w:r w:rsidRPr="00B81E7D">
        <w:rPr>
          <w:rFonts w:cs="Times New Roman"/>
          <w:szCs w:val="24"/>
        </w:rPr>
        <w:t>wpis do rejestru jest stosunkowo niski, natomiast zwolnienie z opłaty skarbowej stanowiłoby duże ułatwienie dla przedsiębiorców i otworzyłoby rynek dla mniejszych podmiotów (osoby fizyczne prowadzące jednoosobową działalność gospodarczą). Zwolnienie z opłaty za wpis mogłoby również przyczynić się do wyeliminowania problemu „wiecznie zawieszonych podmiotów w rejestrze”. Należy wyjaśnić, że zgodnie z przepisami Prawa pocztowego przedsiębiorcy mogą zawiesić wykonywa</w:t>
      </w:r>
      <w:r w:rsidR="00B4541D">
        <w:rPr>
          <w:rFonts w:cs="Times New Roman"/>
          <w:szCs w:val="24"/>
        </w:rPr>
        <w:t>nie działalności pocztowej, bez </w:t>
      </w:r>
      <w:r w:rsidRPr="00B81E7D">
        <w:rPr>
          <w:rFonts w:cs="Times New Roman"/>
          <w:szCs w:val="24"/>
        </w:rPr>
        <w:t xml:space="preserve">wskazania daty końcowej tego zawieszenia. Obecnie w rejestrze widnieje wiele podmiotów, które od lat (przykładowo 15 lat) nie prowadzą działalności pocztowej, nie </w:t>
      </w:r>
      <w:r w:rsidR="00ED2328" w:rsidRPr="00B81E7D">
        <w:rPr>
          <w:rFonts w:cs="Times New Roman"/>
          <w:szCs w:val="24"/>
        </w:rPr>
        <w:t>chcą jednak wykreślać się z </w:t>
      </w:r>
      <w:r w:rsidRPr="00B81E7D">
        <w:rPr>
          <w:rFonts w:cs="Times New Roman"/>
          <w:szCs w:val="24"/>
        </w:rPr>
        <w:t>rejestru. Fakt ponoszenia opłaty za dokonanie wpisu może powodować sytuację, iż po zakończeniu wykonywania działalności pocztowej operator woli „na wszelki wypadek” nie wykreślać się z rejestru. Ponadto należy zauważ</w:t>
      </w:r>
      <w:r w:rsidR="00B4541D">
        <w:rPr>
          <w:rFonts w:cs="Times New Roman"/>
          <w:szCs w:val="24"/>
        </w:rPr>
        <w:t>yć, że analogicznie wpis do </w:t>
      </w:r>
      <w:r w:rsidRPr="00B81E7D">
        <w:rPr>
          <w:rFonts w:cs="Times New Roman"/>
          <w:szCs w:val="24"/>
        </w:rPr>
        <w:t>Rejestru przedsiębiorców telekomunikacyjnych prowadzony prz</w:t>
      </w:r>
      <w:r w:rsidR="00B4541D">
        <w:rPr>
          <w:rFonts w:cs="Times New Roman"/>
          <w:szCs w:val="24"/>
        </w:rPr>
        <w:t>ez Prezesa UKE jest </w:t>
      </w:r>
      <w:r w:rsidR="00ED2328" w:rsidRPr="00B81E7D">
        <w:rPr>
          <w:rFonts w:cs="Times New Roman"/>
          <w:szCs w:val="24"/>
        </w:rPr>
        <w:t>zwolniony z </w:t>
      </w:r>
      <w:r w:rsidRPr="00B81E7D">
        <w:rPr>
          <w:rFonts w:cs="Times New Roman"/>
          <w:szCs w:val="24"/>
        </w:rPr>
        <w:t xml:space="preserve">opłaty skarbowej. </w:t>
      </w:r>
    </w:p>
    <w:p w:rsidR="00156B24" w:rsidRPr="00B81E7D" w:rsidRDefault="00156B24" w:rsidP="00B421C2">
      <w:pPr>
        <w:spacing w:before="120" w:line="360" w:lineRule="auto"/>
        <w:jc w:val="both"/>
        <w:rPr>
          <w:rFonts w:cs="Times New Roman"/>
          <w:szCs w:val="24"/>
        </w:rPr>
      </w:pPr>
      <w:r w:rsidRPr="00B81E7D">
        <w:rPr>
          <w:rFonts w:cs="Times New Roman"/>
          <w:szCs w:val="24"/>
        </w:rPr>
        <w:t>Jednocześnie mając na względzie ujednolicenie oraz elektronizację procedur administracyjnych, zwolnienie z opłaty skarbowej umożliw</w:t>
      </w:r>
      <w:r w:rsidR="00ED2328" w:rsidRPr="00B81E7D">
        <w:rPr>
          <w:rFonts w:cs="Times New Roman"/>
          <w:szCs w:val="24"/>
        </w:rPr>
        <w:t>iłoby wprowadzenie w </w:t>
      </w:r>
      <w:r w:rsidRPr="00B81E7D">
        <w:rPr>
          <w:rFonts w:cs="Times New Roman"/>
          <w:szCs w:val="24"/>
        </w:rPr>
        <w:t>pełni elektronicznej formy składania wniosków o wpis do rejestru. Obecnie proces ten nie może przebiegać w pełni elektronicznie z uwagi na wymóg przedłożenia oryginału dowodu wniesienia opłaty skarbowej za wpis. Pomimo złożenia wniosku</w:t>
      </w:r>
      <w:r w:rsidR="00ED2328" w:rsidRPr="00B81E7D">
        <w:rPr>
          <w:rFonts w:cs="Times New Roman"/>
          <w:szCs w:val="24"/>
        </w:rPr>
        <w:t xml:space="preserve"> w formie elektronicznej, w </w:t>
      </w:r>
      <w:r w:rsidRPr="00B81E7D">
        <w:rPr>
          <w:rFonts w:cs="Times New Roman"/>
          <w:szCs w:val="24"/>
        </w:rPr>
        <w:t>przypadku gdy opłata została uiszczona w tradycyjnej formie (np. na poczcie), należy dosłać oryginał dokumentu do UKE pocztą.</w:t>
      </w:r>
    </w:p>
    <w:p w:rsidR="00CF2E0E" w:rsidRPr="00B81E7D" w:rsidRDefault="007F10C8" w:rsidP="000A6809">
      <w:pPr>
        <w:numPr>
          <w:ilvl w:val="0"/>
          <w:numId w:val="17"/>
        </w:numPr>
        <w:spacing w:before="120" w:after="120" w:line="360" w:lineRule="auto"/>
        <w:ind w:left="709" w:hanging="425"/>
        <w:jc w:val="both"/>
        <w:rPr>
          <w:rFonts w:cs="Times New Roman"/>
          <w:i/>
          <w:szCs w:val="24"/>
        </w:rPr>
      </w:pPr>
      <w:r w:rsidRPr="00B81E7D">
        <w:rPr>
          <w:rFonts w:cs="Times New Roman"/>
          <w:i/>
          <w:szCs w:val="24"/>
        </w:rPr>
        <w:t>Zwolnienie z opłat za wydanie decyzji o wpisie</w:t>
      </w:r>
      <w:r w:rsidR="00B4541D">
        <w:rPr>
          <w:rFonts w:cs="Times New Roman"/>
          <w:i/>
          <w:szCs w:val="24"/>
        </w:rPr>
        <w:t xml:space="preserve"> do rejestru dostawcy usług lub </w:t>
      </w:r>
      <w:r w:rsidRPr="00B81E7D">
        <w:rPr>
          <w:rFonts w:cs="Times New Roman"/>
          <w:i/>
          <w:szCs w:val="24"/>
        </w:rPr>
        <w:t xml:space="preserve">kwalifikowanej usługi zaufania (art. </w:t>
      </w:r>
      <w:r w:rsidR="004775F4">
        <w:rPr>
          <w:rFonts w:cs="Times New Roman"/>
          <w:i/>
          <w:szCs w:val="24"/>
        </w:rPr>
        <w:t>39</w:t>
      </w:r>
      <w:r w:rsidR="004775F4" w:rsidRPr="00B81E7D">
        <w:rPr>
          <w:rFonts w:cs="Times New Roman"/>
          <w:i/>
          <w:szCs w:val="24"/>
        </w:rPr>
        <w:t xml:space="preserve"> </w:t>
      </w:r>
      <w:r w:rsidRPr="00B81E7D">
        <w:rPr>
          <w:rFonts w:cs="Times New Roman"/>
          <w:i/>
          <w:szCs w:val="24"/>
        </w:rPr>
        <w:t>pkt 2 projektu).</w:t>
      </w:r>
    </w:p>
    <w:p w:rsidR="003B0A45" w:rsidRPr="00B81E7D" w:rsidRDefault="00170E4D" w:rsidP="00B421C2">
      <w:pPr>
        <w:spacing w:after="120" w:line="360" w:lineRule="auto"/>
        <w:jc w:val="both"/>
        <w:rPr>
          <w:rFonts w:cs="Times New Roman"/>
          <w:bCs/>
          <w:szCs w:val="24"/>
        </w:rPr>
      </w:pPr>
      <w:r w:rsidRPr="00B81E7D">
        <w:rPr>
          <w:rFonts w:cs="Times New Roman"/>
          <w:bCs/>
          <w:szCs w:val="24"/>
        </w:rPr>
        <w:t>Proponowana zmiana ma na celu usunięcie opłaty za decyzje</w:t>
      </w:r>
      <w:r w:rsidR="00B4541D">
        <w:rPr>
          <w:rFonts w:cs="Times New Roman"/>
          <w:bCs/>
          <w:szCs w:val="24"/>
        </w:rPr>
        <w:t xml:space="preserve"> administracyjne w wysokości 10 </w:t>
      </w:r>
      <w:r w:rsidRPr="00B81E7D">
        <w:rPr>
          <w:rFonts w:cs="Times New Roman"/>
          <w:bCs/>
          <w:szCs w:val="24"/>
        </w:rPr>
        <w:t>zł, które w skali całego okresu funkcjonowania ustawy przyniosły ok. 260 zł dochodu. Procedura wymaga uruchomienia wpłaty przez służby księgowe składającego wniosek o wydanie decyzji administracyjnej oraz powoduje konieczność dokumentowania symbolicznej wpłaty dla uzyskania decyzji.</w:t>
      </w:r>
    </w:p>
    <w:p w:rsidR="004D6469" w:rsidRPr="00B81E7D" w:rsidRDefault="004D6469" w:rsidP="00B421C2">
      <w:pPr>
        <w:pStyle w:val="ARTartustawynprozporzdzenia"/>
        <w:spacing w:after="120"/>
        <w:ind w:firstLine="0"/>
        <w:rPr>
          <w:rFonts w:ascii="Times New Roman" w:hAnsi="Times New Roman" w:cs="Times New Roman"/>
          <w:szCs w:val="24"/>
        </w:rPr>
      </w:pPr>
    </w:p>
    <w:p w:rsidR="00CF114F" w:rsidRPr="00B81E7D" w:rsidRDefault="00CF114F" w:rsidP="00AD47B7">
      <w:pPr>
        <w:numPr>
          <w:ilvl w:val="0"/>
          <w:numId w:val="2"/>
        </w:numPr>
        <w:spacing w:after="120" w:line="360" w:lineRule="auto"/>
        <w:jc w:val="both"/>
        <w:rPr>
          <w:rFonts w:cs="Times New Roman"/>
          <w:b/>
          <w:szCs w:val="24"/>
        </w:rPr>
      </w:pPr>
      <w:r w:rsidRPr="00B81E7D">
        <w:rPr>
          <w:rFonts w:cs="Times New Roman"/>
          <w:b/>
          <w:szCs w:val="24"/>
        </w:rPr>
        <w:lastRenderedPageBreak/>
        <w:t>Zmian</w:t>
      </w:r>
      <w:r w:rsidR="00BE2A3A" w:rsidRPr="00B81E7D">
        <w:rPr>
          <w:rFonts w:cs="Times New Roman"/>
          <w:b/>
          <w:szCs w:val="24"/>
        </w:rPr>
        <w:t>a</w:t>
      </w:r>
      <w:r w:rsidRPr="00B81E7D">
        <w:rPr>
          <w:rFonts w:cs="Times New Roman"/>
          <w:b/>
          <w:szCs w:val="24"/>
        </w:rPr>
        <w:t xml:space="preserve"> w ustawie z dnia</w:t>
      </w:r>
      <w:r w:rsidRPr="00B81E7D">
        <w:rPr>
          <w:rFonts w:eastAsia="Calibri" w:cs="Times New Roman"/>
          <w:b/>
          <w:szCs w:val="24"/>
        </w:rPr>
        <w:t xml:space="preserve"> </w:t>
      </w:r>
      <w:r w:rsidRPr="00B81E7D">
        <w:rPr>
          <w:rFonts w:cs="Times New Roman"/>
          <w:b/>
          <w:szCs w:val="24"/>
        </w:rPr>
        <w:t xml:space="preserve">16 lutego 2007 r. o zapasach ropy naftowej, produktów naftowych i gazu ziemnego oraz zasadach postępowania w sytuacjach zagrożenia bezpieczeństwa paliwowego państwa i zakłóceń na rynku naftowym </w:t>
      </w:r>
      <w:r w:rsidR="008D285C" w:rsidRPr="00B81E7D">
        <w:rPr>
          <w:rFonts w:cs="Times New Roman"/>
          <w:b/>
          <w:szCs w:val="24"/>
        </w:rPr>
        <w:t xml:space="preserve">(art. </w:t>
      </w:r>
      <w:r w:rsidR="004775F4">
        <w:rPr>
          <w:rFonts w:cs="Times New Roman"/>
          <w:b/>
          <w:szCs w:val="24"/>
        </w:rPr>
        <w:t>40</w:t>
      </w:r>
      <w:r w:rsidR="004775F4" w:rsidRPr="00B81E7D">
        <w:rPr>
          <w:rFonts w:cs="Times New Roman"/>
          <w:b/>
          <w:szCs w:val="24"/>
        </w:rPr>
        <w:t xml:space="preserve"> </w:t>
      </w:r>
      <w:r w:rsidR="008D285C" w:rsidRPr="00B81E7D">
        <w:rPr>
          <w:rFonts w:cs="Times New Roman"/>
          <w:b/>
          <w:szCs w:val="24"/>
        </w:rPr>
        <w:t>projektu).</w:t>
      </w:r>
    </w:p>
    <w:p w:rsidR="00535531" w:rsidRPr="00B81E7D" w:rsidRDefault="002A143F" w:rsidP="00B421C2">
      <w:pPr>
        <w:spacing w:before="120" w:after="120" w:line="360" w:lineRule="auto"/>
        <w:jc w:val="both"/>
        <w:rPr>
          <w:rFonts w:cs="Times New Roman"/>
          <w:szCs w:val="24"/>
        </w:rPr>
      </w:pPr>
      <w:r w:rsidRPr="00B81E7D">
        <w:rPr>
          <w:rFonts w:cs="Times New Roman"/>
          <w:szCs w:val="24"/>
        </w:rPr>
        <w:t>Proponuje się zmianę częstotliwości przekazywania informacji przez producentów i handlowców do ministr</w:t>
      </w:r>
      <w:r w:rsidR="00535531" w:rsidRPr="00B81E7D">
        <w:rPr>
          <w:rFonts w:cs="Times New Roman"/>
          <w:szCs w:val="24"/>
        </w:rPr>
        <w:t>a właściwego do spraw energii</w:t>
      </w:r>
      <w:r w:rsidRPr="00B81E7D">
        <w:rPr>
          <w:rFonts w:cs="Times New Roman"/>
          <w:szCs w:val="24"/>
        </w:rPr>
        <w:t xml:space="preserve"> o poniesionych </w:t>
      </w:r>
      <w:r w:rsidR="00F27B06" w:rsidRPr="00B81E7D">
        <w:rPr>
          <w:rFonts w:cs="Times New Roman"/>
          <w:szCs w:val="24"/>
        </w:rPr>
        <w:t xml:space="preserve">w poprzednim roku kalendarzowym </w:t>
      </w:r>
      <w:r w:rsidRPr="00B81E7D">
        <w:rPr>
          <w:rFonts w:cs="Times New Roman"/>
          <w:szCs w:val="24"/>
        </w:rPr>
        <w:t>kosztach tworzenia i utrzymywania zapasów obowiązkowych ropy naftowej lub paliw. W obecnym stanie prawnym ten obowiązek mus</w:t>
      </w:r>
      <w:r w:rsidR="00B4541D">
        <w:rPr>
          <w:rFonts w:cs="Times New Roman"/>
          <w:szCs w:val="24"/>
        </w:rPr>
        <w:t>i być spełniony co kwartał. Cel </w:t>
      </w:r>
      <w:r w:rsidRPr="00B81E7D">
        <w:rPr>
          <w:rFonts w:cs="Times New Roman"/>
          <w:szCs w:val="24"/>
        </w:rPr>
        <w:t xml:space="preserve">tego przepisu, jakim jest pozyskanie informacji o kosztach funkcjonowania systemu zapasów, może być osiągnięty również poprzez wprowadzenie obowiązku przekazywania informacji rocznej, co stanowić będzie ułatwienie dla podmiotów zobowiązanych. Ponadto, termin przekazywania informacji o kosztach został skorelowany z jednoczesnym obowiązkiem przekazywania informacji do Prezesa Agencji Rezerw Materiałowych o ilości zapasów obowiązkowych ropy naftowej lub paliw, do utworzenia których producenci i handlowcy są obowiązani w danym roku kalendarzowym - w terminie </w:t>
      </w:r>
      <w:r w:rsidR="00B4541D">
        <w:rPr>
          <w:rFonts w:cs="Times New Roman"/>
          <w:szCs w:val="24"/>
        </w:rPr>
        <w:t>do dnia 1 marca (art. </w:t>
      </w:r>
      <w:r w:rsidR="00535531" w:rsidRPr="00B81E7D">
        <w:rPr>
          <w:rFonts w:cs="Times New Roman"/>
          <w:szCs w:val="24"/>
        </w:rPr>
        <w:t>22 ust. 3 </w:t>
      </w:r>
      <w:r w:rsidRPr="00B81E7D">
        <w:rPr>
          <w:rFonts w:cs="Times New Roman"/>
          <w:szCs w:val="24"/>
        </w:rPr>
        <w:t>ustawy o zapasach). Powyższe zmiany wprowadzą uproszczenie i ujednolicenie obowiązków sprawozdawczych przedsiębiorców działających w sektorze rynku paliw.</w:t>
      </w:r>
    </w:p>
    <w:p w:rsidR="002C18B9" w:rsidRPr="00B81E7D" w:rsidRDefault="002C18B9" w:rsidP="00B421C2">
      <w:pPr>
        <w:spacing w:before="120" w:after="120" w:line="360" w:lineRule="auto"/>
        <w:jc w:val="both"/>
        <w:rPr>
          <w:rFonts w:cs="Times New Roman"/>
          <w:szCs w:val="24"/>
        </w:rPr>
      </w:pPr>
    </w:p>
    <w:p w:rsidR="00CF114F" w:rsidRPr="00B81E7D" w:rsidRDefault="00CF114F" w:rsidP="00AD47B7">
      <w:pPr>
        <w:numPr>
          <w:ilvl w:val="0"/>
          <w:numId w:val="2"/>
        </w:numPr>
        <w:spacing w:after="120" w:line="360" w:lineRule="auto"/>
        <w:jc w:val="both"/>
        <w:rPr>
          <w:rFonts w:cs="Times New Roman"/>
          <w:b/>
          <w:szCs w:val="24"/>
        </w:rPr>
      </w:pPr>
      <w:r w:rsidRPr="00B81E7D">
        <w:rPr>
          <w:rFonts w:cs="Times New Roman"/>
          <w:b/>
          <w:szCs w:val="24"/>
        </w:rPr>
        <w:t>Zmian</w:t>
      </w:r>
      <w:r w:rsidR="00BE2A3A" w:rsidRPr="00B81E7D">
        <w:rPr>
          <w:rFonts w:cs="Times New Roman"/>
          <w:b/>
          <w:szCs w:val="24"/>
        </w:rPr>
        <w:t>a</w:t>
      </w:r>
      <w:r w:rsidRPr="00B81E7D">
        <w:rPr>
          <w:rFonts w:cs="Times New Roman"/>
          <w:b/>
          <w:szCs w:val="24"/>
        </w:rPr>
        <w:t xml:space="preserve"> w ustawie z dnia 15 czerwca 2007 r. o licencji doradcy restrukturyzacyjnego </w:t>
      </w:r>
      <w:r w:rsidR="008D285C" w:rsidRPr="00B81E7D">
        <w:rPr>
          <w:rFonts w:cs="Times New Roman"/>
          <w:b/>
          <w:szCs w:val="24"/>
        </w:rPr>
        <w:t xml:space="preserve">(art. </w:t>
      </w:r>
      <w:r w:rsidR="004775F4">
        <w:rPr>
          <w:rFonts w:cs="Times New Roman"/>
          <w:b/>
          <w:szCs w:val="24"/>
        </w:rPr>
        <w:t>41</w:t>
      </w:r>
      <w:r w:rsidR="004775F4" w:rsidRPr="00B81E7D">
        <w:rPr>
          <w:rFonts w:cs="Times New Roman"/>
          <w:b/>
          <w:szCs w:val="24"/>
        </w:rPr>
        <w:t xml:space="preserve"> </w:t>
      </w:r>
      <w:r w:rsidR="008D285C" w:rsidRPr="00B81E7D">
        <w:rPr>
          <w:rFonts w:cs="Times New Roman"/>
          <w:b/>
          <w:szCs w:val="24"/>
        </w:rPr>
        <w:t xml:space="preserve">projektu). </w:t>
      </w:r>
    </w:p>
    <w:p w:rsidR="004C3D53" w:rsidRPr="00B81E7D" w:rsidRDefault="00D32662" w:rsidP="00B421C2">
      <w:pPr>
        <w:spacing w:after="120" w:line="360" w:lineRule="auto"/>
        <w:jc w:val="both"/>
        <w:rPr>
          <w:rFonts w:cs="Times New Roman"/>
          <w:szCs w:val="24"/>
        </w:rPr>
      </w:pPr>
      <w:r w:rsidRPr="00B81E7D">
        <w:rPr>
          <w:rFonts w:eastAsia="Calibri" w:cs="Times New Roman"/>
          <w:szCs w:val="24"/>
          <w:lang w:eastAsia="pl-PL"/>
        </w:rPr>
        <w:t>Proponuje się zwolnienie</w:t>
      </w:r>
      <w:r w:rsidR="004C3D53" w:rsidRPr="00B81E7D">
        <w:rPr>
          <w:rFonts w:eastAsia="Calibri" w:cs="Times New Roman"/>
          <w:szCs w:val="24"/>
          <w:lang w:eastAsia="pl-PL"/>
        </w:rPr>
        <w:t xml:space="preserve"> osób ubiegających się o przyznanie licencji doradcy </w:t>
      </w:r>
      <w:r w:rsidRPr="00B81E7D">
        <w:rPr>
          <w:rFonts w:eastAsia="Calibri" w:cs="Times New Roman"/>
          <w:szCs w:val="24"/>
          <w:lang w:eastAsia="pl-PL"/>
        </w:rPr>
        <w:t>restrukturyzacyjnego</w:t>
      </w:r>
      <w:r w:rsidR="0045672F" w:rsidRPr="00B81E7D">
        <w:rPr>
          <w:rFonts w:eastAsia="Calibri" w:cs="Times New Roman"/>
          <w:szCs w:val="24"/>
          <w:lang w:eastAsia="pl-PL"/>
        </w:rPr>
        <w:t xml:space="preserve"> </w:t>
      </w:r>
      <w:r w:rsidR="004C3D53" w:rsidRPr="00B81E7D">
        <w:rPr>
          <w:rFonts w:eastAsia="Calibri" w:cs="Times New Roman"/>
          <w:szCs w:val="24"/>
          <w:lang w:eastAsia="pl-PL"/>
        </w:rPr>
        <w:t xml:space="preserve">z wymogu załączania do wniosku o przyznanie licencji oryginału zaświadczenia o </w:t>
      </w:r>
      <w:r w:rsidR="004C3D53" w:rsidRPr="00B81E7D">
        <w:rPr>
          <w:rFonts w:cs="Times New Roman"/>
          <w:szCs w:val="24"/>
        </w:rPr>
        <w:t>uzyskaniu pozytywnego wyniku z egzam</w:t>
      </w:r>
      <w:r w:rsidR="00B4541D">
        <w:rPr>
          <w:rFonts w:cs="Times New Roman"/>
          <w:szCs w:val="24"/>
        </w:rPr>
        <w:t>inu dla osób ubiegających się </w:t>
      </w:r>
      <w:r w:rsidR="0045672F" w:rsidRPr="00B81E7D">
        <w:rPr>
          <w:rFonts w:cs="Times New Roman"/>
          <w:szCs w:val="24"/>
        </w:rPr>
        <w:t>o </w:t>
      </w:r>
      <w:r w:rsidR="004C3D53" w:rsidRPr="00B81E7D">
        <w:rPr>
          <w:rFonts w:cs="Times New Roman"/>
          <w:szCs w:val="24"/>
        </w:rPr>
        <w:t>licencję doradcy restukturyzacyjnego.</w:t>
      </w:r>
    </w:p>
    <w:p w:rsidR="0045672F" w:rsidRPr="00B81E7D" w:rsidRDefault="004C3D53" w:rsidP="00B421C2">
      <w:pPr>
        <w:spacing w:after="120" w:line="360" w:lineRule="auto"/>
        <w:jc w:val="both"/>
        <w:rPr>
          <w:rFonts w:eastAsia="Calibri" w:cs="Times New Roman"/>
          <w:szCs w:val="24"/>
          <w:lang w:eastAsia="pl-PL"/>
        </w:rPr>
      </w:pPr>
      <w:r w:rsidRPr="00B81E7D">
        <w:rPr>
          <w:rFonts w:cs="Times New Roman"/>
          <w:szCs w:val="24"/>
        </w:rPr>
        <w:t>Obowiązek załączenia oryginału przedmiotowego zaświa</w:t>
      </w:r>
      <w:r w:rsidR="00E01AAE">
        <w:rPr>
          <w:rFonts w:cs="Times New Roman"/>
          <w:szCs w:val="24"/>
        </w:rPr>
        <w:t>dczenia wynika z art. 10 ust. </w:t>
      </w:r>
      <w:r w:rsidR="0045672F" w:rsidRPr="00B81E7D">
        <w:rPr>
          <w:rFonts w:cs="Times New Roman"/>
          <w:szCs w:val="24"/>
        </w:rPr>
        <w:t>2 </w:t>
      </w:r>
      <w:r w:rsidRPr="00B81E7D">
        <w:rPr>
          <w:rFonts w:cs="Times New Roman"/>
          <w:szCs w:val="24"/>
        </w:rPr>
        <w:t>ustawy z dnia 15 czerwca</w:t>
      </w:r>
      <w:r w:rsidRPr="00B81E7D">
        <w:rPr>
          <w:rFonts w:eastAsia="Calibri" w:cs="Times New Roman"/>
          <w:szCs w:val="24"/>
          <w:lang w:eastAsia="pl-PL"/>
        </w:rPr>
        <w:t xml:space="preserve"> 2007 r. o licencji doradcy</w:t>
      </w:r>
      <w:r w:rsidR="00935130">
        <w:rPr>
          <w:rFonts w:eastAsia="Calibri" w:cs="Times New Roman"/>
          <w:szCs w:val="24"/>
          <w:lang w:eastAsia="pl-PL"/>
        </w:rPr>
        <w:t xml:space="preserve"> restrukturyzacyjnego</w:t>
      </w:r>
      <w:r w:rsidR="00D32662" w:rsidRPr="00B81E7D">
        <w:rPr>
          <w:rFonts w:eastAsia="Calibri" w:cs="Times New Roman"/>
          <w:szCs w:val="24"/>
          <w:lang w:eastAsia="pl-PL"/>
        </w:rPr>
        <w:t>.</w:t>
      </w:r>
      <w:r w:rsidR="00E01AAE">
        <w:rPr>
          <w:rFonts w:eastAsia="Calibri" w:cs="Times New Roman"/>
          <w:szCs w:val="24"/>
          <w:lang w:eastAsia="pl-PL"/>
        </w:rPr>
        <w:t xml:space="preserve"> Możliwość zwolnienia z </w:t>
      </w:r>
      <w:r w:rsidRPr="00B81E7D">
        <w:rPr>
          <w:rFonts w:eastAsia="Calibri" w:cs="Times New Roman"/>
          <w:szCs w:val="24"/>
          <w:lang w:eastAsia="pl-PL"/>
        </w:rPr>
        <w:t>obowiązku załączania tego dokumentu wynika z faktu, że Ministerstwo Sprawiedliwości dysponu</w:t>
      </w:r>
      <w:r w:rsidR="0045672F" w:rsidRPr="00B81E7D">
        <w:rPr>
          <w:rFonts w:eastAsia="Calibri" w:cs="Times New Roman"/>
          <w:szCs w:val="24"/>
          <w:lang w:eastAsia="pl-PL"/>
        </w:rPr>
        <w:t>je danymi osób, które złożyły z </w:t>
      </w:r>
      <w:r w:rsidRPr="00B81E7D">
        <w:rPr>
          <w:rFonts w:eastAsia="Calibri" w:cs="Times New Roman"/>
          <w:szCs w:val="24"/>
          <w:lang w:eastAsia="pl-PL"/>
        </w:rPr>
        <w:t>wynikiem pozytywnym p</w:t>
      </w:r>
      <w:r w:rsidR="00B4541D">
        <w:rPr>
          <w:rFonts w:eastAsia="Calibri" w:cs="Times New Roman"/>
          <w:szCs w:val="24"/>
          <w:lang w:eastAsia="pl-PL"/>
        </w:rPr>
        <w:t>rzedmiotowy egzamin. Dane te są </w:t>
      </w:r>
      <w:r w:rsidRPr="00B81E7D">
        <w:rPr>
          <w:rFonts w:eastAsia="Calibri" w:cs="Times New Roman"/>
          <w:szCs w:val="24"/>
          <w:lang w:eastAsia="pl-PL"/>
        </w:rPr>
        <w:t xml:space="preserve">przechowywane przez okres przekraczający dwa lata, w jakim (zgodnie z ustawą) można ubiegać się o przyznanie licencji. Zgodnie bowiem z art. 4 ust. 7 ustawy, Minister Sprawiedliwości zapewnia obsługę biurową Komisji Egzaminacyjnej do przeprowadzenia egzaminu dla osób ubiegających się o licencję doradcy </w:t>
      </w:r>
      <w:r w:rsidRPr="00B81E7D">
        <w:rPr>
          <w:rFonts w:eastAsia="Calibri" w:cs="Times New Roman"/>
          <w:szCs w:val="24"/>
          <w:lang w:eastAsia="pl-PL"/>
        </w:rPr>
        <w:lastRenderedPageBreak/>
        <w:t>restrukturyzacyjnego. Akta</w:t>
      </w:r>
      <w:r w:rsidR="00B4541D">
        <w:rPr>
          <w:rFonts w:eastAsia="Calibri" w:cs="Times New Roman"/>
          <w:szCs w:val="24"/>
          <w:lang w:eastAsia="pl-PL"/>
        </w:rPr>
        <w:t> </w:t>
      </w:r>
      <w:r w:rsidRPr="00B81E7D">
        <w:rPr>
          <w:rFonts w:eastAsia="Calibri" w:cs="Times New Roman"/>
          <w:szCs w:val="24"/>
          <w:lang w:eastAsia="pl-PL"/>
        </w:rPr>
        <w:t>egzaminacyjne osób, które przystąpiły do tego egzaminu, przechowywane są w siedzibie Ministerstwa Sprawiedliwości. Z uwagi na powyższe, nie zachodzi obawa, że mogłaby pojawić się wątpliwość, czy osoba ubiegająca się o licencję doradcy restrukturyzacyjnego przystąpiła do przedmioto</w:t>
      </w:r>
      <w:r w:rsidR="0045672F" w:rsidRPr="00B81E7D">
        <w:rPr>
          <w:rFonts w:eastAsia="Calibri" w:cs="Times New Roman"/>
          <w:szCs w:val="24"/>
          <w:lang w:eastAsia="pl-PL"/>
        </w:rPr>
        <w:t>wego egzaminu oraz jaki wynik z niego uzyskała.</w:t>
      </w:r>
    </w:p>
    <w:p w:rsidR="009E3075" w:rsidRPr="00B81E7D" w:rsidRDefault="009E3075" w:rsidP="00B421C2">
      <w:pPr>
        <w:spacing w:before="120" w:after="120" w:line="360" w:lineRule="auto"/>
        <w:jc w:val="both"/>
        <w:rPr>
          <w:rFonts w:cs="Times New Roman"/>
          <w:szCs w:val="24"/>
        </w:rPr>
      </w:pPr>
    </w:p>
    <w:p w:rsidR="00CF114F" w:rsidRPr="00B81E7D" w:rsidRDefault="00CF114F" w:rsidP="00AD47B7">
      <w:pPr>
        <w:numPr>
          <w:ilvl w:val="0"/>
          <w:numId w:val="2"/>
        </w:numPr>
        <w:spacing w:after="120" w:line="360" w:lineRule="auto"/>
        <w:jc w:val="both"/>
        <w:rPr>
          <w:rFonts w:cs="Times New Roman"/>
          <w:b/>
          <w:szCs w:val="24"/>
        </w:rPr>
      </w:pPr>
      <w:r w:rsidRPr="00B81E7D">
        <w:rPr>
          <w:rFonts w:cs="Times New Roman"/>
          <w:b/>
          <w:szCs w:val="24"/>
        </w:rPr>
        <w:t>Zmian</w:t>
      </w:r>
      <w:r w:rsidR="00BE2A3A" w:rsidRPr="00B81E7D">
        <w:rPr>
          <w:rFonts w:cs="Times New Roman"/>
          <w:b/>
          <w:szCs w:val="24"/>
        </w:rPr>
        <w:t>a</w:t>
      </w:r>
      <w:r w:rsidRPr="00B81E7D">
        <w:rPr>
          <w:rFonts w:cs="Times New Roman"/>
          <w:b/>
          <w:szCs w:val="24"/>
        </w:rPr>
        <w:t xml:space="preserve"> w ustawie z dnia 10 lipca 2007 r. o nawozach i nawożeniu </w:t>
      </w:r>
      <w:r w:rsidR="008D285C" w:rsidRPr="00B81E7D">
        <w:rPr>
          <w:rFonts w:cs="Times New Roman"/>
          <w:b/>
          <w:szCs w:val="24"/>
        </w:rPr>
        <w:t xml:space="preserve">(art. </w:t>
      </w:r>
      <w:r w:rsidR="004775F4">
        <w:rPr>
          <w:rFonts w:cs="Times New Roman"/>
          <w:b/>
          <w:szCs w:val="24"/>
        </w:rPr>
        <w:t>42</w:t>
      </w:r>
      <w:r w:rsidR="004775F4" w:rsidRPr="00B81E7D">
        <w:rPr>
          <w:rFonts w:cs="Times New Roman"/>
          <w:b/>
          <w:szCs w:val="24"/>
        </w:rPr>
        <w:t xml:space="preserve"> </w:t>
      </w:r>
      <w:r w:rsidR="008D285C" w:rsidRPr="00B81E7D">
        <w:rPr>
          <w:rFonts w:cs="Times New Roman"/>
          <w:b/>
          <w:szCs w:val="24"/>
        </w:rPr>
        <w:t xml:space="preserve">projektu). </w:t>
      </w:r>
    </w:p>
    <w:p w:rsidR="00E46EE0" w:rsidRPr="00B81E7D" w:rsidRDefault="0035354E" w:rsidP="00B421C2">
      <w:pPr>
        <w:spacing w:before="120" w:after="120" w:line="360" w:lineRule="auto"/>
        <w:jc w:val="both"/>
        <w:rPr>
          <w:rFonts w:cs="Times New Roman"/>
          <w:szCs w:val="24"/>
        </w:rPr>
      </w:pPr>
      <w:r w:rsidRPr="00B81E7D">
        <w:rPr>
          <w:rFonts w:cs="Times New Roman"/>
          <w:szCs w:val="24"/>
        </w:rPr>
        <w:t>Podmiot</w:t>
      </w:r>
      <w:r w:rsidR="00D32662" w:rsidRPr="00B81E7D">
        <w:rPr>
          <w:rFonts w:cs="Times New Roman"/>
          <w:szCs w:val="24"/>
        </w:rPr>
        <w:t>y</w:t>
      </w:r>
      <w:r w:rsidRPr="00B81E7D">
        <w:rPr>
          <w:rFonts w:cs="Times New Roman"/>
          <w:szCs w:val="24"/>
        </w:rPr>
        <w:t xml:space="preserve"> ubiegające się o pozwolenie na wprowadzenie do obrotu nawozu albo środka wspomagającego uprawę roślin zobowiązane są do załączenia do wniosku o pozwolenie zaświadczenia albo oświadczenia o wpisi</w:t>
      </w:r>
      <w:r w:rsidR="00E01AAE">
        <w:rPr>
          <w:rFonts w:cs="Times New Roman"/>
          <w:szCs w:val="24"/>
        </w:rPr>
        <w:t xml:space="preserve">e do rejestru przedsiębiorców w </w:t>
      </w:r>
      <w:r w:rsidRPr="00B81E7D">
        <w:rPr>
          <w:rFonts w:cs="Times New Roman"/>
          <w:szCs w:val="24"/>
        </w:rPr>
        <w:t>Krajowym Rejestrze Sądowym albo w Centralnej Ewidencji i Informacji o Działalności Gospodarczej. W związku z tym, że organ może samodzielnie ustalić te dane w ogólnodostępnych bazach KRS lub CEIDG bez konieczności odbierania zaświadczenia albo oświadczenia proponuje si</w:t>
      </w:r>
      <w:r w:rsidR="00B4541D">
        <w:rPr>
          <w:rFonts w:cs="Times New Roman"/>
          <w:szCs w:val="24"/>
        </w:rPr>
        <w:t>ę </w:t>
      </w:r>
      <w:r w:rsidR="00E46EE0" w:rsidRPr="00B81E7D">
        <w:rPr>
          <w:rFonts w:cs="Times New Roman"/>
          <w:szCs w:val="24"/>
        </w:rPr>
        <w:t xml:space="preserve">zniesienie tego obowiązku. </w:t>
      </w:r>
    </w:p>
    <w:p w:rsidR="00E46EE0" w:rsidRPr="00B81E7D" w:rsidRDefault="00E46EE0" w:rsidP="00B421C2">
      <w:pPr>
        <w:spacing w:after="120" w:line="360" w:lineRule="auto"/>
        <w:jc w:val="both"/>
        <w:rPr>
          <w:rFonts w:cs="Times New Roman"/>
          <w:b/>
          <w:szCs w:val="24"/>
        </w:rPr>
      </w:pPr>
    </w:p>
    <w:p w:rsidR="00E46EE0" w:rsidRPr="00B81E7D" w:rsidRDefault="00E46EE0" w:rsidP="00AD47B7">
      <w:pPr>
        <w:numPr>
          <w:ilvl w:val="0"/>
          <w:numId w:val="2"/>
        </w:numPr>
        <w:spacing w:after="120" w:line="360" w:lineRule="auto"/>
        <w:jc w:val="both"/>
        <w:rPr>
          <w:rFonts w:cs="Times New Roman"/>
          <w:b/>
          <w:szCs w:val="24"/>
        </w:rPr>
      </w:pPr>
      <w:r w:rsidRPr="00B81E7D">
        <w:rPr>
          <w:rFonts w:cs="Times New Roman"/>
          <w:b/>
          <w:szCs w:val="24"/>
        </w:rPr>
        <w:t xml:space="preserve">Zmiana w ustawie z dnia 5 grudnia 2008 r. o zapobieganiu oraz zwalczaniu zakażeń i chorób zakaźnych u ludzi </w:t>
      </w:r>
      <w:r w:rsidR="009465F3" w:rsidRPr="00B81E7D">
        <w:rPr>
          <w:rFonts w:cs="Times New Roman"/>
          <w:b/>
          <w:szCs w:val="24"/>
        </w:rPr>
        <w:t xml:space="preserve">(art. </w:t>
      </w:r>
      <w:r w:rsidR="004775F4">
        <w:rPr>
          <w:rFonts w:cs="Times New Roman"/>
          <w:b/>
          <w:szCs w:val="24"/>
        </w:rPr>
        <w:t>43</w:t>
      </w:r>
      <w:r w:rsidR="004775F4" w:rsidRPr="00B81E7D">
        <w:rPr>
          <w:rFonts w:cs="Times New Roman"/>
          <w:b/>
          <w:szCs w:val="24"/>
        </w:rPr>
        <w:t xml:space="preserve"> </w:t>
      </w:r>
      <w:r w:rsidRPr="00B81E7D">
        <w:rPr>
          <w:rFonts w:cs="Times New Roman"/>
          <w:b/>
          <w:szCs w:val="24"/>
        </w:rPr>
        <w:t xml:space="preserve">projektu). </w:t>
      </w:r>
    </w:p>
    <w:p w:rsidR="00A76A4B" w:rsidRPr="00B81E7D" w:rsidRDefault="00A76A4B" w:rsidP="00B421C2">
      <w:pPr>
        <w:spacing w:after="120" w:line="360" w:lineRule="auto"/>
        <w:jc w:val="both"/>
        <w:rPr>
          <w:rFonts w:eastAsia="Calibri" w:cs="Times New Roman"/>
          <w:szCs w:val="24"/>
          <w:lang w:eastAsia="pl-PL"/>
        </w:rPr>
      </w:pPr>
      <w:r w:rsidRPr="00B81E7D">
        <w:rPr>
          <w:rFonts w:eastAsia="Calibri" w:cs="Times New Roman"/>
          <w:szCs w:val="24"/>
          <w:lang w:eastAsia="pl-PL"/>
        </w:rPr>
        <w:t>W obecnym stanie prawnym pracodawca jest zobow</w:t>
      </w:r>
      <w:r w:rsidR="00B4541D">
        <w:rPr>
          <w:rFonts w:eastAsia="Calibri" w:cs="Times New Roman"/>
          <w:szCs w:val="24"/>
          <w:lang w:eastAsia="pl-PL"/>
        </w:rPr>
        <w:t>iązany każdorazowo skierować na </w:t>
      </w:r>
      <w:r w:rsidRPr="00B81E7D">
        <w:rPr>
          <w:rFonts w:eastAsia="Calibri" w:cs="Times New Roman"/>
          <w:szCs w:val="24"/>
          <w:lang w:eastAsia="pl-PL"/>
        </w:rPr>
        <w:t>badania sanitarno-epidemiologiczne osobę zatrudnianą do pracy, przy wykonywaniu której istnieje możliwość przeniesienia zakażenia lub choroby zakaźnej na inne osoby. Badanie takie jest wymagane pomimo posiadania orzeczenie lekarskiego uzyskanego u poprzedniego pracodawcy. Obowiązek odbycia badań sanitarno-epidemiologicznych nie powinien wynikać z samego faktu zmiany pracodawcy. Przesłankę odbycia takich badań  stanowi  wykonywanie pracy przy wykonywaniu której istnieje możliwość przeniesienia zakażenia lub choroby zakaźnej na inne osoby. Koszty badań sanitarno-epidemiologicznych stanowią obciążenie przedsiębiorców zwłaszcza w branżach o dużej, sezonowej rotacji pracowników takich j</w:t>
      </w:r>
      <w:r w:rsidR="00B4541D">
        <w:rPr>
          <w:rFonts w:eastAsia="Calibri" w:cs="Times New Roman"/>
          <w:szCs w:val="24"/>
          <w:lang w:eastAsia="pl-PL"/>
        </w:rPr>
        <w:t>ak </w:t>
      </w:r>
      <w:r w:rsidRPr="00B81E7D">
        <w:rPr>
          <w:rFonts w:eastAsia="Calibri" w:cs="Times New Roman"/>
          <w:szCs w:val="24"/>
          <w:lang w:eastAsia="pl-PL"/>
        </w:rPr>
        <w:t xml:space="preserve">gastronomia. Ponadto pracownicy branży gastronomicznej stosunkowo często zmieniają pracodawcę, a tym samym konieczność powtarzania badań nie sprzyja mobilności pracowników. Proponowana zmiana zakłada, że osoba posiadająca aktualne orzeczenie lekarskie o zdolności do wykonywania prac, przy wykonywaniu których istnieje możliwość przeniesienia zakażenia lub choroby zakaźnej na inne osoby, w przypadku zmiany </w:t>
      </w:r>
      <w:r w:rsidRPr="00B81E7D">
        <w:rPr>
          <w:rFonts w:eastAsia="Calibri" w:cs="Times New Roman"/>
          <w:szCs w:val="24"/>
          <w:lang w:eastAsia="pl-PL"/>
        </w:rPr>
        <w:lastRenderedPageBreak/>
        <w:t>pracodawcy nie będzie podlegać w okresie ważności orzeczenia lekarskiego badaniom sanitarno-epidemiologicznym. Ma to na celu usprawnienie p</w:t>
      </w:r>
      <w:r w:rsidR="001B454D" w:rsidRPr="00B81E7D">
        <w:rPr>
          <w:rFonts w:eastAsia="Calibri" w:cs="Times New Roman"/>
          <w:szCs w:val="24"/>
          <w:lang w:eastAsia="pl-PL"/>
        </w:rPr>
        <w:t>rocesu zatrudnienia zwłaszcza w </w:t>
      </w:r>
      <w:r w:rsidRPr="00B81E7D">
        <w:rPr>
          <w:rFonts w:eastAsia="Calibri" w:cs="Times New Roman"/>
          <w:szCs w:val="24"/>
          <w:lang w:eastAsia="pl-PL"/>
        </w:rPr>
        <w:t>branżach charakteryzujących się sezonowym wzrostem zapotrzebowania na pracowników.</w:t>
      </w:r>
    </w:p>
    <w:p w:rsidR="00A76A4B" w:rsidRPr="00B81E7D" w:rsidRDefault="00A76A4B" w:rsidP="00B421C2">
      <w:pPr>
        <w:spacing w:after="120" w:line="360" w:lineRule="auto"/>
        <w:jc w:val="both"/>
        <w:rPr>
          <w:rFonts w:eastAsia="Calibri" w:cs="Times New Roman"/>
          <w:szCs w:val="24"/>
          <w:lang w:eastAsia="pl-PL"/>
        </w:rPr>
      </w:pPr>
      <w:r w:rsidRPr="00B81E7D">
        <w:rPr>
          <w:rFonts w:eastAsia="Calibri" w:cs="Times New Roman"/>
          <w:szCs w:val="24"/>
          <w:lang w:eastAsia="pl-PL"/>
        </w:rPr>
        <w:t>Orzeczenie lekarskie do celów sanitarno-epidemiologicznych jest niezbędne do wykonywania pracy m.in w gastronomii. Lekarz wydaje orzeczenie na podstawie przeprowadzonego badania sanitarno-epidemiologicznego. Bez skierowania pracodawcy lub osoby zlecającej wykonywanie prac nie ma możliwości uzyskania orzecz</w:t>
      </w:r>
      <w:r w:rsidR="00B4541D">
        <w:rPr>
          <w:rFonts w:eastAsia="Calibri" w:cs="Times New Roman"/>
          <w:szCs w:val="24"/>
          <w:lang w:eastAsia="pl-PL"/>
        </w:rPr>
        <w:t>enia lekarskiego o zdolności do </w:t>
      </w:r>
      <w:r w:rsidRPr="00B81E7D">
        <w:rPr>
          <w:rFonts w:eastAsia="Calibri" w:cs="Times New Roman"/>
          <w:szCs w:val="24"/>
          <w:lang w:eastAsia="pl-PL"/>
        </w:rPr>
        <w:t>wykonywania prac, przy wykonywaniu których istnieje możliwość przeniesienia zakażenia lub choroby zakaźnej na inne osoby. Tym samym stanowi to utrudnienie w podejmowaniu działalności gospodarczej, czy też tzw. działalności nierejestrowanej. Wprowadzenie możliwości przeprowadzenia badania sanitarno-epidemiologicznego na wniosek osoby poszukującej zatrudnienia lub innej pracy zarobkowej, przy wykonywaniu której istnieje możliwość przeniesienia zakażenia lub choroby zakaźnej na inne osoby ma na celu zniesienie formalnej bariery stanowiącej ograniczenie swobody podejmowania działalności gospodarczej. Badania sanitarno-epidemiologiczne na wniosek zainteresowanej osoby będą przeprowadzane w tym samym trybie i przez tych samych lekarzy, co pozostałe badania sanitarno-epidemiologiczne. Koszt badań będzie pokrywany</w:t>
      </w:r>
      <w:r w:rsidR="00B4541D">
        <w:rPr>
          <w:rFonts w:eastAsia="Calibri" w:cs="Times New Roman"/>
          <w:szCs w:val="24"/>
          <w:lang w:eastAsia="pl-PL"/>
        </w:rPr>
        <w:t xml:space="preserve"> przez wnioskodawcę. Z uwagi na </w:t>
      </w:r>
      <w:r w:rsidRPr="00B81E7D">
        <w:rPr>
          <w:rFonts w:eastAsia="Calibri" w:cs="Times New Roman"/>
          <w:szCs w:val="24"/>
          <w:lang w:eastAsia="pl-PL"/>
        </w:rPr>
        <w:t xml:space="preserve">nową możliwość przeprowadzenia badań sanitarno-epidemiologicznych na wniosek zachodzi konieczność zmiany w przedmiotowym zakresie  art. 7 i 8 ustawy o zapobieganiu oraz zwalczaniu zakażeń i chorób zakaźnych u ludzi. </w:t>
      </w:r>
    </w:p>
    <w:p w:rsidR="005B4528" w:rsidRPr="00B81E7D" w:rsidRDefault="005B4528" w:rsidP="00B421C2">
      <w:pPr>
        <w:spacing w:after="120" w:line="360" w:lineRule="auto"/>
        <w:jc w:val="both"/>
        <w:rPr>
          <w:rFonts w:cs="Times New Roman"/>
          <w:b/>
          <w:szCs w:val="24"/>
        </w:rPr>
      </w:pPr>
    </w:p>
    <w:p w:rsidR="00CF114F" w:rsidRPr="00B81E7D" w:rsidRDefault="00CF114F" w:rsidP="00AD47B7">
      <w:pPr>
        <w:numPr>
          <w:ilvl w:val="0"/>
          <w:numId w:val="2"/>
        </w:numPr>
        <w:spacing w:after="120" w:line="360" w:lineRule="auto"/>
        <w:jc w:val="both"/>
        <w:rPr>
          <w:rFonts w:cs="Times New Roman"/>
          <w:b/>
          <w:szCs w:val="24"/>
        </w:rPr>
      </w:pPr>
      <w:r w:rsidRPr="00B81E7D">
        <w:rPr>
          <w:rFonts w:cs="Times New Roman"/>
          <w:b/>
          <w:szCs w:val="24"/>
        </w:rPr>
        <w:t>Zmian</w:t>
      </w:r>
      <w:r w:rsidR="00BB6C3D" w:rsidRPr="00B81E7D">
        <w:rPr>
          <w:rFonts w:cs="Times New Roman"/>
          <w:b/>
          <w:szCs w:val="24"/>
        </w:rPr>
        <w:t>a</w:t>
      </w:r>
      <w:r w:rsidRPr="00B81E7D">
        <w:rPr>
          <w:rFonts w:cs="Times New Roman"/>
          <w:b/>
          <w:szCs w:val="24"/>
        </w:rPr>
        <w:t xml:space="preserve"> w ustawie z dnia 19 grudnia 2008 r. o postępowaniu kompensacyjnym w podmiotach o szczególnym znaczeniu dla polskiego przemysłu stoczniowego </w:t>
      </w:r>
      <w:r w:rsidR="00E46EE0" w:rsidRPr="00B81E7D">
        <w:rPr>
          <w:rFonts w:cs="Times New Roman"/>
          <w:b/>
          <w:szCs w:val="24"/>
        </w:rPr>
        <w:t xml:space="preserve">(art. </w:t>
      </w:r>
      <w:r w:rsidR="004775F4" w:rsidRPr="00B81E7D">
        <w:rPr>
          <w:rFonts w:cs="Times New Roman"/>
          <w:b/>
          <w:szCs w:val="24"/>
        </w:rPr>
        <w:t>4</w:t>
      </w:r>
      <w:r w:rsidR="004775F4">
        <w:rPr>
          <w:rFonts w:cs="Times New Roman"/>
          <w:b/>
          <w:szCs w:val="24"/>
        </w:rPr>
        <w:t>5</w:t>
      </w:r>
      <w:r w:rsidR="004775F4" w:rsidRPr="00B81E7D">
        <w:rPr>
          <w:rFonts w:cs="Times New Roman"/>
          <w:b/>
          <w:szCs w:val="24"/>
        </w:rPr>
        <w:t xml:space="preserve"> </w:t>
      </w:r>
      <w:r w:rsidR="00E46EE0" w:rsidRPr="00B81E7D">
        <w:rPr>
          <w:rFonts w:cs="Times New Roman"/>
          <w:b/>
          <w:szCs w:val="24"/>
        </w:rPr>
        <w:t xml:space="preserve">projektu). </w:t>
      </w:r>
    </w:p>
    <w:p w:rsidR="00E14120" w:rsidRPr="00B81E7D" w:rsidRDefault="00E14120" w:rsidP="00B421C2">
      <w:pPr>
        <w:spacing w:after="120" w:line="360" w:lineRule="auto"/>
        <w:jc w:val="both"/>
        <w:rPr>
          <w:rFonts w:cs="Times New Roman"/>
          <w:szCs w:val="24"/>
        </w:rPr>
      </w:pPr>
      <w:r w:rsidRPr="00B81E7D">
        <w:rPr>
          <w:rFonts w:cs="Times New Roman"/>
          <w:szCs w:val="24"/>
        </w:rPr>
        <w:t>Wierzyciel stoczni dokonuje zgłoszenia wierzytelności na piśmie w dwóch egzemplarzach. Proponuje się redukcję przedkładanego zgł</w:t>
      </w:r>
      <w:r w:rsidR="00D32662" w:rsidRPr="00B81E7D">
        <w:rPr>
          <w:rFonts w:cs="Times New Roman"/>
          <w:szCs w:val="24"/>
        </w:rPr>
        <w:t>oszenia wierzytelności do jednego</w:t>
      </w:r>
      <w:r w:rsidR="00F272E5" w:rsidRPr="00B81E7D">
        <w:rPr>
          <w:rFonts w:cs="Times New Roman"/>
          <w:szCs w:val="24"/>
        </w:rPr>
        <w:t xml:space="preserve"> egzemplarza w</w:t>
      </w:r>
      <w:r w:rsidR="00D32662" w:rsidRPr="00B81E7D">
        <w:rPr>
          <w:rFonts w:cs="Times New Roman"/>
          <w:szCs w:val="24"/>
        </w:rPr>
        <w:t> </w:t>
      </w:r>
      <w:r w:rsidR="00F272E5" w:rsidRPr="00B81E7D">
        <w:rPr>
          <w:rFonts w:cs="Times New Roman"/>
          <w:szCs w:val="24"/>
        </w:rPr>
        <w:t>ramach zmniejszenia obciążeń administracyjnych.</w:t>
      </w:r>
    </w:p>
    <w:p w:rsidR="003E55B0" w:rsidRPr="00B81E7D" w:rsidRDefault="003E55B0" w:rsidP="00B421C2">
      <w:pPr>
        <w:spacing w:after="120" w:line="360" w:lineRule="auto"/>
        <w:jc w:val="both"/>
        <w:rPr>
          <w:rFonts w:cs="Times New Roman"/>
          <w:szCs w:val="24"/>
        </w:rPr>
      </w:pPr>
    </w:p>
    <w:p w:rsidR="00E324F2" w:rsidRPr="00B81E7D" w:rsidRDefault="00E324F2" w:rsidP="00AD47B7">
      <w:pPr>
        <w:numPr>
          <w:ilvl w:val="0"/>
          <w:numId w:val="2"/>
        </w:numPr>
        <w:spacing w:after="120" w:line="360" w:lineRule="auto"/>
        <w:jc w:val="both"/>
        <w:rPr>
          <w:rFonts w:cs="Times New Roman"/>
          <w:b/>
          <w:szCs w:val="24"/>
        </w:rPr>
      </w:pPr>
      <w:r w:rsidRPr="00B81E7D">
        <w:rPr>
          <w:rFonts w:cs="Times New Roman"/>
          <w:b/>
          <w:szCs w:val="24"/>
        </w:rPr>
        <w:t>Zmiana w ustawie z dnia 7 maja 2009 r. o towarach paczkowanych (</w:t>
      </w:r>
      <w:r w:rsidR="00C80B2E" w:rsidRPr="00B81E7D">
        <w:rPr>
          <w:rFonts w:cs="Times New Roman"/>
          <w:b/>
          <w:szCs w:val="24"/>
        </w:rPr>
        <w:t>a</w:t>
      </w:r>
      <w:r w:rsidRPr="00B81E7D">
        <w:rPr>
          <w:rFonts w:cs="Times New Roman"/>
          <w:b/>
          <w:szCs w:val="24"/>
        </w:rPr>
        <w:t xml:space="preserve">rt. </w:t>
      </w:r>
      <w:r w:rsidR="004775F4">
        <w:rPr>
          <w:rFonts w:cs="Times New Roman"/>
          <w:b/>
          <w:szCs w:val="24"/>
        </w:rPr>
        <w:t>46</w:t>
      </w:r>
      <w:r w:rsidR="004775F4" w:rsidRPr="00B81E7D">
        <w:rPr>
          <w:rFonts w:cs="Times New Roman"/>
          <w:b/>
          <w:szCs w:val="24"/>
        </w:rPr>
        <w:t xml:space="preserve"> </w:t>
      </w:r>
      <w:r w:rsidRPr="00B81E7D">
        <w:rPr>
          <w:rFonts w:cs="Times New Roman"/>
          <w:b/>
          <w:szCs w:val="24"/>
        </w:rPr>
        <w:t>projektu).</w:t>
      </w:r>
    </w:p>
    <w:p w:rsidR="009137AF" w:rsidRPr="00B81E7D" w:rsidRDefault="00E324F2" w:rsidP="00B421C2">
      <w:pPr>
        <w:spacing w:before="120" w:line="360" w:lineRule="auto"/>
        <w:jc w:val="both"/>
        <w:rPr>
          <w:rFonts w:cs="Times New Roman"/>
          <w:szCs w:val="24"/>
        </w:rPr>
      </w:pPr>
      <w:r w:rsidRPr="00B81E7D">
        <w:rPr>
          <w:rFonts w:cs="Times New Roman"/>
          <w:szCs w:val="24"/>
        </w:rPr>
        <w:t xml:space="preserve">Do zgłoszenia znaku do rejestru </w:t>
      </w:r>
      <w:r w:rsidR="000C6BAE" w:rsidRPr="00B81E7D">
        <w:rPr>
          <w:rFonts w:cs="Times New Roman"/>
          <w:szCs w:val="24"/>
        </w:rPr>
        <w:t xml:space="preserve">znaków identyfikacyjnych producentów butelek miarowych przedsiębiorca jest zobowiązany dołączyć aktualny wypis z Krajowego Rejestru Sądowego. </w:t>
      </w:r>
      <w:r w:rsidRPr="00B81E7D">
        <w:rPr>
          <w:rFonts w:cs="Times New Roman"/>
          <w:szCs w:val="24"/>
        </w:rPr>
        <w:lastRenderedPageBreak/>
        <w:t>W związku z tym, że organ może samodzielnie ustalić te dane w ogólnodostępnej bazie KRS proponuje się zniesienie tego obowiązku.</w:t>
      </w:r>
    </w:p>
    <w:p w:rsidR="004D6469" w:rsidRPr="00B81E7D" w:rsidRDefault="004D6469" w:rsidP="00B421C2">
      <w:pPr>
        <w:spacing w:after="120" w:line="360" w:lineRule="auto"/>
        <w:jc w:val="both"/>
        <w:rPr>
          <w:rFonts w:cs="Times New Roman"/>
          <w:szCs w:val="24"/>
        </w:rPr>
      </w:pPr>
    </w:p>
    <w:p w:rsidR="004D6469" w:rsidRPr="00B81E7D" w:rsidRDefault="004D6469" w:rsidP="00AD47B7">
      <w:pPr>
        <w:numPr>
          <w:ilvl w:val="0"/>
          <w:numId w:val="2"/>
        </w:numPr>
        <w:spacing w:after="120" w:line="360" w:lineRule="auto"/>
        <w:jc w:val="both"/>
        <w:rPr>
          <w:rFonts w:cs="Times New Roman"/>
          <w:b/>
          <w:szCs w:val="24"/>
        </w:rPr>
      </w:pPr>
      <w:r w:rsidRPr="00B81E7D">
        <w:rPr>
          <w:rFonts w:cs="Times New Roman"/>
          <w:b/>
          <w:szCs w:val="24"/>
        </w:rPr>
        <w:t xml:space="preserve">Zmiany w ustawie z dnia 16 grudnia 2010 r. o publicznym transporcie zbiorowym (art. </w:t>
      </w:r>
      <w:r w:rsidR="004775F4">
        <w:rPr>
          <w:rFonts w:cs="Times New Roman"/>
          <w:b/>
          <w:szCs w:val="24"/>
        </w:rPr>
        <w:t>50</w:t>
      </w:r>
      <w:r w:rsidR="004775F4" w:rsidRPr="00B81E7D">
        <w:rPr>
          <w:rFonts w:cs="Times New Roman"/>
          <w:b/>
          <w:szCs w:val="24"/>
        </w:rPr>
        <w:t xml:space="preserve"> </w:t>
      </w:r>
      <w:r w:rsidRPr="00B81E7D">
        <w:rPr>
          <w:rFonts w:cs="Times New Roman"/>
          <w:b/>
          <w:szCs w:val="24"/>
        </w:rPr>
        <w:t>projektu).</w:t>
      </w:r>
    </w:p>
    <w:p w:rsidR="00D07483" w:rsidRPr="00B81E7D" w:rsidRDefault="004D6469" w:rsidP="00B421C2">
      <w:pPr>
        <w:spacing w:after="120" w:line="360" w:lineRule="auto"/>
        <w:jc w:val="both"/>
        <w:rPr>
          <w:rFonts w:cs="Times New Roman"/>
          <w:szCs w:val="24"/>
        </w:rPr>
      </w:pPr>
      <w:r w:rsidRPr="00B81E7D">
        <w:rPr>
          <w:rFonts w:cs="Times New Roman"/>
          <w:szCs w:val="24"/>
        </w:rPr>
        <w:t>Przewóz osób w zakresie publicznego transportu zbiorowego niebędący przewozem o charakterze użyteczności publicznej może być wyk</w:t>
      </w:r>
      <w:r w:rsidR="00B4541D">
        <w:rPr>
          <w:rFonts w:cs="Times New Roman"/>
          <w:szCs w:val="24"/>
        </w:rPr>
        <w:t>onywany przez przedsiębiorcę po </w:t>
      </w:r>
      <w:r w:rsidRPr="00B81E7D">
        <w:rPr>
          <w:rFonts w:cs="Times New Roman"/>
          <w:szCs w:val="24"/>
        </w:rPr>
        <w:t xml:space="preserve">dokonaniu zgłoszenia o zamiarze wykonywania takiego przewozu do organizatora właściwego ze względu na obszar lub zasięg przewozów i wydaniu przez tego organizatora potwierdzenia zgłoszenia przewozu. Zgłoszenie, o którym mowa zawiera obowiązek dołączania odpisu z KRS. Należy uchylić </w:t>
      </w:r>
      <w:r w:rsidR="00935130">
        <w:rPr>
          <w:rFonts w:cs="Times New Roman"/>
          <w:szCs w:val="24"/>
        </w:rPr>
        <w:t xml:space="preserve">w </w:t>
      </w:r>
      <w:r w:rsidRPr="00B81E7D">
        <w:rPr>
          <w:rFonts w:cs="Times New Roman"/>
          <w:szCs w:val="24"/>
        </w:rPr>
        <w:t xml:space="preserve">art. 30 </w:t>
      </w:r>
      <w:r w:rsidR="00935130">
        <w:rPr>
          <w:rFonts w:cs="Times New Roman"/>
          <w:szCs w:val="24"/>
        </w:rPr>
        <w:t xml:space="preserve">w ust. </w:t>
      </w:r>
      <w:r w:rsidRPr="00B81E7D">
        <w:rPr>
          <w:rFonts w:cs="Times New Roman"/>
          <w:szCs w:val="24"/>
        </w:rPr>
        <w:t xml:space="preserve"> 3 pkt 5 ustawy i zastąpić niniejszy obowiązek podaniem numeru z KRS, organ może bowiem samodzielnie pozyskać dane w ogólnodostępnej bazie KRS.</w:t>
      </w:r>
      <w:r w:rsidR="00532068" w:rsidRPr="00B81E7D">
        <w:rPr>
          <w:rFonts w:cs="Times New Roman"/>
          <w:szCs w:val="24"/>
        </w:rPr>
        <w:t xml:space="preserve"> Podobnie należy znieść obowiązek załączania poświadczonej przez operatora za zgodność z oryginałem kserokopii odpi</w:t>
      </w:r>
      <w:r w:rsidR="008E54E9" w:rsidRPr="00B81E7D">
        <w:rPr>
          <w:rFonts w:cs="Times New Roman"/>
          <w:szCs w:val="24"/>
        </w:rPr>
        <w:t>su z rejestru przedsiębiorców w </w:t>
      </w:r>
      <w:r w:rsidR="00532068" w:rsidRPr="00B81E7D">
        <w:rPr>
          <w:rFonts w:cs="Times New Roman"/>
          <w:szCs w:val="24"/>
        </w:rPr>
        <w:t xml:space="preserve">przypadku składania wniosku o zmianę zaświadczenia, o którym mowa w art. 28 ustawy. </w:t>
      </w:r>
    </w:p>
    <w:p w:rsidR="00AE62C9" w:rsidRPr="00B81E7D" w:rsidRDefault="00AE62C9" w:rsidP="00B421C2">
      <w:pPr>
        <w:spacing w:before="120" w:line="360" w:lineRule="auto"/>
        <w:jc w:val="both"/>
        <w:rPr>
          <w:rFonts w:cs="Times New Roman"/>
          <w:szCs w:val="24"/>
        </w:rPr>
      </w:pPr>
    </w:p>
    <w:p w:rsidR="000C6BAE" w:rsidRPr="00B81E7D" w:rsidRDefault="000C6BAE" w:rsidP="00AD47B7">
      <w:pPr>
        <w:numPr>
          <w:ilvl w:val="0"/>
          <w:numId w:val="2"/>
        </w:numPr>
        <w:spacing w:after="120" w:line="360" w:lineRule="auto"/>
        <w:jc w:val="both"/>
        <w:rPr>
          <w:rFonts w:cs="Times New Roman"/>
          <w:b/>
          <w:szCs w:val="24"/>
        </w:rPr>
      </w:pPr>
      <w:r w:rsidRPr="00B81E7D">
        <w:rPr>
          <w:rFonts w:cs="Times New Roman"/>
          <w:b/>
          <w:szCs w:val="24"/>
        </w:rPr>
        <w:t xml:space="preserve"> Zmiana w ustawie z dnia 1 kwietnia 2011 r. – Prawo probiercze (art. </w:t>
      </w:r>
      <w:r w:rsidR="004775F4">
        <w:rPr>
          <w:rFonts w:cs="Times New Roman"/>
          <w:b/>
          <w:szCs w:val="24"/>
        </w:rPr>
        <w:t>51</w:t>
      </w:r>
      <w:r w:rsidR="004775F4" w:rsidRPr="00B81E7D">
        <w:rPr>
          <w:rFonts w:cs="Times New Roman"/>
          <w:b/>
          <w:szCs w:val="24"/>
        </w:rPr>
        <w:t xml:space="preserve"> </w:t>
      </w:r>
      <w:r w:rsidRPr="00B81E7D">
        <w:rPr>
          <w:rFonts w:cs="Times New Roman"/>
          <w:b/>
          <w:szCs w:val="24"/>
        </w:rPr>
        <w:t>projektu).</w:t>
      </w:r>
    </w:p>
    <w:p w:rsidR="000C6BAE" w:rsidRPr="00B81E7D" w:rsidRDefault="000C6BAE" w:rsidP="00B421C2">
      <w:pPr>
        <w:spacing w:after="120" w:line="360" w:lineRule="auto"/>
        <w:jc w:val="both"/>
        <w:rPr>
          <w:rFonts w:cs="Times New Roman"/>
          <w:szCs w:val="24"/>
        </w:rPr>
      </w:pPr>
      <w:r w:rsidRPr="00B81E7D">
        <w:rPr>
          <w:rFonts w:cs="Times New Roman"/>
          <w:szCs w:val="24"/>
        </w:rPr>
        <w:t>Do wniosku zgłoszenia znaku imiennego do rejestru znaków imiennych przedsiębiorca jest zobowiązany dołączyć odpis z Krajowego Rejestru Sądowego.</w:t>
      </w:r>
      <w:r w:rsidR="00B86A39" w:rsidRPr="00B81E7D">
        <w:rPr>
          <w:rFonts w:cs="Times New Roman"/>
          <w:szCs w:val="24"/>
        </w:rPr>
        <w:t xml:space="preserve"> Analogicznie wymóg załączenia odpisu pojawia się w przypadku składania wniosku o utworzenie punktu probierczego.</w:t>
      </w:r>
      <w:r w:rsidRPr="00B81E7D">
        <w:rPr>
          <w:rFonts w:cs="Times New Roman"/>
          <w:szCs w:val="24"/>
        </w:rPr>
        <w:t xml:space="preserve"> W związku z tym, że organ może samodzielnie ustalić te dane w ogólnodostępnej bazie KRS proponuje się zniesienie tego obowiązku.</w:t>
      </w:r>
    </w:p>
    <w:p w:rsidR="009B3F71" w:rsidRPr="00B81E7D" w:rsidRDefault="009B3F71" w:rsidP="00B421C2">
      <w:pPr>
        <w:spacing w:after="120" w:line="360" w:lineRule="auto"/>
        <w:jc w:val="both"/>
        <w:rPr>
          <w:rFonts w:cs="Times New Roman"/>
          <w:b/>
          <w:szCs w:val="24"/>
        </w:rPr>
      </w:pPr>
    </w:p>
    <w:p w:rsidR="00CF114F" w:rsidRPr="00B81E7D" w:rsidRDefault="00CF114F" w:rsidP="00AD47B7">
      <w:pPr>
        <w:numPr>
          <w:ilvl w:val="0"/>
          <w:numId w:val="2"/>
        </w:numPr>
        <w:spacing w:after="120" w:line="360" w:lineRule="auto"/>
        <w:jc w:val="both"/>
        <w:rPr>
          <w:rFonts w:cs="Times New Roman"/>
          <w:b/>
          <w:szCs w:val="24"/>
        </w:rPr>
      </w:pPr>
      <w:r w:rsidRPr="00B81E7D">
        <w:rPr>
          <w:rFonts w:cs="Times New Roman"/>
          <w:b/>
          <w:szCs w:val="24"/>
        </w:rPr>
        <w:t xml:space="preserve">Zmiany w </w:t>
      </w:r>
      <w:r w:rsidRPr="00B81E7D">
        <w:rPr>
          <w:rFonts w:cs="Times New Roman"/>
          <w:b/>
          <w:szCs w:val="24"/>
          <w:lang w:val="pl"/>
        </w:rPr>
        <w:t>ustawie z dnia 9 czerwca 2011 r. - Prawo geologiczne i górnicze (</w:t>
      </w:r>
      <w:r w:rsidR="00567BC3" w:rsidRPr="00B81E7D">
        <w:rPr>
          <w:rFonts w:cs="Times New Roman"/>
          <w:b/>
          <w:szCs w:val="24"/>
          <w:lang w:val="pl"/>
        </w:rPr>
        <w:t xml:space="preserve">art. </w:t>
      </w:r>
      <w:r w:rsidR="004775F4">
        <w:rPr>
          <w:rFonts w:cs="Times New Roman"/>
          <w:b/>
          <w:szCs w:val="24"/>
          <w:lang w:val="pl"/>
        </w:rPr>
        <w:t>52</w:t>
      </w:r>
      <w:r w:rsidR="004775F4" w:rsidRPr="00B81E7D">
        <w:rPr>
          <w:rFonts w:cs="Times New Roman"/>
          <w:b/>
          <w:szCs w:val="24"/>
          <w:lang w:val="pl"/>
        </w:rPr>
        <w:t xml:space="preserve"> </w:t>
      </w:r>
      <w:r w:rsidR="00567BC3" w:rsidRPr="00B81E7D">
        <w:rPr>
          <w:rFonts w:cs="Times New Roman"/>
          <w:b/>
          <w:szCs w:val="24"/>
          <w:lang w:val="pl"/>
        </w:rPr>
        <w:t>projektu</w:t>
      </w:r>
      <w:r w:rsidRPr="00B81E7D">
        <w:rPr>
          <w:rFonts w:cs="Times New Roman"/>
          <w:b/>
          <w:szCs w:val="24"/>
        </w:rPr>
        <w:t>).</w:t>
      </w:r>
    </w:p>
    <w:p w:rsidR="00D01D57" w:rsidRPr="00B81E7D" w:rsidRDefault="00093CE4" w:rsidP="00B421C2">
      <w:pPr>
        <w:spacing w:before="120" w:line="360" w:lineRule="auto"/>
        <w:jc w:val="both"/>
        <w:rPr>
          <w:rFonts w:cs="Times New Roman"/>
          <w:szCs w:val="24"/>
        </w:rPr>
      </w:pPr>
      <w:r w:rsidRPr="00B81E7D">
        <w:rPr>
          <w:rFonts w:cs="Times New Roman"/>
          <w:szCs w:val="24"/>
        </w:rPr>
        <w:t xml:space="preserve">W dniu 13 lipca 2018 r. weszła w życie ustawa z dnia 1 marca 2018 r. o przeciwdziałaniu praniu pieniędzy oraz finansowaniu terroryzmu, która w art. 174 zmieniła brzmienie art. 49a ust. 10 ustawy z dnia 9 czerwca 2011 r. – Prawo geologiczne i górnicze, usuwając Generalnego Inspektora Informacji Finansowej z listy podmiotów opiniujących wnioski kwalifikacyjne. </w:t>
      </w:r>
    </w:p>
    <w:p w:rsidR="00133E70" w:rsidRPr="00B81E7D" w:rsidRDefault="00133E70" w:rsidP="00B421C2">
      <w:pPr>
        <w:spacing w:before="120" w:line="360" w:lineRule="auto"/>
        <w:jc w:val="both"/>
        <w:rPr>
          <w:rFonts w:cs="Times New Roman"/>
          <w:szCs w:val="24"/>
        </w:rPr>
      </w:pPr>
      <w:r w:rsidRPr="00B81E7D">
        <w:rPr>
          <w:rFonts w:cs="Times New Roman"/>
          <w:szCs w:val="24"/>
        </w:rPr>
        <w:lastRenderedPageBreak/>
        <w:t>Ponadto zniesiony zostaje wymóg zasięgania opini</w:t>
      </w:r>
      <w:r w:rsidR="00D01D57" w:rsidRPr="00B81E7D">
        <w:rPr>
          <w:rFonts w:cs="Times New Roman"/>
          <w:szCs w:val="24"/>
        </w:rPr>
        <w:t>i Komisji Nadzoru Finansowego w </w:t>
      </w:r>
      <w:r w:rsidRPr="00B81E7D">
        <w:rPr>
          <w:rFonts w:cs="Times New Roman"/>
          <w:szCs w:val="24"/>
        </w:rPr>
        <w:t>postępowaniu kwalifikacyjnym przewidzian</w:t>
      </w:r>
      <w:r w:rsidR="00DF1303">
        <w:rPr>
          <w:rFonts w:cs="Times New Roman"/>
          <w:szCs w:val="24"/>
        </w:rPr>
        <w:t>y</w:t>
      </w:r>
      <w:r w:rsidRPr="00B81E7D">
        <w:rPr>
          <w:rFonts w:cs="Times New Roman"/>
          <w:szCs w:val="24"/>
        </w:rPr>
        <w:t xml:space="preserve"> w art. 49a ust. 1 ustawy – Prawo geologiczne i górnicze, obejmując</w:t>
      </w:r>
      <w:r w:rsidR="00DF1303">
        <w:rPr>
          <w:rFonts w:cs="Times New Roman"/>
          <w:szCs w:val="24"/>
        </w:rPr>
        <w:t>y</w:t>
      </w:r>
      <w:r w:rsidRPr="00B81E7D">
        <w:rPr>
          <w:rFonts w:cs="Times New Roman"/>
          <w:szCs w:val="24"/>
        </w:rPr>
        <w:t xml:space="preserve"> podmioty zamierz</w:t>
      </w:r>
      <w:r w:rsidR="00B4541D">
        <w:rPr>
          <w:rFonts w:cs="Times New Roman"/>
          <w:szCs w:val="24"/>
        </w:rPr>
        <w:t>ające ubiegać się o koncesję na </w:t>
      </w:r>
      <w:r w:rsidRPr="00B81E7D">
        <w:rPr>
          <w:rFonts w:cs="Times New Roman"/>
          <w:szCs w:val="24"/>
        </w:rPr>
        <w:t>poszukiwanie i rozpoznawanie złoża węglowodorów o</w:t>
      </w:r>
      <w:r w:rsidR="00B4541D">
        <w:rPr>
          <w:rFonts w:cs="Times New Roman"/>
          <w:szCs w:val="24"/>
        </w:rPr>
        <w:t>raz wydobywanie węglowodorów ze </w:t>
      </w:r>
      <w:r w:rsidRPr="00B81E7D">
        <w:rPr>
          <w:rFonts w:cs="Times New Roman"/>
          <w:szCs w:val="24"/>
        </w:rPr>
        <w:t>złoża lub koncesję na wydobywanie węglowodorów ze złoża. Istnienie tego wymogu obecnie bezprzedmiotowo opóźnia czas zakończenia postępowania. Uzyskanie opinii Komisji Nadzoru Finansowego następuje w drodze postępowania administracyjnego i każdorazowo wymaga wydania postanowienia</w:t>
      </w:r>
      <w:r w:rsidR="00D01D57" w:rsidRPr="00B81E7D">
        <w:rPr>
          <w:rFonts w:cs="Times New Roman"/>
          <w:szCs w:val="24"/>
        </w:rPr>
        <w:t>. Tymczasem Komisja</w:t>
      </w:r>
      <w:r w:rsidRPr="00B81E7D">
        <w:rPr>
          <w:rFonts w:cs="Times New Roman"/>
          <w:szCs w:val="24"/>
        </w:rPr>
        <w:t xml:space="preserve"> Nadzoru Finansowego nie dysponuje prawnymi, ani faktycznymi możliwościami oceny ustawowej przesłanki czy podmiot zamierzający ubiegać się o koncesję na poszukiwanie i rozpoznawanie złoża węglowodorów oraz wydobywanie węglowodorów ze złoża lub koncesję</w:t>
      </w:r>
      <w:r w:rsidR="00B4541D">
        <w:rPr>
          <w:rFonts w:cs="Times New Roman"/>
          <w:szCs w:val="24"/>
        </w:rPr>
        <w:t xml:space="preserve"> na wydobywanie węglowodorów ze </w:t>
      </w:r>
      <w:r w:rsidRPr="00B81E7D">
        <w:rPr>
          <w:rFonts w:cs="Times New Roman"/>
          <w:szCs w:val="24"/>
        </w:rPr>
        <w:t>złoża znajduje się pod kontrolą korporacyjną państwa trzeciego, podmiotu lub obywatela państwa trzeciego, a w przypadku znajdowania się pod taką kontrolą, czy kontrola ta może zagrażać bezpieczeństwu państwa. Wydaje się, że odpowiednimi narzędziami w tym zakresie dysponują jedynie wskazane w tym przepisie służby specjalne</w:t>
      </w:r>
      <w:r w:rsidR="00DF1303">
        <w:rPr>
          <w:rFonts w:cs="Times New Roman"/>
          <w:szCs w:val="24"/>
        </w:rPr>
        <w:t xml:space="preserve"> takie jak </w:t>
      </w:r>
      <w:r w:rsidRPr="00B81E7D">
        <w:rPr>
          <w:rFonts w:cs="Times New Roman"/>
          <w:szCs w:val="24"/>
        </w:rPr>
        <w:t xml:space="preserve"> Agencj</w:t>
      </w:r>
      <w:r w:rsidR="00DF1303">
        <w:rPr>
          <w:rFonts w:cs="Times New Roman"/>
          <w:szCs w:val="24"/>
        </w:rPr>
        <w:t>a</w:t>
      </w:r>
      <w:r w:rsidRPr="00B81E7D">
        <w:rPr>
          <w:rFonts w:cs="Times New Roman"/>
          <w:szCs w:val="24"/>
        </w:rPr>
        <w:t xml:space="preserve"> Wywiadu i Agencj</w:t>
      </w:r>
      <w:r w:rsidR="00DF1303">
        <w:rPr>
          <w:rFonts w:cs="Times New Roman"/>
          <w:szCs w:val="24"/>
        </w:rPr>
        <w:t>a</w:t>
      </w:r>
      <w:r w:rsidRPr="00B81E7D">
        <w:rPr>
          <w:rFonts w:cs="Times New Roman"/>
          <w:szCs w:val="24"/>
        </w:rPr>
        <w:t xml:space="preserve"> Bezpieczeństwa Wewnętrznego – które w ra</w:t>
      </w:r>
      <w:r w:rsidR="00B4541D">
        <w:rPr>
          <w:rFonts w:cs="Times New Roman"/>
          <w:szCs w:val="24"/>
        </w:rPr>
        <w:t>zie potrzeby mogą wymieniać się </w:t>
      </w:r>
      <w:r w:rsidRPr="00B81E7D">
        <w:rPr>
          <w:rFonts w:cs="Times New Roman"/>
          <w:szCs w:val="24"/>
        </w:rPr>
        <w:t>z Komisją Nadzoru Finansowego niezbędnym inf</w:t>
      </w:r>
      <w:r w:rsidR="00B4541D">
        <w:rPr>
          <w:rFonts w:cs="Times New Roman"/>
          <w:szCs w:val="24"/>
        </w:rPr>
        <w:t>ormacjami, w tym chronionymi</w:t>
      </w:r>
      <w:r w:rsidR="00DF1303">
        <w:rPr>
          <w:rFonts w:cs="Times New Roman"/>
          <w:szCs w:val="24"/>
        </w:rPr>
        <w:t>,</w:t>
      </w:r>
      <w:r w:rsidR="00B4541D">
        <w:rPr>
          <w:rFonts w:cs="Times New Roman"/>
          <w:szCs w:val="24"/>
        </w:rPr>
        <w:t xml:space="preserve"> na </w:t>
      </w:r>
      <w:r w:rsidRPr="00B81E7D">
        <w:rPr>
          <w:rFonts w:cs="Times New Roman"/>
          <w:szCs w:val="24"/>
        </w:rPr>
        <w:t xml:space="preserve">podstawie odrębnych ustaw. Należy zauważyć, że analogiczna przesłanka bezprzedmiotowości wyrażania opinii była powodem zmiany art. 49a ust. 10 ustawy – Prawo geologiczne i górnicze, dokonanej przepisami ustawy z dnia 1 marca 2018 r. o przeciwdziałaniu praniu pieniędzy oraz finansowaniu terroryzmu (Dz. U. poz. 723), która usunęła w tymże postępowaniu kwalifikacyjnym wymóg uzyskania opinii Generalnego Inspektora Informacji Finansowej. </w:t>
      </w:r>
    </w:p>
    <w:p w:rsidR="00093CE4" w:rsidRPr="00B81E7D" w:rsidRDefault="00093CE4" w:rsidP="00B421C2">
      <w:pPr>
        <w:spacing w:before="120" w:line="360" w:lineRule="auto"/>
        <w:jc w:val="both"/>
        <w:rPr>
          <w:rFonts w:cs="Times New Roman"/>
          <w:szCs w:val="24"/>
        </w:rPr>
      </w:pPr>
      <w:r w:rsidRPr="00B81E7D">
        <w:rPr>
          <w:rFonts w:cs="Times New Roman"/>
          <w:szCs w:val="24"/>
        </w:rPr>
        <w:t>Konsekwencją tej zmiany j</w:t>
      </w:r>
      <w:r w:rsidR="00133E70" w:rsidRPr="00B81E7D">
        <w:rPr>
          <w:rFonts w:cs="Times New Roman"/>
          <w:szCs w:val="24"/>
        </w:rPr>
        <w:t>est modyfikacja art. 49a ust. 8 </w:t>
      </w:r>
      <w:r w:rsidRPr="00B81E7D">
        <w:rPr>
          <w:rFonts w:cs="Times New Roman"/>
          <w:szCs w:val="24"/>
        </w:rPr>
        <w:t>Prawa geologicznego i górniczego, ograniczająca liczbę egzemplar</w:t>
      </w:r>
      <w:r w:rsidR="00790D0C" w:rsidRPr="00B81E7D">
        <w:rPr>
          <w:rFonts w:cs="Times New Roman"/>
          <w:szCs w:val="24"/>
        </w:rPr>
        <w:t xml:space="preserve">zy wniosku kwalifikacyjnego </w:t>
      </w:r>
      <w:r w:rsidRPr="00B81E7D">
        <w:rPr>
          <w:rFonts w:cs="Times New Roman"/>
          <w:szCs w:val="24"/>
        </w:rPr>
        <w:t xml:space="preserve">do </w:t>
      </w:r>
      <w:r w:rsidR="00692712" w:rsidRPr="00B81E7D">
        <w:rPr>
          <w:rFonts w:cs="Times New Roman"/>
          <w:szCs w:val="24"/>
        </w:rPr>
        <w:t>3,</w:t>
      </w:r>
      <w:r w:rsidRPr="00B81E7D">
        <w:rPr>
          <w:rFonts w:cs="Times New Roman"/>
          <w:szCs w:val="24"/>
        </w:rPr>
        <w:t xml:space="preserve"> stosownie do liczby organów opiniujących. Analogiczną zmianę proponuje się w art. 49b ust. 1.</w:t>
      </w:r>
    </w:p>
    <w:p w:rsidR="008C3158" w:rsidRPr="00B81E7D" w:rsidRDefault="00093CE4" w:rsidP="00B421C2">
      <w:pPr>
        <w:spacing w:before="120" w:line="360" w:lineRule="auto"/>
        <w:jc w:val="both"/>
        <w:rPr>
          <w:rFonts w:cs="Times New Roman"/>
          <w:szCs w:val="24"/>
        </w:rPr>
      </w:pPr>
      <w:r w:rsidRPr="00B81E7D">
        <w:rPr>
          <w:rFonts w:cs="Times New Roman"/>
          <w:szCs w:val="24"/>
        </w:rPr>
        <w:t>Proponuje się także ograniczenie liczby egzemplarzy dokumentacji geologicznych dotyczących obszarów morskich Rzeczypospolitej Polskiej</w:t>
      </w:r>
      <w:r w:rsidR="00790D0C" w:rsidRPr="00B81E7D">
        <w:rPr>
          <w:rFonts w:cs="Times New Roman"/>
          <w:szCs w:val="24"/>
        </w:rPr>
        <w:t xml:space="preserve">: </w:t>
      </w:r>
    </w:p>
    <w:p w:rsidR="008C3158" w:rsidRPr="00B81E7D" w:rsidRDefault="008C3158" w:rsidP="00B421C2">
      <w:pPr>
        <w:spacing w:before="120" w:line="360" w:lineRule="auto"/>
        <w:jc w:val="both"/>
        <w:rPr>
          <w:rFonts w:cs="Times New Roman"/>
          <w:szCs w:val="24"/>
        </w:rPr>
      </w:pPr>
      <w:r w:rsidRPr="00B81E7D">
        <w:rPr>
          <w:rFonts w:cs="Times New Roman"/>
          <w:szCs w:val="24"/>
        </w:rPr>
        <w:t xml:space="preserve">- </w:t>
      </w:r>
      <w:r w:rsidR="00790D0C" w:rsidRPr="00B81E7D">
        <w:rPr>
          <w:rFonts w:cs="Times New Roman"/>
          <w:szCs w:val="24"/>
        </w:rPr>
        <w:t>w przypadku dokumentacji, o </w:t>
      </w:r>
      <w:r w:rsidR="00093CE4" w:rsidRPr="00B81E7D">
        <w:rPr>
          <w:rFonts w:cs="Times New Roman"/>
          <w:szCs w:val="24"/>
        </w:rPr>
        <w:t xml:space="preserve">której mowa w art. </w:t>
      </w:r>
      <w:r w:rsidR="00B4541D">
        <w:rPr>
          <w:rFonts w:cs="Times New Roman"/>
          <w:szCs w:val="24"/>
        </w:rPr>
        <w:t>88 ust. 2 pkt 1-3 ustawy – do </w:t>
      </w:r>
      <w:r w:rsidR="00E5088A" w:rsidRPr="00B81E7D">
        <w:rPr>
          <w:rFonts w:cs="Times New Roman"/>
          <w:szCs w:val="24"/>
        </w:rPr>
        <w:t>2 </w:t>
      </w:r>
      <w:r w:rsidR="00093CE4" w:rsidRPr="00B81E7D">
        <w:rPr>
          <w:rFonts w:cs="Times New Roman"/>
          <w:szCs w:val="24"/>
        </w:rPr>
        <w:t xml:space="preserve">egzemplarzy (1 dla przedsiębiorcy, 1 dla organu administracji geologicznej), </w:t>
      </w:r>
    </w:p>
    <w:p w:rsidR="00093CE4" w:rsidRPr="00B81E7D" w:rsidRDefault="008C3158" w:rsidP="00B421C2">
      <w:pPr>
        <w:spacing w:before="120" w:line="360" w:lineRule="auto"/>
        <w:jc w:val="both"/>
        <w:rPr>
          <w:rFonts w:cs="Times New Roman"/>
          <w:szCs w:val="24"/>
        </w:rPr>
      </w:pPr>
      <w:r w:rsidRPr="00B81E7D">
        <w:rPr>
          <w:rFonts w:cs="Times New Roman"/>
          <w:szCs w:val="24"/>
        </w:rPr>
        <w:t xml:space="preserve">- </w:t>
      </w:r>
      <w:r w:rsidR="00093CE4" w:rsidRPr="00B81E7D">
        <w:rPr>
          <w:rFonts w:cs="Times New Roman"/>
          <w:szCs w:val="24"/>
        </w:rPr>
        <w:t xml:space="preserve">w przypadku dokumentacji, o której mowa w art. 88 ust. 2 pkt 4 ustawy – do 1 egzemplarza (dla organu administracji geologicznej). </w:t>
      </w:r>
    </w:p>
    <w:p w:rsidR="00CE7C58" w:rsidRPr="00B81E7D" w:rsidRDefault="00CE7C58" w:rsidP="00B421C2">
      <w:pPr>
        <w:spacing w:after="120" w:line="360" w:lineRule="auto"/>
        <w:jc w:val="both"/>
        <w:rPr>
          <w:rFonts w:cs="Times New Roman"/>
          <w:b/>
          <w:szCs w:val="24"/>
        </w:rPr>
      </w:pPr>
    </w:p>
    <w:p w:rsidR="00DB5937" w:rsidRPr="00B81E7D" w:rsidRDefault="00CF114F" w:rsidP="00AD47B7">
      <w:pPr>
        <w:numPr>
          <w:ilvl w:val="0"/>
          <w:numId w:val="2"/>
        </w:numPr>
        <w:spacing w:after="120" w:line="360" w:lineRule="auto"/>
        <w:jc w:val="both"/>
        <w:rPr>
          <w:rFonts w:cs="Times New Roman"/>
          <w:b/>
          <w:szCs w:val="24"/>
        </w:rPr>
      </w:pPr>
      <w:r w:rsidRPr="00B81E7D">
        <w:rPr>
          <w:rFonts w:cs="Times New Roman"/>
          <w:b/>
          <w:szCs w:val="24"/>
        </w:rPr>
        <w:lastRenderedPageBreak/>
        <w:t>Zmian</w:t>
      </w:r>
      <w:r w:rsidR="00BE2A3A" w:rsidRPr="00B81E7D">
        <w:rPr>
          <w:rFonts w:cs="Times New Roman"/>
          <w:b/>
          <w:szCs w:val="24"/>
        </w:rPr>
        <w:t>a</w:t>
      </w:r>
      <w:r w:rsidRPr="00B81E7D">
        <w:rPr>
          <w:rFonts w:cs="Times New Roman"/>
          <w:b/>
          <w:szCs w:val="24"/>
        </w:rPr>
        <w:t xml:space="preserve"> w ustawie z dnia 19 sierpnia 2011 r. o usługach płatniczych </w:t>
      </w:r>
      <w:r w:rsidR="00567BC3" w:rsidRPr="00B81E7D">
        <w:rPr>
          <w:rFonts w:cs="Times New Roman"/>
          <w:b/>
          <w:szCs w:val="24"/>
        </w:rPr>
        <w:t xml:space="preserve">(art. </w:t>
      </w:r>
      <w:r w:rsidR="004775F4">
        <w:rPr>
          <w:rFonts w:cs="Times New Roman"/>
          <w:b/>
          <w:szCs w:val="24"/>
        </w:rPr>
        <w:t>53</w:t>
      </w:r>
      <w:r w:rsidR="004775F4" w:rsidRPr="00B81E7D">
        <w:rPr>
          <w:rFonts w:cs="Times New Roman"/>
          <w:b/>
          <w:szCs w:val="24"/>
        </w:rPr>
        <w:t xml:space="preserve"> </w:t>
      </w:r>
      <w:r w:rsidR="00567BC3" w:rsidRPr="00B81E7D">
        <w:rPr>
          <w:rFonts w:cs="Times New Roman"/>
          <w:b/>
          <w:szCs w:val="24"/>
        </w:rPr>
        <w:t>projektu).</w:t>
      </w:r>
    </w:p>
    <w:p w:rsidR="000F3A5E" w:rsidRPr="00B81E7D" w:rsidRDefault="000F3A5E" w:rsidP="00B421C2">
      <w:pPr>
        <w:spacing w:before="120" w:line="360" w:lineRule="auto"/>
        <w:jc w:val="both"/>
        <w:rPr>
          <w:rFonts w:cs="Times New Roman"/>
          <w:szCs w:val="24"/>
        </w:rPr>
      </w:pPr>
      <w:r w:rsidRPr="00B81E7D">
        <w:rPr>
          <w:rFonts w:cs="Times New Roman"/>
          <w:szCs w:val="24"/>
        </w:rPr>
        <w:t>W ramach standardowej sprawozdawczości, biura usł</w:t>
      </w:r>
      <w:r w:rsidR="00B4541D">
        <w:rPr>
          <w:rFonts w:cs="Times New Roman"/>
          <w:szCs w:val="24"/>
        </w:rPr>
        <w:t>ug płatniczych są obowiązane do </w:t>
      </w:r>
      <w:r w:rsidRPr="00B81E7D">
        <w:rPr>
          <w:rFonts w:cs="Times New Roman"/>
          <w:szCs w:val="24"/>
        </w:rPr>
        <w:t>przekazywania KNF informacji o łącznej wartości i liczbie transakcji płatniczych:</w:t>
      </w:r>
    </w:p>
    <w:p w:rsidR="000F3A5E" w:rsidRPr="00B81E7D" w:rsidRDefault="000F3A5E" w:rsidP="00B421C2">
      <w:pPr>
        <w:spacing w:before="120" w:line="360" w:lineRule="auto"/>
        <w:jc w:val="both"/>
        <w:rPr>
          <w:rFonts w:cs="Times New Roman"/>
          <w:szCs w:val="24"/>
        </w:rPr>
      </w:pPr>
      <w:r w:rsidRPr="00B81E7D">
        <w:rPr>
          <w:rFonts w:cs="Times New Roman"/>
          <w:szCs w:val="24"/>
        </w:rPr>
        <w:t>1) w danym kwartale – w terminie do końca pierwszego miesiąca następnego kwartału;</w:t>
      </w:r>
    </w:p>
    <w:p w:rsidR="000F3A5E" w:rsidRPr="00B81E7D" w:rsidRDefault="000F3A5E" w:rsidP="00B421C2">
      <w:pPr>
        <w:spacing w:before="120" w:line="360" w:lineRule="auto"/>
        <w:jc w:val="both"/>
        <w:rPr>
          <w:rFonts w:cs="Times New Roman"/>
          <w:szCs w:val="24"/>
        </w:rPr>
      </w:pPr>
      <w:r w:rsidRPr="00B81E7D">
        <w:rPr>
          <w:rFonts w:cs="Times New Roman"/>
          <w:szCs w:val="24"/>
        </w:rPr>
        <w:t>2) w danym roku – w terminie do dnia 31 stycznia następnego roku.</w:t>
      </w:r>
    </w:p>
    <w:p w:rsidR="000F3A5E" w:rsidRPr="00B81E7D" w:rsidRDefault="000F3A5E" w:rsidP="00B421C2">
      <w:pPr>
        <w:spacing w:before="120" w:line="360" w:lineRule="auto"/>
        <w:jc w:val="both"/>
        <w:rPr>
          <w:rFonts w:cs="Times New Roman"/>
          <w:szCs w:val="24"/>
        </w:rPr>
      </w:pPr>
      <w:r w:rsidRPr="00B81E7D">
        <w:rPr>
          <w:rFonts w:cs="Times New Roman"/>
          <w:szCs w:val="24"/>
        </w:rPr>
        <w:t xml:space="preserve">Obciążenia przedsiębiorców nakładem pracy i kosztami niezbędnymi do odpowiedniego gromadzenia i sprawozdawania kwartalnych informacji statystycznych oraz sankcjami przewidzianymi za niedochowanie obowiązków informacyjnych są niewspółmierne do ryzyka związanego z działalnością większości </w:t>
      </w:r>
      <w:r w:rsidR="00E055A2" w:rsidRPr="00B81E7D">
        <w:rPr>
          <w:rFonts w:cs="Times New Roman"/>
          <w:szCs w:val="24"/>
        </w:rPr>
        <w:t>biur usług płatniczych</w:t>
      </w:r>
      <w:r w:rsidRPr="00B81E7D">
        <w:rPr>
          <w:rFonts w:cs="Times New Roman"/>
          <w:szCs w:val="24"/>
        </w:rPr>
        <w:t xml:space="preserve"> oraz do nadzorczej wartości przekazywanych informacji. Proponuje się ograniczyć często</w:t>
      </w:r>
      <w:r w:rsidR="00B4541D">
        <w:rPr>
          <w:rFonts w:cs="Times New Roman"/>
          <w:szCs w:val="24"/>
        </w:rPr>
        <w:t>tliwość składania sprawozdań do </w:t>
      </w:r>
      <w:r w:rsidRPr="00B81E7D">
        <w:rPr>
          <w:rFonts w:cs="Times New Roman"/>
          <w:szCs w:val="24"/>
        </w:rPr>
        <w:t xml:space="preserve">rocznej wraz z nieznacznym rozszerzeniem szczegółowości tej sprawozdawczości, polegającym na wymogu przekazywania danych w ujęciu miesięcznym. </w:t>
      </w:r>
    </w:p>
    <w:p w:rsidR="000F3A5E" w:rsidRPr="00B81E7D" w:rsidRDefault="000F3A5E" w:rsidP="00B421C2">
      <w:pPr>
        <w:spacing w:after="120" w:line="360" w:lineRule="auto"/>
        <w:jc w:val="both"/>
        <w:rPr>
          <w:rFonts w:cs="Times New Roman"/>
          <w:b/>
          <w:szCs w:val="24"/>
        </w:rPr>
      </w:pPr>
    </w:p>
    <w:p w:rsidR="00822C14" w:rsidRPr="00B81E7D" w:rsidRDefault="00CF114F" w:rsidP="00AD47B7">
      <w:pPr>
        <w:numPr>
          <w:ilvl w:val="0"/>
          <w:numId w:val="2"/>
        </w:numPr>
        <w:spacing w:after="120" w:line="360" w:lineRule="auto"/>
        <w:jc w:val="both"/>
        <w:rPr>
          <w:rFonts w:cs="Times New Roman"/>
          <w:b/>
          <w:szCs w:val="24"/>
        </w:rPr>
      </w:pPr>
      <w:r w:rsidRPr="00B81E7D">
        <w:rPr>
          <w:rFonts w:cs="Times New Roman"/>
          <w:b/>
          <w:szCs w:val="24"/>
        </w:rPr>
        <w:t xml:space="preserve">Zmiany w ustawie z dnia 23 listopada 2012 r. </w:t>
      </w:r>
      <w:r w:rsidR="00822C14" w:rsidRPr="00B81E7D">
        <w:rPr>
          <w:rFonts w:cs="Times New Roman"/>
          <w:b/>
          <w:szCs w:val="24"/>
        </w:rPr>
        <w:t xml:space="preserve">- </w:t>
      </w:r>
      <w:r w:rsidRPr="00B81E7D">
        <w:rPr>
          <w:rFonts w:cs="Times New Roman"/>
          <w:b/>
          <w:szCs w:val="24"/>
        </w:rPr>
        <w:t xml:space="preserve">Prawo pocztowe </w:t>
      </w:r>
      <w:r w:rsidR="00567BC3" w:rsidRPr="00B81E7D">
        <w:rPr>
          <w:rFonts w:cs="Times New Roman"/>
          <w:b/>
          <w:szCs w:val="24"/>
        </w:rPr>
        <w:t xml:space="preserve">(art. </w:t>
      </w:r>
      <w:r w:rsidR="004775F4">
        <w:rPr>
          <w:rFonts w:cs="Times New Roman"/>
          <w:b/>
          <w:szCs w:val="24"/>
        </w:rPr>
        <w:t>54</w:t>
      </w:r>
      <w:r w:rsidR="004775F4" w:rsidRPr="00B81E7D">
        <w:rPr>
          <w:rFonts w:cs="Times New Roman"/>
          <w:b/>
          <w:szCs w:val="24"/>
        </w:rPr>
        <w:t xml:space="preserve"> </w:t>
      </w:r>
      <w:r w:rsidR="00567BC3" w:rsidRPr="00B81E7D">
        <w:rPr>
          <w:rFonts w:cs="Times New Roman"/>
          <w:b/>
          <w:szCs w:val="24"/>
        </w:rPr>
        <w:t>projektu).</w:t>
      </w:r>
    </w:p>
    <w:p w:rsidR="00822C14" w:rsidRPr="00B81E7D" w:rsidRDefault="0077658A" w:rsidP="000A6809">
      <w:pPr>
        <w:numPr>
          <w:ilvl w:val="0"/>
          <w:numId w:val="18"/>
        </w:numPr>
        <w:spacing w:before="120" w:after="120" w:line="360" w:lineRule="auto"/>
        <w:ind w:left="709" w:hanging="425"/>
        <w:jc w:val="both"/>
        <w:rPr>
          <w:rFonts w:cs="Times New Roman"/>
          <w:i/>
          <w:szCs w:val="24"/>
        </w:rPr>
      </w:pPr>
      <w:r w:rsidRPr="00B81E7D">
        <w:rPr>
          <w:rFonts w:cs="Times New Roman"/>
          <w:i/>
          <w:szCs w:val="24"/>
        </w:rPr>
        <w:t>A</w:t>
      </w:r>
      <w:r w:rsidR="00822C14" w:rsidRPr="00B81E7D">
        <w:rPr>
          <w:rFonts w:cs="Times New Roman"/>
          <w:i/>
          <w:szCs w:val="24"/>
        </w:rPr>
        <w:t>ktualizacja danych zawartych we wniosku o wpis rejestru operatorów pocztowych</w:t>
      </w:r>
      <w:r w:rsidR="004D6469" w:rsidRPr="00B81E7D">
        <w:rPr>
          <w:rFonts w:cs="Times New Roman"/>
          <w:i/>
          <w:szCs w:val="24"/>
        </w:rPr>
        <w:t xml:space="preserve"> (art. </w:t>
      </w:r>
      <w:r w:rsidR="004775F4">
        <w:rPr>
          <w:rFonts w:cs="Times New Roman"/>
          <w:i/>
          <w:szCs w:val="24"/>
        </w:rPr>
        <w:t>54</w:t>
      </w:r>
      <w:r w:rsidR="004775F4" w:rsidRPr="00B81E7D">
        <w:rPr>
          <w:rFonts w:cs="Times New Roman"/>
          <w:i/>
          <w:szCs w:val="24"/>
        </w:rPr>
        <w:t xml:space="preserve"> </w:t>
      </w:r>
      <w:r w:rsidR="004D6469" w:rsidRPr="00B81E7D">
        <w:rPr>
          <w:rFonts w:cs="Times New Roman"/>
          <w:i/>
          <w:szCs w:val="24"/>
        </w:rPr>
        <w:t xml:space="preserve">pkt 1 </w:t>
      </w:r>
      <w:r w:rsidR="0000453D" w:rsidRPr="00B81E7D">
        <w:rPr>
          <w:rFonts w:cs="Times New Roman"/>
          <w:i/>
          <w:szCs w:val="24"/>
        </w:rPr>
        <w:t xml:space="preserve">lit. a </w:t>
      </w:r>
      <w:r w:rsidR="004D6469" w:rsidRPr="00B81E7D">
        <w:rPr>
          <w:rFonts w:cs="Times New Roman"/>
          <w:i/>
          <w:szCs w:val="24"/>
        </w:rPr>
        <w:t>projektu).</w:t>
      </w:r>
    </w:p>
    <w:p w:rsidR="00822C14" w:rsidRPr="00B81E7D" w:rsidRDefault="00822C14" w:rsidP="00B421C2">
      <w:pPr>
        <w:pStyle w:val="Tekstpodstawowy"/>
        <w:spacing w:before="120" w:after="120" w:line="360" w:lineRule="auto"/>
        <w:jc w:val="both"/>
        <w:rPr>
          <w:rFonts w:ascii="Times New Roman" w:hAnsi="Times New Roman" w:cs="Times New Roman"/>
          <w:sz w:val="24"/>
          <w:szCs w:val="24"/>
        </w:rPr>
      </w:pPr>
      <w:r w:rsidRPr="00B81E7D">
        <w:rPr>
          <w:rFonts w:ascii="Times New Roman" w:hAnsi="Times New Roman" w:cs="Times New Roman"/>
          <w:sz w:val="24"/>
          <w:szCs w:val="24"/>
        </w:rPr>
        <w:t>Zgodnie z art. 9 ust. 1 pkt 2 ustawy</w:t>
      </w:r>
      <w:r w:rsidR="00DF1303">
        <w:rPr>
          <w:rFonts w:ascii="Times New Roman" w:hAnsi="Times New Roman" w:cs="Times New Roman"/>
          <w:sz w:val="24"/>
          <w:szCs w:val="24"/>
        </w:rPr>
        <w:t xml:space="preserve"> -</w:t>
      </w:r>
      <w:r w:rsidRPr="00B81E7D">
        <w:rPr>
          <w:rFonts w:ascii="Times New Roman" w:hAnsi="Times New Roman" w:cs="Times New Roman"/>
          <w:sz w:val="24"/>
          <w:szCs w:val="24"/>
        </w:rPr>
        <w:t xml:space="preserve"> Prawo pocztowe wp</w:t>
      </w:r>
      <w:r w:rsidR="00B4541D">
        <w:rPr>
          <w:rFonts w:ascii="Times New Roman" w:hAnsi="Times New Roman" w:cs="Times New Roman"/>
          <w:sz w:val="24"/>
          <w:szCs w:val="24"/>
        </w:rPr>
        <w:t>isu do rejestru dokonuje się na </w:t>
      </w:r>
      <w:r w:rsidRPr="00B81E7D">
        <w:rPr>
          <w:rFonts w:ascii="Times New Roman" w:hAnsi="Times New Roman" w:cs="Times New Roman"/>
          <w:sz w:val="24"/>
          <w:szCs w:val="24"/>
        </w:rPr>
        <w:t>pisemny wniosek przedsiębiorcy, który zawiera m.in. numer w rejestrze przedsiębiorców albo w innym właściwym rejestrze. Powyższe informacje przeds</w:t>
      </w:r>
      <w:r w:rsidR="00E5088A" w:rsidRPr="00B81E7D">
        <w:rPr>
          <w:rFonts w:ascii="Times New Roman" w:hAnsi="Times New Roman" w:cs="Times New Roman"/>
          <w:sz w:val="24"/>
          <w:szCs w:val="24"/>
        </w:rPr>
        <w:t>iębiorca wypełnia w rubryce A.4 </w:t>
      </w:r>
      <w:r w:rsidRPr="00B81E7D">
        <w:rPr>
          <w:rFonts w:ascii="Times New Roman" w:hAnsi="Times New Roman" w:cs="Times New Roman"/>
          <w:sz w:val="24"/>
          <w:szCs w:val="24"/>
        </w:rPr>
        <w:t xml:space="preserve"> wniosku o wpis do Rejestru operatorów pocztowych, stanowiącego załączn</w:t>
      </w:r>
      <w:r w:rsidR="00E5088A" w:rsidRPr="00B81E7D">
        <w:rPr>
          <w:rFonts w:ascii="Times New Roman" w:hAnsi="Times New Roman" w:cs="Times New Roman"/>
          <w:sz w:val="24"/>
          <w:szCs w:val="24"/>
        </w:rPr>
        <w:t>ik nr 1 </w:t>
      </w:r>
      <w:r w:rsidRPr="00B81E7D">
        <w:rPr>
          <w:rFonts w:ascii="Times New Roman" w:hAnsi="Times New Roman" w:cs="Times New Roman"/>
          <w:sz w:val="24"/>
          <w:szCs w:val="24"/>
        </w:rPr>
        <w:t xml:space="preserve">do Rozporządzenia. </w:t>
      </w:r>
      <w:r w:rsidR="00B4541D">
        <w:rPr>
          <w:rFonts w:ascii="Times New Roman" w:hAnsi="Times New Roman" w:cs="Times New Roman"/>
          <w:sz w:val="24"/>
          <w:szCs w:val="24"/>
        </w:rPr>
        <w:t>Należy zauważyć, że w związku z </w:t>
      </w:r>
      <w:r w:rsidRPr="00B81E7D">
        <w:rPr>
          <w:rFonts w:ascii="Times New Roman" w:hAnsi="Times New Roman" w:cs="Times New Roman"/>
          <w:sz w:val="24"/>
          <w:szCs w:val="24"/>
        </w:rPr>
        <w:t>przeniesieniem gminnych Ewidencji Działalności Gospoda</w:t>
      </w:r>
      <w:r w:rsidR="00B4541D">
        <w:rPr>
          <w:rFonts w:ascii="Times New Roman" w:hAnsi="Times New Roman" w:cs="Times New Roman"/>
          <w:sz w:val="24"/>
          <w:szCs w:val="24"/>
        </w:rPr>
        <w:t>rczej do Centralnej Ewidencji i </w:t>
      </w:r>
      <w:r w:rsidRPr="00B81E7D">
        <w:rPr>
          <w:rFonts w:ascii="Times New Roman" w:hAnsi="Times New Roman" w:cs="Times New Roman"/>
          <w:sz w:val="24"/>
          <w:szCs w:val="24"/>
        </w:rPr>
        <w:t>Informacji o Działalności Gospodarczej (CEIDG) oraz likwidacją numeracji funkcjonującej w EDG, przedsiębiorcy prowadzący jednoosobową działal</w:t>
      </w:r>
      <w:r w:rsidR="00B4541D">
        <w:rPr>
          <w:rFonts w:ascii="Times New Roman" w:hAnsi="Times New Roman" w:cs="Times New Roman"/>
          <w:sz w:val="24"/>
          <w:szCs w:val="24"/>
        </w:rPr>
        <w:t>ność gospodarczą w polu A.4 nie </w:t>
      </w:r>
      <w:r w:rsidRPr="00B81E7D">
        <w:rPr>
          <w:rFonts w:ascii="Times New Roman" w:hAnsi="Times New Roman" w:cs="Times New Roman"/>
          <w:sz w:val="24"/>
          <w:szCs w:val="24"/>
        </w:rPr>
        <w:t>podają już numeru, który wskazywali we wniosku przed zmianami. Obecnie powyższa regulacja dotyczy tylko podmiotów wpisanych do KRS. W myśl zasady prostego języka należy zmienić i doprecyzować regulację art. 9 ust. 1 p</w:t>
      </w:r>
      <w:r w:rsidR="00B4541D">
        <w:rPr>
          <w:rFonts w:ascii="Times New Roman" w:hAnsi="Times New Roman" w:cs="Times New Roman"/>
          <w:sz w:val="24"/>
          <w:szCs w:val="24"/>
        </w:rPr>
        <w:t>kt 2, tak aby była zrozumiała i </w:t>
      </w:r>
      <w:r w:rsidRPr="00B81E7D">
        <w:rPr>
          <w:rFonts w:ascii="Times New Roman" w:hAnsi="Times New Roman" w:cs="Times New Roman"/>
          <w:sz w:val="24"/>
          <w:szCs w:val="24"/>
        </w:rPr>
        <w:t>przejrzysta dla każdego przedsiębiorcy. Po analizie wpływających do UKE wniosków można zauważyć, że Ci przedsiębiorcy, którzy są wpisani do C</w:t>
      </w:r>
      <w:r w:rsidR="00B4541D">
        <w:rPr>
          <w:rFonts w:ascii="Times New Roman" w:hAnsi="Times New Roman" w:cs="Times New Roman"/>
          <w:sz w:val="24"/>
          <w:szCs w:val="24"/>
        </w:rPr>
        <w:t>EIDG mają problem z </w:t>
      </w:r>
      <w:r w:rsidRPr="00B81E7D">
        <w:rPr>
          <w:rFonts w:ascii="Times New Roman" w:hAnsi="Times New Roman" w:cs="Times New Roman"/>
          <w:sz w:val="24"/>
          <w:szCs w:val="24"/>
        </w:rPr>
        <w:t xml:space="preserve">interpretacją zapisu art. 9 </w:t>
      </w:r>
      <w:r w:rsidR="00E5088A" w:rsidRPr="00B81E7D">
        <w:rPr>
          <w:rFonts w:ascii="Times New Roman" w:hAnsi="Times New Roman" w:cs="Times New Roman"/>
          <w:sz w:val="24"/>
          <w:szCs w:val="24"/>
        </w:rPr>
        <w:t>ust. 1 pkt 2. Często w polu A.4 </w:t>
      </w:r>
      <w:r w:rsidR="00B4541D">
        <w:rPr>
          <w:rFonts w:ascii="Times New Roman" w:hAnsi="Times New Roman" w:cs="Times New Roman"/>
          <w:sz w:val="24"/>
          <w:szCs w:val="24"/>
        </w:rPr>
        <w:t>wzoru wniosku wpisują np. nr </w:t>
      </w:r>
      <w:r w:rsidRPr="00B81E7D">
        <w:rPr>
          <w:rFonts w:ascii="Times New Roman" w:hAnsi="Times New Roman" w:cs="Times New Roman"/>
          <w:sz w:val="24"/>
          <w:szCs w:val="24"/>
        </w:rPr>
        <w:t>REGON.</w:t>
      </w:r>
    </w:p>
    <w:p w:rsidR="002A5FF9" w:rsidRPr="00B81E7D" w:rsidRDefault="002A5FF9" w:rsidP="000A6809">
      <w:pPr>
        <w:numPr>
          <w:ilvl w:val="0"/>
          <w:numId w:val="18"/>
        </w:numPr>
        <w:spacing w:before="120" w:after="120" w:line="360" w:lineRule="auto"/>
        <w:ind w:left="709" w:hanging="425"/>
        <w:jc w:val="both"/>
        <w:rPr>
          <w:rFonts w:cs="Times New Roman"/>
          <w:i/>
          <w:szCs w:val="24"/>
        </w:rPr>
      </w:pPr>
      <w:r w:rsidRPr="00B81E7D">
        <w:rPr>
          <w:rFonts w:cs="Times New Roman"/>
          <w:i/>
          <w:szCs w:val="24"/>
        </w:rPr>
        <w:lastRenderedPageBreak/>
        <w:t>Zwolnienie z opłaty skarbowej za wpis do rejestru operatorów pocztowych</w:t>
      </w:r>
      <w:r w:rsidR="0000453D" w:rsidRPr="00B81E7D">
        <w:rPr>
          <w:rFonts w:cs="Times New Roman"/>
          <w:i/>
          <w:szCs w:val="24"/>
        </w:rPr>
        <w:t xml:space="preserve"> (art. </w:t>
      </w:r>
      <w:r w:rsidR="004775F4">
        <w:rPr>
          <w:rFonts w:cs="Times New Roman"/>
          <w:i/>
          <w:szCs w:val="24"/>
        </w:rPr>
        <w:t>54</w:t>
      </w:r>
      <w:r w:rsidR="004775F4" w:rsidRPr="00B81E7D">
        <w:rPr>
          <w:rFonts w:cs="Times New Roman"/>
          <w:i/>
          <w:szCs w:val="24"/>
        </w:rPr>
        <w:t xml:space="preserve"> </w:t>
      </w:r>
      <w:r w:rsidR="0000453D" w:rsidRPr="00B81E7D">
        <w:rPr>
          <w:rFonts w:cs="Times New Roman"/>
          <w:i/>
          <w:szCs w:val="24"/>
        </w:rPr>
        <w:t>pkt 1 lit. b projektu)</w:t>
      </w:r>
      <w:r w:rsidRPr="00B81E7D">
        <w:rPr>
          <w:rFonts w:cs="Times New Roman"/>
          <w:i/>
          <w:szCs w:val="24"/>
        </w:rPr>
        <w:t>.</w:t>
      </w:r>
    </w:p>
    <w:p w:rsidR="002A5FF9" w:rsidRPr="00B81E7D" w:rsidRDefault="002A5FF9" w:rsidP="00B421C2">
      <w:pPr>
        <w:spacing w:before="120" w:after="120" w:line="360" w:lineRule="auto"/>
        <w:jc w:val="both"/>
        <w:rPr>
          <w:rFonts w:cs="Times New Roman"/>
          <w:i/>
          <w:szCs w:val="24"/>
        </w:rPr>
      </w:pPr>
      <w:r w:rsidRPr="00B81E7D">
        <w:rPr>
          <w:rFonts w:cs="Times New Roman"/>
          <w:szCs w:val="24"/>
        </w:rPr>
        <w:t>Proponowana zmiana jest związana ze zmianą wprowadzan</w:t>
      </w:r>
      <w:r w:rsidR="008E54E9" w:rsidRPr="00B81E7D">
        <w:rPr>
          <w:rFonts w:cs="Times New Roman"/>
          <w:szCs w:val="24"/>
        </w:rPr>
        <w:t>ą w ustawie o opłacie skarbowej.</w:t>
      </w:r>
    </w:p>
    <w:p w:rsidR="00822C14" w:rsidRPr="00B81E7D" w:rsidRDefault="0077658A" w:rsidP="000A6809">
      <w:pPr>
        <w:numPr>
          <w:ilvl w:val="0"/>
          <w:numId w:val="18"/>
        </w:numPr>
        <w:spacing w:before="120" w:after="120" w:line="360" w:lineRule="auto"/>
        <w:ind w:left="709" w:hanging="425"/>
        <w:jc w:val="both"/>
        <w:rPr>
          <w:rFonts w:cs="Times New Roman"/>
          <w:i/>
          <w:szCs w:val="24"/>
        </w:rPr>
      </w:pPr>
      <w:r w:rsidRPr="00B81E7D">
        <w:rPr>
          <w:rFonts w:cs="Times New Roman"/>
          <w:i/>
          <w:szCs w:val="24"/>
        </w:rPr>
        <w:t>O</w:t>
      </w:r>
      <w:r w:rsidR="00822C14" w:rsidRPr="00B81E7D">
        <w:rPr>
          <w:rFonts w:cs="Times New Roman"/>
          <w:i/>
          <w:szCs w:val="24"/>
        </w:rPr>
        <w:t>kreślenie zasad realizacji obowiązku przedłożen</w:t>
      </w:r>
      <w:r w:rsidRPr="00B81E7D">
        <w:rPr>
          <w:rFonts w:cs="Times New Roman"/>
          <w:i/>
          <w:szCs w:val="24"/>
        </w:rPr>
        <w:t>ia Prezesowi UKE sprawozdania z </w:t>
      </w:r>
      <w:r w:rsidR="00822C14" w:rsidRPr="00B81E7D">
        <w:rPr>
          <w:rFonts w:cs="Times New Roman"/>
          <w:i/>
          <w:szCs w:val="24"/>
        </w:rPr>
        <w:t>działalności pocztowej przez operatorów pocztowych, którzy nie prowadzili działalności pocztowej w poprzednim roku albo tę działalność zawiesili</w:t>
      </w:r>
      <w:r w:rsidR="004D6469" w:rsidRPr="00B81E7D">
        <w:rPr>
          <w:rFonts w:cs="Times New Roman"/>
          <w:i/>
          <w:szCs w:val="24"/>
        </w:rPr>
        <w:t xml:space="preserve"> (art. </w:t>
      </w:r>
      <w:r w:rsidR="00095E49">
        <w:rPr>
          <w:rFonts w:cs="Times New Roman"/>
          <w:i/>
          <w:szCs w:val="24"/>
        </w:rPr>
        <w:t>5</w:t>
      </w:r>
      <w:r w:rsidR="004775F4">
        <w:rPr>
          <w:rFonts w:cs="Times New Roman"/>
          <w:i/>
          <w:szCs w:val="24"/>
        </w:rPr>
        <w:t>4</w:t>
      </w:r>
      <w:r w:rsidR="004775F4" w:rsidRPr="00B81E7D">
        <w:rPr>
          <w:rFonts w:cs="Times New Roman"/>
          <w:i/>
          <w:szCs w:val="24"/>
        </w:rPr>
        <w:t xml:space="preserve"> </w:t>
      </w:r>
      <w:r w:rsidR="0000453D" w:rsidRPr="00B81E7D">
        <w:rPr>
          <w:rFonts w:cs="Times New Roman"/>
          <w:i/>
          <w:szCs w:val="24"/>
        </w:rPr>
        <w:t>pkt</w:t>
      </w:r>
      <w:r w:rsidR="004D6469" w:rsidRPr="00B81E7D">
        <w:rPr>
          <w:rFonts w:cs="Times New Roman"/>
          <w:i/>
          <w:szCs w:val="24"/>
        </w:rPr>
        <w:t xml:space="preserve"> 3</w:t>
      </w:r>
      <w:r w:rsidR="0000453D" w:rsidRPr="00B81E7D">
        <w:rPr>
          <w:rFonts w:cs="Times New Roman"/>
          <w:i/>
          <w:szCs w:val="24"/>
        </w:rPr>
        <w:t> i 5</w:t>
      </w:r>
      <w:r w:rsidR="004D6469" w:rsidRPr="00B81E7D">
        <w:rPr>
          <w:rFonts w:cs="Times New Roman"/>
          <w:i/>
          <w:szCs w:val="24"/>
        </w:rPr>
        <w:t> projektu).</w:t>
      </w:r>
      <w:r w:rsidR="00822C14" w:rsidRPr="00B81E7D">
        <w:rPr>
          <w:rFonts w:cs="Times New Roman"/>
          <w:i/>
          <w:szCs w:val="24"/>
        </w:rPr>
        <w:t xml:space="preserve">  </w:t>
      </w:r>
    </w:p>
    <w:p w:rsidR="00822C14" w:rsidRPr="00B81E7D" w:rsidRDefault="00822C14" w:rsidP="00B421C2">
      <w:pPr>
        <w:spacing w:before="120" w:after="120" w:line="360" w:lineRule="auto"/>
        <w:jc w:val="both"/>
        <w:rPr>
          <w:rFonts w:cs="Times New Roman"/>
          <w:szCs w:val="24"/>
        </w:rPr>
      </w:pPr>
      <w:r w:rsidRPr="00B81E7D">
        <w:rPr>
          <w:rFonts w:cs="Times New Roman"/>
          <w:szCs w:val="24"/>
        </w:rPr>
        <w:t xml:space="preserve">Przepisy ustawy </w:t>
      </w:r>
      <w:r w:rsidR="00DF1303">
        <w:rPr>
          <w:rFonts w:cs="Times New Roman"/>
          <w:szCs w:val="24"/>
        </w:rPr>
        <w:t xml:space="preserve">- </w:t>
      </w:r>
      <w:r w:rsidRPr="00B81E7D">
        <w:rPr>
          <w:rFonts w:cs="Times New Roman"/>
          <w:szCs w:val="24"/>
        </w:rPr>
        <w:t>Prawo pocztowe w art. 43 określają obowiązek operatora pocztowego corocznego przedkładania Prezesowi UKE, w terminie d</w:t>
      </w:r>
      <w:r w:rsidR="0077658A" w:rsidRPr="00B81E7D">
        <w:rPr>
          <w:rFonts w:cs="Times New Roman"/>
          <w:szCs w:val="24"/>
        </w:rPr>
        <w:t>o dnia 31 marca, sprawozdania z </w:t>
      </w:r>
      <w:r w:rsidRPr="00B81E7D">
        <w:rPr>
          <w:rFonts w:cs="Times New Roman"/>
          <w:szCs w:val="24"/>
        </w:rPr>
        <w:t>działalności pocztowej w poprzednim roku. Wzór fo</w:t>
      </w:r>
      <w:r w:rsidR="0077658A" w:rsidRPr="00B81E7D">
        <w:rPr>
          <w:rFonts w:cs="Times New Roman"/>
          <w:szCs w:val="24"/>
        </w:rPr>
        <w:t>rmularza sprawozdawczego wraz z </w:t>
      </w:r>
      <w:r w:rsidRPr="00B81E7D">
        <w:rPr>
          <w:rFonts w:cs="Times New Roman"/>
          <w:szCs w:val="24"/>
        </w:rPr>
        <w:t xml:space="preserve">objaśnieniami w zakresie sposobu jego wypełniania został określony w rozporządzeniu Ministra Administracji i Cyfryzacji z dnia 26 listopada 2013 r. w sprawie wzoru formularza służącego do przedkładania Prezesowi Urzędu Komunikacji sprawozdania z działalności pocztowej (Dz. U. poz. 1489). Operatorem pocztowym zgodnie z art. 3 pkt 12 ustawy </w:t>
      </w:r>
      <w:r w:rsidR="00DF1303">
        <w:rPr>
          <w:rFonts w:cs="Times New Roman"/>
          <w:szCs w:val="24"/>
        </w:rPr>
        <w:t xml:space="preserve">- </w:t>
      </w:r>
      <w:r w:rsidRPr="00B81E7D">
        <w:rPr>
          <w:rFonts w:cs="Times New Roman"/>
          <w:szCs w:val="24"/>
        </w:rPr>
        <w:t>Prawo pocztowe jest przedsiębiorca uprawniony do wykonyw</w:t>
      </w:r>
      <w:r w:rsidR="00B4541D">
        <w:rPr>
          <w:rFonts w:cs="Times New Roman"/>
          <w:szCs w:val="24"/>
        </w:rPr>
        <w:t>ania działalności pocztowej, na </w:t>
      </w:r>
      <w:r w:rsidRPr="00B81E7D">
        <w:rPr>
          <w:rFonts w:cs="Times New Roman"/>
          <w:szCs w:val="24"/>
        </w:rPr>
        <w:t xml:space="preserve">podstawie wpisu do rejestru operatorów pocztowych. W związku z powyższym obowiązkowi sprawozdawczemu podlega także operator pocztowy, który nie prowadził działalności pocztowej w poprzednim roku, w tym operator pocztowy, który w poprzednim roku zawiesił wykonywanie działalności pocztowej. Według zaproponowanej zmiany operator pocztowy, który </w:t>
      </w:r>
      <w:r w:rsidR="002B22C3" w:rsidRPr="00B81E7D">
        <w:rPr>
          <w:rFonts w:cs="Times New Roman"/>
          <w:szCs w:val="24"/>
        </w:rPr>
        <w:t xml:space="preserve">w danym okresie sprawozdawczym (roku) </w:t>
      </w:r>
      <w:r w:rsidRPr="00B81E7D">
        <w:rPr>
          <w:rFonts w:cs="Times New Roman"/>
          <w:szCs w:val="24"/>
        </w:rPr>
        <w:t>nie prowadził działalności pocztowej</w:t>
      </w:r>
      <w:r w:rsidR="006E19B2" w:rsidRPr="00B81E7D">
        <w:rPr>
          <w:rFonts w:cs="Times New Roman"/>
          <w:szCs w:val="24"/>
        </w:rPr>
        <w:t>,</w:t>
      </w:r>
      <w:r w:rsidRPr="00B81E7D">
        <w:rPr>
          <w:rFonts w:cs="Times New Roman"/>
          <w:szCs w:val="24"/>
        </w:rPr>
        <w:t xml:space="preserve"> będzie</w:t>
      </w:r>
      <w:r w:rsidR="002B22C3" w:rsidRPr="00B81E7D">
        <w:rPr>
          <w:rFonts w:cs="Times New Roman"/>
          <w:szCs w:val="24"/>
        </w:rPr>
        <w:t xml:space="preserve"> składał oświadczenie o niewykonywaniu działalności pocztowej oraz posiadanych zasobach, a także informację o p</w:t>
      </w:r>
      <w:r w:rsidR="00B4541D">
        <w:rPr>
          <w:rFonts w:cs="Times New Roman"/>
          <w:szCs w:val="24"/>
        </w:rPr>
        <w:t>osiadanych zasobach istotnych z </w:t>
      </w:r>
      <w:r w:rsidR="002B22C3" w:rsidRPr="00B81E7D">
        <w:rPr>
          <w:rFonts w:cs="Times New Roman"/>
          <w:szCs w:val="24"/>
        </w:rPr>
        <w:t>punktu widzenia wykonywania działalności pocztowej i o swojej formie organizacyjno-prawnej, w tym o przynależności do grupy kapitałowej.</w:t>
      </w:r>
      <w:r w:rsidRPr="00B81E7D">
        <w:rPr>
          <w:rFonts w:cs="Times New Roman"/>
          <w:szCs w:val="24"/>
        </w:rPr>
        <w:t xml:space="preserve"> Taka zmiana ograniczy zakres obowiązku sprawozdawczego oraz liczbę wymaganych dokumentów od operatorów pocztowych. </w:t>
      </w:r>
      <w:r w:rsidR="003B31A3" w:rsidRPr="00B81E7D">
        <w:rPr>
          <w:rFonts w:cs="Times New Roman"/>
          <w:spacing w:val="-2"/>
          <w:szCs w:val="24"/>
        </w:rPr>
        <w:t>Wprowadzenie tej regulacji pociąga za sobą konieczność wprowadzenia przepisów określających sankcję za niezłożenie oświadczenia albo złożenia oświadczenia zawierającego nieprawdziwe lub niepełne informacje.</w:t>
      </w:r>
    </w:p>
    <w:p w:rsidR="00790D0C" w:rsidRPr="00B81E7D" w:rsidRDefault="002B22C3" w:rsidP="000A6809">
      <w:pPr>
        <w:numPr>
          <w:ilvl w:val="0"/>
          <w:numId w:val="18"/>
        </w:numPr>
        <w:spacing w:before="120" w:after="120" w:line="360" w:lineRule="auto"/>
        <w:ind w:left="709" w:hanging="425"/>
        <w:jc w:val="both"/>
        <w:rPr>
          <w:rFonts w:cs="Times New Roman"/>
          <w:i/>
          <w:szCs w:val="24"/>
        </w:rPr>
      </w:pPr>
      <w:r w:rsidRPr="00B81E7D">
        <w:rPr>
          <w:rFonts w:cs="Times New Roman"/>
          <w:i/>
          <w:szCs w:val="24"/>
        </w:rPr>
        <w:t>Zwolnienia z obowiązku sporządza</w:t>
      </w:r>
      <w:r w:rsidR="00790D0C" w:rsidRPr="00B81E7D">
        <w:rPr>
          <w:rFonts w:cs="Times New Roman"/>
          <w:i/>
          <w:szCs w:val="24"/>
        </w:rPr>
        <w:t>nia planów dz</w:t>
      </w:r>
      <w:r w:rsidRPr="00B81E7D">
        <w:rPr>
          <w:rFonts w:cs="Times New Roman"/>
          <w:i/>
          <w:szCs w:val="24"/>
        </w:rPr>
        <w:t>iałania</w:t>
      </w:r>
      <w:r w:rsidR="00790D0C" w:rsidRPr="00B81E7D">
        <w:rPr>
          <w:rFonts w:cs="Times New Roman"/>
          <w:i/>
          <w:szCs w:val="24"/>
        </w:rPr>
        <w:t xml:space="preserve"> w sytuacjach szczególnych zagrożeń dla grupy najmniejszych operatorów pocztowych</w:t>
      </w:r>
      <w:r w:rsidR="004D6469" w:rsidRPr="00B81E7D">
        <w:rPr>
          <w:rFonts w:cs="Times New Roman"/>
          <w:i/>
          <w:szCs w:val="24"/>
        </w:rPr>
        <w:t xml:space="preserve"> (art. </w:t>
      </w:r>
      <w:r w:rsidR="004775F4">
        <w:rPr>
          <w:rFonts w:cs="Times New Roman"/>
          <w:i/>
          <w:szCs w:val="24"/>
        </w:rPr>
        <w:t>54</w:t>
      </w:r>
      <w:r w:rsidR="004775F4" w:rsidRPr="00B81E7D">
        <w:rPr>
          <w:rFonts w:cs="Times New Roman"/>
          <w:i/>
          <w:szCs w:val="24"/>
        </w:rPr>
        <w:t xml:space="preserve"> </w:t>
      </w:r>
      <w:r w:rsidR="004D6469" w:rsidRPr="00B81E7D">
        <w:rPr>
          <w:rFonts w:cs="Times New Roman"/>
          <w:i/>
          <w:szCs w:val="24"/>
        </w:rPr>
        <w:t>pkt 4 projektu).</w:t>
      </w:r>
    </w:p>
    <w:p w:rsidR="00790D0C" w:rsidRPr="00B81E7D" w:rsidRDefault="00790D0C" w:rsidP="00B421C2">
      <w:pPr>
        <w:spacing w:before="120" w:after="120" w:line="360" w:lineRule="auto"/>
        <w:jc w:val="both"/>
        <w:rPr>
          <w:rFonts w:cs="Times New Roman"/>
          <w:bCs/>
          <w:szCs w:val="24"/>
        </w:rPr>
      </w:pPr>
      <w:r w:rsidRPr="00B81E7D">
        <w:rPr>
          <w:rFonts w:cs="Times New Roman"/>
          <w:bCs/>
          <w:szCs w:val="24"/>
        </w:rPr>
        <w:t xml:space="preserve">Obecnie każdy operator pocztowy, wpisany do rejestru operatorów pocztowych, prowadzonego przez Prezesa UKE, jest zobowiązany do sporządzania planu działania </w:t>
      </w:r>
      <w:r w:rsidRPr="00B81E7D">
        <w:rPr>
          <w:rFonts w:cs="Times New Roman"/>
          <w:bCs/>
          <w:szCs w:val="24"/>
        </w:rPr>
        <w:lastRenderedPageBreak/>
        <w:t>w sytuacjach szczególnych zagrożeń. Obowiązek ten p</w:t>
      </w:r>
      <w:r w:rsidR="00B4541D">
        <w:rPr>
          <w:rFonts w:cs="Times New Roman"/>
          <w:bCs/>
          <w:szCs w:val="24"/>
        </w:rPr>
        <w:t xml:space="preserve">owinien być utrzymany tylko </w:t>
      </w:r>
      <w:r w:rsidR="00B4541D" w:rsidRPr="00B4541D">
        <w:t>dla</w:t>
      </w:r>
      <w:r w:rsidR="00095E49">
        <w:t xml:space="preserve"> </w:t>
      </w:r>
      <w:r w:rsidRPr="00B4541D">
        <w:t>podmiotów</w:t>
      </w:r>
      <w:r w:rsidRPr="00B81E7D">
        <w:rPr>
          <w:rFonts w:cs="Times New Roman"/>
          <w:bCs/>
          <w:szCs w:val="24"/>
        </w:rPr>
        <w:t xml:space="preserve"> świadczących usługi na dużą skalę, posiadających istotne znaczenie dla rynku oraz których ciągłość działania w sytuacjach szczególnych zagrożeń może mieć znaczenie dla zarządzania kryzysowego, ratownictwa, obronności i bezpieczeństwa państwa. Aktualnie funkcjonujący przepis nakłada nadmierne obciążenie na małych operatorów pocztowych z tytułu pracochłonnej i długotrwałej proce</w:t>
      </w:r>
      <w:r w:rsidR="002B22C3" w:rsidRPr="00B81E7D">
        <w:rPr>
          <w:rFonts w:cs="Times New Roman"/>
          <w:bCs/>
          <w:szCs w:val="24"/>
        </w:rPr>
        <w:t>dury sporządzania planów działania</w:t>
      </w:r>
      <w:r w:rsidRPr="00B81E7D">
        <w:rPr>
          <w:rFonts w:cs="Times New Roman"/>
          <w:bCs/>
          <w:szCs w:val="24"/>
        </w:rPr>
        <w:t xml:space="preserve"> w sytuacjach szczególnych zagrożeń. Brak jest rzeczywistego znaczenia planów sporządzanych przez małych operatorów</w:t>
      </w:r>
      <w:r w:rsidR="002B22C3" w:rsidRPr="00B81E7D">
        <w:rPr>
          <w:rFonts w:cs="Times New Roman"/>
          <w:bCs/>
          <w:szCs w:val="24"/>
        </w:rPr>
        <w:t>,</w:t>
      </w:r>
      <w:r w:rsidRPr="00B81E7D">
        <w:rPr>
          <w:rFonts w:cs="Times New Roman"/>
          <w:bCs/>
          <w:szCs w:val="24"/>
        </w:rPr>
        <w:t xml:space="preserve"> np.: jednoosobowa działalność (goniec rowerowy, kurier), skład celny, spółdzielnia socjalna (także osób niepełnosprawnych), doręczyciel materiałów marketingowych, broker pocztowy itp.</w:t>
      </w:r>
    </w:p>
    <w:p w:rsidR="002B22C3" w:rsidRPr="00B81E7D" w:rsidRDefault="002B22C3" w:rsidP="00B421C2">
      <w:pPr>
        <w:spacing w:before="120" w:after="120" w:line="360" w:lineRule="auto"/>
        <w:jc w:val="both"/>
        <w:rPr>
          <w:rFonts w:cs="Times New Roman"/>
          <w:bCs/>
          <w:szCs w:val="24"/>
        </w:rPr>
      </w:pPr>
      <w:r w:rsidRPr="00B81E7D">
        <w:rPr>
          <w:rFonts w:cs="Times New Roman"/>
          <w:bCs/>
          <w:szCs w:val="24"/>
        </w:rPr>
        <w:t>Proponowana zmiana polega na przyznaniu Radzie Ministrów uprawnienia do określenia w drodze rozporządzenia zakresu podmiotowego lub przedmiotowego zwolnienia z obowiązku sporządzania planów działania w sytuacjach szczególnych zagrożeń.</w:t>
      </w:r>
    </w:p>
    <w:p w:rsidR="00822C14" w:rsidRPr="00B81E7D" w:rsidRDefault="00822C14" w:rsidP="00B421C2">
      <w:pPr>
        <w:spacing w:after="120" w:line="360" w:lineRule="auto"/>
        <w:jc w:val="both"/>
        <w:rPr>
          <w:rFonts w:cs="Times New Roman"/>
          <w:b/>
          <w:szCs w:val="24"/>
        </w:rPr>
      </w:pPr>
    </w:p>
    <w:p w:rsidR="00E101DC" w:rsidRPr="00B81E7D" w:rsidRDefault="00E101DC" w:rsidP="00AD47B7">
      <w:pPr>
        <w:numPr>
          <w:ilvl w:val="0"/>
          <w:numId w:val="2"/>
        </w:numPr>
        <w:spacing w:after="120" w:line="360" w:lineRule="auto"/>
        <w:jc w:val="both"/>
        <w:rPr>
          <w:rFonts w:cs="Times New Roman"/>
          <w:b/>
          <w:szCs w:val="24"/>
        </w:rPr>
      </w:pPr>
      <w:r w:rsidRPr="00B81E7D">
        <w:rPr>
          <w:rFonts w:cs="Times New Roman"/>
          <w:b/>
          <w:szCs w:val="24"/>
        </w:rPr>
        <w:t xml:space="preserve">Zmiana w ustawie z dnia 30 maja 2014 </w:t>
      </w:r>
      <w:r w:rsidR="003E619D" w:rsidRPr="00B81E7D">
        <w:rPr>
          <w:rFonts w:cs="Times New Roman"/>
          <w:b/>
          <w:szCs w:val="24"/>
        </w:rPr>
        <w:t xml:space="preserve">r. o prawach konsumenta (art. </w:t>
      </w:r>
      <w:r w:rsidR="004775F4">
        <w:rPr>
          <w:rFonts w:cs="Times New Roman"/>
          <w:b/>
          <w:szCs w:val="24"/>
        </w:rPr>
        <w:t>55</w:t>
      </w:r>
      <w:r w:rsidR="004775F4" w:rsidRPr="00B81E7D">
        <w:rPr>
          <w:rFonts w:cs="Times New Roman"/>
          <w:b/>
          <w:szCs w:val="24"/>
        </w:rPr>
        <w:t xml:space="preserve"> </w:t>
      </w:r>
      <w:r w:rsidRPr="00B81E7D">
        <w:rPr>
          <w:rFonts w:cs="Times New Roman"/>
          <w:b/>
          <w:szCs w:val="24"/>
        </w:rPr>
        <w:t>projektu).</w:t>
      </w:r>
    </w:p>
    <w:p w:rsidR="00E101DC" w:rsidRPr="00B81E7D" w:rsidRDefault="00E101DC" w:rsidP="00E101DC">
      <w:pPr>
        <w:spacing w:after="120" w:line="360" w:lineRule="auto"/>
        <w:jc w:val="both"/>
        <w:rPr>
          <w:rFonts w:cs="Times New Roman"/>
          <w:szCs w:val="24"/>
        </w:rPr>
      </w:pPr>
      <w:r w:rsidRPr="00B81E7D">
        <w:rPr>
          <w:rFonts w:cs="Times New Roman"/>
          <w:szCs w:val="24"/>
        </w:rPr>
        <w:t>Zmiana jest komplementarna do zmian w Kodeksie cywilnym</w:t>
      </w:r>
      <w:r w:rsidR="00D25A35" w:rsidRPr="00B81E7D">
        <w:rPr>
          <w:rFonts w:cs="Times New Roman"/>
          <w:szCs w:val="24"/>
        </w:rPr>
        <w:t>, w założeniu których jest rozszerzenie ochrony konsumenckiej na przedsiębiorców będących osobami fizycznymi. Oprócz ochrony wynikającej z przepisów k.c. o zakazie stosowania klauzul abuzywnych i rękojmi za wady, ochrona przysługiwałaby przedsiębiorcom wpisanym do CEIDG także w zakresie - wynikającego z ustawy o prawach konsumentów - praw odstąpienia od umowy zawartej na odległość lub poza lokalem przedsiębiorstwa. Z tej ochrony mógłby skorzystać przedsiębiorca wpisany do CEIDG pod warunkiem, że umowa nie miałaby dla niego charakteru zawodowego.</w:t>
      </w:r>
    </w:p>
    <w:p w:rsidR="00D25A35" w:rsidRPr="00B81E7D" w:rsidRDefault="00D25A35" w:rsidP="00E101DC">
      <w:pPr>
        <w:spacing w:after="120" w:line="360" w:lineRule="auto"/>
        <w:jc w:val="both"/>
        <w:rPr>
          <w:rFonts w:cs="Times New Roman"/>
          <w:szCs w:val="24"/>
        </w:rPr>
      </w:pPr>
    </w:p>
    <w:p w:rsidR="00490C01" w:rsidRPr="00B81E7D" w:rsidRDefault="00CF114F" w:rsidP="00AD47B7">
      <w:pPr>
        <w:numPr>
          <w:ilvl w:val="0"/>
          <w:numId w:val="2"/>
        </w:numPr>
        <w:spacing w:after="120" w:line="360" w:lineRule="auto"/>
        <w:jc w:val="both"/>
        <w:rPr>
          <w:rFonts w:cs="Times New Roman"/>
          <w:b/>
          <w:szCs w:val="24"/>
        </w:rPr>
      </w:pPr>
      <w:r w:rsidRPr="00B81E7D">
        <w:rPr>
          <w:rFonts w:cs="Times New Roman"/>
          <w:b/>
          <w:szCs w:val="24"/>
        </w:rPr>
        <w:t>Zmian</w:t>
      </w:r>
      <w:r w:rsidR="00B71440" w:rsidRPr="00B81E7D">
        <w:rPr>
          <w:rFonts w:cs="Times New Roman"/>
          <w:b/>
          <w:szCs w:val="24"/>
        </w:rPr>
        <w:t>a</w:t>
      </w:r>
      <w:r w:rsidRPr="00B81E7D">
        <w:rPr>
          <w:rFonts w:cs="Times New Roman"/>
          <w:b/>
          <w:szCs w:val="24"/>
        </w:rPr>
        <w:t xml:space="preserve"> w ustawie z dnia 20 lutego </w:t>
      </w:r>
      <w:r w:rsidR="00831539" w:rsidRPr="00B81E7D">
        <w:rPr>
          <w:rFonts w:cs="Times New Roman"/>
          <w:b/>
          <w:szCs w:val="24"/>
        </w:rPr>
        <w:t xml:space="preserve">2015 </w:t>
      </w:r>
      <w:r w:rsidRPr="00B81E7D">
        <w:rPr>
          <w:rFonts w:cs="Times New Roman"/>
          <w:b/>
          <w:szCs w:val="24"/>
        </w:rPr>
        <w:t>r. o odnawialnych źródłach energii (</w:t>
      </w:r>
      <w:r w:rsidR="00567BC3" w:rsidRPr="00B81E7D">
        <w:rPr>
          <w:rFonts w:cs="Times New Roman"/>
          <w:b/>
          <w:szCs w:val="24"/>
        </w:rPr>
        <w:t xml:space="preserve">art. </w:t>
      </w:r>
      <w:r w:rsidR="004775F4">
        <w:rPr>
          <w:rFonts w:cs="Times New Roman"/>
          <w:b/>
          <w:szCs w:val="24"/>
        </w:rPr>
        <w:t>56</w:t>
      </w:r>
      <w:r w:rsidR="004775F4" w:rsidRPr="00B81E7D">
        <w:rPr>
          <w:rFonts w:cs="Times New Roman"/>
          <w:b/>
          <w:szCs w:val="24"/>
        </w:rPr>
        <w:t xml:space="preserve"> </w:t>
      </w:r>
      <w:r w:rsidR="00567BC3" w:rsidRPr="00B81E7D">
        <w:rPr>
          <w:rFonts w:cs="Times New Roman"/>
          <w:b/>
          <w:szCs w:val="24"/>
        </w:rPr>
        <w:t>projektu).</w:t>
      </w:r>
    </w:p>
    <w:p w:rsidR="00567BC3" w:rsidRPr="00B81E7D" w:rsidRDefault="00490C01" w:rsidP="00B421C2">
      <w:pPr>
        <w:spacing w:after="120" w:line="360" w:lineRule="auto"/>
        <w:jc w:val="both"/>
        <w:rPr>
          <w:rFonts w:cs="Times New Roman"/>
          <w:bCs/>
          <w:szCs w:val="24"/>
        </w:rPr>
      </w:pPr>
      <w:r w:rsidRPr="00B81E7D">
        <w:rPr>
          <w:rFonts w:cs="Times New Roman"/>
          <w:bCs/>
          <w:szCs w:val="24"/>
        </w:rPr>
        <w:t>Proponowana zmiana polega na</w:t>
      </w:r>
      <w:r w:rsidR="00B71440" w:rsidRPr="00B81E7D">
        <w:rPr>
          <w:rFonts w:cs="Times New Roman"/>
          <w:bCs/>
          <w:szCs w:val="24"/>
        </w:rPr>
        <w:t xml:space="preserve"> </w:t>
      </w:r>
      <w:r w:rsidR="00B461C5" w:rsidRPr="00B81E7D">
        <w:rPr>
          <w:rFonts w:cs="Times New Roman"/>
          <w:bCs/>
          <w:szCs w:val="24"/>
        </w:rPr>
        <w:t>wyznaczeniu</w:t>
      </w:r>
      <w:r w:rsidR="00B71440" w:rsidRPr="00B81E7D">
        <w:rPr>
          <w:rFonts w:cs="Times New Roman"/>
          <w:bCs/>
          <w:szCs w:val="24"/>
        </w:rPr>
        <w:t xml:space="preserve"> półrocznych okresów sprawozdawczych</w:t>
      </w:r>
      <w:r w:rsidR="00B461C5" w:rsidRPr="00B81E7D">
        <w:rPr>
          <w:rFonts w:cs="Times New Roman"/>
          <w:bCs/>
          <w:szCs w:val="24"/>
        </w:rPr>
        <w:t xml:space="preserve"> dla</w:t>
      </w:r>
      <w:r w:rsidR="00B4541D">
        <w:rPr>
          <w:rFonts w:cs="Times New Roman"/>
          <w:bCs/>
          <w:szCs w:val="24"/>
        </w:rPr>
        <w:t> </w:t>
      </w:r>
      <w:r w:rsidR="00DF1303">
        <w:rPr>
          <w:rFonts w:cs="Times New Roman"/>
          <w:bCs/>
          <w:szCs w:val="24"/>
        </w:rPr>
        <w:t>o</w:t>
      </w:r>
      <w:r w:rsidRPr="00B81E7D">
        <w:rPr>
          <w:rFonts w:cs="Times New Roman"/>
          <w:bCs/>
          <w:szCs w:val="24"/>
        </w:rPr>
        <w:t>perator</w:t>
      </w:r>
      <w:r w:rsidR="000C6ACC" w:rsidRPr="00B81E7D">
        <w:rPr>
          <w:rFonts w:cs="Times New Roman"/>
          <w:bCs/>
          <w:szCs w:val="24"/>
        </w:rPr>
        <w:t>ów</w:t>
      </w:r>
      <w:r w:rsidRPr="00B81E7D">
        <w:rPr>
          <w:rFonts w:cs="Times New Roman"/>
          <w:bCs/>
          <w:szCs w:val="24"/>
        </w:rPr>
        <w:t xml:space="preserve"> systemu dystrybucyjnego elektroenergetycznego oraz </w:t>
      </w:r>
      <w:r w:rsidR="00DF1303">
        <w:rPr>
          <w:rFonts w:cs="Times New Roman"/>
          <w:bCs/>
          <w:szCs w:val="24"/>
        </w:rPr>
        <w:t>o</w:t>
      </w:r>
      <w:r w:rsidRPr="00B81E7D">
        <w:rPr>
          <w:rFonts w:cs="Times New Roman"/>
          <w:bCs/>
          <w:szCs w:val="24"/>
        </w:rPr>
        <w:t>perator</w:t>
      </w:r>
      <w:r w:rsidR="000C6ACC" w:rsidRPr="00B81E7D">
        <w:rPr>
          <w:rFonts w:cs="Times New Roman"/>
          <w:bCs/>
          <w:szCs w:val="24"/>
        </w:rPr>
        <w:t>ów</w:t>
      </w:r>
      <w:r w:rsidRPr="00B81E7D">
        <w:rPr>
          <w:rFonts w:cs="Times New Roman"/>
          <w:bCs/>
          <w:szCs w:val="24"/>
        </w:rPr>
        <w:t xml:space="preserve"> systemu dystrybucyjnego gazowego</w:t>
      </w:r>
      <w:r w:rsidR="00B461C5" w:rsidRPr="00B81E7D">
        <w:rPr>
          <w:rFonts w:cs="Times New Roman"/>
          <w:bCs/>
          <w:szCs w:val="24"/>
        </w:rPr>
        <w:t xml:space="preserve"> wskazanych w art. 22 z</w:t>
      </w:r>
      <w:r w:rsidR="00B4541D">
        <w:rPr>
          <w:rFonts w:cs="Times New Roman"/>
          <w:bCs/>
          <w:szCs w:val="24"/>
        </w:rPr>
        <w:t>mienianej ustawy. Aktualnie ww. </w:t>
      </w:r>
      <w:r w:rsidR="00B461C5" w:rsidRPr="00B81E7D">
        <w:rPr>
          <w:rFonts w:cs="Times New Roman"/>
          <w:bCs/>
          <w:szCs w:val="24"/>
        </w:rPr>
        <w:t xml:space="preserve">operatorzy są zobowiązani do kwartalnego przekazywania sprawozdań do </w:t>
      </w:r>
      <w:r w:rsidRPr="00B81E7D">
        <w:rPr>
          <w:rFonts w:cs="Times New Roman"/>
          <w:bCs/>
          <w:szCs w:val="24"/>
        </w:rPr>
        <w:t xml:space="preserve">Dyrektora Generalnego </w:t>
      </w:r>
      <w:r w:rsidR="000C6ACC" w:rsidRPr="00B81E7D">
        <w:rPr>
          <w:rFonts w:cs="Times New Roman"/>
          <w:bCs/>
          <w:szCs w:val="24"/>
        </w:rPr>
        <w:t>Krajowego Ośrodka Wsparcia Rolnictwa</w:t>
      </w:r>
      <w:r w:rsidR="00B71440" w:rsidRPr="00B81E7D">
        <w:rPr>
          <w:rFonts w:cs="Times New Roman"/>
          <w:bCs/>
          <w:szCs w:val="24"/>
        </w:rPr>
        <w:t>.</w:t>
      </w:r>
      <w:r w:rsidRPr="00B81E7D">
        <w:rPr>
          <w:rFonts w:cs="Times New Roman"/>
          <w:bCs/>
          <w:szCs w:val="24"/>
        </w:rPr>
        <w:t xml:space="preserve"> </w:t>
      </w:r>
      <w:r w:rsidR="00B461C5" w:rsidRPr="00B81E7D">
        <w:rPr>
          <w:rFonts w:cs="Times New Roman"/>
          <w:bCs/>
          <w:szCs w:val="24"/>
        </w:rPr>
        <w:t>Zmiana ustawy pozwoli</w:t>
      </w:r>
      <w:r w:rsidR="000C6ACC" w:rsidRPr="00B81E7D">
        <w:rPr>
          <w:rFonts w:cs="Times New Roman"/>
          <w:bCs/>
          <w:szCs w:val="24"/>
        </w:rPr>
        <w:t xml:space="preserve"> na 50% </w:t>
      </w:r>
      <w:r w:rsidR="000C6ACC" w:rsidRPr="00B81E7D">
        <w:rPr>
          <w:rFonts w:cs="Times New Roman"/>
          <w:bCs/>
          <w:szCs w:val="24"/>
        </w:rPr>
        <w:lastRenderedPageBreak/>
        <w:t>redukcję</w:t>
      </w:r>
      <w:r w:rsidRPr="00B81E7D">
        <w:rPr>
          <w:rFonts w:cs="Times New Roman"/>
          <w:bCs/>
          <w:szCs w:val="24"/>
        </w:rPr>
        <w:t xml:space="preserve"> obciążeń administracyjnych nałożonych na OSD elektroenergetycznego oraz OSD gazowego</w:t>
      </w:r>
      <w:r w:rsidR="00B71440" w:rsidRPr="00B81E7D">
        <w:rPr>
          <w:rFonts w:cs="Times New Roman"/>
          <w:bCs/>
          <w:szCs w:val="24"/>
        </w:rPr>
        <w:t xml:space="preserve">, a także na zmniejszenie częstotliwości </w:t>
      </w:r>
      <w:r w:rsidRPr="00B81E7D">
        <w:rPr>
          <w:rFonts w:cs="Times New Roman"/>
          <w:bCs/>
          <w:szCs w:val="24"/>
        </w:rPr>
        <w:t>działań Prezesa URE w zakresie nakładania ewentualnych kar pieniężnych za brak realizacji obowiązku sprawozdawczego.</w:t>
      </w:r>
    </w:p>
    <w:p w:rsidR="002B22C3" w:rsidRPr="00B81E7D" w:rsidRDefault="002B22C3" w:rsidP="00B421C2">
      <w:pPr>
        <w:spacing w:after="120" w:line="360" w:lineRule="auto"/>
        <w:jc w:val="both"/>
        <w:rPr>
          <w:rFonts w:cs="Times New Roman"/>
          <w:bCs/>
          <w:szCs w:val="24"/>
        </w:rPr>
      </w:pPr>
      <w:r w:rsidRPr="00B81E7D">
        <w:rPr>
          <w:rFonts w:cs="Times New Roman"/>
          <w:bCs/>
          <w:szCs w:val="24"/>
        </w:rPr>
        <w:t>W celu zapewnienia prawidłowej realizacji ustawowych obowiązków Dyrektorowi Generalnemu KOWR, konieczne jest wprowadzenie odpo</w:t>
      </w:r>
      <w:r w:rsidR="00B4541D">
        <w:rPr>
          <w:rFonts w:cs="Times New Roman"/>
          <w:bCs/>
          <w:szCs w:val="24"/>
        </w:rPr>
        <w:t xml:space="preserve">wiednich zmian w obrębie </w:t>
      </w:r>
      <w:r w:rsidR="00DF1303">
        <w:rPr>
          <w:rFonts w:cs="Times New Roman"/>
          <w:bCs/>
          <w:szCs w:val="24"/>
        </w:rPr>
        <w:t xml:space="preserve">art. 22 </w:t>
      </w:r>
      <w:r w:rsidR="00B4541D">
        <w:rPr>
          <w:rFonts w:cs="Times New Roman"/>
          <w:bCs/>
          <w:szCs w:val="24"/>
        </w:rPr>
        <w:t>ust. </w:t>
      </w:r>
      <w:r w:rsidR="00E5088A" w:rsidRPr="00B81E7D">
        <w:rPr>
          <w:rFonts w:cs="Times New Roman"/>
          <w:bCs/>
          <w:szCs w:val="24"/>
        </w:rPr>
        <w:t>2 </w:t>
      </w:r>
      <w:r w:rsidRPr="00B81E7D">
        <w:rPr>
          <w:rFonts w:cs="Times New Roman"/>
          <w:bCs/>
          <w:szCs w:val="24"/>
        </w:rPr>
        <w:t>zmienianego przepisu poprzez wskazanie innego terminu publikowania w BIP KOWR zbiorczego raportu dotyczącego mikroinstalacji biogazu rolniczego.</w:t>
      </w:r>
    </w:p>
    <w:p w:rsidR="002B22C3" w:rsidRPr="00B81E7D" w:rsidRDefault="002B22C3" w:rsidP="00B421C2">
      <w:pPr>
        <w:spacing w:after="120" w:line="360" w:lineRule="auto"/>
        <w:jc w:val="both"/>
        <w:rPr>
          <w:rFonts w:cs="Times New Roman"/>
          <w:szCs w:val="24"/>
        </w:rPr>
      </w:pPr>
      <w:r w:rsidRPr="00B81E7D">
        <w:rPr>
          <w:rFonts w:cs="Times New Roman"/>
          <w:szCs w:val="24"/>
        </w:rPr>
        <w:t>Ponadto, obecnie operatorzy systemów dystrybucyjnych elektroenergetycznych i gazowych są zobowiązani do przekazywania Dyrektorowi Generalnemu KOWR sprawozdań zawierających informacje dotyczące:</w:t>
      </w:r>
    </w:p>
    <w:p w:rsidR="002B22C3" w:rsidRPr="00B81E7D" w:rsidRDefault="002B22C3" w:rsidP="000A6809">
      <w:pPr>
        <w:numPr>
          <w:ilvl w:val="0"/>
          <w:numId w:val="16"/>
        </w:numPr>
        <w:spacing w:after="120" w:line="360" w:lineRule="auto"/>
        <w:ind w:left="709" w:hanging="283"/>
        <w:jc w:val="both"/>
        <w:rPr>
          <w:rFonts w:cs="Times New Roman"/>
          <w:szCs w:val="24"/>
        </w:rPr>
      </w:pPr>
      <w:r w:rsidRPr="00B81E7D">
        <w:rPr>
          <w:rFonts w:cs="Times New Roman"/>
          <w:szCs w:val="24"/>
        </w:rPr>
        <w:t>odpowiednio ilości energii elektrycznej albo biogazu rolniczego wytworzonej przez poszczególnych wytwórców,</w:t>
      </w:r>
    </w:p>
    <w:p w:rsidR="002B22C3" w:rsidRPr="00B81E7D" w:rsidRDefault="002B22C3" w:rsidP="000A6809">
      <w:pPr>
        <w:numPr>
          <w:ilvl w:val="0"/>
          <w:numId w:val="16"/>
        </w:numPr>
        <w:spacing w:after="120" w:line="360" w:lineRule="auto"/>
        <w:ind w:left="709" w:hanging="283"/>
        <w:jc w:val="both"/>
        <w:rPr>
          <w:rFonts w:cs="Times New Roman"/>
          <w:szCs w:val="24"/>
        </w:rPr>
      </w:pPr>
      <w:r w:rsidRPr="00B81E7D">
        <w:rPr>
          <w:rFonts w:cs="Times New Roman"/>
          <w:szCs w:val="24"/>
        </w:rPr>
        <w:t>łącznej ilości energii elektrycznej sprzedanej sprzedawcy zobowiązanemu, o którym mowa w art. 40 ust. 1 ustawy, która została wytworzona z biogazu rolniczego w poszczególnych mikroinstalacjach i wprowadzona do jego sieci dystrybucyjnej – w przypadku wytwórców energii elektrycznej z biogazu rolniczego,</w:t>
      </w:r>
    </w:p>
    <w:p w:rsidR="002B22C3" w:rsidRPr="00B81E7D" w:rsidRDefault="002B22C3" w:rsidP="000A6809">
      <w:pPr>
        <w:numPr>
          <w:ilvl w:val="0"/>
          <w:numId w:val="16"/>
        </w:numPr>
        <w:spacing w:after="120" w:line="360" w:lineRule="auto"/>
        <w:ind w:left="709" w:hanging="283"/>
        <w:jc w:val="both"/>
        <w:rPr>
          <w:rFonts w:cs="Times New Roman"/>
          <w:szCs w:val="24"/>
        </w:rPr>
      </w:pPr>
      <w:r w:rsidRPr="00B81E7D">
        <w:rPr>
          <w:rFonts w:cs="Times New Roman"/>
          <w:szCs w:val="24"/>
        </w:rPr>
        <w:t>ilości biogazu rolniczego wprowadzonej do s</w:t>
      </w:r>
      <w:r w:rsidR="003B7821" w:rsidRPr="00B81E7D">
        <w:rPr>
          <w:rFonts w:cs="Times New Roman"/>
          <w:szCs w:val="24"/>
        </w:rPr>
        <w:t>ieci dystrybucyjnej gazowej – w </w:t>
      </w:r>
      <w:r w:rsidRPr="00B81E7D">
        <w:rPr>
          <w:rFonts w:cs="Times New Roman"/>
          <w:szCs w:val="24"/>
        </w:rPr>
        <w:t>przypadku wytwórców biogazu rolniczego,</w:t>
      </w:r>
    </w:p>
    <w:p w:rsidR="002B22C3" w:rsidRPr="00B81E7D" w:rsidRDefault="002B22C3" w:rsidP="000A6809">
      <w:pPr>
        <w:numPr>
          <w:ilvl w:val="0"/>
          <w:numId w:val="16"/>
        </w:numPr>
        <w:spacing w:after="120" w:line="360" w:lineRule="auto"/>
        <w:ind w:left="709" w:hanging="283"/>
        <w:jc w:val="both"/>
        <w:rPr>
          <w:rFonts w:cs="Times New Roman"/>
          <w:szCs w:val="24"/>
        </w:rPr>
      </w:pPr>
      <w:r w:rsidRPr="00B81E7D">
        <w:rPr>
          <w:rFonts w:cs="Times New Roman"/>
          <w:szCs w:val="24"/>
        </w:rPr>
        <w:t>wykazu odpowiednio wytwórców energii elektrycznej w mikroinstalacji albo wytwórców biogazu rolniczego,</w:t>
      </w:r>
    </w:p>
    <w:p w:rsidR="0025674B" w:rsidRPr="00B81E7D" w:rsidRDefault="002B22C3" w:rsidP="00B421C2">
      <w:pPr>
        <w:spacing w:after="120" w:line="360" w:lineRule="auto"/>
        <w:jc w:val="both"/>
        <w:rPr>
          <w:rFonts w:cs="Times New Roman"/>
          <w:szCs w:val="24"/>
        </w:rPr>
      </w:pPr>
      <w:r w:rsidRPr="00B81E7D">
        <w:rPr>
          <w:rFonts w:cs="Times New Roman"/>
          <w:szCs w:val="24"/>
        </w:rPr>
        <w:t>Jednak z informacji przekazywanych przez operatorów wynika, że w przedmiotowych sprawozdaniach wykazują oni dane pozyskane od wytwórców energii elektrycznej z biogazu rolniczego w mikroinstalacji na podstawie dobrowolnych oświadczeń lub</w:t>
      </w:r>
      <w:r w:rsidR="00A822EA" w:rsidRPr="00B81E7D">
        <w:rPr>
          <w:rFonts w:cs="Times New Roman"/>
          <w:szCs w:val="24"/>
        </w:rPr>
        <w:t>,</w:t>
      </w:r>
      <w:r w:rsidRPr="00B81E7D">
        <w:rPr>
          <w:rFonts w:cs="Times New Roman"/>
          <w:szCs w:val="24"/>
        </w:rPr>
        <w:t xml:space="preserve"> w przypadku ich braku</w:t>
      </w:r>
      <w:r w:rsidR="00A822EA" w:rsidRPr="00B81E7D">
        <w:rPr>
          <w:rFonts w:cs="Times New Roman"/>
          <w:szCs w:val="24"/>
        </w:rPr>
        <w:t>,</w:t>
      </w:r>
      <w:r w:rsidRPr="00B81E7D">
        <w:rPr>
          <w:rFonts w:cs="Times New Roman"/>
          <w:szCs w:val="24"/>
        </w:rPr>
        <w:t xml:space="preserve"> umieszczają adnotację o braku tych danych. Przedstawiona sytuacja jest spowodowana zmianą przepisów ustawy o odnawialnych źródłach energii (</w:t>
      </w:r>
      <w:r w:rsidR="00CD2DCC" w:rsidRPr="00B81E7D">
        <w:rPr>
          <w:rFonts w:cs="Times New Roman"/>
          <w:szCs w:val="24"/>
        </w:rPr>
        <w:t xml:space="preserve">dalej: </w:t>
      </w:r>
      <w:r w:rsidR="00BC3602">
        <w:rPr>
          <w:rFonts w:cs="Times New Roman"/>
          <w:szCs w:val="24"/>
        </w:rPr>
        <w:t>OZE), które obowiązują od </w:t>
      </w:r>
      <w:r w:rsidR="00C40FCA">
        <w:rPr>
          <w:rFonts w:cs="Times New Roman"/>
          <w:szCs w:val="24"/>
        </w:rPr>
        <w:t xml:space="preserve">dnia </w:t>
      </w:r>
      <w:r w:rsidRPr="00B81E7D">
        <w:rPr>
          <w:rFonts w:cs="Times New Roman"/>
          <w:szCs w:val="24"/>
        </w:rPr>
        <w:t>1 lipca 2016 r. Zniesiono wówczas obowiązek informowania operatorów przez wytwórców energii elektrycznej z biogazu rolniczego w mikroinstalacji i wytwórców biogazu rolniczego w mikroinstalacji biogazu rolniczego o danych wskazanych w art. 22 pkt 1, 2 i 3 ustawy OZE. W konsekwencji operatorzy systemów dystrybucyjnych elektroenergetycznych posiadają wyłącznie wiedzę na temat ilości energii elektrycznej wprowadzonej do sieci dystrybucyjnej tego operatora, tj. zmierzonej na granicy stron. W związku z tym zaproponowano zmianę brzmienia art. 22 ustawy OZE.</w:t>
      </w:r>
    </w:p>
    <w:p w:rsidR="00557E10" w:rsidRPr="00B81E7D" w:rsidRDefault="00557E10" w:rsidP="00557E10">
      <w:pPr>
        <w:spacing w:after="120" w:line="360" w:lineRule="auto"/>
        <w:jc w:val="both"/>
        <w:rPr>
          <w:rFonts w:cs="Times New Roman"/>
          <w:szCs w:val="24"/>
        </w:rPr>
      </w:pPr>
    </w:p>
    <w:p w:rsidR="0055258F" w:rsidRPr="00B81E7D" w:rsidRDefault="0055258F" w:rsidP="00AD47B7">
      <w:pPr>
        <w:numPr>
          <w:ilvl w:val="0"/>
          <w:numId w:val="2"/>
        </w:numPr>
        <w:spacing w:after="120" w:line="360" w:lineRule="auto"/>
        <w:jc w:val="both"/>
        <w:rPr>
          <w:rFonts w:cs="Times New Roman"/>
          <w:b/>
          <w:szCs w:val="24"/>
        </w:rPr>
      </w:pPr>
      <w:r w:rsidRPr="00B81E7D">
        <w:rPr>
          <w:rFonts w:cs="Times New Roman"/>
          <w:b/>
          <w:szCs w:val="24"/>
        </w:rPr>
        <w:t xml:space="preserve">Zmiany w ustawie z dnia 10 czerwca 2016 r. o Bankowym Funduszu Gwarancyjnym, systemie gwarantowanych depozytów oraz przymusowej restrukturyzacji (art. </w:t>
      </w:r>
      <w:r w:rsidR="004775F4">
        <w:rPr>
          <w:rFonts w:cs="Times New Roman"/>
          <w:b/>
          <w:szCs w:val="24"/>
        </w:rPr>
        <w:t>57</w:t>
      </w:r>
      <w:r w:rsidR="004775F4" w:rsidRPr="00B81E7D">
        <w:rPr>
          <w:rFonts w:cs="Times New Roman"/>
          <w:b/>
          <w:szCs w:val="24"/>
        </w:rPr>
        <w:t xml:space="preserve"> </w:t>
      </w:r>
      <w:r w:rsidRPr="00B81E7D">
        <w:rPr>
          <w:rFonts w:cs="Times New Roman"/>
          <w:b/>
          <w:szCs w:val="24"/>
        </w:rPr>
        <w:t>projektu).</w:t>
      </w:r>
    </w:p>
    <w:p w:rsidR="0055258F" w:rsidRPr="00B81E7D" w:rsidRDefault="00116429" w:rsidP="00B81E7D">
      <w:pPr>
        <w:spacing w:after="120" w:line="360" w:lineRule="auto"/>
        <w:jc w:val="both"/>
        <w:rPr>
          <w:rFonts w:cs="Times New Roman"/>
          <w:szCs w:val="24"/>
        </w:rPr>
      </w:pPr>
      <w:r>
        <w:rPr>
          <w:rFonts w:cs="Times New Roman"/>
          <w:szCs w:val="24"/>
        </w:rPr>
        <w:t xml:space="preserve">Projektowane przepisy </w:t>
      </w:r>
      <w:r w:rsidRPr="00116429">
        <w:rPr>
          <w:rFonts w:cs="Times New Roman"/>
          <w:szCs w:val="24"/>
        </w:rPr>
        <w:t>dot.</w:t>
      </w:r>
      <w:r>
        <w:rPr>
          <w:rFonts w:cs="Times New Roman"/>
          <w:szCs w:val="24"/>
        </w:rPr>
        <w:t xml:space="preserve"> </w:t>
      </w:r>
      <w:r w:rsidRPr="00116429">
        <w:rPr>
          <w:rFonts w:cs="Times New Roman"/>
          <w:szCs w:val="24"/>
        </w:rPr>
        <w:t xml:space="preserve">restrukturyzacji i upadłości </w:t>
      </w:r>
      <w:r>
        <w:rPr>
          <w:rFonts w:cs="Times New Roman"/>
          <w:szCs w:val="24"/>
        </w:rPr>
        <w:t>nie budzą wątpliwości oraz stanowią</w:t>
      </w:r>
      <w:r w:rsidRPr="00116429">
        <w:rPr>
          <w:rFonts w:cs="Times New Roman"/>
          <w:szCs w:val="24"/>
        </w:rPr>
        <w:t xml:space="preserve"> niezwykle </w:t>
      </w:r>
      <w:r>
        <w:rPr>
          <w:rFonts w:cs="Times New Roman"/>
          <w:szCs w:val="24"/>
        </w:rPr>
        <w:t>ważny obszar</w:t>
      </w:r>
      <w:r w:rsidRPr="00116429">
        <w:rPr>
          <w:rFonts w:cs="Times New Roman"/>
          <w:szCs w:val="24"/>
        </w:rPr>
        <w:t xml:space="preserve"> prawa handlowego i gospodarczego</w:t>
      </w:r>
      <w:r>
        <w:rPr>
          <w:rFonts w:cs="Times New Roman"/>
          <w:szCs w:val="24"/>
        </w:rPr>
        <w:t>, a w konsekwencji mają</w:t>
      </w:r>
      <w:r w:rsidRPr="00116429">
        <w:rPr>
          <w:rFonts w:cs="Times New Roman"/>
          <w:szCs w:val="24"/>
        </w:rPr>
        <w:t xml:space="preserve"> kluczowe znaczenie dla obrotu</w:t>
      </w:r>
      <w:r>
        <w:rPr>
          <w:rFonts w:cs="Times New Roman"/>
          <w:szCs w:val="24"/>
        </w:rPr>
        <w:t xml:space="preserve">. </w:t>
      </w:r>
      <w:r w:rsidR="0055258F" w:rsidRPr="00B81E7D">
        <w:rPr>
          <w:rFonts w:cs="Times New Roman"/>
          <w:szCs w:val="24"/>
        </w:rPr>
        <w:t>Zmiana służy usunięciu rozbieżności pomiędzy obecnym brzmieniem art. 167 ustawy o Bankowym Funduszu Gwarancyjnym, systemie gwarantowania depozytów oraz przymusowej restrukturyzacji (ustawa o BFG), a przepisami Prawa upadłościowego (art. 128), które były pierwowzorem zmienionego przepisu, a które uległy zmianie.</w:t>
      </w:r>
      <w:r w:rsidR="00ED56DC" w:rsidRPr="00B81E7D">
        <w:rPr>
          <w:rFonts w:cs="Times New Roman"/>
          <w:szCs w:val="24"/>
        </w:rPr>
        <w:t xml:space="preserve"> </w:t>
      </w:r>
      <w:r w:rsidR="0055258F" w:rsidRPr="00B81E7D">
        <w:rPr>
          <w:rFonts w:cs="Times New Roman"/>
          <w:szCs w:val="24"/>
        </w:rPr>
        <w:t>W obowiązującym stanie prawnym przepisy P</w:t>
      </w:r>
      <w:r w:rsidR="008E61B0">
        <w:rPr>
          <w:rFonts w:cs="Times New Roman"/>
          <w:szCs w:val="24"/>
        </w:rPr>
        <w:t>rawa upadłościowego wskazują na </w:t>
      </w:r>
      <w:r w:rsidR="0055258F" w:rsidRPr="00B81E7D">
        <w:rPr>
          <w:rFonts w:cs="Times New Roman"/>
          <w:szCs w:val="24"/>
        </w:rPr>
        <w:t xml:space="preserve">bezskuteczną w stosunku do masy upadłości odpłatną </w:t>
      </w:r>
      <w:r w:rsidR="004E12D7">
        <w:rPr>
          <w:rFonts w:cs="Times New Roman"/>
          <w:szCs w:val="24"/>
        </w:rPr>
        <w:t>c</w:t>
      </w:r>
      <w:r w:rsidR="0055258F" w:rsidRPr="00B81E7D">
        <w:rPr>
          <w:rFonts w:cs="Times New Roman"/>
          <w:szCs w:val="24"/>
        </w:rPr>
        <w:t>zynnością prawną dokonaną przez upadłego w terminie sześciu miesięcy przed dniem złożenia wniosku o ogłoszenie upadłości chyba, że druga strona czynności wykaże, że nie doszło do pokrzywdzenia wierzycieli. Przepisy ustawy o BFG nie zawężają bezskuteczności prawnej wobec podmiotu restrukturyzacji do czynności prawnej skutkującej pokrzywdzeniem wierzycie</w:t>
      </w:r>
      <w:r w:rsidR="00C40FCA">
        <w:rPr>
          <w:rFonts w:cs="Times New Roman"/>
          <w:szCs w:val="24"/>
        </w:rPr>
        <w:t>li</w:t>
      </w:r>
      <w:r w:rsidR="0055258F" w:rsidRPr="00B81E7D">
        <w:rPr>
          <w:rFonts w:cs="Times New Roman"/>
          <w:szCs w:val="24"/>
        </w:rPr>
        <w:t>, czym naruszona zostaje jedna z podstawowych zasad dyrektywy BRR</w:t>
      </w:r>
      <w:r w:rsidR="00ED56DC" w:rsidRPr="00B81E7D">
        <w:rPr>
          <w:rStyle w:val="Odwoanieprzypisudolnego"/>
          <w:rFonts w:cs="Times New Roman"/>
          <w:szCs w:val="24"/>
        </w:rPr>
        <w:footnoteReference w:id="11"/>
      </w:r>
      <w:r w:rsidR="0055258F" w:rsidRPr="00B81E7D">
        <w:rPr>
          <w:rFonts w:cs="Times New Roman"/>
          <w:szCs w:val="24"/>
        </w:rPr>
        <w:t xml:space="preserve"> (która implementuje ustawa o BFG), wyrażonej w motywie 5 i art. 74 tej dyrektywy, zgodnie z którą sytuacja wierzycieli podmiotu w restrukturyzacji nie może być gorsza w przymusowej restrukturyzacji niż w jego hipotetycznej upadłości.</w:t>
      </w:r>
    </w:p>
    <w:p w:rsidR="0055258F" w:rsidRPr="00B81E7D" w:rsidRDefault="0055258F" w:rsidP="00B81E7D">
      <w:pPr>
        <w:spacing w:after="120" w:line="360" w:lineRule="auto"/>
        <w:jc w:val="both"/>
        <w:rPr>
          <w:rFonts w:cs="Times New Roman"/>
          <w:szCs w:val="24"/>
        </w:rPr>
      </w:pPr>
      <w:r w:rsidRPr="00B81E7D">
        <w:rPr>
          <w:rFonts w:cs="Times New Roman"/>
          <w:szCs w:val="24"/>
        </w:rPr>
        <w:t>W związku z powyższym niezbędna jest odpowiednia zmiana w art. 167 ustawy o BFG, która zawęzi bezskuteczność czynności prawnych jedynie do czynności, których skutkiem było pokrzywdzenie podmiotu restrukturyzacji.</w:t>
      </w:r>
    </w:p>
    <w:p w:rsidR="0055258F" w:rsidRPr="00B81E7D" w:rsidRDefault="0055258F" w:rsidP="00B81E7D">
      <w:pPr>
        <w:spacing w:after="120" w:line="360" w:lineRule="auto"/>
        <w:jc w:val="both"/>
        <w:rPr>
          <w:rFonts w:cs="Times New Roman"/>
          <w:b/>
          <w:szCs w:val="24"/>
        </w:rPr>
      </w:pPr>
    </w:p>
    <w:p w:rsidR="000E6637" w:rsidRPr="00B81E7D" w:rsidRDefault="00A94B76" w:rsidP="00AD47B7">
      <w:pPr>
        <w:numPr>
          <w:ilvl w:val="0"/>
          <w:numId w:val="2"/>
        </w:numPr>
        <w:spacing w:after="120" w:line="360" w:lineRule="auto"/>
        <w:jc w:val="both"/>
        <w:rPr>
          <w:rFonts w:cs="Times New Roman"/>
          <w:szCs w:val="24"/>
        </w:rPr>
      </w:pPr>
      <w:r w:rsidRPr="00B81E7D">
        <w:rPr>
          <w:rFonts w:cs="Times New Roman"/>
          <w:b/>
          <w:szCs w:val="24"/>
        </w:rPr>
        <w:t>Zmiany w ustawie z dnia 6 marca 2018 r. – Pr</w:t>
      </w:r>
      <w:r w:rsidR="00620378" w:rsidRPr="00B81E7D">
        <w:rPr>
          <w:rFonts w:cs="Times New Roman"/>
          <w:b/>
          <w:szCs w:val="24"/>
        </w:rPr>
        <w:t xml:space="preserve">awo przedsiębiorców (art. </w:t>
      </w:r>
      <w:r w:rsidR="004775F4">
        <w:rPr>
          <w:rFonts w:cs="Times New Roman"/>
          <w:b/>
          <w:szCs w:val="24"/>
        </w:rPr>
        <w:t>60</w:t>
      </w:r>
      <w:r w:rsidR="004775F4" w:rsidRPr="00B81E7D">
        <w:rPr>
          <w:rFonts w:cs="Times New Roman"/>
          <w:b/>
          <w:szCs w:val="24"/>
        </w:rPr>
        <w:t xml:space="preserve"> </w:t>
      </w:r>
      <w:r w:rsidR="003E619D" w:rsidRPr="00B81E7D">
        <w:rPr>
          <w:rFonts w:cs="Times New Roman"/>
          <w:b/>
          <w:szCs w:val="24"/>
        </w:rPr>
        <w:t>projektu).</w:t>
      </w:r>
    </w:p>
    <w:p w:rsidR="000E6637" w:rsidRPr="00B81E7D" w:rsidRDefault="000E6637" w:rsidP="000A6809">
      <w:pPr>
        <w:numPr>
          <w:ilvl w:val="0"/>
          <w:numId w:val="19"/>
        </w:numPr>
        <w:spacing w:before="120" w:after="120" w:line="360" w:lineRule="auto"/>
        <w:ind w:left="709" w:hanging="425"/>
        <w:jc w:val="both"/>
        <w:rPr>
          <w:rFonts w:cs="Times New Roman"/>
          <w:i/>
          <w:szCs w:val="24"/>
        </w:rPr>
      </w:pPr>
      <w:r w:rsidRPr="00B81E7D">
        <w:rPr>
          <w:rFonts w:cs="Times New Roman"/>
          <w:i/>
          <w:szCs w:val="24"/>
        </w:rPr>
        <w:t>Wprowadzenie nowej instytuc</w:t>
      </w:r>
      <w:r w:rsidR="00CD2DCC" w:rsidRPr="00B81E7D">
        <w:rPr>
          <w:rFonts w:cs="Times New Roman"/>
          <w:i/>
          <w:szCs w:val="24"/>
        </w:rPr>
        <w:t>ji „prawa do p</w:t>
      </w:r>
      <w:r w:rsidR="008D541D" w:rsidRPr="00B81E7D">
        <w:rPr>
          <w:rFonts w:cs="Times New Roman"/>
          <w:i/>
          <w:szCs w:val="24"/>
        </w:rPr>
        <w:t xml:space="preserve">opełnienia błędu” (art. </w:t>
      </w:r>
      <w:r w:rsidR="004775F4">
        <w:rPr>
          <w:rFonts w:cs="Times New Roman"/>
          <w:i/>
          <w:szCs w:val="24"/>
        </w:rPr>
        <w:t>60</w:t>
      </w:r>
      <w:r w:rsidR="004775F4" w:rsidRPr="00B81E7D">
        <w:rPr>
          <w:rFonts w:cs="Times New Roman"/>
          <w:i/>
          <w:szCs w:val="24"/>
        </w:rPr>
        <w:t xml:space="preserve"> </w:t>
      </w:r>
      <w:r w:rsidR="008D541D" w:rsidRPr="00B81E7D">
        <w:rPr>
          <w:rFonts w:cs="Times New Roman"/>
          <w:i/>
          <w:szCs w:val="24"/>
        </w:rPr>
        <w:t>pkt 1</w:t>
      </w:r>
      <w:r w:rsidR="00CD2DCC" w:rsidRPr="00B81E7D">
        <w:rPr>
          <w:rFonts w:cs="Times New Roman"/>
          <w:i/>
          <w:szCs w:val="24"/>
        </w:rPr>
        <w:t xml:space="preserve"> projektu).</w:t>
      </w:r>
    </w:p>
    <w:p w:rsidR="00FE4E56" w:rsidRPr="00B81E7D" w:rsidRDefault="00FE4E56" w:rsidP="00B421C2">
      <w:pPr>
        <w:spacing w:after="120" w:line="360" w:lineRule="auto"/>
        <w:jc w:val="both"/>
        <w:rPr>
          <w:rFonts w:cs="Times New Roman"/>
          <w:szCs w:val="24"/>
        </w:rPr>
      </w:pPr>
      <w:r w:rsidRPr="00B81E7D">
        <w:rPr>
          <w:rFonts w:cs="Times New Roman"/>
          <w:szCs w:val="24"/>
        </w:rPr>
        <w:lastRenderedPageBreak/>
        <w:t>Zmiana wprowadza do polskiego systemu prawnego</w:t>
      </w:r>
      <w:r w:rsidR="007A2889">
        <w:rPr>
          <w:rFonts w:cs="Times New Roman"/>
          <w:szCs w:val="24"/>
        </w:rPr>
        <w:t xml:space="preserve"> nową instytucję, tj. „prawo do </w:t>
      </w:r>
      <w:r w:rsidRPr="00B81E7D">
        <w:rPr>
          <w:rFonts w:cs="Times New Roman"/>
          <w:szCs w:val="24"/>
        </w:rPr>
        <w:t xml:space="preserve">popełnienia błędu”. </w:t>
      </w:r>
      <w:r w:rsidR="002B05FD" w:rsidRPr="00B81E7D">
        <w:rPr>
          <w:rFonts w:cs="Times New Roman"/>
          <w:szCs w:val="24"/>
        </w:rPr>
        <w:t>Instytucja ta o</w:t>
      </w:r>
      <w:r w:rsidRPr="00B81E7D">
        <w:rPr>
          <w:rFonts w:cs="Times New Roman"/>
          <w:szCs w:val="24"/>
        </w:rPr>
        <w:t>piera się na założeniu, że większość naruszeń, które popełniają początkujący polscy przedsiębiorcy, wynika nie z ich złej woli, lecz ma raczej charakter nieintencjonalnych omyłek. Zasadnym jest zatem prz</w:t>
      </w:r>
      <w:r w:rsidR="00E01AAE">
        <w:rPr>
          <w:rFonts w:cs="Times New Roman"/>
          <w:szCs w:val="24"/>
        </w:rPr>
        <w:t>yjęcie, że jeśli są to błędy na </w:t>
      </w:r>
      <w:r w:rsidRPr="00B81E7D">
        <w:rPr>
          <w:rFonts w:cs="Times New Roman"/>
          <w:szCs w:val="24"/>
        </w:rPr>
        <w:t xml:space="preserve">mniejszą skalę, to nie zagrażają one interesom innych podmiotów prawa, ani nie godzą </w:t>
      </w:r>
      <w:r w:rsidR="000E6637" w:rsidRPr="00B81E7D">
        <w:rPr>
          <w:rFonts w:cs="Times New Roman"/>
          <w:szCs w:val="24"/>
        </w:rPr>
        <w:t>w </w:t>
      </w:r>
      <w:r w:rsidRPr="00B81E7D">
        <w:rPr>
          <w:rFonts w:cs="Times New Roman"/>
          <w:szCs w:val="24"/>
        </w:rPr>
        <w:t>kwestie bezpieczeństwa publicznego czy porządku prawnego. Zwraca też uwagę, że bardzo często błędy i naruszenia ze strony przedsiębiorców są konsekwencją niejasnych przepisów, ich niespójnej wykładni dokonywanej przez poszczególne organy i instytucje, a także niejednolitą praktyką administracji publicznej</w:t>
      </w:r>
      <w:r w:rsidRPr="00B81E7D">
        <w:rPr>
          <w:rFonts w:cs="Times New Roman"/>
          <w:szCs w:val="24"/>
          <w:vertAlign w:val="superscript"/>
        </w:rPr>
        <w:footnoteReference w:id="12"/>
      </w:r>
      <w:r w:rsidRPr="00B81E7D">
        <w:rPr>
          <w:rFonts w:cs="Times New Roman"/>
          <w:szCs w:val="24"/>
        </w:rPr>
        <w:t>. Tym sam</w:t>
      </w:r>
      <w:r w:rsidR="007A2889">
        <w:rPr>
          <w:rFonts w:cs="Times New Roman"/>
          <w:szCs w:val="24"/>
        </w:rPr>
        <w:t>ym, słusznym jest przyjęcie, że </w:t>
      </w:r>
      <w:r w:rsidRPr="00B81E7D">
        <w:rPr>
          <w:rFonts w:cs="Times New Roman"/>
          <w:szCs w:val="24"/>
        </w:rPr>
        <w:t>początkujący przedsiębiorcy, w określonych przypadkach, nie powinni ponosić negatywnych konsekwencji popełnionych naruszeń.</w:t>
      </w:r>
    </w:p>
    <w:p w:rsidR="002B05FD" w:rsidRPr="00B81E7D" w:rsidRDefault="00FE4E56" w:rsidP="00B421C2">
      <w:pPr>
        <w:spacing w:after="120" w:line="360" w:lineRule="auto"/>
        <w:jc w:val="both"/>
        <w:rPr>
          <w:rFonts w:cs="Times New Roman"/>
          <w:szCs w:val="24"/>
        </w:rPr>
      </w:pPr>
      <w:r w:rsidRPr="00B81E7D">
        <w:rPr>
          <w:rFonts w:cs="Times New Roman"/>
          <w:szCs w:val="24"/>
        </w:rPr>
        <w:t>Istotą opisywanego prawa jest to, że w przypadku naruszenia przepisów związanych</w:t>
      </w:r>
      <w:r w:rsidR="000E6637" w:rsidRPr="00B81E7D">
        <w:rPr>
          <w:rFonts w:cs="Times New Roman"/>
          <w:szCs w:val="24"/>
        </w:rPr>
        <w:t xml:space="preserve"> z </w:t>
      </w:r>
      <w:r w:rsidRPr="00B81E7D">
        <w:rPr>
          <w:rFonts w:cs="Times New Roman"/>
          <w:szCs w:val="24"/>
        </w:rPr>
        <w:t>wykonywaną działalnością gospodarczą (a więc nie odnoszących się do pozostałych sfer aktywności życiowej przedsiębiorcy)</w:t>
      </w:r>
      <w:r w:rsidR="002B05FD" w:rsidRPr="00B81E7D">
        <w:rPr>
          <w:rFonts w:cs="Times New Roman"/>
          <w:szCs w:val="24"/>
        </w:rPr>
        <w:t>,</w:t>
      </w:r>
      <w:r w:rsidRPr="00B81E7D">
        <w:rPr>
          <w:rFonts w:cs="Times New Roman"/>
          <w:szCs w:val="24"/>
        </w:rPr>
        <w:t xml:space="preserve"> </w:t>
      </w:r>
      <w:r w:rsidR="002B05FD" w:rsidRPr="00B81E7D">
        <w:rPr>
          <w:rFonts w:cs="Times New Roman"/>
          <w:szCs w:val="24"/>
        </w:rPr>
        <w:t>w wyniku którego doszło do wszczęcia postępowania</w:t>
      </w:r>
      <w:r w:rsidRPr="00B81E7D">
        <w:rPr>
          <w:rFonts w:cs="Times New Roman"/>
          <w:szCs w:val="24"/>
        </w:rPr>
        <w:t>:</w:t>
      </w:r>
      <w:r w:rsidR="000E6637" w:rsidRPr="00B81E7D">
        <w:rPr>
          <w:rFonts w:cs="Times New Roman"/>
          <w:szCs w:val="24"/>
        </w:rPr>
        <w:t xml:space="preserve"> 1) </w:t>
      </w:r>
      <w:r w:rsidRPr="00B81E7D">
        <w:rPr>
          <w:rFonts w:cs="Times New Roman"/>
          <w:szCs w:val="24"/>
        </w:rPr>
        <w:t>mandatowego lub 2) w sprawie nakładania lub wymierzania administracyjnej kary pieniężnej</w:t>
      </w:r>
      <w:r w:rsidR="00436A7A" w:rsidRPr="00B81E7D">
        <w:rPr>
          <w:rFonts w:cs="Times New Roman"/>
          <w:szCs w:val="24"/>
        </w:rPr>
        <w:t>,</w:t>
      </w:r>
      <w:r w:rsidR="00AC6575" w:rsidRPr="00B81E7D">
        <w:rPr>
          <w:rFonts w:cs="Times New Roman"/>
          <w:szCs w:val="24"/>
        </w:rPr>
        <w:t xml:space="preserve"> </w:t>
      </w:r>
      <w:r w:rsidR="002B05FD" w:rsidRPr="00B81E7D">
        <w:rPr>
          <w:rFonts w:cs="Times New Roman"/>
          <w:szCs w:val="24"/>
        </w:rPr>
        <w:t xml:space="preserve">przed nałożeniem na przedsiębiorcę </w:t>
      </w:r>
      <w:r w:rsidR="00E32D86" w:rsidRPr="00B81E7D">
        <w:rPr>
          <w:rFonts w:cs="Times New Roman"/>
          <w:szCs w:val="24"/>
        </w:rPr>
        <w:t xml:space="preserve">grzywny w drodze </w:t>
      </w:r>
      <w:r w:rsidR="002B05FD" w:rsidRPr="00B81E7D">
        <w:rPr>
          <w:rFonts w:cs="Times New Roman"/>
          <w:szCs w:val="24"/>
        </w:rPr>
        <w:t>mandatu karnego albo nałożeniem na niego lub wymierzeniem mu administracyj</w:t>
      </w:r>
      <w:r w:rsidR="001B454D" w:rsidRPr="00B81E7D">
        <w:rPr>
          <w:rFonts w:cs="Times New Roman"/>
          <w:szCs w:val="24"/>
        </w:rPr>
        <w:t>nej kary pieniężnej, właściwy w </w:t>
      </w:r>
      <w:r w:rsidR="002B05FD" w:rsidRPr="00B81E7D">
        <w:rPr>
          <w:rFonts w:cs="Times New Roman"/>
          <w:szCs w:val="24"/>
        </w:rPr>
        <w:t>sprawie organ będzie miał obowiązek wezwać</w:t>
      </w:r>
      <w:r w:rsidR="000537DB" w:rsidRPr="00B81E7D">
        <w:rPr>
          <w:rFonts w:cs="Times New Roman"/>
          <w:szCs w:val="24"/>
        </w:rPr>
        <w:t>, w drodze postanowienia,</w:t>
      </w:r>
      <w:r w:rsidR="007A2889">
        <w:rPr>
          <w:rFonts w:cs="Times New Roman"/>
          <w:szCs w:val="24"/>
        </w:rPr>
        <w:t xml:space="preserve"> przedsiębiorcę do </w:t>
      </w:r>
      <w:r w:rsidR="002B05FD" w:rsidRPr="00B81E7D">
        <w:rPr>
          <w:rFonts w:cs="Times New Roman"/>
          <w:szCs w:val="24"/>
        </w:rPr>
        <w:t>usunięcia stwierdzonych naruszeń przepisów prawa oraz skutków tych naruszeń, o ile skutki takie wystąpiły</w:t>
      </w:r>
      <w:r w:rsidR="002B05FD" w:rsidRPr="00B81E7D">
        <w:rPr>
          <w:rStyle w:val="Odwoanieprzypisudolnego"/>
          <w:rFonts w:cs="Times New Roman"/>
          <w:szCs w:val="24"/>
        </w:rPr>
        <w:footnoteReference w:id="13"/>
      </w:r>
      <w:r w:rsidR="002B05FD" w:rsidRPr="00B81E7D">
        <w:rPr>
          <w:rFonts w:cs="Times New Roman"/>
          <w:szCs w:val="24"/>
        </w:rPr>
        <w:t xml:space="preserve">, </w:t>
      </w:r>
      <w:r w:rsidR="001B454D" w:rsidRPr="00B81E7D">
        <w:rPr>
          <w:rFonts w:cs="Times New Roman"/>
          <w:szCs w:val="24"/>
        </w:rPr>
        <w:t>w </w:t>
      </w:r>
      <w:r w:rsidR="002B05FD" w:rsidRPr="00B81E7D">
        <w:rPr>
          <w:rFonts w:cs="Times New Roman"/>
          <w:szCs w:val="24"/>
        </w:rPr>
        <w:t>wyznaczonym przez siebie terminie. Termin ten powinien być ukształtowany przy uwzględnieniu okoliczności konkretnej sprawy, dając przedsiębiorcy odpowiedni</w:t>
      </w:r>
      <w:r w:rsidR="000537DB" w:rsidRPr="00B81E7D">
        <w:rPr>
          <w:rFonts w:cs="Times New Roman"/>
          <w:szCs w:val="24"/>
        </w:rPr>
        <w:t xml:space="preserve"> i potrzebny</w:t>
      </w:r>
      <w:r w:rsidR="002B05FD" w:rsidRPr="00B81E7D">
        <w:rPr>
          <w:rFonts w:cs="Times New Roman"/>
          <w:szCs w:val="24"/>
        </w:rPr>
        <w:t xml:space="preserve"> czas, by mógł naprawić swój błąd.</w:t>
      </w:r>
    </w:p>
    <w:p w:rsidR="00D4253C" w:rsidRPr="00B81E7D" w:rsidRDefault="002B05FD" w:rsidP="00B421C2">
      <w:pPr>
        <w:spacing w:after="120" w:line="360" w:lineRule="auto"/>
        <w:jc w:val="both"/>
        <w:rPr>
          <w:rFonts w:cs="Times New Roman"/>
          <w:szCs w:val="24"/>
        </w:rPr>
      </w:pPr>
      <w:r w:rsidRPr="00B81E7D">
        <w:rPr>
          <w:rFonts w:cs="Times New Roman"/>
          <w:szCs w:val="24"/>
        </w:rPr>
        <w:t>W przypadku wielu inspekcji i organów prowadzących kontrolę działalności gospodarczej przedsiębiorcy, stwierdzenie drobniejszych naruszeń następuje jednak już w trakcie samej kontroli. Z tego względu, projektodawca uznał za zasadne prz</w:t>
      </w:r>
      <w:r w:rsidR="001B454D" w:rsidRPr="00B81E7D">
        <w:rPr>
          <w:rFonts w:cs="Times New Roman"/>
          <w:szCs w:val="24"/>
        </w:rPr>
        <w:t xml:space="preserve">esądzenie </w:t>
      </w:r>
      <w:r w:rsidR="004C309F">
        <w:rPr>
          <w:rFonts w:cs="Times New Roman"/>
          <w:szCs w:val="24"/>
        </w:rPr>
        <w:t xml:space="preserve">w art. 21a </w:t>
      </w:r>
      <w:r w:rsidR="001B454D" w:rsidRPr="00B81E7D">
        <w:rPr>
          <w:rFonts w:cs="Times New Roman"/>
          <w:szCs w:val="24"/>
        </w:rPr>
        <w:t>w</w:t>
      </w:r>
      <w:r w:rsidR="00E01AAE">
        <w:rPr>
          <w:rFonts w:cs="Times New Roman"/>
          <w:szCs w:val="24"/>
        </w:rPr>
        <w:t> </w:t>
      </w:r>
      <w:r w:rsidR="001B454D" w:rsidRPr="00B81E7D">
        <w:rPr>
          <w:rFonts w:cs="Times New Roman"/>
          <w:szCs w:val="24"/>
        </w:rPr>
        <w:t>ust.</w:t>
      </w:r>
      <w:r w:rsidR="00E01AAE">
        <w:rPr>
          <w:rFonts w:cs="Times New Roman"/>
          <w:szCs w:val="24"/>
        </w:rPr>
        <w:t> </w:t>
      </w:r>
      <w:r w:rsidR="001B454D" w:rsidRPr="00B81E7D">
        <w:rPr>
          <w:rFonts w:cs="Times New Roman"/>
          <w:szCs w:val="24"/>
        </w:rPr>
        <w:t>2 </w:t>
      </w:r>
      <w:r w:rsidRPr="00B81E7D">
        <w:rPr>
          <w:rFonts w:cs="Times New Roman"/>
          <w:szCs w:val="24"/>
        </w:rPr>
        <w:t xml:space="preserve">proponowanego artykułu, że funkcjonariusz, inspektor lub przedstawiciel organu będzie mógł „na miejscu” zobowiązać przedsiębiorcę do usunięcia naruszeń i ich skutków, które normalnie skutkowałyby nałożeniem </w:t>
      </w:r>
      <w:r w:rsidR="00AA22BA" w:rsidRPr="00B81E7D">
        <w:rPr>
          <w:rFonts w:cs="Times New Roman"/>
          <w:szCs w:val="24"/>
        </w:rPr>
        <w:t xml:space="preserve">grzywny w drodze </w:t>
      </w:r>
      <w:r w:rsidR="00E01AAE">
        <w:rPr>
          <w:rFonts w:cs="Times New Roman"/>
          <w:szCs w:val="24"/>
        </w:rPr>
        <w:t>mandatu karnego, bez </w:t>
      </w:r>
      <w:r w:rsidRPr="00B81E7D">
        <w:rPr>
          <w:rFonts w:cs="Times New Roman"/>
          <w:szCs w:val="24"/>
        </w:rPr>
        <w:t>konieczności wystosowywania odrębnego wezwania</w:t>
      </w:r>
      <w:r w:rsidR="000537DB" w:rsidRPr="00B81E7D">
        <w:rPr>
          <w:rFonts w:cs="Times New Roman"/>
          <w:szCs w:val="24"/>
        </w:rPr>
        <w:t xml:space="preserve"> w drodze postanowienia</w:t>
      </w:r>
      <w:r w:rsidR="007A2889">
        <w:rPr>
          <w:rFonts w:cs="Times New Roman"/>
          <w:szCs w:val="24"/>
        </w:rPr>
        <w:t xml:space="preserve"> przez </w:t>
      </w:r>
      <w:r w:rsidR="007A2889">
        <w:rPr>
          <w:rFonts w:cs="Times New Roman"/>
          <w:szCs w:val="24"/>
        </w:rPr>
        <w:lastRenderedPageBreak/>
        <w:t>właściwy organ, co </w:t>
      </w:r>
      <w:r w:rsidRPr="00B81E7D">
        <w:rPr>
          <w:rFonts w:cs="Times New Roman"/>
          <w:szCs w:val="24"/>
        </w:rPr>
        <w:t xml:space="preserve">uprości procedurę i zagwarantuje szybkość usunięcia naruszeń i ich skutków. </w:t>
      </w:r>
      <w:r w:rsidR="007A2889">
        <w:rPr>
          <w:rFonts w:cs="Times New Roman"/>
          <w:szCs w:val="24"/>
        </w:rPr>
        <w:t>Następować to </w:t>
      </w:r>
      <w:r w:rsidRPr="00B81E7D">
        <w:rPr>
          <w:rFonts w:cs="Times New Roman"/>
          <w:szCs w:val="24"/>
        </w:rPr>
        <w:t>będzie poprzez odebranie od przedsiębiorcy pisemnego oświadczenia w tej sprawie; podobnie jak w przypad</w:t>
      </w:r>
      <w:r w:rsidR="001B454D" w:rsidRPr="00B81E7D">
        <w:rPr>
          <w:rFonts w:cs="Times New Roman"/>
          <w:szCs w:val="24"/>
        </w:rPr>
        <w:t>ku</w:t>
      </w:r>
      <w:r w:rsidR="000537DB" w:rsidRPr="00B81E7D">
        <w:rPr>
          <w:rFonts w:cs="Times New Roman"/>
          <w:szCs w:val="24"/>
        </w:rPr>
        <w:t xml:space="preserve"> wspomnianego</w:t>
      </w:r>
      <w:r w:rsidR="001B454D" w:rsidRPr="00B81E7D">
        <w:rPr>
          <w:rFonts w:cs="Times New Roman"/>
          <w:szCs w:val="24"/>
        </w:rPr>
        <w:t xml:space="preserve"> wezwania, określony w </w:t>
      </w:r>
      <w:r w:rsidRPr="00B81E7D">
        <w:rPr>
          <w:rFonts w:cs="Times New Roman"/>
          <w:szCs w:val="24"/>
        </w:rPr>
        <w:t xml:space="preserve">oświadczeniu termin powinien być wyznaczony przy uwzględnieniu okoliczności danej sprawy, dając przedsiębiorcy odpowiedni czas, by mógł naprawić swój błąd. W przypadku, gdyby przedsiębiorca odmówił jednak złożenia oświadczenia, właściwy organ </w:t>
      </w:r>
      <w:r w:rsidR="000537DB" w:rsidRPr="00B81E7D">
        <w:rPr>
          <w:rFonts w:cs="Times New Roman"/>
          <w:szCs w:val="24"/>
        </w:rPr>
        <w:t xml:space="preserve">także </w:t>
      </w:r>
      <w:r w:rsidR="00E01AAE">
        <w:rPr>
          <w:rFonts w:cs="Times New Roman"/>
          <w:szCs w:val="24"/>
        </w:rPr>
        <w:t>nie </w:t>
      </w:r>
      <w:r w:rsidRPr="00B81E7D">
        <w:rPr>
          <w:rFonts w:cs="Times New Roman"/>
          <w:szCs w:val="24"/>
        </w:rPr>
        <w:t>będzie już musiał kierować do niego wezwania</w:t>
      </w:r>
      <w:r w:rsidR="000537DB" w:rsidRPr="00B81E7D">
        <w:rPr>
          <w:rFonts w:cs="Times New Roman"/>
          <w:szCs w:val="24"/>
        </w:rPr>
        <w:t xml:space="preserve"> w drodze postanowienia</w:t>
      </w:r>
      <w:r w:rsidRPr="00B81E7D">
        <w:rPr>
          <w:rFonts w:cs="Times New Roman"/>
          <w:szCs w:val="24"/>
        </w:rPr>
        <w:t xml:space="preserve">, o którym mowa w </w:t>
      </w:r>
      <w:r w:rsidR="002E5C35">
        <w:rPr>
          <w:rFonts w:cs="Times New Roman"/>
          <w:szCs w:val="24"/>
        </w:rPr>
        <w:t xml:space="preserve">art. 21a </w:t>
      </w:r>
      <w:r w:rsidRPr="00B81E7D">
        <w:rPr>
          <w:rFonts w:cs="Times New Roman"/>
          <w:szCs w:val="24"/>
        </w:rPr>
        <w:t xml:space="preserve">ust. 1 – tym samym przedsiębiorca niejako </w:t>
      </w:r>
      <w:r w:rsidR="001C79BF" w:rsidRPr="00B81E7D">
        <w:rPr>
          <w:rFonts w:cs="Times New Roman"/>
          <w:szCs w:val="24"/>
        </w:rPr>
        <w:t xml:space="preserve">sam </w:t>
      </w:r>
      <w:r w:rsidRPr="00B81E7D">
        <w:rPr>
          <w:rFonts w:cs="Times New Roman"/>
          <w:szCs w:val="24"/>
        </w:rPr>
        <w:t>pozbawi s</w:t>
      </w:r>
      <w:r w:rsidR="00E01AAE">
        <w:rPr>
          <w:rFonts w:cs="Times New Roman"/>
          <w:szCs w:val="24"/>
        </w:rPr>
        <w:t>ię „prawa do </w:t>
      </w:r>
      <w:r w:rsidR="00D4253C" w:rsidRPr="00B81E7D">
        <w:rPr>
          <w:rFonts w:cs="Times New Roman"/>
          <w:szCs w:val="24"/>
        </w:rPr>
        <w:t>popełnienia błędu”.</w:t>
      </w:r>
    </w:p>
    <w:p w:rsidR="00D4253C" w:rsidRPr="00B81E7D" w:rsidRDefault="002B05FD" w:rsidP="00B421C2">
      <w:pPr>
        <w:spacing w:after="120" w:line="360" w:lineRule="auto"/>
        <w:jc w:val="both"/>
        <w:rPr>
          <w:rFonts w:cs="Times New Roman"/>
          <w:szCs w:val="24"/>
        </w:rPr>
      </w:pPr>
      <w:r w:rsidRPr="00B81E7D">
        <w:rPr>
          <w:rFonts w:cs="Times New Roman"/>
          <w:szCs w:val="24"/>
        </w:rPr>
        <w:t>Zgodnie z ust. 3</w:t>
      </w:r>
      <w:r w:rsidR="002E5C35">
        <w:rPr>
          <w:rFonts w:cs="Times New Roman"/>
          <w:szCs w:val="24"/>
        </w:rPr>
        <w:t xml:space="preserve"> art. 21a</w:t>
      </w:r>
      <w:r w:rsidRPr="00B81E7D">
        <w:rPr>
          <w:rFonts w:cs="Times New Roman"/>
          <w:szCs w:val="24"/>
        </w:rPr>
        <w:t>, jeżeli przedsiębiorca zastosuje się do wezwania z ust. 1 lub zrealizuje zobowiązanie zawarte w pisemnym oświadczeniu, właś</w:t>
      </w:r>
      <w:r w:rsidR="007A2889">
        <w:rPr>
          <w:rFonts w:cs="Times New Roman"/>
          <w:szCs w:val="24"/>
        </w:rPr>
        <w:t>ciwy organ będzie odstępował od </w:t>
      </w:r>
      <w:r w:rsidRPr="00B81E7D">
        <w:rPr>
          <w:rFonts w:cs="Times New Roman"/>
          <w:szCs w:val="24"/>
        </w:rPr>
        <w:t>nałożenia na niego lub wymierzenia mu administracyjnej kary pieniężnej</w:t>
      </w:r>
      <w:r w:rsidR="00DC449A" w:rsidRPr="00B81E7D">
        <w:rPr>
          <w:rStyle w:val="Odwoanieprzypisudolnego"/>
          <w:rFonts w:cs="Times New Roman"/>
          <w:szCs w:val="24"/>
        </w:rPr>
        <w:footnoteReference w:id="14"/>
      </w:r>
      <w:r w:rsidRPr="00B81E7D">
        <w:rPr>
          <w:rFonts w:cs="Times New Roman"/>
          <w:szCs w:val="24"/>
        </w:rPr>
        <w:t>; zamiast tego będzie poprzestawał na pouczeniu</w:t>
      </w:r>
      <w:r w:rsidR="00114BD6" w:rsidRPr="00B81E7D">
        <w:rPr>
          <w:rFonts w:cs="Times New Roman"/>
          <w:szCs w:val="24"/>
        </w:rPr>
        <w:t xml:space="preserve"> - natomiast gdy </w:t>
      </w:r>
      <w:r w:rsidR="00473448" w:rsidRPr="00B81E7D">
        <w:rPr>
          <w:rFonts w:cs="Times New Roman"/>
          <w:szCs w:val="24"/>
        </w:rPr>
        <w:t>naruszenie przepisów było wykroczeniem lub wykroczeniem skarbowym</w:t>
      </w:r>
      <w:r w:rsidR="007E05CA" w:rsidRPr="00B81E7D">
        <w:rPr>
          <w:rFonts w:cs="Times New Roman"/>
          <w:szCs w:val="24"/>
        </w:rPr>
        <w:t>,</w:t>
      </w:r>
      <w:r w:rsidR="00473448" w:rsidRPr="00B81E7D">
        <w:rPr>
          <w:rFonts w:cs="Times New Roman"/>
          <w:szCs w:val="24"/>
        </w:rPr>
        <w:t xml:space="preserve"> przedsiębiorca nie będzie podlegał karze</w:t>
      </w:r>
      <w:r w:rsidRPr="00B81E7D">
        <w:rPr>
          <w:rFonts w:cs="Times New Roman"/>
          <w:szCs w:val="24"/>
        </w:rPr>
        <w:t>.</w:t>
      </w:r>
      <w:r w:rsidR="007E05CA" w:rsidRPr="00B81E7D">
        <w:rPr>
          <w:rFonts w:cs="Times New Roman"/>
          <w:szCs w:val="24"/>
        </w:rPr>
        <w:t xml:space="preserve"> Oznacza</w:t>
      </w:r>
      <w:r w:rsidR="00473448" w:rsidRPr="00B81E7D">
        <w:rPr>
          <w:rFonts w:cs="Times New Roman"/>
          <w:szCs w:val="24"/>
        </w:rPr>
        <w:t xml:space="preserve"> to, że nie będzie mógł zostać ukarany, zarówno w postępowaniu przed danym organem, jak i w ramach hipotetycznego postępowania sądowego</w:t>
      </w:r>
      <w:r w:rsidR="00473448" w:rsidRPr="00B81E7D">
        <w:rPr>
          <w:rStyle w:val="Odwoanieprzypisudolnego"/>
          <w:rFonts w:cs="Times New Roman"/>
          <w:szCs w:val="24"/>
        </w:rPr>
        <w:footnoteReference w:id="15"/>
      </w:r>
      <w:r w:rsidR="00473448" w:rsidRPr="00B81E7D">
        <w:rPr>
          <w:rFonts w:cs="Times New Roman"/>
          <w:szCs w:val="24"/>
        </w:rPr>
        <w:t xml:space="preserve">. </w:t>
      </w:r>
      <w:r w:rsidR="00FE4E56" w:rsidRPr="00B81E7D">
        <w:rPr>
          <w:rFonts w:cs="Times New Roman"/>
          <w:szCs w:val="24"/>
        </w:rPr>
        <w:t xml:space="preserve">Co istotne, rozwiązanie to będzie miało zastosowanie jedynie do tych rodzajów naruszeń, które </w:t>
      </w:r>
      <w:r w:rsidR="00473448" w:rsidRPr="00B81E7D">
        <w:rPr>
          <w:rFonts w:cs="Times New Roman"/>
          <w:szCs w:val="24"/>
        </w:rPr>
        <w:t xml:space="preserve">powodują </w:t>
      </w:r>
      <w:r w:rsidR="00FE4E56" w:rsidRPr="00B81E7D">
        <w:rPr>
          <w:rFonts w:cs="Times New Roman"/>
          <w:szCs w:val="24"/>
        </w:rPr>
        <w:t xml:space="preserve">wszczęcie wyżej wymienionych rodzajów postępowań, nie będzie zatem dotyczyło np. naruszeń, </w:t>
      </w:r>
      <w:r w:rsidR="00473448" w:rsidRPr="00B81E7D">
        <w:rPr>
          <w:rFonts w:cs="Times New Roman"/>
          <w:szCs w:val="24"/>
        </w:rPr>
        <w:t>które przewidują dla przedsiębiorcy zastosowanie</w:t>
      </w:r>
      <w:r w:rsidR="00FE4E56" w:rsidRPr="00B81E7D">
        <w:rPr>
          <w:rFonts w:cs="Times New Roman"/>
          <w:szCs w:val="24"/>
        </w:rPr>
        <w:t xml:space="preserve"> poważniejsz</w:t>
      </w:r>
      <w:r w:rsidR="00473448" w:rsidRPr="00B81E7D">
        <w:rPr>
          <w:rFonts w:cs="Times New Roman"/>
          <w:szCs w:val="24"/>
        </w:rPr>
        <w:t>ych</w:t>
      </w:r>
      <w:r w:rsidR="00FE4E56" w:rsidRPr="00B81E7D">
        <w:rPr>
          <w:rFonts w:cs="Times New Roman"/>
          <w:szCs w:val="24"/>
        </w:rPr>
        <w:t xml:space="preserve"> sankcj</w:t>
      </w:r>
      <w:r w:rsidR="00473448" w:rsidRPr="00B81E7D">
        <w:rPr>
          <w:rFonts w:cs="Times New Roman"/>
          <w:szCs w:val="24"/>
        </w:rPr>
        <w:t>i</w:t>
      </w:r>
      <w:r w:rsidR="00FE4E56" w:rsidRPr="00B81E7D">
        <w:rPr>
          <w:rFonts w:cs="Times New Roman"/>
          <w:szCs w:val="24"/>
        </w:rPr>
        <w:t xml:space="preserve"> prawa karnego. </w:t>
      </w:r>
    </w:p>
    <w:p w:rsidR="00597408" w:rsidRPr="00B81E7D" w:rsidRDefault="00597408" w:rsidP="00B421C2">
      <w:pPr>
        <w:spacing w:after="120" w:line="360" w:lineRule="auto"/>
        <w:jc w:val="both"/>
        <w:rPr>
          <w:rFonts w:cs="Times New Roman"/>
          <w:szCs w:val="24"/>
        </w:rPr>
      </w:pPr>
      <w:r w:rsidRPr="00B81E7D">
        <w:t xml:space="preserve">Konieczne jest także </w:t>
      </w:r>
      <w:r w:rsidR="0022279B" w:rsidRPr="00B81E7D">
        <w:t>ustalenie</w:t>
      </w:r>
      <w:r w:rsidRPr="00B81E7D">
        <w:t xml:space="preserve">, co </w:t>
      </w:r>
      <w:r w:rsidR="00DB334E" w:rsidRPr="00B81E7D">
        <w:t>dzieje się</w:t>
      </w:r>
      <w:r w:rsidRPr="00B81E7D">
        <w:t xml:space="preserve"> w sytuacji, gdy naruszenie przepisów</w:t>
      </w:r>
      <w:r w:rsidR="0022279B" w:rsidRPr="00B81E7D">
        <w:t xml:space="preserve"> i pojawienie się jego skutków</w:t>
      </w:r>
      <w:r w:rsidRPr="00B81E7D">
        <w:t xml:space="preserve"> rozpoczęło się w trakcie trwania okresu, w którym przedsiębiorca korzysta z „prawa do popełnienia błędu”</w:t>
      </w:r>
      <w:r w:rsidR="0022279B" w:rsidRPr="00B81E7D">
        <w:t>,</w:t>
      </w:r>
      <w:r w:rsidRPr="00B81E7D">
        <w:t xml:space="preserve"> i trwa ono dalej </w:t>
      </w:r>
      <w:r w:rsidR="00C814ED" w:rsidRPr="00B81E7D">
        <w:t xml:space="preserve">także </w:t>
      </w:r>
      <w:r w:rsidRPr="00B81E7D">
        <w:t>po upływie tego okresu</w:t>
      </w:r>
      <w:r w:rsidR="0022279B" w:rsidRPr="00B81E7D">
        <w:t xml:space="preserve"> (co oznacza, że jest naruszeniem „ciągłym)</w:t>
      </w:r>
      <w:r w:rsidRPr="00B81E7D">
        <w:t xml:space="preserve">. </w:t>
      </w:r>
      <w:r w:rsidR="0022279B" w:rsidRPr="00B81E7D">
        <w:t>Wydaje się logicznym przyjęcie</w:t>
      </w:r>
      <w:r w:rsidR="00E01AAE">
        <w:t>, że </w:t>
      </w:r>
      <w:r w:rsidR="00C814ED" w:rsidRPr="00B81E7D">
        <w:t xml:space="preserve">po zakończeniu 12 miesięcy </w:t>
      </w:r>
      <w:r w:rsidR="00E3406C" w:rsidRPr="00B81E7D">
        <w:t xml:space="preserve">istniejące naruszenie </w:t>
      </w:r>
      <w:r w:rsidR="00C814ED" w:rsidRPr="00B81E7D">
        <w:t xml:space="preserve">nie </w:t>
      </w:r>
      <w:r w:rsidR="0022279B" w:rsidRPr="00B81E7D">
        <w:t>powinno być</w:t>
      </w:r>
      <w:r w:rsidR="00C814ED" w:rsidRPr="00B81E7D">
        <w:t xml:space="preserve"> już objęte proponowaną instytucją</w:t>
      </w:r>
      <w:r w:rsidR="00E3406C" w:rsidRPr="00B81E7D">
        <w:t>, a zatem podlega</w:t>
      </w:r>
      <w:r w:rsidR="0022279B" w:rsidRPr="00B81E7D">
        <w:t>łoby ono</w:t>
      </w:r>
      <w:r w:rsidR="00E3406C" w:rsidRPr="00B81E7D">
        <w:t xml:space="preserve"> „rozpoznaniu” przez organ na ogólnych zasadach.</w:t>
      </w:r>
      <w:r w:rsidR="00C814ED" w:rsidRPr="00B81E7D">
        <w:t xml:space="preserve"> </w:t>
      </w:r>
      <w:r w:rsidRPr="00B81E7D">
        <w:t>Projektodawca</w:t>
      </w:r>
      <w:r w:rsidR="0022279B" w:rsidRPr="00B81E7D">
        <w:t xml:space="preserve"> przesądza o tym w </w:t>
      </w:r>
      <w:r w:rsidR="00B96762">
        <w:t xml:space="preserve">art. 21a w </w:t>
      </w:r>
      <w:r w:rsidR="00E3406C" w:rsidRPr="00B81E7D">
        <w:t xml:space="preserve">ust. 4 </w:t>
      </w:r>
      <w:r w:rsidR="0022279B" w:rsidRPr="00B81E7D">
        <w:t xml:space="preserve">wskazując, że w takiej sytuacji organ nie stosuje przepisów ust. 1 i 2, a zatem nie wzywa przedsiębiorcy do usunięcia naruszeń i ich skutków, ani nie odbiera od niego pisemnego oświadczenia – w konsekwencji przedsiębiorca ten nie skorzysta z „prawa do popełnienia błędu”. Warto jednak zauważyć w tym aspekcie </w:t>
      </w:r>
      <w:r w:rsidR="0022279B" w:rsidRPr="00B81E7D">
        <w:lastRenderedPageBreak/>
        <w:t>pewien „wyjątek”. Z prawidłowej wykładni przepisów ust. 1-3 wynika bowiem, iż w sytuacji, gdy wezwanie organu lub odebranie pisemnego oświadczenia n</w:t>
      </w:r>
      <w:r w:rsidR="00E01AAE">
        <w:t>astąpiło w omawianym okresie 12 </w:t>
      </w:r>
      <w:r w:rsidR="0022279B" w:rsidRPr="00B81E7D">
        <w:t xml:space="preserve">miesięcy (a zatem, gdy stan trwania naruszenia przepisów lub ich skutków nadal nie przekroczył tego okresu), to jeżeli nawet wskazany termin usunięcia naruszeń i ich skutków miałby miejsce już po upływie tego okresu, przedsiębiorca, który naprawi swój błąd z zachowaniem tego terminu będzie korzystał z rozwiązań w ust. 3 (nawet jeżeli przez krótką chwilę będzie pozostawał „w stanie naruszenia” prawa po upływie omawianego okresu). Kluczowe jest bowiem w tym przypadku zainicjowanie procedury usuwania przewinień jeszcze w trakcie trwania okresu 12 miesięcy oraz jej poprawne zakończenie. </w:t>
      </w:r>
    </w:p>
    <w:p w:rsidR="007B3369" w:rsidRPr="00B81E7D" w:rsidRDefault="009632B8" w:rsidP="00B421C2">
      <w:pPr>
        <w:spacing w:after="120" w:line="360" w:lineRule="auto"/>
        <w:jc w:val="both"/>
        <w:rPr>
          <w:rFonts w:cs="Times New Roman"/>
          <w:szCs w:val="24"/>
        </w:rPr>
      </w:pPr>
      <w:r w:rsidRPr="00B81E7D">
        <w:rPr>
          <w:rFonts w:cs="Times New Roman"/>
          <w:szCs w:val="24"/>
        </w:rPr>
        <w:t xml:space="preserve">W </w:t>
      </w:r>
      <w:r w:rsidR="00B96762">
        <w:rPr>
          <w:rFonts w:cs="Times New Roman"/>
          <w:szCs w:val="24"/>
        </w:rPr>
        <w:t xml:space="preserve">art. 21a w </w:t>
      </w:r>
      <w:r w:rsidRPr="00B81E7D">
        <w:rPr>
          <w:rFonts w:cs="Times New Roman"/>
          <w:szCs w:val="24"/>
        </w:rPr>
        <w:t xml:space="preserve">ust. 5 </w:t>
      </w:r>
      <w:r w:rsidR="00FD744D" w:rsidRPr="00B81E7D">
        <w:rPr>
          <w:rFonts w:cs="Times New Roman"/>
          <w:szCs w:val="24"/>
        </w:rPr>
        <w:t>projektodawca wprowadza konstrukcję zbliżoną do tzw. „czynnego żalu” – przedsiębiorca naruszający przepisy będzie mógł unikn</w:t>
      </w:r>
      <w:r w:rsidR="00E01AAE">
        <w:rPr>
          <w:rFonts w:cs="Times New Roman"/>
          <w:szCs w:val="24"/>
        </w:rPr>
        <w:t>ąć nałożenia lub wymierzenia mu </w:t>
      </w:r>
      <w:r w:rsidR="00FD744D" w:rsidRPr="00B81E7D">
        <w:rPr>
          <w:rFonts w:cs="Times New Roman"/>
          <w:szCs w:val="24"/>
        </w:rPr>
        <w:t>administracyjnej kary pieniężnej także w sytuacji, jeżeli z własnej woli, tj. dobrowolnie, usunie</w:t>
      </w:r>
      <w:r w:rsidR="004C3EBE" w:rsidRPr="00B81E7D">
        <w:rPr>
          <w:rFonts w:cs="Times New Roman"/>
          <w:szCs w:val="24"/>
        </w:rPr>
        <w:t xml:space="preserve"> (we wspomnianym okresie 12 miesięcy)</w:t>
      </w:r>
      <w:r w:rsidR="00FD744D" w:rsidRPr="00B81E7D">
        <w:rPr>
          <w:rFonts w:cs="Times New Roman"/>
          <w:szCs w:val="24"/>
        </w:rPr>
        <w:t xml:space="preserve"> naruszenia pra</w:t>
      </w:r>
      <w:r w:rsidR="004C3EBE" w:rsidRPr="00B81E7D">
        <w:rPr>
          <w:rFonts w:cs="Times New Roman"/>
          <w:szCs w:val="24"/>
        </w:rPr>
        <w:t>wa oraz skutki tych naruszeń, o </w:t>
      </w:r>
      <w:r w:rsidR="00FD744D" w:rsidRPr="00B81E7D">
        <w:rPr>
          <w:rFonts w:cs="Times New Roman"/>
          <w:szCs w:val="24"/>
        </w:rPr>
        <w:t>ile oczywiście skutki takie wystąpiły, jeszcze przed wezwaniem właściwego organu</w:t>
      </w:r>
      <w:r w:rsidR="001B78CB" w:rsidRPr="00B81E7D">
        <w:rPr>
          <w:rFonts w:cs="Times New Roman"/>
          <w:szCs w:val="24"/>
        </w:rPr>
        <w:t>.</w:t>
      </w:r>
      <w:r w:rsidR="00E01AAE">
        <w:rPr>
          <w:rFonts w:cs="Times New Roman"/>
          <w:szCs w:val="24"/>
        </w:rPr>
        <w:t xml:space="preserve"> Brak </w:t>
      </w:r>
      <w:r w:rsidR="00FD744D" w:rsidRPr="00B81E7D">
        <w:rPr>
          <w:rFonts w:cs="Times New Roman"/>
          <w:szCs w:val="24"/>
        </w:rPr>
        <w:t xml:space="preserve">tego przepisu powodowałby, że „prawo do popełnienia błędu” przysługiwałoby tylko przedsiębiorcom, w przypadku których naruszenie przepisów zostało usunięte dopiero po </w:t>
      </w:r>
      <w:r w:rsidR="007A2889">
        <w:rPr>
          <w:rFonts w:cs="Times New Roman"/>
          <w:szCs w:val="24"/>
        </w:rPr>
        <w:t> </w:t>
      </w:r>
      <w:r w:rsidR="00FD744D" w:rsidRPr="00B81E7D">
        <w:rPr>
          <w:rFonts w:cs="Times New Roman"/>
          <w:szCs w:val="24"/>
        </w:rPr>
        <w:t>oficjalnym „</w:t>
      </w:r>
      <w:r w:rsidR="00BB2008" w:rsidRPr="00B81E7D">
        <w:rPr>
          <w:rFonts w:cs="Times New Roman"/>
          <w:szCs w:val="24"/>
        </w:rPr>
        <w:t>wezwaniu</w:t>
      </w:r>
      <w:r w:rsidR="00FD744D" w:rsidRPr="00B81E7D">
        <w:rPr>
          <w:rFonts w:cs="Times New Roman"/>
          <w:szCs w:val="24"/>
        </w:rPr>
        <w:t>” przez organ; nie byliby nim natomiast objęci przedsiębiorcy, którzy naprawili</w:t>
      </w:r>
      <w:r w:rsidR="00241103" w:rsidRPr="00B81E7D">
        <w:rPr>
          <w:rFonts w:cs="Times New Roman"/>
          <w:szCs w:val="24"/>
        </w:rPr>
        <w:t>by</w:t>
      </w:r>
      <w:r w:rsidR="00FD744D" w:rsidRPr="00B81E7D">
        <w:rPr>
          <w:rFonts w:cs="Times New Roman"/>
          <w:szCs w:val="24"/>
        </w:rPr>
        <w:t xml:space="preserve"> swój błąd </w:t>
      </w:r>
      <w:r w:rsidR="00BB2008" w:rsidRPr="00B81E7D">
        <w:rPr>
          <w:rFonts w:cs="Times New Roman"/>
          <w:szCs w:val="24"/>
        </w:rPr>
        <w:t>wcześniej</w:t>
      </w:r>
      <w:r w:rsidR="00FD744D" w:rsidRPr="00B81E7D">
        <w:rPr>
          <w:rFonts w:cs="Times New Roman"/>
          <w:szCs w:val="24"/>
        </w:rPr>
        <w:t xml:space="preserve">. </w:t>
      </w:r>
      <w:r w:rsidR="00DC449A" w:rsidRPr="00B81E7D">
        <w:rPr>
          <w:rFonts w:cs="Times New Roman"/>
          <w:szCs w:val="24"/>
        </w:rPr>
        <w:t xml:space="preserve">Warunkiem skorzystania z tej konstrukcji </w:t>
      </w:r>
      <w:r w:rsidR="00402DAB" w:rsidRPr="00B81E7D">
        <w:rPr>
          <w:rFonts w:cs="Times New Roman"/>
          <w:szCs w:val="24"/>
        </w:rPr>
        <w:t>powinno być</w:t>
      </w:r>
      <w:r w:rsidR="00DC449A" w:rsidRPr="00B81E7D">
        <w:rPr>
          <w:rFonts w:cs="Times New Roman"/>
          <w:szCs w:val="24"/>
        </w:rPr>
        <w:t xml:space="preserve"> jednak </w:t>
      </w:r>
      <w:r w:rsidR="00DC449A" w:rsidRPr="00B81E7D">
        <w:t xml:space="preserve">powiadomienie </w:t>
      </w:r>
      <w:r w:rsidR="00402DAB" w:rsidRPr="00B81E7D">
        <w:t xml:space="preserve">właściwego </w:t>
      </w:r>
      <w:r w:rsidR="00DC449A" w:rsidRPr="00B81E7D">
        <w:t>organu o usuni</w:t>
      </w:r>
      <w:r w:rsidR="00E01AAE">
        <w:t>ęciu naruszeń oraz skutków tych </w:t>
      </w:r>
      <w:r w:rsidR="00DC449A" w:rsidRPr="00B81E7D">
        <w:t>naruszeń, jeżeli skutki takie wystąpiły</w:t>
      </w:r>
      <w:r w:rsidR="00691144" w:rsidRPr="00B81E7D">
        <w:rPr>
          <w:rStyle w:val="Odwoanieprzypisudolnego"/>
        </w:rPr>
        <w:footnoteReference w:id="16"/>
      </w:r>
      <w:r w:rsidR="00402DAB" w:rsidRPr="00B81E7D">
        <w:t xml:space="preserve">. </w:t>
      </w:r>
    </w:p>
    <w:p w:rsidR="00402DAB" w:rsidRPr="00B81E7D" w:rsidRDefault="007B3369" w:rsidP="00B421C2">
      <w:pPr>
        <w:pStyle w:val="ZUSTzmustartykuempunktem"/>
        <w:spacing w:after="120"/>
        <w:ind w:left="0" w:firstLine="0"/>
        <w:rPr>
          <w:rFonts w:ascii="Times New Roman" w:hAnsi="Times New Roman" w:cs="Times New Roman"/>
          <w:szCs w:val="24"/>
        </w:rPr>
      </w:pPr>
      <w:r w:rsidRPr="00B81E7D">
        <w:rPr>
          <w:rFonts w:ascii="Times New Roman" w:hAnsi="Times New Roman" w:cs="Times New Roman"/>
          <w:szCs w:val="24"/>
        </w:rPr>
        <w:t xml:space="preserve">Podobne rozwiązania wprowadza </w:t>
      </w:r>
      <w:r w:rsidR="00B96762">
        <w:rPr>
          <w:rFonts w:ascii="Times New Roman" w:hAnsi="Times New Roman" w:cs="Times New Roman"/>
          <w:szCs w:val="24"/>
        </w:rPr>
        <w:t xml:space="preserve">art. 21a </w:t>
      </w:r>
      <w:r w:rsidRPr="00B81E7D">
        <w:rPr>
          <w:rFonts w:ascii="Times New Roman" w:hAnsi="Times New Roman" w:cs="Times New Roman"/>
          <w:szCs w:val="24"/>
        </w:rPr>
        <w:t xml:space="preserve">ust. </w:t>
      </w:r>
      <w:r w:rsidR="0084593F" w:rsidRPr="00B81E7D">
        <w:rPr>
          <w:rFonts w:ascii="Times New Roman" w:hAnsi="Times New Roman" w:cs="Times New Roman"/>
          <w:szCs w:val="24"/>
        </w:rPr>
        <w:t xml:space="preserve">6 </w:t>
      </w:r>
      <w:r w:rsidRPr="00B81E7D">
        <w:rPr>
          <w:rFonts w:ascii="Times New Roman" w:hAnsi="Times New Roman" w:cs="Times New Roman"/>
          <w:szCs w:val="24"/>
        </w:rPr>
        <w:t>w odniesieniu do czynów, za które miałyby zostać wymierzone kary grzywny w drodze mandatu</w:t>
      </w:r>
      <w:r w:rsidR="004C3EBE" w:rsidRPr="00B81E7D">
        <w:rPr>
          <w:rFonts w:ascii="Times New Roman" w:hAnsi="Times New Roman" w:cs="Times New Roman"/>
          <w:szCs w:val="24"/>
        </w:rPr>
        <w:t xml:space="preserve"> karnego</w:t>
      </w:r>
      <w:r w:rsidR="00D21A2F" w:rsidRPr="00B81E7D">
        <w:rPr>
          <w:rFonts w:ascii="Times New Roman" w:hAnsi="Times New Roman" w:cs="Times New Roman"/>
          <w:szCs w:val="24"/>
        </w:rPr>
        <w:t>, a więc do wykroczeń i wykroczeń skarbowych</w:t>
      </w:r>
      <w:r w:rsidRPr="00B81E7D">
        <w:rPr>
          <w:rFonts w:ascii="Times New Roman" w:hAnsi="Times New Roman" w:cs="Times New Roman"/>
          <w:szCs w:val="24"/>
        </w:rPr>
        <w:t>. W przypadku, gdy przedsiębiorca dobrowolnie usunąłby naruszenia przepisów prawa oraz skutki tych naruszeń, jeżeli skutki takie wystąpiły, jeszcze przed wezwaniem właściwego organu lub przed złożeniem pisemnego oświadczenia</w:t>
      </w:r>
      <w:r w:rsidR="002510E0" w:rsidRPr="00B81E7D">
        <w:rPr>
          <w:rFonts w:ascii="Times New Roman" w:hAnsi="Times New Roman" w:cs="Times New Roman"/>
          <w:szCs w:val="24"/>
        </w:rPr>
        <w:t>,</w:t>
      </w:r>
      <w:r w:rsidRPr="00B81E7D">
        <w:rPr>
          <w:rFonts w:ascii="Times New Roman" w:hAnsi="Times New Roman" w:cs="Times New Roman"/>
          <w:szCs w:val="24"/>
        </w:rPr>
        <w:t xml:space="preserve"> właściwy organ nie</w:t>
      </w:r>
      <w:r w:rsidR="00E01AAE">
        <w:rPr>
          <w:rFonts w:ascii="Times New Roman" w:hAnsi="Times New Roman" w:cs="Times New Roman"/>
          <w:szCs w:val="24"/>
        </w:rPr>
        <w:t> </w:t>
      </w:r>
      <w:r w:rsidRPr="00B81E7D">
        <w:rPr>
          <w:rFonts w:ascii="Times New Roman" w:hAnsi="Times New Roman" w:cs="Times New Roman"/>
          <w:szCs w:val="24"/>
        </w:rPr>
        <w:t xml:space="preserve">nakładałby na niego grzywny w drodze mandatu karnego. </w:t>
      </w:r>
      <w:r w:rsidR="00402DAB" w:rsidRPr="00B81E7D">
        <w:rPr>
          <w:rFonts w:ascii="Times New Roman" w:hAnsi="Times New Roman" w:cs="Times New Roman"/>
          <w:szCs w:val="24"/>
        </w:rPr>
        <w:t xml:space="preserve">Warunkiem byłoby jednak złożenie odpowiedniego powiadomienia przez przedsiębiorcę. </w:t>
      </w:r>
      <w:r w:rsidR="00691144" w:rsidRPr="00B81E7D">
        <w:rPr>
          <w:rFonts w:ascii="Times New Roman" w:hAnsi="Times New Roman" w:cs="Times New Roman"/>
          <w:szCs w:val="24"/>
        </w:rPr>
        <w:t xml:space="preserve">Mogłoby ono być natomiast przekazane także obecnemu na miejscu </w:t>
      </w:r>
      <w:r w:rsidR="00691144" w:rsidRPr="00B81E7D">
        <w:t>funkcjonariusz</w:t>
      </w:r>
      <w:r w:rsidR="00A2309B" w:rsidRPr="00B81E7D">
        <w:t>owi</w:t>
      </w:r>
      <w:r w:rsidR="00691144" w:rsidRPr="00B81E7D">
        <w:t>, inspektor</w:t>
      </w:r>
      <w:r w:rsidR="00A2309B" w:rsidRPr="00B81E7D">
        <w:t>owi</w:t>
      </w:r>
      <w:r w:rsidR="00E01AAE">
        <w:t xml:space="preserve"> lub </w:t>
      </w:r>
      <w:r w:rsidR="00691144" w:rsidRPr="00B81E7D">
        <w:t>przedstawiciel</w:t>
      </w:r>
      <w:r w:rsidR="00A2309B" w:rsidRPr="00B81E7D">
        <w:t>owi</w:t>
      </w:r>
      <w:r w:rsidR="00691144" w:rsidRPr="00B81E7D">
        <w:t xml:space="preserve"> tego organu.</w:t>
      </w:r>
      <w:r w:rsidR="00691144" w:rsidRPr="00B81E7D">
        <w:rPr>
          <w:rFonts w:ascii="Times New Roman" w:hAnsi="Times New Roman" w:cs="Times New Roman"/>
          <w:szCs w:val="24"/>
        </w:rPr>
        <w:t xml:space="preserve"> </w:t>
      </w:r>
    </w:p>
    <w:p w:rsidR="00FD744D" w:rsidRPr="00B81E7D" w:rsidRDefault="007B3369" w:rsidP="00B421C2">
      <w:pPr>
        <w:pStyle w:val="ZUSTzmustartykuempunktem"/>
        <w:spacing w:after="120"/>
        <w:ind w:left="0" w:firstLine="0"/>
        <w:rPr>
          <w:rFonts w:ascii="Times New Roman" w:hAnsi="Times New Roman" w:cs="Times New Roman"/>
          <w:szCs w:val="24"/>
        </w:rPr>
      </w:pPr>
      <w:r w:rsidRPr="00B81E7D">
        <w:rPr>
          <w:rFonts w:ascii="Times New Roman" w:hAnsi="Times New Roman" w:cs="Times New Roman"/>
          <w:szCs w:val="24"/>
        </w:rPr>
        <w:lastRenderedPageBreak/>
        <w:t xml:space="preserve">Gdyby jednak </w:t>
      </w:r>
      <w:r w:rsidR="0048310B" w:rsidRPr="00B81E7D">
        <w:rPr>
          <w:rFonts w:ascii="Times New Roman" w:hAnsi="Times New Roman" w:cs="Times New Roman"/>
          <w:szCs w:val="24"/>
        </w:rPr>
        <w:t>pomimo braku nałożenia</w:t>
      </w:r>
      <w:r w:rsidR="004C3EBE" w:rsidRPr="00B81E7D">
        <w:rPr>
          <w:rFonts w:ascii="Times New Roman" w:hAnsi="Times New Roman" w:cs="Times New Roman"/>
          <w:szCs w:val="24"/>
        </w:rPr>
        <w:t xml:space="preserve"> grzywny w drodze</w:t>
      </w:r>
      <w:r w:rsidR="0048310B" w:rsidRPr="00B81E7D">
        <w:rPr>
          <w:rFonts w:ascii="Times New Roman" w:hAnsi="Times New Roman" w:cs="Times New Roman"/>
          <w:szCs w:val="24"/>
        </w:rPr>
        <w:t xml:space="preserve"> mandatu karnego </w:t>
      </w:r>
      <w:r w:rsidRPr="00B81E7D">
        <w:rPr>
          <w:rFonts w:ascii="Times New Roman" w:hAnsi="Times New Roman" w:cs="Times New Roman"/>
          <w:szCs w:val="24"/>
        </w:rPr>
        <w:t xml:space="preserve">dochodziło </w:t>
      </w:r>
      <w:r w:rsidR="007A2889">
        <w:rPr>
          <w:rFonts w:ascii="Times New Roman" w:hAnsi="Times New Roman" w:cs="Times New Roman"/>
          <w:szCs w:val="24"/>
        </w:rPr>
        <w:t>na </w:t>
      </w:r>
      <w:r w:rsidR="002510E0" w:rsidRPr="00B81E7D">
        <w:rPr>
          <w:rFonts w:ascii="Times New Roman" w:hAnsi="Times New Roman" w:cs="Times New Roman"/>
          <w:szCs w:val="24"/>
        </w:rPr>
        <w:t xml:space="preserve">tym tle </w:t>
      </w:r>
      <w:r w:rsidRPr="00B81E7D">
        <w:rPr>
          <w:rFonts w:ascii="Times New Roman" w:hAnsi="Times New Roman" w:cs="Times New Roman"/>
          <w:szCs w:val="24"/>
        </w:rPr>
        <w:t>do procesu sądowego</w:t>
      </w:r>
      <w:r w:rsidRPr="00B81E7D">
        <w:rPr>
          <w:rStyle w:val="Odwoanieprzypisudolnego"/>
          <w:rFonts w:ascii="Times New Roman" w:hAnsi="Times New Roman" w:cs="Times New Roman"/>
          <w:szCs w:val="24"/>
        </w:rPr>
        <w:footnoteReference w:id="17"/>
      </w:r>
      <w:r w:rsidR="002510E0" w:rsidRPr="00B81E7D">
        <w:rPr>
          <w:rFonts w:ascii="Times New Roman" w:hAnsi="Times New Roman" w:cs="Times New Roman"/>
          <w:szCs w:val="24"/>
        </w:rPr>
        <w:t>, sąd miałby obowiązek odstąpienia od wymierzenia kary grzywny przedsiębiorcy, w przypadku, gdy jej wysokość nie miałaby przekroczyć maksymalnej wysokości kary grzywny,</w:t>
      </w:r>
      <w:r w:rsidR="002222BB" w:rsidRPr="00B81E7D">
        <w:rPr>
          <w:rFonts w:ascii="Times New Roman" w:hAnsi="Times New Roman" w:cs="Times New Roman"/>
          <w:szCs w:val="24"/>
        </w:rPr>
        <w:t xml:space="preserve"> która </w:t>
      </w:r>
      <w:r w:rsidR="00C028B8" w:rsidRPr="00B81E7D">
        <w:rPr>
          <w:rFonts w:ascii="Times New Roman" w:hAnsi="Times New Roman" w:cs="Times New Roman"/>
          <w:szCs w:val="24"/>
        </w:rPr>
        <w:t xml:space="preserve">w </w:t>
      </w:r>
      <w:r w:rsidR="00BF425D" w:rsidRPr="00B81E7D">
        <w:rPr>
          <w:rFonts w:ascii="Times New Roman" w:hAnsi="Times New Roman" w:cs="Times New Roman"/>
          <w:szCs w:val="24"/>
        </w:rPr>
        <w:t>danym przypadku</w:t>
      </w:r>
      <w:r w:rsidR="00C028B8" w:rsidRPr="00B81E7D">
        <w:rPr>
          <w:rFonts w:ascii="Times New Roman" w:hAnsi="Times New Roman" w:cs="Times New Roman"/>
          <w:szCs w:val="24"/>
        </w:rPr>
        <w:t xml:space="preserve"> </w:t>
      </w:r>
      <w:r w:rsidR="002222BB" w:rsidRPr="00B81E7D">
        <w:rPr>
          <w:rFonts w:ascii="Times New Roman" w:hAnsi="Times New Roman" w:cs="Times New Roman"/>
          <w:szCs w:val="24"/>
        </w:rPr>
        <w:t>mogłaby zostać nałożona w drodze postępowania mandatowego</w:t>
      </w:r>
      <w:r w:rsidRPr="00B81E7D">
        <w:rPr>
          <w:rFonts w:ascii="Times New Roman" w:hAnsi="Times New Roman" w:cs="Times New Roman"/>
          <w:szCs w:val="24"/>
        </w:rPr>
        <w:t>.</w:t>
      </w:r>
      <w:r w:rsidR="002510E0" w:rsidRPr="00B81E7D">
        <w:rPr>
          <w:rFonts w:ascii="Times New Roman" w:hAnsi="Times New Roman" w:cs="Times New Roman"/>
          <w:szCs w:val="24"/>
        </w:rPr>
        <w:t xml:space="preserve"> Nie jest jednak zabronione dopuszczenie nałożenia przez sąd bardziej dotkliwych sankcji, jeżeli okoliczności danej</w:t>
      </w:r>
      <w:r w:rsidR="00E01AAE">
        <w:rPr>
          <w:rFonts w:ascii="Times New Roman" w:hAnsi="Times New Roman" w:cs="Times New Roman"/>
          <w:szCs w:val="24"/>
        </w:rPr>
        <w:t xml:space="preserve"> sprawy wskazują na to, że jest </w:t>
      </w:r>
      <w:r w:rsidR="002510E0" w:rsidRPr="00B81E7D">
        <w:rPr>
          <w:rFonts w:ascii="Times New Roman" w:hAnsi="Times New Roman" w:cs="Times New Roman"/>
          <w:szCs w:val="24"/>
        </w:rPr>
        <w:t>to konieczne.</w:t>
      </w:r>
      <w:r w:rsidR="00FD744D" w:rsidRPr="00B81E7D">
        <w:rPr>
          <w:rFonts w:ascii="Times New Roman" w:hAnsi="Times New Roman" w:cs="Times New Roman"/>
          <w:szCs w:val="24"/>
        </w:rPr>
        <w:t xml:space="preserve"> </w:t>
      </w:r>
    </w:p>
    <w:p w:rsidR="00FE4E56" w:rsidRPr="00B81E7D" w:rsidRDefault="00FE4E56" w:rsidP="00B421C2">
      <w:pPr>
        <w:spacing w:after="120" w:line="360" w:lineRule="auto"/>
        <w:jc w:val="both"/>
        <w:rPr>
          <w:rFonts w:cs="Times New Roman"/>
          <w:szCs w:val="24"/>
        </w:rPr>
      </w:pPr>
      <w:r w:rsidRPr="00B81E7D">
        <w:rPr>
          <w:rFonts w:cs="Times New Roman"/>
          <w:szCs w:val="24"/>
        </w:rPr>
        <w:t xml:space="preserve">Zgodnie z proponowanymi rozwiązaniami, </w:t>
      </w:r>
      <w:r w:rsidR="00FD744D" w:rsidRPr="00B81E7D">
        <w:rPr>
          <w:rFonts w:cs="Times New Roman"/>
          <w:szCs w:val="24"/>
        </w:rPr>
        <w:t>„</w:t>
      </w:r>
      <w:r w:rsidRPr="00B81E7D">
        <w:rPr>
          <w:rFonts w:cs="Times New Roman"/>
          <w:szCs w:val="24"/>
        </w:rPr>
        <w:t>prawo do popełnienia błędu</w:t>
      </w:r>
      <w:r w:rsidR="00FD744D" w:rsidRPr="00B81E7D">
        <w:rPr>
          <w:rFonts w:cs="Times New Roman"/>
          <w:szCs w:val="24"/>
        </w:rPr>
        <w:t>”</w:t>
      </w:r>
      <w:r w:rsidRPr="00B81E7D">
        <w:rPr>
          <w:rFonts w:cs="Times New Roman"/>
          <w:szCs w:val="24"/>
        </w:rPr>
        <w:t xml:space="preserve"> dotyczyć będzie wyłącznie przedsiębiorców będących osobami fizycznymi</w:t>
      </w:r>
      <w:r w:rsidR="00FD744D" w:rsidRPr="00B81E7D">
        <w:rPr>
          <w:rFonts w:cs="Times New Roman"/>
          <w:szCs w:val="24"/>
        </w:rPr>
        <w:t>, którzy działają na podstawie wpisu do CEIDG</w:t>
      </w:r>
      <w:r w:rsidR="00FD744D" w:rsidRPr="00B81E7D">
        <w:rPr>
          <w:rStyle w:val="Odwoanieprzypisudolnego"/>
          <w:rFonts w:cs="Times New Roman"/>
          <w:szCs w:val="24"/>
        </w:rPr>
        <w:footnoteReference w:id="18"/>
      </w:r>
      <w:r w:rsidR="00FD744D" w:rsidRPr="00B81E7D">
        <w:rPr>
          <w:rFonts w:cs="Times New Roman"/>
          <w:szCs w:val="24"/>
        </w:rPr>
        <w:t>.</w:t>
      </w:r>
      <w:r w:rsidRPr="00B81E7D">
        <w:rPr>
          <w:rFonts w:cs="Times New Roman"/>
          <w:szCs w:val="24"/>
        </w:rPr>
        <w:t xml:space="preserve"> Jego rozciągnięcie także na inne podmioty obrotu gospodarczego (zwłaszcza spółki prawa handlowego) mogłoby stanowić</w:t>
      </w:r>
      <w:r w:rsidR="007A2889">
        <w:rPr>
          <w:rFonts w:cs="Times New Roman"/>
          <w:szCs w:val="24"/>
        </w:rPr>
        <w:t xml:space="preserve"> potencjalne pole do nadużyć ze </w:t>
      </w:r>
      <w:r w:rsidRPr="00B81E7D">
        <w:rPr>
          <w:rFonts w:cs="Times New Roman"/>
          <w:szCs w:val="24"/>
        </w:rPr>
        <w:t>względu na tożsamościową odrębność prawną każdego n</w:t>
      </w:r>
      <w:r w:rsidR="007A2889">
        <w:rPr>
          <w:rFonts w:cs="Times New Roman"/>
          <w:szCs w:val="24"/>
        </w:rPr>
        <w:t>owego podmiotu. Oznaczałoby to, </w:t>
      </w:r>
      <w:r w:rsidRPr="00B81E7D">
        <w:rPr>
          <w:rFonts w:cs="Times New Roman"/>
          <w:szCs w:val="24"/>
        </w:rPr>
        <w:t xml:space="preserve">że osoby zakładające np. spółkę z o.o. mogłyby po roku od rozpoczęcia przez nią działalności gospodarczej doprowadzić do jej likwidacji </w:t>
      </w:r>
      <w:r w:rsidR="000E6637" w:rsidRPr="00B81E7D">
        <w:rPr>
          <w:rFonts w:cs="Times New Roman"/>
          <w:szCs w:val="24"/>
        </w:rPr>
        <w:t>i </w:t>
      </w:r>
      <w:r w:rsidRPr="00B81E7D">
        <w:rPr>
          <w:rFonts w:cs="Times New Roman"/>
          <w:szCs w:val="24"/>
        </w:rPr>
        <w:t>rozpoczęcia d</w:t>
      </w:r>
      <w:r w:rsidR="001B454D" w:rsidRPr="00B81E7D">
        <w:rPr>
          <w:rFonts w:cs="Times New Roman"/>
          <w:szCs w:val="24"/>
        </w:rPr>
        <w:t>ziałalności przez nową spółkę o </w:t>
      </w:r>
      <w:r w:rsidRPr="00B81E7D">
        <w:rPr>
          <w:rFonts w:cs="Times New Roman"/>
          <w:szCs w:val="24"/>
        </w:rPr>
        <w:t>praktycznie</w:t>
      </w:r>
      <w:r w:rsidR="000E6637" w:rsidRPr="00B81E7D">
        <w:rPr>
          <w:rFonts w:cs="Times New Roman"/>
          <w:szCs w:val="24"/>
        </w:rPr>
        <w:t xml:space="preserve"> takim samym profilu, majątku i </w:t>
      </w:r>
      <w:r w:rsidR="007A2889">
        <w:rPr>
          <w:rFonts w:cs="Times New Roman"/>
          <w:szCs w:val="24"/>
        </w:rPr>
        <w:t>składzie osobowym, która to </w:t>
      </w:r>
      <w:r w:rsidRPr="00B81E7D">
        <w:rPr>
          <w:rFonts w:cs="Times New Roman"/>
          <w:szCs w:val="24"/>
        </w:rPr>
        <w:t>ponownie korzystałaby z dobrodziejstwa wspomnianego prawa. Taki stan rzeczy byłby niewskazany</w:t>
      </w:r>
      <w:r w:rsidR="001B454D" w:rsidRPr="00B81E7D">
        <w:rPr>
          <w:rFonts w:cs="Times New Roman"/>
          <w:szCs w:val="24"/>
        </w:rPr>
        <w:t xml:space="preserve"> i </w:t>
      </w:r>
      <w:r w:rsidR="00FD744D" w:rsidRPr="00B81E7D">
        <w:rPr>
          <w:rFonts w:cs="Times New Roman"/>
          <w:szCs w:val="24"/>
        </w:rPr>
        <w:t>nie zasługuje na aprobatę.</w:t>
      </w:r>
      <w:r w:rsidR="007E05CA" w:rsidRPr="00B81E7D">
        <w:rPr>
          <w:rFonts w:cs="Times New Roman"/>
          <w:szCs w:val="24"/>
        </w:rPr>
        <w:t xml:space="preserve"> </w:t>
      </w:r>
      <w:r w:rsidR="00FD744D" w:rsidRPr="00B81E7D">
        <w:rPr>
          <w:rFonts w:cs="Times New Roman"/>
          <w:szCs w:val="24"/>
        </w:rPr>
        <w:t>W</w:t>
      </w:r>
      <w:r w:rsidRPr="00B81E7D">
        <w:rPr>
          <w:rFonts w:cs="Times New Roman"/>
          <w:szCs w:val="24"/>
        </w:rPr>
        <w:t xml:space="preserve"> związku z </w:t>
      </w:r>
      <w:r w:rsidR="00FD744D" w:rsidRPr="00B81E7D">
        <w:rPr>
          <w:rFonts w:cs="Times New Roman"/>
          <w:szCs w:val="24"/>
        </w:rPr>
        <w:t xml:space="preserve">tym </w:t>
      </w:r>
      <w:r w:rsidRPr="00B81E7D">
        <w:rPr>
          <w:rFonts w:cs="Times New Roman"/>
          <w:szCs w:val="24"/>
        </w:rPr>
        <w:t>wprowadzenie omawianego ograniczenia staje się zasadne.</w:t>
      </w:r>
    </w:p>
    <w:p w:rsidR="00B92069" w:rsidRPr="00B81E7D" w:rsidRDefault="00FD744D" w:rsidP="00B421C2">
      <w:pPr>
        <w:spacing w:after="120" w:line="360" w:lineRule="auto"/>
        <w:jc w:val="both"/>
        <w:rPr>
          <w:rFonts w:cs="Times New Roman"/>
          <w:szCs w:val="24"/>
        </w:rPr>
      </w:pPr>
      <w:r w:rsidRPr="00B81E7D">
        <w:rPr>
          <w:rFonts w:cs="Times New Roman"/>
          <w:szCs w:val="24"/>
        </w:rPr>
        <w:t>„Prawo do popełnienia błędu” nie jest powiązane z rozmiarem przedsiębiorcy. Biorąc jednak pod uwagę wskazaną wyżej formę prowadzenia działalności gospodarczej oraz ograniczenie czasowe</w:t>
      </w:r>
      <w:r w:rsidR="00342B71" w:rsidRPr="00B81E7D">
        <w:rPr>
          <w:rFonts w:cs="Times New Roman"/>
          <w:szCs w:val="24"/>
        </w:rPr>
        <w:t xml:space="preserve"> (12 miesięcy)</w:t>
      </w:r>
      <w:r w:rsidRPr="00B81E7D">
        <w:rPr>
          <w:rFonts w:cs="Times New Roman"/>
          <w:szCs w:val="24"/>
        </w:rPr>
        <w:t>, należy uznać, że praktycznie nie będą zdarz</w:t>
      </w:r>
      <w:r w:rsidR="00342B71" w:rsidRPr="00B81E7D">
        <w:rPr>
          <w:rFonts w:cs="Times New Roman"/>
          <w:szCs w:val="24"/>
        </w:rPr>
        <w:t>ać się przypadki, w </w:t>
      </w:r>
      <w:r w:rsidRPr="00B81E7D">
        <w:rPr>
          <w:rFonts w:cs="Times New Roman"/>
          <w:szCs w:val="24"/>
        </w:rPr>
        <w:t>których skorzystają z niego przedsiębiorcy inni niż należący do sektora MŚP. Ponadto, konieczność ustalania dokładnego rozmiaru przedsiębiorcy na potrzeby zbadania tego, czy ma on prawo do skorzystania z wprowadzanej instytucji, mogłaby stanowić dla właściwych organów niepotrzebną komplikację, a w przypadku niektór</w:t>
      </w:r>
      <w:r w:rsidR="007A2889">
        <w:rPr>
          <w:rFonts w:cs="Times New Roman"/>
          <w:szCs w:val="24"/>
        </w:rPr>
        <w:t>ych rodzajów kontroli byłoby to </w:t>
      </w:r>
      <w:r w:rsidRPr="00B81E7D">
        <w:rPr>
          <w:rFonts w:cs="Times New Roman"/>
          <w:szCs w:val="24"/>
        </w:rPr>
        <w:t xml:space="preserve">wręcz niemożliwe. </w:t>
      </w:r>
    </w:p>
    <w:p w:rsidR="00FE4E56" w:rsidRPr="00B81E7D" w:rsidRDefault="00FD744D" w:rsidP="00B421C2">
      <w:pPr>
        <w:spacing w:after="120" w:line="360" w:lineRule="auto"/>
        <w:jc w:val="both"/>
        <w:rPr>
          <w:rFonts w:cs="Times New Roman"/>
          <w:szCs w:val="24"/>
        </w:rPr>
      </w:pPr>
      <w:r w:rsidRPr="00B81E7D">
        <w:rPr>
          <w:rFonts w:cs="Times New Roman"/>
          <w:szCs w:val="24"/>
        </w:rPr>
        <w:t>Omawiana instytucja obowiązywać będzie w stosunku do danego przedsiębiorcy jedynie</w:t>
      </w:r>
      <w:r w:rsidR="001B454D" w:rsidRPr="00B81E7D">
        <w:rPr>
          <w:rFonts w:cs="Times New Roman"/>
          <w:szCs w:val="24"/>
        </w:rPr>
        <w:t xml:space="preserve"> w </w:t>
      </w:r>
      <w:r w:rsidR="00FE4E56" w:rsidRPr="00B81E7D">
        <w:rPr>
          <w:rFonts w:cs="Times New Roman"/>
          <w:szCs w:val="24"/>
        </w:rPr>
        <w:t xml:space="preserve">okresie 12 miesięcy od dnia podjęcia działalności gospodarczej po raz pierwszy albo </w:t>
      </w:r>
      <w:r w:rsidR="00FE4E56" w:rsidRPr="00B81E7D">
        <w:rPr>
          <w:rFonts w:cs="Times New Roman"/>
          <w:szCs w:val="24"/>
        </w:rPr>
        <w:lastRenderedPageBreak/>
        <w:t>ponownie po upływie co najmniej 36 miesięcy od dnia</w:t>
      </w:r>
      <w:r w:rsidR="00E01AAE">
        <w:rPr>
          <w:rFonts w:cs="Times New Roman"/>
          <w:szCs w:val="24"/>
        </w:rPr>
        <w:t xml:space="preserve"> jej ostatniego zawieszenia lub </w:t>
      </w:r>
      <w:r w:rsidR="00FE4E56" w:rsidRPr="00B81E7D">
        <w:rPr>
          <w:rFonts w:cs="Times New Roman"/>
          <w:szCs w:val="24"/>
        </w:rPr>
        <w:t>zakończenia. Wynika to z przyjętego założenia, że musi mieć ono charakter ograniczony czasowo i dotyczyć jedynie początkowego okresu działalności gospodarczej przedsiębiorcy, w trakcie którego powinien on nabrać odpowiedniego doświadczenia i umiejętności praktycznego stosowania przepisów.</w:t>
      </w:r>
    </w:p>
    <w:p w:rsidR="00D21A2F" w:rsidRPr="00B81E7D" w:rsidRDefault="00FD744D" w:rsidP="00B421C2">
      <w:pPr>
        <w:spacing w:after="120" w:line="360" w:lineRule="auto"/>
        <w:jc w:val="both"/>
        <w:rPr>
          <w:rFonts w:cs="Times New Roman"/>
          <w:szCs w:val="24"/>
        </w:rPr>
      </w:pPr>
      <w:r w:rsidRPr="00B81E7D">
        <w:rPr>
          <w:rFonts w:cs="Times New Roman"/>
          <w:szCs w:val="24"/>
        </w:rPr>
        <w:t>„Prawo do popełnienia błędu” doznaje ponadto kilku istotnych ograniczeń</w:t>
      </w:r>
      <w:r w:rsidR="00D21A2F" w:rsidRPr="00B81E7D">
        <w:rPr>
          <w:rFonts w:cs="Times New Roman"/>
          <w:szCs w:val="24"/>
        </w:rPr>
        <w:t>.</w:t>
      </w:r>
    </w:p>
    <w:p w:rsidR="00D21A2F" w:rsidRPr="00B81E7D" w:rsidRDefault="00D21A2F" w:rsidP="00D21A2F">
      <w:pPr>
        <w:spacing w:after="120" w:line="360" w:lineRule="auto"/>
        <w:jc w:val="both"/>
        <w:rPr>
          <w:rFonts w:cs="Times New Roman"/>
          <w:szCs w:val="24"/>
        </w:rPr>
      </w:pPr>
      <w:r w:rsidRPr="00B81E7D">
        <w:rPr>
          <w:rFonts w:cs="Times New Roman"/>
          <w:szCs w:val="24"/>
        </w:rPr>
        <w:t xml:space="preserve">Zgodnie z </w:t>
      </w:r>
      <w:r w:rsidR="00B96762">
        <w:rPr>
          <w:rFonts w:cs="Times New Roman"/>
          <w:szCs w:val="24"/>
        </w:rPr>
        <w:t xml:space="preserve">art. 21a </w:t>
      </w:r>
      <w:r w:rsidRPr="00B81E7D">
        <w:rPr>
          <w:rFonts w:cs="Times New Roman"/>
          <w:szCs w:val="24"/>
        </w:rPr>
        <w:t xml:space="preserve">ust. </w:t>
      </w:r>
      <w:r w:rsidR="006D4247">
        <w:rPr>
          <w:rFonts w:cs="Times New Roman"/>
          <w:szCs w:val="24"/>
        </w:rPr>
        <w:t>7</w:t>
      </w:r>
      <w:r w:rsidRPr="00B81E7D">
        <w:rPr>
          <w:rFonts w:cs="Times New Roman"/>
          <w:szCs w:val="24"/>
        </w:rPr>
        <w:t xml:space="preserve">, procedury związane z tą konstrukcją nie mają zastosowania w przypadku, gdy </w:t>
      </w:r>
      <w:r w:rsidRPr="00B81E7D">
        <w:t xml:space="preserve">kara grzywny w </w:t>
      </w:r>
      <w:r w:rsidRPr="00B81E7D">
        <w:rPr>
          <w:szCs w:val="24"/>
        </w:rPr>
        <w:t xml:space="preserve">drodze mandatu karnego nakładana jest w wyniku przeprowadzenia kontroli drogowej. Jej </w:t>
      </w:r>
      <w:r w:rsidRPr="00B81E7D">
        <w:rPr>
          <w:rFonts w:cs="Times New Roman"/>
          <w:szCs w:val="24"/>
        </w:rPr>
        <w:t>specyfika, polegająca przede wszystkim na braku możliwości wcześniejszego uzyskania przez organ szczegółowych informacji dotyczących kontrolowanego (a zatem ustalenia, czy ma on pr</w:t>
      </w:r>
      <w:r w:rsidR="007A2889">
        <w:rPr>
          <w:rFonts w:cs="Times New Roman"/>
          <w:szCs w:val="24"/>
        </w:rPr>
        <w:t>awo do skorzystania z „prawa do </w:t>
      </w:r>
      <w:r w:rsidRPr="00B81E7D">
        <w:rPr>
          <w:rFonts w:cs="Times New Roman"/>
          <w:szCs w:val="24"/>
        </w:rPr>
        <w:t>popełnienia błędu”) oraz niemożności weryfikacji jego statusu w trakcie jej trwania, w połączeniu z faktem, że kara grzywny w drodze mandatu karnego powinna być nałożona tuż po zakończeniu czynności kontrolnych decydują o zasadności wprowadzenia tego wyjątku.</w:t>
      </w:r>
      <w:r w:rsidRPr="00B81E7D">
        <w:rPr>
          <w:rFonts w:cs="Times New Roman"/>
          <w:sz w:val="20"/>
        </w:rPr>
        <w:t xml:space="preserve"> </w:t>
      </w:r>
    </w:p>
    <w:p w:rsidR="00D21A2F" w:rsidRPr="00B81E7D" w:rsidRDefault="00D21A2F" w:rsidP="00B421C2">
      <w:pPr>
        <w:spacing w:after="120" w:line="360" w:lineRule="auto"/>
        <w:jc w:val="both"/>
        <w:rPr>
          <w:rFonts w:cs="Times New Roman"/>
          <w:szCs w:val="24"/>
        </w:rPr>
      </w:pPr>
      <w:r w:rsidRPr="00B81E7D">
        <w:rPr>
          <w:rFonts w:cs="Times New Roman"/>
          <w:szCs w:val="24"/>
        </w:rPr>
        <w:t xml:space="preserve">Wyłączenia od stosowania „prawa do popełnienia błędu” znajdują się także w </w:t>
      </w:r>
      <w:r w:rsidR="00B96762">
        <w:rPr>
          <w:rFonts w:cs="Times New Roman"/>
          <w:szCs w:val="24"/>
        </w:rPr>
        <w:t xml:space="preserve">art. 21a </w:t>
      </w:r>
      <w:r w:rsidRPr="00B81E7D">
        <w:rPr>
          <w:rFonts w:cs="Times New Roman"/>
          <w:szCs w:val="24"/>
        </w:rPr>
        <w:t xml:space="preserve">ust. </w:t>
      </w:r>
      <w:r w:rsidR="006D4247">
        <w:rPr>
          <w:rFonts w:cs="Times New Roman"/>
          <w:szCs w:val="24"/>
        </w:rPr>
        <w:t>8</w:t>
      </w:r>
      <w:r w:rsidRPr="00B81E7D">
        <w:rPr>
          <w:rFonts w:cs="Times New Roman"/>
          <w:szCs w:val="24"/>
        </w:rPr>
        <w:t>.</w:t>
      </w:r>
    </w:p>
    <w:p w:rsidR="007E081A" w:rsidRPr="00B81E7D" w:rsidRDefault="00FE4E56" w:rsidP="00B421C2">
      <w:pPr>
        <w:spacing w:after="120" w:line="360" w:lineRule="auto"/>
        <w:jc w:val="both"/>
        <w:rPr>
          <w:rFonts w:cs="Times New Roman"/>
          <w:szCs w:val="24"/>
        </w:rPr>
      </w:pPr>
      <w:r w:rsidRPr="00B81E7D">
        <w:rPr>
          <w:rFonts w:cs="Times New Roman"/>
          <w:szCs w:val="24"/>
        </w:rPr>
        <w:t>Po pierwsze zakłada się, że w przypadku naruszenia przeds</w:t>
      </w:r>
      <w:r w:rsidR="001B454D" w:rsidRPr="00B81E7D">
        <w:rPr>
          <w:rFonts w:cs="Times New Roman"/>
          <w:szCs w:val="24"/>
        </w:rPr>
        <w:t>iębiorca powinien wyprowadzić z </w:t>
      </w:r>
      <w:r w:rsidRPr="00B81E7D">
        <w:rPr>
          <w:rFonts w:cs="Times New Roman"/>
          <w:szCs w:val="24"/>
        </w:rPr>
        <w:t>takiego doświadczenia wnioski na przyszłość. Nie pow</w:t>
      </w:r>
      <w:r w:rsidR="001B454D" w:rsidRPr="00B81E7D">
        <w:rPr>
          <w:rFonts w:cs="Times New Roman"/>
          <w:szCs w:val="24"/>
        </w:rPr>
        <w:t>inien on zatem być traktowany w </w:t>
      </w:r>
      <w:r w:rsidRPr="00B81E7D">
        <w:rPr>
          <w:rFonts w:cs="Times New Roman"/>
          <w:szCs w:val="24"/>
        </w:rPr>
        <w:t>sposób „uprzywilejowany” w sytuacji, gdy jego zachowanie po raz kolejny naruszy już raz złamany przez niego przepis</w:t>
      </w:r>
      <w:r w:rsidR="00830D02" w:rsidRPr="00B81E7D">
        <w:rPr>
          <w:rStyle w:val="Odwoanieprzypisudolnego"/>
          <w:rFonts w:cs="Times New Roman"/>
          <w:szCs w:val="24"/>
        </w:rPr>
        <w:footnoteReference w:id="19"/>
      </w:r>
      <w:r w:rsidRPr="00B81E7D">
        <w:rPr>
          <w:rFonts w:cs="Times New Roman"/>
          <w:szCs w:val="24"/>
        </w:rPr>
        <w:t xml:space="preserve">. </w:t>
      </w:r>
      <w:r w:rsidR="00FD744D" w:rsidRPr="00B81E7D">
        <w:rPr>
          <w:rFonts w:cs="Times New Roman"/>
          <w:szCs w:val="24"/>
        </w:rPr>
        <w:t xml:space="preserve">Zawarte w tej regulacji sformułowanie „w przeszłości” odnosi się do całokształtu </w:t>
      </w:r>
      <w:r w:rsidR="007E081A" w:rsidRPr="00B81E7D">
        <w:rPr>
          <w:rFonts w:cs="Times New Roman"/>
          <w:szCs w:val="24"/>
        </w:rPr>
        <w:t xml:space="preserve">wykonywania </w:t>
      </w:r>
      <w:r w:rsidR="00FD744D" w:rsidRPr="00B81E7D">
        <w:rPr>
          <w:rFonts w:cs="Times New Roman"/>
          <w:szCs w:val="24"/>
        </w:rPr>
        <w:t>działalności gospodarczej p</w:t>
      </w:r>
      <w:r w:rsidR="007A2889">
        <w:rPr>
          <w:rFonts w:cs="Times New Roman"/>
          <w:szCs w:val="24"/>
        </w:rPr>
        <w:t>rzez danego przedsiębiorcę, tj. </w:t>
      </w:r>
      <w:r w:rsidR="00FD744D" w:rsidRPr="00B81E7D">
        <w:rPr>
          <w:rFonts w:cs="Times New Roman"/>
          <w:szCs w:val="24"/>
        </w:rPr>
        <w:t>wszelkiej działalności gospodarczej, którą prowadził (ni</w:t>
      </w:r>
      <w:r w:rsidR="007A2889">
        <w:rPr>
          <w:rFonts w:cs="Times New Roman"/>
          <w:szCs w:val="24"/>
        </w:rPr>
        <w:t>ezależnie od tego, czy była ona </w:t>
      </w:r>
      <w:r w:rsidR="00FD744D" w:rsidRPr="00B81E7D">
        <w:rPr>
          <w:rFonts w:cs="Times New Roman"/>
          <w:szCs w:val="24"/>
        </w:rPr>
        <w:t>„przedzielona” okresami zawieszenia bądź też czy była zakończona, a następnie podjęta ponownie</w:t>
      </w:r>
      <w:r w:rsidR="007E081A" w:rsidRPr="00B81E7D">
        <w:rPr>
          <w:rFonts w:cs="Times New Roman"/>
          <w:szCs w:val="24"/>
        </w:rPr>
        <w:t xml:space="preserve"> mierzonej jednak dopiero od dnia wejścia</w:t>
      </w:r>
      <w:r w:rsidR="00FD744D" w:rsidRPr="00B81E7D">
        <w:rPr>
          <w:rFonts w:cs="Times New Roman"/>
          <w:szCs w:val="24"/>
        </w:rPr>
        <w:t xml:space="preserve"> w życie proponowanej nowelizacji Prawa przedsiębiorców.</w:t>
      </w:r>
      <w:r w:rsidR="00A856DE" w:rsidRPr="00B81E7D">
        <w:rPr>
          <w:rFonts w:cs="Times New Roman"/>
          <w:szCs w:val="24"/>
        </w:rPr>
        <w:t xml:space="preserve"> </w:t>
      </w:r>
      <w:r w:rsidR="007E081A" w:rsidRPr="00B81E7D">
        <w:rPr>
          <w:rFonts w:cs="Times New Roman"/>
          <w:szCs w:val="24"/>
        </w:rPr>
        <w:t>Innymi słowy, naruszenia popełnione przez przedsiębiorcę przed dniem wprowadzenia „prawa do popełnienia błędu” nie będą sta</w:t>
      </w:r>
      <w:r w:rsidR="007A2889">
        <w:rPr>
          <w:rFonts w:cs="Times New Roman"/>
          <w:szCs w:val="24"/>
        </w:rPr>
        <w:t>nowić podstawy do powołania się </w:t>
      </w:r>
      <w:r w:rsidR="007E081A" w:rsidRPr="00B81E7D">
        <w:rPr>
          <w:rFonts w:cs="Times New Roman"/>
          <w:szCs w:val="24"/>
        </w:rPr>
        <w:t>przez właściwy organ na wyłączenie z powodu naruszenia prz</w:t>
      </w:r>
      <w:r w:rsidR="007A2889">
        <w:rPr>
          <w:rFonts w:cs="Times New Roman"/>
          <w:szCs w:val="24"/>
        </w:rPr>
        <w:t>episów w przeszłości, zgodnie z </w:t>
      </w:r>
      <w:r w:rsidR="007E081A" w:rsidRPr="00B81E7D">
        <w:rPr>
          <w:rFonts w:cs="Times New Roman"/>
          <w:szCs w:val="24"/>
        </w:rPr>
        <w:t xml:space="preserve">zasadą </w:t>
      </w:r>
      <w:r w:rsidR="007E081A" w:rsidRPr="007D1E02">
        <w:rPr>
          <w:rFonts w:cs="Times New Roman"/>
          <w:i/>
          <w:szCs w:val="24"/>
        </w:rPr>
        <w:t>lex retro non agit</w:t>
      </w:r>
      <w:r w:rsidR="007E081A" w:rsidRPr="00B81E7D">
        <w:rPr>
          <w:rFonts w:cs="Times New Roman"/>
          <w:szCs w:val="24"/>
        </w:rPr>
        <w:t xml:space="preserve"> (zob. także art. </w:t>
      </w:r>
      <w:r w:rsidR="00095E49">
        <w:rPr>
          <w:rFonts w:cs="Times New Roman"/>
          <w:szCs w:val="24"/>
        </w:rPr>
        <w:t>78</w:t>
      </w:r>
      <w:r w:rsidR="00095E49" w:rsidRPr="00B81E7D">
        <w:rPr>
          <w:rFonts w:cs="Times New Roman"/>
          <w:szCs w:val="24"/>
        </w:rPr>
        <w:t xml:space="preserve"> </w:t>
      </w:r>
      <w:r w:rsidR="007E081A" w:rsidRPr="00B81E7D">
        <w:rPr>
          <w:rFonts w:cs="Times New Roman"/>
          <w:szCs w:val="24"/>
        </w:rPr>
        <w:t xml:space="preserve">ust. 2 ).  </w:t>
      </w:r>
    </w:p>
    <w:p w:rsidR="00FD744D" w:rsidRPr="00B81E7D" w:rsidRDefault="007E081A" w:rsidP="00B421C2">
      <w:pPr>
        <w:spacing w:after="120" w:line="360" w:lineRule="auto"/>
        <w:jc w:val="both"/>
        <w:rPr>
          <w:rFonts w:cs="Times New Roman"/>
          <w:szCs w:val="24"/>
        </w:rPr>
      </w:pPr>
      <w:r w:rsidRPr="00B81E7D">
        <w:rPr>
          <w:rFonts w:cs="Times New Roman"/>
          <w:szCs w:val="24"/>
        </w:rPr>
        <w:t xml:space="preserve">Wprowadzenie wyłączenia przewidzianego w pkt 1 jest to konsekwencja </w:t>
      </w:r>
      <w:r w:rsidR="00A856DE" w:rsidRPr="00B81E7D">
        <w:rPr>
          <w:rFonts w:cs="Times New Roman"/>
          <w:szCs w:val="24"/>
        </w:rPr>
        <w:t>wspomnianej wcześniej idei leżącej u podstaw przepisu</w:t>
      </w:r>
      <w:r w:rsidR="00286AC9" w:rsidRPr="00B81E7D">
        <w:rPr>
          <w:rFonts w:cs="Times New Roman"/>
          <w:szCs w:val="24"/>
        </w:rPr>
        <w:t>, któr</w:t>
      </w:r>
      <w:r w:rsidR="00726805" w:rsidRPr="00B81E7D">
        <w:rPr>
          <w:rFonts w:cs="Times New Roman"/>
          <w:szCs w:val="24"/>
        </w:rPr>
        <w:t>a</w:t>
      </w:r>
      <w:r w:rsidR="00286AC9" w:rsidRPr="00B81E7D">
        <w:rPr>
          <w:rFonts w:cs="Times New Roman"/>
          <w:szCs w:val="24"/>
        </w:rPr>
        <w:t xml:space="preserve"> mówi</w:t>
      </w:r>
      <w:r w:rsidR="00A856DE" w:rsidRPr="00B81E7D">
        <w:rPr>
          <w:rFonts w:cs="Times New Roman"/>
          <w:szCs w:val="24"/>
        </w:rPr>
        <w:t xml:space="preserve">, że popełnione naruszenia powinny </w:t>
      </w:r>
      <w:r w:rsidR="00A856DE" w:rsidRPr="00B81E7D">
        <w:rPr>
          <w:rFonts w:cs="Times New Roman"/>
          <w:szCs w:val="24"/>
        </w:rPr>
        <w:lastRenderedPageBreak/>
        <w:t xml:space="preserve">służyć przedsiębiorcy do swego rodzaju „nauki”. Jeżeli zatem </w:t>
      </w:r>
      <w:r w:rsidR="00726805" w:rsidRPr="00B81E7D">
        <w:rPr>
          <w:rFonts w:cs="Times New Roman"/>
          <w:szCs w:val="24"/>
        </w:rPr>
        <w:t xml:space="preserve">zakłada się, że </w:t>
      </w:r>
      <w:r w:rsidR="00A856DE" w:rsidRPr="00B81E7D">
        <w:rPr>
          <w:rFonts w:cs="Times New Roman"/>
          <w:szCs w:val="24"/>
        </w:rPr>
        <w:t>w swojej przeszłości, na skutek naruszenia jakiegoś obowiązku, na</w:t>
      </w:r>
      <w:r w:rsidR="007A2889">
        <w:rPr>
          <w:rFonts w:cs="Times New Roman"/>
          <w:szCs w:val="24"/>
        </w:rPr>
        <w:t>kazu bądź zakazu dowiedział się on </w:t>
      </w:r>
      <w:r w:rsidR="00A856DE" w:rsidRPr="00B81E7D">
        <w:rPr>
          <w:rFonts w:cs="Times New Roman"/>
          <w:szCs w:val="24"/>
        </w:rPr>
        <w:t xml:space="preserve">o należytym sposobie postępowania w określonej kwestii, to nie może on być traktowany </w:t>
      </w:r>
      <w:r w:rsidR="00726805" w:rsidRPr="00B81E7D">
        <w:rPr>
          <w:rFonts w:cs="Times New Roman"/>
          <w:szCs w:val="24"/>
        </w:rPr>
        <w:t>bardziej łagodnie</w:t>
      </w:r>
      <w:r w:rsidR="00A856DE" w:rsidRPr="00B81E7D">
        <w:rPr>
          <w:rFonts w:cs="Times New Roman"/>
          <w:szCs w:val="24"/>
        </w:rPr>
        <w:t xml:space="preserve">, gdy znowu postąpi </w:t>
      </w:r>
      <w:r w:rsidRPr="00B81E7D">
        <w:rPr>
          <w:rFonts w:cs="Times New Roman"/>
          <w:szCs w:val="24"/>
        </w:rPr>
        <w:t>niewłaściwie.</w:t>
      </w:r>
    </w:p>
    <w:p w:rsidR="007E081A" w:rsidRPr="00B81E7D" w:rsidRDefault="007E081A" w:rsidP="00B421C2">
      <w:pPr>
        <w:spacing w:after="120" w:line="360" w:lineRule="auto"/>
        <w:jc w:val="both"/>
        <w:rPr>
          <w:rFonts w:cs="Times New Roman"/>
          <w:szCs w:val="24"/>
        </w:rPr>
      </w:pPr>
      <w:r w:rsidRPr="00B81E7D">
        <w:rPr>
          <w:rFonts w:cs="Times New Roman"/>
          <w:szCs w:val="24"/>
        </w:rPr>
        <w:t>Ustalenie tego, czy naruszenie przepisów miało już miejsce w przeszłości, powinno zostać dokonane przez właściwy organ przede wszystkim w oparciu o posiadane przez niego informacje n</w:t>
      </w:r>
      <w:r w:rsidR="00B96762">
        <w:rPr>
          <w:rFonts w:cs="Times New Roman"/>
          <w:szCs w:val="24"/>
        </w:rPr>
        <w:t>a temat</w:t>
      </w:r>
      <w:r w:rsidRPr="00B81E7D">
        <w:rPr>
          <w:rFonts w:cs="Times New Roman"/>
          <w:szCs w:val="24"/>
        </w:rPr>
        <w:t xml:space="preserve"> przedsiębiorcy, zwłaszcza wyniki, ustalenia i efekty dotychczas przeprowadzonych przez organ kontroli, a także, ewentualnie, przy współpracy z innymi organami. Projektodawca nie zdecydował się wskazywać zamkniętego katalogu „wydarzeń” potwierdzających fakt naruszenia przepisów w przeszłości – w przypadku, gdy przy nakładaniu administracyjnej kary pieniężnej albo grzywny w drodze mandatu karnego organ będzie chciał powołać się na przesłankę „wyłączeniową” wyn</w:t>
      </w:r>
      <w:r w:rsidR="007A2889">
        <w:rPr>
          <w:rFonts w:cs="Times New Roman"/>
          <w:szCs w:val="24"/>
        </w:rPr>
        <w:t>ikającą z pkt 1, to do niego (w </w:t>
      </w:r>
      <w:r w:rsidRPr="00B81E7D">
        <w:rPr>
          <w:rFonts w:cs="Times New Roman"/>
          <w:szCs w:val="24"/>
        </w:rPr>
        <w:t xml:space="preserve">trakcie procedury „weryfikującej” słuszność rozstrzygnięcia w ramach procedury administracyjnej, sądowej lub sądowoadministracyjnej) będzie należała konieczność wykazania, że faktycznie doszło do przeszłego naruszenia - </w:t>
      </w:r>
      <w:r w:rsidR="007A2889">
        <w:rPr>
          <w:rFonts w:cs="Times New Roman"/>
          <w:szCs w:val="24"/>
        </w:rPr>
        <w:t>jeżeli przedsiębiorca będzie to </w:t>
      </w:r>
      <w:r w:rsidRPr="00B81E7D">
        <w:rPr>
          <w:rFonts w:cs="Times New Roman"/>
          <w:szCs w:val="24"/>
        </w:rPr>
        <w:t>kwestionował - przy pomocy wszelkich dostępnych p</w:t>
      </w:r>
      <w:r w:rsidR="007A2889">
        <w:rPr>
          <w:rFonts w:cs="Times New Roman"/>
          <w:szCs w:val="24"/>
        </w:rPr>
        <w:t>rawem środków</w:t>
      </w:r>
      <w:r w:rsidR="00B96762">
        <w:rPr>
          <w:rFonts w:cs="Times New Roman"/>
          <w:szCs w:val="24"/>
        </w:rPr>
        <w:t>.</w:t>
      </w:r>
      <w:r w:rsidR="007A2889">
        <w:rPr>
          <w:rFonts w:cs="Times New Roman"/>
          <w:szCs w:val="24"/>
        </w:rPr>
        <w:t xml:space="preserve"> Tym niemniej, w </w:t>
      </w:r>
      <w:r w:rsidRPr="00B81E7D">
        <w:rPr>
          <w:rFonts w:cs="Times New Roman"/>
          <w:szCs w:val="24"/>
        </w:rPr>
        <w:t>ocenie twórców projektu, fakt ten potwierdzać będą w</w:t>
      </w:r>
      <w:r w:rsidR="007A2889">
        <w:rPr>
          <w:rFonts w:cs="Times New Roman"/>
          <w:szCs w:val="24"/>
        </w:rPr>
        <w:t xml:space="preserve"> szczególności mające miejsce w </w:t>
      </w:r>
      <w:r w:rsidRPr="00B81E7D">
        <w:rPr>
          <w:rFonts w:cs="Times New Roman"/>
          <w:szCs w:val="24"/>
        </w:rPr>
        <w:t>przeszłości: „dobrowolne” usunięcie przez przedsiębiorcę naruszeń i zgłoszenie tego faktu organowi (zgodnie z ust. 5 lub 6); odstąpienie przez organ od nałożenia k</w:t>
      </w:r>
      <w:r w:rsidR="00E01AAE">
        <w:rPr>
          <w:rFonts w:cs="Times New Roman"/>
          <w:szCs w:val="24"/>
        </w:rPr>
        <w:t>ary (zgodnie z ust. </w:t>
      </w:r>
      <w:r w:rsidRPr="00B81E7D">
        <w:rPr>
          <w:rFonts w:cs="Times New Roman"/>
          <w:szCs w:val="24"/>
        </w:rPr>
        <w:t>3); uzyskanie przez decyzję w sprawie nałożenia administracyjnej kary pieniężnej przymiotu prawomocności; przyjęcie przez przedsiębiorcę mandatu karnego czy też wymierzenie przez sąd kary grzywny (lub innej, poważniejszej, kary) za wykroczenie albo wykrocznie skarbowe</w:t>
      </w:r>
    </w:p>
    <w:p w:rsidR="00FD744D" w:rsidRDefault="00FE4E56" w:rsidP="00B421C2">
      <w:pPr>
        <w:spacing w:after="120" w:line="360" w:lineRule="auto"/>
        <w:jc w:val="both"/>
        <w:rPr>
          <w:rFonts w:cs="Times New Roman"/>
          <w:szCs w:val="24"/>
        </w:rPr>
      </w:pPr>
      <w:r w:rsidRPr="00B81E7D">
        <w:rPr>
          <w:rFonts w:cs="Times New Roman"/>
          <w:szCs w:val="24"/>
        </w:rPr>
        <w:t xml:space="preserve">Po drugie, </w:t>
      </w:r>
      <w:r w:rsidR="007E081A" w:rsidRPr="00B81E7D">
        <w:rPr>
          <w:rFonts w:cs="Times New Roman"/>
          <w:szCs w:val="24"/>
        </w:rPr>
        <w:t xml:space="preserve">„prawo do popełnienia błędu” </w:t>
      </w:r>
      <w:r w:rsidRPr="00B81E7D">
        <w:rPr>
          <w:rFonts w:cs="Times New Roman"/>
          <w:szCs w:val="24"/>
        </w:rPr>
        <w:t>nie powinno</w:t>
      </w:r>
      <w:r w:rsidR="007A2889">
        <w:rPr>
          <w:rFonts w:cs="Times New Roman"/>
          <w:szCs w:val="24"/>
        </w:rPr>
        <w:t xml:space="preserve"> być stosowane w przypadkach, w </w:t>
      </w:r>
      <w:r w:rsidRPr="00B81E7D">
        <w:rPr>
          <w:rFonts w:cs="Times New Roman"/>
          <w:szCs w:val="24"/>
        </w:rPr>
        <w:t xml:space="preserve">których naruszenie prawa jest rażące. </w:t>
      </w:r>
      <w:r w:rsidR="00FD744D" w:rsidRPr="00B81E7D">
        <w:rPr>
          <w:rFonts w:cs="Times New Roman"/>
          <w:szCs w:val="24"/>
        </w:rPr>
        <w:t xml:space="preserve">Ponieważ </w:t>
      </w:r>
      <w:r w:rsidR="00B96762">
        <w:rPr>
          <w:rFonts w:cs="Times New Roman"/>
          <w:szCs w:val="24"/>
        </w:rPr>
        <w:t xml:space="preserve">ustawa - </w:t>
      </w:r>
      <w:r w:rsidR="00FD744D" w:rsidRPr="00B81E7D">
        <w:rPr>
          <w:rFonts w:cs="Times New Roman"/>
          <w:szCs w:val="24"/>
        </w:rPr>
        <w:t xml:space="preserve">Prawo przedsiębiorców jest generalnym aktem polskiego prawa gospodarczego, pojęcie „rażącego naruszenia” ma celowo charakter ogólny – ocena, czy sytuacja taka ma miejsce, uzależniona jest od okoliczności konkretnego przypadku i nie może zostać dokonana na poziomie ustawy systemowej. Przy rozważaniu odnośnie tego, czy dane naruszenie jest rażące konieczne jest jednak z całą pewnością wzięcie pod uwagę zwłaszcza kwestii takich jak m.in. rodzaj i specyfika prowadzonej działalności gospodarczej, umyślność bądź nieumyślność zachowania, charakter i czas trwania naruszenia, czy waga dobra chronionego prawem narażonego bądź </w:t>
      </w:r>
      <w:r w:rsidR="00FD744D" w:rsidRPr="00B81E7D">
        <w:rPr>
          <w:rFonts w:cs="Times New Roman"/>
          <w:szCs w:val="24"/>
        </w:rPr>
        <w:lastRenderedPageBreak/>
        <w:t xml:space="preserve">naruszonego przez niewłaściwe zachowanie. </w:t>
      </w:r>
      <w:r w:rsidR="00C25CA1" w:rsidRPr="00B81E7D">
        <w:rPr>
          <w:rFonts w:cs="Times New Roman"/>
          <w:szCs w:val="24"/>
        </w:rPr>
        <w:t xml:space="preserve">Ciężar </w:t>
      </w:r>
      <w:r w:rsidR="00FD744D" w:rsidRPr="00B81E7D">
        <w:rPr>
          <w:rFonts w:cs="Times New Roman"/>
          <w:szCs w:val="24"/>
        </w:rPr>
        <w:t>wykazania, że naruszenie prawa nosi taki właśnie charakter, spoczywa każdorazowo na właściwym organie.</w:t>
      </w:r>
    </w:p>
    <w:p w:rsidR="00787E41" w:rsidRPr="00B81E7D" w:rsidRDefault="00787E41" w:rsidP="00787E41">
      <w:pPr>
        <w:spacing w:after="120" w:line="360" w:lineRule="auto"/>
        <w:jc w:val="both"/>
        <w:rPr>
          <w:rFonts w:cs="Times New Roman"/>
          <w:szCs w:val="24"/>
        </w:rPr>
      </w:pPr>
      <w:r w:rsidRPr="00787E41">
        <w:rPr>
          <w:rFonts w:cs="Times New Roman"/>
          <w:szCs w:val="24"/>
        </w:rPr>
        <w:t xml:space="preserve">W toku prac nad przedmiotowym rozwiązaniem, jako przykład rażącego naruszenia przepisów prawa wykluczającego możliwość zastosowania dobrodziejstwa instytucji prawa do </w:t>
      </w:r>
      <w:r w:rsidR="00B96762">
        <w:rPr>
          <w:rFonts w:cs="Times New Roman"/>
          <w:szCs w:val="24"/>
        </w:rPr>
        <w:t xml:space="preserve">popełnienia </w:t>
      </w:r>
      <w:r w:rsidRPr="00787E41">
        <w:rPr>
          <w:rFonts w:cs="Times New Roman"/>
          <w:szCs w:val="24"/>
        </w:rPr>
        <w:t>błędu zostało wskazane naruszenie obowiązku uiszczenia opłaty elektronicznej, o której mowa w art. 13 ust. 1 pkt 3 ustawy z dnia 21 marca 1985 r. o</w:t>
      </w:r>
      <w:r w:rsidR="004875D7">
        <w:rPr>
          <w:rFonts w:cs="Times New Roman"/>
          <w:szCs w:val="24"/>
        </w:rPr>
        <w:t xml:space="preserve"> drogach publicznych. Opłata ta </w:t>
      </w:r>
      <w:r w:rsidRPr="00787E41">
        <w:rPr>
          <w:rFonts w:cs="Times New Roman"/>
          <w:szCs w:val="24"/>
        </w:rPr>
        <w:t>została wprowadzona w celu zapewnienia środków na realizację inwestycji drogowych. Budowa dróg w RP jest zaś traktowana przez krajowego ustawodawcę oraz przez Trybunał Konstytucyjny jako cel podlegający konstytucyjnej ochronie. Jak najszybszy rozwój sieci dróg publicznych jest bowiem warunkiem nadrobienia zaległości w tym zakresie występujących między Polską, a większością krajów</w:t>
      </w:r>
      <w:r w:rsidR="007A2889">
        <w:rPr>
          <w:rFonts w:cs="Times New Roman"/>
          <w:szCs w:val="24"/>
        </w:rPr>
        <w:t xml:space="preserve"> europejskich, oraz podstawą do </w:t>
      </w:r>
      <w:r w:rsidRPr="00787E41">
        <w:rPr>
          <w:rFonts w:cs="Times New Roman"/>
          <w:szCs w:val="24"/>
        </w:rPr>
        <w:t>długotrwałego rozwoju ekonomicznego i cywiliz</w:t>
      </w:r>
      <w:r w:rsidR="007A2889">
        <w:rPr>
          <w:rFonts w:cs="Times New Roman"/>
          <w:szCs w:val="24"/>
        </w:rPr>
        <w:t>acyjnego kraju. Mamy tu więc do </w:t>
      </w:r>
      <w:r w:rsidRPr="00787E41">
        <w:rPr>
          <w:rFonts w:cs="Times New Roman"/>
          <w:szCs w:val="24"/>
        </w:rPr>
        <w:t>czynienia z realizacją ważnego interesu publicznego, czemu wyraz dał ustawodawca uchwalając ustawę z dnia 10 kwietnia 2003 r. o szczególnych zasa</w:t>
      </w:r>
      <w:r w:rsidR="007A2889">
        <w:rPr>
          <w:rFonts w:cs="Times New Roman"/>
          <w:szCs w:val="24"/>
        </w:rPr>
        <w:t xml:space="preserve">dach przygotowania i realizacji </w:t>
      </w:r>
      <w:r w:rsidRPr="00787E41">
        <w:rPr>
          <w:rFonts w:cs="Times New Roman"/>
          <w:szCs w:val="24"/>
        </w:rPr>
        <w:t xml:space="preserve">inwestycji w zakresie dróg publicznych (Dz.U. z 2013 r. poz. 687, z późn. zm.), która obowiązuje od dnia 25 maja 2003 r. Jest to ustawa o charakterze wyjątkowym, m.in. ograniczająca uprawnienia jednostek, których nieruchomości znajdują się w pasie planowanej inwestycji drogowej. Pomimo tych wyjątkowych rozwiązań, regulacje zawarte w ww. ustawie są zgodne z zasadami konstytucyjnymi, co potwierdzają wyroki Trybunału Konstytucyjnego, akcentujące wagę realizacji zadania jakim jest rozwój infrastruktury drogowej na terytorium RP. W wyroku Trybunału Konstytucyjnego z dnia 6 czerwca 2006 r., sygn. akt. K 23/05, podkreślono, że poprawa infrastruktury drogowej w Polsce stanowi niewątpliwie priorytetowy interes publiczny, a także, że w ramach zasady zrównoważonego rozwoju, </w:t>
      </w:r>
      <w:r>
        <w:rPr>
          <w:rFonts w:cs="Times New Roman"/>
          <w:szCs w:val="24"/>
        </w:rPr>
        <w:br/>
      </w:r>
      <w:r w:rsidRPr="00787E41">
        <w:rPr>
          <w:rFonts w:cs="Times New Roman"/>
          <w:szCs w:val="24"/>
        </w:rPr>
        <w:t>o której mowa w art. 5 Konstytucji RP, mieści się</w:t>
      </w:r>
      <w:r w:rsidR="007A2889">
        <w:rPr>
          <w:rFonts w:cs="Times New Roman"/>
          <w:szCs w:val="24"/>
        </w:rPr>
        <w:t xml:space="preserve"> nie tylko ochrona przyrody czy </w:t>
      </w:r>
      <w:r w:rsidRPr="00787E41">
        <w:rPr>
          <w:rFonts w:cs="Times New Roman"/>
          <w:szCs w:val="24"/>
        </w:rPr>
        <w:t xml:space="preserve">kształtowanie ładu przestrzennego, ale także należyta troska o rozwój społeczny </w:t>
      </w:r>
      <w:r>
        <w:rPr>
          <w:rFonts w:cs="Times New Roman"/>
          <w:szCs w:val="24"/>
        </w:rPr>
        <w:br/>
      </w:r>
      <w:r w:rsidRPr="00787E41">
        <w:rPr>
          <w:rFonts w:cs="Times New Roman"/>
          <w:szCs w:val="24"/>
        </w:rPr>
        <w:t xml:space="preserve">i cywilizacyjny, związany z koniecznością budowania stosownej infrastruktury, niezbędnej dla - uwzględniającego cywilizacyjne potrzeby - życia człowieka i poszczególnych wspólnot. Natomiast w wyroku z dnia 16 października 2012 r., sygn. akt K 4/10, Trybunał Konstytucyjny wyraźnie stwierdził, że drogi są budowane nie w interesie państwa, jednostki samorządu terytorialnego czy zarządcy drogi, lecz w interesie wszystkich członków społeczeństwa, co oznacza, że budowa dróg jest działaniem ze względu na dobro wspólne. Trybunał dodał, że „budowa bezpiecznych dróg w Polsce stanowi priorytetowy cel publiczny, gdyż jest konieczna zarówno dla ochrony środowiska, jak i zdrowia, wolności i praw </w:t>
      </w:r>
      <w:r w:rsidRPr="00787E41">
        <w:rPr>
          <w:rFonts w:cs="Times New Roman"/>
          <w:szCs w:val="24"/>
        </w:rPr>
        <w:lastRenderedPageBreak/>
        <w:t xml:space="preserve">konstytucyjnych całych społeczności”, oraz że jest „celem publicznym o zasadniczej doniosłości nie tylko dla rozwoju gospodarczego i cywilizacyjnego kraju, ale także dla życia </w:t>
      </w:r>
      <w:r>
        <w:rPr>
          <w:rFonts w:cs="Times New Roman"/>
          <w:szCs w:val="24"/>
        </w:rPr>
        <w:br/>
      </w:r>
      <w:r w:rsidRPr="00787E41">
        <w:rPr>
          <w:rFonts w:cs="Times New Roman"/>
          <w:szCs w:val="24"/>
        </w:rPr>
        <w:t>i zdrowia wszystkich obywateli”. Również w wyroku Trybunału Konstytucyjnego</w:t>
      </w:r>
      <w:r w:rsidR="00E01AAE">
        <w:rPr>
          <w:rFonts w:cs="Times New Roman"/>
          <w:szCs w:val="24"/>
        </w:rPr>
        <w:t xml:space="preserve"> z dnia 20 </w:t>
      </w:r>
      <w:r w:rsidRPr="00787E41">
        <w:rPr>
          <w:rFonts w:cs="Times New Roman"/>
          <w:szCs w:val="24"/>
        </w:rPr>
        <w:t xml:space="preserve">lipca 2004 r., sygn. akt SK 11/02, mowa jest o tym, że budowa dróg stanowi szczególny interes publiczny. Opłata elektroniczna, pobierana za przejazdy pojazdów ciężkich, które </w:t>
      </w:r>
      <w:r>
        <w:rPr>
          <w:rFonts w:cs="Times New Roman"/>
          <w:szCs w:val="24"/>
        </w:rPr>
        <w:br/>
      </w:r>
      <w:r w:rsidRPr="00787E41">
        <w:rPr>
          <w:rFonts w:cs="Times New Roman"/>
          <w:szCs w:val="24"/>
        </w:rPr>
        <w:t>w największej mierze powodują zużycie infrastruktury drogowej, ma na celu częściowe przynajmniej odzyskanie kosztów infrastruktury ponoszonych przez państwo. Przedmiotowa opłata stanowi przychód Krajowego Funduszu Drogowego, który jest podstawowym źródłem finansowania inwestycji na drogach krajowych. Powyższe należy zatem brać pod uwagę oceniając znaczenie nieuiszczenia opłaty elektroni</w:t>
      </w:r>
      <w:r w:rsidR="007A2889">
        <w:rPr>
          <w:rFonts w:cs="Times New Roman"/>
          <w:szCs w:val="24"/>
        </w:rPr>
        <w:t>cznej, co ma negatywny wpływ na </w:t>
      </w:r>
      <w:r w:rsidRPr="00787E41">
        <w:rPr>
          <w:rFonts w:cs="Times New Roman"/>
          <w:szCs w:val="24"/>
        </w:rPr>
        <w:t>wszystkich obywateli, ponieważ skutkuje obniż</w:t>
      </w:r>
      <w:r w:rsidR="007A2889">
        <w:rPr>
          <w:rFonts w:cs="Times New Roman"/>
          <w:szCs w:val="24"/>
        </w:rPr>
        <w:t>eniem środków przeznaczanych na </w:t>
      </w:r>
      <w:r w:rsidRPr="00787E41">
        <w:rPr>
          <w:rFonts w:cs="Times New Roman"/>
          <w:szCs w:val="24"/>
        </w:rPr>
        <w:t>inwestycje infrastrukturalne. Mając to na uwadze, jak również inne ewentualne okoliczności np. przypadek braku instalacji pomiaro</w:t>
      </w:r>
      <w:r w:rsidR="00E01AAE">
        <w:rPr>
          <w:rFonts w:cs="Times New Roman"/>
          <w:szCs w:val="24"/>
        </w:rPr>
        <w:t>wego urządzenia pokładowego (co </w:t>
      </w:r>
      <w:r w:rsidR="00E01AAE">
        <w:rPr>
          <w:rFonts w:cs="Times New Roman"/>
          <w:i/>
          <w:szCs w:val="24"/>
        </w:rPr>
        <w:t>de </w:t>
      </w:r>
      <w:r w:rsidRPr="00787E41">
        <w:rPr>
          <w:rFonts w:cs="Times New Roman"/>
          <w:i/>
          <w:szCs w:val="24"/>
        </w:rPr>
        <w:t>facto</w:t>
      </w:r>
      <w:r w:rsidRPr="00787E41">
        <w:rPr>
          <w:rFonts w:cs="Times New Roman"/>
          <w:szCs w:val="24"/>
        </w:rPr>
        <w:t xml:space="preserve"> uniemożliwia określenie wysokości opłaty, co sprawia, że nie ma możliwości naprawienia „błędu”) taki </w:t>
      </w:r>
      <w:r w:rsidRPr="00787E41">
        <w:rPr>
          <w:rFonts w:cs="Times New Roman"/>
          <w:i/>
          <w:szCs w:val="24"/>
        </w:rPr>
        <w:t>casus</w:t>
      </w:r>
      <w:r w:rsidRPr="00787E41">
        <w:rPr>
          <w:rFonts w:cs="Times New Roman"/>
          <w:szCs w:val="24"/>
        </w:rPr>
        <w:t xml:space="preserve"> nie będzie mógł zostać uznany za naruszenie inne niż rażące, podlegające nowej instytucji prawa do błędu.</w:t>
      </w:r>
    </w:p>
    <w:p w:rsidR="00342B71" w:rsidRPr="00B81E7D" w:rsidRDefault="00FD744D" w:rsidP="00B421C2">
      <w:pPr>
        <w:spacing w:after="120" w:line="360" w:lineRule="auto"/>
        <w:jc w:val="both"/>
        <w:rPr>
          <w:rFonts w:cs="Times New Roman"/>
          <w:szCs w:val="24"/>
        </w:rPr>
      </w:pPr>
      <w:r w:rsidRPr="00B81E7D">
        <w:rPr>
          <w:rFonts w:cs="Times New Roman"/>
          <w:szCs w:val="24"/>
        </w:rPr>
        <w:t>Po trzecie, mogą zdarzyć się przypadki, w których usunięcie naruszeń przepisów prawa nie jest możliwe lub też gdy naruszenia te wywołały nieo</w:t>
      </w:r>
      <w:r w:rsidR="007A2889">
        <w:rPr>
          <w:rFonts w:cs="Times New Roman"/>
          <w:szCs w:val="24"/>
        </w:rPr>
        <w:t>dwracalne skutki. Nakładanie na </w:t>
      </w:r>
      <w:r w:rsidRPr="00B81E7D">
        <w:rPr>
          <w:rFonts w:cs="Times New Roman"/>
          <w:szCs w:val="24"/>
        </w:rPr>
        <w:t>właściwy organ obowiązku wzywania przedsiębiorcy do usunięcia stwierdzonych naruszeń przepisów prawa oraz skutków tych naruszeń, w sytuacji, gdy nie jest obiektywnie możliwe zrealizowanie tych żądań, pozbawione jest celowości</w:t>
      </w:r>
      <w:r w:rsidR="00893C45">
        <w:rPr>
          <w:rFonts w:cs="Times New Roman"/>
          <w:szCs w:val="24"/>
        </w:rPr>
        <w:t>.</w:t>
      </w:r>
      <w:r w:rsidR="003118C5" w:rsidRPr="00B81E7D">
        <w:rPr>
          <w:rStyle w:val="Odwoanieprzypisudolnego"/>
          <w:rFonts w:cs="Times New Roman"/>
          <w:szCs w:val="24"/>
        </w:rPr>
        <w:footnoteReference w:id="20"/>
      </w:r>
    </w:p>
    <w:p w:rsidR="00AD7942" w:rsidRPr="00B81E7D" w:rsidRDefault="00FD744D" w:rsidP="00B421C2">
      <w:pPr>
        <w:spacing w:after="120" w:line="360" w:lineRule="auto"/>
        <w:jc w:val="both"/>
        <w:rPr>
          <w:rFonts w:cs="Times New Roman"/>
          <w:szCs w:val="24"/>
        </w:rPr>
      </w:pPr>
      <w:r w:rsidRPr="00B81E7D">
        <w:rPr>
          <w:rFonts w:cs="Times New Roman"/>
          <w:szCs w:val="24"/>
        </w:rPr>
        <w:t xml:space="preserve">Po czwarte, „prawo do popełnienia błędu” nie będzie obowiązywało, jeżeli konieczność nałożenia </w:t>
      </w:r>
      <w:r w:rsidR="00342B71" w:rsidRPr="00B81E7D">
        <w:rPr>
          <w:rFonts w:cs="Times New Roman"/>
          <w:szCs w:val="24"/>
        </w:rPr>
        <w:t xml:space="preserve">grzywny w drodze </w:t>
      </w:r>
      <w:r w:rsidRPr="00B81E7D">
        <w:rPr>
          <w:rFonts w:cs="Times New Roman"/>
          <w:szCs w:val="24"/>
        </w:rPr>
        <w:t xml:space="preserve">mandatu karnego albo nałożenia lub wymierzenia administracyjnej kary pieniężnej wobec przedsiębiorcy wynika z </w:t>
      </w:r>
      <w:r w:rsidRPr="00B81E7D">
        <w:rPr>
          <w:rFonts w:cs="Times New Roman"/>
          <w:color w:val="000000"/>
          <w:szCs w:val="24"/>
        </w:rPr>
        <w:t>ratyfikowanej przez Polskę umowy międzynarodowej albo bezpośrednio stosowanych w naszym państwie przepisów prawa Unii Europejskiej.</w:t>
      </w:r>
      <w:r w:rsidR="003118C5" w:rsidRPr="00B81E7D">
        <w:rPr>
          <w:rFonts w:cs="Times New Roman"/>
          <w:color w:val="000000"/>
          <w:szCs w:val="24"/>
        </w:rPr>
        <w:t xml:space="preserve"> </w:t>
      </w:r>
      <w:r w:rsidR="009C5020" w:rsidRPr="00B81E7D">
        <w:rPr>
          <w:rFonts w:cs="Times New Roman"/>
          <w:color w:val="000000"/>
          <w:szCs w:val="24"/>
        </w:rPr>
        <w:t xml:space="preserve">Zasadność wprowadzenia </w:t>
      </w:r>
      <w:r w:rsidR="00AD7942" w:rsidRPr="00B81E7D">
        <w:rPr>
          <w:rFonts w:cs="Times New Roman"/>
          <w:color w:val="000000"/>
          <w:szCs w:val="24"/>
        </w:rPr>
        <w:t xml:space="preserve">tej normy </w:t>
      </w:r>
      <w:r w:rsidR="009C5020" w:rsidRPr="00B81E7D">
        <w:rPr>
          <w:rFonts w:cs="Times New Roman"/>
          <w:color w:val="000000"/>
          <w:szCs w:val="24"/>
        </w:rPr>
        <w:t>jest powiązana z obowiązującą w Polsce hierarchią źródeł prawa. Dodatkowo, jest on spójn</w:t>
      </w:r>
      <w:r w:rsidR="00AD7942" w:rsidRPr="00B81E7D">
        <w:rPr>
          <w:rFonts w:cs="Times New Roman"/>
          <w:color w:val="000000"/>
          <w:szCs w:val="24"/>
        </w:rPr>
        <w:t>a</w:t>
      </w:r>
      <w:r w:rsidR="009C5020" w:rsidRPr="00B81E7D">
        <w:rPr>
          <w:rFonts w:cs="Times New Roman"/>
          <w:color w:val="000000"/>
          <w:szCs w:val="24"/>
        </w:rPr>
        <w:t xml:space="preserve"> z duchem zasad przewidzianych w rozdziale 5 </w:t>
      </w:r>
      <w:r w:rsidR="00B96762">
        <w:rPr>
          <w:rFonts w:cs="Times New Roman"/>
          <w:color w:val="000000"/>
          <w:szCs w:val="24"/>
        </w:rPr>
        <w:t xml:space="preserve">ustawy - </w:t>
      </w:r>
      <w:r w:rsidR="009C5020" w:rsidRPr="00B81E7D">
        <w:rPr>
          <w:rFonts w:cs="Times New Roman"/>
          <w:color w:val="000000"/>
          <w:szCs w:val="24"/>
        </w:rPr>
        <w:t>Praw</w:t>
      </w:r>
      <w:r w:rsidR="00B96762">
        <w:rPr>
          <w:rFonts w:cs="Times New Roman"/>
          <w:color w:val="000000"/>
          <w:szCs w:val="24"/>
        </w:rPr>
        <w:t>o</w:t>
      </w:r>
      <w:r w:rsidR="009C5020" w:rsidRPr="00B81E7D">
        <w:rPr>
          <w:rFonts w:cs="Times New Roman"/>
          <w:color w:val="000000"/>
          <w:szCs w:val="24"/>
        </w:rPr>
        <w:t xml:space="preserve"> przedsiębiorców, zgodnie z którym materi</w:t>
      </w:r>
      <w:r w:rsidR="00342B71" w:rsidRPr="00B81E7D">
        <w:rPr>
          <w:rFonts w:cs="Times New Roman"/>
          <w:color w:val="000000"/>
          <w:szCs w:val="24"/>
        </w:rPr>
        <w:t>e uregulowane w </w:t>
      </w:r>
      <w:r w:rsidR="009C5020" w:rsidRPr="00B81E7D">
        <w:rPr>
          <w:rFonts w:cs="Times New Roman"/>
          <w:color w:val="000000"/>
          <w:szCs w:val="24"/>
        </w:rPr>
        <w:t xml:space="preserve">ratyfikowanych przez Polskę umowach międzynarodowych albo bezpośrednio </w:t>
      </w:r>
      <w:r w:rsidR="009C5020" w:rsidRPr="00B81E7D">
        <w:rPr>
          <w:rFonts w:cs="Times New Roman"/>
          <w:color w:val="000000"/>
          <w:szCs w:val="24"/>
        </w:rPr>
        <w:lastRenderedPageBreak/>
        <w:t>stosowanych w naszym państwie przepisach prawa Unii Europejskiej powodują wyłączenie stosowania w odpowiednim zakresie polskich przepisów dotyczących kontroli działalności gospodarczej przedsiębiorców.</w:t>
      </w:r>
    </w:p>
    <w:p w:rsidR="00306F5A" w:rsidRPr="00B81E7D" w:rsidRDefault="00306F5A" w:rsidP="00306F5A">
      <w:pPr>
        <w:spacing w:after="120" w:line="360" w:lineRule="auto"/>
        <w:jc w:val="both"/>
      </w:pPr>
      <w:r w:rsidRPr="00B81E7D">
        <w:rPr>
          <w:rFonts w:cs="Times New Roman"/>
          <w:color w:val="000000"/>
          <w:szCs w:val="24"/>
        </w:rPr>
        <w:t>Po piąte, niemożliwe będzie skorzystanie z „prawa do popeł</w:t>
      </w:r>
      <w:r w:rsidR="007A2889">
        <w:rPr>
          <w:rFonts w:cs="Times New Roman"/>
          <w:color w:val="000000"/>
          <w:szCs w:val="24"/>
        </w:rPr>
        <w:t>nienia błędu” w sytuacjach, gdy </w:t>
      </w:r>
      <w:r w:rsidRPr="00B81E7D">
        <w:t>naruszenie przepisów polega na prowadzeniu działalności gospodarczej pomimo braku uzyskania wymaganych prawem koncesji, zezwolenia lub wpisu do rejestru działalności regulowanej lub na działaniu bez uzyskania wcześniejszej zgody, zezwolenia lub pozwolenia właściwego organu na to działanie, jeżeli przepisy przewidują obowiązek ich uzyskania</w:t>
      </w:r>
      <w:r w:rsidR="007A2889">
        <w:t xml:space="preserve"> (lub </w:t>
      </w:r>
      <w:r w:rsidR="00D21A2F" w:rsidRPr="00B81E7D">
        <w:t>też gdy dane działanie jest z nimi niezgodne)</w:t>
      </w:r>
      <w:r w:rsidRPr="00B81E7D">
        <w:t xml:space="preserve">. W ocenie projektodawcy są to przypadki rażącego naruszenia przepisów, niezależnie od branży, której dotyczą – i jako takie mogłyby tym samym podpadać pod przepis </w:t>
      </w:r>
      <w:r w:rsidR="00B96762">
        <w:t xml:space="preserve">art. 21a </w:t>
      </w:r>
      <w:r w:rsidRPr="00B81E7D">
        <w:t xml:space="preserve">ust. </w:t>
      </w:r>
      <w:r w:rsidR="006D4247">
        <w:t>8</w:t>
      </w:r>
      <w:r w:rsidRPr="00B81E7D">
        <w:t xml:space="preserve"> pkt 2, jednak </w:t>
      </w:r>
      <w:r w:rsidR="007A2889">
        <w:t xml:space="preserve">dla pewności </w:t>
      </w:r>
      <w:r w:rsidR="00B96762">
        <w:t xml:space="preserve">prawa </w:t>
      </w:r>
      <w:r w:rsidR="007A2889">
        <w:t>zdecydowano się je </w:t>
      </w:r>
      <w:r w:rsidRPr="00B81E7D">
        <w:t>wyróżnić w odrębnej jednostce redakcyjnej.</w:t>
      </w:r>
    </w:p>
    <w:p w:rsidR="00306F5A" w:rsidRPr="00B81E7D" w:rsidRDefault="00306F5A" w:rsidP="00306F5A">
      <w:pPr>
        <w:spacing w:after="120" w:line="360" w:lineRule="auto"/>
        <w:jc w:val="both"/>
      </w:pPr>
      <w:r w:rsidRPr="00B81E7D">
        <w:t>Po szóste, „prawa do popełnienia błędu” nie będzie stosować się w sytuacjach, gdy przepisy innych ustaw przewidują nałożenie grzywny w drodze mandatu karnego albo nałożenie lub wymierzenie administracyjnej kary pieniężnej za niewykonanie zaleceń pokontrolnych. Przewidziane w takich odrębnych regulacjach procedury realizują już bowiem główne zamierzenie „prawa do popełnienia błędu”, tj. karanie przedsiębiorcy dopiero w przypadku, gdy nie usunie on nieprawidłowości wskazanych mu przez właściwy organ. Odmienne rozwiązanie prowadziłoby do nakładania się na siebi</w:t>
      </w:r>
      <w:r w:rsidR="007A2889">
        <w:t>e dwóch zbliżonych procedur, co </w:t>
      </w:r>
      <w:r w:rsidRPr="00B81E7D">
        <w:t>mogłoby prowadzić do zamieszania.</w:t>
      </w:r>
    </w:p>
    <w:p w:rsidR="00C60353" w:rsidRPr="00B81E7D" w:rsidRDefault="00B96762" w:rsidP="00B421C2">
      <w:pPr>
        <w:spacing w:after="120" w:line="360" w:lineRule="auto"/>
        <w:jc w:val="both"/>
        <w:rPr>
          <w:rFonts w:cs="Times New Roman"/>
          <w:szCs w:val="24"/>
        </w:rPr>
      </w:pPr>
      <w:r>
        <w:rPr>
          <w:rFonts w:cs="Times New Roman"/>
          <w:color w:val="000000"/>
          <w:szCs w:val="24"/>
        </w:rPr>
        <w:t>W art. 21a w u</w:t>
      </w:r>
      <w:r w:rsidR="001B78CB" w:rsidRPr="00B81E7D">
        <w:rPr>
          <w:rFonts w:cs="Times New Roman"/>
          <w:color w:val="000000"/>
          <w:szCs w:val="24"/>
        </w:rPr>
        <w:t xml:space="preserve">st. </w:t>
      </w:r>
      <w:r w:rsidR="006D4247">
        <w:rPr>
          <w:rFonts w:cs="Times New Roman"/>
          <w:color w:val="000000"/>
          <w:szCs w:val="24"/>
        </w:rPr>
        <w:t>9</w:t>
      </w:r>
      <w:r w:rsidR="00452453" w:rsidRPr="00B81E7D">
        <w:rPr>
          <w:rFonts w:cs="Times New Roman"/>
          <w:color w:val="000000"/>
          <w:szCs w:val="24"/>
        </w:rPr>
        <w:t xml:space="preserve"> </w:t>
      </w:r>
      <w:r w:rsidR="001B78CB" w:rsidRPr="00B81E7D">
        <w:rPr>
          <w:rFonts w:cs="Times New Roman"/>
          <w:color w:val="000000"/>
          <w:szCs w:val="24"/>
        </w:rPr>
        <w:t>wprowadz</w:t>
      </w:r>
      <w:r>
        <w:rPr>
          <w:rFonts w:cs="Times New Roman"/>
          <w:color w:val="000000"/>
          <w:szCs w:val="24"/>
        </w:rPr>
        <w:t>ono</w:t>
      </w:r>
      <w:r w:rsidR="001B78CB" w:rsidRPr="00B81E7D">
        <w:rPr>
          <w:rFonts w:cs="Times New Roman"/>
          <w:color w:val="000000"/>
          <w:szCs w:val="24"/>
        </w:rPr>
        <w:t xml:space="preserve"> dodatkowo </w:t>
      </w:r>
      <w:r w:rsidR="00CA411A" w:rsidRPr="00B81E7D">
        <w:rPr>
          <w:rFonts w:cs="Times New Roman"/>
          <w:color w:val="000000"/>
          <w:szCs w:val="24"/>
        </w:rPr>
        <w:t xml:space="preserve">specjalne </w:t>
      </w:r>
      <w:r w:rsidR="001B78CB" w:rsidRPr="00B81E7D">
        <w:rPr>
          <w:rFonts w:cs="Times New Roman"/>
          <w:color w:val="000000"/>
          <w:szCs w:val="24"/>
        </w:rPr>
        <w:t xml:space="preserve">rozwiązanie dla przedsiębiorców, </w:t>
      </w:r>
      <w:r w:rsidR="00CA411A" w:rsidRPr="00B81E7D">
        <w:rPr>
          <w:rFonts w:cs="Times New Roman"/>
          <w:color w:val="000000"/>
          <w:szCs w:val="24"/>
        </w:rPr>
        <w:t>względem których mogłaby zostać nałożona kara grzywny w drodze mandatu karnego. Przepisy ust. 1-</w:t>
      </w:r>
      <w:r w:rsidR="006D4247">
        <w:rPr>
          <w:rFonts w:cs="Times New Roman"/>
          <w:color w:val="000000"/>
          <w:szCs w:val="24"/>
        </w:rPr>
        <w:t>8</w:t>
      </w:r>
      <w:r w:rsidR="00452453" w:rsidRPr="00B81E7D">
        <w:rPr>
          <w:rFonts w:cs="Times New Roman"/>
          <w:color w:val="000000"/>
          <w:szCs w:val="24"/>
        </w:rPr>
        <w:t xml:space="preserve"> </w:t>
      </w:r>
      <w:r>
        <w:rPr>
          <w:rFonts w:cs="Times New Roman"/>
          <w:color w:val="000000"/>
          <w:szCs w:val="24"/>
        </w:rPr>
        <w:t xml:space="preserve">tego artykułu </w:t>
      </w:r>
      <w:r w:rsidR="00E01AAE">
        <w:rPr>
          <w:rFonts w:cs="Times New Roman"/>
          <w:color w:val="000000"/>
          <w:szCs w:val="24"/>
        </w:rPr>
        <w:t>nie </w:t>
      </w:r>
      <w:r w:rsidR="00CA411A" w:rsidRPr="00B81E7D">
        <w:rPr>
          <w:rFonts w:cs="Times New Roman"/>
          <w:color w:val="000000"/>
          <w:szCs w:val="24"/>
        </w:rPr>
        <w:t xml:space="preserve">chronią bowiem przedsiębiorcy w sytuacji, gdyby </w:t>
      </w:r>
      <w:r w:rsidR="0094246E" w:rsidRPr="00B81E7D">
        <w:rPr>
          <w:rFonts w:cs="Times New Roman"/>
          <w:color w:val="000000"/>
          <w:szCs w:val="24"/>
        </w:rPr>
        <w:t xml:space="preserve">właściwy </w:t>
      </w:r>
      <w:r w:rsidR="00E01AAE">
        <w:rPr>
          <w:rFonts w:cs="Times New Roman"/>
          <w:color w:val="000000"/>
          <w:szCs w:val="24"/>
        </w:rPr>
        <w:t>organ próbował nałożyć na </w:t>
      </w:r>
      <w:r w:rsidR="00CA411A" w:rsidRPr="00B81E7D">
        <w:rPr>
          <w:rFonts w:cs="Times New Roman"/>
          <w:color w:val="000000"/>
          <w:szCs w:val="24"/>
        </w:rPr>
        <w:t xml:space="preserve">niego taką grzywnę pomimo braku wezwania lub odebrania pisemnego oświadczenia, usunięcia naruszeń i ich ewentualnych skutków. Bez przepisu ust. </w:t>
      </w:r>
      <w:r w:rsidR="006D4247">
        <w:rPr>
          <w:rFonts w:cs="Times New Roman"/>
          <w:color w:val="000000"/>
          <w:szCs w:val="24"/>
        </w:rPr>
        <w:t>9</w:t>
      </w:r>
      <w:r w:rsidR="00452453" w:rsidRPr="00B81E7D">
        <w:rPr>
          <w:rFonts w:cs="Times New Roman"/>
          <w:color w:val="000000"/>
          <w:szCs w:val="24"/>
        </w:rPr>
        <w:t xml:space="preserve"> </w:t>
      </w:r>
      <w:r w:rsidR="007A2889">
        <w:rPr>
          <w:rFonts w:cs="Times New Roman"/>
          <w:color w:val="000000"/>
          <w:szCs w:val="24"/>
        </w:rPr>
        <w:t>prawidłowość zastosowania tej </w:t>
      </w:r>
      <w:r w:rsidR="00CA411A" w:rsidRPr="00B81E7D">
        <w:rPr>
          <w:rFonts w:cs="Times New Roman"/>
          <w:color w:val="000000"/>
          <w:szCs w:val="24"/>
        </w:rPr>
        <w:t xml:space="preserve">ścieżki nie podlegałaby </w:t>
      </w:r>
      <w:r w:rsidR="00BA0D28" w:rsidRPr="00B81E7D">
        <w:rPr>
          <w:rFonts w:cs="Times New Roman"/>
          <w:color w:val="000000"/>
          <w:szCs w:val="24"/>
        </w:rPr>
        <w:t>weryfikacji</w:t>
      </w:r>
      <w:r w:rsidR="00CA411A" w:rsidRPr="00B81E7D">
        <w:rPr>
          <w:rFonts w:cs="Times New Roman"/>
          <w:color w:val="000000"/>
          <w:szCs w:val="24"/>
        </w:rPr>
        <w:t xml:space="preserve"> sądowej – w przypadku </w:t>
      </w:r>
      <w:r w:rsidR="00BA0D28" w:rsidRPr="00B81E7D">
        <w:rPr>
          <w:rFonts w:cs="Times New Roman"/>
          <w:color w:val="000000"/>
          <w:szCs w:val="24"/>
        </w:rPr>
        <w:t>odmowy przyjęcia mandatu, sąd badałby jedynie fakt popełnienia przez przedsiębiorcę czynu zabronionego, bez rozważań dotyczących poprawności zachowania organu</w:t>
      </w:r>
      <w:r w:rsidR="00CA411A" w:rsidRPr="00B81E7D">
        <w:rPr>
          <w:rStyle w:val="Odwoanieprzypisudolnego"/>
          <w:rFonts w:cs="Times New Roman"/>
          <w:color w:val="000000"/>
          <w:szCs w:val="24"/>
        </w:rPr>
        <w:footnoteReference w:id="21"/>
      </w:r>
      <w:r w:rsidR="00E01AAE">
        <w:rPr>
          <w:rFonts w:cs="Times New Roman"/>
          <w:color w:val="000000"/>
          <w:szCs w:val="24"/>
        </w:rPr>
        <w:t>. Zgodnie z </w:t>
      </w:r>
      <w:r w:rsidR="00BA0D28" w:rsidRPr="00B81E7D">
        <w:rPr>
          <w:rFonts w:cs="Times New Roman"/>
          <w:color w:val="000000"/>
          <w:szCs w:val="24"/>
        </w:rPr>
        <w:t xml:space="preserve">proponowanym rozwiązaniem, jeżeli organ będzie próbował wymierzyć </w:t>
      </w:r>
      <w:r w:rsidR="00BA0D28" w:rsidRPr="00B81E7D">
        <w:rPr>
          <w:rFonts w:cs="Times New Roman"/>
          <w:color w:val="000000"/>
          <w:szCs w:val="24"/>
        </w:rPr>
        <w:lastRenderedPageBreak/>
        <w:t>przedsiębiorcy grzywnę w drodze mandatu karnego z naruszeniem przepisów ust. 1-</w:t>
      </w:r>
      <w:r w:rsidR="00170F78" w:rsidRPr="00B81E7D">
        <w:rPr>
          <w:rFonts w:cs="Times New Roman"/>
          <w:color w:val="000000"/>
          <w:szCs w:val="24"/>
        </w:rPr>
        <w:t>3</w:t>
      </w:r>
      <w:r w:rsidR="00452453" w:rsidRPr="00B81E7D">
        <w:rPr>
          <w:rFonts w:cs="Times New Roman"/>
          <w:color w:val="000000"/>
          <w:szCs w:val="24"/>
        </w:rPr>
        <w:t>,</w:t>
      </w:r>
      <w:r w:rsidR="004C26F0" w:rsidRPr="00B81E7D">
        <w:rPr>
          <w:rFonts w:cs="Times New Roman"/>
          <w:color w:val="000000"/>
          <w:szCs w:val="24"/>
        </w:rPr>
        <w:t xml:space="preserve"> ust. </w:t>
      </w:r>
      <w:r w:rsidR="00452453" w:rsidRPr="00B81E7D">
        <w:rPr>
          <w:rFonts w:cs="Times New Roman"/>
          <w:color w:val="000000"/>
          <w:szCs w:val="24"/>
        </w:rPr>
        <w:t xml:space="preserve">6 </w:t>
      </w:r>
      <w:r w:rsidR="004C26F0" w:rsidRPr="00B81E7D">
        <w:rPr>
          <w:rFonts w:cs="Times New Roman"/>
          <w:color w:val="000000"/>
          <w:szCs w:val="24"/>
        </w:rPr>
        <w:t>zd</w:t>
      </w:r>
      <w:r>
        <w:rPr>
          <w:rFonts w:cs="Times New Roman"/>
          <w:color w:val="000000"/>
          <w:szCs w:val="24"/>
        </w:rPr>
        <w:t>anie</w:t>
      </w:r>
      <w:r w:rsidR="004C26F0" w:rsidRPr="00B81E7D">
        <w:rPr>
          <w:rFonts w:cs="Times New Roman"/>
          <w:color w:val="000000"/>
          <w:szCs w:val="24"/>
        </w:rPr>
        <w:t xml:space="preserve"> 1</w:t>
      </w:r>
      <w:r w:rsidR="00452453" w:rsidRPr="00B81E7D">
        <w:rPr>
          <w:rFonts w:cs="Times New Roman"/>
          <w:color w:val="000000"/>
          <w:szCs w:val="24"/>
        </w:rPr>
        <w:t xml:space="preserve"> lub ust. </w:t>
      </w:r>
      <w:r w:rsidR="006D4247">
        <w:rPr>
          <w:rFonts w:cs="Times New Roman"/>
          <w:color w:val="000000"/>
          <w:szCs w:val="24"/>
        </w:rPr>
        <w:t>8</w:t>
      </w:r>
      <w:r w:rsidR="00BA0D28" w:rsidRPr="00B81E7D">
        <w:rPr>
          <w:rFonts w:cs="Times New Roman"/>
          <w:color w:val="000000"/>
          <w:szCs w:val="24"/>
        </w:rPr>
        <w:t>, ten będzie mógł odmówić przyjęcia mandatu (w takiej sytu</w:t>
      </w:r>
      <w:r w:rsidR="00E01AAE">
        <w:rPr>
          <w:rFonts w:cs="Times New Roman"/>
          <w:color w:val="000000"/>
          <w:szCs w:val="24"/>
        </w:rPr>
        <w:t>acji sprawa będzie kierowana do </w:t>
      </w:r>
      <w:r w:rsidR="00BA0D28" w:rsidRPr="00B81E7D">
        <w:rPr>
          <w:rFonts w:cs="Times New Roman"/>
          <w:color w:val="000000"/>
          <w:szCs w:val="24"/>
        </w:rPr>
        <w:t xml:space="preserve">sądu, zgodnie z zasadami ogólnymi), a jeżeli </w:t>
      </w:r>
      <w:r w:rsidR="0034599F" w:rsidRPr="00B81E7D">
        <w:rPr>
          <w:rFonts w:cs="Times New Roman"/>
          <w:szCs w:val="24"/>
        </w:rPr>
        <w:t>niezwłocznie</w:t>
      </w:r>
      <w:r w:rsidR="0034599F" w:rsidRPr="00B81E7D">
        <w:rPr>
          <w:rStyle w:val="Odwoanieprzypisudolnego"/>
          <w:rFonts w:cs="Times New Roman"/>
          <w:szCs w:val="24"/>
        </w:rPr>
        <w:footnoteReference w:id="22"/>
      </w:r>
      <w:r w:rsidR="0034599F" w:rsidRPr="00B81E7D">
        <w:rPr>
          <w:rFonts w:cs="Times New Roman"/>
          <w:szCs w:val="24"/>
        </w:rPr>
        <w:t xml:space="preserve"> usunie stwierdzone naruszenia przepisów prawa oraz skutki tych naruszeń (czyli niejako „skoryguje” brak wymaganego wezwania lub odebrania pisemnego oświadczenia ze strony organu), to sąd będzie miał obowiązek odstąpienia od wymierzenia kary.</w:t>
      </w:r>
    </w:p>
    <w:p w:rsidR="00306F5A" w:rsidRPr="00B81E7D" w:rsidRDefault="00C60353" w:rsidP="00306F5A">
      <w:pPr>
        <w:spacing w:after="120" w:line="360" w:lineRule="auto"/>
        <w:jc w:val="both"/>
        <w:rPr>
          <w:rFonts w:cs="Times New Roman"/>
          <w:szCs w:val="24"/>
        </w:rPr>
      </w:pPr>
      <w:r w:rsidRPr="00B81E7D">
        <w:rPr>
          <w:rFonts w:cs="Times New Roman"/>
          <w:szCs w:val="24"/>
        </w:rPr>
        <w:t>Należy pamiętać, że odstąpienie od nałożenia lub wymierzenia administracyjnej kary pieniężnej (ust. 3</w:t>
      </w:r>
      <w:r w:rsidR="002C46D4" w:rsidRPr="00B81E7D">
        <w:rPr>
          <w:rFonts w:cs="Times New Roman"/>
          <w:szCs w:val="24"/>
        </w:rPr>
        <w:t xml:space="preserve"> pkt 1 i ust. </w:t>
      </w:r>
      <w:r w:rsidR="00452453" w:rsidRPr="00B81E7D">
        <w:rPr>
          <w:rFonts w:cs="Times New Roman"/>
          <w:szCs w:val="24"/>
        </w:rPr>
        <w:t>5</w:t>
      </w:r>
      <w:r w:rsidRPr="00B81E7D">
        <w:rPr>
          <w:rFonts w:cs="Times New Roman"/>
          <w:szCs w:val="24"/>
        </w:rPr>
        <w:t>), brak podlegania</w:t>
      </w:r>
      <w:r w:rsidR="002C46D4" w:rsidRPr="00B81E7D">
        <w:rPr>
          <w:rFonts w:cs="Times New Roman"/>
          <w:szCs w:val="24"/>
        </w:rPr>
        <w:t xml:space="preserve"> karze (ust. 3 pkt 2), brak nałożenia kary grzywny w drodze mandatu karnego (ust. </w:t>
      </w:r>
      <w:r w:rsidR="00452453" w:rsidRPr="00B81E7D">
        <w:rPr>
          <w:rFonts w:cs="Times New Roman"/>
          <w:szCs w:val="24"/>
        </w:rPr>
        <w:t xml:space="preserve">6 </w:t>
      </w:r>
      <w:r w:rsidR="002C46D4" w:rsidRPr="00B81E7D">
        <w:rPr>
          <w:rFonts w:cs="Times New Roman"/>
          <w:szCs w:val="24"/>
        </w:rPr>
        <w:t xml:space="preserve">zd. 1), odstąpienie od kary grzywny (ust. </w:t>
      </w:r>
      <w:r w:rsidR="00452453" w:rsidRPr="00B81E7D">
        <w:rPr>
          <w:rFonts w:cs="Times New Roman"/>
          <w:szCs w:val="24"/>
        </w:rPr>
        <w:t xml:space="preserve">6 </w:t>
      </w:r>
      <w:r w:rsidR="002C46D4" w:rsidRPr="00B81E7D">
        <w:rPr>
          <w:rFonts w:cs="Times New Roman"/>
          <w:szCs w:val="24"/>
        </w:rPr>
        <w:t xml:space="preserve">zd. 2) oraz odstąpienie od kary (ust. </w:t>
      </w:r>
      <w:r w:rsidR="006D4247">
        <w:rPr>
          <w:rFonts w:cs="Times New Roman"/>
          <w:szCs w:val="24"/>
        </w:rPr>
        <w:t>9</w:t>
      </w:r>
      <w:r w:rsidR="002C46D4" w:rsidRPr="00B81E7D">
        <w:rPr>
          <w:rFonts w:cs="Times New Roman"/>
          <w:szCs w:val="24"/>
        </w:rPr>
        <w:t xml:space="preserve">) nie oznaczają, że naruszenie przepisów </w:t>
      </w:r>
      <w:r w:rsidR="00387D67" w:rsidRPr="00B81E7D">
        <w:rPr>
          <w:rFonts w:cs="Times New Roman"/>
          <w:szCs w:val="24"/>
        </w:rPr>
        <w:t xml:space="preserve">prawa </w:t>
      </w:r>
      <w:r w:rsidR="002C46D4" w:rsidRPr="00B81E7D">
        <w:rPr>
          <w:rFonts w:cs="Times New Roman"/>
          <w:szCs w:val="24"/>
        </w:rPr>
        <w:t>nie miało obiektywnie miejsca – jest to ważne zwłaszcza w kontekście przesłanki z ust.</w:t>
      </w:r>
      <w:r w:rsidR="00387D67" w:rsidRPr="00B81E7D">
        <w:rPr>
          <w:rFonts w:cs="Times New Roman"/>
          <w:szCs w:val="24"/>
        </w:rPr>
        <w:t xml:space="preserve"> </w:t>
      </w:r>
      <w:r w:rsidR="006D4247">
        <w:rPr>
          <w:rFonts w:cs="Times New Roman"/>
          <w:szCs w:val="24"/>
        </w:rPr>
        <w:t>8</w:t>
      </w:r>
      <w:r w:rsidR="00452453" w:rsidRPr="00B81E7D">
        <w:rPr>
          <w:rFonts w:cs="Times New Roman"/>
          <w:szCs w:val="24"/>
        </w:rPr>
        <w:t xml:space="preserve"> </w:t>
      </w:r>
      <w:r w:rsidR="00387D67" w:rsidRPr="00B81E7D">
        <w:rPr>
          <w:rFonts w:cs="Times New Roman"/>
          <w:szCs w:val="24"/>
        </w:rPr>
        <w:t>pkt 1.</w:t>
      </w:r>
    </w:p>
    <w:p w:rsidR="00306F5A" w:rsidRPr="00B81E7D" w:rsidRDefault="00306F5A" w:rsidP="00306F5A">
      <w:pPr>
        <w:spacing w:after="120" w:line="360" w:lineRule="auto"/>
        <w:jc w:val="both"/>
        <w:rPr>
          <w:rFonts w:cs="Times New Roman"/>
          <w:szCs w:val="24"/>
        </w:rPr>
      </w:pPr>
      <w:r w:rsidRPr="00B81E7D">
        <w:rPr>
          <w:rFonts w:cs="Times New Roman"/>
          <w:szCs w:val="24"/>
        </w:rPr>
        <w:t xml:space="preserve">Przepis przewidziany w </w:t>
      </w:r>
      <w:r w:rsidR="00B96762">
        <w:rPr>
          <w:rFonts w:cs="Times New Roman"/>
          <w:szCs w:val="24"/>
        </w:rPr>
        <w:t xml:space="preserve">art. 21a w </w:t>
      </w:r>
      <w:r w:rsidRPr="00B81E7D">
        <w:rPr>
          <w:rFonts w:cs="Times New Roman"/>
          <w:szCs w:val="24"/>
        </w:rPr>
        <w:t xml:space="preserve">ust. </w:t>
      </w:r>
      <w:r w:rsidR="006D4247">
        <w:rPr>
          <w:rFonts w:cs="Times New Roman"/>
          <w:szCs w:val="24"/>
        </w:rPr>
        <w:t>10</w:t>
      </w:r>
      <w:r w:rsidRPr="00B81E7D">
        <w:rPr>
          <w:rFonts w:cs="Times New Roman"/>
          <w:szCs w:val="24"/>
        </w:rPr>
        <w:t xml:space="preserve"> ma natomiast charakter</w:t>
      </w:r>
      <w:r w:rsidR="007A2889">
        <w:rPr>
          <w:rFonts w:cs="Times New Roman"/>
          <w:szCs w:val="24"/>
        </w:rPr>
        <w:t xml:space="preserve"> klaryfikujący. Wskazuje on, że </w:t>
      </w:r>
      <w:r w:rsidRPr="00B81E7D">
        <w:rPr>
          <w:rFonts w:cs="Times New Roman"/>
          <w:szCs w:val="24"/>
        </w:rPr>
        <w:t>w przypadku przedsiębiorców, którzy nie korzystają z „p</w:t>
      </w:r>
      <w:r w:rsidR="007A2889">
        <w:rPr>
          <w:rFonts w:cs="Times New Roman"/>
          <w:szCs w:val="24"/>
        </w:rPr>
        <w:t>rawa do popełnienia błędu”, tj. </w:t>
      </w:r>
      <w:r w:rsidRPr="00B81E7D">
        <w:rPr>
          <w:rFonts w:cs="Times New Roman"/>
          <w:szCs w:val="24"/>
        </w:rPr>
        <w:t>gdy:</w:t>
      </w:r>
    </w:p>
    <w:p w:rsidR="00306F5A" w:rsidRPr="00B81E7D" w:rsidRDefault="00306F5A" w:rsidP="00306F5A">
      <w:pPr>
        <w:spacing w:line="360" w:lineRule="auto"/>
        <w:jc w:val="both"/>
        <w:rPr>
          <w:rFonts w:cs="Times New Roman"/>
          <w:szCs w:val="24"/>
        </w:rPr>
      </w:pPr>
      <w:r w:rsidRPr="00B81E7D">
        <w:rPr>
          <w:rFonts w:cs="Times New Roman"/>
          <w:szCs w:val="24"/>
        </w:rPr>
        <w:t>1) w ogóle nie są wpisani do Centralnej Ewidencji i Informacji o Działalności Gospodarczej (np. spółki), lub</w:t>
      </w:r>
    </w:p>
    <w:p w:rsidR="00306F5A" w:rsidRPr="00B81E7D" w:rsidRDefault="00306F5A" w:rsidP="00306F5A">
      <w:pPr>
        <w:spacing w:line="360" w:lineRule="auto"/>
        <w:jc w:val="both"/>
        <w:rPr>
          <w:rFonts w:cs="Times New Roman"/>
          <w:szCs w:val="24"/>
        </w:rPr>
      </w:pPr>
      <w:r w:rsidRPr="00B81E7D">
        <w:rPr>
          <w:rFonts w:cs="Times New Roman"/>
          <w:szCs w:val="24"/>
        </w:rPr>
        <w:t xml:space="preserve">2) są wpisani do Centralnej Ewidencji i Informacji o Działalności Gospodarczej, ale upłynął w stosunku do nich okres 12 miesięcy </w:t>
      </w:r>
      <w:r w:rsidR="00170F78" w:rsidRPr="00B81E7D">
        <w:rPr>
          <w:rFonts w:cs="Times New Roman"/>
          <w:szCs w:val="24"/>
        </w:rPr>
        <w:t xml:space="preserve">(z zastrzeżeniem sytuacji, o której wspomniano przy omawianiu przepisu ust. 4, polegającej na usunięciu </w:t>
      </w:r>
      <w:r w:rsidR="00170F78" w:rsidRPr="00B81E7D">
        <w:t>naruszeń przepisów prawa oraz skutków tych naruszeń w wyznaczonym terminie, nawet jeżeli termin ten miał miejsce już po upływie omawianego okresu</w:t>
      </w:r>
      <w:r w:rsidR="00170F78" w:rsidRPr="00B81E7D">
        <w:rPr>
          <w:rFonts w:cs="Times New Roman"/>
          <w:szCs w:val="24"/>
        </w:rPr>
        <w:t>) lub też ma w stosunku do nich zastosowan</w:t>
      </w:r>
      <w:r w:rsidR="00E01AAE">
        <w:rPr>
          <w:rFonts w:cs="Times New Roman"/>
          <w:szCs w:val="24"/>
        </w:rPr>
        <w:t>ie któraś z okoliczności z ust. </w:t>
      </w:r>
      <w:r w:rsidR="00170F78" w:rsidRPr="00B81E7D">
        <w:rPr>
          <w:rFonts w:cs="Times New Roman"/>
          <w:szCs w:val="24"/>
        </w:rPr>
        <w:t xml:space="preserve">4, </w:t>
      </w:r>
      <w:r w:rsidR="006D4247">
        <w:rPr>
          <w:rFonts w:cs="Times New Roman"/>
          <w:szCs w:val="24"/>
        </w:rPr>
        <w:t>7</w:t>
      </w:r>
      <w:r w:rsidR="00170F78" w:rsidRPr="00B81E7D">
        <w:rPr>
          <w:rFonts w:cs="Times New Roman"/>
          <w:szCs w:val="24"/>
        </w:rPr>
        <w:t xml:space="preserve"> lub </w:t>
      </w:r>
      <w:r w:rsidR="006D4247">
        <w:rPr>
          <w:rFonts w:cs="Times New Roman"/>
          <w:szCs w:val="24"/>
        </w:rPr>
        <w:t>8</w:t>
      </w:r>
    </w:p>
    <w:p w:rsidR="00306F5A" w:rsidRPr="00B81E7D" w:rsidRDefault="00306F5A" w:rsidP="00306F5A">
      <w:pPr>
        <w:spacing w:after="120" w:line="360" w:lineRule="auto"/>
        <w:jc w:val="both"/>
        <w:rPr>
          <w:rFonts w:cs="Times New Roman"/>
          <w:szCs w:val="24"/>
        </w:rPr>
      </w:pPr>
      <w:r w:rsidRPr="00B81E7D">
        <w:rPr>
          <w:rFonts w:cs="Times New Roman"/>
          <w:szCs w:val="24"/>
        </w:rPr>
        <w:t xml:space="preserve">- to przesłanki ewentualnego odstąpienia </w:t>
      </w:r>
      <w:r w:rsidRPr="00B81E7D">
        <w:t xml:space="preserve">od nałożenia lub wymierzenia administracyjnej kary pieniężnej lub od wymierzenia kary grzywny określają odrębne przepisy (w szczególności regulacje zawarte w Kodeksie postępowania administracyjnego). W ten sposób projektodawca pragnie zapewnić, że fakt, iż przedsiębiorca nie korzysta w danej sytuacji z korzyści płynących z „prawa do popełnienia błędu” (ze względu na swoją formę prawną, upływ okresu 12 miesięcy bądź przesłanki z ust. </w:t>
      </w:r>
      <w:r w:rsidR="00A73E31" w:rsidRPr="00B81E7D">
        <w:t>4,</w:t>
      </w:r>
      <w:r w:rsidR="006D4247">
        <w:t xml:space="preserve"> 7</w:t>
      </w:r>
      <w:r w:rsidR="00A73E31" w:rsidRPr="00B81E7D">
        <w:t xml:space="preserve"> i </w:t>
      </w:r>
      <w:r w:rsidR="006D4247">
        <w:t>8</w:t>
      </w:r>
      <w:r w:rsidRPr="00B81E7D">
        <w:t xml:space="preserve">) </w:t>
      </w:r>
      <w:r w:rsidR="007A2889">
        <w:t>nie oznacza, że nie obejmują go </w:t>
      </w:r>
      <w:r w:rsidRPr="00B81E7D">
        <w:t>przepisy innych ustaw, które mogą przewidywać dopuszczalność bądź obowiązek odstąpienia od nałożenia lub wymierzenia administracyjnej kary pieniężnej l</w:t>
      </w:r>
      <w:r w:rsidR="00E01AAE">
        <w:t>ub </w:t>
      </w:r>
      <w:r w:rsidR="007A2889">
        <w:t>od </w:t>
      </w:r>
      <w:r w:rsidR="003E619D" w:rsidRPr="00B81E7D">
        <w:t>wymierzenia kary grzywny.</w:t>
      </w:r>
    </w:p>
    <w:p w:rsidR="003E619D" w:rsidRPr="00B81E7D" w:rsidRDefault="00FD744D" w:rsidP="0071655C">
      <w:pPr>
        <w:spacing w:before="120" w:after="120" w:line="360" w:lineRule="auto"/>
        <w:jc w:val="both"/>
        <w:rPr>
          <w:rFonts w:cs="Times New Roman"/>
          <w:szCs w:val="24"/>
        </w:rPr>
      </w:pPr>
      <w:r w:rsidRPr="00B81E7D">
        <w:rPr>
          <w:rFonts w:cs="Times New Roman"/>
          <w:szCs w:val="24"/>
        </w:rPr>
        <w:lastRenderedPageBreak/>
        <w:t>Zwraca uwagę</w:t>
      </w:r>
      <w:r w:rsidR="00FE4E56" w:rsidRPr="00B81E7D">
        <w:rPr>
          <w:rFonts w:cs="Times New Roman"/>
          <w:szCs w:val="24"/>
        </w:rPr>
        <w:t xml:space="preserve">, że wprowadzenie </w:t>
      </w:r>
      <w:r w:rsidR="00306F5A" w:rsidRPr="00B81E7D">
        <w:rPr>
          <w:rFonts w:cs="Times New Roman"/>
          <w:szCs w:val="24"/>
        </w:rPr>
        <w:t>„</w:t>
      </w:r>
      <w:r w:rsidR="00FE4E56" w:rsidRPr="00B81E7D">
        <w:rPr>
          <w:rFonts w:cs="Times New Roman"/>
          <w:szCs w:val="24"/>
        </w:rPr>
        <w:t>prawa do popełnienia błędu</w:t>
      </w:r>
      <w:r w:rsidR="00306F5A" w:rsidRPr="00B81E7D">
        <w:rPr>
          <w:rFonts w:cs="Times New Roman"/>
          <w:szCs w:val="24"/>
        </w:rPr>
        <w:t>”</w:t>
      </w:r>
      <w:r w:rsidR="00FE4E56" w:rsidRPr="00B81E7D">
        <w:rPr>
          <w:rFonts w:cs="Times New Roman"/>
          <w:szCs w:val="24"/>
        </w:rPr>
        <w:t xml:space="preserve"> nie jest rozwiązaniem nieznanym rzeczywistości europejskiej. Przykładowo, litewska ustawa </w:t>
      </w:r>
      <w:r w:rsidR="000E6637" w:rsidRPr="00B81E7D">
        <w:rPr>
          <w:rFonts w:cs="Times New Roman"/>
          <w:szCs w:val="24"/>
        </w:rPr>
        <w:t>o </w:t>
      </w:r>
      <w:r w:rsidR="00FE4E56" w:rsidRPr="00B81E7D">
        <w:rPr>
          <w:rFonts w:cs="Times New Roman"/>
          <w:szCs w:val="24"/>
        </w:rPr>
        <w:t>administracji publicznej (</w:t>
      </w:r>
      <w:r w:rsidR="00FE4E56" w:rsidRPr="00B81E7D">
        <w:rPr>
          <w:rFonts w:cs="Times New Roman"/>
          <w:i/>
          <w:szCs w:val="24"/>
        </w:rPr>
        <w:t>Lietuvos Respublikos viesojo administravimo istatymas</w:t>
      </w:r>
      <w:r w:rsidR="00FE4E56" w:rsidRPr="00B81E7D">
        <w:rPr>
          <w:rFonts w:cs="Times New Roman"/>
          <w:szCs w:val="24"/>
        </w:rPr>
        <w:t>) przewiduje, że w trakcie pierwszego roku od rozpoczęcia działalności gospodarczej, na podmiot nie mogą zostać nałożone sankcje powodujące ograniczenie tej działalności (np. zawieszenie lub odebranie wymaganego zezwolenia) za naruszenia wykryte podczas pi</w:t>
      </w:r>
      <w:r w:rsidR="001B454D" w:rsidRPr="00B81E7D">
        <w:rPr>
          <w:rFonts w:cs="Times New Roman"/>
          <w:szCs w:val="24"/>
        </w:rPr>
        <w:t>erwszej planowanej inspekcji. W </w:t>
      </w:r>
      <w:r w:rsidR="00FE4E56" w:rsidRPr="00B81E7D">
        <w:rPr>
          <w:rFonts w:cs="Times New Roman"/>
          <w:szCs w:val="24"/>
        </w:rPr>
        <w:t xml:space="preserve">przypadku ich stwierdzenia, konieczne jest wyznaczenie przez organ kontrolujący odpowiedniego terminu na ich usunięcie. Oprócz rozwiązań </w:t>
      </w:r>
      <w:r w:rsidR="00FE4E56" w:rsidRPr="00B81E7D">
        <w:rPr>
          <w:rFonts w:cs="Times New Roman"/>
          <w:i/>
          <w:szCs w:val="24"/>
        </w:rPr>
        <w:t xml:space="preserve">stricte </w:t>
      </w:r>
      <w:r w:rsidR="00FE4E56" w:rsidRPr="00B81E7D">
        <w:rPr>
          <w:rFonts w:cs="Times New Roman"/>
          <w:szCs w:val="24"/>
        </w:rPr>
        <w:t>prawnych, na Litwie obowiązuje ponadto zobowiązanie instytucji kontrolnych do</w:t>
      </w:r>
      <w:r w:rsidR="007A2889">
        <w:rPr>
          <w:rFonts w:cs="Times New Roman"/>
          <w:szCs w:val="24"/>
        </w:rPr>
        <w:t xml:space="preserve"> dążenia do powstrzymywania się </w:t>
      </w:r>
      <w:r w:rsidR="00FE4E56" w:rsidRPr="00B81E7D">
        <w:rPr>
          <w:rFonts w:cs="Times New Roman"/>
          <w:szCs w:val="24"/>
        </w:rPr>
        <w:t>od nakładania sankcji przez pierwszych 12 miesięcy prowadzenia działalności przez przedsiębiorcę (tzw. „Deklaracja dotycząca pierwszego roku prowadzenia biznesu”). Natomiast we Francji, na mocy niedawnej poprawki do Kodeksu stosunków między społeczeństwem i administracją (</w:t>
      </w:r>
      <w:r w:rsidR="00FE4E56" w:rsidRPr="00B81E7D">
        <w:rPr>
          <w:rFonts w:cs="Times New Roman"/>
          <w:i/>
          <w:szCs w:val="24"/>
        </w:rPr>
        <w:t>Code des relations entre le public et l`administration</w:t>
      </w:r>
      <w:r w:rsidR="00FE4E56" w:rsidRPr="00B81E7D">
        <w:rPr>
          <w:rFonts w:cs="Times New Roman"/>
          <w:szCs w:val="24"/>
        </w:rPr>
        <w:t>) wprowadzono regulację, zgodnie z którą w przypadku naruszenia po raz pierwszy przez osoby fizyczne lub prawne przepisu prawa administracyjnego, osoby te nie mogą zostać ukarane przez organy administracji, o ile naruszenie to zostanie usunięte z ich własnej inicjatywy lub też na wezwanie organu</w:t>
      </w:r>
      <w:r w:rsidRPr="00B81E7D">
        <w:rPr>
          <w:rStyle w:val="Odwoanieprzypisudolnego"/>
          <w:rFonts w:cs="Times New Roman"/>
          <w:szCs w:val="24"/>
        </w:rPr>
        <w:footnoteReference w:id="23"/>
      </w:r>
      <w:r w:rsidR="00FE4E56" w:rsidRPr="00B81E7D">
        <w:rPr>
          <w:rFonts w:cs="Times New Roman"/>
          <w:szCs w:val="24"/>
        </w:rPr>
        <w:t>.</w:t>
      </w:r>
    </w:p>
    <w:p w:rsidR="008D541D" w:rsidRPr="00B81E7D" w:rsidRDefault="008D541D" w:rsidP="0071655C">
      <w:pPr>
        <w:spacing w:before="120" w:after="120" w:line="360" w:lineRule="auto"/>
        <w:jc w:val="both"/>
        <w:rPr>
          <w:rFonts w:cs="Times New Roman"/>
          <w:i/>
          <w:szCs w:val="24"/>
        </w:rPr>
      </w:pPr>
      <w:r w:rsidRPr="00B81E7D">
        <w:rPr>
          <w:rFonts w:cs="Times New Roman"/>
          <w:i/>
          <w:szCs w:val="24"/>
        </w:rPr>
        <w:t xml:space="preserve">2) Zmiana redakcyjna (Art. </w:t>
      </w:r>
      <w:r w:rsidR="004775F4">
        <w:rPr>
          <w:rFonts w:cs="Times New Roman"/>
          <w:i/>
          <w:szCs w:val="24"/>
        </w:rPr>
        <w:t>60</w:t>
      </w:r>
      <w:r w:rsidR="004775F4" w:rsidRPr="00B81E7D">
        <w:rPr>
          <w:rFonts w:cs="Times New Roman"/>
          <w:i/>
          <w:szCs w:val="24"/>
        </w:rPr>
        <w:t xml:space="preserve"> </w:t>
      </w:r>
      <w:r w:rsidRPr="00B81E7D">
        <w:rPr>
          <w:rFonts w:cs="Times New Roman"/>
          <w:i/>
          <w:szCs w:val="24"/>
        </w:rPr>
        <w:t>pkt 3 projektu).</w:t>
      </w:r>
    </w:p>
    <w:p w:rsidR="00B72FE1" w:rsidRPr="00B81E7D" w:rsidRDefault="008D541D" w:rsidP="00B421C2">
      <w:pPr>
        <w:spacing w:after="120" w:line="360" w:lineRule="auto"/>
        <w:jc w:val="both"/>
        <w:rPr>
          <w:rFonts w:cs="Times New Roman"/>
          <w:szCs w:val="24"/>
        </w:rPr>
      </w:pPr>
      <w:r w:rsidRPr="00B81E7D">
        <w:rPr>
          <w:rFonts w:cs="Times New Roman"/>
          <w:szCs w:val="24"/>
        </w:rPr>
        <w:t xml:space="preserve">Zmiana ma na celu wyeliminowanie omyłki redakcyjnej w treści art. 48 ust. 3 pkt 5 Prawa przedsiębiorców. </w:t>
      </w:r>
      <w:r w:rsidR="00A923C0">
        <w:rPr>
          <w:rFonts w:cs="Times New Roman"/>
          <w:szCs w:val="24"/>
        </w:rPr>
        <w:t>Art. 48 u</w:t>
      </w:r>
      <w:r w:rsidRPr="00B81E7D">
        <w:rPr>
          <w:rFonts w:cs="Times New Roman"/>
          <w:szCs w:val="24"/>
        </w:rPr>
        <w:t>st. 3 wymienia bowiem obligatoryjne elementy zawiadomienia o zamiarze wszczęcia kontroli, wskazując jako jeden z nich „imię, nazwisko oraz podpis osoby udzielającej upoważnienia z podaniem zajmowanego stanowiska lub funkcji”. Tymczasem w treści przepisu powinna być mowa nie o osobi</w:t>
      </w:r>
      <w:r w:rsidR="007A2889">
        <w:rPr>
          <w:rFonts w:cs="Times New Roman"/>
          <w:szCs w:val="24"/>
        </w:rPr>
        <w:t>e udzielającej upoważnienia (do </w:t>
      </w:r>
      <w:r w:rsidRPr="00B81E7D">
        <w:rPr>
          <w:rFonts w:cs="Times New Roman"/>
          <w:szCs w:val="24"/>
        </w:rPr>
        <w:t>przeprowadzenia kontroli), ale o osobie upoważ</w:t>
      </w:r>
      <w:r w:rsidR="007A2889">
        <w:rPr>
          <w:rFonts w:cs="Times New Roman"/>
          <w:szCs w:val="24"/>
        </w:rPr>
        <w:t>nionej do zawiadomienia, co,</w:t>
      </w:r>
      <w:r w:rsidR="00E01AAE">
        <w:rPr>
          <w:rFonts w:cs="Times New Roman"/>
          <w:szCs w:val="24"/>
        </w:rPr>
        <w:t> </w:t>
      </w:r>
      <w:r w:rsidRPr="00B81E7D">
        <w:rPr>
          <w:rFonts w:cs="Times New Roman"/>
          <w:szCs w:val="24"/>
        </w:rPr>
        <w:t>jest spójne z rozwiązaniem obowiązującym dawniej na gruncie przepisu art. 79 ust. 6 pkt 5 uchylonej ustawy o swobodzie działalności gospodarczej.</w:t>
      </w:r>
    </w:p>
    <w:p w:rsidR="00E71E90" w:rsidRPr="00B81E7D" w:rsidRDefault="00E71E90" w:rsidP="00B421C2">
      <w:pPr>
        <w:spacing w:after="120" w:line="360" w:lineRule="auto"/>
        <w:jc w:val="both"/>
        <w:rPr>
          <w:rFonts w:cs="Times New Roman"/>
          <w:szCs w:val="24"/>
        </w:rPr>
      </w:pPr>
    </w:p>
    <w:p w:rsidR="00620378" w:rsidRPr="00B81E7D" w:rsidRDefault="00620378" w:rsidP="00AD47B7">
      <w:pPr>
        <w:numPr>
          <w:ilvl w:val="0"/>
          <w:numId w:val="2"/>
        </w:numPr>
        <w:spacing w:after="120" w:line="360" w:lineRule="auto"/>
        <w:jc w:val="both"/>
        <w:rPr>
          <w:rFonts w:cs="Times New Roman"/>
          <w:b/>
          <w:szCs w:val="24"/>
        </w:rPr>
      </w:pPr>
      <w:r w:rsidRPr="00B81E7D">
        <w:rPr>
          <w:rFonts w:cs="Times New Roman"/>
          <w:b/>
          <w:szCs w:val="24"/>
        </w:rPr>
        <w:t xml:space="preserve">Zmiany w ustawie z dnia 6 marca 2018 r. o Centralnej Ewidencji i Informacji o Działalności Gospodarczej i Punkcie Informacji dla Przedsiębiorcy </w:t>
      </w:r>
      <w:r w:rsidR="009465F3" w:rsidRPr="00B81E7D">
        <w:rPr>
          <w:rFonts w:cs="Times New Roman"/>
          <w:b/>
          <w:szCs w:val="24"/>
        </w:rPr>
        <w:t xml:space="preserve">(art. </w:t>
      </w:r>
      <w:r w:rsidR="004775F4">
        <w:rPr>
          <w:rFonts w:cs="Times New Roman"/>
          <w:b/>
          <w:szCs w:val="24"/>
        </w:rPr>
        <w:t>61</w:t>
      </w:r>
      <w:r w:rsidR="004775F4" w:rsidRPr="00B81E7D">
        <w:rPr>
          <w:rFonts w:cs="Times New Roman"/>
          <w:b/>
          <w:szCs w:val="24"/>
        </w:rPr>
        <w:t xml:space="preserve"> </w:t>
      </w:r>
      <w:r w:rsidRPr="00B81E7D">
        <w:rPr>
          <w:rFonts w:cs="Times New Roman"/>
          <w:b/>
          <w:szCs w:val="24"/>
        </w:rPr>
        <w:t>projektu).</w:t>
      </w:r>
    </w:p>
    <w:p w:rsidR="00662F64" w:rsidRPr="00B81E7D" w:rsidRDefault="00662F64" w:rsidP="000A6809">
      <w:pPr>
        <w:numPr>
          <w:ilvl w:val="0"/>
          <w:numId w:val="9"/>
        </w:numPr>
        <w:spacing w:before="120" w:after="120" w:line="360" w:lineRule="auto"/>
        <w:ind w:left="709" w:hanging="425"/>
        <w:jc w:val="both"/>
        <w:rPr>
          <w:rFonts w:cs="Times New Roman"/>
          <w:i/>
          <w:szCs w:val="24"/>
        </w:rPr>
      </w:pPr>
      <w:r w:rsidRPr="00B81E7D">
        <w:rPr>
          <w:rFonts w:cs="Times New Roman"/>
          <w:i/>
          <w:szCs w:val="24"/>
        </w:rPr>
        <w:lastRenderedPageBreak/>
        <w:t xml:space="preserve">Zmiany porządkujące dotyczące zarządu sukcesyjnego (art. </w:t>
      </w:r>
      <w:r w:rsidR="004775F4">
        <w:rPr>
          <w:rFonts w:cs="Times New Roman"/>
          <w:i/>
          <w:szCs w:val="24"/>
        </w:rPr>
        <w:t>61</w:t>
      </w:r>
      <w:r w:rsidR="004775F4" w:rsidRPr="00B81E7D">
        <w:rPr>
          <w:rFonts w:cs="Times New Roman"/>
          <w:i/>
          <w:szCs w:val="24"/>
        </w:rPr>
        <w:t xml:space="preserve"> </w:t>
      </w:r>
      <w:r w:rsidRPr="00B81E7D">
        <w:rPr>
          <w:rFonts w:cs="Times New Roman"/>
          <w:i/>
          <w:szCs w:val="24"/>
        </w:rPr>
        <w:t xml:space="preserve">pkt </w:t>
      </w:r>
      <w:r w:rsidR="00E74EE0" w:rsidRPr="00B81E7D">
        <w:rPr>
          <w:rFonts w:cs="Times New Roman"/>
          <w:i/>
          <w:szCs w:val="24"/>
        </w:rPr>
        <w:t xml:space="preserve">1 lit. b, </w:t>
      </w:r>
      <w:r w:rsidR="00A923C0">
        <w:rPr>
          <w:rFonts w:cs="Times New Roman"/>
          <w:i/>
          <w:szCs w:val="24"/>
        </w:rPr>
        <w:t xml:space="preserve">i pkt </w:t>
      </w:r>
      <w:r w:rsidR="00E74EE0" w:rsidRPr="00B81E7D">
        <w:rPr>
          <w:rFonts w:cs="Times New Roman"/>
          <w:i/>
          <w:szCs w:val="24"/>
        </w:rPr>
        <w:t>4</w:t>
      </w:r>
      <w:r w:rsidR="00A923C0">
        <w:rPr>
          <w:rFonts w:cs="Times New Roman"/>
          <w:i/>
          <w:szCs w:val="24"/>
        </w:rPr>
        <w:t xml:space="preserve">i </w:t>
      </w:r>
      <w:r w:rsidR="00E74EE0" w:rsidRPr="00B81E7D">
        <w:rPr>
          <w:rFonts w:cs="Times New Roman"/>
          <w:i/>
          <w:szCs w:val="24"/>
        </w:rPr>
        <w:t xml:space="preserve"> 5</w:t>
      </w:r>
      <w:r w:rsidRPr="00B81E7D">
        <w:rPr>
          <w:rFonts w:cs="Times New Roman"/>
          <w:i/>
          <w:szCs w:val="24"/>
        </w:rPr>
        <w:t xml:space="preserve"> projektu).</w:t>
      </w:r>
    </w:p>
    <w:p w:rsidR="006E79B4" w:rsidRPr="00B81E7D" w:rsidRDefault="006E79B4" w:rsidP="00B421C2">
      <w:pPr>
        <w:spacing w:after="120" w:line="360" w:lineRule="auto"/>
        <w:jc w:val="both"/>
        <w:rPr>
          <w:rFonts w:cs="Times New Roman"/>
          <w:szCs w:val="24"/>
        </w:rPr>
      </w:pPr>
      <w:r w:rsidRPr="00B81E7D">
        <w:rPr>
          <w:rFonts w:cs="Times New Roman"/>
          <w:szCs w:val="24"/>
        </w:rPr>
        <w:t>W ustawie o Centralnej Ewidencji i Informacji o Działalności Gospodarczej i Punkcie Informacji dla Przedsiębiorcy zaproponowano zmiany porządkujące dotyczące zarządu sukcesyjnego, o charakterze technicznym:</w:t>
      </w:r>
    </w:p>
    <w:p w:rsidR="006E79B4" w:rsidRPr="00B81E7D" w:rsidRDefault="000C4CB4" w:rsidP="00B421C2">
      <w:pPr>
        <w:spacing w:after="120" w:line="360" w:lineRule="auto"/>
        <w:jc w:val="both"/>
        <w:rPr>
          <w:rFonts w:cs="Times New Roman"/>
          <w:szCs w:val="24"/>
        </w:rPr>
      </w:pPr>
      <w:r w:rsidRPr="00B81E7D">
        <w:rPr>
          <w:rFonts w:cs="Times New Roman"/>
          <w:szCs w:val="24"/>
        </w:rPr>
        <w:t>-</w:t>
      </w:r>
      <w:r w:rsidR="006E79B4" w:rsidRPr="00B81E7D">
        <w:rPr>
          <w:rFonts w:cs="Times New Roman"/>
          <w:szCs w:val="24"/>
        </w:rPr>
        <w:t xml:space="preserve"> </w:t>
      </w:r>
      <w:r w:rsidRPr="00B81E7D">
        <w:rPr>
          <w:rFonts w:cs="Times New Roman"/>
          <w:szCs w:val="24"/>
        </w:rPr>
        <w:t xml:space="preserve">zmiana </w:t>
      </w:r>
      <w:r w:rsidR="006E79B4" w:rsidRPr="00B81E7D">
        <w:rPr>
          <w:rFonts w:cs="Times New Roman"/>
          <w:szCs w:val="24"/>
        </w:rPr>
        <w:t xml:space="preserve">w art. 5 </w:t>
      </w:r>
      <w:r w:rsidR="00A923C0">
        <w:rPr>
          <w:rFonts w:cs="Times New Roman"/>
          <w:szCs w:val="24"/>
        </w:rPr>
        <w:t xml:space="preserve">w </w:t>
      </w:r>
      <w:r w:rsidR="006E79B4" w:rsidRPr="00B81E7D">
        <w:rPr>
          <w:rFonts w:cs="Times New Roman"/>
          <w:szCs w:val="24"/>
        </w:rPr>
        <w:t xml:space="preserve">ust. 2 </w:t>
      </w:r>
      <w:r w:rsidR="00A923C0">
        <w:rPr>
          <w:rFonts w:cs="Times New Roman"/>
          <w:szCs w:val="24"/>
        </w:rPr>
        <w:t xml:space="preserve">w </w:t>
      </w:r>
      <w:r w:rsidR="006E79B4" w:rsidRPr="00B81E7D">
        <w:rPr>
          <w:rFonts w:cs="Times New Roman"/>
          <w:szCs w:val="24"/>
        </w:rPr>
        <w:t xml:space="preserve">pkt 21 i w art. 23 </w:t>
      </w:r>
      <w:r w:rsidR="00A923C0">
        <w:rPr>
          <w:rFonts w:cs="Times New Roman"/>
          <w:szCs w:val="24"/>
        </w:rPr>
        <w:t xml:space="preserve">w </w:t>
      </w:r>
      <w:r w:rsidR="006E79B4" w:rsidRPr="00B81E7D">
        <w:rPr>
          <w:rFonts w:cs="Times New Roman"/>
          <w:szCs w:val="24"/>
        </w:rPr>
        <w:t>ust. 8: doprecyzowano, że w przypadku rezygnacji zarządcy sukcesyjnego po śmierci przedsiębiorcy notariusz zgłasza fakt</w:t>
      </w:r>
      <w:r w:rsidRPr="00B81E7D">
        <w:rPr>
          <w:rFonts w:cs="Times New Roman"/>
          <w:szCs w:val="24"/>
        </w:rPr>
        <w:t xml:space="preserve"> i datę złożenia oświadczenia o </w:t>
      </w:r>
      <w:r w:rsidR="006E79B4" w:rsidRPr="00B81E7D">
        <w:rPr>
          <w:rFonts w:cs="Times New Roman"/>
          <w:szCs w:val="24"/>
        </w:rPr>
        <w:t>rezygnacji, zaś data, z którą rezygnujący zarządca sukcesyjny przestaje pełnić swą funkcję powinna być wpisywana do CEIDG z urzędu – jako data przypadająca 2 tygodnie po złożeniu oświadczenia o rezygnacji albo data powołania kolejnego zarządcy sukcesyjnego (art. 53 pkt 4 ustawy o zarządzie sukcesyjnym),</w:t>
      </w:r>
    </w:p>
    <w:p w:rsidR="006E79B4" w:rsidRPr="00B81E7D" w:rsidRDefault="006E79B4" w:rsidP="00B421C2">
      <w:pPr>
        <w:spacing w:after="120" w:line="360" w:lineRule="auto"/>
        <w:jc w:val="both"/>
        <w:rPr>
          <w:rFonts w:cs="Times New Roman"/>
          <w:szCs w:val="24"/>
        </w:rPr>
      </w:pPr>
      <w:r w:rsidRPr="00B81E7D">
        <w:rPr>
          <w:rFonts w:cs="Times New Roman"/>
          <w:szCs w:val="24"/>
        </w:rPr>
        <w:t>- zmiana w art. 5</w:t>
      </w:r>
      <w:r w:rsidR="00A923C0">
        <w:rPr>
          <w:rFonts w:cs="Times New Roman"/>
          <w:szCs w:val="24"/>
        </w:rPr>
        <w:t xml:space="preserve">w </w:t>
      </w:r>
      <w:r w:rsidRPr="00B81E7D">
        <w:rPr>
          <w:rFonts w:cs="Times New Roman"/>
          <w:szCs w:val="24"/>
        </w:rPr>
        <w:t xml:space="preserve"> ust. 2 </w:t>
      </w:r>
      <w:r w:rsidR="00A923C0">
        <w:rPr>
          <w:rFonts w:cs="Times New Roman"/>
          <w:szCs w:val="24"/>
        </w:rPr>
        <w:t xml:space="preserve">w </w:t>
      </w:r>
      <w:r w:rsidRPr="00B81E7D">
        <w:rPr>
          <w:rFonts w:cs="Times New Roman"/>
          <w:szCs w:val="24"/>
        </w:rPr>
        <w:t>pkt 22: informację o powołaniu kolejnego zarządcy sukcesyjnego przekazywaną do CEIDG przez notariusza uzupełniono o datę tego zdarzenia,</w:t>
      </w:r>
    </w:p>
    <w:p w:rsidR="006E79B4" w:rsidRPr="00B81E7D" w:rsidRDefault="006E79B4" w:rsidP="00B421C2">
      <w:pPr>
        <w:spacing w:after="120" w:line="360" w:lineRule="auto"/>
        <w:jc w:val="both"/>
        <w:rPr>
          <w:rFonts w:cs="Times New Roman"/>
          <w:szCs w:val="24"/>
        </w:rPr>
      </w:pPr>
      <w:r w:rsidRPr="00B81E7D">
        <w:rPr>
          <w:rFonts w:cs="Times New Roman"/>
          <w:szCs w:val="24"/>
        </w:rPr>
        <w:t xml:space="preserve">- zmiany w art. 23 </w:t>
      </w:r>
      <w:r w:rsidR="00A923C0">
        <w:rPr>
          <w:rFonts w:cs="Times New Roman"/>
          <w:szCs w:val="24"/>
        </w:rPr>
        <w:t xml:space="preserve">w </w:t>
      </w:r>
      <w:r w:rsidRPr="00B81E7D">
        <w:rPr>
          <w:rFonts w:cs="Times New Roman"/>
          <w:szCs w:val="24"/>
        </w:rPr>
        <w:t>ust. 4 i 7: przyjęto, że fakt i data ustan</w:t>
      </w:r>
      <w:r w:rsidR="007A2889">
        <w:rPr>
          <w:rFonts w:cs="Times New Roman"/>
          <w:szCs w:val="24"/>
        </w:rPr>
        <w:t>owienia zarządu sukcesyjnego po </w:t>
      </w:r>
      <w:r w:rsidRPr="00B81E7D">
        <w:rPr>
          <w:rFonts w:cs="Times New Roman"/>
          <w:szCs w:val="24"/>
        </w:rPr>
        <w:t>śmierci przedsiębiorcy są wpisywane do CEIDG z urzędu, ponieważ odpowiadają faktowi i dacie śmierci albo wpisu zarządcy sukcesyjnego do CEIDG (art. 7 ust. ustawy o zarządzie sukcesyjnym), w związku z czym data ustanowienia zarządu sukcesyjnego nie musi pokrywać się z datą powołania zarządcy, o którym w zgłoszeniu do CEIDG informuje notariusz,</w:t>
      </w:r>
    </w:p>
    <w:p w:rsidR="006E79B4" w:rsidRPr="00B81E7D" w:rsidRDefault="006E79B4" w:rsidP="00B421C2">
      <w:pPr>
        <w:spacing w:after="120" w:line="360" w:lineRule="auto"/>
        <w:jc w:val="both"/>
        <w:rPr>
          <w:rFonts w:cs="Times New Roman"/>
          <w:szCs w:val="24"/>
        </w:rPr>
      </w:pPr>
      <w:r w:rsidRPr="00B81E7D">
        <w:rPr>
          <w:rFonts w:cs="Times New Roman"/>
          <w:szCs w:val="24"/>
        </w:rPr>
        <w:t>- zmiana w art. 39: dodano podstawę do niepublikowania informacji o pełnomocniku w przypadku śmierci przedsiębiorcy (pełnomocnictwo, co do zasady, wygasa z chwilą śmierci mocodawcy).</w:t>
      </w:r>
    </w:p>
    <w:p w:rsidR="006E79B4" w:rsidRPr="00B81E7D" w:rsidRDefault="006E79B4" w:rsidP="000A6809">
      <w:pPr>
        <w:numPr>
          <w:ilvl w:val="0"/>
          <w:numId w:val="9"/>
        </w:numPr>
        <w:spacing w:before="120" w:after="120" w:line="360" w:lineRule="auto"/>
        <w:ind w:left="709" w:hanging="425"/>
        <w:jc w:val="both"/>
        <w:rPr>
          <w:rFonts w:cs="Times New Roman"/>
          <w:i/>
          <w:szCs w:val="24"/>
        </w:rPr>
      </w:pPr>
      <w:r w:rsidRPr="00B81E7D">
        <w:rPr>
          <w:rFonts w:cs="Times New Roman"/>
          <w:i/>
          <w:szCs w:val="24"/>
        </w:rPr>
        <w:t xml:space="preserve">Przekazywanie danych zarządcy sukcesyjnego do urzędu skarbowego (art. </w:t>
      </w:r>
      <w:r w:rsidR="004775F4">
        <w:rPr>
          <w:rFonts w:cs="Times New Roman"/>
          <w:i/>
          <w:szCs w:val="24"/>
        </w:rPr>
        <w:t>61</w:t>
      </w:r>
      <w:r w:rsidR="004775F4" w:rsidRPr="00B81E7D">
        <w:rPr>
          <w:rFonts w:cs="Times New Roman"/>
          <w:i/>
          <w:szCs w:val="24"/>
        </w:rPr>
        <w:t xml:space="preserve"> </w:t>
      </w:r>
      <w:r w:rsidRPr="00B81E7D">
        <w:rPr>
          <w:rFonts w:cs="Times New Roman"/>
          <w:i/>
          <w:szCs w:val="24"/>
        </w:rPr>
        <w:t>pkt</w:t>
      </w:r>
      <w:r w:rsidR="00E74EE0" w:rsidRPr="00B81E7D">
        <w:rPr>
          <w:rFonts w:cs="Times New Roman"/>
          <w:i/>
          <w:szCs w:val="24"/>
        </w:rPr>
        <w:t xml:space="preserve"> 3 </w:t>
      </w:r>
      <w:r w:rsidRPr="00B81E7D">
        <w:rPr>
          <w:rFonts w:cs="Times New Roman"/>
          <w:i/>
          <w:szCs w:val="24"/>
        </w:rPr>
        <w:t>projektu).</w:t>
      </w:r>
    </w:p>
    <w:p w:rsidR="006E79B4" w:rsidRPr="00B81E7D" w:rsidRDefault="006E79B4" w:rsidP="00B421C2">
      <w:pPr>
        <w:tabs>
          <w:tab w:val="left" w:pos="0"/>
        </w:tabs>
        <w:spacing w:after="120" w:line="360" w:lineRule="auto"/>
        <w:jc w:val="both"/>
        <w:rPr>
          <w:rFonts w:cs="Times New Roman"/>
          <w:szCs w:val="24"/>
        </w:rPr>
      </w:pPr>
      <w:r w:rsidRPr="00B81E7D">
        <w:rPr>
          <w:rFonts w:cs="Times New Roman"/>
          <w:szCs w:val="24"/>
        </w:rPr>
        <w:t>Istotnej zmiany upraszczającej formalności przy powoływaniu zarządcy dokonano w art. 22 ustawy o CEIDG. Zgodnie z projektowanym ust. 2 informację o zarządcy sukcesyjnym (i ewentualnie rezerwowym zarządcy sukcesyjnym) oraz o</w:t>
      </w:r>
      <w:r w:rsidR="007A2889">
        <w:rPr>
          <w:rFonts w:cs="Times New Roman"/>
          <w:szCs w:val="24"/>
        </w:rPr>
        <w:t xml:space="preserve"> jej zmianach CEIDG przekaże do </w:t>
      </w:r>
      <w:r w:rsidRPr="00B81E7D">
        <w:rPr>
          <w:rFonts w:cs="Times New Roman"/>
          <w:szCs w:val="24"/>
        </w:rPr>
        <w:t>właściwego urzędu skarbowego, dzięki czemu czynności tych nie będzie musiał dokonywać sam przedsiębiorca. W związku z tym, proponuje się uchylenie ust. 7a w art. 96 ustawy o podatku od towarów i usług.</w:t>
      </w:r>
    </w:p>
    <w:p w:rsidR="00251B0D" w:rsidRPr="00B81E7D" w:rsidRDefault="00251B0D" w:rsidP="000A6809">
      <w:pPr>
        <w:numPr>
          <w:ilvl w:val="0"/>
          <w:numId w:val="9"/>
        </w:numPr>
        <w:spacing w:before="120" w:after="120" w:line="360" w:lineRule="auto"/>
        <w:ind w:left="426" w:hanging="142"/>
        <w:jc w:val="both"/>
        <w:rPr>
          <w:rFonts w:cs="Times New Roman"/>
          <w:i/>
          <w:szCs w:val="24"/>
        </w:rPr>
      </w:pPr>
      <w:r w:rsidRPr="00B81E7D">
        <w:rPr>
          <w:rFonts w:cs="Times New Roman"/>
          <w:i/>
          <w:szCs w:val="24"/>
        </w:rPr>
        <w:t>Dołączenie formularza PI</w:t>
      </w:r>
      <w:r w:rsidR="00723C03" w:rsidRPr="00B81E7D">
        <w:rPr>
          <w:rFonts w:cs="Times New Roman"/>
          <w:i/>
          <w:szCs w:val="24"/>
        </w:rPr>
        <w:t>T</w:t>
      </w:r>
      <w:r w:rsidR="00CD2DCC" w:rsidRPr="00B81E7D">
        <w:rPr>
          <w:rFonts w:cs="Times New Roman"/>
          <w:i/>
          <w:szCs w:val="24"/>
        </w:rPr>
        <w:t>-16Z do wniosku CEIDG (</w:t>
      </w:r>
      <w:r w:rsidR="00964B8C" w:rsidRPr="00B81E7D">
        <w:rPr>
          <w:rFonts w:cs="Times New Roman"/>
          <w:i/>
          <w:szCs w:val="24"/>
        </w:rPr>
        <w:t>a</w:t>
      </w:r>
      <w:r w:rsidR="00CD2DCC" w:rsidRPr="00B81E7D">
        <w:rPr>
          <w:rFonts w:cs="Times New Roman"/>
          <w:i/>
          <w:szCs w:val="24"/>
        </w:rPr>
        <w:t xml:space="preserve">rt. </w:t>
      </w:r>
      <w:r w:rsidR="004775F4">
        <w:rPr>
          <w:rFonts w:cs="Times New Roman"/>
          <w:i/>
          <w:szCs w:val="24"/>
        </w:rPr>
        <w:t>61</w:t>
      </w:r>
      <w:r w:rsidR="004775F4" w:rsidRPr="00B81E7D">
        <w:rPr>
          <w:rFonts w:cs="Times New Roman"/>
          <w:i/>
          <w:szCs w:val="24"/>
        </w:rPr>
        <w:t xml:space="preserve"> </w:t>
      </w:r>
      <w:r w:rsidR="00CD2DCC" w:rsidRPr="00B81E7D">
        <w:rPr>
          <w:rFonts w:cs="Times New Roman"/>
          <w:i/>
          <w:szCs w:val="24"/>
        </w:rPr>
        <w:t>pkt 2 projektu).</w:t>
      </w:r>
    </w:p>
    <w:p w:rsidR="00251B0D" w:rsidRPr="00B81E7D" w:rsidRDefault="00251B0D" w:rsidP="00B421C2">
      <w:pPr>
        <w:spacing w:after="120" w:line="360" w:lineRule="auto"/>
        <w:jc w:val="both"/>
        <w:rPr>
          <w:rFonts w:cs="Times New Roman"/>
          <w:szCs w:val="24"/>
        </w:rPr>
      </w:pPr>
      <w:r w:rsidRPr="00B81E7D">
        <w:rPr>
          <w:rFonts w:cs="Times New Roman"/>
          <w:szCs w:val="24"/>
        </w:rPr>
        <w:lastRenderedPageBreak/>
        <w:t xml:space="preserve">Celem zmiany w art. 6 ustawy o CEIDGPiP jest zapewnienie przedsiębiorcy rozliczającemu się w zasadach karty podatkowej możliwości dołączenia do wniosku CEIDG formularza PIT-16Z. Druk PIT-16Z służy do zgłaszania informacji o zakończeniu działalności gospodarczej oraz zmian wpływających na wysokość podatku. </w:t>
      </w:r>
    </w:p>
    <w:p w:rsidR="00251B0D" w:rsidRPr="00B81E7D" w:rsidRDefault="00251B0D" w:rsidP="00B421C2">
      <w:pPr>
        <w:spacing w:after="120" w:line="360" w:lineRule="auto"/>
        <w:jc w:val="both"/>
        <w:rPr>
          <w:rFonts w:cs="Times New Roman"/>
          <w:szCs w:val="24"/>
        </w:rPr>
      </w:pPr>
      <w:r w:rsidRPr="00B81E7D">
        <w:rPr>
          <w:rFonts w:cs="Times New Roman"/>
          <w:szCs w:val="24"/>
        </w:rPr>
        <w:t>Aktualnie przedsiębiorca rozliczający się w formie karty podatkowej, który dokonuje zmiany lub likwidacji działalności gospodarczej, jest zmuszony zgłaszać informację o zaprzestaniu wykonywania działalności gospodarczej za pośrednictwem CEIDG i osobno w urzędzie skarbowym (PIT-16Z). Podkreślić należy, że wni</w:t>
      </w:r>
      <w:r w:rsidR="00E01AAE">
        <w:rPr>
          <w:rFonts w:cs="Times New Roman"/>
          <w:szCs w:val="24"/>
        </w:rPr>
        <w:t>osek o wykreślenie z CEIDG jest </w:t>
      </w:r>
      <w:r w:rsidRPr="00B81E7D">
        <w:rPr>
          <w:rFonts w:cs="Times New Roman"/>
          <w:szCs w:val="24"/>
        </w:rPr>
        <w:t xml:space="preserve">automatycznie przekazywany za pośrednictwem systemu teleinformatycznego do urzędu skarbowego. Pomimo tego faktu, na przedsiębiorcy rozliczającym się w zasadach karty podatkowej nadal ciąży obowiązek odrębnego zawiadomienia urzędu skarbowego. </w:t>
      </w:r>
    </w:p>
    <w:p w:rsidR="00251B0D" w:rsidRPr="00B81E7D" w:rsidRDefault="00251B0D" w:rsidP="00B421C2">
      <w:pPr>
        <w:spacing w:after="120" w:line="360" w:lineRule="auto"/>
        <w:jc w:val="both"/>
        <w:rPr>
          <w:rFonts w:cs="Times New Roman"/>
          <w:szCs w:val="24"/>
        </w:rPr>
      </w:pPr>
      <w:r w:rsidRPr="00B81E7D">
        <w:rPr>
          <w:rFonts w:cs="Times New Roman"/>
          <w:szCs w:val="24"/>
        </w:rPr>
        <w:t>Zasadnym jest zatem wyeliminowanie dodatkowego obciążenia biurokratycznego, jakim jest dwukrotne powiadamianie przez przedsiębiorcę urzędu skarbowego (raz za pośrednictwem CEIDG, drugi poprzez złożenie druku PIT-16Z).</w:t>
      </w:r>
    </w:p>
    <w:p w:rsidR="00251B0D" w:rsidRPr="00B81E7D" w:rsidRDefault="00251B0D" w:rsidP="00B421C2">
      <w:pPr>
        <w:spacing w:after="120" w:line="360" w:lineRule="auto"/>
        <w:jc w:val="both"/>
        <w:rPr>
          <w:rFonts w:cs="Times New Roman"/>
          <w:szCs w:val="24"/>
        </w:rPr>
      </w:pPr>
      <w:r w:rsidRPr="00B81E7D">
        <w:rPr>
          <w:rFonts w:cs="Times New Roman"/>
          <w:szCs w:val="24"/>
        </w:rPr>
        <w:t>Jednocześnie zachowane zostaną terminy wynikające z przepisów dot</w:t>
      </w:r>
      <w:r w:rsidR="00BC2E70">
        <w:rPr>
          <w:rFonts w:cs="Times New Roman"/>
          <w:szCs w:val="24"/>
        </w:rPr>
        <w:t xml:space="preserve">yczące </w:t>
      </w:r>
      <w:r w:rsidRPr="00B81E7D">
        <w:rPr>
          <w:rFonts w:cs="Times New Roman"/>
          <w:szCs w:val="24"/>
        </w:rPr>
        <w:t>karty podatkowej ujęte w ustawie o zryczałtowanym podatku dochodowym od niektórych przychodów osiąganych przez osoby fizyczne.</w:t>
      </w:r>
    </w:p>
    <w:p w:rsidR="00620378" w:rsidRPr="00B81E7D" w:rsidRDefault="00251B0D" w:rsidP="000A6809">
      <w:pPr>
        <w:numPr>
          <w:ilvl w:val="0"/>
          <w:numId w:val="9"/>
        </w:numPr>
        <w:spacing w:before="120" w:after="120" w:line="360" w:lineRule="auto"/>
        <w:ind w:left="709" w:hanging="425"/>
        <w:jc w:val="both"/>
        <w:rPr>
          <w:rFonts w:cs="Times New Roman"/>
          <w:i/>
          <w:szCs w:val="24"/>
        </w:rPr>
      </w:pPr>
      <w:r w:rsidRPr="00B81E7D">
        <w:rPr>
          <w:rFonts w:cs="Times New Roman"/>
          <w:i/>
          <w:szCs w:val="24"/>
        </w:rPr>
        <w:t>Publikowanie w CEIDG informacji dot. kwalifika</w:t>
      </w:r>
      <w:r w:rsidR="00CD2DCC" w:rsidRPr="00B81E7D">
        <w:rPr>
          <w:rFonts w:cs="Times New Roman"/>
          <w:i/>
          <w:szCs w:val="24"/>
        </w:rPr>
        <w:t xml:space="preserve">cjach zawodowych przedsiębiorcy (art. </w:t>
      </w:r>
      <w:r w:rsidR="004775F4">
        <w:rPr>
          <w:rFonts w:cs="Times New Roman"/>
          <w:i/>
          <w:szCs w:val="24"/>
        </w:rPr>
        <w:t>61</w:t>
      </w:r>
      <w:r w:rsidR="004775F4" w:rsidRPr="00B81E7D">
        <w:rPr>
          <w:rFonts w:cs="Times New Roman"/>
          <w:i/>
          <w:szCs w:val="24"/>
        </w:rPr>
        <w:t xml:space="preserve"> </w:t>
      </w:r>
      <w:r w:rsidR="00CD2DCC" w:rsidRPr="00B81E7D">
        <w:rPr>
          <w:rFonts w:cs="Times New Roman"/>
          <w:i/>
          <w:szCs w:val="24"/>
        </w:rPr>
        <w:t xml:space="preserve">pkt </w:t>
      </w:r>
      <w:r w:rsidR="00AA0B5F">
        <w:rPr>
          <w:rFonts w:cs="Times New Roman"/>
          <w:i/>
          <w:szCs w:val="24"/>
        </w:rPr>
        <w:t xml:space="preserve">6 i następne </w:t>
      </w:r>
      <w:r w:rsidR="00CD2DCC" w:rsidRPr="00B81E7D">
        <w:rPr>
          <w:rFonts w:cs="Times New Roman"/>
          <w:i/>
          <w:szCs w:val="24"/>
        </w:rPr>
        <w:t xml:space="preserve"> projektu).</w:t>
      </w:r>
    </w:p>
    <w:p w:rsidR="00620378" w:rsidRPr="00B81E7D" w:rsidRDefault="00251B0D" w:rsidP="00B421C2">
      <w:pPr>
        <w:spacing w:after="120" w:line="360" w:lineRule="auto"/>
        <w:jc w:val="both"/>
        <w:rPr>
          <w:rFonts w:cs="Times New Roman"/>
          <w:szCs w:val="24"/>
        </w:rPr>
      </w:pPr>
      <w:r w:rsidRPr="00B81E7D">
        <w:rPr>
          <w:rFonts w:cs="Times New Roman"/>
          <w:szCs w:val="24"/>
        </w:rPr>
        <w:t>Zgodnie</w:t>
      </w:r>
      <w:r w:rsidR="00BA3F1F" w:rsidRPr="00B81E7D">
        <w:rPr>
          <w:rFonts w:cs="Times New Roman"/>
          <w:szCs w:val="24"/>
        </w:rPr>
        <w:t xml:space="preserve"> z aktualnie obowiązującym</w:t>
      </w:r>
      <w:r w:rsidR="00620378" w:rsidRPr="00B81E7D">
        <w:rPr>
          <w:rFonts w:cs="Times New Roman"/>
          <w:szCs w:val="24"/>
        </w:rPr>
        <w:t xml:space="preserve"> art. 44 ustawy o CEIDGPiP, we wpisie przedsiębiorcy</w:t>
      </w:r>
      <w:r w:rsidR="007A2889">
        <w:rPr>
          <w:rFonts w:cs="Times New Roman"/>
          <w:szCs w:val="24"/>
        </w:rPr>
        <w:t xml:space="preserve"> do </w:t>
      </w:r>
      <w:r w:rsidRPr="00B81E7D">
        <w:rPr>
          <w:rFonts w:cs="Times New Roman"/>
          <w:szCs w:val="24"/>
        </w:rPr>
        <w:t>CEIDG</w:t>
      </w:r>
      <w:r w:rsidR="00620378" w:rsidRPr="00B81E7D">
        <w:rPr>
          <w:rFonts w:cs="Times New Roman"/>
          <w:szCs w:val="24"/>
        </w:rPr>
        <w:t xml:space="preserve"> publikowane są jedynie informacje dotyczące </w:t>
      </w:r>
      <w:r w:rsidR="00BA3F1F" w:rsidRPr="00B81E7D">
        <w:rPr>
          <w:rFonts w:cs="Times New Roman"/>
          <w:szCs w:val="24"/>
        </w:rPr>
        <w:t>uzyskania, cofnięcia, utraty i </w:t>
      </w:r>
      <w:r w:rsidR="00620378" w:rsidRPr="00B81E7D">
        <w:rPr>
          <w:rFonts w:cs="Times New Roman"/>
          <w:szCs w:val="24"/>
        </w:rPr>
        <w:t>wygaśnięcia uprawnień wynikających z koncesji, licencji, zezwolenia oraz wpisu</w:t>
      </w:r>
      <w:r w:rsidR="00BA3F1F" w:rsidRPr="00B81E7D">
        <w:rPr>
          <w:rFonts w:cs="Times New Roman"/>
          <w:szCs w:val="24"/>
        </w:rPr>
        <w:t xml:space="preserve"> i </w:t>
      </w:r>
      <w:r w:rsidR="00620378" w:rsidRPr="00B81E7D">
        <w:rPr>
          <w:rFonts w:cs="Times New Roman"/>
          <w:szCs w:val="24"/>
        </w:rPr>
        <w:t>wykreślenia z rejestru działalności regulowanej, w tym w zakresie możliwości wykonywania działalności reglamentowanej przez zarządcę sukcesyjnego. Powyższy zakres informacyjny nie wyczerpuje w całości informacji mających znacz</w:t>
      </w:r>
      <w:r w:rsidR="00BA3F1F" w:rsidRPr="00B81E7D">
        <w:rPr>
          <w:rFonts w:cs="Times New Roman"/>
          <w:szCs w:val="24"/>
        </w:rPr>
        <w:t>enie d</w:t>
      </w:r>
      <w:r w:rsidR="007A2889">
        <w:rPr>
          <w:rFonts w:cs="Times New Roman"/>
          <w:szCs w:val="24"/>
        </w:rPr>
        <w:t>la obrotu gospodarczego. Nie ma </w:t>
      </w:r>
      <w:r w:rsidR="00620378" w:rsidRPr="00B81E7D">
        <w:rPr>
          <w:rFonts w:cs="Times New Roman"/>
          <w:szCs w:val="24"/>
        </w:rPr>
        <w:t>bowiem powszechnie dostępnego miejsca, w którym publikowana byłaby informacja na temat posiadanych przez przedsiębiorcę kwalifikacji zaw</w:t>
      </w:r>
      <w:r w:rsidR="007A2889">
        <w:rPr>
          <w:rFonts w:cs="Times New Roman"/>
          <w:szCs w:val="24"/>
        </w:rPr>
        <w:t>odowych, w tym w rzemiośle, np. </w:t>
      </w:r>
      <w:r w:rsidR="00620378" w:rsidRPr="00B81E7D">
        <w:rPr>
          <w:rFonts w:cs="Times New Roman"/>
          <w:szCs w:val="24"/>
        </w:rPr>
        <w:t xml:space="preserve">informacji o posiadaniu tytułu mistrza cukiernictwa. </w:t>
      </w:r>
    </w:p>
    <w:p w:rsidR="00620378" w:rsidRPr="00B81E7D" w:rsidRDefault="00BA3F1F" w:rsidP="00B421C2">
      <w:pPr>
        <w:spacing w:after="120" w:line="360" w:lineRule="auto"/>
        <w:jc w:val="both"/>
        <w:rPr>
          <w:rFonts w:cs="Times New Roman"/>
          <w:szCs w:val="24"/>
        </w:rPr>
      </w:pPr>
      <w:r w:rsidRPr="00B81E7D">
        <w:rPr>
          <w:rFonts w:cs="Times New Roman"/>
          <w:szCs w:val="24"/>
        </w:rPr>
        <w:t>Brak powszechnie dostępnej informacji sprawia, że p</w:t>
      </w:r>
      <w:r w:rsidR="00620378" w:rsidRPr="00B81E7D">
        <w:rPr>
          <w:rFonts w:cs="Times New Roman"/>
          <w:szCs w:val="24"/>
        </w:rPr>
        <w:t>otencj</w:t>
      </w:r>
      <w:r w:rsidR="00E01AAE">
        <w:rPr>
          <w:rFonts w:cs="Times New Roman"/>
          <w:szCs w:val="24"/>
        </w:rPr>
        <w:t>alni kontrahenci/konsumenci nie </w:t>
      </w:r>
      <w:r w:rsidR="00620378" w:rsidRPr="00B81E7D">
        <w:rPr>
          <w:rFonts w:cs="Times New Roman"/>
          <w:szCs w:val="24"/>
        </w:rPr>
        <w:t>mają możliwość uzyskania informacji na temat posiadanych przez przeds</w:t>
      </w:r>
      <w:r w:rsidR="00723C03" w:rsidRPr="00B81E7D">
        <w:rPr>
          <w:rFonts w:cs="Times New Roman"/>
          <w:szCs w:val="24"/>
        </w:rPr>
        <w:t>iębiorcę uprawnień, które często</w:t>
      </w:r>
      <w:r w:rsidR="00620378" w:rsidRPr="00B81E7D">
        <w:rPr>
          <w:rFonts w:cs="Times New Roman"/>
          <w:szCs w:val="24"/>
        </w:rPr>
        <w:t xml:space="preserve"> stanowią gwarancję wysokiej jakości świadczonych usług</w:t>
      </w:r>
      <w:r w:rsidRPr="00B81E7D">
        <w:rPr>
          <w:rFonts w:cs="Times New Roman"/>
          <w:szCs w:val="24"/>
        </w:rPr>
        <w:t xml:space="preserve"> czy też wytwarzanych produktów. W </w:t>
      </w:r>
      <w:r w:rsidR="00620378" w:rsidRPr="00B81E7D">
        <w:rPr>
          <w:rFonts w:cs="Times New Roman"/>
          <w:szCs w:val="24"/>
        </w:rPr>
        <w:t xml:space="preserve">konsekwencji ma </w:t>
      </w:r>
      <w:r w:rsidRPr="00B81E7D">
        <w:rPr>
          <w:rFonts w:cs="Times New Roman"/>
          <w:szCs w:val="24"/>
        </w:rPr>
        <w:t xml:space="preserve">to </w:t>
      </w:r>
      <w:r w:rsidR="00620378" w:rsidRPr="00B81E7D">
        <w:rPr>
          <w:rFonts w:cs="Times New Roman"/>
          <w:szCs w:val="24"/>
        </w:rPr>
        <w:t xml:space="preserve">istotny wpływ na </w:t>
      </w:r>
      <w:r w:rsidRPr="00B81E7D">
        <w:rPr>
          <w:rFonts w:cs="Times New Roman"/>
          <w:szCs w:val="24"/>
        </w:rPr>
        <w:t xml:space="preserve">konkurencyjność mikro, </w:t>
      </w:r>
      <w:r w:rsidRPr="00B81E7D">
        <w:rPr>
          <w:rFonts w:cs="Times New Roman"/>
          <w:szCs w:val="24"/>
        </w:rPr>
        <w:lastRenderedPageBreak/>
        <w:t>małych i </w:t>
      </w:r>
      <w:r w:rsidR="00620378" w:rsidRPr="00B81E7D">
        <w:rPr>
          <w:rFonts w:cs="Times New Roman"/>
          <w:szCs w:val="24"/>
        </w:rPr>
        <w:t>średnich przedsiębiorstw. Informacje zawarte w</w:t>
      </w:r>
      <w:r w:rsidR="00E01AAE">
        <w:rPr>
          <w:rFonts w:cs="Times New Roman"/>
          <w:szCs w:val="24"/>
        </w:rPr>
        <w:t xml:space="preserve"> CEIDG są dla przedsiębiorców i </w:t>
      </w:r>
      <w:r w:rsidR="00620378" w:rsidRPr="00B81E7D">
        <w:rPr>
          <w:rFonts w:cs="Times New Roman"/>
          <w:szCs w:val="24"/>
        </w:rPr>
        <w:t>organów administracji publicznej głównym źródłem wiedzy na temat prowadzonej przez przedsiębi</w:t>
      </w:r>
      <w:r w:rsidR="00723C03" w:rsidRPr="00B81E7D">
        <w:rPr>
          <w:rFonts w:cs="Times New Roman"/>
          <w:szCs w:val="24"/>
        </w:rPr>
        <w:t>orcę działalności gospodarczej.</w:t>
      </w:r>
    </w:p>
    <w:p w:rsidR="00620378" w:rsidRPr="00B81E7D" w:rsidRDefault="00620378" w:rsidP="00B421C2">
      <w:pPr>
        <w:spacing w:after="120" w:line="360" w:lineRule="auto"/>
        <w:jc w:val="both"/>
        <w:rPr>
          <w:rFonts w:cs="Times New Roman"/>
          <w:szCs w:val="24"/>
        </w:rPr>
      </w:pPr>
      <w:r w:rsidRPr="00B81E7D">
        <w:rPr>
          <w:rFonts w:cs="Times New Roman"/>
          <w:szCs w:val="24"/>
        </w:rPr>
        <w:t>Problem braku we wpisie informacji na temat posiadanych uprawnień był wielokrotnie sygnalizowany przez przedsiębiorców wskazujących na fakt, iż aktualny zakres informacyjny w CEIDG nie wyczerpuje w pełni danych, które s</w:t>
      </w:r>
      <w:r w:rsidR="00AB78BF" w:rsidRPr="00B81E7D">
        <w:rPr>
          <w:rFonts w:cs="Times New Roman"/>
          <w:szCs w:val="24"/>
        </w:rPr>
        <w:t>ą istotne dla przedsiębiorców w </w:t>
      </w:r>
      <w:r w:rsidRPr="00B81E7D">
        <w:rPr>
          <w:rFonts w:cs="Times New Roman"/>
          <w:szCs w:val="24"/>
        </w:rPr>
        <w:t>prowadzeniu działalności gospodarczej.</w:t>
      </w:r>
    </w:p>
    <w:p w:rsidR="00620378" w:rsidRPr="00B81E7D" w:rsidRDefault="00620378" w:rsidP="00B421C2">
      <w:pPr>
        <w:spacing w:after="120" w:line="360" w:lineRule="auto"/>
        <w:jc w:val="both"/>
        <w:rPr>
          <w:rFonts w:cs="Times New Roman"/>
          <w:szCs w:val="24"/>
        </w:rPr>
      </w:pPr>
      <w:r w:rsidRPr="00B81E7D">
        <w:rPr>
          <w:rFonts w:cs="Times New Roman"/>
          <w:szCs w:val="24"/>
        </w:rPr>
        <w:t>W związku z powyższym rozszerzono zakres informacji udostępnianych przez CEIDG również o dane na temat uzyskania i utraty kwalifikacji zawodowych rzemieślnika potwierdzonych dyplomem mistrza lub świadectwem czeladniczym.</w:t>
      </w:r>
    </w:p>
    <w:p w:rsidR="00620378" w:rsidRPr="00B81E7D" w:rsidRDefault="00620378" w:rsidP="00B421C2">
      <w:pPr>
        <w:spacing w:after="120" w:line="360" w:lineRule="auto"/>
        <w:jc w:val="both"/>
        <w:rPr>
          <w:rFonts w:cs="Times New Roman"/>
          <w:szCs w:val="24"/>
        </w:rPr>
      </w:pPr>
      <w:r w:rsidRPr="00B81E7D">
        <w:rPr>
          <w:rFonts w:cs="Times New Roman"/>
          <w:szCs w:val="24"/>
        </w:rPr>
        <w:t>Zmiana w art. 44 ust. 3 ma na celu doprecyzowanie, że informacje dotyczące koncesji, licencji, zezwoleń, RDR oraz decyzji i wniosków składanych przez zarządcę sukcesyjnego ujęte w ust. 1-7 są przekazywane przez właściwe organy. Dane ujęte w ust. 8 w zakresie uzyskania i utraty kwalifikacji zawodowych rzemieślnika potwierdzonych dyplomem mistrza lub świadectwem czeladniczym będą przekazywane do CEIDG przez izby rzemieślnicze.</w:t>
      </w:r>
    </w:p>
    <w:p w:rsidR="00620378" w:rsidRPr="00B81E7D" w:rsidRDefault="00620378" w:rsidP="00B421C2">
      <w:pPr>
        <w:spacing w:after="120" w:line="360" w:lineRule="auto"/>
        <w:jc w:val="both"/>
        <w:rPr>
          <w:rFonts w:cs="Times New Roman"/>
          <w:szCs w:val="24"/>
        </w:rPr>
      </w:pPr>
      <w:r w:rsidRPr="00B81E7D">
        <w:rPr>
          <w:rFonts w:cs="Times New Roman"/>
          <w:szCs w:val="24"/>
        </w:rPr>
        <w:t xml:space="preserve">Dodawane w  art. 44 ust. 3c-3f  regulują zakres i zasady przekazywania informacji do CEIDG w zakresie kwalifikacji zawodowych rzemieślnika. </w:t>
      </w:r>
    </w:p>
    <w:p w:rsidR="00620378" w:rsidRPr="00B81E7D" w:rsidRDefault="00620378" w:rsidP="00B421C2">
      <w:pPr>
        <w:spacing w:after="120" w:line="360" w:lineRule="auto"/>
        <w:jc w:val="both"/>
        <w:rPr>
          <w:rFonts w:cs="Times New Roman"/>
          <w:szCs w:val="24"/>
        </w:rPr>
      </w:pPr>
      <w:r w:rsidRPr="00B81E7D">
        <w:rPr>
          <w:rFonts w:cs="Times New Roman"/>
          <w:szCs w:val="24"/>
        </w:rPr>
        <w:t xml:space="preserve">Przepisy, na wzór obecnie funkcjonujących rozwiązań, przewidują, że informacje na temat kwalifikacji, będą przekazane do CEIDG przez izby rzemieślnicze. W tym celu przewiduje się wykorzystanie formularza dostępnego na stronie internetowej CEIDG (takie rozwiązanie jest stosowane i sprawdziło się w przypadku koncesji/licencji/zezwoleń/RDR). </w:t>
      </w:r>
      <w:r w:rsidR="0013100E" w:rsidRPr="00B81E7D">
        <w:rPr>
          <w:rFonts w:cs="Times New Roman"/>
          <w:szCs w:val="24"/>
        </w:rPr>
        <w:t>W</w:t>
      </w:r>
      <w:r w:rsidRPr="00B81E7D">
        <w:rPr>
          <w:rFonts w:cs="Times New Roman"/>
          <w:szCs w:val="24"/>
        </w:rPr>
        <w:t xml:space="preserve"> przyszłości, wraz z rozwojem systemów informatycznych</w:t>
      </w:r>
      <w:r w:rsidR="0013100E" w:rsidRPr="00B81E7D">
        <w:rPr>
          <w:rFonts w:cs="Times New Roman"/>
          <w:szCs w:val="24"/>
        </w:rPr>
        <w:t>,</w:t>
      </w:r>
      <w:r w:rsidRPr="00B81E7D">
        <w:rPr>
          <w:rFonts w:cs="Times New Roman"/>
          <w:szCs w:val="24"/>
        </w:rPr>
        <w:t xml:space="preserve"> planuje si</w:t>
      </w:r>
      <w:r w:rsidR="0013100E" w:rsidRPr="00B81E7D">
        <w:rPr>
          <w:rFonts w:cs="Times New Roman"/>
          <w:szCs w:val="24"/>
        </w:rPr>
        <w:t>ę automatyczną wymianę danych i </w:t>
      </w:r>
      <w:r w:rsidRPr="00B81E7D">
        <w:rPr>
          <w:rFonts w:cs="Times New Roman"/>
          <w:szCs w:val="24"/>
        </w:rPr>
        <w:t>przekazywanie danych o posiadanych kwalifikacjach za pośrednictwem innego zintegrowanego z CEIDG systemu teleinformatycznego. Pr</w:t>
      </w:r>
      <w:r w:rsidR="00723C03" w:rsidRPr="00B81E7D">
        <w:rPr>
          <w:rFonts w:cs="Times New Roman"/>
          <w:szCs w:val="24"/>
        </w:rPr>
        <w:t>zepis przewiduje, że wciągu maksymalnie</w:t>
      </w:r>
      <w:r w:rsidRPr="00B81E7D">
        <w:rPr>
          <w:rFonts w:cs="Times New Roman"/>
          <w:szCs w:val="24"/>
        </w:rPr>
        <w:t xml:space="preserve"> 14 dni od dnia uzyskania dyplom</w:t>
      </w:r>
      <w:r w:rsidR="00723C03" w:rsidRPr="00B81E7D">
        <w:rPr>
          <w:rFonts w:cs="Times New Roman"/>
          <w:szCs w:val="24"/>
        </w:rPr>
        <w:t>u</w:t>
      </w:r>
      <w:r w:rsidRPr="00B81E7D">
        <w:rPr>
          <w:rFonts w:cs="Times New Roman"/>
          <w:szCs w:val="24"/>
        </w:rPr>
        <w:t xml:space="preserve"> mistrza lub świadectwa czeladniczego</w:t>
      </w:r>
      <w:r w:rsidR="00E01AAE">
        <w:rPr>
          <w:rFonts w:cs="Times New Roman"/>
          <w:szCs w:val="24"/>
        </w:rPr>
        <w:t xml:space="preserve"> lub od </w:t>
      </w:r>
      <w:r w:rsidR="00723C03" w:rsidRPr="00B81E7D">
        <w:rPr>
          <w:rFonts w:cs="Times New Roman"/>
          <w:szCs w:val="24"/>
        </w:rPr>
        <w:t>dnia cofnięcia uprawnień w przypadku utraty kwalifikacji zawodowych,</w:t>
      </w:r>
      <w:r w:rsidRPr="00B81E7D">
        <w:rPr>
          <w:rFonts w:cs="Times New Roman"/>
          <w:szCs w:val="24"/>
        </w:rPr>
        <w:t xml:space="preserve"> izba rzemieślnicza przekaże tę informację do CEIDG. Termin na wprowadzenie ww. informacji</w:t>
      </w:r>
      <w:r w:rsidR="0013100E" w:rsidRPr="00B81E7D">
        <w:rPr>
          <w:rFonts w:cs="Times New Roman"/>
          <w:szCs w:val="24"/>
        </w:rPr>
        <w:t xml:space="preserve"> związany jest z </w:t>
      </w:r>
      <w:r w:rsidRPr="00B81E7D">
        <w:rPr>
          <w:rFonts w:cs="Times New Roman"/>
          <w:szCs w:val="24"/>
        </w:rPr>
        <w:t>§</w:t>
      </w:r>
      <w:r w:rsidR="00BC2E70">
        <w:rPr>
          <w:rFonts w:cs="Times New Roman"/>
          <w:szCs w:val="24"/>
        </w:rPr>
        <w:t xml:space="preserve"> </w:t>
      </w:r>
      <w:r w:rsidR="00723C03" w:rsidRPr="00B81E7D">
        <w:rPr>
          <w:rFonts w:cs="Times New Roman"/>
          <w:szCs w:val="24"/>
        </w:rPr>
        <w:t>22 rozporządzenia Ministra Edukacji Narodowej</w:t>
      </w:r>
      <w:r w:rsidRPr="00B81E7D">
        <w:rPr>
          <w:rFonts w:cs="Times New Roman"/>
          <w:szCs w:val="24"/>
        </w:rPr>
        <w:t xml:space="preserve"> o eg</w:t>
      </w:r>
      <w:r w:rsidR="00723C03" w:rsidRPr="00B81E7D">
        <w:rPr>
          <w:rFonts w:cs="Times New Roman"/>
          <w:szCs w:val="24"/>
        </w:rPr>
        <w:t>zaminach czeladniczych i </w:t>
      </w:r>
      <w:r w:rsidRPr="00B81E7D">
        <w:rPr>
          <w:rFonts w:cs="Times New Roman"/>
          <w:szCs w:val="24"/>
        </w:rPr>
        <w:t>mistrzowskich, przyznający kandydatowi prawo do złożenia skarg</w:t>
      </w:r>
      <w:r w:rsidR="00E01AAE">
        <w:rPr>
          <w:rFonts w:cs="Times New Roman"/>
          <w:szCs w:val="24"/>
        </w:rPr>
        <w:t>i w </w:t>
      </w:r>
      <w:r w:rsidR="007A2889">
        <w:rPr>
          <w:rFonts w:cs="Times New Roman"/>
          <w:szCs w:val="24"/>
        </w:rPr>
        <w:t>terminie 3 dni po </w:t>
      </w:r>
      <w:r w:rsidR="00723C03" w:rsidRPr="00B81E7D">
        <w:rPr>
          <w:rFonts w:cs="Times New Roman"/>
          <w:szCs w:val="24"/>
        </w:rPr>
        <w:t>egzaminie</w:t>
      </w:r>
      <w:r w:rsidRPr="00B81E7D">
        <w:rPr>
          <w:rFonts w:cs="Times New Roman"/>
          <w:szCs w:val="24"/>
        </w:rPr>
        <w:t xml:space="preserve"> oraz 7 dni na odpowiedź izby.</w:t>
      </w:r>
    </w:p>
    <w:p w:rsidR="00620378" w:rsidRPr="00B81E7D" w:rsidRDefault="00620378" w:rsidP="00B421C2">
      <w:pPr>
        <w:spacing w:after="120" w:line="360" w:lineRule="auto"/>
        <w:jc w:val="both"/>
        <w:rPr>
          <w:rFonts w:cs="Times New Roman"/>
          <w:szCs w:val="24"/>
        </w:rPr>
      </w:pPr>
      <w:r w:rsidRPr="00B81E7D">
        <w:rPr>
          <w:rFonts w:cs="Times New Roman"/>
          <w:szCs w:val="24"/>
        </w:rPr>
        <w:t>Zakres danych udostępnianych w CEIDG powinien być spójny z zakresem danych zawartych w księgach wieczystych przez izby rzemieślnicze (o ile jest to możliwe w</w:t>
      </w:r>
      <w:r w:rsidR="0013100E" w:rsidRPr="00B81E7D">
        <w:rPr>
          <w:rFonts w:cs="Times New Roman"/>
          <w:szCs w:val="24"/>
        </w:rPr>
        <w:t xml:space="preserve"> danym przypadku) </w:t>
      </w:r>
      <w:r w:rsidR="0013100E" w:rsidRPr="00B81E7D">
        <w:rPr>
          <w:rFonts w:cs="Times New Roman"/>
          <w:szCs w:val="24"/>
        </w:rPr>
        <w:lastRenderedPageBreak/>
        <w:t>i </w:t>
      </w:r>
      <w:r w:rsidRPr="00B81E7D">
        <w:rPr>
          <w:rFonts w:cs="Times New Roman"/>
          <w:szCs w:val="24"/>
        </w:rPr>
        <w:t xml:space="preserve">w przypadku tytułu czeladnika i mistrza </w:t>
      </w:r>
      <w:r w:rsidR="00BC2E70">
        <w:rPr>
          <w:rFonts w:cs="Times New Roman"/>
          <w:szCs w:val="24"/>
        </w:rPr>
        <w:t xml:space="preserve">powinien </w:t>
      </w:r>
      <w:r w:rsidRPr="00B81E7D">
        <w:rPr>
          <w:rFonts w:cs="Times New Roman"/>
          <w:szCs w:val="24"/>
        </w:rPr>
        <w:t>zawierać: datę egzaminu, nazwę zawodu i symbol cyfrowy zawodu ustalony w klasyfikacji zawodów i specjalności na potrzeby rynku pracy, nazwę izby rzemieślniczej oraz datę cofnięcia uprawnienia w przypadku utraty kwalifikacji zawodowych rzemieślnika. Taki zakres danych z jednej strony pozwala na ustalenie jakiego rodzaju kwalifikacje ma dany przedsiębiorca oraz kiedy uzyskał dany tytuł</w:t>
      </w:r>
      <w:r w:rsidR="0013100E" w:rsidRPr="00B81E7D">
        <w:rPr>
          <w:rFonts w:cs="Times New Roman"/>
          <w:szCs w:val="24"/>
        </w:rPr>
        <w:t>. Ma</w:t>
      </w:r>
      <w:r w:rsidRPr="00B81E7D">
        <w:rPr>
          <w:rFonts w:cs="Times New Roman"/>
          <w:szCs w:val="24"/>
        </w:rPr>
        <w:t xml:space="preserve"> </w:t>
      </w:r>
      <w:r w:rsidR="0013100E" w:rsidRPr="00B81E7D">
        <w:rPr>
          <w:rFonts w:cs="Times New Roman"/>
          <w:szCs w:val="24"/>
        </w:rPr>
        <w:t xml:space="preserve">to </w:t>
      </w:r>
      <w:r w:rsidRPr="00B81E7D">
        <w:rPr>
          <w:rFonts w:cs="Times New Roman"/>
          <w:szCs w:val="24"/>
        </w:rPr>
        <w:t>istotne</w:t>
      </w:r>
      <w:r w:rsidR="007F1BA5" w:rsidRPr="00B81E7D">
        <w:rPr>
          <w:rFonts w:cs="Times New Roman"/>
          <w:szCs w:val="24"/>
        </w:rPr>
        <w:t xml:space="preserve"> znaczenie</w:t>
      </w:r>
      <w:r w:rsidRPr="00B81E7D">
        <w:rPr>
          <w:rFonts w:cs="Times New Roman"/>
          <w:szCs w:val="24"/>
        </w:rPr>
        <w:t xml:space="preserve"> z punktu widzenia wykazania ciągłości prowadzonej działalności gospodarczej, wieloletniej tradycji i uznanej pozycji na rynku. Przy</w:t>
      </w:r>
      <w:r w:rsidR="007F1BA5" w:rsidRPr="00B81E7D">
        <w:rPr>
          <w:rFonts w:cs="Times New Roman"/>
          <w:szCs w:val="24"/>
        </w:rPr>
        <w:t xml:space="preserve"> określaniu zakresu danych podle</w:t>
      </w:r>
      <w:r w:rsidRPr="00B81E7D">
        <w:rPr>
          <w:rFonts w:cs="Times New Roman"/>
          <w:szCs w:val="24"/>
        </w:rPr>
        <w:t xml:space="preserve">gających publikacji wzięto także pod uwagę ich użyteczność dla innych podmiotów/kontrahentów. </w:t>
      </w:r>
    </w:p>
    <w:p w:rsidR="00620378" w:rsidRPr="00B81E7D" w:rsidRDefault="00620378" w:rsidP="00B421C2">
      <w:pPr>
        <w:spacing w:after="120" w:line="360" w:lineRule="auto"/>
        <w:jc w:val="both"/>
        <w:rPr>
          <w:rFonts w:cs="Times New Roman"/>
          <w:szCs w:val="24"/>
        </w:rPr>
      </w:pPr>
      <w:r w:rsidRPr="00B81E7D">
        <w:rPr>
          <w:rFonts w:cs="Times New Roman"/>
          <w:szCs w:val="24"/>
        </w:rPr>
        <w:t>Przepisy przewidują mechanizm korekty błędnie wprowadzonych danych np. w zakresie daty egzaminu, co pozwala na szybką zmianę nieprawdziwych danych wprowadzonych przez izbę rzemieślniczą, która dodatkowo jest</w:t>
      </w:r>
      <w:r w:rsidR="007F1BA5" w:rsidRPr="00B81E7D">
        <w:rPr>
          <w:rFonts w:cs="Times New Roman"/>
          <w:szCs w:val="24"/>
        </w:rPr>
        <w:t xml:space="preserve"> w</w:t>
      </w:r>
      <w:r w:rsidRPr="00B81E7D">
        <w:rPr>
          <w:rFonts w:cs="Times New Roman"/>
          <w:szCs w:val="24"/>
        </w:rPr>
        <w:t xml:space="preserve"> stanie bez zbędnej zwłoki zweryfikować informacje. Takie rozwiązanie zapewnia rzetelność danych w CEIDG i przyczynia się do zwiększenia bezpieczeństwa obrotu gospodarczego.</w:t>
      </w:r>
    </w:p>
    <w:p w:rsidR="00620378" w:rsidRPr="00B81E7D" w:rsidRDefault="00620378" w:rsidP="00B421C2">
      <w:pPr>
        <w:spacing w:after="120" w:line="360" w:lineRule="auto"/>
        <w:jc w:val="both"/>
        <w:rPr>
          <w:rFonts w:cs="Times New Roman"/>
          <w:szCs w:val="24"/>
        </w:rPr>
      </w:pPr>
      <w:r w:rsidRPr="00B81E7D">
        <w:rPr>
          <w:rFonts w:cs="Times New Roman"/>
          <w:szCs w:val="24"/>
        </w:rPr>
        <w:t>Przyjęto, że informacje o posiadanych kwalifikacjach będą publikowane w CEIDG jedynie</w:t>
      </w:r>
      <w:r w:rsidR="00A770B7" w:rsidRPr="00B81E7D">
        <w:rPr>
          <w:rFonts w:cs="Times New Roman"/>
          <w:szCs w:val="24"/>
        </w:rPr>
        <w:t xml:space="preserve"> </w:t>
      </w:r>
      <w:r w:rsidRPr="00B81E7D">
        <w:rPr>
          <w:rFonts w:cs="Times New Roman"/>
          <w:szCs w:val="24"/>
        </w:rPr>
        <w:t>w</w:t>
      </w:r>
      <w:r w:rsidR="00A770B7" w:rsidRPr="00B81E7D">
        <w:rPr>
          <w:rFonts w:cs="Times New Roman"/>
          <w:szCs w:val="24"/>
        </w:rPr>
        <w:t> </w:t>
      </w:r>
      <w:r w:rsidRPr="00B81E7D">
        <w:rPr>
          <w:rFonts w:cs="Times New Roman"/>
          <w:szCs w:val="24"/>
        </w:rPr>
        <w:t>odniesieniu do przedsiębiorców, którzy na dzień uzyskania kw</w:t>
      </w:r>
      <w:r w:rsidR="0013100E" w:rsidRPr="00B81E7D">
        <w:rPr>
          <w:rFonts w:cs="Times New Roman"/>
          <w:szCs w:val="24"/>
        </w:rPr>
        <w:t>alifikacji</w:t>
      </w:r>
      <w:r w:rsidRPr="00B81E7D">
        <w:rPr>
          <w:rFonts w:cs="Times New Roman"/>
          <w:szCs w:val="24"/>
        </w:rPr>
        <w:t xml:space="preserve"> prowadzą działalność gospodarczą (status „aktywny”) lub zawiesili wykonywanie działalności gospodarczej. Do wpisów wykreślonych czyli przedsiębiorców, którzy zaprzestali wykonywani</w:t>
      </w:r>
      <w:r w:rsidR="007F1BA5" w:rsidRPr="00B81E7D">
        <w:rPr>
          <w:rFonts w:cs="Times New Roman"/>
          <w:szCs w:val="24"/>
        </w:rPr>
        <w:t>e</w:t>
      </w:r>
      <w:r w:rsidRPr="00B81E7D">
        <w:rPr>
          <w:rFonts w:cs="Times New Roman"/>
          <w:szCs w:val="24"/>
        </w:rPr>
        <w:t xml:space="preserve"> działalności gospodarczej albo zostali wykreśleni w drodze czynności materialno-technicznej lub decyzji administracyjnej ministra właściwego do spraw gospodarki, izby rzemieślnicze nie miałyby obowiązku dopi</w:t>
      </w:r>
      <w:r w:rsidR="007A2889">
        <w:rPr>
          <w:rFonts w:cs="Times New Roman"/>
          <w:szCs w:val="24"/>
        </w:rPr>
        <w:t>sywania danych. Osoby takie nie </w:t>
      </w:r>
      <w:r w:rsidRPr="00B81E7D">
        <w:rPr>
          <w:rFonts w:cs="Times New Roman"/>
          <w:szCs w:val="24"/>
        </w:rPr>
        <w:t>są już przedsiębiorcami</w:t>
      </w:r>
      <w:r w:rsidR="0013100E" w:rsidRPr="00B81E7D">
        <w:rPr>
          <w:rFonts w:cs="Times New Roman"/>
          <w:szCs w:val="24"/>
        </w:rPr>
        <w:t>,</w:t>
      </w:r>
      <w:r w:rsidRPr="00B81E7D">
        <w:rPr>
          <w:rFonts w:cs="Times New Roman"/>
          <w:szCs w:val="24"/>
        </w:rPr>
        <w:t xml:space="preserve"> a zatem informacja o posiadanych kwalifikacjach nie był</w:t>
      </w:r>
      <w:r w:rsidR="0013100E" w:rsidRPr="00B81E7D">
        <w:rPr>
          <w:rFonts w:cs="Times New Roman"/>
          <w:szCs w:val="24"/>
        </w:rPr>
        <w:t>aby istotna z </w:t>
      </w:r>
      <w:r w:rsidRPr="00B81E7D">
        <w:rPr>
          <w:rFonts w:cs="Times New Roman"/>
          <w:szCs w:val="24"/>
        </w:rPr>
        <w:t xml:space="preserve">punktu widzenia gospodarczego. </w:t>
      </w:r>
    </w:p>
    <w:p w:rsidR="00620378" w:rsidRPr="00B81E7D" w:rsidRDefault="00620378" w:rsidP="00B421C2">
      <w:pPr>
        <w:spacing w:after="120" w:line="360" w:lineRule="auto"/>
        <w:jc w:val="both"/>
        <w:rPr>
          <w:rFonts w:cs="Times New Roman"/>
          <w:szCs w:val="24"/>
        </w:rPr>
      </w:pPr>
      <w:r w:rsidRPr="00B81E7D">
        <w:rPr>
          <w:rFonts w:cs="Times New Roman"/>
          <w:szCs w:val="24"/>
        </w:rPr>
        <w:t>Zmiana w art. 44 ust. 4 jest konsekwencją dodania ust. 3c w tym artykule</w:t>
      </w:r>
      <w:r w:rsidR="0013100E" w:rsidRPr="00B81E7D">
        <w:rPr>
          <w:rFonts w:cs="Times New Roman"/>
          <w:szCs w:val="24"/>
        </w:rPr>
        <w:t>.</w:t>
      </w:r>
      <w:r w:rsidRPr="00B81E7D">
        <w:rPr>
          <w:rFonts w:cs="Times New Roman"/>
          <w:szCs w:val="24"/>
        </w:rPr>
        <w:t xml:space="preserve"> Zobowiązuje każdego</w:t>
      </w:r>
      <w:r w:rsidR="0013100E" w:rsidRPr="00B81E7D">
        <w:rPr>
          <w:rFonts w:cs="Times New Roman"/>
          <w:szCs w:val="24"/>
        </w:rPr>
        <w:t>,</w:t>
      </w:r>
      <w:r w:rsidRPr="00B81E7D">
        <w:rPr>
          <w:rFonts w:cs="Times New Roman"/>
          <w:szCs w:val="24"/>
        </w:rPr>
        <w:t xml:space="preserve"> kto stwierdził niezgodności danych lub informacji ze stanem faktycznym w zakresie dopisanych kwalifikacji zawodowych rzemieślnika</w:t>
      </w:r>
      <w:r w:rsidR="0013100E" w:rsidRPr="00B81E7D">
        <w:rPr>
          <w:rFonts w:cs="Times New Roman"/>
          <w:szCs w:val="24"/>
        </w:rPr>
        <w:t>,</w:t>
      </w:r>
      <w:r w:rsidRPr="00B81E7D">
        <w:rPr>
          <w:rFonts w:cs="Times New Roman"/>
          <w:szCs w:val="24"/>
        </w:rPr>
        <w:t xml:space="preserve"> do poinformowania o tym właściwą izbę rzemieślniczą. </w:t>
      </w:r>
    </w:p>
    <w:p w:rsidR="00620378" w:rsidRPr="00B81E7D" w:rsidRDefault="00620378" w:rsidP="00B421C2">
      <w:pPr>
        <w:spacing w:after="120" w:line="360" w:lineRule="auto"/>
        <w:jc w:val="both"/>
        <w:rPr>
          <w:rFonts w:cs="Times New Roman"/>
          <w:szCs w:val="24"/>
        </w:rPr>
      </w:pPr>
      <w:r w:rsidRPr="00B81E7D">
        <w:rPr>
          <w:rFonts w:cs="Times New Roman"/>
          <w:szCs w:val="24"/>
        </w:rPr>
        <w:t xml:space="preserve">Celem wprowadzenia zmian w art. 46 jest uzyskanie przez przedsiębiorcę możliwości wydrukowania z CEIDG wraz z wpisem także informacji w zakresie posiadanych kwalifikacji. Taki wydruk miałby walor zaświadczenia i byłby równoważny papierowemu dyplomowi wydawanemu przez izby. Jednocześnie, ze względu na fakt, </w:t>
      </w:r>
      <w:r w:rsidR="00907A56" w:rsidRPr="00B81E7D">
        <w:rPr>
          <w:rFonts w:cs="Times New Roman"/>
          <w:szCs w:val="24"/>
        </w:rPr>
        <w:t>że</w:t>
      </w:r>
      <w:r w:rsidRPr="00B81E7D">
        <w:rPr>
          <w:rFonts w:cs="Times New Roman"/>
          <w:szCs w:val="24"/>
        </w:rPr>
        <w:t xml:space="preserve"> zaświadczenie obejmowało</w:t>
      </w:r>
      <w:r w:rsidR="00907A56" w:rsidRPr="00B81E7D">
        <w:rPr>
          <w:rFonts w:cs="Times New Roman"/>
          <w:szCs w:val="24"/>
        </w:rPr>
        <w:t>by</w:t>
      </w:r>
      <w:r w:rsidRPr="00B81E7D">
        <w:rPr>
          <w:rFonts w:cs="Times New Roman"/>
          <w:szCs w:val="24"/>
        </w:rPr>
        <w:t xml:space="preserve"> także informacje w zakresie kwalifikacji zawodowych</w:t>
      </w:r>
      <w:r w:rsidR="00907A56" w:rsidRPr="00B81E7D">
        <w:rPr>
          <w:rFonts w:cs="Times New Roman"/>
          <w:szCs w:val="24"/>
        </w:rPr>
        <w:t>,</w:t>
      </w:r>
      <w:r w:rsidRPr="00B81E7D">
        <w:rPr>
          <w:rFonts w:cs="Times New Roman"/>
          <w:szCs w:val="24"/>
        </w:rPr>
        <w:t xml:space="preserve"> zastosowanie miałby </w:t>
      </w:r>
      <w:r w:rsidRPr="00B81E7D">
        <w:rPr>
          <w:rFonts w:cs="Times New Roman"/>
          <w:szCs w:val="24"/>
        </w:rPr>
        <w:lastRenderedPageBreak/>
        <w:t xml:space="preserve">zakaz żądania przez organy administracji publicznej domagania się od przedsiębiorców okazywania, przekazywania lub załączania do wniosków informacji w zakresie kwalifikacji. </w:t>
      </w:r>
    </w:p>
    <w:p w:rsidR="00620378" w:rsidRPr="00B81E7D" w:rsidRDefault="00907A56" w:rsidP="00B421C2">
      <w:pPr>
        <w:spacing w:after="120" w:line="360" w:lineRule="auto"/>
        <w:jc w:val="both"/>
        <w:rPr>
          <w:rFonts w:cs="Times New Roman"/>
          <w:szCs w:val="24"/>
        </w:rPr>
      </w:pPr>
      <w:r w:rsidRPr="00B81E7D">
        <w:rPr>
          <w:rFonts w:cs="Times New Roman"/>
          <w:szCs w:val="24"/>
        </w:rPr>
        <w:t>W związku z tym, że</w:t>
      </w:r>
      <w:r w:rsidR="00620378" w:rsidRPr="00B81E7D">
        <w:rPr>
          <w:rFonts w:cs="Times New Roman"/>
          <w:szCs w:val="24"/>
        </w:rPr>
        <w:t xml:space="preserve"> posiadanie ww. uprawnień często bywa jednym z</w:t>
      </w:r>
      <w:r w:rsidRPr="00B81E7D">
        <w:rPr>
          <w:rFonts w:cs="Times New Roman"/>
          <w:szCs w:val="24"/>
        </w:rPr>
        <w:t> </w:t>
      </w:r>
      <w:r w:rsidR="00620378" w:rsidRPr="00B81E7D">
        <w:rPr>
          <w:rFonts w:cs="Times New Roman"/>
          <w:szCs w:val="24"/>
        </w:rPr>
        <w:t xml:space="preserve">elementów koniecznych </w:t>
      </w:r>
      <w:r w:rsidRPr="00B81E7D">
        <w:rPr>
          <w:rFonts w:cs="Times New Roman"/>
          <w:szCs w:val="24"/>
        </w:rPr>
        <w:t xml:space="preserve">do </w:t>
      </w:r>
      <w:r w:rsidR="00620378" w:rsidRPr="00B81E7D">
        <w:rPr>
          <w:rFonts w:cs="Times New Roman"/>
          <w:szCs w:val="24"/>
        </w:rPr>
        <w:t>udziału w przetargu lub konkursie</w:t>
      </w:r>
      <w:r w:rsidRPr="00B81E7D">
        <w:rPr>
          <w:rFonts w:cs="Times New Roman"/>
          <w:szCs w:val="24"/>
        </w:rPr>
        <w:t>,</w:t>
      </w:r>
      <w:r w:rsidR="00620378" w:rsidRPr="00B81E7D">
        <w:rPr>
          <w:rFonts w:cs="Times New Roman"/>
          <w:szCs w:val="24"/>
        </w:rPr>
        <w:t xml:space="preserve"> informacja na temat kwalifikacji zawodowych rzemieślnika zawarta w zaświadczeniu pozwoli na skrócenie czasu przygotowania oferty, nie będzie wiązała się z uzyska</w:t>
      </w:r>
      <w:r w:rsidR="007A2889">
        <w:rPr>
          <w:rFonts w:cs="Times New Roman"/>
          <w:szCs w:val="24"/>
        </w:rPr>
        <w:t>niem dodatkowych dokumentów np. </w:t>
      </w:r>
      <w:r w:rsidRPr="00B81E7D">
        <w:rPr>
          <w:rFonts w:cs="Times New Roman"/>
          <w:szCs w:val="24"/>
        </w:rPr>
        <w:t>z </w:t>
      </w:r>
      <w:r w:rsidR="00620378" w:rsidRPr="00B81E7D">
        <w:rPr>
          <w:rFonts w:cs="Times New Roman"/>
          <w:szCs w:val="24"/>
        </w:rPr>
        <w:t xml:space="preserve">izby rzemieślniczej. </w:t>
      </w:r>
    </w:p>
    <w:p w:rsidR="00A0471F" w:rsidRPr="00B81E7D" w:rsidRDefault="00620378" w:rsidP="00B421C2">
      <w:pPr>
        <w:spacing w:after="120" w:line="360" w:lineRule="auto"/>
        <w:jc w:val="both"/>
        <w:rPr>
          <w:rFonts w:cs="Times New Roman"/>
          <w:szCs w:val="24"/>
        </w:rPr>
      </w:pPr>
      <w:r w:rsidRPr="00B81E7D">
        <w:rPr>
          <w:rFonts w:cs="Times New Roman"/>
          <w:szCs w:val="24"/>
        </w:rPr>
        <w:t xml:space="preserve">Jednocześnie poświadczenie klauzulą </w:t>
      </w:r>
      <w:r w:rsidRPr="00B81E7D">
        <w:rPr>
          <w:rFonts w:cs="Times New Roman"/>
          <w:i/>
          <w:szCs w:val="24"/>
        </w:rPr>
        <w:t>apostille</w:t>
      </w:r>
      <w:r w:rsidRPr="00B81E7D">
        <w:rPr>
          <w:rFonts w:cs="Times New Roman"/>
          <w:szCs w:val="24"/>
        </w:rPr>
        <w:t xml:space="preserve"> dokument</w:t>
      </w:r>
      <w:r w:rsidR="007A2889">
        <w:rPr>
          <w:rFonts w:cs="Times New Roman"/>
          <w:szCs w:val="24"/>
        </w:rPr>
        <w:t>ów urzędowych przeznaczonych do </w:t>
      </w:r>
      <w:r w:rsidRPr="00B81E7D">
        <w:rPr>
          <w:rFonts w:cs="Times New Roman"/>
          <w:szCs w:val="24"/>
        </w:rPr>
        <w:t>obrotu prawnego za granicą w zakresie dyplomów mistrzowski</w:t>
      </w:r>
      <w:r w:rsidR="007F1BA5" w:rsidRPr="00B81E7D">
        <w:rPr>
          <w:rFonts w:cs="Times New Roman"/>
          <w:szCs w:val="24"/>
        </w:rPr>
        <w:t>ch</w:t>
      </w:r>
      <w:r w:rsidRPr="00B81E7D">
        <w:rPr>
          <w:rFonts w:cs="Times New Roman"/>
          <w:szCs w:val="24"/>
        </w:rPr>
        <w:t xml:space="preserve"> i świadectw rzemieślniczych pozostaje bez zmian tj. dokumenty te przed wydaniem klauzuli </w:t>
      </w:r>
      <w:r w:rsidRPr="00B81E7D">
        <w:rPr>
          <w:rFonts w:cs="Times New Roman"/>
          <w:i/>
          <w:szCs w:val="24"/>
        </w:rPr>
        <w:t>apostille</w:t>
      </w:r>
      <w:r w:rsidRPr="00B81E7D">
        <w:rPr>
          <w:rFonts w:cs="Times New Roman"/>
          <w:szCs w:val="24"/>
        </w:rPr>
        <w:t xml:space="preserve"> przez MSZ będą wymagać uwierzytelnienia przez Związek Rzemiosła Polskiego. A zatem przedsiębiorca będzie mógł się zwrócić do ministra w</w:t>
      </w:r>
      <w:r w:rsidR="007F1BA5" w:rsidRPr="00B81E7D">
        <w:rPr>
          <w:rFonts w:cs="Times New Roman"/>
          <w:szCs w:val="24"/>
        </w:rPr>
        <w:t>łaściwego do spraw gospodarki o </w:t>
      </w:r>
      <w:r w:rsidRPr="00B81E7D">
        <w:rPr>
          <w:rFonts w:cs="Times New Roman"/>
          <w:szCs w:val="24"/>
        </w:rPr>
        <w:t xml:space="preserve">potwierdzenie wydruku, który będzie </w:t>
      </w:r>
      <w:r w:rsidR="00C22112" w:rsidRPr="00B81E7D">
        <w:rPr>
          <w:rFonts w:cs="Times New Roman"/>
          <w:szCs w:val="24"/>
        </w:rPr>
        <w:t xml:space="preserve">zawierał jedynie dane wpisowe. </w:t>
      </w:r>
    </w:p>
    <w:p w:rsidR="00AD47B7" w:rsidRPr="00B81E7D" w:rsidRDefault="00AD47B7" w:rsidP="00AD47B7">
      <w:pPr>
        <w:spacing w:after="120" w:line="360" w:lineRule="auto"/>
        <w:jc w:val="both"/>
        <w:rPr>
          <w:rFonts w:cs="Times New Roman"/>
          <w:szCs w:val="24"/>
        </w:rPr>
      </w:pPr>
    </w:p>
    <w:p w:rsidR="00060224" w:rsidRPr="00B81E7D" w:rsidRDefault="00060224" w:rsidP="00AD47B7">
      <w:pPr>
        <w:numPr>
          <w:ilvl w:val="0"/>
          <w:numId w:val="2"/>
        </w:numPr>
        <w:spacing w:after="120" w:line="360" w:lineRule="auto"/>
        <w:jc w:val="both"/>
        <w:rPr>
          <w:rFonts w:cs="Times New Roman"/>
          <w:b/>
          <w:szCs w:val="24"/>
        </w:rPr>
      </w:pPr>
      <w:r w:rsidRPr="00B81E7D">
        <w:rPr>
          <w:rFonts w:cs="Times New Roman"/>
          <w:b/>
          <w:szCs w:val="24"/>
        </w:rPr>
        <w:t>Zmiana w ustawie z dnia 6 marca 2018 r. o zasadach uczestnictwa przedsiębiorców zagranicznych i innych osób zagranicznych w obrocie</w:t>
      </w:r>
      <w:r w:rsidRPr="00B81E7D">
        <w:rPr>
          <w:rFonts w:cs="Times New Roman"/>
          <w:szCs w:val="24"/>
        </w:rPr>
        <w:t xml:space="preserve"> </w:t>
      </w:r>
      <w:r w:rsidRPr="00B81E7D">
        <w:rPr>
          <w:rFonts w:cs="Times New Roman"/>
          <w:b/>
          <w:szCs w:val="24"/>
        </w:rPr>
        <w:t xml:space="preserve">gospodarczym na terytorium Rzeczypospolitej Polskiej </w:t>
      </w:r>
      <w:r w:rsidR="00587142" w:rsidRPr="00B81E7D">
        <w:rPr>
          <w:rFonts w:cs="Times New Roman"/>
          <w:b/>
          <w:szCs w:val="24"/>
        </w:rPr>
        <w:t xml:space="preserve">(art. </w:t>
      </w:r>
      <w:r w:rsidR="004775F4" w:rsidRPr="00B81E7D">
        <w:rPr>
          <w:rFonts w:cs="Times New Roman"/>
          <w:b/>
          <w:szCs w:val="24"/>
        </w:rPr>
        <w:t>6</w:t>
      </w:r>
      <w:r w:rsidR="004775F4">
        <w:rPr>
          <w:rFonts w:cs="Times New Roman"/>
          <w:b/>
          <w:szCs w:val="24"/>
        </w:rPr>
        <w:t>2</w:t>
      </w:r>
      <w:r w:rsidR="004775F4" w:rsidRPr="00B81E7D">
        <w:rPr>
          <w:rFonts w:cs="Times New Roman"/>
          <w:b/>
          <w:szCs w:val="24"/>
        </w:rPr>
        <w:t xml:space="preserve"> </w:t>
      </w:r>
      <w:r w:rsidR="00587142" w:rsidRPr="00B81E7D">
        <w:rPr>
          <w:rFonts w:cs="Times New Roman"/>
          <w:b/>
          <w:szCs w:val="24"/>
        </w:rPr>
        <w:t>projektu)</w:t>
      </w:r>
      <w:r w:rsidRPr="00B81E7D">
        <w:rPr>
          <w:rFonts w:cs="Times New Roman"/>
          <w:b/>
          <w:szCs w:val="24"/>
        </w:rPr>
        <w:t>.</w:t>
      </w:r>
    </w:p>
    <w:p w:rsidR="00EA0B0B" w:rsidRPr="00B81E7D" w:rsidRDefault="00EA0B0B" w:rsidP="00EA0B0B">
      <w:pPr>
        <w:spacing w:after="120" w:line="360" w:lineRule="auto"/>
        <w:jc w:val="both"/>
        <w:rPr>
          <w:rFonts w:cs="Times New Roman"/>
          <w:color w:val="000000" w:themeColor="text1"/>
          <w:szCs w:val="24"/>
        </w:rPr>
      </w:pPr>
      <w:r w:rsidRPr="00B81E7D">
        <w:rPr>
          <w:rFonts w:cs="Times New Roman"/>
          <w:color w:val="000000" w:themeColor="text1"/>
          <w:szCs w:val="24"/>
        </w:rPr>
        <w:t>Polska jest obecnie jednym z krajów UE, w którym deficyt pracowników, w tym osób wyspecjalizowanych, osiąga wysoki poziom. Problem ten ma zasięg ogólnopolski i dotyczy niemalże wszystkich sektorów gospodarki. Sytuacja ta spowodowała, że nieodzownym ogniwem rozwoju polskiej gospodarki stali się cudzoziemcy. Cudzoziemcem w rozumieniu prawa polskiego jest każda osoba, która nie posiada obywatelstwa polskiego. Niedobory pracownicze wśród obywateli polskich uzupełniają obecnie obywatele z państw trzecich (spoza UE). W szczególności są to obywatele Ukrainy, Białorusi, Nepalu, Bangladeszu, Indii czy Mołdawii. W ostatnich latach napływ cudzoziemców do Polski staje się coraz bardziej dostrzegalny. Znajduje to odzwierciedlenie w statystykac</w:t>
      </w:r>
      <w:r w:rsidR="00E43544" w:rsidRPr="00B81E7D">
        <w:rPr>
          <w:rFonts w:cs="Times New Roman"/>
          <w:color w:val="000000" w:themeColor="text1"/>
          <w:szCs w:val="24"/>
        </w:rPr>
        <w:t>h Ministerstwa Rodziny, Pracy i </w:t>
      </w:r>
      <w:r w:rsidRPr="00B81E7D">
        <w:rPr>
          <w:rFonts w:cs="Times New Roman"/>
          <w:color w:val="000000" w:themeColor="text1"/>
          <w:szCs w:val="24"/>
        </w:rPr>
        <w:t>Polityki Społecznej oraz Urzędu do Spraw Cudzoziemców. Wzrasta także liczba składanych wniosków o legalizację pobytu w Polsce. Zdecydowana ich większość dotyczy udzielenia ze</w:t>
      </w:r>
      <w:r w:rsidR="00E43544" w:rsidRPr="00B81E7D">
        <w:rPr>
          <w:rFonts w:cs="Times New Roman"/>
          <w:color w:val="000000" w:themeColor="text1"/>
          <w:szCs w:val="24"/>
        </w:rPr>
        <w:t>zwolenia na pobyt czasowy</w:t>
      </w:r>
      <w:r w:rsidRPr="00B81E7D">
        <w:rPr>
          <w:rFonts w:cs="Times New Roman"/>
          <w:color w:val="000000" w:themeColor="text1"/>
          <w:szCs w:val="24"/>
        </w:rPr>
        <w:t>. Dostrzega się także, że do Polski przyjeżdżają coraz częściej dobrze wykształceni pracownicy, eksperci w określonyc</w:t>
      </w:r>
      <w:r w:rsidR="00E43544" w:rsidRPr="00B81E7D">
        <w:rPr>
          <w:rFonts w:cs="Times New Roman"/>
          <w:color w:val="000000" w:themeColor="text1"/>
          <w:szCs w:val="24"/>
        </w:rPr>
        <w:t>h dziedzinach, w tym naukowcy w </w:t>
      </w:r>
      <w:r w:rsidRPr="00B81E7D">
        <w:rPr>
          <w:rFonts w:cs="Times New Roman"/>
          <w:color w:val="000000" w:themeColor="text1"/>
          <w:szCs w:val="24"/>
        </w:rPr>
        <w:t>celu prowadzenia w Polsce badań naukowych lub pr</w:t>
      </w:r>
      <w:r w:rsidR="007A2889">
        <w:rPr>
          <w:rFonts w:cs="Times New Roman"/>
          <w:color w:val="000000" w:themeColor="text1"/>
          <w:szCs w:val="24"/>
        </w:rPr>
        <w:t>ac rozwojowych. Uzupełniają oni </w:t>
      </w:r>
      <w:r w:rsidRPr="00B81E7D">
        <w:rPr>
          <w:rFonts w:cs="Times New Roman"/>
          <w:color w:val="000000" w:themeColor="text1"/>
          <w:szCs w:val="24"/>
        </w:rPr>
        <w:t>zapotrzebowanie na specjalistów na polskim rynku pracy.</w:t>
      </w:r>
    </w:p>
    <w:p w:rsidR="00EA0B0B" w:rsidRPr="00B81E7D" w:rsidRDefault="00EA0B0B" w:rsidP="00EA0B0B">
      <w:pPr>
        <w:spacing w:after="120" w:line="360" w:lineRule="auto"/>
        <w:jc w:val="both"/>
        <w:rPr>
          <w:rFonts w:cs="Times New Roman"/>
          <w:color w:val="000000" w:themeColor="text1"/>
          <w:szCs w:val="24"/>
        </w:rPr>
      </w:pPr>
      <w:r w:rsidRPr="00B81E7D">
        <w:rPr>
          <w:rFonts w:cs="Times New Roman"/>
          <w:color w:val="000000" w:themeColor="text1"/>
          <w:szCs w:val="24"/>
        </w:rPr>
        <w:lastRenderedPageBreak/>
        <w:t xml:space="preserve">Zauważa się również, że cudzoziemcy przebywający w Polsce z racji tworzonych w innych krajach UE (np. w Niemczech) korzystnych mechanizmów pobytowych, umożliwiających im pracę oraz osiedlenie się na stałe, podejmują decyzje o wyjeździe z Polski do innych krajów UE. Powoduje to odpływ potrzebnych polskiej gospodarce specjalistów i wykształconych pracowników w </w:t>
      </w:r>
      <w:r w:rsidR="00E43544" w:rsidRPr="00B81E7D">
        <w:rPr>
          <w:rFonts w:cs="Times New Roman"/>
          <w:color w:val="000000" w:themeColor="text1"/>
          <w:szCs w:val="24"/>
        </w:rPr>
        <w:t>różnych dziedzinach i branżach.</w:t>
      </w:r>
    </w:p>
    <w:p w:rsidR="00EA0B0B" w:rsidRPr="00B81E7D" w:rsidRDefault="00EA0B0B" w:rsidP="00EA0B0B">
      <w:pPr>
        <w:spacing w:after="120" w:line="360" w:lineRule="auto"/>
        <w:jc w:val="both"/>
        <w:rPr>
          <w:rFonts w:cs="Times New Roman"/>
          <w:color w:val="000000" w:themeColor="text1"/>
          <w:szCs w:val="24"/>
        </w:rPr>
      </w:pPr>
      <w:r w:rsidRPr="00B81E7D">
        <w:rPr>
          <w:rFonts w:cs="Times New Roman"/>
          <w:color w:val="000000" w:themeColor="text1"/>
          <w:szCs w:val="24"/>
        </w:rPr>
        <w:t>Dostrzega się rosnące zainteresowanie tych grup cudzoziemców zarejestrowaniem indywidualnej działalności gospodarczej w o</w:t>
      </w:r>
      <w:r w:rsidR="007A2889">
        <w:rPr>
          <w:rFonts w:cs="Times New Roman"/>
          <w:color w:val="000000" w:themeColor="text1"/>
          <w:szCs w:val="24"/>
        </w:rPr>
        <w:t>parciu o wpis do CEIDG. Jest to </w:t>
      </w:r>
      <w:r w:rsidRPr="00B81E7D">
        <w:rPr>
          <w:rFonts w:cs="Times New Roman"/>
          <w:color w:val="000000" w:themeColor="text1"/>
          <w:szCs w:val="24"/>
        </w:rPr>
        <w:t>najpowszechniejsza i najprostsza forma prowadze</w:t>
      </w:r>
      <w:r w:rsidR="007A2889">
        <w:rPr>
          <w:rFonts w:cs="Times New Roman"/>
          <w:color w:val="000000" w:themeColor="text1"/>
          <w:szCs w:val="24"/>
        </w:rPr>
        <w:t>nia działalności gospodarczej w </w:t>
      </w:r>
      <w:r w:rsidRPr="00B81E7D">
        <w:rPr>
          <w:rFonts w:cs="Times New Roman"/>
          <w:color w:val="000000" w:themeColor="text1"/>
          <w:szCs w:val="24"/>
        </w:rPr>
        <w:t>Polsce. Tylko w 2016 r. liczba cudzoziemców, która rozpoczęła wykonywanie działalności gospodarczej na podstawie wpisu do CEIDG wzrosła o 20% w stosunku do 2013 r., a w 2017 r. już o 30%. Z kolei od stycznia 2018 r. do października 2018 r. wpisów do CEIDG dokonano 5291. To znacznie więcej niż w całym 2013 r. (3304), 2014 r. (3075) oraz 2015 r. (3674).</w:t>
      </w:r>
    </w:p>
    <w:p w:rsidR="00EA0B0B" w:rsidRPr="00B81E7D" w:rsidRDefault="00EA0B0B" w:rsidP="00EA0B0B">
      <w:pPr>
        <w:spacing w:after="120" w:line="360" w:lineRule="auto"/>
        <w:jc w:val="both"/>
        <w:rPr>
          <w:rFonts w:cs="Times New Roman"/>
          <w:color w:val="000000" w:themeColor="text1"/>
          <w:szCs w:val="24"/>
        </w:rPr>
      </w:pPr>
      <w:r w:rsidRPr="00B81E7D">
        <w:rPr>
          <w:rFonts w:cs="Times New Roman"/>
          <w:color w:val="000000" w:themeColor="text1"/>
          <w:szCs w:val="24"/>
        </w:rPr>
        <w:t>Pomimo tak znacznego wzrostu zainteresowania cudzoziemców podjęciem n</w:t>
      </w:r>
      <w:r w:rsidR="00E01AAE">
        <w:rPr>
          <w:rFonts w:cs="Times New Roman"/>
          <w:color w:val="000000" w:themeColor="text1"/>
          <w:szCs w:val="24"/>
        </w:rPr>
        <w:t>a terytorium RP </w:t>
      </w:r>
      <w:r w:rsidRPr="00B81E7D">
        <w:rPr>
          <w:rFonts w:cs="Times New Roman"/>
          <w:color w:val="000000" w:themeColor="text1"/>
          <w:szCs w:val="24"/>
        </w:rPr>
        <w:t>działalności gospodarczej, nie każdy z nich może z tego uprawnienia skorzystać, nawet jeżeli jego pobyt w Polsce jest legalny i potwierdzony przez polsk</w:t>
      </w:r>
      <w:r w:rsidR="007A2889">
        <w:rPr>
          <w:rFonts w:cs="Times New Roman"/>
          <w:color w:val="000000" w:themeColor="text1"/>
          <w:szCs w:val="24"/>
        </w:rPr>
        <w:t>ie instytucje odpowiedzialne za </w:t>
      </w:r>
      <w:r w:rsidRPr="00B81E7D">
        <w:rPr>
          <w:rFonts w:cs="Times New Roman"/>
          <w:color w:val="000000" w:themeColor="text1"/>
          <w:szCs w:val="24"/>
        </w:rPr>
        <w:t xml:space="preserve">legalizację pobytu cudzoziemców. </w:t>
      </w:r>
    </w:p>
    <w:p w:rsidR="00EA0B0B" w:rsidRPr="00B81E7D" w:rsidRDefault="00EA0B0B" w:rsidP="00EA0B0B">
      <w:pPr>
        <w:spacing w:after="120" w:line="360" w:lineRule="auto"/>
        <w:jc w:val="both"/>
        <w:rPr>
          <w:rFonts w:cs="Times New Roman"/>
          <w:color w:val="000000" w:themeColor="text1"/>
          <w:szCs w:val="24"/>
        </w:rPr>
      </w:pPr>
      <w:r w:rsidRPr="00B81E7D">
        <w:rPr>
          <w:rFonts w:cs="Times New Roman"/>
          <w:color w:val="000000" w:themeColor="text1"/>
          <w:szCs w:val="24"/>
        </w:rPr>
        <w:t>Obecna regulacja różnicująca zasady podejmowania działalności gospodarczej przez cudzoziemców od statusu prawnomiędzynarodowego osób zagranicznych, stanowi istotną barierę ograniczającą możliwość podjęcia działalności gospodarczej w Polsce w wybranej formie organizacyjnoprawnej. Zasady podejmowania i wykonywania działalności gospodarczej na terytorium RP przez osoby zagraniczne określa ustawa z dnia 6 marca 2018</w:t>
      </w:r>
      <w:r w:rsidR="00E01AAE">
        <w:rPr>
          <w:rFonts w:cs="Times New Roman"/>
          <w:color w:val="000000" w:themeColor="text1"/>
          <w:szCs w:val="24"/>
        </w:rPr>
        <w:t> </w:t>
      </w:r>
      <w:r w:rsidRPr="00B81E7D">
        <w:rPr>
          <w:rFonts w:cs="Times New Roman"/>
          <w:color w:val="000000" w:themeColor="text1"/>
          <w:szCs w:val="24"/>
        </w:rPr>
        <w:t>r. o zasadach uczestnictwa przedsiębiorców zagranicznyc</w:t>
      </w:r>
      <w:r w:rsidR="00E43544" w:rsidRPr="00B81E7D">
        <w:rPr>
          <w:rFonts w:cs="Times New Roman"/>
          <w:color w:val="000000" w:themeColor="text1"/>
          <w:szCs w:val="24"/>
        </w:rPr>
        <w:t>h i innych osób zagranicznych w </w:t>
      </w:r>
      <w:r w:rsidRPr="00B81E7D">
        <w:rPr>
          <w:rFonts w:cs="Times New Roman"/>
          <w:color w:val="000000" w:themeColor="text1"/>
          <w:szCs w:val="24"/>
        </w:rPr>
        <w:t xml:space="preserve">obrocie gospodarczym na terytorium Rzeczypospolitej Polskiej (dalej: PrzedZagrU). </w:t>
      </w:r>
    </w:p>
    <w:p w:rsidR="00EA0B0B" w:rsidRPr="00B81E7D" w:rsidRDefault="00EA0B0B" w:rsidP="00EA0B0B">
      <w:pPr>
        <w:spacing w:after="120" w:line="360" w:lineRule="auto"/>
        <w:jc w:val="both"/>
        <w:rPr>
          <w:rFonts w:cs="Times New Roman"/>
          <w:color w:val="000000" w:themeColor="text1"/>
          <w:szCs w:val="24"/>
        </w:rPr>
      </w:pPr>
      <w:r w:rsidRPr="00B81E7D">
        <w:rPr>
          <w:rFonts w:cs="Times New Roman"/>
          <w:color w:val="000000" w:themeColor="text1"/>
          <w:szCs w:val="24"/>
        </w:rPr>
        <w:t>Na takich samych zasadach, jak obywatele Polscy działalno</w:t>
      </w:r>
      <w:r w:rsidR="00E01AAE">
        <w:rPr>
          <w:rFonts w:cs="Times New Roman"/>
          <w:color w:val="000000" w:themeColor="text1"/>
          <w:szCs w:val="24"/>
        </w:rPr>
        <w:t>ść gospodarczą na terytorium RP </w:t>
      </w:r>
      <w:r w:rsidRPr="00B81E7D">
        <w:rPr>
          <w:rFonts w:cs="Times New Roman"/>
          <w:color w:val="000000" w:themeColor="text1"/>
          <w:szCs w:val="24"/>
        </w:rPr>
        <w:t>mogą podejmować wyłącznie osoby zagranicz</w:t>
      </w:r>
      <w:r w:rsidR="00E01AAE">
        <w:rPr>
          <w:rFonts w:cs="Times New Roman"/>
          <w:color w:val="000000" w:themeColor="text1"/>
          <w:szCs w:val="24"/>
        </w:rPr>
        <w:t>ne z państw członkowskich UE, a </w:t>
      </w:r>
      <w:r w:rsidRPr="00B81E7D">
        <w:rPr>
          <w:rFonts w:cs="Times New Roman"/>
          <w:color w:val="000000" w:themeColor="text1"/>
          <w:szCs w:val="24"/>
        </w:rPr>
        <w:t>obywatele innych państw, tylko gdy dysponują jednym ze ściśle okre</w:t>
      </w:r>
      <w:r w:rsidR="007A2889">
        <w:rPr>
          <w:rFonts w:cs="Times New Roman"/>
          <w:color w:val="000000" w:themeColor="text1"/>
          <w:szCs w:val="24"/>
        </w:rPr>
        <w:t>ślonych tytułów pobytowych. Ich </w:t>
      </w:r>
      <w:r w:rsidRPr="00B81E7D">
        <w:rPr>
          <w:rFonts w:cs="Times New Roman"/>
          <w:color w:val="000000" w:themeColor="text1"/>
          <w:szCs w:val="24"/>
        </w:rPr>
        <w:t xml:space="preserve">katalog określa art. 4 ust. 2 pkt 1-5  PrzedZagrU. </w:t>
      </w:r>
    </w:p>
    <w:p w:rsidR="00EA0B0B" w:rsidRPr="00B81E7D" w:rsidRDefault="00EA0B0B" w:rsidP="00EA0B0B">
      <w:pPr>
        <w:spacing w:after="120" w:line="360" w:lineRule="auto"/>
        <w:jc w:val="both"/>
        <w:rPr>
          <w:rFonts w:cs="Times New Roman"/>
          <w:color w:val="000000" w:themeColor="text1"/>
          <w:szCs w:val="24"/>
        </w:rPr>
      </w:pPr>
      <w:r w:rsidRPr="00B81E7D">
        <w:rPr>
          <w:rFonts w:cs="Times New Roman"/>
          <w:color w:val="000000" w:themeColor="text1"/>
          <w:szCs w:val="24"/>
        </w:rPr>
        <w:t xml:space="preserve">W stosunku do pozostałych cudzoziemców przepisy regulujące zasady prowadzenia działalności gospodarczej na terytorium RP zawierają ograniczenie w wyborze form organizacyjnoprawnych, w których może być podjęta działalność gospodarcza. Ograniczenie to wyklucza możliwość jej podjęcia w formie innej, niż wybrana spółka prawa handlowego, </w:t>
      </w:r>
      <w:r w:rsidRPr="00B81E7D">
        <w:rPr>
          <w:rFonts w:cs="Times New Roman"/>
          <w:color w:val="000000" w:themeColor="text1"/>
          <w:szCs w:val="24"/>
        </w:rPr>
        <w:lastRenderedPageBreak/>
        <w:t>tj. spółka z ograniczoną odpowiedzialnością, spółka akcyjna, komandytowa i komandytowo-akcyjna. Obywatel państwa trzeciego, który nie dysponuje jednym z tytułów pobytowych wskazanych w art. 4 ust. 2 pkt 1-5 PrzedZagrU, nie skorzysta z naj</w:t>
      </w:r>
      <w:r w:rsidR="00E43544" w:rsidRPr="00B81E7D">
        <w:rPr>
          <w:rFonts w:cs="Times New Roman"/>
          <w:color w:val="000000" w:themeColor="text1"/>
          <w:szCs w:val="24"/>
        </w:rPr>
        <w:t>powszechniejszej i </w:t>
      </w:r>
      <w:r w:rsidRPr="00B81E7D">
        <w:rPr>
          <w:rFonts w:cs="Times New Roman"/>
          <w:color w:val="000000" w:themeColor="text1"/>
          <w:szCs w:val="24"/>
        </w:rPr>
        <w:t>najprostszej formy prowadzenia działalności gospodarcz</w:t>
      </w:r>
      <w:r w:rsidR="007A2889">
        <w:rPr>
          <w:rFonts w:cs="Times New Roman"/>
          <w:color w:val="000000" w:themeColor="text1"/>
          <w:szCs w:val="24"/>
        </w:rPr>
        <w:t>ej w Polsce w oparciu o wpis do </w:t>
      </w:r>
      <w:r w:rsidRPr="00B81E7D">
        <w:rPr>
          <w:rFonts w:cs="Times New Roman"/>
          <w:color w:val="000000" w:themeColor="text1"/>
          <w:szCs w:val="24"/>
        </w:rPr>
        <w:t>CEIDG. Nie podejmie także działalności gospodar</w:t>
      </w:r>
      <w:r w:rsidR="007A2889">
        <w:rPr>
          <w:rFonts w:cs="Times New Roman"/>
          <w:color w:val="000000" w:themeColor="text1"/>
          <w:szCs w:val="24"/>
        </w:rPr>
        <w:t>czej w formie spółki jawnej czy </w:t>
      </w:r>
      <w:r w:rsidRPr="00B81E7D">
        <w:rPr>
          <w:rFonts w:cs="Times New Roman"/>
          <w:color w:val="000000" w:themeColor="text1"/>
          <w:szCs w:val="24"/>
        </w:rPr>
        <w:t xml:space="preserve">partnerskiej.  </w:t>
      </w:r>
    </w:p>
    <w:p w:rsidR="00EA0B0B" w:rsidRPr="00B81E7D" w:rsidRDefault="00EA0B0B" w:rsidP="00EA0B0B">
      <w:pPr>
        <w:spacing w:after="120" w:line="360" w:lineRule="auto"/>
        <w:jc w:val="both"/>
        <w:rPr>
          <w:rFonts w:cs="Times New Roman"/>
          <w:color w:val="000000" w:themeColor="text1"/>
          <w:szCs w:val="24"/>
        </w:rPr>
      </w:pPr>
      <w:r w:rsidRPr="00B81E7D">
        <w:rPr>
          <w:rFonts w:cs="Times New Roman"/>
          <w:color w:val="000000" w:themeColor="text1"/>
          <w:szCs w:val="24"/>
        </w:rPr>
        <w:t>Największy problem dotyczy cudzoziemców, którzy posiadają zezwolenia na pobyt czasowy.</w:t>
      </w:r>
    </w:p>
    <w:p w:rsidR="00EA0B0B" w:rsidRPr="00B81E7D" w:rsidRDefault="00EA0B0B" w:rsidP="00EA0B0B">
      <w:pPr>
        <w:spacing w:after="120" w:line="360" w:lineRule="auto"/>
        <w:jc w:val="both"/>
        <w:rPr>
          <w:rFonts w:cs="Times New Roman"/>
          <w:color w:val="000000" w:themeColor="text1"/>
          <w:szCs w:val="24"/>
        </w:rPr>
      </w:pPr>
      <w:r w:rsidRPr="00B81E7D">
        <w:rPr>
          <w:rFonts w:cs="Times New Roman"/>
          <w:color w:val="000000" w:themeColor="text1"/>
          <w:szCs w:val="24"/>
        </w:rPr>
        <w:t>Wpisu do CEIDG, a także rejestracji spółki jawnej czy partnerskiej w KRS nie dokonają cudzoziemcy, którzy przebywają w Polsce w celu prowadzenia badań naukowych (art. 151 ust. 1 CudzU). Według danych UDSC w 2019 r. wydano naukowcom 25 takich zezwoleń (stan na 18 czerwca 20</w:t>
      </w:r>
      <w:r w:rsidR="00E43544" w:rsidRPr="00B81E7D">
        <w:rPr>
          <w:rFonts w:cs="Times New Roman"/>
          <w:color w:val="000000" w:themeColor="text1"/>
          <w:szCs w:val="24"/>
        </w:rPr>
        <w:t>19 r.), a w 2018 r. łącznie 12.</w:t>
      </w:r>
      <w:r w:rsidRPr="00B81E7D">
        <w:rPr>
          <w:rFonts w:cs="Times New Roman"/>
          <w:color w:val="000000" w:themeColor="text1"/>
          <w:szCs w:val="24"/>
        </w:rPr>
        <w:t xml:space="preserve"> Zezwolenia na pobyt czasowy w celu prowadzenia badań naukowych udziela się cudzoziemcowi będącemu naukowcem, gdy celem jego pobytu na terytorium RP jest prowadzenie badań naukowych lub prac rozwojowych w</w:t>
      </w:r>
      <w:r w:rsidR="00E43544" w:rsidRPr="00B81E7D">
        <w:rPr>
          <w:rFonts w:cs="Times New Roman"/>
          <w:color w:val="000000" w:themeColor="text1"/>
          <w:szCs w:val="24"/>
        </w:rPr>
        <w:t> </w:t>
      </w:r>
      <w:r w:rsidRPr="00B81E7D">
        <w:rPr>
          <w:rFonts w:cs="Times New Roman"/>
          <w:color w:val="000000" w:themeColor="text1"/>
          <w:szCs w:val="24"/>
        </w:rPr>
        <w:t>jednostce naukowej mającej siedzibę na terytorium RP zatwierdzonej przez ministra właściwego do spraw wewnętrznych. Przepisy regulujące problematykę udzielania cudzoziemcom zezwolenia na pobyt czasowy w celu prowadzenia badań naukowych stanowią konsekwencję implementacji do polskiego porządku prawnego postanowień dyrektywy 2005/71/WE. Jej zasadniczym celem było spowodowa</w:t>
      </w:r>
      <w:r w:rsidR="007A2889">
        <w:rPr>
          <w:rFonts w:cs="Times New Roman"/>
          <w:color w:val="000000" w:themeColor="text1"/>
          <w:szCs w:val="24"/>
        </w:rPr>
        <w:t>nie, by gospodarka UE stała się </w:t>
      </w:r>
      <w:r w:rsidRPr="00B81E7D">
        <w:rPr>
          <w:rFonts w:cs="Times New Roman"/>
          <w:color w:val="000000" w:themeColor="text1"/>
          <w:szCs w:val="24"/>
        </w:rPr>
        <w:t>najbardziej konkurencyjną i dynamiczną gospodarką na świecie opartą na wiedzy. Instrumentem służącym jego osiągnięciu miało być natomiast wsparcie przyjmowania naukowców z państw trzecich w celu prowadzenia przez nich badań naukowy</w:t>
      </w:r>
      <w:r w:rsidR="00E43544" w:rsidRPr="00B81E7D">
        <w:rPr>
          <w:rFonts w:cs="Times New Roman"/>
          <w:color w:val="000000" w:themeColor="text1"/>
          <w:szCs w:val="24"/>
        </w:rPr>
        <w:t xml:space="preserve">ch w krajach członkowskich UE. </w:t>
      </w:r>
    </w:p>
    <w:p w:rsidR="008E7818" w:rsidRPr="008E7818" w:rsidRDefault="008E7818" w:rsidP="008E7818">
      <w:pPr>
        <w:spacing w:after="200" w:line="360" w:lineRule="auto"/>
        <w:jc w:val="both"/>
        <w:rPr>
          <w:rFonts w:cs="Times New Roman"/>
          <w:szCs w:val="24"/>
          <w:lang w:eastAsia="pl-PL"/>
        </w:rPr>
      </w:pPr>
      <w:r w:rsidRPr="008E7818">
        <w:rPr>
          <w:rFonts w:cs="Times New Roman"/>
          <w:color w:val="000000"/>
          <w:szCs w:val="24"/>
          <w:lang w:eastAsia="pl-PL"/>
        </w:rPr>
        <w:t>Za naukowca w świetle przepisów ustawy z dnia 12 grudnia 2013 r. o cudzoziemcach</w:t>
      </w:r>
      <w:r w:rsidRPr="008E7818">
        <w:rPr>
          <w:rFonts w:cs="Times New Roman"/>
          <w:color w:val="000000"/>
          <w:szCs w:val="24"/>
          <w:vertAlign w:val="superscript"/>
          <w:lang w:eastAsia="pl-PL"/>
        </w:rPr>
        <w:footnoteReference w:id="24"/>
      </w:r>
      <w:r w:rsidRPr="008E7818">
        <w:rPr>
          <w:rFonts w:cs="Times New Roman"/>
          <w:color w:val="0066CC"/>
          <w:sz w:val="22"/>
          <w:szCs w:val="22"/>
          <w:lang w:eastAsia="pl-PL"/>
        </w:rPr>
        <w:t xml:space="preserve"> </w:t>
      </w:r>
      <w:r w:rsidRPr="008E7818">
        <w:rPr>
          <w:rFonts w:cs="Times New Roman"/>
          <w:color w:val="000000"/>
          <w:szCs w:val="24"/>
          <w:lang w:eastAsia="pl-PL"/>
        </w:rPr>
        <w:t>rozumie się, cudzoziemca posiadającego co najmniej tytuł zawodowy odpowiadający w</w:t>
      </w:r>
      <w:r>
        <w:rPr>
          <w:rFonts w:cs="Times New Roman"/>
          <w:color w:val="000000"/>
          <w:szCs w:val="24"/>
          <w:lang w:eastAsia="pl-PL"/>
        </w:rPr>
        <w:t> </w:t>
      </w:r>
      <w:r w:rsidRPr="008E7818">
        <w:rPr>
          <w:rFonts w:cs="Times New Roman"/>
          <w:color w:val="000000"/>
          <w:szCs w:val="24"/>
          <w:lang w:eastAsia="pl-PL"/>
        </w:rPr>
        <w:t>Rzeczypospolitej Polskiej tytułowi zawodowemu magistra lub równorzędnemu, umożliwiający ubieganie się o nadanie stopnia doktora.</w:t>
      </w:r>
    </w:p>
    <w:p w:rsidR="008E7818" w:rsidRPr="008E7818" w:rsidRDefault="008E7818" w:rsidP="008E7818">
      <w:pPr>
        <w:spacing w:after="200" w:line="360" w:lineRule="auto"/>
        <w:jc w:val="both"/>
        <w:rPr>
          <w:rFonts w:cs="Times New Roman"/>
          <w:szCs w:val="24"/>
          <w:lang w:eastAsia="pl-PL"/>
        </w:rPr>
      </w:pPr>
      <w:r w:rsidRPr="008E7818">
        <w:rPr>
          <w:rFonts w:cs="Times New Roman"/>
          <w:color w:val="000000"/>
          <w:szCs w:val="24"/>
          <w:lang w:eastAsia="pl-PL"/>
        </w:rPr>
        <w:t>Badania naukowe są działalnością obejmującą badania podstawowe rozumiane jako prace empiryczne lub teoretyczne mające przede wszystkim na</w:t>
      </w:r>
      <w:r>
        <w:rPr>
          <w:rFonts w:cs="Times New Roman"/>
          <w:color w:val="000000"/>
          <w:szCs w:val="24"/>
          <w:lang w:eastAsia="pl-PL"/>
        </w:rPr>
        <w:t xml:space="preserve"> celu zdobywanie nowej wiedzy o </w:t>
      </w:r>
      <w:r w:rsidRPr="008E7818">
        <w:rPr>
          <w:rFonts w:cs="Times New Roman"/>
          <w:color w:val="000000"/>
          <w:szCs w:val="24"/>
          <w:lang w:eastAsia="pl-PL"/>
        </w:rPr>
        <w:t xml:space="preserve">podstawach zjawisk i obserwowalnych faktów bez nastawienia na bezpośrednie zastosowanie komercyjne, a także badania aplikacyjne rozumiane jako prace mające na celu </w:t>
      </w:r>
      <w:r w:rsidRPr="008E7818">
        <w:rPr>
          <w:rFonts w:cs="Times New Roman"/>
          <w:color w:val="000000"/>
          <w:szCs w:val="24"/>
          <w:lang w:eastAsia="pl-PL"/>
        </w:rPr>
        <w:lastRenderedPageBreak/>
        <w:t>zdobycie nowej wiedzy oraz umiejętności, nastawione na opracowywanie nowych produktów, procesów lub usług lub wprowadzanie do nich znaczących ulepszeń.</w:t>
      </w:r>
      <w:r w:rsidRPr="008E7818">
        <w:rPr>
          <w:rFonts w:cs="Times New Roman"/>
          <w:szCs w:val="24"/>
          <w:lang w:eastAsia="pl-PL"/>
        </w:rPr>
        <w:t xml:space="preserve"> Z kolei </w:t>
      </w:r>
      <w:r w:rsidRPr="008E7818">
        <w:rPr>
          <w:rFonts w:cs="Times New Roman"/>
          <w:color w:val="000000"/>
          <w:szCs w:val="24"/>
          <w:lang w:eastAsia="pl-PL"/>
        </w:rPr>
        <w:t>prace rozwojowe są działalnością obejmującą nabywanie, łączenie, kształtowanie i wykorzystywanie dostępnej aktualnie wiedzy i umiejętności, w tym w zakres</w:t>
      </w:r>
      <w:r w:rsidR="00E01AAE">
        <w:rPr>
          <w:rFonts w:cs="Times New Roman"/>
          <w:color w:val="000000"/>
          <w:szCs w:val="24"/>
          <w:lang w:eastAsia="pl-PL"/>
        </w:rPr>
        <w:t>ie narzędzi informatycznych lub </w:t>
      </w:r>
      <w:r w:rsidRPr="008E7818">
        <w:rPr>
          <w:rFonts w:cs="Times New Roman"/>
          <w:color w:val="000000"/>
          <w:szCs w:val="24"/>
          <w:lang w:eastAsia="pl-PL"/>
        </w:rPr>
        <w:t>oprogramowania, do planowania produkcji oraz projektowania i tworzenia zmienionych, ulepszonych lub nowych produktów, procesów lub usług, z wyłączeniem działalności obejmującej rutynowe i okresowe zmiany wprowadzane do nich, nawet jeżeli takie zmiany mają charakter ulepszeń.</w:t>
      </w:r>
    </w:p>
    <w:p w:rsidR="00EA0B0B" w:rsidRPr="00B81E7D" w:rsidRDefault="00EA0B0B" w:rsidP="00EA0B0B">
      <w:pPr>
        <w:spacing w:after="120" w:line="360" w:lineRule="auto"/>
        <w:jc w:val="both"/>
        <w:rPr>
          <w:rFonts w:cs="Times New Roman"/>
          <w:color w:val="000000" w:themeColor="text1"/>
          <w:szCs w:val="24"/>
        </w:rPr>
      </w:pPr>
      <w:r w:rsidRPr="00B81E7D">
        <w:rPr>
          <w:rFonts w:cs="Times New Roman"/>
          <w:color w:val="000000" w:themeColor="text1"/>
          <w:szCs w:val="24"/>
        </w:rPr>
        <w:t xml:space="preserve">Z uprawnienia polegającego na podjęciu wykonywania jednoosobowej działalności gospodarczej na własny rachunek (wpis do CEIDG) bądź podjęcia działalności gospodarczej w formie spółki jawnej bądź partnerskiej (rejestracja </w:t>
      </w:r>
      <w:r w:rsidR="007A2889">
        <w:rPr>
          <w:rFonts w:cs="Times New Roman"/>
          <w:color w:val="000000" w:themeColor="text1"/>
          <w:szCs w:val="24"/>
        </w:rPr>
        <w:t>w KRS) nie skorzystają także ci </w:t>
      </w:r>
      <w:r w:rsidRPr="00B81E7D">
        <w:rPr>
          <w:rFonts w:cs="Times New Roman"/>
          <w:color w:val="000000" w:themeColor="text1"/>
          <w:szCs w:val="24"/>
        </w:rPr>
        <w:t xml:space="preserve">naukowcy, którzy zakończyli w Polsce prowadzenie badań naukowych lub prac rozwojowych i poszukują w Polsce pracy lub planują tu rozpocząć prowadzenie działalności gospodarczej (art. 186 ust. 1 pkt 7 </w:t>
      </w:r>
      <w:r w:rsidR="00AA3CBD">
        <w:rPr>
          <w:rFonts w:cs="Times New Roman"/>
          <w:color w:val="000000" w:themeColor="text1"/>
          <w:szCs w:val="24"/>
        </w:rPr>
        <w:t xml:space="preserve">ustawy o cudzoziemcach </w:t>
      </w:r>
      <w:r w:rsidRPr="00B81E7D">
        <w:rPr>
          <w:rFonts w:cs="Times New Roman"/>
          <w:color w:val="000000" w:themeColor="text1"/>
          <w:szCs w:val="24"/>
        </w:rPr>
        <w:t xml:space="preserve">). Zezwolenie, o którym mowa w art. 186 ust. 1 pkt 7 </w:t>
      </w:r>
      <w:r w:rsidR="0001654F">
        <w:rPr>
          <w:rFonts w:cs="Times New Roman"/>
          <w:color w:val="000000" w:themeColor="text1"/>
          <w:szCs w:val="24"/>
        </w:rPr>
        <w:t xml:space="preserve">ustawy o cudzoziemcach </w:t>
      </w:r>
      <w:r w:rsidRPr="00B81E7D">
        <w:rPr>
          <w:rFonts w:cs="Times New Roman"/>
          <w:color w:val="000000" w:themeColor="text1"/>
          <w:szCs w:val="24"/>
        </w:rPr>
        <w:t xml:space="preserve">jest udzielane cudzoziemcowi, który bezpośrednio przed złożeniem wniosku o jego udzielenie, przebywał w Polsce na podstawie zezwolenia na pobyt czasowy w celu prowadzenia badań naukowych, zakończył prowadzenie badań naukowych lub prac rozwojowych i poszukuje na terytorium Polski pracy lub planuje rozpocząć w Polsce wykonywanie działalności gospodarczej. Przepis art. 186 ust. 1 pkt 7 </w:t>
      </w:r>
      <w:r w:rsidR="0001654F">
        <w:rPr>
          <w:rFonts w:cs="Times New Roman"/>
          <w:color w:val="000000" w:themeColor="text1"/>
          <w:szCs w:val="24"/>
        </w:rPr>
        <w:t xml:space="preserve">ustawy o cudzoziemcach </w:t>
      </w:r>
      <w:r w:rsidR="00E43544" w:rsidRPr="00B81E7D">
        <w:rPr>
          <w:rFonts w:cs="Times New Roman"/>
          <w:color w:val="000000" w:themeColor="text1"/>
          <w:szCs w:val="24"/>
        </w:rPr>
        <w:t xml:space="preserve"> został wprowadzony do ustawy </w:t>
      </w:r>
      <w:r w:rsidRPr="00B81E7D">
        <w:rPr>
          <w:rFonts w:cs="Times New Roman"/>
          <w:color w:val="000000" w:themeColor="text1"/>
          <w:szCs w:val="24"/>
        </w:rPr>
        <w:t xml:space="preserve"> w dniu 27 kwietnia 2019 r. w związku z wejściem w życie ustawy z dnia 22 lutego 2019 r. o zmianie ustawy o cudzoziemcach oraz niektórych innych ustaw (Dz.U. 2019 r. poz. 577). Ze względu na krótki okres obowiązywania tego nowego rodzaju tytułu pobytowego – przedwczesne jest pozyskanie w tym zakresie odpowiednich danych o ilości wydanych zezwoleń. Niemniej jednak wniosków o wydanie tego tytułu pobytowego do dnia 18 czerwca 2019 r. wpłynęło 14. </w:t>
      </w:r>
    </w:p>
    <w:p w:rsidR="00EA0B0B" w:rsidRPr="00B81E7D" w:rsidRDefault="00EA0B0B" w:rsidP="00EA0B0B">
      <w:pPr>
        <w:spacing w:after="120" w:line="360" w:lineRule="auto"/>
        <w:jc w:val="both"/>
        <w:rPr>
          <w:rFonts w:cs="Times New Roman"/>
          <w:color w:val="000000" w:themeColor="text1"/>
          <w:szCs w:val="24"/>
        </w:rPr>
      </w:pPr>
      <w:r w:rsidRPr="00B81E7D">
        <w:rPr>
          <w:rFonts w:cs="Times New Roman"/>
          <w:color w:val="000000" w:themeColor="text1"/>
          <w:szCs w:val="24"/>
        </w:rPr>
        <w:t xml:space="preserve">Przyjęte kilka lat temu przepisy regulujące zasady podejmowania i wykonywania działalności gospodarczej przez cudzoziemców na obszarze RP nie do końca są dostosowane do potrzeb polskiego rynku pracy. Zostały przyjęte w okresie, gdy w Polsce dominowały zupełnie inne trendy migracyjne oraz demograficzne. Odmiennie kształtowało się również zjawisko bezrobocia w Polsce. Według danych GUS stopa bezrobocia rejestrowanego w czerwcu 2018 r. wyniosła 5,9%. To najmniejsze bezrobocie od listopada 1990 r.  Przyjęte kiedyś zasady nie odnoszą się także do nowych kategorii zezwoleń pobytowych, które na przestrzeni kilku lat zostały wprowadzone do polskiego porządku prawnego na gruncie ustawy o cudzoziemcach </w:t>
      </w:r>
      <w:r w:rsidRPr="00B81E7D">
        <w:rPr>
          <w:rFonts w:cs="Times New Roman"/>
          <w:color w:val="000000" w:themeColor="text1"/>
          <w:szCs w:val="24"/>
        </w:rPr>
        <w:lastRenderedPageBreak/>
        <w:t xml:space="preserve">(zezwolenie w celu prowadzenia badań naukowych). Obecna regulacja stanowi realną barierę w podejmowaniu działalności gospodarczej </w:t>
      </w:r>
      <w:r w:rsidR="00E43544" w:rsidRPr="00B81E7D">
        <w:rPr>
          <w:rFonts w:cs="Times New Roman"/>
          <w:color w:val="000000" w:themeColor="text1"/>
          <w:szCs w:val="24"/>
        </w:rPr>
        <w:t>w Polsce przez wykształconych i </w:t>
      </w:r>
      <w:r w:rsidRPr="00B81E7D">
        <w:rPr>
          <w:rFonts w:cs="Times New Roman"/>
          <w:color w:val="000000" w:themeColor="text1"/>
          <w:szCs w:val="24"/>
        </w:rPr>
        <w:t>wyspecjalizowanych cudzoziemców (naukowców) spoza UE. Nie zachęca do napływu i</w:t>
      </w:r>
      <w:r w:rsidR="00E43544" w:rsidRPr="00B81E7D">
        <w:rPr>
          <w:rFonts w:cs="Times New Roman"/>
          <w:color w:val="000000" w:themeColor="text1"/>
          <w:szCs w:val="24"/>
        </w:rPr>
        <w:t> </w:t>
      </w:r>
      <w:r w:rsidRPr="00B81E7D">
        <w:rPr>
          <w:rFonts w:cs="Times New Roman"/>
          <w:color w:val="000000" w:themeColor="text1"/>
          <w:szCs w:val="24"/>
        </w:rPr>
        <w:t>pozostania w Polsce potrzebnych polskiej gospodarce specjalistów, którzy poza prowadzeniem w Polsce badań naukowych czy prac rozwojowych, są zainteresowani podjęciem dodatkowej (fakultatywnej) aktywności, w postaci prowadzenia działalności gospodarczej w wybranej i dogodnej do planowanego przedsi</w:t>
      </w:r>
      <w:r w:rsidR="007A2889">
        <w:rPr>
          <w:rFonts w:cs="Times New Roman"/>
          <w:color w:val="000000" w:themeColor="text1"/>
          <w:szCs w:val="24"/>
        </w:rPr>
        <w:t>ęwzięcia formie. Zdarza się, że </w:t>
      </w:r>
      <w:r w:rsidRPr="00B81E7D">
        <w:rPr>
          <w:rFonts w:cs="Times New Roman"/>
          <w:color w:val="000000" w:themeColor="text1"/>
          <w:szCs w:val="24"/>
        </w:rPr>
        <w:t xml:space="preserve">naukowiec posiadający zezwolenie, o którym mowa w art. 151 ust. 1 </w:t>
      </w:r>
      <w:r w:rsidR="0001654F">
        <w:rPr>
          <w:rFonts w:cs="Times New Roman"/>
          <w:color w:val="000000" w:themeColor="text1"/>
          <w:szCs w:val="24"/>
        </w:rPr>
        <w:t xml:space="preserve">ustawy o cudzoziemcach </w:t>
      </w:r>
      <w:r w:rsidRPr="00B81E7D">
        <w:rPr>
          <w:rFonts w:cs="Times New Roman"/>
          <w:color w:val="000000" w:themeColor="text1"/>
          <w:szCs w:val="24"/>
        </w:rPr>
        <w:t>, deklaruje zamiar dokonania wpisu do CEIDG, jednakże obecnie takiego wpisu nie dokona, bowiem przepisy PrzedZagrU, możliwości takiej nie przewidują. Niemożność legalizacji indywidualnej działalności gospodarczej w Polsce może w</w:t>
      </w:r>
      <w:r w:rsidR="00E43544" w:rsidRPr="00B81E7D">
        <w:rPr>
          <w:rFonts w:cs="Times New Roman"/>
          <w:color w:val="000000" w:themeColor="text1"/>
          <w:szCs w:val="24"/>
        </w:rPr>
        <w:t>pływać na decyzje o wyjeździe z </w:t>
      </w:r>
      <w:r w:rsidRPr="00B81E7D">
        <w:rPr>
          <w:rFonts w:cs="Times New Roman"/>
          <w:color w:val="000000" w:themeColor="text1"/>
          <w:szCs w:val="24"/>
        </w:rPr>
        <w:t>Polski do innego kraju UE. Jedynie wybrane rodzaje</w:t>
      </w:r>
      <w:r w:rsidR="007A2889">
        <w:rPr>
          <w:rFonts w:cs="Times New Roman"/>
          <w:color w:val="000000" w:themeColor="text1"/>
          <w:szCs w:val="24"/>
        </w:rPr>
        <w:t xml:space="preserve"> zezwoleń na pobyt czasowy (np. </w:t>
      </w:r>
      <w:r w:rsidRPr="00B81E7D">
        <w:rPr>
          <w:rFonts w:cs="Times New Roman"/>
          <w:color w:val="000000" w:themeColor="text1"/>
          <w:szCs w:val="24"/>
        </w:rPr>
        <w:t xml:space="preserve">podjęcie kształcenia na studiach w trybie stacjonarnym </w:t>
      </w:r>
      <w:r w:rsidR="007A2889">
        <w:rPr>
          <w:rFonts w:cs="Times New Roman"/>
          <w:color w:val="000000" w:themeColor="text1"/>
          <w:szCs w:val="24"/>
        </w:rPr>
        <w:t xml:space="preserve">- art. 144 </w:t>
      </w:r>
      <w:r w:rsidR="0001654F">
        <w:rPr>
          <w:rFonts w:cs="Times New Roman"/>
          <w:color w:val="000000" w:themeColor="text1"/>
          <w:szCs w:val="24"/>
        </w:rPr>
        <w:t xml:space="preserve">ustawy o cudzoziemcach </w:t>
      </w:r>
      <w:r w:rsidR="007A2889">
        <w:rPr>
          <w:rFonts w:cs="Times New Roman"/>
          <w:color w:val="000000" w:themeColor="text1"/>
          <w:szCs w:val="24"/>
        </w:rPr>
        <w:t>) uprawniają do </w:t>
      </w:r>
      <w:r w:rsidRPr="00B81E7D">
        <w:rPr>
          <w:rFonts w:cs="Times New Roman"/>
          <w:color w:val="000000" w:themeColor="text1"/>
          <w:szCs w:val="24"/>
        </w:rPr>
        <w:t>wykonywania działalności gospodarczej na takich samych zasadach jak obywatele polscy. Rocznie odrzucanych jest ok. 500 wniosków cudzoziemców, którzy z powodu braku odpowiedniego uprawnienia określonego w art. 4 ust. 2 pkt 1-5 PrzedZagrU, nie mogą dokonać wpisu do CEIDG. Dotyczy to także przebywających w Polsce naukowców z państw trzecich. W praktyce zainteresowanie wpisem do CEIDG jest znacznie większe.</w:t>
      </w:r>
    </w:p>
    <w:p w:rsidR="00EA0B0B" w:rsidRPr="00B81E7D" w:rsidRDefault="00EA0B0B" w:rsidP="00EA0B0B">
      <w:pPr>
        <w:spacing w:after="120" w:line="360" w:lineRule="auto"/>
        <w:jc w:val="both"/>
        <w:rPr>
          <w:rFonts w:cs="Times New Roman"/>
          <w:color w:val="000000" w:themeColor="text1"/>
          <w:szCs w:val="24"/>
        </w:rPr>
      </w:pPr>
      <w:r w:rsidRPr="00B81E7D">
        <w:rPr>
          <w:rFonts w:cs="Times New Roman"/>
          <w:color w:val="000000" w:themeColor="text1"/>
          <w:szCs w:val="24"/>
        </w:rPr>
        <w:t xml:space="preserve"> W świetle powyższego, mając na względzie zapotrzebowani</w:t>
      </w:r>
      <w:r w:rsidR="00E43544" w:rsidRPr="00B81E7D">
        <w:rPr>
          <w:rFonts w:cs="Times New Roman"/>
          <w:color w:val="000000" w:themeColor="text1"/>
          <w:szCs w:val="24"/>
        </w:rPr>
        <w:t>e na specjalistów (ekspertów) w </w:t>
      </w:r>
      <w:r w:rsidRPr="00B81E7D">
        <w:rPr>
          <w:rFonts w:cs="Times New Roman"/>
          <w:color w:val="000000" w:themeColor="text1"/>
          <w:szCs w:val="24"/>
        </w:rPr>
        <w:t>określonych dziedzinach, nie wydaje się uzasadnione pozostawanie poza katalogiem czasowych tytułów pobytowych uprawniających do dokonania wpisu do CEIDG, zezwolenia na pobyt czasowy udzielonego naukowcowi w celu prowadzenia badań naukowych (art. 151 ust. 1</w:t>
      </w:r>
      <w:r w:rsidR="0001654F">
        <w:rPr>
          <w:rFonts w:cs="Times New Roman"/>
          <w:color w:val="000000" w:themeColor="text1"/>
          <w:szCs w:val="24"/>
        </w:rPr>
        <w:t xml:space="preserve">ustawy o cudzoziemcach </w:t>
      </w:r>
      <w:r w:rsidRPr="00B81E7D">
        <w:rPr>
          <w:rFonts w:cs="Times New Roman"/>
          <w:color w:val="000000" w:themeColor="text1"/>
          <w:szCs w:val="24"/>
        </w:rPr>
        <w:t>) oraz zezwolenia na pobyt czasowy udzielonego naukowcowi, który zakończył prowadzenie badań naukowych lub prac rozwojowych i poszukuje na terytorium Polski pracy lub planuje rozpocząć w Polsce wykonywanie działalności gospodarczej (art. 186 ust. 1 pkt 7</w:t>
      </w:r>
      <w:r w:rsidR="0001654F">
        <w:rPr>
          <w:rFonts w:cs="Times New Roman"/>
          <w:color w:val="000000" w:themeColor="text1"/>
          <w:szCs w:val="24"/>
        </w:rPr>
        <w:t xml:space="preserve"> ustawy o cudzoziemcach </w:t>
      </w:r>
      <w:r w:rsidRPr="00B81E7D">
        <w:rPr>
          <w:rFonts w:cs="Times New Roman"/>
          <w:color w:val="000000" w:themeColor="text1"/>
          <w:szCs w:val="24"/>
        </w:rPr>
        <w:t xml:space="preserve">). </w:t>
      </w:r>
    </w:p>
    <w:p w:rsidR="00EA0B0B" w:rsidRPr="00B81E7D" w:rsidRDefault="00EA0B0B" w:rsidP="00EA0B0B">
      <w:pPr>
        <w:spacing w:after="120" w:line="360" w:lineRule="auto"/>
        <w:jc w:val="both"/>
        <w:rPr>
          <w:rFonts w:cs="Times New Roman"/>
          <w:color w:val="000000" w:themeColor="text1"/>
          <w:szCs w:val="24"/>
        </w:rPr>
      </w:pPr>
      <w:r w:rsidRPr="00B81E7D">
        <w:rPr>
          <w:rFonts w:cs="Times New Roman"/>
          <w:color w:val="000000" w:themeColor="text1"/>
          <w:szCs w:val="24"/>
        </w:rPr>
        <w:t>W celu wyeliminowania bariery w podejmowaniu działalności gospodarczej przez cudzoziemców, mając jednocześnie na względzie bezpieczeństwo migracyjne Polski, planuje się, aby rozsze</w:t>
      </w:r>
      <w:r w:rsidR="00E43544" w:rsidRPr="00B81E7D">
        <w:rPr>
          <w:rFonts w:cs="Times New Roman"/>
          <w:color w:val="000000" w:themeColor="text1"/>
          <w:szCs w:val="24"/>
        </w:rPr>
        <w:t>rzenie dotychczasowego katalogu</w:t>
      </w:r>
      <w:r w:rsidRPr="00B81E7D">
        <w:rPr>
          <w:rFonts w:cs="Times New Roman"/>
          <w:color w:val="000000" w:themeColor="text1"/>
          <w:szCs w:val="24"/>
        </w:rPr>
        <w:t xml:space="preserve"> tytułów pobytowych uprawniających cudzoziemców spoza UE do podejmowania i wykonywania działalności gospodarcz</w:t>
      </w:r>
      <w:r w:rsidR="007A2889">
        <w:rPr>
          <w:rFonts w:cs="Times New Roman"/>
          <w:color w:val="000000" w:themeColor="text1"/>
          <w:szCs w:val="24"/>
        </w:rPr>
        <w:t>ej na </w:t>
      </w:r>
      <w:r w:rsidRPr="00B81E7D">
        <w:rPr>
          <w:rFonts w:cs="Times New Roman"/>
          <w:color w:val="000000" w:themeColor="text1"/>
          <w:szCs w:val="24"/>
        </w:rPr>
        <w:t xml:space="preserve">terytorium RP dotyczyło 2 rodzajów tytułów pobytowych, o których mowa w art. 151 ust. 1  oraz w art. 186 ust. 1 pkt 7 </w:t>
      </w:r>
      <w:r w:rsidR="0001654F">
        <w:rPr>
          <w:rFonts w:cs="Times New Roman"/>
          <w:color w:val="000000" w:themeColor="text1"/>
          <w:szCs w:val="24"/>
        </w:rPr>
        <w:t xml:space="preserve">ustawy o cudzoziemcach </w:t>
      </w:r>
      <w:r w:rsidRPr="00B81E7D">
        <w:rPr>
          <w:rFonts w:cs="Times New Roman"/>
          <w:color w:val="000000" w:themeColor="text1"/>
          <w:szCs w:val="24"/>
        </w:rPr>
        <w:t xml:space="preserve">. Proponowana zmiana będzie </w:t>
      </w:r>
      <w:r w:rsidRPr="00B81E7D">
        <w:rPr>
          <w:rFonts w:cs="Times New Roman"/>
          <w:color w:val="000000" w:themeColor="text1"/>
          <w:szCs w:val="24"/>
        </w:rPr>
        <w:lastRenderedPageBreak/>
        <w:t xml:space="preserve">dotyczyła więc cudzoziemców, którzy posiadają zezwolenia na pobyt czasowy uzyskany ze względu </w:t>
      </w:r>
      <w:r w:rsidR="007A2889">
        <w:rPr>
          <w:rFonts w:cs="Times New Roman"/>
          <w:color w:val="000000" w:themeColor="text1"/>
          <w:szCs w:val="24"/>
        </w:rPr>
        <w:t>na </w:t>
      </w:r>
      <w:r w:rsidRPr="00B81E7D">
        <w:rPr>
          <w:rFonts w:cs="Times New Roman"/>
          <w:color w:val="000000" w:themeColor="text1"/>
          <w:szCs w:val="24"/>
        </w:rPr>
        <w:t>okoliczności takie jak prowadzenie badań naukowy</w:t>
      </w:r>
      <w:r w:rsidR="007A2889">
        <w:rPr>
          <w:rFonts w:cs="Times New Roman"/>
          <w:color w:val="000000" w:themeColor="text1"/>
          <w:szCs w:val="24"/>
        </w:rPr>
        <w:t xml:space="preserve">ch (art. 151 ust. 1 </w:t>
      </w:r>
      <w:r w:rsidR="0001654F">
        <w:rPr>
          <w:rFonts w:cs="Times New Roman"/>
          <w:color w:val="000000" w:themeColor="text1"/>
          <w:szCs w:val="24"/>
        </w:rPr>
        <w:t xml:space="preserve">ustawy o cudzoziemcach </w:t>
      </w:r>
      <w:r w:rsidR="007A2889">
        <w:rPr>
          <w:rFonts w:cs="Times New Roman"/>
          <w:color w:val="000000" w:themeColor="text1"/>
          <w:szCs w:val="24"/>
        </w:rPr>
        <w:t>) oraz </w:t>
      </w:r>
      <w:r w:rsidRPr="00B81E7D">
        <w:rPr>
          <w:rFonts w:cs="Times New Roman"/>
          <w:color w:val="000000" w:themeColor="text1"/>
          <w:szCs w:val="24"/>
        </w:rPr>
        <w:t xml:space="preserve">cudzoziemców, który bezpośrednio przed złożeniem wniosku o udzielenie zezwolenia przebywali w Polsce na podstawie zezwolenia na pobyt czasowy w celu prowadzenia badań naukowych, zakończyli prowadzenie badań naukowych lub </w:t>
      </w:r>
      <w:r w:rsidR="007A2889">
        <w:rPr>
          <w:rFonts w:cs="Times New Roman"/>
          <w:color w:val="000000" w:themeColor="text1"/>
          <w:szCs w:val="24"/>
        </w:rPr>
        <w:t>prac rozwojowych i poszukują na </w:t>
      </w:r>
      <w:r w:rsidRPr="00B81E7D">
        <w:rPr>
          <w:rFonts w:cs="Times New Roman"/>
          <w:color w:val="000000" w:themeColor="text1"/>
          <w:szCs w:val="24"/>
        </w:rPr>
        <w:t xml:space="preserve">terytorium Rzeczypospolitej Polskiej pracy lub planują rozpocząć wykonywanie działalności gospodarczej na tym terytorium </w:t>
      </w:r>
      <w:r w:rsidR="00E43544" w:rsidRPr="00B81E7D">
        <w:rPr>
          <w:rFonts w:cs="Times New Roman"/>
          <w:color w:val="000000" w:themeColor="text1"/>
          <w:szCs w:val="24"/>
        </w:rPr>
        <w:t xml:space="preserve">(art. 186 ust. 1 pkt 7 </w:t>
      </w:r>
      <w:r w:rsidR="0001654F">
        <w:rPr>
          <w:rFonts w:cs="Times New Roman"/>
          <w:color w:val="000000" w:themeColor="text1"/>
          <w:szCs w:val="24"/>
        </w:rPr>
        <w:t>ustawy o cudzoziemcach</w:t>
      </w:r>
      <w:r w:rsidR="00E43544" w:rsidRPr="00B81E7D">
        <w:rPr>
          <w:rFonts w:cs="Times New Roman"/>
          <w:color w:val="000000" w:themeColor="text1"/>
          <w:szCs w:val="24"/>
        </w:rPr>
        <w:t xml:space="preserve">). </w:t>
      </w:r>
    </w:p>
    <w:p w:rsidR="00EA0B0B" w:rsidRPr="00B81E7D" w:rsidRDefault="00EA0B0B" w:rsidP="00EA0B0B">
      <w:pPr>
        <w:spacing w:after="120" w:line="360" w:lineRule="auto"/>
        <w:jc w:val="both"/>
        <w:rPr>
          <w:rFonts w:cs="Times New Roman"/>
          <w:color w:val="000000" w:themeColor="text1"/>
          <w:szCs w:val="24"/>
        </w:rPr>
      </w:pPr>
      <w:r w:rsidRPr="00B81E7D">
        <w:rPr>
          <w:rFonts w:cs="Times New Roman"/>
          <w:color w:val="000000" w:themeColor="text1"/>
          <w:szCs w:val="24"/>
        </w:rPr>
        <w:t>Proponowane rozwiązanie zapewni możliwość wybor</w:t>
      </w:r>
      <w:r w:rsidR="007A2889">
        <w:rPr>
          <w:rFonts w:cs="Times New Roman"/>
          <w:color w:val="000000" w:themeColor="text1"/>
          <w:szCs w:val="24"/>
        </w:rPr>
        <w:t>u formy organizacyjnoprawnej do </w:t>
      </w:r>
      <w:r w:rsidRPr="00B81E7D">
        <w:rPr>
          <w:rFonts w:cs="Times New Roman"/>
          <w:color w:val="000000" w:themeColor="text1"/>
          <w:szCs w:val="24"/>
        </w:rPr>
        <w:t>wykonywania działalności gospodarczej wskazanej powyżej grupie cudzoziemców legalnie przebywających w Polsce. Innymi słowy, zmiana ta pozwoli tej konkretnej grupie cudzoziemców podjąć i wykonywać w Polsce działalność gospodarczą na takich samych zasadach jak obywatele polscy. Cudzoziemcy dysponujący</w:t>
      </w:r>
      <w:r w:rsidR="00E43544" w:rsidRPr="00B81E7D">
        <w:rPr>
          <w:rFonts w:cs="Times New Roman"/>
          <w:color w:val="000000" w:themeColor="text1"/>
          <w:szCs w:val="24"/>
        </w:rPr>
        <w:t xml:space="preserve"> jednym z tytułów pobytowych, o </w:t>
      </w:r>
      <w:r w:rsidRPr="00B81E7D">
        <w:rPr>
          <w:rFonts w:cs="Times New Roman"/>
          <w:color w:val="000000" w:themeColor="text1"/>
          <w:szCs w:val="24"/>
        </w:rPr>
        <w:t xml:space="preserve">których mowa w art. 151 ust. 1 bądź w art. 186 ust. 1 pkt 7 </w:t>
      </w:r>
      <w:r w:rsidR="0001654F">
        <w:rPr>
          <w:rFonts w:cs="Times New Roman"/>
          <w:color w:val="000000" w:themeColor="text1"/>
          <w:szCs w:val="24"/>
        </w:rPr>
        <w:t xml:space="preserve">ww. ustawy </w:t>
      </w:r>
      <w:r w:rsidRPr="00B81E7D">
        <w:rPr>
          <w:rFonts w:cs="Times New Roman"/>
          <w:color w:val="000000" w:themeColor="text1"/>
          <w:szCs w:val="24"/>
        </w:rPr>
        <w:t>, będą uprawnieni zarówno do podjęcia indywidualnej działalności gos</w:t>
      </w:r>
      <w:r w:rsidR="007A2889">
        <w:rPr>
          <w:rFonts w:cs="Times New Roman"/>
          <w:color w:val="000000" w:themeColor="text1"/>
          <w:szCs w:val="24"/>
        </w:rPr>
        <w:t>podarczej na własny rachunek na </w:t>
      </w:r>
      <w:r w:rsidRPr="00B81E7D">
        <w:rPr>
          <w:rFonts w:cs="Times New Roman"/>
          <w:color w:val="000000" w:themeColor="text1"/>
          <w:szCs w:val="24"/>
        </w:rPr>
        <w:t xml:space="preserve">podstawie wpisu do CEIDG jak i podjęcia jej w formie spółki jawnej bądź partnerskiej. </w:t>
      </w:r>
    </w:p>
    <w:p w:rsidR="00EA0B0B" w:rsidRPr="00B81E7D" w:rsidRDefault="00EA0B0B" w:rsidP="00EA0B0B">
      <w:pPr>
        <w:spacing w:after="120" w:line="360" w:lineRule="auto"/>
        <w:jc w:val="both"/>
        <w:rPr>
          <w:rFonts w:cs="Times New Roman"/>
          <w:color w:val="000000" w:themeColor="text1"/>
          <w:szCs w:val="24"/>
        </w:rPr>
      </w:pPr>
      <w:r w:rsidRPr="00B81E7D">
        <w:rPr>
          <w:rFonts w:cs="Times New Roman"/>
          <w:color w:val="000000" w:themeColor="text1"/>
          <w:szCs w:val="24"/>
        </w:rPr>
        <w:t>Regulacja ta umożliwi naukowcom z państw trzecich prowadzącym w Polsce badania naukowe lub prace rozwojowe (a także po ich zakończeniu) poza podstawowym (głównym) celem pobytu, podjąć dodatkową aktywność zawodową, m.in. w postaci indywidualnej działalności gospodarczej. Ułatwienia w podejmowaniu działalności gospodarczej w Polsce (choć może w niewielkim zakresie ze względu na relatywni</w:t>
      </w:r>
      <w:r w:rsidR="00E43544" w:rsidRPr="00B81E7D">
        <w:rPr>
          <w:rFonts w:cs="Times New Roman"/>
          <w:color w:val="000000" w:themeColor="text1"/>
          <w:szCs w:val="24"/>
        </w:rPr>
        <w:t>e nieznaczną liczbę naukowców z </w:t>
      </w:r>
      <w:r w:rsidRPr="00B81E7D">
        <w:rPr>
          <w:rFonts w:cs="Times New Roman"/>
          <w:color w:val="000000" w:themeColor="text1"/>
          <w:szCs w:val="24"/>
        </w:rPr>
        <w:t>państw trzecich przebywających w Polsce), mogą mieć pozytywny wpływ na sektor mikro, małych i średnich przedsiębiorstw. Planowane rozszerzenie przyczyni się do pełniejszej realizacji zasady swobody działalności gospodarczej, zac</w:t>
      </w:r>
      <w:r w:rsidR="007A2889">
        <w:rPr>
          <w:rFonts w:cs="Times New Roman"/>
          <w:color w:val="000000" w:themeColor="text1"/>
          <w:szCs w:val="24"/>
        </w:rPr>
        <w:t>hęcając podmioty zagraniczne do </w:t>
      </w:r>
      <w:r w:rsidRPr="00B81E7D">
        <w:rPr>
          <w:rFonts w:cs="Times New Roman"/>
          <w:color w:val="000000" w:themeColor="text1"/>
          <w:szCs w:val="24"/>
        </w:rPr>
        <w:t xml:space="preserve">uczestnictwa w polskim życiu gospodarczym. Zapewnienie możliwości podjęcia działalności gospodarczej w dogodnej formie może także </w:t>
      </w:r>
      <w:r w:rsidR="007A2889">
        <w:rPr>
          <w:rFonts w:cs="Times New Roman"/>
          <w:color w:val="000000" w:themeColor="text1"/>
          <w:szCs w:val="24"/>
        </w:rPr>
        <w:t>sprzyjać pozostaniu naukowców w </w:t>
      </w:r>
      <w:r w:rsidRPr="00B81E7D">
        <w:rPr>
          <w:rFonts w:cs="Times New Roman"/>
          <w:color w:val="000000" w:themeColor="text1"/>
          <w:szCs w:val="24"/>
        </w:rPr>
        <w:t>Polsce oraz rezygnacji z wyjazdów w celach zawodowych i za</w:t>
      </w:r>
      <w:r w:rsidR="00E43544" w:rsidRPr="00B81E7D">
        <w:rPr>
          <w:rFonts w:cs="Times New Roman"/>
          <w:color w:val="000000" w:themeColor="text1"/>
          <w:szCs w:val="24"/>
        </w:rPr>
        <w:t xml:space="preserve">robkowych do innych krajów UE. </w:t>
      </w:r>
    </w:p>
    <w:p w:rsidR="00E43544" w:rsidRPr="00B81E7D" w:rsidRDefault="00EA0B0B" w:rsidP="00EA0B0B">
      <w:pPr>
        <w:spacing w:after="120" w:line="360" w:lineRule="auto"/>
        <w:jc w:val="both"/>
        <w:rPr>
          <w:rFonts w:cs="Times New Roman"/>
          <w:szCs w:val="24"/>
        </w:rPr>
      </w:pPr>
      <w:r w:rsidRPr="00B81E7D">
        <w:rPr>
          <w:rFonts w:cs="Times New Roman"/>
          <w:color w:val="000000" w:themeColor="text1"/>
          <w:szCs w:val="24"/>
        </w:rPr>
        <w:t>Z uwagi na to, że proponowana zmiana dotyczy tej grupy cudzoziemców, którzy przebywają już w Polsce (posiadają ważny tytuł pobytowy)</w:t>
      </w:r>
      <w:r w:rsidR="00E43544" w:rsidRPr="00B81E7D">
        <w:rPr>
          <w:rFonts w:cs="Times New Roman"/>
          <w:color w:val="000000" w:themeColor="text1"/>
          <w:szCs w:val="24"/>
        </w:rPr>
        <w:t>,</w:t>
      </w:r>
      <w:r w:rsidRPr="00B81E7D">
        <w:rPr>
          <w:rFonts w:cs="Times New Roman"/>
          <w:color w:val="000000" w:themeColor="text1"/>
          <w:szCs w:val="24"/>
        </w:rPr>
        <w:t xml:space="preserve"> nie jest przewidywany wzrost liczby cudzoziemców przyjeżdżających w Polski, co mogłoby spowodować istotne zwiększenie obowiązków po stronie Straży Granicznej – jako instytucji kontrolującej legalność pobytu cudzoziemców w Polsce. Nie przewiduje się także, aby pro</w:t>
      </w:r>
      <w:r w:rsidR="007A2889">
        <w:rPr>
          <w:rFonts w:cs="Times New Roman"/>
          <w:color w:val="000000" w:themeColor="text1"/>
          <w:szCs w:val="24"/>
        </w:rPr>
        <w:t xml:space="preserve">jektowana regulacja wpłynęła </w:t>
      </w:r>
      <w:r w:rsidR="007A2889">
        <w:rPr>
          <w:rFonts w:cs="Times New Roman"/>
          <w:color w:val="000000" w:themeColor="text1"/>
          <w:szCs w:val="24"/>
        </w:rPr>
        <w:lastRenderedPageBreak/>
        <w:t>na </w:t>
      </w:r>
      <w:r w:rsidRPr="00B81E7D">
        <w:rPr>
          <w:rFonts w:cs="Times New Roman"/>
          <w:color w:val="000000" w:themeColor="text1"/>
          <w:szCs w:val="24"/>
        </w:rPr>
        <w:t>zwiększenie obowiązków wojewody w zakresie wydawania zezwoleń pobytowych. Podstawą wpisu do CEIDG (odpowiednio do KRS) będzie fakt posiadania przez cudzoziemca uprzednio wydanego zezwolenia na pobyt czasowy u</w:t>
      </w:r>
      <w:r w:rsidR="00E43544" w:rsidRPr="00B81E7D">
        <w:rPr>
          <w:rFonts w:cs="Times New Roman"/>
          <w:color w:val="000000" w:themeColor="text1"/>
          <w:szCs w:val="24"/>
        </w:rPr>
        <w:t>zyskanego ze względu na jedną z </w:t>
      </w:r>
      <w:r w:rsidRPr="00B81E7D">
        <w:rPr>
          <w:rFonts w:cs="Times New Roman"/>
          <w:color w:val="000000" w:themeColor="text1"/>
          <w:szCs w:val="24"/>
        </w:rPr>
        <w:t xml:space="preserve">okoliczności, o których mowa w art. 151 ust. 1 oraz art. 186 ust. 1 pkt 7 </w:t>
      </w:r>
      <w:r w:rsidR="0001654F">
        <w:rPr>
          <w:rFonts w:cs="Times New Roman"/>
          <w:color w:val="000000" w:themeColor="text1"/>
          <w:szCs w:val="24"/>
        </w:rPr>
        <w:t xml:space="preserve">ustawy o cudzoziemcach </w:t>
      </w:r>
      <w:r w:rsidRPr="00B81E7D">
        <w:rPr>
          <w:rFonts w:cs="Times New Roman"/>
          <w:color w:val="000000" w:themeColor="text1"/>
          <w:szCs w:val="24"/>
        </w:rPr>
        <w:t>. Wpis przedsiębiorcy (cudzoziemca) do CEIDG będzie niero</w:t>
      </w:r>
      <w:r w:rsidR="007A2889">
        <w:rPr>
          <w:rFonts w:cs="Times New Roman"/>
          <w:color w:val="000000" w:themeColor="text1"/>
          <w:szCs w:val="24"/>
        </w:rPr>
        <w:t>zerwalnie związany z określonym </w:t>
      </w:r>
      <w:r w:rsidRPr="00B81E7D">
        <w:rPr>
          <w:rFonts w:cs="Times New Roman"/>
          <w:color w:val="000000" w:themeColor="text1"/>
          <w:szCs w:val="24"/>
        </w:rPr>
        <w:t>zezwoleniem na pobyt czasowy bez któreg</w:t>
      </w:r>
      <w:r w:rsidR="00E01AAE">
        <w:rPr>
          <w:rFonts w:cs="Times New Roman"/>
          <w:color w:val="000000" w:themeColor="text1"/>
          <w:szCs w:val="24"/>
        </w:rPr>
        <w:t>o cudzoziemiec, po pierwsze nie </w:t>
      </w:r>
      <w:r w:rsidRPr="00B81E7D">
        <w:rPr>
          <w:rFonts w:cs="Times New Roman"/>
          <w:color w:val="000000" w:themeColor="text1"/>
          <w:szCs w:val="24"/>
        </w:rPr>
        <w:t xml:space="preserve">dokona wpisu do CEIDG, a po drugie w odniesieniu do CEIDG, w przypadku </w:t>
      </w:r>
      <w:r w:rsidR="00E43544" w:rsidRPr="00B81E7D">
        <w:rPr>
          <w:rFonts w:cs="Times New Roman"/>
          <w:color w:val="000000" w:themeColor="text1"/>
          <w:szCs w:val="24"/>
        </w:rPr>
        <w:t>jego utraty zostanie z urzędu z </w:t>
      </w:r>
      <w:r w:rsidRPr="00B81E7D">
        <w:rPr>
          <w:rFonts w:cs="Times New Roman"/>
          <w:color w:val="000000" w:themeColor="text1"/>
          <w:szCs w:val="24"/>
        </w:rPr>
        <w:t>niej wykreślony na podstawie art. 29 ust. 1 pkt 2 ustawy z dnia 6 marca 2018 r. o Centralnej Ewidencji i Informacji o Działalności Gospodarczej i Punkcie Informacji dla Przedsiębiorcy (CEIDG i PIP) w drodze decyzji Ministra Przedsięb</w:t>
      </w:r>
      <w:r w:rsidR="007A2889">
        <w:rPr>
          <w:rFonts w:cs="Times New Roman"/>
          <w:color w:val="000000" w:themeColor="text1"/>
          <w:szCs w:val="24"/>
        </w:rPr>
        <w:t>iorczości i </w:t>
      </w:r>
      <w:r w:rsidRPr="00B81E7D">
        <w:rPr>
          <w:rFonts w:cs="Times New Roman"/>
          <w:color w:val="000000" w:themeColor="text1"/>
          <w:szCs w:val="24"/>
        </w:rPr>
        <w:t>Technologii</w:t>
      </w:r>
      <w:r w:rsidRPr="00B81E7D">
        <w:rPr>
          <w:rFonts w:cs="Times New Roman"/>
          <w:szCs w:val="24"/>
        </w:rPr>
        <w:t>.</w:t>
      </w:r>
    </w:p>
    <w:p w:rsidR="00835AAC" w:rsidRPr="00B81E7D" w:rsidRDefault="00835AAC" w:rsidP="00835AAC">
      <w:pPr>
        <w:spacing w:after="200" w:line="360" w:lineRule="auto"/>
        <w:jc w:val="both"/>
        <w:rPr>
          <w:rFonts w:eastAsia="Calibri" w:cs="Times New Roman"/>
          <w:szCs w:val="24"/>
        </w:rPr>
      </w:pPr>
    </w:p>
    <w:p w:rsidR="000A16E4" w:rsidRPr="00B81E7D" w:rsidRDefault="000A16E4" w:rsidP="00AD47B7">
      <w:pPr>
        <w:numPr>
          <w:ilvl w:val="0"/>
          <w:numId w:val="2"/>
        </w:numPr>
        <w:spacing w:before="120" w:line="360" w:lineRule="auto"/>
        <w:jc w:val="both"/>
        <w:rPr>
          <w:rFonts w:cs="Times New Roman"/>
          <w:b/>
          <w:szCs w:val="24"/>
        </w:rPr>
      </w:pPr>
      <w:r w:rsidRPr="00B81E7D">
        <w:rPr>
          <w:rFonts w:cs="Times New Roman"/>
          <w:b/>
          <w:szCs w:val="24"/>
        </w:rPr>
        <w:t xml:space="preserve">Zmiany w ustawie </w:t>
      </w:r>
      <w:r w:rsidRPr="00B81E7D">
        <w:rPr>
          <w:b/>
        </w:rPr>
        <w:t xml:space="preserve">z dnia 10 maja 2018 r. o wspieraniu nowych inwestycji (art. </w:t>
      </w:r>
      <w:r w:rsidR="004775F4">
        <w:rPr>
          <w:b/>
        </w:rPr>
        <w:t>63</w:t>
      </w:r>
      <w:r w:rsidR="004775F4" w:rsidRPr="00B81E7D">
        <w:rPr>
          <w:b/>
        </w:rPr>
        <w:t xml:space="preserve"> </w:t>
      </w:r>
      <w:r w:rsidRPr="00B81E7D">
        <w:rPr>
          <w:b/>
        </w:rPr>
        <w:t>projektu).</w:t>
      </w:r>
    </w:p>
    <w:p w:rsidR="00830648" w:rsidRPr="00B81E7D" w:rsidRDefault="00830648" w:rsidP="00830648">
      <w:pPr>
        <w:spacing w:line="360" w:lineRule="auto"/>
        <w:jc w:val="both"/>
        <w:rPr>
          <w:szCs w:val="24"/>
        </w:rPr>
      </w:pPr>
      <w:r w:rsidRPr="00B81E7D">
        <w:rPr>
          <w:szCs w:val="24"/>
        </w:rPr>
        <w:t xml:space="preserve">Zmiana brzmienia art. 3 </w:t>
      </w:r>
      <w:r w:rsidR="0001654F">
        <w:rPr>
          <w:szCs w:val="24"/>
        </w:rPr>
        <w:t xml:space="preserve">ustawy </w:t>
      </w:r>
      <w:r w:rsidRPr="00B81E7D">
        <w:rPr>
          <w:szCs w:val="24"/>
        </w:rPr>
        <w:t>wynika z obserwacji praktyki stosowania tego przepisu. Praktyka stosowania normy zawartej w art. 3 wskazuje na problemy z wydawaniem decyzji o wsparciu na terenach, na których znajdują się niezagospodarowane złoża kopalin. Takie złoża kopalin to często piaski lub żwiry nieposiadające dużego znaczenia dla gospodarki. Złoża posiadające szczególnie istotne znaczenia dla gospodarki, są już w znacznej większości zagospodarowane. Tak więc wartość dodana z realizowanej inwestycji często może być większa niż potencjalne zyski z eksploatacji tych złóż. Jednocześnie należy podkreślić, iż przepis ten nie spełnia swojej funkcji w wymiarze systemowym, gdyż inwestycji nie korzystającej ze wsparcia (realizowanej na ogólnych zasadach prowadzenia działalności gospodarczej) nie dotyczy ograniczenie z art. 3.</w:t>
      </w:r>
    </w:p>
    <w:p w:rsidR="00830648" w:rsidRPr="00B81E7D" w:rsidRDefault="00830648" w:rsidP="00830648">
      <w:pPr>
        <w:spacing w:line="360" w:lineRule="auto"/>
        <w:jc w:val="both"/>
        <w:rPr>
          <w:szCs w:val="24"/>
        </w:rPr>
      </w:pPr>
      <w:r w:rsidRPr="00B81E7D">
        <w:rPr>
          <w:szCs w:val="24"/>
        </w:rPr>
        <w:t>Uchylenie ust. 2 w art. 14 jest zasadne, gdyż osoby karane, wobec których nie orzeczono środka karnego w postaci zakazu prowadzenia działalności gospodarczej mogą prowadzić taką działalność. Przepis ten nosi charakter dyskryminacyjny. Jednocześnie należy wskazać, iż obecnie obowiązujące normy prawa karnego umożliwiają wyłączenie osób skazanych z prowadzenia działalności gospodarczej.</w:t>
      </w:r>
    </w:p>
    <w:p w:rsidR="00830648" w:rsidRPr="00B81E7D" w:rsidRDefault="00830648" w:rsidP="00830648">
      <w:pPr>
        <w:spacing w:line="360" w:lineRule="auto"/>
        <w:jc w:val="both"/>
        <w:rPr>
          <w:color w:val="000000"/>
          <w:szCs w:val="24"/>
        </w:rPr>
      </w:pPr>
      <w:r w:rsidRPr="00B81E7D">
        <w:rPr>
          <w:color w:val="000000"/>
          <w:szCs w:val="24"/>
        </w:rPr>
        <w:t xml:space="preserve">Przepis art. 14 ust. 2 (podobnie jak w przypadku zdania drugiego w art. 3 ustawy o wspieraniu nowych inwestycji) </w:t>
      </w:r>
      <w:r w:rsidRPr="00B81E7D">
        <w:rPr>
          <w:i/>
          <w:color w:val="000000"/>
          <w:szCs w:val="24"/>
        </w:rPr>
        <w:t>de facto</w:t>
      </w:r>
      <w:r w:rsidRPr="00B81E7D">
        <w:rPr>
          <w:color w:val="000000"/>
          <w:szCs w:val="24"/>
        </w:rPr>
        <w:t xml:space="preserve"> nie spełnia swojej funkcji, gdyż przedsiębiorca nie korzystający ze wsparcia, wobec którego nie orzeczono zakazu prowadzenia określonej działalności, może wykonywać działalność gospodarczą nawet w sytuacji bycia osobą skazaną za przestępstwo </w:t>
      </w:r>
      <w:r w:rsidRPr="00B81E7D">
        <w:rPr>
          <w:color w:val="000000"/>
          <w:szCs w:val="24"/>
        </w:rPr>
        <w:lastRenderedPageBreak/>
        <w:t>przeciwko środowisku. Ponadto, należy poddać w wątpliwość</w:t>
      </w:r>
      <w:r w:rsidR="00A0471F" w:rsidRPr="00B81E7D">
        <w:rPr>
          <w:color w:val="000000"/>
          <w:szCs w:val="24"/>
        </w:rPr>
        <w:t>,</w:t>
      </w:r>
      <w:r w:rsidRPr="00B81E7D">
        <w:rPr>
          <w:color w:val="000000"/>
          <w:szCs w:val="24"/>
        </w:rPr>
        <w:t xml:space="preserve"> dlaczego akurat wyłącznie przestępstwo przeciwko środowisku miałoby wykluczać z grona beneficjantów wsparcia. Szczególnie wobec faktu, że ustawodawca z potencjalnego katalogu przestępstw wskazał akurat to, tym samym sugerując jego większą szkodliwość aniż</w:t>
      </w:r>
      <w:r w:rsidR="007A2889">
        <w:rPr>
          <w:color w:val="000000"/>
          <w:szCs w:val="24"/>
        </w:rPr>
        <w:t>eli tak znaczących dla </w:t>
      </w:r>
      <w:r w:rsidRPr="00B81E7D">
        <w:rPr>
          <w:color w:val="000000"/>
          <w:szCs w:val="24"/>
        </w:rPr>
        <w:t>pewności obrotu gospodarczego przestępstw jak np. kradzież (art. 278 KK), pranie brudnych pieniędzy (art. 299 KK) czy fałszowanie pieniędzy (art. 310 KK)</w:t>
      </w:r>
      <w:r w:rsidR="00D6300A" w:rsidRPr="00B81E7D">
        <w:rPr>
          <w:color w:val="000000"/>
          <w:szCs w:val="24"/>
        </w:rPr>
        <w:t>, które zostały pominięte w </w:t>
      </w:r>
      <w:r w:rsidRPr="00B81E7D">
        <w:rPr>
          <w:color w:val="000000"/>
          <w:szCs w:val="24"/>
        </w:rPr>
        <w:t>ustawie.</w:t>
      </w:r>
    </w:p>
    <w:p w:rsidR="00830648" w:rsidRPr="00B81E7D" w:rsidRDefault="00830648" w:rsidP="00830648">
      <w:pPr>
        <w:spacing w:line="360" w:lineRule="auto"/>
        <w:jc w:val="both"/>
        <w:rPr>
          <w:szCs w:val="24"/>
        </w:rPr>
      </w:pPr>
      <w:r w:rsidRPr="00B81E7D">
        <w:rPr>
          <w:color w:val="000000"/>
          <w:szCs w:val="24"/>
        </w:rPr>
        <w:t>Dotychczasowe regulacje (zawarte w ustawie o specjalnych strefach ekonomicznych) dotyczące uzyskiwania decyzji administracyjnej dotyczącej zwolnienia podatkowego w postaci zezwolenia na prowadzenie działalności na terenie specjalnej strefy ekonomicznej nie przewidywały takiego warunku i nie uzależniały wydania zezwolenia od niekaralności wnioskodawcy. Oceniając z perspektywy wielu lat stosowania prawa, brak takich regulacji nie wpłynął negatywnie na funkcjonowanie systemu pomocy publicznej w postaci zachęt podatkowych. Istniejący obecnie w kodeksie karnym środek karny w postaci zakazu wykonywania określonej działalności, zdaniem MPIT w wystarczającym stopniu chroni obrót gospodarczy i prawny i dlatego nie zachodzi potrzeba funkcjonowania tego typu przepisu. Ust. 2 art. 14 jest według MPIT niepotrzebną</w:t>
      </w:r>
      <w:r w:rsidR="0001654F">
        <w:rPr>
          <w:color w:val="000000"/>
          <w:szCs w:val="24"/>
        </w:rPr>
        <w:t xml:space="preserve"> i </w:t>
      </w:r>
      <w:r w:rsidRPr="00B81E7D">
        <w:rPr>
          <w:color w:val="000000"/>
          <w:szCs w:val="24"/>
        </w:rPr>
        <w:t xml:space="preserve"> szczególnie uciążliwą barierą w z</w:t>
      </w:r>
      <w:r w:rsidR="00D6300A" w:rsidRPr="00B81E7D">
        <w:rPr>
          <w:color w:val="000000"/>
          <w:szCs w:val="24"/>
        </w:rPr>
        <w:t>abiegach o </w:t>
      </w:r>
      <w:r w:rsidRPr="00B81E7D">
        <w:rPr>
          <w:color w:val="000000"/>
          <w:szCs w:val="24"/>
        </w:rPr>
        <w:t>uzyskanie wsparcia w postaci zwolnienia podatkowego.</w:t>
      </w:r>
    </w:p>
    <w:p w:rsidR="000A16E4" w:rsidRPr="00B81E7D" w:rsidRDefault="000A16E4" w:rsidP="00300F19">
      <w:pPr>
        <w:spacing w:before="120" w:after="120" w:line="360" w:lineRule="auto"/>
        <w:jc w:val="both"/>
        <w:rPr>
          <w:rFonts w:cs="Times New Roman"/>
          <w:szCs w:val="24"/>
        </w:rPr>
      </w:pPr>
    </w:p>
    <w:p w:rsidR="0082566D" w:rsidRPr="00B81E7D" w:rsidRDefault="0082566D" w:rsidP="00AD47B7">
      <w:pPr>
        <w:numPr>
          <w:ilvl w:val="0"/>
          <w:numId w:val="2"/>
        </w:numPr>
        <w:spacing w:before="120" w:line="360" w:lineRule="auto"/>
        <w:jc w:val="both"/>
        <w:rPr>
          <w:b/>
        </w:rPr>
      </w:pPr>
      <w:r w:rsidRPr="00B81E7D">
        <w:rPr>
          <w:rFonts w:cs="Times New Roman"/>
          <w:b/>
          <w:szCs w:val="24"/>
        </w:rPr>
        <w:t>Zmiany w ustawie z dnia 15 czerwca 2018 r. o zmianie ustawy – Prawo geologiczn</w:t>
      </w:r>
      <w:r w:rsidRPr="00B81E7D">
        <w:rPr>
          <w:b/>
        </w:rPr>
        <w:t xml:space="preserve">e i górnicze oraz niektórych innych ustaw (art. </w:t>
      </w:r>
      <w:r w:rsidR="004775F4">
        <w:rPr>
          <w:b/>
        </w:rPr>
        <w:t>64</w:t>
      </w:r>
      <w:r w:rsidR="004775F4" w:rsidRPr="00B81E7D">
        <w:rPr>
          <w:b/>
        </w:rPr>
        <w:t xml:space="preserve"> </w:t>
      </w:r>
      <w:r w:rsidRPr="00B81E7D">
        <w:rPr>
          <w:b/>
        </w:rPr>
        <w:t>projektu).</w:t>
      </w:r>
    </w:p>
    <w:p w:rsidR="000A2DAC" w:rsidRPr="00B81E7D" w:rsidRDefault="000A2DAC" w:rsidP="000A2DAC">
      <w:pPr>
        <w:spacing w:before="120" w:line="360" w:lineRule="auto"/>
        <w:jc w:val="both"/>
        <w:rPr>
          <w:rFonts w:eastAsia="Calibri" w:cs="Times New Roman"/>
          <w:color w:val="000000"/>
          <w:szCs w:val="24"/>
          <w:lang w:eastAsia="pl-PL"/>
        </w:rPr>
      </w:pPr>
      <w:r w:rsidRPr="00B81E7D">
        <w:t>Proponowana zmiana</w:t>
      </w:r>
      <w:r w:rsidRPr="00B81E7D">
        <w:rPr>
          <w:rFonts w:eastAsia="Calibri" w:cs="Times New Roman"/>
          <w:color w:val="000000"/>
          <w:szCs w:val="24"/>
          <w:lang w:eastAsia="pl-PL"/>
        </w:rPr>
        <w:t xml:space="preserve"> art. 20 ustawy z dnia 15 czerwca 2018 r. o zmianie ustawy </w:t>
      </w:r>
      <w:r w:rsidR="0001654F">
        <w:rPr>
          <w:rFonts w:eastAsia="Calibri" w:cs="Times New Roman"/>
          <w:color w:val="000000"/>
          <w:szCs w:val="24"/>
          <w:lang w:eastAsia="pl-PL"/>
        </w:rPr>
        <w:t xml:space="preserve">- </w:t>
      </w:r>
      <w:r w:rsidRPr="00B81E7D">
        <w:rPr>
          <w:rFonts w:eastAsia="Calibri" w:cs="Times New Roman"/>
          <w:color w:val="000000"/>
          <w:szCs w:val="24"/>
          <w:lang w:eastAsia="pl-PL"/>
        </w:rPr>
        <w:t>Prawo geologiczne i górnicze oraz niektórych innych ustaw (Dz. U. z 2018 r., poz. 1563), w postaci modyfikacji ust. 2 i dodania ust. 2a ma na celu dostosowa</w:t>
      </w:r>
      <w:r w:rsidR="007A2889">
        <w:rPr>
          <w:rFonts w:eastAsia="Calibri" w:cs="Times New Roman"/>
          <w:color w:val="000000"/>
          <w:szCs w:val="24"/>
          <w:lang w:eastAsia="pl-PL"/>
        </w:rPr>
        <w:t>nie brzmienia tych przepisów do </w:t>
      </w:r>
      <w:r w:rsidRPr="00B81E7D">
        <w:rPr>
          <w:rFonts w:eastAsia="Calibri" w:cs="Times New Roman"/>
          <w:color w:val="000000"/>
          <w:szCs w:val="24"/>
          <w:lang w:eastAsia="pl-PL"/>
        </w:rPr>
        <w:t>brzmienia art. 93 ust. 1 i ust. 1a ustawy z dnia 9 czerwca 2011 r. – Prawo geologiczne i </w:t>
      </w:r>
      <w:r w:rsidRPr="00B81E7D">
        <w:rPr>
          <w:rFonts w:cs="Times New Roman"/>
          <w:szCs w:val="24"/>
        </w:rPr>
        <w:t>górnicze.</w:t>
      </w:r>
      <w:r w:rsidRPr="00B81E7D">
        <w:rPr>
          <w:rFonts w:cs="Times New Roman"/>
          <w:szCs w:val="24"/>
        </w:rPr>
        <w:br/>
        <w:t>Zmiany te są konieczne przede wszystkim ze względu na wątpliwości dotyczące ilości informatycznych</w:t>
      </w:r>
      <w:r w:rsidRPr="00B81E7D">
        <w:rPr>
          <w:rFonts w:eastAsia="Calibri" w:cs="Times New Roman"/>
          <w:color w:val="000000"/>
          <w:szCs w:val="24"/>
          <w:lang w:eastAsia="pl-PL"/>
        </w:rPr>
        <w:t xml:space="preserve"> nośników danych, na których przedkłada się dokumentację geologiczną w postaci elektronicznej. Z aktualnego brzmienia przepisów regulujących tą problematykę może bowiem wynikać, iż przedsiębiorca (inwestor) prze</w:t>
      </w:r>
      <w:r w:rsidR="007A2889">
        <w:rPr>
          <w:rFonts w:eastAsia="Calibri" w:cs="Times New Roman"/>
          <w:color w:val="000000"/>
          <w:szCs w:val="24"/>
          <w:lang w:eastAsia="pl-PL"/>
        </w:rPr>
        <w:t>dkładający taką dokumentację ma </w:t>
      </w:r>
      <w:r w:rsidRPr="00B81E7D">
        <w:rPr>
          <w:rFonts w:eastAsia="Calibri" w:cs="Times New Roman"/>
          <w:color w:val="000000"/>
          <w:szCs w:val="24"/>
          <w:lang w:eastAsia="pl-PL"/>
        </w:rPr>
        <w:t xml:space="preserve">obowiązek przedłożyć ją tylko i wyłącznie na 4 informatycznych nośnikach danych. Innymi słowy można wnioskować, iż danego egzemplarza dokumentacji w postaci elektronicznej nie można przedkładać na więcej niż jednym informatycznym nośniku danych </w:t>
      </w:r>
      <w:r w:rsidRPr="00B81E7D">
        <w:rPr>
          <w:rFonts w:eastAsia="Calibri" w:cs="Times New Roman"/>
          <w:color w:val="000000"/>
          <w:szCs w:val="24"/>
          <w:lang w:eastAsia="pl-PL"/>
        </w:rPr>
        <w:lastRenderedPageBreak/>
        <w:t>(np. na dwóch płytach CD). Taka interpretacja j</w:t>
      </w:r>
      <w:r w:rsidR="007A2889">
        <w:rPr>
          <w:rFonts w:eastAsia="Calibri" w:cs="Times New Roman"/>
          <w:color w:val="000000"/>
          <w:szCs w:val="24"/>
          <w:lang w:eastAsia="pl-PL"/>
        </w:rPr>
        <w:t>est oczywiście niekorzystna dla </w:t>
      </w:r>
      <w:r w:rsidRPr="00B81E7D">
        <w:rPr>
          <w:rFonts w:eastAsia="Calibri" w:cs="Times New Roman"/>
          <w:color w:val="000000"/>
          <w:szCs w:val="24"/>
          <w:lang w:eastAsia="pl-PL"/>
        </w:rPr>
        <w:t>przedsiębiorców (inwestorów) i nie była ona zamiarem prawodawcy.</w:t>
      </w:r>
    </w:p>
    <w:p w:rsidR="000A2DAC" w:rsidRPr="00B81E7D" w:rsidRDefault="000A2DAC" w:rsidP="000A2DAC">
      <w:pPr>
        <w:spacing w:before="120" w:line="360" w:lineRule="auto"/>
        <w:jc w:val="both"/>
        <w:rPr>
          <w:rFonts w:eastAsia="Calibri" w:cs="Times New Roman"/>
          <w:color w:val="000000"/>
          <w:szCs w:val="24"/>
          <w:lang w:eastAsia="pl-PL"/>
        </w:rPr>
      </w:pPr>
      <w:r w:rsidRPr="00B81E7D">
        <w:rPr>
          <w:rFonts w:eastAsia="Calibri" w:cs="Times New Roman"/>
          <w:color w:val="000000"/>
          <w:szCs w:val="24"/>
          <w:lang w:eastAsia="pl-PL"/>
        </w:rPr>
        <w:t>Jednocześnie dodano przepisy, które pozwalają na redukcję ilości egzemplarzy dokumentacji geologicznej dotyczącej wyłącznie obszarów morskich Rzeczypospolitej Polskiej.</w:t>
      </w:r>
    </w:p>
    <w:p w:rsidR="000A2DAC" w:rsidRPr="00B81E7D" w:rsidRDefault="000A2DAC" w:rsidP="000A2DAC">
      <w:pPr>
        <w:spacing w:before="120" w:line="360" w:lineRule="auto"/>
        <w:jc w:val="both"/>
        <w:rPr>
          <w:rFonts w:cs="Times New Roman"/>
          <w:szCs w:val="24"/>
        </w:rPr>
      </w:pPr>
      <w:r w:rsidRPr="00B81E7D">
        <w:rPr>
          <w:rFonts w:eastAsia="Calibri" w:cs="Times New Roman"/>
          <w:color w:val="000000"/>
          <w:szCs w:val="24"/>
          <w:lang w:eastAsia="pl-PL"/>
        </w:rPr>
        <w:t>Reasumując, zaproponowana zmiana art. 20 ustawy z dnia 15 czerwca 2018 r. o zmianie ustawy Prawo geologiczne i górnicze oraz niektórych innych ustaw pozwoli na przyjęcie spójnych rozwiązań we wszystkich przypadkach, w których istnieje obowiązek przedkładania dokumentacji geologicznych.</w:t>
      </w:r>
    </w:p>
    <w:p w:rsidR="00CF42DA" w:rsidRPr="00B81E7D" w:rsidRDefault="001A307B" w:rsidP="00B421C2">
      <w:pPr>
        <w:spacing w:before="120" w:line="360" w:lineRule="auto"/>
        <w:jc w:val="both"/>
        <w:rPr>
          <w:rFonts w:cs="Times New Roman"/>
          <w:b/>
          <w:szCs w:val="24"/>
        </w:rPr>
      </w:pPr>
      <w:r w:rsidRPr="00B81E7D">
        <w:rPr>
          <w:rFonts w:cs="Times New Roman"/>
          <w:b/>
          <w:szCs w:val="24"/>
        </w:rPr>
        <w:t xml:space="preserve"> </w:t>
      </w:r>
    </w:p>
    <w:p w:rsidR="00F668C5" w:rsidRPr="00B81E7D" w:rsidRDefault="004924E1" w:rsidP="00AD47B7">
      <w:pPr>
        <w:numPr>
          <w:ilvl w:val="0"/>
          <w:numId w:val="2"/>
        </w:numPr>
        <w:spacing w:before="120" w:line="360" w:lineRule="auto"/>
        <w:jc w:val="both"/>
        <w:rPr>
          <w:rFonts w:cs="Times New Roman"/>
          <w:b/>
          <w:szCs w:val="24"/>
        </w:rPr>
      </w:pPr>
      <w:r w:rsidRPr="00B81E7D">
        <w:rPr>
          <w:rFonts w:cs="Times New Roman"/>
          <w:b/>
          <w:szCs w:val="24"/>
        </w:rPr>
        <w:t xml:space="preserve">Zmiany w ustawie z dnia 5 lipca 2018 r. o zarządzie sukcesyjnym przedsiębiorstwem osoby fizycznej </w:t>
      </w:r>
      <w:r w:rsidR="00587142" w:rsidRPr="00B81E7D">
        <w:rPr>
          <w:rFonts w:cs="Times New Roman"/>
          <w:b/>
          <w:szCs w:val="24"/>
        </w:rPr>
        <w:t xml:space="preserve">(art. </w:t>
      </w:r>
      <w:r w:rsidR="004775F4">
        <w:rPr>
          <w:rFonts w:cs="Times New Roman"/>
          <w:b/>
          <w:szCs w:val="24"/>
        </w:rPr>
        <w:t>65</w:t>
      </w:r>
      <w:r w:rsidR="004775F4" w:rsidRPr="00B81E7D">
        <w:rPr>
          <w:rFonts w:cs="Times New Roman"/>
          <w:b/>
          <w:szCs w:val="24"/>
        </w:rPr>
        <w:t xml:space="preserve"> </w:t>
      </w:r>
      <w:r w:rsidR="00587142" w:rsidRPr="00B81E7D">
        <w:rPr>
          <w:rFonts w:cs="Times New Roman"/>
          <w:b/>
          <w:szCs w:val="24"/>
        </w:rPr>
        <w:t>projektu)</w:t>
      </w:r>
      <w:r w:rsidRPr="00B81E7D">
        <w:rPr>
          <w:rFonts w:cs="Times New Roman"/>
          <w:b/>
          <w:szCs w:val="24"/>
        </w:rPr>
        <w:t>.</w:t>
      </w:r>
    </w:p>
    <w:p w:rsidR="008830C0" w:rsidRPr="00B81E7D" w:rsidRDefault="00922EFD" w:rsidP="00B421C2">
      <w:pPr>
        <w:spacing w:after="120" w:line="360" w:lineRule="auto"/>
        <w:jc w:val="both"/>
        <w:rPr>
          <w:rFonts w:cs="Times New Roman"/>
          <w:iCs/>
          <w:szCs w:val="24"/>
        </w:rPr>
      </w:pPr>
      <w:r w:rsidRPr="00B81E7D">
        <w:rPr>
          <w:rFonts w:eastAsia="Calibri" w:cs="Times New Roman"/>
          <w:color w:val="000000"/>
          <w:szCs w:val="24"/>
          <w:lang w:eastAsia="pl-PL"/>
        </w:rPr>
        <w:t>Zakres projektowanych rozwiązań stanowi drugi etap zmian, których celem jest ułatwienie sukcesji przedsiębiorstw. Proponowane rozwiązania wymagają zmiany tytułu oraz poszerzenia zakresu przedmiotowego ustawy o zarzą</w:t>
      </w:r>
      <w:r w:rsidR="007A2889">
        <w:rPr>
          <w:rFonts w:eastAsia="Calibri" w:cs="Times New Roman"/>
          <w:color w:val="000000"/>
          <w:szCs w:val="24"/>
          <w:lang w:eastAsia="pl-PL"/>
        </w:rPr>
        <w:t>dzie sukcesyjnym. Pozwoli to na </w:t>
      </w:r>
      <w:r w:rsidRPr="00B81E7D">
        <w:rPr>
          <w:rFonts w:eastAsia="Calibri" w:cs="Times New Roman"/>
          <w:color w:val="000000"/>
          <w:szCs w:val="24"/>
          <w:lang w:eastAsia="pl-PL"/>
        </w:rPr>
        <w:t>wykorzystanie mechanizmów i narzędzi zaprojektowanych na potrzeby zarządu sukcesyjnego (np. procedura powoływania zarządcy sukcesyjnego po śmierci przedsiębiorcy czy postępowanie w przedmiocie przeniesienia decyzji zwi</w:t>
      </w:r>
      <w:r w:rsidR="007A2889">
        <w:rPr>
          <w:rFonts w:eastAsia="Calibri" w:cs="Times New Roman"/>
          <w:color w:val="000000"/>
          <w:szCs w:val="24"/>
          <w:lang w:eastAsia="pl-PL"/>
        </w:rPr>
        <w:t>ązanych z przedsiębiorstwem). W </w:t>
      </w:r>
      <w:r w:rsidRPr="00B81E7D">
        <w:rPr>
          <w:rFonts w:eastAsia="Calibri" w:cs="Times New Roman"/>
          <w:color w:val="000000"/>
          <w:szCs w:val="24"/>
          <w:lang w:eastAsia="pl-PL"/>
        </w:rPr>
        <w:t xml:space="preserve">tym celu proponuje się rozdzielenie dotychczasowego </w:t>
      </w:r>
      <w:r w:rsidR="007A2889">
        <w:rPr>
          <w:rFonts w:eastAsia="Calibri" w:cs="Times New Roman"/>
          <w:color w:val="000000"/>
          <w:szCs w:val="24"/>
          <w:lang w:eastAsia="pl-PL"/>
        </w:rPr>
        <w:t>rozdziału 1 „Przepisy ogólne" i </w:t>
      </w:r>
      <w:r w:rsidRPr="00B81E7D">
        <w:rPr>
          <w:rFonts w:eastAsia="Calibri" w:cs="Times New Roman"/>
          <w:color w:val="000000"/>
          <w:szCs w:val="24"/>
          <w:lang w:eastAsia="pl-PL"/>
        </w:rPr>
        <w:t xml:space="preserve">utworzenie dwóch odrębnych rozdziałów, w których pierwszy będzie określał zakres przedmiotowy ustawy (rozdział </w:t>
      </w:r>
      <w:r w:rsidR="000D6091" w:rsidRPr="00B81E7D">
        <w:rPr>
          <w:rFonts w:eastAsia="Calibri" w:cs="Times New Roman"/>
          <w:color w:val="000000"/>
          <w:szCs w:val="24"/>
          <w:lang w:eastAsia="pl-PL"/>
        </w:rPr>
        <w:t>1</w:t>
      </w:r>
      <w:r w:rsidRPr="00B81E7D">
        <w:rPr>
          <w:rFonts w:eastAsia="Calibri" w:cs="Times New Roman"/>
          <w:color w:val="000000"/>
          <w:szCs w:val="24"/>
          <w:lang w:eastAsia="pl-PL"/>
        </w:rPr>
        <w:t xml:space="preserve">), a drugi będzie zawierał </w:t>
      </w:r>
      <w:r w:rsidR="007A2889">
        <w:rPr>
          <w:rFonts w:eastAsia="Calibri" w:cs="Times New Roman"/>
          <w:color w:val="000000"/>
          <w:szCs w:val="24"/>
          <w:lang w:eastAsia="pl-PL"/>
        </w:rPr>
        <w:t>dotychczasową treść artykułów 2</w:t>
      </w:r>
      <w:r w:rsidR="007A2889">
        <w:rPr>
          <w:rFonts w:eastAsia="Calibri" w:cs="Times New Roman"/>
          <w:color w:val="000000"/>
          <w:szCs w:val="24"/>
          <w:lang w:eastAsia="pl-PL"/>
        </w:rPr>
        <w:noBreakHyphen/>
      </w:r>
      <w:r w:rsidRPr="00B81E7D">
        <w:rPr>
          <w:rFonts w:eastAsia="Calibri" w:cs="Times New Roman"/>
          <w:color w:val="000000"/>
          <w:szCs w:val="24"/>
          <w:lang w:eastAsia="pl-PL"/>
        </w:rPr>
        <w:t xml:space="preserve">5 ustawy odnoszących się do zagadnienia przedsiębiorstwa w spadku (rozdział </w:t>
      </w:r>
      <w:r w:rsidR="000D6091" w:rsidRPr="00B81E7D">
        <w:rPr>
          <w:rFonts w:eastAsia="Calibri" w:cs="Times New Roman"/>
          <w:color w:val="000000"/>
          <w:szCs w:val="24"/>
          <w:lang w:eastAsia="pl-PL"/>
        </w:rPr>
        <w:t>1</w:t>
      </w:r>
      <w:r w:rsidRPr="00B81E7D">
        <w:rPr>
          <w:rFonts w:eastAsia="Calibri" w:cs="Times New Roman"/>
          <w:color w:val="000000"/>
          <w:szCs w:val="24"/>
          <w:lang w:eastAsia="pl-PL"/>
        </w:rPr>
        <w:t>a).</w:t>
      </w:r>
    </w:p>
    <w:p w:rsidR="003814A2" w:rsidRPr="00B81E7D" w:rsidRDefault="00392F87" w:rsidP="000A6809">
      <w:pPr>
        <w:numPr>
          <w:ilvl w:val="0"/>
          <w:numId w:val="10"/>
        </w:numPr>
        <w:spacing w:before="120" w:after="120" w:line="360" w:lineRule="auto"/>
        <w:ind w:left="709" w:hanging="283"/>
        <w:jc w:val="both"/>
        <w:rPr>
          <w:rFonts w:cs="Times New Roman"/>
          <w:i/>
          <w:szCs w:val="24"/>
        </w:rPr>
      </w:pPr>
      <w:r w:rsidRPr="00B81E7D">
        <w:rPr>
          <w:rFonts w:cs="Times New Roman"/>
          <w:i/>
          <w:szCs w:val="24"/>
        </w:rPr>
        <w:t>Zmiany porządkujące dotyczące zarządu sukcesyjnego</w:t>
      </w:r>
      <w:r w:rsidR="003814A2" w:rsidRPr="00B81E7D">
        <w:rPr>
          <w:rFonts w:cs="Times New Roman"/>
          <w:i/>
          <w:szCs w:val="24"/>
        </w:rPr>
        <w:t xml:space="preserve"> (art. </w:t>
      </w:r>
      <w:r w:rsidR="004775F4">
        <w:rPr>
          <w:rFonts w:cs="Times New Roman"/>
          <w:i/>
          <w:szCs w:val="24"/>
        </w:rPr>
        <w:t>65</w:t>
      </w:r>
      <w:r w:rsidR="004775F4" w:rsidRPr="00B81E7D">
        <w:rPr>
          <w:rFonts w:cs="Times New Roman"/>
          <w:i/>
          <w:szCs w:val="24"/>
        </w:rPr>
        <w:t xml:space="preserve"> </w:t>
      </w:r>
      <w:r w:rsidR="003814A2" w:rsidRPr="00B81E7D">
        <w:rPr>
          <w:rFonts w:cs="Times New Roman"/>
          <w:i/>
          <w:szCs w:val="24"/>
        </w:rPr>
        <w:t>pkt</w:t>
      </w:r>
      <w:r w:rsidR="009F5CF0" w:rsidRPr="00B81E7D">
        <w:rPr>
          <w:rFonts w:cs="Times New Roman"/>
          <w:i/>
          <w:szCs w:val="24"/>
        </w:rPr>
        <w:t xml:space="preserve"> </w:t>
      </w:r>
      <w:r w:rsidR="00DA7D72" w:rsidRPr="00B81E7D">
        <w:rPr>
          <w:rFonts w:cs="Times New Roman"/>
          <w:i/>
          <w:szCs w:val="24"/>
        </w:rPr>
        <w:t xml:space="preserve">5 </w:t>
      </w:r>
      <w:r w:rsidR="003814A2" w:rsidRPr="00B81E7D">
        <w:rPr>
          <w:rFonts w:cs="Times New Roman"/>
          <w:i/>
          <w:szCs w:val="24"/>
        </w:rPr>
        <w:t>projektu)</w:t>
      </w:r>
      <w:r w:rsidRPr="00B81E7D">
        <w:rPr>
          <w:rFonts w:cs="Times New Roman"/>
          <w:i/>
          <w:szCs w:val="24"/>
        </w:rPr>
        <w:t>.</w:t>
      </w:r>
    </w:p>
    <w:p w:rsidR="003814A2" w:rsidRPr="00B81E7D" w:rsidRDefault="003814A2" w:rsidP="00B421C2">
      <w:pPr>
        <w:tabs>
          <w:tab w:val="left" w:pos="0"/>
        </w:tabs>
        <w:spacing w:before="120" w:after="120" w:line="360" w:lineRule="auto"/>
        <w:jc w:val="both"/>
        <w:rPr>
          <w:rFonts w:cs="Times New Roman"/>
          <w:i/>
          <w:szCs w:val="24"/>
        </w:rPr>
      </w:pPr>
      <w:r w:rsidRPr="00B81E7D">
        <w:rPr>
          <w:rFonts w:cs="Times New Roman"/>
          <w:iCs/>
          <w:szCs w:val="24"/>
        </w:rPr>
        <w:t>W art. 12 ust. 5 proponuje się dodać zdanie drugie, dotyczące reprezentacji dziecka albo osoby znajdującej się pod opieką przy powoływaniu z</w:t>
      </w:r>
      <w:r w:rsidR="009F5CF0" w:rsidRPr="00B81E7D">
        <w:rPr>
          <w:rFonts w:cs="Times New Roman"/>
          <w:iCs/>
          <w:szCs w:val="24"/>
        </w:rPr>
        <w:t>arządcy sukcesyjnego. Zgodnie z </w:t>
      </w:r>
      <w:r w:rsidRPr="00B81E7D">
        <w:rPr>
          <w:rFonts w:cs="Times New Roman"/>
          <w:iCs/>
          <w:szCs w:val="24"/>
        </w:rPr>
        <w:t xml:space="preserve">obecnym brzmieniem art. 12 ust. 5 nie jest w tym przypadku wymagana zgoda sądu opiekuńczego. Nie należy również w tym przypadku stosować art. 98 </w:t>
      </w:r>
      <w:r w:rsidR="001819AD" w:rsidRPr="00B81E7D">
        <w:rPr>
          <w:rFonts w:cs="Times New Roman"/>
          <w:iCs/>
          <w:szCs w:val="24"/>
        </w:rPr>
        <w:t xml:space="preserve">§ 1 </w:t>
      </w:r>
      <w:r w:rsidRPr="00B81E7D">
        <w:rPr>
          <w:rFonts w:cs="Times New Roman"/>
          <w:iCs/>
          <w:szCs w:val="24"/>
        </w:rPr>
        <w:t xml:space="preserve">oraz art. 159 </w:t>
      </w:r>
      <w:r w:rsidR="001819AD" w:rsidRPr="00B81E7D">
        <w:rPr>
          <w:rFonts w:cs="Times New Roman"/>
          <w:iCs/>
          <w:szCs w:val="24"/>
        </w:rPr>
        <w:t xml:space="preserve">§ 2 </w:t>
      </w:r>
      <w:r w:rsidR="00893C45">
        <w:rPr>
          <w:rFonts w:cs="Times New Roman"/>
          <w:iCs/>
          <w:szCs w:val="24"/>
        </w:rPr>
        <w:t>k</w:t>
      </w:r>
      <w:r w:rsidRPr="00B81E7D">
        <w:rPr>
          <w:rFonts w:cs="Times New Roman"/>
          <w:iCs/>
          <w:szCs w:val="24"/>
        </w:rPr>
        <w:t>odeksu rodzinnego i opiekuńczego</w:t>
      </w:r>
      <w:r w:rsidRPr="00B81E7D">
        <w:rPr>
          <w:rFonts w:cs="Times New Roman"/>
          <w:szCs w:val="24"/>
        </w:rPr>
        <w:t>, które ograniczają możliwość reprezentacji dziecka albo osoby znajdującej się pod opieką przez rodzica albo opiekuna. Powołanie zarządcy sukcesyjnego albo wyrażenie na to zgody nie stanowi bowiem czynności prawnej między rodzicem lub opiekunem a osobą nieposiadającą pełnej zdoln</w:t>
      </w:r>
      <w:r w:rsidR="007A2889">
        <w:rPr>
          <w:rFonts w:cs="Times New Roman"/>
          <w:szCs w:val="24"/>
        </w:rPr>
        <w:t>ości do czynności prawnych. Nie </w:t>
      </w:r>
      <w:r w:rsidRPr="00B81E7D">
        <w:rPr>
          <w:rFonts w:cs="Times New Roman"/>
          <w:szCs w:val="24"/>
        </w:rPr>
        <w:t xml:space="preserve">należy również kwalifikować tych czynności jako czynności między osobami pozostającymi pod władzą rodzicielską a opieką. Niemniej, by uniknąć wątpliwości </w:t>
      </w:r>
      <w:r w:rsidRPr="00B81E7D">
        <w:rPr>
          <w:rFonts w:cs="Times New Roman"/>
          <w:szCs w:val="24"/>
        </w:rPr>
        <w:lastRenderedPageBreak/>
        <w:t>interpretacyjnych w tym zakresie, które ograniczałyby efektywność stosowania ustawy,</w:t>
      </w:r>
      <w:r w:rsidR="009F5CF0" w:rsidRPr="00B81E7D">
        <w:rPr>
          <w:rFonts w:cs="Times New Roman"/>
          <w:szCs w:val="24"/>
        </w:rPr>
        <w:t xml:space="preserve"> proponuje się w art. 12 ust. 5 </w:t>
      </w:r>
      <w:r w:rsidRPr="00B81E7D">
        <w:rPr>
          <w:rFonts w:cs="Times New Roman"/>
          <w:szCs w:val="24"/>
        </w:rPr>
        <w:t>wyraźnie zastrzec, że</w:t>
      </w:r>
      <w:r w:rsidR="007A2889">
        <w:rPr>
          <w:rFonts w:cs="Times New Roman"/>
          <w:szCs w:val="24"/>
        </w:rPr>
        <w:t xml:space="preserve"> przy czynnościach związanych z </w:t>
      </w:r>
      <w:r w:rsidRPr="00B81E7D">
        <w:rPr>
          <w:rFonts w:cs="Times New Roman"/>
          <w:szCs w:val="24"/>
        </w:rPr>
        <w:t>powołaniem zarządcy sukcesyjnego, dziecko pozostające pod władzą rodzicielską może być reprezentowane przez rodzica, a osoba pozostająca pod opieką – przez opiekuna.</w:t>
      </w:r>
    </w:p>
    <w:p w:rsidR="007B0B12" w:rsidRPr="00B81E7D" w:rsidRDefault="007B0B12" w:rsidP="000A6809">
      <w:pPr>
        <w:numPr>
          <w:ilvl w:val="0"/>
          <w:numId w:val="10"/>
        </w:numPr>
        <w:spacing w:before="120" w:after="120" w:line="360" w:lineRule="auto"/>
        <w:ind w:left="709" w:hanging="283"/>
        <w:jc w:val="both"/>
        <w:rPr>
          <w:rFonts w:cs="Times New Roman"/>
          <w:i/>
          <w:szCs w:val="24"/>
        </w:rPr>
      </w:pPr>
      <w:r w:rsidRPr="00B81E7D">
        <w:rPr>
          <w:rFonts w:cs="Times New Roman"/>
          <w:i/>
          <w:szCs w:val="24"/>
        </w:rPr>
        <w:t xml:space="preserve">Przeniesienie praw i obowiązków związanych z koncesjami, zezwoleniami, licencjami i pozwoleniami </w:t>
      </w:r>
      <w:r w:rsidR="00C41F72" w:rsidRPr="00B81E7D">
        <w:rPr>
          <w:rFonts w:cs="Times New Roman"/>
          <w:i/>
          <w:szCs w:val="24"/>
        </w:rPr>
        <w:t>w przypadku sukcesji za życia</w:t>
      </w:r>
      <w:r w:rsidR="004775F4">
        <w:rPr>
          <w:rFonts w:cs="Times New Roman"/>
          <w:i/>
          <w:szCs w:val="24"/>
        </w:rPr>
        <w:t xml:space="preserve"> </w:t>
      </w:r>
      <w:r w:rsidRPr="00B81E7D">
        <w:rPr>
          <w:rFonts w:cs="Times New Roman"/>
          <w:i/>
          <w:szCs w:val="24"/>
        </w:rPr>
        <w:t xml:space="preserve">(art. </w:t>
      </w:r>
      <w:r w:rsidR="004775F4">
        <w:rPr>
          <w:rFonts w:cs="Times New Roman"/>
          <w:i/>
          <w:szCs w:val="24"/>
        </w:rPr>
        <w:t>65</w:t>
      </w:r>
      <w:r w:rsidR="004775F4" w:rsidRPr="00B81E7D">
        <w:rPr>
          <w:rFonts w:cs="Times New Roman"/>
          <w:i/>
          <w:szCs w:val="24"/>
        </w:rPr>
        <w:t xml:space="preserve"> </w:t>
      </w:r>
      <w:r w:rsidRPr="00B81E7D">
        <w:rPr>
          <w:rFonts w:cs="Times New Roman"/>
          <w:i/>
          <w:szCs w:val="24"/>
        </w:rPr>
        <w:t xml:space="preserve">pkt </w:t>
      </w:r>
      <w:r w:rsidR="00DA7D72" w:rsidRPr="00B81E7D">
        <w:rPr>
          <w:rFonts w:cs="Times New Roman"/>
          <w:i/>
          <w:szCs w:val="24"/>
        </w:rPr>
        <w:t xml:space="preserve">8 </w:t>
      </w:r>
      <w:r w:rsidRPr="00B81E7D">
        <w:rPr>
          <w:rFonts w:cs="Times New Roman"/>
          <w:i/>
          <w:szCs w:val="24"/>
        </w:rPr>
        <w:t>projektu).</w:t>
      </w:r>
    </w:p>
    <w:p w:rsidR="007B0B12" w:rsidRPr="00B81E7D" w:rsidRDefault="007B0B12" w:rsidP="00B421C2">
      <w:pPr>
        <w:spacing w:before="120" w:after="120" w:line="360" w:lineRule="auto"/>
        <w:jc w:val="both"/>
        <w:rPr>
          <w:rFonts w:cs="Times New Roman"/>
          <w:szCs w:val="24"/>
        </w:rPr>
      </w:pPr>
      <w:r w:rsidRPr="00B81E7D">
        <w:rPr>
          <w:rFonts w:cs="Times New Roman"/>
          <w:szCs w:val="24"/>
        </w:rPr>
        <w:t xml:space="preserve">Polacy przedsiębiorcy są aktywni zawodowo do ok. 67 roku życia, zaś średnia długość życia Polaków wynosi ok. 78 lat. Z badań </w:t>
      </w:r>
      <w:r w:rsidR="0001654F">
        <w:rPr>
          <w:rFonts w:cs="Times New Roman"/>
          <w:szCs w:val="24"/>
        </w:rPr>
        <w:t xml:space="preserve">dokonanych w </w:t>
      </w:r>
      <w:r w:rsidRPr="00B81E7D">
        <w:rPr>
          <w:rFonts w:cs="Times New Roman"/>
          <w:szCs w:val="24"/>
        </w:rPr>
        <w:t xml:space="preserve"> 2006 r. wynikało, że o przeprowadzeniu sukcesji myśli ok. 60% właścicieli firm rodzinnych</w:t>
      </w:r>
      <w:r w:rsidRPr="00B81E7D">
        <w:rPr>
          <w:rFonts w:cs="Times New Roman"/>
          <w:szCs w:val="24"/>
          <w:vertAlign w:val="superscript"/>
        </w:rPr>
        <w:footnoteReference w:id="25"/>
      </w:r>
      <w:r w:rsidRPr="00B81E7D">
        <w:rPr>
          <w:rFonts w:cs="Times New Roman"/>
          <w:szCs w:val="24"/>
        </w:rPr>
        <w:t xml:space="preserve">. W świetle badania przeprowadzonego przez Instytut Biznesu Rodzinnego, w 2017 r. wskaźnik ten wynosił już 70%. 31% właścicieli firm rodzinnych zainteresowało się problematyką sukcesji, ale nie miało dokładnego planu działania. 9,2% respondentów odpowiedziało, że są dobrze przygotowani na przekazanie biznesu swoim następcom. Natomiast 41,5% właścicieli firm rodzinnych nie myślało o tym, jak dokonać sukcesji. Najpopularniejszą praktyką sukcesyjną według raportu PARP z 2016 r. było wskazanie osoby sukcesora (ponad 40% wskazań w badanej grupie). </w:t>
      </w:r>
    </w:p>
    <w:p w:rsidR="007B0B12" w:rsidRPr="00B81E7D" w:rsidRDefault="007B0B12" w:rsidP="00B421C2">
      <w:pPr>
        <w:spacing w:before="120" w:after="120" w:line="360" w:lineRule="auto"/>
        <w:jc w:val="both"/>
        <w:rPr>
          <w:rFonts w:cs="Times New Roman"/>
          <w:szCs w:val="24"/>
        </w:rPr>
      </w:pPr>
      <w:r w:rsidRPr="00B81E7D">
        <w:rPr>
          <w:rFonts w:cs="Times New Roman"/>
          <w:szCs w:val="24"/>
        </w:rPr>
        <w:t>Coraz większym problemem jest jednak stosunkowo niewielka sk</w:t>
      </w:r>
      <w:r w:rsidR="007A2889">
        <w:rPr>
          <w:rFonts w:cs="Times New Roman"/>
          <w:szCs w:val="24"/>
        </w:rPr>
        <w:t>łonność dzieci do </w:t>
      </w:r>
      <w:r w:rsidRPr="00B81E7D">
        <w:rPr>
          <w:rFonts w:cs="Times New Roman"/>
          <w:szCs w:val="24"/>
        </w:rPr>
        <w:t>przejmowania prowadzenia firm ich rodziców. Z badań Instytutu Biznesu Rodzinnego z 2017 r.</w:t>
      </w:r>
      <w:r w:rsidRPr="00B81E7D">
        <w:rPr>
          <w:rFonts w:cs="Times New Roman"/>
          <w:szCs w:val="24"/>
          <w:vertAlign w:val="superscript"/>
        </w:rPr>
        <w:footnoteReference w:id="26"/>
      </w:r>
      <w:r w:rsidRPr="00B81E7D">
        <w:rPr>
          <w:rFonts w:cs="Times New Roman"/>
          <w:szCs w:val="24"/>
        </w:rPr>
        <w:t xml:space="preserve"> wynika, że choć 59% sukcesorów pracowało w firmie swoich rodziców, to jedynie 8,1% z</w:t>
      </w:r>
      <w:r w:rsidR="00C24CB7" w:rsidRPr="00B81E7D">
        <w:rPr>
          <w:rFonts w:cs="Times New Roman"/>
          <w:szCs w:val="24"/>
        </w:rPr>
        <w:t> </w:t>
      </w:r>
      <w:r w:rsidRPr="00B81E7D">
        <w:rPr>
          <w:rFonts w:cs="Times New Roman"/>
          <w:szCs w:val="24"/>
        </w:rPr>
        <w:t>sukcesorów chce przejąć taką firmę. To o niemal 30% więcej niż w poprzedniej edycji badania (2016), jednak ciągle wskaźnik ten jest niski. Jedną z ważniejszych przyczyn tego stanu rzeczy jest brak przygotowania do sukcesji w rodzinie. Eksperci wskazują bowiem, że najskuteczniejsze sukcesje – zwłaszcza w przypadku większych firm – są efektem kilkuletniego procesu zmian, obejmujących m.in. przynajmniej częściowe przeniesienie własności na sukcesorów. Nie mniej ważne jest sukcesywne przekazywanie wiedzy, wartości i faktycznej władzy w firmie</w:t>
      </w:r>
      <w:r w:rsidRPr="00B81E7D">
        <w:rPr>
          <w:rFonts w:cs="Times New Roman"/>
          <w:szCs w:val="24"/>
          <w:vertAlign w:val="superscript"/>
        </w:rPr>
        <w:footnoteReference w:id="27"/>
      </w:r>
      <w:r w:rsidRPr="00B81E7D">
        <w:rPr>
          <w:rFonts w:cs="Times New Roman"/>
          <w:szCs w:val="24"/>
        </w:rPr>
        <w:t>. Okoliczności te uzasadniają ułatwianie procesów sukcesyjnych za życia właściciela firmy – w takim przypadku rodzina może bowiem dobrze przygotować się na zmianę pokoleniową w firmie i dokonać jej ewolucyjnie, krok po kroku.</w:t>
      </w:r>
    </w:p>
    <w:p w:rsidR="007B0B12" w:rsidRPr="00B81E7D" w:rsidRDefault="007B0B12" w:rsidP="00B421C2">
      <w:pPr>
        <w:spacing w:before="120" w:after="120" w:line="360" w:lineRule="auto"/>
        <w:jc w:val="both"/>
        <w:rPr>
          <w:rFonts w:cs="Times New Roman"/>
          <w:szCs w:val="24"/>
        </w:rPr>
      </w:pPr>
      <w:r w:rsidRPr="00B81E7D">
        <w:rPr>
          <w:rFonts w:cs="Times New Roman"/>
          <w:szCs w:val="24"/>
        </w:rPr>
        <w:lastRenderedPageBreak/>
        <w:t xml:space="preserve">Innymi ważnymi przyczynami nieprzejmowania firm przez dzieci przedsiębiorców są brak predyspozycji lub chęć wyboru innej ścieżki kariery. Problemem w procesie sukcesji może być zatem znalezienie sukcesora, który podejmie się prowadzenia przedsiębiorstwa. Nierzadko zdarza się, że takiej osoby brakuje w kręgu najbliższej rodziny. Formalnie możliwe jest np. przekazanie przedsiębiorstwa w formie darowizny albo w testamencie dalszemu krewnemu lub nawet osobie spoza rodziny. Wraz z przedsiębiorstwem sukcesor przejmuje zakład pracy i wierzytelności wynikające z umów. Nie występuje szereg problemów, jakie przed wejściem w życie ustawy o zarządzie sukcesyjnym pojawiały się w przypadku śmierci właściciela firmy wpisanej do CEIDG, takich jak wygaśnięcie umów o pracę, przeszkody w płynności rozliczeń podatkowych i płatności na rzecz kontrahentów czy zaburzenie ciągłości wykonywania innych obowiązków umownych. </w:t>
      </w:r>
    </w:p>
    <w:p w:rsidR="007B0B12" w:rsidRPr="00B81E7D" w:rsidRDefault="007B0B12" w:rsidP="00B421C2">
      <w:pPr>
        <w:spacing w:before="120" w:after="120" w:line="360" w:lineRule="auto"/>
        <w:jc w:val="both"/>
        <w:rPr>
          <w:rFonts w:cs="Times New Roman"/>
          <w:szCs w:val="24"/>
        </w:rPr>
      </w:pPr>
      <w:r w:rsidRPr="00B81E7D">
        <w:rPr>
          <w:rFonts w:cs="Times New Roman"/>
          <w:szCs w:val="24"/>
        </w:rPr>
        <w:t xml:space="preserve">Wskazanie sukcesora – w kręgu najbliższej rodziny lub spoza tego grona – a nawet przekazanie mu własności przedsiębiorstwa za życia przedsiębiorcy-nestora może jednak okazać się niewystarczające w tych przypadkach, gdy </w:t>
      </w:r>
      <w:r w:rsidR="007A2889">
        <w:rPr>
          <w:rFonts w:cs="Times New Roman"/>
          <w:szCs w:val="24"/>
        </w:rPr>
        <w:t>działalność firmy opiera się na </w:t>
      </w:r>
      <w:r w:rsidRPr="00B81E7D">
        <w:rPr>
          <w:rFonts w:cs="Times New Roman"/>
          <w:szCs w:val="24"/>
        </w:rPr>
        <w:t>decyzjach, takich jak koncesje, zezwolenia czy licencje. Prawo nie przewiduje generalnej możliwości (jednolitej procedury) przeniesienia praw i obowiązków wynikających z decyzji administracyjnych za życia adresata tych decyzji. Nie wygasają one w przypadku przekształcenia podmiotu. W obecnym stanie prawnym osoby fizyczne będące przedsiębiorcami – chcąc uniknąć powyższych problemów – mogą zatem przekształcić wykonywaną na własny rachunek działalność gospodarczą w jednoosobową spółkę kapitałową. Ta forma prawna ma jednakże istotne różnice w stosunku do jednoosobowej działalności gospodarczej, m.in. w obszarze prawa podatkowego. W przypadku transferu zysków do prywatnego majątku (co jest powszechne w</w:t>
      </w:r>
      <w:r w:rsidR="007A2889">
        <w:rPr>
          <w:rFonts w:cs="Times New Roman"/>
          <w:szCs w:val="24"/>
        </w:rPr>
        <w:t> przypadku przedsiębiorców, dla </w:t>
      </w:r>
      <w:r w:rsidRPr="00B81E7D">
        <w:rPr>
          <w:rFonts w:cs="Times New Roman"/>
          <w:szCs w:val="24"/>
        </w:rPr>
        <w:t>których działalność gospodarcza jest źródłem utrzymania), następuje dwukrotne opodatkowanie – spółka z o.o. płaci podatek od uzyskanego dochodu, a następnie osoba fizyczna uiszcza podatek od wypłacanej dywidendy. Spółka kapitałowa musi też prowadzić bardziej skomplikowaną księgowość wraz z obowiązkiem składania sprawozdań finansowych. Dla wielu mniejszych przedsięwzięć te form</w:t>
      </w:r>
      <w:r w:rsidR="007A2889">
        <w:rPr>
          <w:rFonts w:cs="Times New Roman"/>
          <w:szCs w:val="24"/>
        </w:rPr>
        <w:t>alności są nieproporcjonalne do </w:t>
      </w:r>
      <w:r w:rsidRPr="00B81E7D">
        <w:rPr>
          <w:rFonts w:cs="Times New Roman"/>
          <w:szCs w:val="24"/>
        </w:rPr>
        <w:t>skali działalności.</w:t>
      </w:r>
    </w:p>
    <w:p w:rsidR="007B0B12" w:rsidRPr="00B81E7D" w:rsidRDefault="007B0B12" w:rsidP="00B421C2">
      <w:pPr>
        <w:spacing w:before="120" w:after="120" w:line="360" w:lineRule="auto"/>
        <w:jc w:val="both"/>
        <w:rPr>
          <w:rFonts w:cs="Times New Roman"/>
          <w:szCs w:val="24"/>
        </w:rPr>
      </w:pPr>
      <w:r w:rsidRPr="00B81E7D">
        <w:rPr>
          <w:rFonts w:cs="Times New Roman"/>
          <w:szCs w:val="24"/>
        </w:rPr>
        <w:t xml:space="preserve">Stan ten utrudnia lub wręcz uniemożliwia przekazywanie </w:t>
      </w:r>
      <w:r w:rsidRPr="00B81E7D">
        <w:rPr>
          <w:rFonts w:cs="Times New Roman"/>
          <w:i/>
          <w:szCs w:val="24"/>
        </w:rPr>
        <w:t>inter vivos</w:t>
      </w:r>
      <w:r w:rsidRPr="00B81E7D">
        <w:rPr>
          <w:rFonts w:cs="Times New Roman"/>
          <w:szCs w:val="24"/>
        </w:rPr>
        <w:t xml:space="preserve"> firm, dla których decyzje administracyjne są kluczowe. Jeśli do przejęcia firmy mimo wszystko dochodzi – konieczność uzyskania nowych zezwoleń, koncesji czy licencji może powodować wstrzymanie działalności, ze szkodą dla właściciela firmy, jej pracowników i kontrahentów. </w:t>
      </w:r>
    </w:p>
    <w:p w:rsidR="007B0B12" w:rsidRPr="00B81E7D" w:rsidRDefault="007B0B12" w:rsidP="00B421C2">
      <w:pPr>
        <w:spacing w:before="120" w:after="120" w:line="360" w:lineRule="auto"/>
        <w:jc w:val="both"/>
        <w:rPr>
          <w:rFonts w:cs="Times New Roman"/>
          <w:szCs w:val="24"/>
        </w:rPr>
      </w:pPr>
      <w:r w:rsidRPr="00B81E7D">
        <w:rPr>
          <w:rFonts w:cs="Times New Roman"/>
          <w:szCs w:val="24"/>
        </w:rPr>
        <w:lastRenderedPageBreak/>
        <w:t xml:space="preserve">Projekt umożliwia przejęcie praw z decyzji związanych z przedsiębiorstwem przez jego nabywcę – w przypadku, gdy do nabycia dochodzi na podstawie czynności </w:t>
      </w:r>
      <w:r w:rsidR="00C41F72" w:rsidRPr="00B81E7D">
        <w:rPr>
          <w:rFonts w:cs="Times New Roman"/>
          <w:szCs w:val="24"/>
        </w:rPr>
        <w:t xml:space="preserve">prawnej </w:t>
      </w:r>
      <w:r w:rsidRPr="00B81E7D">
        <w:rPr>
          <w:rFonts w:cs="Times New Roman"/>
          <w:i/>
          <w:szCs w:val="24"/>
        </w:rPr>
        <w:t>inter vivos</w:t>
      </w:r>
      <w:r w:rsidRPr="00B81E7D">
        <w:rPr>
          <w:rFonts w:cs="Times New Roman"/>
          <w:szCs w:val="24"/>
        </w:rPr>
        <w:t xml:space="preserve"> (</w:t>
      </w:r>
      <w:r w:rsidR="00C41F72" w:rsidRPr="00B81E7D">
        <w:rPr>
          <w:rFonts w:cs="Times New Roman"/>
          <w:szCs w:val="24"/>
        </w:rPr>
        <w:t xml:space="preserve">najczęściej </w:t>
      </w:r>
      <w:r w:rsidRPr="00B81E7D">
        <w:rPr>
          <w:rFonts w:cs="Times New Roman"/>
          <w:szCs w:val="24"/>
        </w:rPr>
        <w:t xml:space="preserve">umowy). Proponowanym rozwiązaniem jest wykorzystanie mechanizmu przeniesienia decyzji związanych z przedsiębiorstwem, uregulowanego obecnie w art. 42-44 ustawy o zarządzie sukcesyjnym. </w:t>
      </w:r>
    </w:p>
    <w:p w:rsidR="007B0B12" w:rsidRPr="00B81E7D" w:rsidRDefault="00C41F72" w:rsidP="00B421C2">
      <w:pPr>
        <w:spacing w:before="120" w:after="120" w:line="360" w:lineRule="auto"/>
        <w:jc w:val="both"/>
        <w:rPr>
          <w:rFonts w:cs="Times New Roman"/>
          <w:szCs w:val="24"/>
        </w:rPr>
      </w:pPr>
      <w:r w:rsidRPr="00B81E7D">
        <w:rPr>
          <w:rFonts w:cs="Times New Roman"/>
          <w:szCs w:val="24"/>
        </w:rPr>
        <w:t>Proponuje się, by znalazło ono</w:t>
      </w:r>
      <w:r w:rsidR="007B0B12" w:rsidRPr="00B81E7D">
        <w:rPr>
          <w:rFonts w:cs="Times New Roman"/>
          <w:szCs w:val="24"/>
        </w:rPr>
        <w:t xml:space="preserve"> zastosowanie w przypadku nabycia przedsiębiorstwa </w:t>
      </w:r>
      <w:r w:rsidRPr="00B81E7D">
        <w:rPr>
          <w:rFonts w:cs="Times New Roman"/>
          <w:szCs w:val="24"/>
        </w:rPr>
        <w:t>na</w:t>
      </w:r>
      <w:r w:rsidR="007A2889">
        <w:rPr>
          <w:rFonts w:cs="Times New Roman"/>
          <w:szCs w:val="24"/>
        </w:rPr>
        <w:t> </w:t>
      </w:r>
      <w:r w:rsidRPr="00B81E7D">
        <w:rPr>
          <w:rFonts w:cs="Times New Roman"/>
          <w:szCs w:val="24"/>
        </w:rPr>
        <w:t xml:space="preserve">podstawie umowy </w:t>
      </w:r>
      <w:r w:rsidR="007B0B12" w:rsidRPr="00B81E7D">
        <w:rPr>
          <w:rFonts w:cs="Times New Roman"/>
          <w:szCs w:val="24"/>
        </w:rPr>
        <w:t>w całości bezpośrednio od:</w:t>
      </w:r>
    </w:p>
    <w:p w:rsidR="007B0B12" w:rsidRPr="00B81E7D" w:rsidRDefault="007B0B12" w:rsidP="00B421C2">
      <w:pPr>
        <w:numPr>
          <w:ilvl w:val="0"/>
          <w:numId w:val="5"/>
        </w:numPr>
        <w:tabs>
          <w:tab w:val="left" w:pos="426"/>
        </w:tabs>
        <w:spacing w:after="60" w:line="360" w:lineRule="auto"/>
        <w:jc w:val="both"/>
        <w:rPr>
          <w:rFonts w:cs="Times New Roman"/>
          <w:bCs/>
          <w:szCs w:val="24"/>
        </w:rPr>
      </w:pPr>
      <w:r w:rsidRPr="00B81E7D">
        <w:rPr>
          <w:rFonts w:cs="Times New Roman"/>
          <w:bCs/>
          <w:szCs w:val="24"/>
        </w:rPr>
        <w:t>przedsiębiorcy, który wykonuje we własnym imi</w:t>
      </w:r>
      <w:r w:rsidR="007A2889">
        <w:rPr>
          <w:rFonts w:cs="Times New Roman"/>
          <w:bCs/>
          <w:szCs w:val="24"/>
        </w:rPr>
        <w:t>eniu działalność gospodarczą na </w:t>
      </w:r>
      <w:r w:rsidRPr="00B81E7D">
        <w:rPr>
          <w:rFonts w:cs="Times New Roman"/>
          <w:bCs/>
          <w:szCs w:val="24"/>
        </w:rPr>
        <w:t>podstawie wpisu do CEIDG;</w:t>
      </w:r>
    </w:p>
    <w:p w:rsidR="007B0B12" w:rsidRPr="00B81E7D" w:rsidRDefault="007B0B12" w:rsidP="00B421C2">
      <w:pPr>
        <w:numPr>
          <w:ilvl w:val="0"/>
          <w:numId w:val="5"/>
        </w:numPr>
        <w:tabs>
          <w:tab w:val="left" w:pos="426"/>
        </w:tabs>
        <w:spacing w:after="60" w:line="360" w:lineRule="auto"/>
        <w:jc w:val="both"/>
        <w:rPr>
          <w:rFonts w:cs="Times New Roman"/>
          <w:bCs/>
          <w:szCs w:val="24"/>
        </w:rPr>
      </w:pPr>
      <w:r w:rsidRPr="00B81E7D">
        <w:rPr>
          <w:rFonts w:cs="Times New Roman"/>
          <w:bCs/>
          <w:szCs w:val="24"/>
        </w:rPr>
        <w:t>przedsiębiorcy, który wykonuje we własnym imi</w:t>
      </w:r>
      <w:r w:rsidR="007A2889">
        <w:rPr>
          <w:rFonts w:cs="Times New Roman"/>
          <w:bCs/>
          <w:szCs w:val="24"/>
        </w:rPr>
        <w:t>eniu działalność gospodarczą na </w:t>
      </w:r>
      <w:r w:rsidRPr="00B81E7D">
        <w:rPr>
          <w:rFonts w:cs="Times New Roman"/>
          <w:bCs/>
          <w:szCs w:val="24"/>
        </w:rPr>
        <w:t>podstawie wpisu do CEIDG, i jego małżonka (tj. gdy małżonek przedsiębiorcy jest współwłaścicielem przedsiębiorstwa, niezależnie od ustroju majątkowego między małżonkami);</w:t>
      </w:r>
    </w:p>
    <w:p w:rsidR="007B0B12" w:rsidRPr="00B81E7D" w:rsidRDefault="007B0B12" w:rsidP="00B421C2">
      <w:pPr>
        <w:numPr>
          <w:ilvl w:val="0"/>
          <w:numId w:val="5"/>
        </w:numPr>
        <w:tabs>
          <w:tab w:val="left" w:pos="426"/>
        </w:tabs>
        <w:spacing w:after="60" w:line="360" w:lineRule="auto"/>
        <w:jc w:val="both"/>
        <w:rPr>
          <w:rFonts w:cs="Times New Roman"/>
          <w:bCs/>
          <w:szCs w:val="24"/>
        </w:rPr>
      </w:pPr>
      <w:r w:rsidRPr="00B81E7D">
        <w:rPr>
          <w:rFonts w:cs="Times New Roman"/>
          <w:bCs/>
          <w:szCs w:val="24"/>
        </w:rPr>
        <w:t>przedsiębiorców, będących wspólnikami spółki cywilnej.</w:t>
      </w:r>
    </w:p>
    <w:p w:rsidR="007B0B12" w:rsidRPr="00B81E7D" w:rsidRDefault="007B0B12" w:rsidP="00B421C2">
      <w:pPr>
        <w:tabs>
          <w:tab w:val="left" w:pos="0"/>
        </w:tabs>
        <w:spacing w:after="120" w:line="360" w:lineRule="auto"/>
        <w:jc w:val="both"/>
        <w:rPr>
          <w:rFonts w:cs="Times New Roman"/>
          <w:szCs w:val="24"/>
        </w:rPr>
      </w:pPr>
      <w:r w:rsidRPr="00B81E7D">
        <w:rPr>
          <w:rFonts w:cs="Times New Roman"/>
          <w:szCs w:val="24"/>
        </w:rPr>
        <w:t>Chodzi zatem o przypadki sukcesji działalności gospodarczej wykonywanej na podstawie wpisu do CEIDG. W tych sytuacjach decyzje administracyjne są formalnie związane z osobą przedsiębiorcy (znacznie rzadziej – ze spółką cywilną)</w:t>
      </w:r>
      <w:r w:rsidR="007A2889">
        <w:rPr>
          <w:rFonts w:cs="Times New Roman"/>
          <w:szCs w:val="24"/>
        </w:rPr>
        <w:t>, a zbycie przedsiębiorstwa nie </w:t>
      </w:r>
      <w:r w:rsidRPr="00B81E7D">
        <w:rPr>
          <w:rFonts w:cs="Times New Roman"/>
          <w:szCs w:val="24"/>
        </w:rPr>
        <w:t xml:space="preserve">powoduje automatycznie przejścia praw i obowiązków wynikających z takich decyzji. </w:t>
      </w:r>
    </w:p>
    <w:p w:rsidR="007B0B12" w:rsidRPr="00B81E7D" w:rsidRDefault="007B0B12" w:rsidP="00B421C2">
      <w:pPr>
        <w:tabs>
          <w:tab w:val="left" w:pos="0"/>
        </w:tabs>
        <w:spacing w:after="120" w:line="360" w:lineRule="auto"/>
        <w:jc w:val="both"/>
        <w:rPr>
          <w:rFonts w:cs="Times New Roman"/>
          <w:szCs w:val="24"/>
        </w:rPr>
      </w:pPr>
      <w:r w:rsidRPr="00B81E7D">
        <w:rPr>
          <w:rFonts w:cs="Times New Roman"/>
          <w:szCs w:val="24"/>
        </w:rPr>
        <w:t>Wprawdzie art. 55</w:t>
      </w:r>
      <w:r w:rsidRPr="00B81E7D">
        <w:rPr>
          <w:rFonts w:cs="Times New Roman"/>
          <w:szCs w:val="24"/>
          <w:vertAlign w:val="superscript"/>
        </w:rPr>
        <w:t>1</w:t>
      </w:r>
      <w:r w:rsidRPr="00B81E7D">
        <w:rPr>
          <w:rFonts w:cs="Times New Roman"/>
          <w:szCs w:val="24"/>
        </w:rPr>
        <w:t xml:space="preserve"> pkt 5 k.c. wymienia koncesje, licencje i zezwolenia jako składniki przedsiębiorstwa w znaczeniu przedmiotowym, jednak przyjmuje się, że publicznoprawne elementy przedsiębiorstwa przechodzą na nabywcę przedsiębiors</w:t>
      </w:r>
      <w:r w:rsidR="007A2889">
        <w:rPr>
          <w:rFonts w:cs="Times New Roman"/>
          <w:szCs w:val="24"/>
        </w:rPr>
        <w:t>twa tylko wtedy, gdy </w:t>
      </w:r>
      <w:r w:rsidRPr="00B81E7D">
        <w:rPr>
          <w:rFonts w:cs="Times New Roman"/>
          <w:szCs w:val="24"/>
        </w:rPr>
        <w:t xml:space="preserve">przepisy dotyczące danych decyzji na to zezwalają. </w:t>
      </w:r>
      <w:r w:rsidR="00C41F72" w:rsidRPr="00B81E7D">
        <w:rPr>
          <w:rFonts w:cs="Times New Roman"/>
          <w:szCs w:val="24"/>
        </w:rPr>
        <w:t>Innymi słowy, przepis </w:t>
      </w:r>
      <w:r w:rsidRPr="00B81E7D">
        <w:rPr>
          <w:rFonts w:cs="Times New Roman"/>
          <w:szCs w:val="24"/>
        </w:rPr>
        <w:t>art. 55</w:t>
      </w:r>
      <w:r w:rsidRPr="00B81E7D">
        <w:rPr>
          <w:rFonts w:cs="Times New Roman"/>
          <w:szCs w:val="24"/>
          <w:vertAlign w:val="superscript"/>
        </w:rPr>
        <w:t>1</w:t>
      </w:r>
      <w:r w:rsidR="007A2889">
        <w:rPr>
          <w:rFonts w:cs="Times New Roman"/>
          <w:szCs w:val="24"/>
        </w:rPr>
        <w:t> k.c. nie </w:t>
      </w:r>
      <w:r w:rsidRPr="00B81E7D">
        <w:rPr>
          <w:rFonts w:cs="Times New Roman"/>
          <w:szCs w:val="24"/>
        </w:rPr>
        <w:t xml:space="preserve">stanowi </w:t>
      </w:r>
      <w:r w:rsidR="00C41F72" w:rsidRPr="00B81E7D">
        <w:rPr>
          <w:rFonts w:cs="Times New Roman"/>
          <w:szCs w:val="24"/>
        </w:rPr>
        <w:t xml:space="preserve">wystarczającej </w:t>
      </w:r>
      <w:r w:rsidRPr="00B81E7D">
        <w:rPr>
          <w:rFonts w:cs="Times New Roman"/>
          <w:szCs w:val="24"/>
        </w:rPr>
        <w:t>podstawy dla organów administracji</w:t>
      </w:r>
      <w:r w:rsidR="00C41F72" w:rsidRPr="00B81E7D">
        <w:rPr>
          <w:rFonts w:cs="Times New Roman"/>
          <w:szCs w:val="24"/>
        </w:rPr>
        <w:t xml:space="preserve"> publicznej</w:t>
      </w:r>
      <w:r w:rsidRPr="00B81E7D">
        <w:rPr>
          <w:rFonts w:cs="Times New Roman"/>
          <w:szCs w:val="24"/>
        </w:rPr>
        <w:t xml:space="preserve"> do przeniesienia uprawnień </w:t>
      </w:r>
      <w:r w:rsidR="00C41F72" w:rsidRPr="00B81E7D">
        <w:rPr>
          <w:rFonts w:cs="Times New Roman"/>
          <w:szCs w:val="24"/>
        </w:rPr>
        <w:t xml:space="preserve">wynikających z decyzji administracyjnych </w:t>
      </w:r>
      <w:r w:rsidR="0029117F" w:rsidRPr="00B81E7D">
        <w:rPr>
          <w:rFonts w:cs="Times New Roman"/>
          <w:szCs w:val="24"/>
        </w:rPr>
        <w:t>na nabywcę przedsiębiorstwa. W </w:t>
      </w:r>
      <w:r w:rsidRPr="00B81E7D">
        <w:rPr>
          <w:rFonts w:cs="Times New Roman"/>
          <w:szCs w:val="24"/>
        </w:rPr>
        <w:t>związku z tym, na gruncie art. 55</w:t>
      </w:r>
      <w:r w:rsidRPr="00B81E7D">
        <w:rPr>
          <w:rFonts w:cs="Times New Roman"/>
          <w:szCs w:val="24"/>
          <w:vertAlign w:val="superscript"/>
        </w:rPr>
        <w:t>1</w:t>
      </w:r>
      <w:r w:rsidRPr="00B81E7D">
        <w:rPr>
          <w:rFonts w:cs="Times New Roman"/>
          <w:szCs w:val="24"/>
        </w:rPr>
        <w:t xml:space="preserve"> pkt 5 k.c. można mówić co najwyżej o sugestii ustawodawcy, że decyzje takie powinny być wydane nabywcy przedsiębiorstwa</w:t>
      </w:r>
      <w:r w:rsidRPr="00B81E7D">
        <w:rPr>
          <w:rStyle w:val="Odwoanieprzypisudolnego"/>
          <w:rFonts w:cs="Times New Roman"/>
          <w:szCs w:val="24"/>
        </w:rPr>
        <w:footnoteReference w:id="28"/>
      </w:r>
      <w:r w:rsidRPr="00B81E7D">
        <w:rPr>
          <w:rFonts w:cs="Times New Roman"/>
          <w:szCs w:val="24"/>
        </w:rPr>
        <w:t>.</w:t>
      </w:r>
    </w:p>
    <w:p w:rsidR="007B0B12" w:rsidRPr="00B81E7D" w:rsidRDefault="007B0B12" w:rsidP="00B421C2">
      <w:pPr>
        <w:tabs>
          <w:tab w:val="left" w:pos="0"/>
        </w:tabs>
        <w:spacing w:after="120" w:line="360" w:lineRule="auto"/>
        <w:jc w:val="both"/>
        <w:rPr>
          <w:rFonts w:cs="Times New Roman"/>
          <w:szCs w:val="24"/>
        </w:rPr>
      </w:pPr>
      <w:r w:rsidRPr="00B81E7D">
        <w:rPr>
          <w:rFonts w:cs="Times New Roman"/>
          <w:szCs w:val="24"/>
        </w:rPr>
        <w:t xml:space="preserve">Proponuje się, by wprowadzane przepisy, podobnie jak przepisy art. 36 i n. ustawy o zarządzie sukcesyjnym, znalazły zastosowanie jeżeli przepisy odrębne nie stanowią inaczej </w:t>
      </w:r>
      <w:r w:rsidRPr="00B81E7D">
        <w:rPr>
          <w:rFonts w:cs="Times New Roman"/>
          <w:szCs w:val="24"/>
        </w:rPr>
        <w:lastRenderedPageBreak/>
        <w:t xml:space="preserve">i dotyczyły zdefiniowanych obecnie w art. 36 tej ustawy „decyzji związanych z przedsiębiorstwem”, z wyłączeniem przypadków, gdy: </w:t>
      </w:r>
    </w:p>
    <w:p w:rsidR="007B0B12" w:rsidRPr="00B81E7D" w:rsidRDefault="007B0B12" w:rsidP="00B421C2">
      <w:pPr>
        <w:numPr>
          <w:ilvl w:val="0"/>
          <w:numId w:val="6"/>
        </w:numPr>
        <w:tabs>
          <w:tab w:val="left" w:pos="709"/>
        </w:tabs>
        <w:spacing w:after="120" w:line="360" w:lineRule="auto"/>
        <w:ind w:left="709" w:hanging="709"/>
        <w:jc w:val="both"/>
        <w:rPr>
          <w:rFonts w:cs="Times New Roman"/>
          <w:szCs w:val="24"/>
        </w:rPr>
      </w:pPr>
      <w:r w:rsidRPr="00B81E7D">
        <w:rPr>
          <w:rFonts w:cs="Times New Roman"/>
          <w:szCs w:val="24"/>
        </w:rPr>
        <w:t xml:space="preserve">zgodnie z odrębnymi przepisami decyzja może zostać wydana wyłącznie wobec osoby fizycznej (co świadczy o jej osobistym charakterze); </w:t>
      </w:r>
    </w:p>
    <w:p w:rsidR="007B0B12" w:rsidRPr="00B81E7D" w:rsidRDefault="007B0B12" w:rsidP="00B421C2">
      <w:pPr>
        <w:numPr>
          <w:ilvl w:val="0"/>
          <w:numId w:val="6"/>
        </w:numPr>
        <w:tabs>
          <w:tab w:val="left" w:pos="0"/>
        </w:tabs>
        <w:spacing w:after="120" w:line="360" w:lineRule="auto"/>
        <w:ind w:left="709" w:hanging="709"/>
        <w:jc w:val="both"/>
        <w:rPr>
          <w:rFonts w:cs="Times New Roman"/>
          <w:szCs w:val="24"/>
        </w:rPr>
      </w:pPr>
      <w:r w:rsidRPr="00B81E7D">
        <w:rPr>
          <w:rFonts w:cs="Times New Roman"/>
          <w:szCs w:val="24"/>
        </w:rPr>
        <w:t>prawa i obowiązki wynikające z decyzji przechodzą z mocy prawa na nabywcę przedsiębiorstwa (np. pozwolenie wodnoprawne wydawane na podstawie Prawa wodnego, czy pozwolenie zintegrowane wydawane na podstawie Prawa ochrony środowiska).</w:t>
      </w:r>
    </w:p>
    <w:p w:rsidR="007B0B12" w:rsidRPr="00B81E7D" w:rsidRDefault="007B0B12" w:rsidP="00B421C2">
      <w:pPr>
        <w:tabs>
          <w:tab w:val="left" w:pos="0"/>
        </w:tabs>
        <w:spacing w:after="120" w:line="360" w:lineRule="auto"/>
        <w:jc w:val="both"/>
        <w:rPr>
          <w:rFonts w:cs="Times New Roman"/>
          <w:szCs w:val="24"/>
        </w:rPr>
      </w:pPr>
      <w:r w:rsidRPr="00B81E7D">
        <w:rPr>
          <w:rFonts w:cs="Times New Roman"/>
          <w:szCs w:val="24"/>
        </w:rPr>
        <w:t>Pojęcie „decyzji związanej z przedsiębiorstwem” (które będzie wspólne dla obu procedur przewidzianych w ustawie o zarządzie sukcesyjnym, a którego dookreślenie przeniesione zostało do jej art. 1) nie obejmuje innych decyzji, których adresatem był zmarły przedsiębiorca, w tym nie obejmuje np. zgód na koncentrację wydawanych na postawie ustawy o ochronie konkurencji i konsumentów czy decyzji w sprawach zobowiązań podatkowych.</w:t>
      </w:r>
    </w:p>
    <w:p w:rsidR="007B0B12" w:rsidRPr="00B81E7D" w:rsidRDefault="007B0B12" w:rsidP="00B421C2">
      <w:pPr>
        <w:tabs>
          <w:tab w:val="left" w:pos="0"/>
        </w:tabs>
        <w:spacing w:after="120" w:line="360" w:lineRule="auto"/>
        <w:jc w:val="both"/>
        <w:rPr>
          <w:rFonts w:cs="Times New Roman"/>
          <w:szCs w:val="24"/>
        </w:rPr>
      </w:pPr>
      <w:r w:rsidRPr="00B81E7D">
        <w:rPr>
          <w:rFonts w:cs="Times New Roman"/>
          <w:szCs w:val="24"/>
        </w:rPr>
        <w:t>Nowe regulacje (Rozdział 7a) przyznają nabywcy przedsiębiorstwa uprawnienie do złożenia do właściwego organu wniosku o przeniesienie na niego decyzji związanej z przedsiębiorstwem. Przez nabywcę przedsiębiorstwa przepisy te rozumieją jednak nie każdy podmiot, a tylko przedsiębiorcę – w tym osobę prawną albo jednostkę organizacyjną, o której mowa w art. 33</w:t>
      </w:r>
      <w:r w:rsidRPr="00B81E7D">
        <w:rPr>
          <w:rStyle w:val="IGindeksgrny"/>
          <w:rFonts w:cs="Times New Roman"/>
          <w:szCs w:val="24"/>
        </w:rPr>
        <w:t>1</w:t>
      </w:r>
      <w:r w:rsidRPr="00B81E7D">
        <w:rPr>
          <w:rFonts w:cs="Times New Roman"/>
          <w:szCs w:val="24"/>
        </w:rPr>
        <w:t> § 1 k.c., do której wniesiono przedsię</w:t>
      </w:r>
      <w:r w:rsidR="00E01AAE">
        <w:rPr>
          <w:rFonts w:cs="Times New Roman"/>
          <w:szCs w:val="24"/>
        </w:rPr>
        <w:t>biorstwo tytułem wkładu. Jeżeli </w:t>
      </w:r>
      <w:r w:rsidRPr="00B81E7D">
        <w:rPr>
          <w:rFonts w:cs="Times New Roman"/>
          <w:szCs w:val="24"/>
        </w:rPr>
        <w:t>składniki przedsiębiorstwa nabywa osoba niemająca sta</w:t>
      </w:r>
      <w:r w:rsidR="00E01AAE">
        <w:rPr>
          <w:rFonts w:cs="Times New Roman"/>
          <w:szCs w:val="24"/>
        </w:rPr>
        <w:t>tusu przedsiębiorcy – brak jest </w:t>
      </w:r>
      <w:r w:rsidRPr="00B81E7D">
        <w:rPr>
          <w:rFonts w:cs="Times New Roman"/>
          <w:szCs w:val="24"/>
        </w:rPr>
        <w:t>podstaw do przenoszenia na nią decyzji, które są związane z działalnością gospodarczą.</w:t>
      </w:r>
    </w:p>
    <w:p w:rsidR="007B0B12" w:rsidRPr="00B81E7D" w:rsidRDefault="007B0B12" w:rsidP="00B421C2">
      <w:pPr>
        <w:tabs>
          <w:tab w:val="left" w:pos="0"/>
        </w:tabs>
        <w:spacing w:after="120" w:line="360" w:lineRule="auto"/>
        <w:jc w:val="both"/>
        <w:rPr>
          <w:rFonts w:cs="Times New Roman"/>
          <w:szCs w:val="24"/>
        </w:rPr>
      </w:pPr>
      <w:r w:rsidRPr="00B81E7D">
        <w:rPr>
          <w:rFonts w:cs="Times New Roman"/>
          <w:szCs w:val="24"/>
        </w:rPr>
        <w:t>Procedura przeniesienia decyzji jest analogiczna do przewidzianej w art. 42-44 ustawy o zarządzie sukcesyjnym. Nabywca przedsiębiorstwa może złożyć do organu administracji publicznej, który wydał decyzję związaną z przedsiębiorst</w:t>
      </w:r>
      <w:r w:rsidR="007A2889">
        <w:rPr>
          <w:rFonts w:cs="Times New Roman"/>
          <w:szCs w:val="24"/>
        </w:rPr>
        <w:t>wem, wniosek o przeniesienie na </w:t>
      </w:r>
      <w:r w:rsidRPr="00B81E7D">
        <w:rPr>
          <w:rFonts w:cs="Times New Roman"/>
          <w:szCs w:val="24"/>
        </w:rPr>
        <w:t xml:space="preserve">niego tej decyzji w terminie 3 miesięcy od dnia nabycia. Do czasu upływu tego </w:t>
      </w:r>
      <w:r w:rsidR="00C41F72" w:rsidRPr="00B81E7D">
        <w:rPr>
          <w:rFonts w:cs="Times New Roman"/>
          <w:szCs w:val="24"/>
        </w:rPr>
        <w:t>terminu</w:t>
      </w:r>
      <w:r w:rsidRPr="00B81E7D">
        <w:rPr>
          <w:rFonts w:cs="Times New Roman"/>
          <w:szCs w:val="24"/>
        </w:rPr>
        <w:t>, decyzja nie wygasa.</w:t>
      </w:r>
    </w:p>
    <w:p w:rsidR="007B0B12" w:rsidRPr="00B81E7D" w:rsidRDefault="007B0B12" w:rsidP="00B421C2">
      <w:pPr>
        <w:tabs>
          <w:tab w:val="left" w:pos="0"/>
        </w:tabs>
        <w:spacing w:after="60" w:line="360" w:lineRule="auto"/>
        <w:jc w:val="both"/>
        <w:rPr>
          <w:rFonts w:cs="Times New Roman"/>
          <w:szCs w:val="24"/>
        </w:rPr>
      </w:pPr>
      <w:r w:rsidRPr="00B81E7D">
        <w:rPr>
          <w:rFonts w:cs="Times New Roman"/>
          <w:szCs w:val="24"/>
        </w:rPr>
        <w:t>Organ przenosi decyzję związaną z przedsiębiorstwem na nabywcę przedsiębiorstwa, jeżeli:</w:t>
      </w:r>
    </w:p>
    <w:p w:rsidR="007B0B12" w:rsidRPr="00B81E7D" w:rsidRDefault="007B0B12" w:rsidP="00B421C2">
      <w:pPr>
        <w:numPr>
          <w:ilvl w:val="0"/>
          <w:numId w:val="4"/>
        </w:numPr>
        <w:tabs>
          <w:tab w:val="left" w:pos="0"/>
          <w:tab w:val="left" w:pos="426"/>
        </w:tabs>
        <w:spacing w:after="60" w:line="360" w:lineRule="auto"/>
        <w:ind w:left="426" w:hanging="426"/>
        <w:jc w:val="both"/>
        <w:rPr>
          <w:rFonts w:cs="Times New Roman"/>
          <w:szCs w:val="24"/>
        </w:rPr>
      </w:pPr>
      <w:r w:rsidRPr="00B81E7D">
        <w:rPr>
          <w:rFonts w:cs="Times New Roman"/>
          <w:szCs w:val="24"/>
        </w:rPr>
        <w:t xml:space="preserve">warunki do uzyskania tej decyzji, określone w przepisach odrębnych ustaw są spełnione, </w:t>
      </w:r>
    </w:p>
    <w:p w:rsidR="007B0B12" w:rsidRPr="00B81E7D" w:rsidRDefault="007B0B12" w:rsidP="00B421C2">
      <w:pPr>
        <w:numPr>
          <w:ilvl w:val="0"/>
          <w:numId w:val="4"/>
        </w:numPr>
        <w:tabs>
          <w:tab w:val="left" w:pos="0"/>
          <w:tab w:val="left" w:pos="426"/>
        </w:tabs>
        <w:spacing w:after="60" w:line="360" w:lineRule="auto"/>
        <w:ind w:left="426" w:hanging="426"/>
        <w:jc w:val="both"/>
        <w:rPr>
          <w:rFonts w:cs="Times New Roman"/>
          <w:szCs w:val="24"/>
        </w:rPr>
      </w:pPr>
      <w:r w:rsidRPr="00B81E7D">
        <w:rPr>
          <w:rFonts w:cs="Times New Roman"/>
          <w:szCs w:val="24"/>
        </w:rPr>
        <w:t xml:space="preserve">przedłoży on dokumenty potwierdzające spełnienie tych warunków, </w:t>
      </w:r>
    </w:p>
    <w:p w:rsidR="007B0B12" w:rsidRPr="00B81E7D" w:rsidRDefault="007B0B12" w:rsidP="00B421C2">
      <w:pPr>
        <w:numPr>
          <w:ilvl w:val="0"/>
          <w:numId w:val="4"/>
        </w:numPr>
        <w:tabs>
          <w:tab w:val="left" w:pos="0"/>
          <w:tab w:val="left" w:pos="426"/>
        </w:tabs>
        <w:spacing w:after="120" w:line="360" w:lineRule="auto"/>
        <w:ind w:left="426" w:hanging="426"/>
        <w:jc w:val="both"/>
        <w:rPr>
          <w:rFonts w:cs="Times New Roman"/>
          <w:szCs w:val="24"/>
        </w:rPr>
      </w:pPr>
      <w:r w:rsidRPr="00B81E7D">
        <w:rPr>
          <w:rFonts w:cs="Times New Roman"/>
          <w:szCs w:val="24"/>
        </w:rPr>
        <w:t xml:space="preserve">oświadczy on, że przyjmuje wszystkie warunki zawarte w decyzji </w:t>
      </w:r>
      <w:r w:rsidR="00E01AAE">
        <w:rPr>
          <w:rFonts w:cs="Times New Roman"/>
          <w:szCs w:val="24"/>
        </w:rPr>
        <w:t>i zobowiązuje się </w:t>
      </w:r>
      <w:r w:rsidR="007A2889">
        <w:rPr>
          <w:rFonts w:cs="Times New Roman"/>
          <w:szCs w:val="24"/>
        </w:rPr>
        <w:t>do </w:t>
      </w:r>
      <w:r w:rsidRPr="00B81E7D">
        <w:rPr>
          <w:rFonts w:cs="Times New Roman"/>
          <w:szCs w:val="24"/>
        </w:rPr>
        <w:t>wykonania związanych z nią obowiązków.</w:t>
      </w:r>
    </w:p>
    <w:p w:rsidR="007B0B12" w:rsidRPr="00B81E7D" w:rsidRDefault="007B0B12" w:rsidP="00B421C2">
      <w:pPr>
        <w:tabs>
          <w:tab w:val="left" w:pos="0"/>
        </w:tabs>
        <w:spacing w:after="120" w:line="360" w:lineRule="auto"/>
        <w:jc w:val="both"/>
        <w:rPr>
          <w:rFonts w:cs="Times New Roman"/>
          <w:szCs w:val="24"/>
        </w:rPr>
      </w:pPr>
      <w:r w:rsidRPr="00B81E7D">
        <w:rPr>
          <w:rFonts w:cs="Times New Roman"/>
          <w:szCs w:val="24"/>
        </w:rPr>
        <w:lastRenderedPageBreak/>
        <w:t>Warunki, które mają charakter osobisty, uważa się za spełnione, jeżeli spełnia je nabywca przedsiębiorstwa, który złożył wniosek o przeniesienie na niego decyzji.</w:t>
      </w:r>
    </w:p>
    <w:p w:rsidR="007B0B12" w:rsidRPr="00B81E7D" w:rsidRDefault="007B0B12" w:rsidP="00B421C2">
      <w:pPr>
        <w:tabs>
          <w:tab w:val="left" w:pos="0"/>
          <w:tab w:val="left" w:pos="426"/>
        </w:tabs>
        <w:spacing w:after="120" w:line="360" w:lineRule="auto"/>
        <w:jc w:val="both"/>
        <w:rPr>
          <w:rFonts w:cs="Times New Roman"/>
          <w:szCs w:val="24"/>
        </w:rPr>
      </w:pPr>
      <w:r w:rsidRPr="00B81E7D">
        <w:rPr>
          <w:rFonts w:cs="Times New Roman"/>
          <w:szCs w:val="24"/>
        </w:rPr>
        <w:t>Jeśli przedsiębiorstwo nabywa kilka osób, wnioskodawca musi ponadto przedłożyć pisemną zgodę pozostałych nabywców przedsiębiorstwa na przeniesienie na niego decyzji związanej z przedsiębiorstwem.</w:t>
      </w:r>
    </w:p>
    <w:p w:rsidR="007B0B12" w:rsidRPr="00B81E7D" w:rsidRDefault="007B0B12" w:rsidP="00B421C2">
      <w:pPr>
        <w:tabs>
          <w:tab w:val="left" w:pos="0"/>
        </w:tabs>
        <w:spacing w:after="120" w:line="360" w:lineRule="auto"/>
        <w:jc w:val="both"/>
        <w:rPr>
          <w:rFonts w:cs="Times New Roman"/>
          <w:szCs w:val="24"/>
        </w:rPr>
      </w:pPr>
      <w:r w:rsidRPr="00B81E7D">
        <w:rPr>
          <w:rFonts w:cs="Times New Roman"/>
          <w:szCs w:val="24"/>
        </w:rPr>
        <w:t>Przeniesienie decyzji związanej z przedsiębiorstwem na nabywcę przedsiębiorstwa następuje w drodze decyzji zmieniającej decyzję związaną z przedsiębiorstwem w zakresie jej adresata. W formie decyzji następuje także odmowa przeniesienia, jeśli nie zostały spełnione ww. ustawowe wymogi. Decyzja związana z przedsiębiorstwem wygasa z dniem, w którym decyzja o odmowie jej przeniesienia stała się ostateczna (o ile nie wygasła wcześniej z innych przyczyn).</w:t>
      </w:r>
    </w:p>
    <w:p w:rsidR="007B0B12" w:rsidRPr="00B81E7D" w:rsidRDefault="007B0B12" w:rsidP="00B421C2">
      <w:pPr>
        <w:spacing w:after="120" w:line="360" w:lineRule="auto"/>
        <w:ind w:right="1"/>
        <w:jc w:val="both"/>
        <w:rPr>
          <w:rFonts w:cs="Times New Roman"/>
          <w:szCs w:val="24"/>
        </w:rPr>
      </w:pPr>
      <w:r w:rsidRPr="00B81E7D">
        <w:rPr>
          <w:rFonts w:cs="Times New Roman"/>
          <w:szCs w:val="24"/>
        </w:rPr>
        <w:t xml:space="preserve">Wnioskodawca może wykonywać uprawnienia (i jednocześnie obowiązki) wynikające z decyzji już od dnia złożenia wniosku, jeśli oświadczy, że </w:t>
      </w:r>
      <w:r w:rsidR="00C41F72" w:rsidRPr="00B81E7D">
        <w:rPr>
          <w:rFonts w:cs="Times New Roman"/>
          <w:szCs w:val="24"/>
        </w:rPr>
        <w:t xml:space="preserve">wynikające z właściwych ustaw odrębnych </w:t>
      </w:r>
      <w:r w:rsidRPr="00B81E7D">
        <w:rPr>
          <w:rFonts w:cs="Times New Roman"/>
          <w:szCs w:val="24"/>
        </w:rPr>
        <w:t>warunki do uzyskania decyzji są spełni</w:t>
      </w:r>
      <w:r w:rsidR="007A2889">
        <w:rPr>
          <w:rFonts w:cs="Times New Roman"/>
          <w:szCs w:val="24"/>
        </w:rPr>
        <w:t>one oraz przedłoży dokumenty to </w:t>
      </w:r>
      <w:r w:rsidRPr="00B81E7D">
        <w:rPr>
          <w:rFonts w:cs="Times New Roman"/>
          <w:szCs w:val="24"/>
        </w:rPr>
        <w:t>potwierdzające</w:t>
      </w:r>
      <w:r w:rsidR="00C41F72" w:rsidRPr="00B81E7D">
        <w:rPr>
          <w:rFonts w:cs="Times New Roman"/>
          <w:szCs w:val="24"/>
        </w:rPr>
        <w:t>, a także</w:t>
      </w:r>
      <w:r w:rsidR="0029117F" w:rsidRPr="00B81E7D">
        <w:rPr>
          <w:rFonts w:cs="Times New Roman"/>
          <w:szCs w:val="24"/>
        </w:rPr>
        <w:t xml:space="preserve"> </w:t>
      </w:r>
      <w:r w:rsidRPr="00B81E7D">
        <w:rPr>
          <w:rFonts w:cs="Times New Roman"/>
          <w:szCs w:val="24"/>
        </w:rPr>
        <w:t>zgodę pozostałych nabywców przed</w:t>
      </w:r>
      <w:r w:rsidR="007A2889">
        <w:rPr>
          <w:rFonts w:cs="Times New Roman"/>
          <w:szCs w:val="24"/>
        </w:rPr>
        <w:t>siębiorstwa na przeniesienie na </w:t>
      </w:r>
      <w:r w:rsidRPr="00B81E7D">
        <w:rPr>
          <w:rFonts w:cs="Times New Roman"/>
          <w:szCs w:val="24"/>
        </w:rPr>
        <w:t>niego decyzji. Weryfikacja spełnienia tych warunków nie powinna nastręczać następcy przedsiębiorstwa poważniejszych trudności. Mają one bowiem często charakter obiektywny (np. określony wiek, wykształcenie, niekaralność, brak zaległości publicznoprawnych, itp.). Warunki, które nie mają charakteru osobistego, wiążą się najczęściej z przedsiębiorstwem i</w:t>
      </w:r>
      <w:r w:rsidR="007A2889">
        <w:rPr>
          <w:rFonts w:cs="Times New Roman"/>
          <w:szCs w:val="24"/>
        </w:rPr>
        <w:t> </w:t>
      </w:r>
      <w:r w:rsidRPr="00B81E7D">
        <w:rPr>
          <w:rFonts w:cs="Times New Roman"/>
          <w:szCs w:val="24"/>
        </w:rPr>
        <w:t>są</w:t>
      </w:r>
      <w:r w:rsidR="007A2889">
        <w:rPr>
          <w:rFonts w:cs="Times New Roman"/>
          <w:szCs w:val="24"/>
        </w:rPr>
        <w:t> </w:t>
      </w:r>
      <w:r w:rsidRPr="00B81E7D">
        <w:rPr>
          <w:rFonts w:cs="Times New Roman"/>
          <w:szCs w:val="24"/>
        </w:rPr>
        <w:t xml:space="preserve">weryfikowane przez właściwy organ przy udzielaniu decyzji (lub w toku późniejszych kontroli). </w:t>
      </w:r>
    </w:p>
    <w:p w:rsidR="007B0B12" w:rsidRPr="00B81E7D" w:rsidRDefault="007B0B12" w:rsidP="00B421C2">
      <w:pPr>
        <w:tabs>
          <w:tab w:val="left" w:pos="0"/>
        </w:tabs>
        <w:spacing w:after="120" w:line="360" w:lineRule="auto"/>
        <w:jc w:val="both"/>
        <w:rPr>
          <w:rFonts w:cs="Times New Roman"/>
          <w:szCs w:val="24"/>
        </w:rPr>
      </w:pPr>
      <w:r w:rsidRPr="00B81E7D">
        <w:rPr>
          <w:rFonts w:cs="Times New Roman"/>
          <w:szCs w:val="24"/>
        </w:rPr>
        <w:t>Organ, który wydał decyzję związaną z przedsiębiorstwem może zaś, w drodze postanowienia (na które przysługuje zażalenie) zakazać wykonywania decyzji przez wnioskodawcę do czasu ostatecznego rozstrzygnięcia wniosku, jeżeli groziłoby to naruszeniem przepisów prawa albo interesu publicznego. Postanowienie, na ogólnych zasadach (art. 125 w zw. z art. 110 k.p.a.) jest skuteczne i wykonalne z chwilą jego wydania. W szczególności, wykonalności takiego postanowienia nie wstrzymuje wniesienie zażalenia (art. 143 k.p.a.).</w:t>
      </w:r>
    </w:p>
    <w:p w:rsidR="007B0B12" w:rsidRPr="00B81E7D" w:rsidRDefault="007B0B12" w:rsidP="00B421C2">
      <w:pPr>
        <w:tabs>
          <w:tab w:val="left" w:pos="0"/>
        </w:tabs>
        <w:spacing w:after="120" w:line="360" w:lineRule="auto"/>
        <w:jc w:val="both"/>
        <w:rPr>
          <w:rFonts w:cs="Times New Roman"/>
          <w:bCs/>
          <w:szCs w:val="24"/>
        </w:rPr>
      </w:pPr>
      <w:r w:rsidRPr="00B81E7D">
        <w:rPr>
          <w:rFonts w:cs="Times New Roman"/>
          <w:bCs/>
          <w:szCs w:val="24"/>
        </w:rPr>
        <w:t>Wnioskodawca jest obowiązany wykonywać związane z decyzją obowiązki od dnia złożenia wniosku, a jeżeli chodzi o obowiązki, których termin</w:t>
      </w:r>
      <w:r w:rsidR="007A2889">
        <w:rPr>
          <w:rFonts w:cs="Times New Roman"/>
          <w:bCs/>
          <w:szCs w:val="24"/>
        </w:rPr>
        <w:t xml:space="preserve"> wykonania upłynął w okresie od </w:t>
      </w:r>
      <w:r w:rsidRPr="00B81E7D">
        <w:rPr>
          <w:rFonts w:cs="Times New Roman"/>
          <w:bCs/>
          <w:szCs w:val="24"/>
        </w:rPr>
        <w:t>nabycia przedsiębiorstwa do dnia złożenia wniosku o przeniesienie decyzji – niezwłocznie po dniu, w którym decyzja przenosząca stała się ostateczna.</w:t>
      </w:r>
    </w:p>
    <w:p w:rsidR="007B0B12" w:rsidRPr="00B81E7D" w:rsidRDefault="007B0B12" w:rsidP="00B421C2">
      <w:pPr>
        <w:tabs>
          <w:tab w:val="left" w:pos="0"/>
        </w:tabs>
        <w:spacing w:after="120" w:line="360" w:lineRule="auto"/>
        <w:jc w:val="both"/>
        <w:rPr>
          <w:rFonts w:cs="Times New Roman"/>
          <w:bCs/>
          <w:szCs w:val="24"/>
        </w:rPr>
      </w:pPr>
      <w:r w:rsidRPr="00B81E7D">
        <w:rPr>
          <w:rFonts w:cs="Times New Roman"/>
          <w:bCs/>
          <w:szCs w:val="24"/>
        </w:rPr>
        <w:lastRenderedPageBreak/>
        <w:t>Powyższe rozwiązanie pozwoli zachować płynność działalności gospodarczej. Nabywca przedsiębiorstwa, powinien mieć możliwość kontynuowania d</w:t>
      </w:r>
      <w:r w:rsidR="007A2889">
        <w:rPr>
          <w:rFonts w:cs="Times New Roman"/>
          <w:bCs/>
          <w:szCs w:val="24"/>
        </w:rPr>
        <w:t>ziałalności, jeżeli warunki jej </w:t>
      </w:r>
      <w:r w:rsidRPr="00B81E7D">
        <w:rPr>
          <w:rFonts w:cs="Times New Roman"/>
          <w:bCs/>
          <w:szCs w:val="24"/>
        </w:rPr>
        <w:t>wykonywania nie uległy zmianie, która wpływałyby</w:t>
      </w:r>
      <w:r w:rsidR="007A2889">
        <w:rPr>
          <w:rFonts w:cs="Times New Roman"/>
          <w:bCs/>
          <w:szCs w:val="24"/>
        </w:rPr>
        <w:t xml:space="preserve"> na zgodność tej działalności z </w:t>
      </w:r>
      <w:r w:rsidRPr="00B81E7D">
        <w:rPr>
          <w:rFonts w:cs="Times New Roman"/>
          <w:bCs/>
          <w:szCs w:val="24"/>
        </w:rPr>
        <w:t>prawem.</w:t>
      </w:r>
    </w:p>
    <w:p w:rsidR="007B0B12" w:rsidRPr="00B81E7D" w:rsidRDefault="007B0B12" w:rsidP="000A6809">
      <w:pPr>
        <w:numPr>
          <w:ilvl w:val="0"/>
          <w:numId w:val="10"/>
        </w:numPr>
        <w:spacing w:before="120" w:after="120" w:line="360" w:lineRule="auto"/>
        <w:ind w:left="709" w:hanging="283"/>
        <w:jc w:val="both"/>
        <w:rPr>
          <w:rFonts w:cs="Times New Roman"/>
          <w:i/>
          <w:szCs w:val="24"/>
        </w:rPr>
      </w:pPr>
      <w:r w:rsidRPr="00B81E7D">
        <w:rPr>
          <w:rFonts w:cs="Times New Roman"/>
          <w:i/>
          <w:szCs w:val="24"/>
        </w:rPr>
        <w:t xml:space="preserve">Śmierć małżonka przedsiębiorcy wpisanego do CEIDG (art. </w:t>
      </w:r>
      <w:r w:rsidR="004775F4" w:rsidRPr="00B81E7D">
        <w:rPr>
          <w:rFonts w:cs="Times New Roman"/>
          <w:i/>
          <w:szCs w:val="24"/>
        </w:rPr>
        <w:t>6</w:t>
      </w:r>
      <w:r w:rsidR="004775F4">
        <w:rPr>
          <w:rFonts w:cs="Times New Roman"/>
          <w:i/>
          <w:szCs w:val="24"/>
        </w:rPr>
        <w:t>5</w:t>
      </w:r>
      <w:r w:rsidR="004775F4" w:rsidRPr="00B81E7D">
        <w:rPr>
          <w:rFonts w:cs="Times New Roman"/>
          <w:i/>
          <w:szCs w:val="24"/>
        </w:rPr>
        <w:t xml:space="preserve"> </w:t>
      </w:r>
      <w:r w:rsidRPr="00B81E7D">
        <w:rPr>
          <w:rFonts w:cs="Times New Roman"/>
          <w:i/>
          <w:szCs w:val="24"/>
        </w:rPr>
        <w:t xml:space="preserve">pkt </w:t>
      </w:r>
      <w:r w:rsidR="00B5586D" w:rsidRPr="00B81E7D">
        <w:rPr>
          <w:rFonts w:cs="Times New Roman"/>
          <w:i/>
          <w:szCs w:val="24"/>
        </w:rPr>
        <w:t>11</w:t>
      </w:r>
      <w:r w:rsidRPr="00B81E7D">
        <w:rPr>
          <w:rFonts w:cs="Times New Roman"/>
          <w:i/>
          <w:szCs w:val="24"/>
        </w:rPr>
        <w:t xml:space="preserve"> projektu).</w:t>
      </w:r>
    </w:p>
    <w:p w:rsidR="007B0B12" w:rsidRPr="00B81E7D" w:rsidRDefault="007B0B12" w:rsidP="00B421C2">
      <w:pPr>
        <w:spacing w:after="120" w:line="360" w:lineRule="auto"/>
        <w:ind w:right="1"/>
        <w:jc w:val="both"/>
        <w:rPr>
          <w:rFonts w:cs="Times New Roman"/>
          <w:szCs w:val="24"/>
        </w:rPr>
      </w:pPr>
      <w:r w:rsidRPr="00B81E7D">
        <w:rPr>
          <w:rFonts w:cs="Times New Roman"/>
          <w:szCs w:val="24"/>
        </w:rPr>
        <w:t xml:space="preserve">W praktyce przedsiębiorca często wykorzystuje w swojej działalności gospodarczej przedsiębiorstwo, do którego prawo przysługuje także jego małżonkowi. Ustawa o zarządzie sukcesyjnym rozwiązuje podstawowy związany z tym problem, tj. przyznaje małżonkowi możliwość skorzystania z narzędzi, które pozwolą na płynną kontynuację działalności gospodarczej zmarłego przedsiębiorcy i podjęcie inicjatywy w tym zakresie. </w:t>
      </w:r>
    </w:p>
    <w:p w:rsidR="007B0B12" w:rsidRPr="00B81E7D" w:rsidRDefault="007B0B12" w:rsidP="00B421C2">
      <w:pPr>
        <w:spacing w:after="120" w:line="360" w:lineRule="auto"/>
        <w:ind w:right="1"/>
        <w:jc w:val="both"/>
        <w:rPr>
          <w:rFonts w:cs="Times New Roman"/>
          <w:szCs w:val="24"/>
        </w:rPr>
      </w:pPr>
      <w:r w:rsidRPr="00B81E7D">
        <w:rPr>
          <w:rFonts w:cs="Times New Roman"/>
          <w:szCs w:val="24"/>
        </w:rPr>
        <w:t>Pewne trudności w funkcjonowaniu firmy może jednak również wywołać śmierć małżonka przedsiębiorcy. W takim przypadku małżeństwo ustaje, a udział małżonka w składnikach przedsiębiorstwa wchodzi do spadku po zmarłym</w:t>
      </w:r>
      <w:r w:rsidR="007A2889">
        <w:rPr>
          <w:rFonts w:cs="Times New Roman"/>
          <w:szCs w:val="24"/>
        </w:rPr>
        <w:t xml:space="preserve"> małżonku przedsiębiorcy i jest </w:t>
      </w:r>
      <w:r w:rsidRPr="00B81E7D">
        <w:rPr>
          <w:rFonts w:cs="Times New Roman"/>
          <w:szCs w:val="24"/>
        </w:rPr>
        <w:t>dziedziczony przez jego spadkobierców. Wprawdzie nie powstaje wówczas problem ciągłości umów o pracę i statusu podatkowego czy możliwości wykonywania decyzji administracyjnych (pracodawcą, podatnikiem z tytułu wykonywanej działalności gospodarczej i adresatem związanych z nią decyzji jest przedsiębiorca). Firma może działać nadal w oparciu o firmę, NIP i wpis do CEIDG przedsiębiorcy. Jednak zarząd majątkiem przedsiębiorstwa może napotkać utrudnienia. Co najmniej do czasu stwierdzenia nabycia spadku nie jest przesądzone, kto może dysponować tymi prawami. Brakuje jednej osoby uprawnionej do zarządzania tym majątkiem i samodzielnej reprezentacji wszystkich następców prawnych małżonka. Istnieje też ryzyko braku zgody współwłaścicieli (spadkobierców) na dysponowanie poszczególnymi przedmiotami należącymi do spadku, o której mowa w art. 1036 k.c. Z literalnego brzmien</w:t>
      </w:r>
      <w:r w:rsidR="007A2889">
        <w:rPr>
          <w:rFonts w:cs="Times New Roman"/>
          <w:szCs w:val="24"/>
        </w:rPr>
        <w:t>ia tego przepisu wynikałoby, że </w:t>
      </w:r>
      <w:r w:rsidRPr="00B81E7D">
        <w:rPr>
          <w:rFonts w:cs="Times New Roman"/>
          <w:szCs w:val="24"/>
        </w:rPr>
        <w:t xml:space="preserve">rozporządzenie każdym ze składników przedsiębiorstwa w części, która przysługiwała małżonkowi i weszła do spadku (w tym np. materiałów, towarów, surowców itd.), wymagałoby zgody spadkobierców. Taka wykładnia powodowałaby w praktyce paraliż działania firmy. </w:t>
      </w:r>
    </w:p>
    <w:p w:rsidR="007B0B12" w:rsidRPr="00B81E7D" w:rsidRDefault="007B0B12" w:rsidP="00B421C2">
      <w:pPr>
        <w:spacing w:after="120" w:line="360" w:lineRule="auto"/>
        <w:ind w:right="1"/>
        <w:jc w:val="both"/>
        <w:rPr>
          <w:rFonts w:cs="Times New Roman"/>
          <w:szCs w:val="24"/>
        </w:rPr>
      </w:pPr>
      <w:r w:rsidRPr="00B81E7D">
        <w:rPr>
          <w:rFonts w:cs="Times New Roman"/>
          <w:szCs w:val="24"/>
        </w:rPr>
        <w:t>Ponieważ konsekwencje w tym zakresie są podobne to tych, jakie powoduje śmierć przedsiębiorcy, proponowanym rozwiązaniem jest umożliwienie tymczasowego zarządu udziałem w przedsiębiorstwie, objętego spadkiem.</w:t>
      </w:r>
    </w:p>
    <w:p w:rsidR="007B0B12" w:rsidRPr="00B81E7D" w:rsidRDefault="007B0B12" w:rsidP="00B421C2">
      <w:pPr>
        <w:spacing w:after="120" w:line="360" w:lineRule="auto"/>
        <w:ind w:right="1"/>
        <w:jc w:val="both"/>
        <w:rPr>
          <w:rFonts w:cs="Times New Roman"/>
          <w:szCs w:val="24"/>
        </w:rPr>
      </w:pPr>
      <w:r w:rsidRPr="00B81E7D">
        <w:rPr>
          <w:rFonts w:cs="Times New Roman"/>
          <w:szCs w:val="24"/>
        </w:rPr>
        <w:lastRenderedPageBreak/>
        <w:t xml:space="preserve">Projektowane rozwiązania (Rozdział 11a ustawy o zarządzie sukcesyjnym) mają na celu umożliwienie lub usprawnienie </w:t>
      </w:r>
      <w:r w:rsidR="00CA3CCA" w:rsidRPr="00B81E7D">
        <w:rPr>
          <w:rFonts w:cs="Times New Roman"/>
          <w:szCs w:val="24"/>
        </w:rPr>
        <w:t>wykonywania praw w stosunku do majątku</w:t>
      </w:r>
      <w:r w:rsidRPr="00B81E7D">
        <w:rPr>
          <w:rFonts w:cs="Times New Roman"/>
          <w:szCs w:val="24"/>
        </w:rPr>
        <w:t xml:space="preserve"> przedsiębiorstwa, w sytuacji, gdy udział w przedsiębiorstwie wejdzie do spadku po zmarłym małżonku przedsiębiorcy jednoosobowego. Chodzi zatem </w:t>
      </w:r>
      <w:r w:rsidR="00C41F72" w:rsidRPr="00B81E7D">
        <w:rPr>
          <w:rFonts w:cs="Times New Roman"/>
          <w:szCs w:val="24"/>
        </w:rPr>
        <w:t xml:space="preserve">o </w:t>
      </w:r>
      <w:r w:rsidRPr="00B81E7D">
        <w:rPr>
          <w:rFonts w:cs="Times New Roman"/>
          <w:szCs w:val="24"/>
        </w:rPr>
        <w:t>przypadki śmierci małżonka,</w:t>
      </w:r>
      <w:r w:rsidR="00C41F72" w:rsidRPr="00B81E7D">
        <w:rPr>
          <w:rFonts w:cs="Times New Roman"/>
          <w:szCs w:val="24"/>
        </w:rPr>
        <w:t xml:space="preserve"> jeżeli</w:t>
      </w:r>
      <w:r w:rsidRPr="00B81E7D">
        <w:rPr>
          <w:rFonts w:cs="Times New Roman"/>
          <w:szCs w:val="24"/>
        </w:rPr>
        <w:t xml:space="preserve"> przedsiębiorstwo stanowiło w całości mienie przedsiębiorcy</w:t>
      </w:r>
      <w:r w:rsidR="00C41F72" w:rsidRPr="00B81E7D">
        <w:rPr>
          <w:rFonts w:cs="Times New Roman"/>
          <w:szCs w:val="24"/>
        </w:rPr>
        <w:t xml:space="preserve"> wpisanego do CEIDG</w:t>
      </w:r>
      <w:r w:rsidR="00BE216B">
        <w:rPr>
          <w:rFonts w:cs="Times New Roman"/>
          <w:szCs w:val="24"/>
        </w:rPr>
        <w:t xml:space="preserve"> i jego </w:t>
      </w:r>
      <w:r w:rsidRPr="00B81E7D">
        <w:rPr>
          <w:rFonts w:cs="Times New Roman"/>
          <w:szCs w:val="24"/>
        </w:rPr>
        <w:t>małżonka, a małżonek ten nie był przedsiębiorcą.</w:t>
      </w:r>
    </w:p>
    <w:p w:rsidR="00CA3CCA" w:rsidRPr="00B81E7D" w:rsidRDefault="00CA3CCA" w:rsidP="00CA3CCA">
      <w:pPr>
        <w:spacing w:after="120" w:line="360" w:lineRule="auto"/>
        <w:ind w:right="1"/>
        <w:jc w:val="both"/>
      </w:pPr>
      <w:r w:rsidRPr="00B81E7D">
        <w:t xml:space="preserve">Proponuje się połączenie obowiązujących już rozwiązań, właściwych dla zarządu sukcesyjnego i wykonawcy testamentu w nowej instytucji tymczasowego przedstawicielstwa w zakresie udziału małżonka przedsiębiorcy w przedsiębiorstwie. Tymczasowemu przedstawicielowi przysługiwałoby prawo </w:t>
      </w:r>
      <w:r w:rsidR="009C5F9F" w:rsidRPr="00B81E7D">
        <w:t>do wykonywania praw</w:t>
      </w:r>
      <w:r w:rsidRPr="00B81E7D">
        <w:t xml:space="preserve"> w odniesieniu do majątku spadkowego w zakresie udziału małżonka w przedsiębiorstwie. Tymczasowy przedstawiciel nie będzie uzyskiwał uprawnień do wykonywania działalności gospodarczej ani związanych z tym uprawnień i obowiązków (nie stanie się np. pracodawcą, uprawnionym do wystawiania faktur czy korzystania z koncesji). Jego rola powinna ogranicz</w:t>
      </w:r>
      <w:r w:rsidR="007A2889">
        <w:t>ać się do zarządu majątkiem, co </w:t>
      </w:r>
      <w:r w:rsidRPr="00B81E7D">
        <w:t>jest istotą uprawnień wykonawcy testamentu.</w:t>
      </w:r>
    </w:p>
    <w:p w:rsidR="000B1A57" w:rsidRPr="00B81E7D" w:rsidRDefault="007B0B12" w:rsidP="00B421C2">
      <w:pPr>
        <w:spacing w:after="120" w:line="360" w:lineRule="auto"/>
        <w:ind w:right="1"/>
        <w:jc w:val="both"/>
        <w:rPr>
          <w:rFonts w:cs="Times New Roman"/>
          <w:szCs w:val="24"/>
        </w:rPr>
      </w:pPr>
      <w:r w:rsidRPr="00B81E7D">
        <w:rPr>
          <w:rFonts w:cs="Times New Roman"/>
          <w:szCs w:val="24"/>
        </w:rPr>
        <w:t>W obecnym stanie prawnym, zgodnie z art. 986</w:t>
      </w:r>
      <w:r w:rsidRPr="00B81E7D">
        <w:rPr>
          <w:rFonts w:cs="Times New Roman"/>
          <w:szCs w:val="24"/>
          <w:vertAlign w:val="superscript"/>
        </w:rPr>
        <w:t>1</w:t>
      </w:r>
      <w:r w:rsidRPr="00B81E7D">
        <w:rPr>
          <w:rFonts w:cs="Times New Roman"/>
          <w:szCs w:val="24"/>
        </w:rPr>
        <w:t xml:space="preserve"> k.c., spadkodawca może powołać wykonawcę</w:t>
      </w:r>
      <w:r w:rsidR="00FF4FAF" w:rsidRPr="00B81E7D">
        <w:rPr>
          <w:rFonts w:cs="Times New Roman"/>
          <w:szCs w:val="24"/>
        </w:rPr>
        <w:t xml:space="preserve"> lub wykonawców</w:t>
      </w:r>
      <w:r w:rsidRPr="00B81E7D">
        <w:rPr>
          <w:rFonts w:cs="Times New Roman"/>
          <w:szCs w:val="24"/>
        </w:rPr>
        <w:t xml:space="preserve"> testamentu do sprawowania zarządu spadkiem, jego zorganizowaną częścią lub oznaczonym składnikiem.</w:t>
      </w:r>
      <w:r w:rsidR="00FF4FAF" w:rsidRPr="00B81E7D">
        <w:rPr>
          <w:rFonts w:cs="Times New Roman"/>
          <w:szCs w:val="24"/>
        </w:rPr>
        <w:t xml:space="preserve"> Podstawowym obowiązkiem wykonawcy testamentu jest właśnie zarząd majątkiem spadkowym albo jego częścią (art. 988 § 1 k.c.)</w:t>
      </w:r>
      <w:r w:rsidRPr="00B81E7D">
        <w:rPr>
          <w:rFonts w:cs="Times New Roman"/>
          <w:szCs w:val="24"/>
        </w:rPr>
        <w:t xml:space="preserve"> Może to w szczególności dotyczyć przedsiębiorstwa. Wykonawcą testamentu może być</w:t>
      </w:r>
      <w:r w:rsidR="00FF4FAF" w:rsidRPr="00B81E7D">
        <w:rPr>
          <w:rFonts w:cs="Times New Roman"/>
          <w:szCs w:val="24"/>
        </w:rPr>
        <w:t xml:space="preserve"> zarówno</w:t>
      </w:r>
      <w:r w:rsidRPr="00B81E7D">
        <w:rPr>
          <w:rFonts w:cs="Times New Roman"/>
          <w:szCs w:val="24"/>
        </w:rPr>
        <w:t xml:space="preserve"> jeden ze spadkobierców albo zapisobierca</w:t>
      </w:r>
      <w:r w:rsidR="00FF4FAF" w:rsidRPr="00B81E7D">
        <w:rPr>
          <w:rFonts w:cs="Times New Roman"/>
          <w:szCs w:val="24"/>
        </w:rPr>
        <w:t>, jak i osoba trzecia. Chcąc uniknąć opisanych wyżej problemów</w:t>
      </w:r>
      <w:r w:rsidRPr="00B81E7D">
        <w:rPr>
          <w:rFonts w:cs="Times New Roman"/>
          <w:szCs w:val="24"/>
        </w:rPr>
        <w:t xml:space="preserve"> małżonek przedsiębiorcy </w:t>
      </w:r>
      <w:r w:rsidR="00FF4FAF" w:rsidRPr="00B81E7D">
        <w:rPr>
          <w:rFonts w:cs="Times New Roman"/>
          <w:szCs w:val="24"/>
        </w:rPr>
        <w:t xml:space="preserve">może więc sporządzić </w:t>
      </w:r>
      <w:r w:rsidR="00B5586D" w:rsidRPr="00B81E7D">
        <w:rPr>
          <w:rFonts w:cs="Times New Roman"/>
          <w:szCs w:val="24"/>
        </w:rPr>
        <w:t>testament i </w:t>
      </w:r>
      <w:r w:rsidRPr="00B81E7D">
        <w:rPr>
          <w:rFonts w:cs="Times New Roman"/>
          <w:szCs w:val="24"/>
        </w:rPr>
        <w:t>powoła</w:t>
      </w:r>
      <w:r w:rsidR="00FF4FAF" w:rsidRPr="00B81E7D">
        <w:rPr>
          <w:rFonts w:cs="Times New Roman"/>
          <w:szCs w:val="24"/>
        </w:rPr>
        <w:t>ć</w:t>
      </w:r>
      <w:r w:rsidRPr="00B81E7D">
        <w:rPr>
          <w:rFonts w:cs="Times New Roman"/>
          <w:szCs w:val="24"/>
        </w:rPr>
        <w:t xml:space="preserve"> w nim wykonawcę testamentu</w:t>
      </w:r>
      <w:r w:rsidR="00FF4FAF" w:rsidRPr="00B81E7D">
        <w:rPr>
          <w:rFonts w:cs="Times New Roman"/>
          <w:szCs w:val="24"/>
        </w:rPr>
        <w:t xml:space="preserve"> do zarządu udziałem w przedsiębiorstwie</w:t>
      </w:r>
      <w:r w:rsidRPr="00B81E7D">
        <w:rPr>
          <w:rFonts w:cs="Times New Roman"/>
          <w:szCs w:val="24"/>
        </w:rPr>
        <w:t xml:space="preserve"> – zwłaszcza</w:t>
      </w:r>
      <w:r w:rsidR="00FF4FAF" w:rsidRPr="00B81E7D">
        <w:rPr>
          <w:rFonts w:cs="Times New Roman"/>
          <w:szCs w:val="24"/>
        </w:rPr>
        <w:t xml:space="preserve"> uczynić</w:t>
      </w:r>
      <w:r w:rsidRPr="00B81E7D">
        <w:rPr>
          <w:rFonts w:cs="Times New Roman"/>
          <w:szCs w:val="24"/>
        </w:rPr>
        <w:t xml:space="preserve"> wykonawcą testamentu </w:t>
      </w:r>
      <w:r w:rsidR="00FF4FAF" w:rsidRPr="00B81E7D">
        <w:rPr>
          <w:rFonts w:cs="Times New Roman"/>
          <w:szCs w:val="24"/>
        </w:rPr>
        <w:t>małżonka-</w:t>
      </w:r>
      <w:r w:rsidRPr="00B81E7D">
        <w:rPr>
          <w:rFonts w:cs="Times New Roman"/>
          <w:szCs w:val="24"/>
        </w:rPr>
        <w:t xml:space="preserve">przedsiębiorcę. </w:t>
      </w:r>
    </w:p>
    <w:p w:rsidR="007B0B12" w:rsidRPr="00B81E7D" w:rsidRDefault="007B0B12" w:rsidP="00B421C2">
      <w:pPr>
        <w:spacing w:after="120" w:line="360" w:lineRule="auto"/>
        <w:ind w:right="1"/>
        <w:jc w:val="both"/>
        <w:rPr>
          <w:rFonts w:cs="Times New Roman"/>
          <w:bCs/>
          <w:szCs w:val="24"/>
        </w:rPr>
      </w:pPr>
      <w:r w:rsidRPr="00B81E7D">
        <w:rPr>
          <w:rFonts w:cs="Times New Roman"/>
          <w:szCs w:val="24"/>
        </w:rPr>
        <w:t>Problemem jest jednak to, że testamenty są ciągle stosunkowo rzadko sporządzane. Z </w:t>
      </w:r>
      <w:r w:rsidRPr="00B81E7D">
        <w:rPr>
          <w:rFonts w:cs="Times New Roman"/>
          <w:bCs/>
          <w:szCs w:val="24"/>
        </w:rPr>
        <w:t xml:space="preserve">sondażu przeprowadzonego </w:t>
      </w:r>
      <w:r w:rsidR="00FF4FAF" w:rsidRPr="00B81E7D">
        <w:rPr>
          <w:rFonts w:cs="Times New Roman"/>
          <w:bCs/>
          <w:szCs w:val="24"/>
        </w:rPr>
        <w:t>w 2017 r.</w:t>
      </w:r>
      <w:r w:rsidRPr="00B81E7D">
        <w:rPr>
          <w:rFonts w:cs="Times New Roman"/>
          <w:bCs/>
          <w:szCs w:val="24"/>
        </w:rPr>
        <w:t xml:space="preserve"> wynika, że jedynie 13% Polaków, którzy ukończyli 50 rok życia sporządziło testament</w:t>
      </w:r>
      <w:r w:rsidR="00FF4FAF" w:rsidRPr="00B81E7D">
        <w:rPr>
          <w:rStyle w:val="Odwoanieprzypisudolnego"/>
          <w:rFonts w:cs="Times New Roman"/>
          <w:bCs/>
          <w:szCs w:val="24"/>
        </w:rPr>
        <w:footnoteReference w:id="29"/>
      </w:r>
      <w:r w:rsidRPr="00B81E7D">
        <w:rPr>
          <w:rFonts w:cs="Times New Roman"/>
          <w:bCs/>
          <w:szCs w:val="24"/>
        </w:rPr>
        <w:t xml:space="preserve">. W ocenie projektodawcy, w przypadku przedsiębiorstw, których funkcjonowanie ma wpływ nie tylko na spadkobierców, ale również na osoby trzecie (pracowników, wierzycieli i klientów firmy, Skarb Państwa) działania edukacyjne, które popularyzują sporządzanie testamentów należy uzupełnić o rozwiązania, które pozwolą sprawnie zarządzać firmą także w przypadku braku testamentu małżonka przedsiębiorcy </w:t>
      </w:r>
      <w:r w:rsidRPr="00B81E7D">
        <w:rPr>
          <w:rFonts w:cs="Times New Roman"/>
          <w:bCs/>
          <w:szCs w:val="24"/>
        </w:rPr>
        <w:lastRenderedPageBreak/>
        <w:t>(choćby z powodu nagłej śmierci).</w:t>
      </w:r>
      <w:r w:rsidR="00FF4FAF" w:rsidRPr="00B81E7D">
        <w:rPr>
          <w:rFonts w:cs="Times New Roman"/>
          <w:bCs/>
          <w:szCs w:val="24"/>
        </w:rPr>
        <w:t xml:space="preserve"> Projektowane rozwiązania polegają na umożliwieniu powołania po śmierci małżonka przedsiębiorcy osoby (zarządcy tymczasowego), która będzie miała uprawnienia wykonawcy testamentu.</w:t>
      </w:r>
    </w:p>
    <w:p w:rsidR="007B0B12" w:rsidRPr="00B81E7D" w:rsidRDefault="007B0B12" w:rsidP="00B421C2">
      <w:pPr>
        <w:spacing w:after="60" w:line="360" w:lineRule="auto"/>
        <w:jc w:val="both"/>
        <w:rPr>
          <w:rFonts w:cs="Times New Roman"/>
          <w:szCs w:val="24"/>
        </w:rPr>
      </w:pPr>
      <w:r w:rsidRPr="00B81E7D">
        <w:rPr>
          <w:rFonts w:cs="Times New Roman"/>
          <w:bCs/>
          <w:szCs w:val="24"/>
        </w:rPr>
        <w:t xml:space="preserve">Do powołania tymczasowego </w:t>
      </w:r>
      <w:r w:rsidR="00554223" w:rsidRPr="00B81E7D">
        <w:rPr>
          <w:rFonts w:cs="Times New Roman"/>
          <w:bCs/>
          <w:szCs w:val="24"/>
        </w:rPr>
        <w:t xml:space="preserve">przedstawiciela </w:t>
      </w:r>
      <w:r w:rsidR="00FF4FAF" w:rsidRPr="00B81E7D">
        <w:rPr>
          <w:rFonts w:cs="Times New Roman"/>
          <w:bCs/>
          <w:szCs w:val="24"/>
        </w:rPr>
        <w:t>będą stosowane</w:t>
      </w:r>
      <w:r w:rsidRPr="00B81E7D">
        <w:rPr>
          <w:rFonts w:cs="Times New Roman"/>
          <w:bCs/>
          <w:szCs w:val="24"/>
        </w:rPr>
        <w:t xml:space="preserve"> odpowiednio przepisy dotyczące powołania zarządcy sukcesyjnego po śmierci prze</w:t>
      </w:r>
      <w:r w:rsidR="007A2889">
        <w:rPr>
          <w:rFonts w:cs="Times New Roman"/>
          <w:bCs/>
          <w:szCs w:val="24"/>
        </w:rPr>
        <w:t>dsiębiorcy, z zastrzeżeniem, że </w:t>
      </w:r>
      <w:r w:rsidR="00FF4FAF" w:rsidRPr="00B81E7D">
        <w:rPr>
          <w:rFonts w:cs="Times New Roman"/>
          <w:bCs/>
          <w:szCs w:val="24"/>
        </w:rPr>
        <w:t xml:space="preserve">zarządca </w:t>
      </w:r>
      <w:r w:rsidRPr="00B81E7D">
        <w:rPr>
          <w:rFonts w:cs="Times New Roman"/>
          <w:bCs/>
          <w:szCs w:val="24"/>
        </w:rPr>
        <w:t xml:space="preserve">tymczasowy nie będzie wpisywany do CEIDG, </w:t>
      </w:r>
      <w:r w:rsidR="00FF4FAF" w:rsidRPr="00B81E7D">
        <w:rPr>
          <w:rFonts w:cs="Times New Roman"/>
          <w:bCs/>
          <w:szCs w:val="24"/>
        </w:rPr>
        <w:t xml:space="preserve">gdyż </w:t>
      </w:r>
      <w:r w:rsidRPr="00B81E7D">
        <w:rPr>
          <w:rFonts w:cs="Times New Roman"/>
          <w:bCs/>
          <w:szCs w:val="24"/>
        </w:rPr>
        <w:t>spadkodawca</w:t>
      </w:r>
      <w:r w:rsidR="00FF4FAF" w:rsidRPr="00B81E7D">
        <w:rPr>
          <w:rFonts w:cs="Times New Roman"/>
          <w:bCs/>
          <w:szCs w:val="24"/>
        </w:rPr>
        <w:t xml:space="preserve"> (małżonek)</w:t>
      </w:r>
      <w:r w:rsidRPr="00B81E7D">
        <w:rPr>
          <w:rFonts w:cs="Times New Roman"/>
          <w:bCs/>
          <w:szCs w:val="24"/>
        </w:rPr>
        <w:t xml:space="preserve"> nie był przedsiębiorcą (tj. art. </w:t>
      </w:r>
      <w:r w:rsidRPr="00B81E7D">
        <w:rPr>
          <w:rFonts w:cs="Times New Roman"/>
          <w:szCs w:val="24"/>
        </w:rPr>
        <w:t xml:space="preserve">6 ust. 1 pkt 1 i 2, art. 8 ust. 1, art. </w:t>
      </w:r>
      <w:r w:rsidR="00BC05FA" w:rsidRPr="00B81E7D">
        <w:rPr>
          <w:rFonts w:cs="Times New Roman"/>
          <w:szCs w:val="24"/>
        </w:rPr>
        <w:t>11 ust. 1 oraz art. 12 ust. 1-7</w:t>
      </w:r>
      <w:r w:rsidRPr="00B81E7D">
        <w:rPr>
          <w:rFonts w:cs="Times New Roman"/>
          <w:szCs w:val="24"/>
        </w:rPr>
        <w:t xml:space="preserve">). Odpowiednie stosowanie tych przepisów oznacza, że: </w:t>
      </w:r>
    </w:p>
    <w:p w:rsidR="007B0B12" w:rsidRPr="00B81E7D" w:rsidRDefault="007B0B12" w:rsidP="00B421C2">
      <w:pPr>
        <w:spacing w:after="60" w:line="360" w:lineRule="auto"/>
        <w:ind w:left="284" w:hanging="284"/>
        <w:jc w:val="both"/>
        <w:rPr>
          <w:rFonts w:cs="Times New Roman"/>
          <w:szCs w:val="24"/>
        </w:rPr>
      </w:pPr>
      <w:r w:rsidRPr="00B81E7D">
        <w:rPr>
          <w:rFonts w:cs="Times New Roman"/>
          <w:szCs w:val="24"/>
        </w:rPr>
        <w:t>-</w:t>
      </w:r>
      <w:r w:rsidRPr="00B81E7D">
        <w:rPr>
          <w:rFonts w:cs="Times New Roman"/>
          <w:szCs w:val="24"/>
        </w:rPr>
        <w:tab/>
        <w:t xml:space="preserve">do ustanowienia </w:t>
      </w:r>
      <w:r w:rsidR="00FF4FAF" w:rsidRPr="00B81E7D">
        <w:rPr>
          <w:rFonts w:cs="Times New Roman"/>
          <w:szCs w:val="24"/>
        </w:rPr>
        <w:t xml:space="preserve">tymczasowego </w:t>
      </w:r>
      <w:r w:rsidR="00554223" w:rsidRPr="00B81E7D">
        <w:rPr>
          <w:rFonts w:cs="Times New Roman"/>
          <w:szCs w:val="24"/>
        </w:rPr>
        <w:t xml:space="preserve">przedstawicielstwa </w:t>
      </w:r>
      <w:r w:rsidR="00FF4FAF" w:rsidRPr="00B81E7D">
        <w:rPr>
          <w:rFonts w:cs="Times New Roman"/>
          <w:szCs w:val="24"/>
        </w:rPr>
        <w:t xml:space="preserve">jest </w:t>
      </w:r>
      <w:r w:rsidRPr="00B81E7D">
        <w:rPr>
          <w:rFonts w:cs="Times New Roman"/>
          <w:szCs w:val="24"/>
        </w:rPr>
        <w:t xml:space="preserve">niezbędne powołanie </w:t>
      </w:r>
      <w:r w:rsidR="00554223" w:rsidRPr="00B81E7D">
        <w:rPr>
          <w:rFonts w:cs="Times New Roman"/>
          <w:szCs w:val="24"/>
        </w:rPr>
        <w:t xml:space="preserve">przedstawiciela </w:t>
      </w:r>
      <w:r w:rsidRPr="00B81E7D">
        <w:rPr>
          <w:rFonts w:cs="Times New Roman"/>
          <w:szCs w:val="24"/>
        </w:rPr>
        <w:t>oraz jego zgoda – obie te czynności wymagają formy aktu notarialnego,</w:t>
      </w:r>
    </w:p>
    <w:p w:rsidR="007B0B12" w:rsidRPr="00B81E7D" w:rsidRDefault="007B0B12" w:rsidP="00B421C2">
      <w:pPr>
        <w:spacing w:after="60" w:line="360" w:lineRule="auto"/>
        <w:ind w:left="284" w:hanging="284"/>
        <w:jc w:val="both"/>
        <w:rPr>
          <w:rFonts w:cs="Times New Roman"/>
          <w:szCs w:val="24"/>
        </w:rPr>
      </w:pPr>
      <w:r w:rsidRPr="00B81E7D">
        <w:rPr>
          <w:rFonts w:cs="Times New Roman"/>
          <w:szCs w:val="24"/>
        </w:rPr>
        <w:t>-</w:t>
      </w:r>
      <w:r w:rsidRPr="00B81E7D">
        <w:rPr>
          <w:rFonts w:cs="Times New Roman"/>
          <w:szCs w:val="24"/>
        </w:rPr>
        <w:tab/>
        <w:t>tymczasowy</w:t>
      </w:r>
      <w:r w:rsidR="00554223" w:rsidRPr="00B81E7D">
        <w:rPr>
          <w:rFonts w:cs="Times New Roman"/>
          <w:szCs w:val="24"/>
        </w:rPr>
        <w:t xml:space="preserve"> przedstawiciel</w:t>
      </w:r>
      <w:r w:rsidRPr="00B81E7D">
        <w:rPr>
          <w:rFonts w:cs="Times New Roman"/>
          <w:szCs w:val="24"/>
        </w:rPr>
        <w:t xml:space="preserve"> musi mieć pełną zdolność do czynności prawnych,</w:t>
      </w:r>
    </w:p>
    <w:p w:rsidR="007B0B12" w:rsidRPr="00B81E7D" w:rsidRDefault="007B0B12" w:rsidP="00B421C2">
      <w:pPr>
        <w:spacing w:after="60" w:line="360" w:lineRule="auto"/>
        <w:ind w:left="284" w:hanging="284"/>
        <w:jc w:val="both"/>
        <w:rPr>
          <w:rFonts w:cs="Times New Roman"/>
          <w:szCs w:val="24"/>
        </w:rPr>
      </w:pPr>
      <w:r w:rsidRPr="00B81E7D">
        <w:rPr>
          <w:rFonts w:cs="Times New Roman"/>
          <w:szCs w:val="24"/>
        </w:rPr>
        <w:t xml:space="preserve">- </w:t>
      </w:r>
      <w:r w:rsidRPr="00B81E7D">
        <w:rPr>
          <w:rFonts w:cs="Times New Roman"/>
          <w:szCs w:val="24"/>
        </w:rPr>
        <w:tab/>
      </w:r>
      <w:r w:rsidR="00554223" w:rsidRPr="00B81E7D">
        <w:rPr>
          <w:rFonts w:cs="Times New Roman"/>
          <w:szCs w:val="24"/>
        </w:rPr>
        <w:t xml:space="preserve">można </w:t>
      </w:r>
      <w:r w:rsidRPr="00B81E7D">
        <w:rPr>
          <w:rFonts w:cs="Times New Roman"/>
          <w:szCs w:val="24"/>
        </w:rPr>
        <w:t>powołać tylko jednego tymczasowego</w:t>
      </w:r>
      <w:r w:rsidR="00554223" w:rsidRPr="00B81E7D">
        <w:rPr>
          <w:rFonts w:cs="Times New Roman"/>
          <w:szCs w:val="24"/>
        </w:rPr>
        <w:t xml:space="preserve"> przedstawiciela</w:t>
      </w:r>
      <w:r w:rsidRPr="00B81E7D">
        <w:rPr>
          <w:rFonts w:cs="Times New Roman"/>
          <w:szCs w:val="24"/>
        </w:rPr>
        <w:t xml:space="preserve"> (w jednym czasie),</w:t>
      </w:r>
    </w:p>
    <w:p w:rsidR="007B0B12" w:rsidRPr="00B81E7D" w:rsidRDefault="007B0B12" w:rsidP="00B421C2">
      <w:pPr>
        <w:spacing w:after="120" w:line="360" w:lineRule="auto"/>
        <w:ind w:left="284" w:right="1" w:hanging="284"/>
        <w:jc w:val="both"/>
        <w:rPr>
          <w:rFonts w:cs="Times New Roman"/>
          <w:szCs w:val="24"/>
        </w:rPr>
      </w:pPr>
      <w:r w:rsidRPr="00B81E7D">
        <w:rPr>
          <w:rFonts w:cs="Times New Roman"/>
          <w:szCs w:val="24"/>
        </w:rPr>
        <w:t xml:space="preserve">- </w:t>
      </w:r>
      <w:r w:rsidRPr="00B81E7D">
        <w:rPr>
          <w:rFonts w:cs="Times New Roman"/>
          <w:szCs w:val="24"/>
        </w:rPr>
        <w:tab/>
        <w:t xml:space="preserve">do powołania </w:t>
      </w:r>
      <w:r w:rsidR="00554223" w:rsidRPr="00B81E7D">
        <w:rPr>
          <w:rFonts w:cs="Times New Roman"/>
          <w:szCs w:val="24"/>
        </w:rPr>
        <w:t>przedstawiciela</w:t>
      </w:r>
      <w:r w:rsidRPr="00B81E7D">
        <w:rPr>
          <w:rFonts w:cs="Times New Roman"/>
          <w:szCs w:val="24"/>
        </w:rPr>
        <w:t xml:space="preserve"> są uprawnie</w:t>
      </w:r>
      <w:r w:rsidR="00BE216B">
        <w:rPr>
          <w:rFonts w:cs="Times New Roman"/>
          <w:szCs w:val="24"/>
        </w:rPr>
        <w:t>ni: małżonek spadkodawcy (czyli </w:t>
      </w:r>
      <w:r w:rsidRPr="00B81E7D">
        <w:rPr>
          <w:rFonts w:cs="Times New Roman"/>
          <w:szCs w:val="24"/>
        </w:rPr>
        <w:t>przedsiębiorca), spadkobierca który przyjął spadek albo zapisobierca windykacyjny, który przyjął zapis windykacyjny obejmujący udział m</w:t>
      </w:r>
      <w:r w:rsidR="007A2889">
        <w:rPr>
          <w:rFonts w:cs="Times New Roman"/>
          <w:szCs w:val="24"/>
        </w:rPr>
        <w:t>ałżonka w przedsiębiorstwie; po </w:t>
      </w:r>
      <w:r w:rsidRPr="00B81E7D">
        <w:rPr>
          <w:rFonts w:cs="Times New Roman"/>
          <w:szCs w:val="24"/>
        </w:rPr>
        <w:t>potwierdzeniu praw do spadku, zarządcę tymczasowego może zaś powołać wyłącznie osoba, która ma udział w przedsiębiorstwie (</w:t>
      </w:r>
      <w:r w:rsidR="00FF4FAF" w:rsidRPr="00B81E7D">
        <w:rPr>
          <w:rFonts w:cs="Times New Roman"/>
          <w:szCs w:val="24"/>
        </w:rPr>
        <w:t>małżonek-</w:t>
      </w:r>
      <w:r w:rsidRPr="00B81E7D">
        <w:rPr>
          <w:rFonts w:cs="Times New Roman"/>
          <w:szCs w:val="24"/>
        </w:rPr>
        <w:t>przedsiębiorca albo o</w:t>
      </w:r>
      <w:r w:rsidR="00B5586D" w:rsidRPr="00B81E7D">
        <w:rPr>
          <w:rFonts w:cs="Times New Roman"/>
          <w:szCs w:val="24"/>
        </w:rPr>
        <w:t>soby wskazane w postanowieniu o </w:t>
      </w:r>
      <w:r w:rsidRPr="00B81E7D">
        <w:rPr>
          <w:rFonts w:cs="Times New Roman"/>
          <w:szCs w:val="24"/>
        </w:rPr>
        <w:t>stwierdzeniu nabycia spadku</w:t>
      </w:r>
      <w:r w:rsidR="00FF4FAF" w:rsidRPr="00B81E7D">
        <w:rPr>
          <w:rFonts w:cs="Times New Roman"/>
          <w:szCs w:val="24"/>
        </w:rPr>
        <w:t>,</w:t>
      </w:r>
      <w:r w:rsidRPr="00B81E7D">
        <w:rPr>
          <w:rFonts w:cs="Times New Roman"/>
          <w:szCs w:val="24"/>
        </w:rPr>
        <w:t xml:space="preserve"> akcie poświadczenia dziedziczenia</w:t>
      </w:r>
      <w:r w:rsidR="00FF4FAF" w:rsidRPr="00B81E7D">
        <w:rPr>
          <w:rFonts w:cs="Times New Roman"/>
          <w:szCs w:val="24"/>
        </w:rPr>
        <w:t xml:space="preserve"> albo w europejskim poświadczeniu spadkowym</w:t>
      </w:r>
      <w:r w:rsidRPr="00B81E7D">
        <w:rPr>
          <w:rFonts w:cs="Times New Roman"/>
          <w:szCs w:val="24"/>
        </w:rPr>
        <w:t>),</w:t>
      </w:r>
    </w:p>
    <w:p w:rsidR="007B0B12" w:rsidRPr="00B81E7D" w:rsidRDefault="007B0B12" w:rsidP="00B421C2">
      <w:pPr>
        <w:spacing w:after="120" w:line="360" w:lineRule="auto"/>
        <w:ind w:left="284" w:right="1" w:hanging="284"/>
        <w:jc w:val="both"/>
        <w:rPr>
          <w:rFonts w:cs="Times New Roman"/>
          <w:szCs w:val="24"/>
        </w:rPr>
      </w:pPr>
      <w:r w:rsidRPr="00B81E7D">
        <w:rPr>
          <w:rFonts w:cs="Times New Roman"/>
          <w:szCs w:val="24"/>
        </w:rPr>
        <w:t>-</w:t>
      </w:r>
      <w:r w:rsidRPr="00B81E7D">
        <w:rPr>
          <w:rFonts w:cs="Times New Roman"/>
          <w:szCs w:val="24"/>
        </w:rPr>
        <w:tab/>
        <w:t>powołanie tymczasowego</w:t>
      </w:r>
      <w:r w:rsidR="00554223" w:rsidRPr="00B81E7D">
        <w:rPr>
          <w:rFonts w:cs="Times New Roman"/>
          <w:szCs w:val="24"/>
        </w:rPr>
        <w:t xml:space="preserve"> przedstawiciela</w:t>
      </w:r>
      <w:r w:rsidRPr="00B81E7D">
        <w:rPr>
          <w:rFonts w:cs="Times New Roman"/>
          <w:szCs w:val="24"/>
        </w:rPr>
        <w:t xml:space="preserve"> wymaga zgody osób, którym łącznie przysługuje udział w przedsiębiorstwie (w udziale objętym spadkiem) większy niż 85/100 – zgody te również wymagają formy aktu notarialnego,</w:t>
      </w:r>
    </w:p>
    <w:p w:rsidR="007B0B12" w:rsidRPr="00B81E7D" w:rsidRDefault="007B0B12" w:rsidP="00B421C2">
      <w:pPr>
        <w:spacing w:after="120" w:line="360" w:lineRule="auto"/>
        <w:ind w:left="284" w:right="1" w:hanging="284"/>
        <w:jc w:val="both"/>
        <w:rPr>
          <w:rFonts w:cs="Times New Roman"/>
          <w:szCs w:val="24"/>
        </w:rPr>
      </w:pPr>
      <w:r w:rsidRPr="00B81E7D">
        <w:rPr>
          <w:rFonts w:cs="Times New Roman"/>
          <w:szCs w:val="24"/>
        </w:rPr>
        <w:t>-</w:t>
      </w:r>
      <w:r w:rsidRPr="00B81E7D">
        <w:rPr>
          <w:rFonts w:cs="Times New Roman"/>
          <w:szCs w:val="24"/>
        </w:rPr>
        <w:tab/>
        <w:t xml:space="preserve">do powołania </w:t>
      </w:r>
      <w:r w:rsidR="00554223" w:rsidRPr="00B81E7D">
        <w:rPr>
          <w:rFonts w:cs="Times New Roman"/>
          <w:szCs w:val="24"/>
        </w:rPr>
        <w:t>tymczasowego przedstawiciela</w:t>
      </w:r>
      <w:r w:rsidRPr="00B81E7D">
        <w:rPr>
          <w:rFonts w:cs="Times New Roman"/>
          <w:szCs w:val="24"/>
        </w:rPr>
        <w:t xml:space="preserve"> nie jest potrzebna zgoda sądu opiekuńczego,</w:t>
      </w:r>
    </w:p>
    <w:p w:rsidR="007B0B12" w:rsidRPr="00B81E7D" w:rsidRDefault="007B0B12" w:rsidP="00B421C2">
      <w:pPr>
        <w:tabs>
          <w:tab w:val="left" w:pos="284"/>
        </w:tabs>
        <w:spacing w:after="120" w:line="360" w:lineRule="auto"/>
        <w:ind w:left="284" w:right="1" w:hanging="284"/>
        <w:jc w:val="both"/>
        <w:rPr>
          <w:rFonts w:cs="Times New Roman"/>
          <w:szCs w:val="24"/>
        </w:rPr>
      </w:pPr>
      <w:r w:rsidRPr="00B81E7D">
        <w:rPr>
          <w:rFonts w:cs="Times New Roman"/>
          <w:szCs w:val="24"/>
        </w:rPr>
        <w:t>-</w:t>
      </w:r>
      <w:r w:rsidRPr="00B81E7D">
        <w:rPr>
          <w:rFonts w:cs="Times New Roman"/>
          <w:szCs w:val="24"/>
        </w:rPr>
        <w:tab/>
        <w:t>powołanie tymczasowego</w:t>
      </w:r>
      <w:r w:rsidR="00554223" w:rsidRPr="00B81E7D">
        <w:rPr>
          <w:rFonts w:cs="Times New Roman"/>
          <w:szCs w:val="24"/>
        </w:rPr>
        <w:t xml:space="preserve"> przedstawiciela</w:t>
      </w:r>
      <w:r w:rsidRPr="00B81E7D">
        <w:rPr>
          <w:rFonts w:cs="Times New Roman"/>
          <w:szCs w:val="24"/>
        </w:rPr>
        <w:t xml:space="preserve"> opiera się na oświadczeniach, o których mowa w art. 12 ust. 6.</w:t>
      </w:r>
    </w:p>
    <w:p w:rsidR="007B0B12" w:rsidRPr="00B81E7D" w:rsidRDefault="007B0B12" w:rsidP="00B421C2">
      <w:pPr>
        <w:spacing w:after="120" w:line="360" w:lineRule="auto"/>
        <w:ind w:right="1"/>
        <w:jc w:val="both"/>
        <w:rPr>
          <w:rFonts w:cs="Times New Roman"/>
          <w:szCs w:val="24"/>
        </w:rPr>
      </w:pPr>
      <w:r w:rsidRPr="00B81E7D">
        <w:rPr>
          <w:rFonts w:cs="Times New Roman"/>
          <w:szCs w:val="24"/>
        </w:rPr>
        <w:t>Jeżeli został ustanowiony tymczasowy</w:t>
      </w:r>
      <w:r w:rsidR="00554223" w:rsidRPr="00B81E7D">
        <w:rPr>
          <w:rFonts w:cs="Times New Roman"/>
          <w:szCs w:val="24"/>
        </w:rPr>
        <w:t xml:space="preserve"> przedstawiciel</w:t>
      </w:r>
      <w:r w:rsidRPr="00B81E7D">
        <w:rPr>
          <w:rFonts w:cs="Times New Roman"/>
          <w:szCs w:val="24"/>
        </w:rPr>
        <w:t>, zarząd spadkiem sprawowany przez kuratora spadku nie obejmuje udziału</w:t>
      </w:r>
      <w:r w:rsidR="00554223" w:rsidRPr="00B81E7D">
        <w:rPr>
          <w:rFonts w:cs="Times New Roman"/>
          <w:szCs w:val="24"/>
        </w:rPr>
        <w:t>, który reprezentuje przedstawiciel</w:t>
      </w:r>
      <w:r w:rsidRPr="00B81E7D">
        <w:rPr>
          <w:rFonts w:cs="Times New Roman"/>
          <w:szCs w:val="24"/>
        </w:rPr>
        <w:t xml:space="preserve"> (por. art. 24 ustawy o zarządzie sukcesyjnym).</w:t>
      </w:r>
    </w:p>
    <w:p w:rsidR="00CD0658" w:rsidRPr="00B81E7D" w:rsidRDefault="00554223" w:rsidP="00B421C2">
      <w:pPr>
        <w:spacing w:after="120" w:line="360" w:lineRule="auto"/>
        <w:ind w:right="1"/>
        <w:jc w:val="both"/>
        <w:rPr>
          <w:rFonts w:cs="Times New Roman"/>
          <w:szCs w:val="24"/>
        </w:rPr>
      </w:pPr>
      <w:r w:rsidRPr="00B81E7D">
        <w:rPr>
          <w:rFonts w:cs="Times New Roman"/>
          <w:szCs w:val="24"/>
        </w:rPr>
        <w:t>Tymczasowy przedstawiciel</w:t>
      </w:r>
      <w:r w:rsidR="007B0B12" w:rsidRPr="00B81E7D">
        <w:rPr>
          <w:rFonts w:cs="Times New Roman"/>
          <w:szCs w:val="24"/>
        </w:rPr>
        <w:t xml:space="preserve"> przestaje pełnić tę funkcję z przyczyn analogicznych, jakie powodują, że zarządca sukcesyjny przestaje pełnić </w:t>
      </w:r>
      <w:r w:rsidR="00FF4FAF" w:rsidRPr="00B81E7D">
        <w:rPr>
          <w:rFonts w:cs="Times New Roman"/>
          <w:szCs w:val="24"/>
        </w:rPr>
        <w:t xml:space="preserve">swą </w:t>
      </w:r>
      <w:r w:rsidR="007B0B12" w:rsidRPr="00B81E7D">
        <w:rPr>
          <w:rFonts w:cs="Times New Roman"/>
          <w:szCs w:val="24"/>
        </w:rPr>
        <w:t xml:space="preserve">funkcję (z wyjątkiem orzeczenia zakazu prowadzenia działalności gospodarczej, który </w:t>
      </w:r>
      <w:r w:rsidRPr="00B81E7D">
        <w:rPr>
          <w:rFonts w:cs="Times New Roman"/>
          <w:szCs w:val="24"/>
        </w:rPr>
        <w:t xml:space="preserve">go </w:t>
      </w:r>
      <w:r w:rsidR="007B0B12" w:rsidRPr="00B81E7D">
        <w:rPr>
          <w:rFonts w:cs="Times New Roman"/>
          <w:szCs w:val="24"/>
        </w:rPr>
        <w:t>nie</w:t>
      </w:r>
      <w:r w:rsidR="00BE216B">
        <w:rPr>
          <w:rFonts w:cs="Times New Roman"/>
          <w:szCs w:val="24"/>
        </w:rPr>
        <w:t xml:space="preserve"> dotyczy, skoro nie wykonuje </w:t>
      </w:r>
      <w:r w:rsidR="00BE216B">
        <w:rPr>
          <w:rFonts w:cs="Times New Roman"/>
          <w:szCs w:val="24"/>
        </w:rPr>
        <w:lastRenderedPageBreak/>
        <w:t>on </w:t>
      </w:r>
      <w:r w:rsidR="007B0B12" w:rsidRPr="00B81E7D">
        <w:rPr>
          <w:rFonts w:cs="Times New Roman"/>
          <w:szCs w:val="24"/>
        </w:rPr>
        <w:t xml:space="preserve">uprawnień polegających na wykonywaniu działalności gospodarczej). W razie zajścia takich zdarzeń jak śmierć, utrata lub ograniczenie zdolności do czynności prawnych, </w:t>
      </w:r>
      <w:r w:rsidRPr="00B81E7D">
        <w:rPr>
          <w:rFonts w:cs="Times New Roman"/>
          <w:szCs w:val="24"/>
        </w:rPr>
        <w:t xml:space="preserve">odwołanie czy rezygnacja, </w:t>
      </w:r>
      <w:r w:rsidR="00CD0658" w:rsidRPr="00B81E7D">
        <w:rPr>
          <w:rFonts w:cs="Times New Roman"/>
          <w:szCs w:val="24"/>
        </w:rPr>
        <w:t xml:space="preserve">kolejnego </w:t>
      </w:r>
      <w:r w:rsidRPr="00B81E7D">
        <w:rPr>
          <w:rFonts w:cs="Times New Roman"/>
          <w:szCs w:val="24"/>
        </w:rPr>
        <w:t>przedstawiciela</w:t>
      </w:r>
      <w:r w:rsidR="00CD0658" w:rsidRPr="00B81E7D">
        <w:rPr>
          <w:rFonts w:cs="Times New Roman"/>
          <w:szCs w:val="24"/>
        </w:rPr>
        <w:t xml:space="preserve"> uprawnieni mogą powołać w okresie miesiąca od dnia, w którym zaszło takie zdarzenie.</w:t>
      </w:r>
      <w:r w:rsidRPr="00B81E7D">
        <w:rPr>
          <w:rFonts w:cs="Times New Roman"/>
          <w:szCs w:val="24"/>
        </w:rPr>
        <w:t xml:space="preserve"> Zasady odwołania i rezygnacji </w:t>
      </w:r>
      <w:r w:rsidR="00CD0658" w:rsidRPr="00B81E7D">
        <w:rPr>
          <w:rFonts w:cs="Times New Roman"/>
          <w:szCs w:val="24"/>
        </w:rPr>
        <w:t>tymczasowego</w:t>
      </w:r>
      <w:r w:rsidRPr="00B81E7D">
        <w:rPr>
          <w:rFonts w:cs="Times New Roman"/>
          <w:szCs w:val="24"/>
        </w:rPr>
        <w:t xml:space="preserve"> przedstawiciela</w:t>
      </w:r>
      <w:r w:rsidR="00CD0658" w:rsidRPr="00B81E7D">
        <w:rPr>
          <w:rFonts w:cs="Times New Roman"/>
          <w:szCs w:val="24"/>
        </w:rPr>
        <w:t xml:space="preserve"> również są analogiczne do ty</w:t>
      </w:r>
      <w:r w:rsidR="00BE216B">
        <w:rPr>
          <w:rFonts w:cs="Times New Roman"/>
          <w:szCs w:val="24"/>
        </w:rPr>
        <w:t>ch, jakie ustawa przewiduje dla </w:t>
      </w:r>
      <w:r w:rsidR="00CD0658" w:rsidRPr="00B81E7D">
        <w:rPr>
          <w:rFonts w:cs="Times New Roman"/>
          <w:szCs w:val="24"/>
        </w:rPr>
        <w:t xml:space="preserve">zarządu sukcesyjnego, po śmierci przedsiębiorcy. </w:t>
      </w:r>
    </w:p>
    <w:p w:rsidR="00554223" w:rsidRPr="00B81E7D" w:rsidRDefault="00554223" w:rsidP="00554223">
      <w:pPr>
        <w:spacing w:after="120" w:line="360" w:lineRule="auto"/>
        <w:ind w:right="1"/>
        <w:jc w:val="both"/>
      </w:pPr>
      <w:r w:rsidRPr="00B81E7D">
        <w:t xml:space="preserve">W przypadku tymczasowego przedstawicielstwa przewidziano dodatkową przesłankę wygaśnięcia umocowania przedstawiciela, tj. fakt ogłoszenia testamentu, w którym małżonek przedsiębiorcy powołał wykonawcę testamentu – do wykonywania praw z udziałem w przedsiębiorstwie (to całego spadku albo do części obejmującej udział w przedsiębiorstwie). W takim przypadku przyznano prymat woli spadkodawcy – umocowanie tymczasowego przedstawiciela powołanego </w:t>
      </w:r>
      <w:r w:rsidR="007A2889">
        <w:t>na podstawie ustawy wygaśnie na </w:t>
      </w:r>
      <w:r w:rsidRPr="00B81E7D">
        <w:t xml:space="preserve">rzecz uprawnień wykonawcy testamentu. </w:t>
      </w:r>
    </w:p>
    <w:p w:rsidR="00554223" w:rsidRPr="00B81E7D" w:rsidRDefault="00554223" w:rsidP="00554223">
      <w:pPr>
        <w:spacing w:after="120" w:line="360" w:lineRule="auto"/>
        <w:ind w:right="1"/>
        <w:jc w:val="both"/>
      </w:pPr>
      <w:r w:rsidRPr="00B81E7D">
        <w:t>Tymczasowe przedstawicielstwo wygasa z analogicznych przyczyn, jakie powodują wygaśnięcie zarządu sukcesyjnego.  Umocowanie wygaśnie zatem przede wszystkim z dniem działu spadku obejmującego udział małżonka w przedsiębiorstwie. Wcześniejsze wygaśnięcie zarządu tymczasowego może natomiast nastąpić:</w:t>
      </w:r>
    </w:p>
    <w:p w:rsidR="009D2F11" w:rsidRPr="00B81E7D" w:rsidRDefault="009D2F11" w:rsidP="00B421C2">
      <w:pPr>
        <w:tabs>
          <w:tab w:val="left" w:pos="426"/>
        </w:tabs>
        <w:spacing w:after="60" w:line="360" w:lineRule="auto"/>
        <w:ind w:left="426" w:hanging="426"/>
        <w:jc w:val="both"/>
        <w:rPr>
          <w:rFonts w:eastAsia="MS ??" w:cs="Times New Roman"/>
          <w:bCs/>
          <w:szCs w:val="24"/>
          <w:lang w:eastAsia="pl-PL"/>
        </w:rPr>
      </w:pPr>
      <w:r w:rsidRPr="00B81E7D">
        <w:rPr>
          <w:rFonts w:eastAsia="MS ??" w:cs="Times New Roman"/>
          <w:bCs/>
          <w:szCs w:val="24"/>
          <w:lang w:eastAsia="pl-PL"/>
        </w:rPr>
        <w:t>1)</w:t>
      </w:r>
      <w:r w:rsidRPr="00B81E7D">
        <w:rPr>
          <w:rFonts w:eastAsia="MS ??" w:cs="Times New Roman"/>
          <w:bCs/>
          <w:szCs w:val="24"/>
          <w:lang w:eastAsia="pl-PL"/>
        </w:rPr>
        <w:tab/>
      </w:r>
      <w:r w:rsidRPr="00B81E7D">
        <w:rPr>
          <w:rFonts w:cs="Times New Roman"/>
          <w:szCs w:val="24"/>
        </w:rPr>
        <w:t>z dniem uprawomocnienia się postanowienia sądu o stwierdzeniu nabycia spadku, zarejestrowania aktu poświadczenia dziedziczenia albo wydania europejskiego poświadczenia spadkowego, jeżeli spadek nabył jeden spadkobierca albo zapisobierca windykacyjny nabył udział małżonka w przedsiębiorstwie w całości;</w:t>
      </w:r>
    </w:p>
    <w:p w:rsidR="009D2F11" w:rsidRPr="00B81E7D" w:rsidRDefault="009D2F11" w:rsidP="00B421C2">
      <w:pPr>
        <w:tabs>
          <w:tab w:val="left" w:pos="426"/>
        </w:tabs>
        <w:spacing w:after="120" w:line="360" w:lineRule="auto"/>
        <w:ind w:left="425" w:hanging="425"/>
        <w:jc w:val="both"/>
        <w:rPr>
          <w:rFonts w:eastAsia="MS ??" w:cs="Times New Roman"/>
          <w:bCs/>
          <w:szCs w:val="24"/>
          <w:lang w:eastAsia="pl-PL"/>
        </w:rPr>
      </w:pPr>
      <w:r w:rsidRPr="00B81E7D">
        <w:rPr>
          <w:rFonts w:eastAsia="MS ??" w:cs="Times New Roman"/>
          <w:bCs/>
          <w:szCs w:val="24"/>
          <w:lang w:eastAsia="pl-PL"/>
        </w:rPr>
        <w:t>2)</w:t>
      </w:r>
      <w:r w:rsidRPr="00B81E7D">
        <w:rPr>
          <w:rFonts w:eastAsia="MS ??" w:cs="Times New Roman"/>
          <w:bCs/>
          <w:szCs w:val="24"/>
          <w:lang w:eastAsia="pl-PL"/>
        </w:rPr>
        <w:tab/>
        <w:t>z dniem nabycia udziału małżonka w przedsi</w:t>
      </w:r>
      <w:r w:rsidR="007A2889">
        <w:rPr>
          <w:rFonts w:eastAsia="MS ??" w:cs="Times New Roman"/>
          <w:bCs/>
          <w:szCs w:val="24"/>
          <w:lang w:eastAsia="pl-PL"/>
        </w:rPr>
        <w:t>ębiorstwie przez jedną osobę od </w:t>
      </w:r>
      <w:r w:rsidRPr="00B81E7D">
        <w:rPr>
          <w:rFonts w:eastAsia="MS ??" w:cs="Times New Roman"/>
          <w:bCs/>
          <w:szCs w:val="24"/>
          <w:lang w:eastAsia="pl-PL"/>
        </w:rPr>
        <w:t>spadkobiercy, zapisobiercy wi</w:t>
      </w:r>
      <w:r w:rsidR="00554223" w:rsidRPr="00B81E7D">
        <w:rPr>
          <w:rFonts w:eastAsia="MS ??" w:cs="Times New Roman"/>
          <w:bCs/>
          <w:szCs w:val="24"/>
          <w:lang w:eastAsia="pl-PL"/>
        </w:rPr>
        <w:t>ndykacyjnego lub przedsiębiorcy.</w:t>
      </w:r>
    </w:p>
    <w:p w:rsidR="00D505D7" w:rsidRDefault="001819AD" w:rsidP="00B421C2">
      <w:pPr>
        <w:spacing w:after="120" w:line="360" w:lineRule="auto"/>
        <w:jc w:val="both"/>
      </w:pPr>
      <w:r w:rsidRPr="00B81E7D">
        <w:rPr>
          <w:rFonts w:cs="Times New Roman"/>
          <w:szCs w:val="24"/>
        </w:rPr>
        <w:t>T</w:t>
      </w:r>
      <w:r w:rsidR="00554223" w:rsidRPr="00B81E7D">
        <w:rPr>
          <w:rFonts w:cs="Times New Roman"/>
          <w:szCs w:val="24"/>
        </w:rPr>
        <w:t>ymczasow</w:t>
      </w:r>
      <w:r w:rsidRPr="00B81E7D">
        <w:rPr>
          <w:rFonts w:cs="Times New Roman"/>
          <w:szCs w:val="24"/>
        </w:rPr>
        <w:t xml:space="preserve">emu </w:t>
      </w:r>
      <w:r w:rsidR="00554223" w:rsidRPr="00B81E7D">
        <w:rPr>
          <w:rFonts w:cs="Times New Roman"/>
          <w:szCs w:val="24"/>
        </w:rPr>
        <w:t>przedstawiciel</w:t>
      </w:r>
      <w:r w:rsidRPr="00B81E7D">
        <w:rPr>
          <w:rFonts w:cs="Times New Roman"/>
          <w:szCs w:val="24"/>
        </w:rPr>
        <w:t>owi będą przysługiwały takie same uprawnienia jak</w:t>
      </w:r>
      <w:r w:rsidR="00BE216B">
        <w:rPr>
          <w:rFonts w:cs="Times New Roman"/>
          <w:szCs w:val="24"/>
        </w:rPr>
        <w:t> </w:t>
      </w:r>
      <w:r w:rsidR="009D2F11" w:rsidRPr="00B81E7D">
        <w:rPr>
          <w:rFonts w:cs="Times New Roman"/>
          <w:szCs w:val="24"/>
        </w:rPr>
        <w:t>wykonawcy testamentu (</w:t>
      </w:r>
      <w:r w:rsidRPr="00B81E7D">
        <w:rPr>
          <w:rFonts w:cs="Times New Roman"/>
          <w:szCs w:val="24"/>
        </w:rPr>
        <w:t xml:space="preserve">por. </w:t>
      </w:r>
      <w:r w:rsidR="009D2F11" w:rsidRPr="00B81E7D">
        <w:rPr>
          <w:rFonts w:cs="Times New Roman"/>
          <w:szCs w:val="24"/>
        </w:rPr>
        <w:t>art. 988 – 990</w:t>
      </w:r>
      <w:r w:rsidR="009D2F11" w:rsidRPr="00B81E7D">
        <w:rPr>
          <w:rFonts w:cs="Times New Roman"/>
          <w:szCs w:val="24"/>
          <w:vertAlign w:val="superscript"/>
        </w:rPr>
        <w:t>1</w:t>
      </w:r>
      <w:r w:rsidR="009D2F11" w:rsidRPr="00B81E7D">
        <w:rPr>
          <w:rFonts w:cs="Times New Roman"/>
          <w:szCs w:val="24"/>
        </w:rPr>
        <w:t xml:space="preserve"> k.c., art. 1031</w:t>
      </w:r>
      <w:r w:rsidR="009D2F11" w:rsidRPr="00B81E7D">
        <w:rPr>
          <w:rFonts w:cs="Times New Roman"/>
          <w:szCs w:val="24"/>
          <w:vertAlign w:val="superscript"/>
        </w:rPr>
        <w:t>1</w:t>
      </w:r>
      <w:r w:rsidR="009D2F11" w:rsidRPr="00B81E7D">
        <w:rPr>
          <w:rFonts w:cs="Times New Roman"/>
          <w:szCs w:val="24"/>
        </w:rPr>
        <w:t xml:space="preserve"> § 1 i 2 oraz art. 1031</w:t>
      </w:r>
      <w:r w:rsidR="009D2F11" w:rsidRPr="00B81E7D">
        <w:rPr>
          <w:rFonts w:cs="Times New Roman"/>
          <w:szCs w:val="24"/>
          <w:vertAlign w:val="superscript"/>
        </w:rPr>
        <w:t>3</w:t>
      </w:r>
      <w:r w:rsidR="009D2F11" w:rsidRPr="00B81E7D">
        <w:rPr>
          <w:rFonts w:cs="Times New Roman"/>
          <w:szCs w:val="24"/>
        </w:rPr>
        <w:t xml:space="preserve"> k.c.</w:t>
      </w:r>
      <w:r w:rsidRPr="00B81E7D">
        <w:rPr>
          <w:rFonts w:cs="Times New Roman"/>
          <w:szCs w:val="24"/>
        </w:rPr>
        <w:t>)</w:t>
      </w:r>
      <w:r w:rsidR="009D2F11" w:rsidRPr="00B81E7D">
        <w:rPr>
          <w:rFonts w:cs="Times New Roman"/>
          <w:szCs w:val="24"/>
        </w:rPr>
        <w:t xml:space="preserve"> </w:t>
      </w:r>
      <w:r w:rsidR="002874B1" w:rsidRPr="00B81E7D">
        <w:rPr>
          <w:rFonts w:cs="Times New Roman"/>
          <w:szCs w:val="24"/>
        </w:rPr>
        <w:t xml:space="preserve"> Dodatkowo, na podstawie projektowanego art. </w:t>
      </w:r>
      <w:bookmarkStart w:id="20" w:name="mip49431900"/>
      <w:bookmarkEnd w:id="20"/>
      <w:r w:rsidR="002874B1" w:rsidRPr="00B81E7D">
        <w:t>60j ustawy po</w:t>
      </w:r>
      <w:r w:rsidR="007A2889">
        <w:t>żytki i inne przychody z praw z </w:t>
      </w:r>
      <w:r w:rsidR="002874B1" w:rsidRPr="00B81E7D">
        <w:t>udziału małżonka przedsiębiorcy w przedsiębiorstwi</w:t>
      </w:r>
      <w:r w:rsidR="00BE216B">
        <w:t>e będą pomniejszane o wydatki i </w:t>
      </w:r>
      <w:r w:rsidR="002874B1" w:rsidRPr="00B81E7D">
        <w:t>ciężary związane z tymi prawami. Regulacja ta ma bezpoś</w:t>
      </w:r>
      <w:r w:rsidR="007A2889">
        <w:t>redni związek z wprowadzanymi w </w:t>
      </w:r>
      <w:r w:rsidR="002874B1" w:rsidRPr="00B81E7D">
        <w:t xml:space="preserve">zakresie rozliczeń podatku dochodowego od osób fizycznych regułami rozliczenia podatku przez przedsiębiorcę, także w części dotyczącej udziału zmarłego małżonka przedsiębiorcy. </w:t>
      </w:r>
    </w:p>
    <w:p w:rsidR="00B81E7D" w:rsidRPr="00B81E7D" w:rsidRDefault="00B81E7D" w:rsidP="00B421C2">
      <w:pPr>
        <w:spacing w:after="120" w:line="360" w:lineRule="auto"/>
        <w:jc w:val="both"/>
        <w:rPr>
          <w:rFonts w:cs="Times New Roman"/>
          <w:szCs w:val="24"/>
        </w:rPr>
      </w:pPr>
    </w:p>
    <w:p w:rsidR="00A94B76" w:rsidRPr="00B81E7D" w:rsidRDefault="00A94B76" w:rsidP="00B421C2">
      <w:pPr>
        <w:numPr>
          <w:ilvl w:val="0"/>
          <w:numId w:val="1"/>
        </w:numPr>
        <w:spacing w:after="120" w:line="360" w:lineRule="auto"/>
        <w:jc w:val="both"/>
        <w:rPr>
          <w:rFonts w:cs="Times New Roman"/>
          <w:b/>
          <w:szCs w:val="24"/>
        </w:rPr>
      </w:pPr>
      <w:r w:rsidRPr="00B81E7D">
        <w:rPr>
          <w:rFonts w:cs="Times New Roman"/>
          <w:b/>
          <w:szCs w:val="24"/>
        </w:rPr>
        <w:t>PRZEPISY PRZEJŚCIOWE I PRZEPIS O WEJŚCIU W ŻYCIE</w:t>
      </w:r>
    </w:p>
    <w:p w:rsidR="00F4395E" w:rsidRPr="00B81E7D" w:rsidRDefault="00F4395E" w:rsidP="00B421C2">
      <w:pPr>
        <w:numPr>
          <w:ilvl w:val="0"/>
          <w:numId w:val="3"/>
        </w:numPr>
        <w:spacing w:after="120" w:line="360" w:lineRule="auto"/>
        <w:jc w:val="both"/>
        <w:rPr>
          <w:rFonts w:cs="Times New Roman"/>
          <w:b/>
          <w:szCs w:val="24"/>
        </w:rPr>
      </w:pPr>
      <w:r w:rsidRPr="00B81E7D">
        <w:rPr>
          <w:rFonts w:cs="Times New Roman"/>
          <w:b/>
          <w:szCs w:val="24"/>
        </w:rPr>
        <w:lastRenderedPageBreak/>
        <w:t xml:space="preserve">Przepisy </w:t>
      </w:r>
      <w:r w:rsidR="00DE218A" w:rsidRPr="00B81E7D">
        <w:rPr>
          <w:rFonts w:cs="Times New Roman"/>
          <w:b/>
          <w:szCs w:val="24"/>
        </w:rPr>
        <w:t xml:space="preserve">dostosowujące, epizodyczne i </w:t>
      </w:r>
      <w:r w:rsidRPr="00B81E7D">
        <w:rPr>
          <w:rFonts w:cs="Times New Roman"/>
          <w:b/>
          <w:szCs w:val="24"/>
        </w:rPr>
        <w:t>przejściowe</w:t>
      </w:r>
      <w:r w:rsidR="00DE218A" w:rsidRPr="00B81E7D">
        <w:rPr>
          <w:rFonts w:cs="Times New Roman"/>
          <w:b/>
          <w:szCs w:val="24"/>
        </w:rPr>
        <w:t>.</w:t>
      </w:r>
    </w:p>
    <w:p w:rsidR="001B7223" w:rsidRPr="00B81E7D" w:rsidRDefault="00862DFA" w:rsidP="00B421C2">
      <w:pPr>
        <w:pStyle w:val="ARTartustawynprozporzdzenia"/>
        <w:ind w:firstLine="0"/>
        <w:rPr>
          <w:rFonts w:ascii="Times New Roman" w:hAnsi="Times New Roman" w:cs="Times New Roman"/>
          <w:b/>
          <w:szCs w:val="24"/>
        </w:rPr>
      </w:pPr>
      <w:r w:rsidRPr="00B81E7D">
        <w:rPr>
          <w:rFonts w:ascii="Times New Roman" w:hAnsi="Times New Roman" w:cs="Times New Roman"/>
          <w:b/>
          <w:szCs w:val="24"/>
        </w:rPr>
        <w:t xml:space="preserve">- Art. </w:t>
      </w:r>
      <w:r w:rsidR="004775F4" w:rsidRPr="00B81E7D">
        <w:rPr>
          <w:rFonts w:ascii="Times New Roman" w:hAnsi="Times New Roman" w:cs="Times New Roman"/>
          <w:b/>
          <w:szCs w:val="24"/>
        </w:rPr>
        <w:t>6</w:t>
      </w:r>
      <w:r w:rsidR="004775F4">
        <w:rPr>
          <w:rFonts w:ascii="Times New Roman" w:hAnsi="Times New Roman" w:cs="Times New Roman"/>
          <w:b/>
          <w:szCs w:val="24"/>
        </w:rPr>
        <w:t>7</w:t>
      </w:r>
      <w:r w:rsidR="004775F4" w:rsidRPr="00B81E7D">
        <w:rPr>
          <w:rFonts w:ascii="Times New Roman" w:hAnsi="Times New Roman" w:cs="Times New Roman"/>
          <w:b/>
          <w:szCs w:val="24"/>
        </w:rPr>
        <w:t xml:space="preserve"> </w:t>
      </w:r>
      <w:r w:rsidR="001B7223" w:rsidRPr="00B81E7D">
        <w:rPr>
          <w:rFonts w:ascii="Times New Roman" w:hAnsi="Times New Roman" w:cs="Times New Roman"/>
          <w:b/>
          <w:szCs w:val="24"/>
        </w:rPr>
        <w:t>projektu</w:t>
      </w:r>
    </w:p>
    <w:p w:rsidR="00F11DEB" w:rsidRPr="00B81E7D" w:rsidRDefault="00F11DEB" w:rsidP="00B421C2">
      <w:pPr>
        <w:pStyle w:val="ARTartustawynprozporzdzenia"/>
        <w:spacing w:after="120"/>
        <w:ind w:firstLine="0"/>
        <w:rPr>
          <w:rFonts w:ascii="Times New Roman" w:hAnsi="Times New Roman" w:cs="Times New Roman"/>
          <w:szCs w:val="24"/>
        </w:rPr>
      </w:pPr>
      <w:r w:rsidRPr="00B81E7D">
        <w:rPr>
          <w:rFonts w:ascii="Times New Roman" w:hAnsi="Times New Roman" w:cs="Times New Roman"/>
          <w:szCs w:val="24"/>
        </w:rPr>
        <w:t xml:space="preserve">Przepis przejściowy dla zmian w wprowadzanych w k.p.c. w zakresie </w:t>
      </w:r>
      <w:r w:rsidR="000279A6" w:rsidRPr="00B81E7D">
        <w:rPr>
          <w:rFonts w:ascii="Times New Roman" w:hAnsi="Times New Roman" w:cs="Times New Roman"/>
          <w:szCs w:val="24"/>
        </w:rPr>
        <w:t>ugody zatwierdzonej</w:t>
      </w:r>
      <w:r w:rsidRPr="00B81E7D">
        <w:rPr>
          <w:rFonts w:ascii="Times New Roman" w:hAnsi="Times New Roman" w:cs="Times New Roman"/>
          <w:szCs w:val="24"/>
        </w:rPr>
        <w:t xml:space="preserve"> przez SOKiK, tj. dla art. 394 § 1 pkt 10</w:t>
      </w:r>
      <w:r w:rsidRPr="00B81E7D">
        <w:rPr>
          <w:rFonts w:ascii="Times New Roman" w:hAnsi="Times New Roman" w:cs="Times New Roman"/>
          <w:szCs w:val="24"/>
          <w:vertAlign w:val="superscript"/>
        </w:rPr>
        <w:t>2</w:t>
      </w:r>
      <w:r w:rsidRPr="00B81E7D">
        <w:rPr>
          <w:rFonts w:ascii="Times New Roman" w:hAnsi="Times New Roman" w:cs="Times New Roman"/>
          <w:szCs w:val="24"/>
        </w:rPr>
        <w:t>, art.  479</w:t>
      </w:r>
      <w:r w:rsidRPr="00B81E7D">
        <w:rPr>
          <w:rStyle w:val="IGindeksgrny"/>
          <w:rFonts w:ascii="Times New Roman" w:hAnsi="Times New Roman" w:cs="Times New Roman"/>
          <w:szCs w:val="24"/>
        </w:rPr>
        <w:t xml:space="preserve">30 </w:t>
      </w:r>
      <w:r w:rsidRPr="00B81E7D">
        <w:rPr>
          <w:rFonts w:ascii="Times New Roman" w:hAnsi="Times New Roman" w:cs="Times New Roman"/>
          <w:szCs w:val="24"/>
        </w:rPr>
        <w:t>§ 2, art. 479</w:t>
      </w:r>
      <w:r w:rsidRPr="00B81E7D">
        <w:rPr>
          <w:rStyle w:val="IGindeksgrny"/>
          <w:rFonts w:ascii="Times New Roman" w:hAnsi="Times New Roman" w:cs="Times New Roman"/>
          <w:szCs w:val="24"/>
        </w:rPr>
        <w:t>30a</w:t>
      </w:r>
      <w:r w:rsidRPr="00B81E7D">
        <w:rPr>
          <w:rFonts w:ascii="Times New Roman" w:hAnsi="Times New Roman" w:cs="Times New Roman"/>
          <w:szCs w:val="24"/>
        </w:rPr>
        <w:t>–479</w:t>
      </w:r>
      <w:r w:rsidRPr="00B81E7D">
        <w:rPr>
          <w:rStyle w:val="IGindeksgrny"/>
          <w:rFonts w:ascii="Times New Roman" w:hAnsi="Times New Roman" w:cs="Times New Roman"/>
          <w:szCs w:val="24"/>
        </w:rPr>
        <w:t>30d</w:t>
      </w:r>
      <w:r w:rsidRPr="00B81E7D">
        <w:rPr>
          <w:rFonts w:ascii="Times New Roman" w:hAnsi="Times New Roman" w:cs="Times New Roman"/>
          <w:szCs w:val="24"/>
        </w:rPr>
        <w:t>, art. 479</w:t>
      </w:r>
      <w:r w:rsidRPr="00B81E7D">
        <w:rPr>
          <w:rStyle w:val="IGindeksgrny"/>
          <w:rFonts w:ascii="Times New Roman" w:hAnsi="Times New Roman" w:cs="Times New Roman"/>
          <w:szCs w:val="24"/>
        </w:rPr>
        <w:t>52a</w:t>
      </w:r>
      <w:r w:rsidRPr="00B81E7D">
        <w:rPr>
          <w:rFonts w:ascii="Times New Roman" w:hAnsi="Times New Roman" w:cs="Times New Roman"/>
          <w:szCs w:val="24"/>
        </w:rPr>
        <w:t>, ar</w:t>
      </w:r>
      <w:r w:rsidR="0041391B">
        <w:rPr>
          <w:rFonts w:ascii="Times New Roman" w:hAnsi="Times New Roman" w:cs="Times New Roman"/>
          <w:szCs w:val="24"/>
        </w:rPr>
        <w:t>t. </w:t>
      </w:r>
      <w:r w:rsidRPr="00B81E7D">
        <w:rPr>
          <w:rFonts w:ascii="Times New Roman" w:hAnsi="Times New Roman" w:cs="Times New Roman"/>
          <w:szCs w:val="24"/>
        </w:rPr>
        <w:t>479</w:t>
      </w:r>
      <w:r w:rsidRPr="00B81E7D">
        <w:rPr>
          <w:rStyle w:val="IGindeksgrny"/>
          <w:rFonts w:ascii="Times New Roman" w:hAnsi="Times New Roman" w:cs="Times New Roman"/>
          <w:szCs w:val="24"/>
        </w:rPr>
        <w:t>63a</w:t>
      </w:r>
      <w:r w:rsidRPr="00B81E7D">
        <w:rPr>
          <w:rFonts w:ascii="Times New Roman" w:hAnsi="Times New Roman" w:cs="Times New Roman"/>
          <w:szCs w:val="24"/>
        </w:rPr>
        <w:t>, art. 479</w:t>
      </w:r>
      <w:r w:rsidRPr="00B81E7D">
        <w:rPr>
          <w:rStyle w:val="IGindeksgrny"/>
          <w:rFonts w:ascii="Times New Roman" w:hAnsi="Times New Roman" w:cs="Times New Roman"/>
          <w:szCs w:val="24"/>
        </w:rPr>
        <w:t>74a</w:t>
      </w:r>
      <w:r w:rsidRPr="00B81E7D">
        <w:rPr>
          <w:rFonts w:ascii="Times New Roman" w:hAnsi="Times New Roman" w:cs="Times New Roman"/>
          <w:szCs w:val="24"/>
        </w:rPr>
        <w:t xml:space="preserve"> i art. 479</w:t>
      </w:r>
      <w:r w:rsidRPr="00B81E7D">
        <w:rPr>
          <w:rStyle w:val="IGindeksgrny"/>
          <w:rFonts w:ascii="Times New Roman" w:hAnsi="Times New Roman" w:cs="Times New Roman"/>
          <w:szCs w:val="24"/>
        </w:rPr>
        <w:t>85a</w:t>
      </w:r>
      <w:r w:rsidRPr="00B81E7D">
        <w:rPr>
          <w:rFonts w:ascii="Times New Roman" w:hAnsi="Times New Roman" w:cs="Times New Roman"/>
          <w:szCs w:val="24"/>
        </w:rPr>
        <w:t xml:space="preserve"> </w:t>
      </w:r>
      <w:r w:rsidRPr="00B81E7D">
        <w:rPr>
          <w:rStyle w:val="IGindeksgrny"/>
          <w:rFonts w:ascii="Times New Roman" w:hAnsi="Times New Roman" w:cs="Times New Roman"/>
          <w:szCs w:val="24"/>
        </w:rPr>
        <w:t xml:space="preserve"> </w:t>
      </w:r>
      <w:r w:rsidRPr="00B81E7D">
        <w:rPr>
          <w:rStyle w:val="IGindeksgrny"/>
          <w:rFonts w:ascii="Times New Roman" w:hAnsi="Times New Roman" w:cs="Times New Roman"/>
          <w:szCs w:val="24"/>
          <w:vertAlign w:val="baseline"/>
        </w:rPr>
        <w:t>ma</w:t>
      </w:r>
      <w:r w:rsidRPr="00B81E7D">
        <w:rPr>
          <w:rStyle w:val="IGindeksgrny"/>
          <w:rFonts w:ascii="Times New Roman" w:hAnsi="Times New Roman" w:cs="Times New Roman"/>
          <w:szCs w:val="24"/>
        </w:rPr>
        <w:t xml:space="preserve"> </w:t>
      </w:r>
      <w:r w:rsidRPr="00B81E7D">
        <w:rPr>
          <w:rFonts w:ascii="Times New Roman" w:hAnsi="Times New Roman" w:cs="Times New Roman"/>
          <w:color w:val="000000"/>
          <w:szCs w:val="24"/>
        </w:rPr>
        <w:t xml:space="preserve">zapewnić możliwość zawarcia </w:t>
      </w:r>
      <w:r w:rsidR="000279A6" w:rsidRPr="00B81E7D">
        <w:rPr>
          <w:rFonts w:ascii="Times New Roman" w:hAnsi="Times New Roman" w:cs="Times New Roman"/>
          <w:color w:val="000000"/>
          <w:szCs w:val="24"/>
        </w:rPr>
        <w:t xml:space="preserve">ugody </w:t>
      </w:r>
      <w:r w:rsidRPr="00B81E7D">
        <w:rPr>
          <w:rFonts w:ascii="Times New Roman" w:hAnsi="Times New Roman" w:cs="Times New Roman"/>
          <w:color w:val="000000"/>
          <w:szCs w:val="24"/>
        </w:rPr>
        <w:t xml:space="preserve">w sprawach wszczętych i niezakończonych w dniu wejścia w życie </w:t>
      </w:r>
      <w:r w:rsidR="00B248A7">
        <w:rPr>
          <w:rFonts w:ascii="Times New Roman" w:hAnsi="Times New Roman" w:cs="Times New Roman"/>
          <w:color w:val="000000"/>
          <w:szCs w:val="24"/>
        </w:rPr>
        <w:t xml:space="preserve">projektowanych </w:t>
      </w:r>
      <w:r w:rsidRPr="00B81E7D">
        <w:rPr>
          <w:rFonts w:ascii="Times New Roman" w:hAnsi="Times New Roman" w:cs="Times New Roman"/>
          <w:color w:val="000000"/>
          <w:szCs w:val="24"/>
        </w:rPr>
        <w:t xml:space="preserve"> regulacji</w:t>
      </w:r>
      <w:r w:rsidRPr="00B81E7D">
        <w:rPr>
          <w:rFonts w:ascii="Times New Roman" w:hAnsi="Times New Roman" w:cs="Times New Roman"/>
          <w:szCs w:val="24"/>
        </w:rPr>
        <w:t>.</w:t>
      </w:r>
    </w:p>
    <w:p w:rsidR="002879DF" w:rsidRPr="00B81E7D" w:rsidRDefault="0027187A" w:rsidP="00B421C2">
      <w:pPr>
        <w:pStyle w:val="ARTartustawynprozporzdzenia"/>
        <w:ind w:firstLine="0"/>
        <w:rPr>
          <w:rFonts w:ascii="Times New Roman" w:hAnsi="Times New Roman" w:cs="Times New Roman"/>
          <w:b/>
          <w:szCs w:val="24"/>
        </w:rPr>
      </w:pPr>
      <w:r w:rsidRPr="00B81E7D">
        <w:rPr>
          <w:rFonts w:ascii="Times New Roman" w:hAnsi="Times New Roman" w:cs="Times New Roman"/>
          <w:b/>
          <w:szCs w:val="24"/>
        </w:rPr>
        <w:t xml:space="preserve">- </w:t>
      </w:r>
      <w:r w:rsidR="002879DF" w:rsidRPr="00B81E7D">
        <w:rPr>
          <w:rFonts w:ascii="Times New Roman" w:hAnsi="Times New Roman" w:cs="Times New Roman"/>
          <w:b/>
          <w:szCs w:val="24"/>
        </w:rPr>
        <w:t xml:space="preserve">Art. </w:t>
      </w:r>
      <w:r w:rsidR="004775F4" w:rsidRPr="00B81E7D">
        <w:rPr>
          <w:rFonts w:ascii="Times New Roman" w:hAnsi="Times New Roman" w:cs="Times New Roman"/>
          <w:b/>
          <w:szCs w:val="24"/>
        </w:rPr>
        <w:t>6</w:t>
      </w:r>
      <w:r w:rsidR="004775F4">
        <w:rPr>
          <w:rFonts w:ascii="Times New Roman" w:hAnsi="Times New Roman" w:cs="Times New Roman"/>
          <w:b/>
          <w:szCs w:val="24"/>
        </w:rPr>
        <w:t>8</w:t>
      </w:r>
      <w:r w:rsidR="004775F4" w:rsidRPr="00B81E7D">
        <w:rPr>
          <w:rFonts w:ascii="Times New Roman" w:hAnsi="Times New Roman" w:cs="Times New Roman"/>
          <w:b/>
          <w:szCs w:val="24"/>
        </w:rPr>
        <w:t xml:space="preserve"> </w:t>
      </w:r>
      <w:r w:rsidR="002879DF" w:rsidRPr="00B81E7D">
        <w:rPr>
          <w:rFonts w:ascii="Times New Roman" w:hAnsi="Times New Roman" w:cs="Times New Roman"/>
          <w:b/>
          <w:szCs w:val="24"/>
        </w:rPr>
        <w:t>projektu</w:t>
      </w:r>
    </w:p>
    <w:p w:rsidR="0027187A" w:rsidRPr="00B81E7D" w:rsidRDefault="0027187A" w:rsidP="00B421C2">
      <w:pPr>
        <w:pStyle w:val="ARTartustawynprozporzdzenia"/>
        <w:ind w:firstLine="0"/>
        <w:rPr>
          <w:rFonts w:ascii="Times New Roman" w:hAnsi="Times New Roman" w:cs="Times New Roman"/>
          <w:b/>
          <w:szCs w:val="24"/>
        </w:rPr>
      </w:pPr>
      <w:r w:rsidRPr="00B81E7D">
        <w:rPr>
          <w:rFonts w:ascii="Times New Roman" w:hAnsi="Times New Roman" w:cs="Times New Roman"/>
          <w:szCs w:val="24"/>
        </w:rPr>
        <w:t>Przepis przejściowy dotycz</w:t>
      </w:r>
      <w:r w:rsidR="00E346D7" w:rsidRPr="00B81E7D">
        <w:rPr>
          <w:rFonts w:ascii="Times New Roman" w:hAnsi="Times New Roman" w:cs="Times New Roman"/>
          <w:szCs w:val="24"/>
        </w:rPr>
        <w:t>y</w:t>
      </w:r>
      <w:r w:rsidRPr="00B81E7D">
        <w:rPr>
          <w:rFonts w:ascii="Times New Roman" w:hAnsi="Times New Roman" w:cs="Times New Roman"/>
          <w:szCs w:val="24"/>
        </w:rPr>
        <w:t xml:space="preserve"> postępowań prowadzonych na podstawie ustawy z dnia 21 marca 1985 r. o drogach publicznych</w:t>
      </w:r>
      <w:r w:rsidR="00E346D7" w:rsidRPr="00B81E7D">
        <w:rPr>
          <w:rFonts w:ascii="Times New Roman" w:hAnsi="Times New Roman" w:cs="Times New Roman"/>
          <w:szCs w:val="24"/>
        </w:rPr>
        <w:t xml:space="preserve"> niezakończonych przed dniem wejścia w życie niniejszej ustawy.</w:t>
      </w:r>
    </w:p>
    <w:p w:rsidR="0027187A" w:rsidRPr="00B81E7D" w:rsidRDefault="0027187A" w:rsidP="00B421C2">
      <w:pPr>
        <w:pStyle w:val="ARTartustawynprozporzdzenia"/>
        <w:ind w:firstLine="0"/>
        <w:rPr>
          <w:rFonts w:ascii="Times New Roman" w:hAnsi="Times New Roman" w:cs="Times New Roman"/>
          <w:b/>
          <w:szCs w:val="24"/>
        </w:rPr>
      </w:pPr>
      <w:r w:rsidRPr="00B81E7D">
        <w:rPr>
          <w:rFonts w:ascii="Times New Roman" w:hAnsi="Times New Roman" w:cs="Times New Roman"/>
          <w:b/>
          <w:szCs w:val="24"/>
        </w:rPr>
        <w:t xml:space="preserve">- Art. </w:t>
      </w:r>
      <w:r w:rsidR="004775F4" w:rsidRPr="00B81E7D">
        <w:rPr>
          <w:rFonts w:ascii="Times New Roman" w:hAnsi="Times New Roman" w:cs="Times New Roman"/>
          <w:b/>
          <w:szCs w:val="24"/>
        </w:rPr>
        <w:t>6</w:t>
      </w:r>
      <w:r w:rsidR="004775F4">
        <w:rPr>
          <w:rFonts w:ascii="Times New Roman" w:hAnsi="Times New Roman" w:cs="Times New Roman"/>
          <w:b/>
          <w:szCs w:val="24"/>
        </w:rPr>
        <w:t>9</w:t>
      </w:r>
      <w:r w:rsidR="004775F4" w:rsidRPr="00B81E7D">
        <w:rPr>
          <w:rFonts w:ascii="Times New Roman" w:hAnsi="Times New Roman" w:cs="Times New Roman"/>
          <w:b/>
          <w:szCs w:val="24"/>
        </w:rPr>
        <w:t xml:space="preserve"> </w:t>
      </w:r>
      <w:r w:rsidRPr="00B81E7D">
        <w:rPr>
          <w:rFonts w:ascii="Times New Roman" w:hAnsi="Times New Roman" w:cs="Times New Roman"/>
          <w:b/>
          <w:szCs w:val="24"/>
        </w:rPr>
        <w:t>projektu</w:t>
      </w:r>
    </w:p>
    <w:p w:rsidR="00A729DE" w:rsidRPr="00B81E7D" w:rsidRDefault="00A729DE" w:rsidP="00B421C2">
      <w:pPr>
        <w:pStyle w:val="ARTartustawynprozporzdzenia"/>
        <w:ind w:firstLine="0"/>
        <w:rPr>
          <w:rFonts w:ascii="Times New Roman" w:hAnsi="Times New Roman" w:cs="Times New Roman"/>
          <w:szCs w:val="24"/>
        </w:rPr>
      </w:pPr>
      <w:r w:rsidRPr="00B81E7D">
        <w:rPr>
          <w:rFonts w:ascii="Times New Roman" w:hAnsi="Times New Roman" w:cs="Times New Roman"/>
          <w:szCs w:val="24"/>
        </w:rPr>
        <w:t>Przepis umożliwia przedsiębiorcom zwrócenie się do izby rzemieślniczej z wnioskiem o przekazanie do CEIDG informacji o kwalifikacjach zawodowych uzyskanych przed dniem wejścia w życie ustawy albo przed dniem rozpoczęcia działalności gospodarczej.</w:t>
      </w:r>
    </w:p>
    <w:p w:rsidR="00A729DE" w:rsidRPr="00B81E7D" w:rsidRDefault="00A729DE" w:rsidP="00B421C2">
      <w:pPr>
        <w:pStyle w:val="ARTartustawynprozporzdzenia"/>
        <w:ind w:firstLine="0"/>
        <w:rPr>
          <w:rFonts w:ascii="Times New Roman" w:hAnsi="Times New Roman" w:cs="Times New Roman"/>
          <w:szCs w:val="24"/>
        </w:rPr>
      </w:pPr>
      <w:r w:rsidRPr="00B81E7D">
        <w:rPr>
          <w:rFonts w:ascii="Times New Roman" w:hAnsi="Times New Roman" w:cs="Times New Roman"/>
          <w:szCs w:val="24"/>
        </w:rPr>
        <w:t xml:space="preserve">Ponadto w przepisie został uregulowany proces przyjmowania i weryfikacji dokumentów będących podstawą do dokonania wpisu do CEIDG informacji o uzyskanych kwalifikacjach zawodowych rzemieślnika. </w:t>
      </w:r>
    </w:p>
    <w:p w:rsidR="00A729DE" w:rsidRPr="00B81E7D" w:rsidRDefault="00A729DE" w:rsidP="00B421C2">
      <w:pPr>
        <w:pStyle w:val="ARTartustawynprozporzdzenia"/>
        <w:ind w:firstLine="0"/>
        <w:rPr>
          <w:rFonts w:ascii="Times New Roman" w:hAnsi="Times New Roman" w:cs="Times New Roman"/>
          <w:szCs w:val="24"/>
        </w:rPr>
      </w:pPr>
      <w:r w:rsidRPr="00B81E7D">
        <w:rPr>
          <w:rFonts w:ascii="Times New Roman" w:hAnsi="Times New Roman" w:cs="Times New Roman"/>
          <w:szCs w:val="24"/>
        </w:rPr>
        <w:t>W przepisie uregulowano kwestię wysokości opłat za egzaminy w przypadku postępowań egzaminacyjnych wszczętych i niezakończonych przed dniem wejścia w życie niniejszej ustawy.</w:t>
      </w:r>
    </w:p>
    <w:p w:rsidR="00A729DE" w:rsidRPr="00B81E7D" w:rsidRDefault="00A729DE" w:rsidP="00B421C2">
      <w:pPr>
        <w:pStyle w:val="ARTartustawynprozporzdzenia"/>
        <w:ind w:firstLine="0"/>
        <w:rPr>
          <w:rFonts w:ascii="Times New Roman" w:hAnsi="Times New Roman" w:cs="Times New Roman"/>
          <w:szCs w:val="24"/>
        </w:rPr>
      </w:pPr>
      <w:r w:rsidRPr="00B81E7D">
        <w:rPr>
          <w:rFonts w:ascii="Times New Roman" w:hAnsi="Times New Roman" w:cs="Times New Roman"/>
          <w:szCs w:val="24"/>
        </w:rPr>
        <w:t xml:space="preserve">Proponowany przepis ma również na celu rozwianie ewentualnych wątpliwości intertemporalnych dotyczących, w szczególności rodzaju egzaminu zadawanego przez młodocianych, tak by nie na rzucić na uczniów realizujących obecnie przygotowanie zawodowe poza rzemiosłem obowiązek przystąpienia do egzaminu czeladniczego w rzemiośle a nie do egzaminu zawodowego przed OKE. </w:t>
      </w:r>
    </w:p>
    <w:p w:rsidR="00014E81" w:rsidRPr="00B81E7D" w:rsidRDefault="0027187A" w:rsidP="00B421C2">
      <w:pPr>
        <w:pStyle w:val="ARTartustawynprozporzdzenia"/>
        <w:ind w:firstLine="0"/>
        <w:rPr>
          <w:rFonts w:ascii="Times New Roman" w:hAnsi="Times New Roman" w:cs="Times New Roman"/>
          <w:b/>
          <w:szCs w:val="24"/>
        </w:rPr>
      </w:pPr>
      <w:r w:rsidRPr="00B81E7D">
        <w:rPr>
          <w:rFonts w:ascii="Times New Roman" w:hAnsi="Times New Roman" w:cs="Times New Roman"/>
          <w:b/>
          <w:szCs w:val="24"/>
        </w:rPr>
        <w:t xml:space="preserve">- </w:t>
      </w:r>
      <w:r w:rsidR="00014E81" w:rsidRPr="00B81E7D">
        <w:rPr>
          <w:rFonts w:ascii="Times New Roman" w:hAnsi="Times New Roman" w:cs="Times New Roman"/>
          <w:b/>
          <w:szCs w:val="24"/>
        </w:rPr>
        <w:t xml:space="preserve">Art. </w:t>
      </w:r>
      <w:r w:rsidR="004775F4">
        <w:rPr>
          <w:rFonts w:ascii="Times New Roman" w:hAnsi="Times New Roman" w:cs="Times New Roman"/>
          <w:b/>
          <w:szCs w:val="24"/>
        </w:rPr>
        <w:t>70</w:t>
      </w:r>
      <w:r w:rsidR="004775F4" w:rsidRPr="00B81E7D">
        <w:rPr>
          <w:rFonts w:ascii="Times New Roman" w:hAnsi="Times New Roman" w:cs="Times New Roman"/>
          <w:b/>
          <w:szCs w:val="24"/>
        </w:rPr>
        <w:t xml:space="preserve"> </w:t>
      </w:r>
      <w:r w:rsidR="00014E81" w:rsidRPr="00B81E7D">
        <w:rPr>
          <w:rFonts w:ascii="Times New Roman" w:hAnsi="Times New Roman" w:cs="Times New Roman"/>
          <w:b/>
          <w:szCs w:val="24"/>
        </w:rPr>
        <w:t>projektu</w:t>
      </w:r>
    </w:p>
    <w:p w:rsidR="00014E81" w:rsidRPr="00B81E7D" w:rsidRDefault="00014E81" w:rsidP="00B421C2">
      <w:pPr>
        <w:pStyle w:val="ARTartustawynprozporzdzenia"/>
        <w:ind w:firstLine="0"/>
        <w:rPr>
          <w:rFonts w:ascii="Times New Roman" w:hAnsi="Times New Roman" w:cs="Times New Roman"/>
          <w:szCs w:val="24"/>
        </w:rPr>
      </w:pPr>
      <w:r w:rsidRPr="00B81E7D">
        <w:rPr>
          <w:rFonts w:ascii="Times New Roman" w:hAnsi="Times New Roman" w:cs="Times New Roman"/>
          <w:szCs w:val="24"/>
        </w:rPr>
        <w:t>Przepis przejściowy dotyczy postępowań w sprawie wydawania koncesji</w:t>
      </w:r>
      <w:r w:rsidR="00B248A7">
        <w:rPr>
          <w:rFonts w:ascii="Times New Roman" w:hAnsi="Times New Roman" w:cs="Times New Roman"/>
          <w:szCs w:val="24"/>
        </w:rPr>
        <w:t>,</w:t>
      </w:r>
      <w:r w:rsidRPr="00B81E7D">
        <w:rPr>
          <w:rFonts w:ascii="Times New Roman" w:hAnsi="Times New Roman" w:cs="Times New Roman"/>
          <w:szCs w:val="24"/>
        </w:rPr>
        <w:t xml:space="preserve"> o których mowa w art. 37 ust. 3 ustawy </w:t>
      </w:r>
      <w:r w:rsidRPr="00B81E7D">
        <w:t>z dnia 29 grudnia 1992 r. o radiofonii i telewizji</w:t>
      </w:r>
      <w:r w:rsidR="00B248A7">
        <w:t>,</w:t>
      </w:r>
      <w:r w:rsidRPr="00B81E7D">
        <w:t xml:space="preserve"> </w:t>
      </w:r>
      <w:r w:rsidRPr="00B81E7D">
        <w:rPr>
          <w:rFonts w:ascii="Times New Roman" w:hAnsi="Times New Roman" w:cs="Times New Roman"/>
          <w:szCs w:val="24"/>
        </w:rPr>
        <w:t xml:space="preserve">wszczętych i niezakończonych przed dniem wejścia w życie niniejszej ustawy. </w:t>
      </w:r>
    </w:p>
    <w:p w:rsidR="00014E81" w:rsidRPr="00B81E7D" w:rsidRDefault="00014E81" w:rsidP="00B421C2">
      <w:pPr>
        <w:pStyle w:val="ARTartustawynprozporzdzenia"/>
        <w:ind w:firstLine="0"/>
        <w:rPr>
          <w:rFonts w:ascii="Times New Roman" w:hAnsi="Times New Roman" w:cs="Times New Roman"/>
          <w:b/>
          <w:szCs w:val="24"/>
        </w:rPr>
      </w:pPr>
      <w:r w:rsidRPr="00B81E7D">
        <w:rPr>
          <w:rFonts w:ascii="Times New Roman" w:hAnsi="Times New Roman" w:cs="Times New Roman"/>
          <w:b/>
          <w:szCs w:val="24"/>
        </w:rPr>
        <w:t xml:space="preserve">- Art. </w:t>
      </w:r>
      <w:r w:rsidR="004775F4">
        <w:rPr>
          <w:rFonts w:ascii="Times New Roman" w:hAnsi="Times New Roman" w:cs="Times New Roman"/>
          <w:b/>
          <w:szCs w:val="24"/>
        </w:rPr>
        <w:t>71</w:t>
      </w:r>
      <w:r w:rsidR="004775F4" w:rsidRPr="00B81E7D">
        <w:rPr>
          <w:rFonts w:ascii="Times New Roman" w:hAnsi="Times New Roman" w:cs="Times New Roman"/>
          <w:b/>
          <w:szCs w:val="24"/>
        </w:rPr>
        <w:t xml:space="preserve"> </w:t>
      </w:r>
      <w:r w:rsidRPr="00B81E7D">
        <w:rPr>
          <w:rFonts w:ascii="Times New Roman" w:hAnsi="Times New Roman" w:cs="Times New Roman"/>
          <w:b/>
          <w:szCs w:val="24"/>
        </w:rPr>
        <w:t>projektu</w:t>
      </w:r>
    </w:p>
    <w:p w:rsidR="00014E81" w:rsidRPr="00B81E7D" w:rsidRDefault="00014E81" w:rsidP="00B421C2">
      <w:pPr>
        <w:pStyle w:val="ARTartustawynprozporzdzenia"/>
        <w:ind w:firstLine="0"/>
        <w:rPr>
          <w:rFonts w:ascii="Times New Roman" w:hAnsi="Times New Roman" w:cs="Times New Roman"/>
          <w:szCs w:val="24"/>
        </w:rPr>
      </w:pPr>
      <w:r w:rsidRPr="00B81E7D">
        <w:rPr>
          <w:rFonts w:ascii="Times New Roman" w:hAnsi="Times New Roman" w:cs="Times New Roman"/>
          <w:szCs w:val="24"/>
        </w:rPr>
        <w:lastRenderedPageBreak/>
        <w:t xml:space="preserve">Proponowany przepis reguluje </w:t>
      </w:r>
      <w:r w:rsidR="00B248A7">
        <w:rPr>
          <w:rFonts w:ascii="Times New Roman" w:hAnsi="Times New Roman" w:cs="Times New Roman"/>
          <w:szCs w:val="24"/>
        </w:rPr>
        <w:t xml:space="preserve">kwestie </w:t>
      </w:r>
      <w:r w:rsidRPr="00B81E7D">
        <w:rPr>
          <w:rFonts w:ascii="Times New Roman" w:hAnsi="Times New Roman" w:cs="Times New Roman"/>
          <w:szCs w:val="24"/>
        </w:rPr>
        <w:t>stosowani</w:t>
      </w:r>
      <w:r w:rsidR="00B248A7">
        <w:rPr>
          <w:rFonts w:ascii="Times New Roman" w:hAnsi="Times New Roman" w:cs="Times New Roman"/>
          <w:szCs w:val="24"/>
        </w:rPr>
        <w:t>a</w:t>
      </w:r>
      <w:r w:rsidRPr="00B81E7D">
        <w:rPr>
          <w:rFonts w:ascii="Times New Roman" w:hAnsi="Times New Roman" w:cs="Times New Roman"/>
          <w:szCs w:val="24"/>
        </w:rPr>
        <w:t xml:space="preserve"> nowych przepisów do postępowań administracyjnych w przedmiocie nałożenia kary pieniężnej za niezłożenie w terminie sprawozdań, o których mowa w art. </w:t>
      </w:r>
      <w:r w:rsidRPr="00B81E7D">
        <w:t>4ba lub art. 43d ust</w:t>
      </w:r>
      <w:r w:rsidR="00950CFC">
        <w:t>awy</w:t>
      </w:r>
      <w:r w:rsidR="00B248A7">
        <w:t xml:space="preserve"> -</w:t>
      </w:r>
      <w:r w:rsidR="00950CFC">
        <w:t xml:space="preserve"> Prawo energetyczne. Przepis </w:t>
      </w:r>
      <w:r w:rsidRPr="00B81E7D">
        <w:t>określa również okres stosowania dotychczas</w:t>
      </w:r>
      <w:r w:rsidR="00B248A7">
        <w:t>owych aktów wykonawczych wydanych na podstawie zmienianych przepisów ustawy.</w:t>
      </w:r>
      <w:r w:rsidRPr="00B81E7D">
        <w:t>.</w:t>
      </w:r>
    </w:p>
    <w:p w:rsidR="0027187A" w:rsidRPr="00B81E7D" w:rsidRDefault="0027187A" w:rsidP="00B421C2">
      <w:pPr>
        <w:pStyle w:val="ARTartustawynprozporzdzenia"/>
        <w:ind w:firstLine="0"/>
        <w:rPr>
          <w:rFonts w:ascii="Times New Roman" w:hAnsi="Times New Roman" w:cs="Times New Roman"/>
          <w:b/>
          <w:szCs w:val="24"/>
        </w:rPr>
      </w:pPr>
      <w:r w:rsidRPr="00B81E7D">
        <w:rPr>
          <w:rFonts w:ascii="Times New Roman" w:hAnsi="Times New Roman" w:cs="Times New Roman"/>
          <w:b/>
          <w:szCs w:val="24"/>
        </w:rPr>
        <w:t xml:space="preserve">- Art. </w:t>
      </w:r>
      <w:r w:rsidR="00DA7D72" w:rsidRPr="00B81E7D">
        <w:rPr>
          <w:rFonts w:ascii="Times New Roman" w:hAnsi="Times New Roman" w:cs="Times New Roman"/>
          <w:b/>
          <w:szCs w:val="24"/>
        </w:rPr>
        <w:t>7</w:t>
      </w:r>
      <w:r w:rsidR="004775F4">
        <w:rPr>
          <w:rFonts w:ascii="Times New Roman" w:hAnsi="Times New Roman" w:cs="Times New Roman"/>
          <w:b/>
          <w:szCs w:val="24"/>
        </w:rPr>
        <w:t>2</w:t>
      </w:r>
      <w:r w:rsidR="00DA7D72" w:rsidRPr="00B81E7D">
        <w:rPr>
          <w:rFonts w:ascii="Times New Roman" w:hAnsi="Times New Roman" w:cs="Times New Roman"/>
          <w:b/>
          <w:szCs w:val="24"/>
        </w:rPr>
        <w:t xml:space="preserve"> </w:t>
      </w:r>
      <w:r w:rsidRPr="00B81E7D">
        <w:rPr>
          <w:rFonts w:ascii="Times New Roman" w:hAnsi="Times New Roman" w:cs="Times New Roman"/>
          <w:b/>
          <w:szCs w:val="24"/>
        </w:rPr>
        <w:t>projektu</w:t>
      </w:r>
    </w:p>
    <w:p w:rsidR="00DB41B2" w:rsidRPr="00B81E7D" w:rsidRDefault="00A233D9" w:rsidP="00B421C2">
      <w:pPr>
        <w:pStyle w:val="ARTartustawynprozporzdzenia"/>
        <w:ind w:firstLine="0"/>
        <w:rPr>
          <w:rFonts w:ascii="Times New Roman" w:hAnsi="Times New Roman" w:cs="Times New Roman"/>
          <w:szCs w:val="24"/>
        </w:rPr>
      </w:pPr>
      <w:r w:rsidRPr="00B81E7D">
        <w:rPr>
          <w:rFonts w:ascii="Times New Roman" w:hAnsi="Times New Roman" w:cs="Times New Roman"/>
          <w:szCs w:val="24"/>
        </w:rPr>
        <w:t xml:space="preserve">Rozwiązanie przewidziane w przepisie przejściowym pozwoli na nienaliczanie odsetek w wysokości określonej w proponowanym przepisie art. 49e ust. 4a ustawy o rehabilitacji </w:t>
      </w:r>
      <w:r w:rsidR="00B248A7">
        <w:rPr>
          <w:rFonts w:ascii="Times New Roman" w:hAnsi="Times New Roman" w:cs="Times New Roman"/>
          <w:szCs w:val="24"/>
        </w:rPr>
        <w:t xml:space="preserve">zawodowej i społecznej oraz zatrudnianiu osób niepełnosprawnych </w:t>
      </w:r>
      <w:r w:rsidRPr="00B81E7D">
        <w:rPr>
          <w:rFonts w:ascii="Times New Roman" w:hAnsi="Times New Roman" w:cs="Times New Roman"/>
          <w:szCs w:val="24"/>
        </w:rPr>
        <w:t>w sprawach już prowadzonych.</w:t>
      </w:r>
    </w:p>
    <w:p w:rsidR="00F5797A" w:rsidRPr="00B81E7D" w:rsidRDefault="00B16F51" w:rsidP="00B421C2">
      <w:pPr>
        <w:pStyle w:val="ARTartustawynprozporzdzenia"/>
        <w:ind w:firstLine="0"/>
        <w:rPr>
          <w:rFonts w:ascii="Times New Roman" w:hAnsi="Times New Roman" w:cs="Times New Roman"/>
          <w:b/>
          <w:szCs w:val="24"/>
        </w:rPr>
      </w:pPr>
      <w:r w:rsidRPr="00B81E7D">
        <w:rPr>
          <w:rFonts w:ascii="Times New Roman" w:hAnsi="Times New Roman" w:cs="Times New Roman"/>
          <w:b/>
          <w:szCs w:val="24"/>
        </w:rPr>
        <w:t>-</w:t>
      </w:r>
      <w:r w:rsidR="00F53EDC" w:rsidRPr="00B81E7D">
        <w:rPr>
          <w:rFonts w:ascii="Times New Roman" w:hAnsi="Times New Roman" w:cs="Times New Roman"/>
          <w:b/>
          <w:szCs w:val="24"/>
        </w:rPr>
        <w:t xml:space="preserve"> Art. </w:t>
      </w:r>
      <w:r w:rsidR="00DA7D72" w:rsidRPr="00B81E7D">
        <w:rPr>
          <w:rFonts w:ascii="Times New Roman" w:hAnsi="Times New Roman" w:cs="Times New Roman"/>
          <w:b/>
          <w:szCs w:val="24"/>
        </w:rPr>
        <w:t>7</w:t>
      </w:r>
      <w:r w:rsidR="004775F4">
        <w:rPr>
          <w:rFonts w:ascii="Times New Roman" w:hAnsi="Times New Roman" w:cs="Times New Roman"/>
          <w:b/>
          <w:szCs w:val="24"/>
        </w:rPr>
        <w:t>3</w:t>
      </w:r>
      <w:r w:rsidR="00DA7D72" w:rsidRPr="00B81E7D">
        <w:rPr>
          <w:rFonts w:ascii="Times New Roman" w:hAnsi="Times New Roman" w:cs="Times New Roman"/>
          <w:b/>
          <w:szCs w:val="24"/>
        </w:rPr>
        <w:t>, 7</w:t>
      </w:r>
      <w:r w:rsidR="00371216">
        <w:rPr>
          <w:rFonts w:ascii="Times New Roman" w:hAnsi="Times New Roman" w:cs="Times New Roman"/>
          <w:b/>
          <w:szCs w:val="24"/>
        </w:rPr>
        <w:t>6</w:t>
      </w:r>
      <w:r w:rsidR="00B248A7">
        <w:rPr>
          <w:rFonts w:ascii="Times New Roman" w:hAnsi="Times New Roman" w:cs="Times New Roman"/>
          <w:b/>
          <w:szCs w:val="24"/>
        </w:rPr>
        <w:t xml:space="preserve"> i 77</w:t>
      </w:r>
      <w:r w:rsidR="00F5797A" w:rsidRPr="00B81E7D">
        <w:rPr>
          <w:rFonts w:ascii="Times New Roman" w:hAnsi="Times New Roman" w:cs="Times New Roman"/>
          <w:b/>
          <w:szCs w:val="24"/>
        </w:rPr>
        <w:t xml:space="preserve"> projektu</w:t>
      </w:r>
    </w:p>
    <w:p w:rsidR="00F5797A" w:rsidRDefault="00F5797A" w:rsidP="00B421C2">
      <w:pPr>
        <w:pStyle w:val="ARTartustawynprozporzdzenia"/>
        <w:ind w:firstLine="0"/>
      </w:pPr>
      <w:r w:rsidRPr="00B81E7D">
        <w:t xml:space="preserve">Przepisy </w:t>
      </w:r>
      <w:r w:rsidR="00B248A7">
        <w:t xml:space="preserve">przejściowe, które </w:t>
      </w:r>
      <w:r w:rsidRPr="00B81E7D">
        <w:t>określa</w:t>
      </w:r>
      <w:r w:rsidR="004E0FC2" w:rsidRPr="00B81E7D">
        <w:t>ją</w:t>
      </w:r>
      <w:r w:rsidRPr="00B81E7D">
        <w:t xml:space="preserve"> okres stosowania dotychczas obowiązujących </w:t>
      </w:r>
      <w:r w:rsidR="00A057E1">
        <w:t xml:space="preserve">aktów wykonawczych wydanych na podstawie </w:t>
      </w:r>
      <w:r w:rsidRPr="00B81E7D">
        <w:t xml:space="preserve">przepisów </w:t>
      </w:r>
      <w:r w:rsidR="00A057E1">
        <w:t>ustaw zmienianych niniejszym projektem.</w:t>
      </w:r>
    </w:p>
    <w:p w:rsidR="00EA725B" w:rsidRPr="007D1E02" w:rsidRDefault="00EA725B" w:rsidP="00B421C2">
      <w:pPr>
        <w:pStyle w:val="ARTartustawynprozporzdzenia"/>
        <w:ind w:firstLine="0"/>
        <w:rPr>
          <w:b/>
        </w:rPr>
      </w:pPr>
      <w:r w:rsidRPr="007D1E02">
        <w:rPr>
          <w:b/>
        </w:rPr>
        <w:t xml:space="preserve">Art. 74 </w:t>
      </w:r>
      <w:r>
        <w:rPr>
          <w:b/>
        </w:rPr>
        <w:t>projektu</w:t>
      </w:r>
    </w:p>
    <w:p w:rsidR="00EA725B" w:rsidRDefault="00EA725B" w:rsidP="00B421C2">
      <w:pPr>
        <w:pStyle w:val="ARTartustawynprozporzdzenia"/>
        <w:ind w:firstLine="0"/>
      </w:pPr>
      <w:r>
        <w:t xml:space="preserve">Przepis określa termin dostosowania treści Statutu </w:t>
      </w:r>
      <w:r w:rsidRPr="007B63E0">
        <w:t>Fundusz</w:t>
      </w:r>
      <w:r>
        <w:t>u</w:t>
      </w:r>
      <w:r w:rsidRPr="007B63E0">
        <w:t xml:space="preserve"> Własności Pracowniczej PKP</w:t>
      </w:r>
      <w:r>
        <w:t>.</w:t>
      </w:r>
    </w:p>
    <w:p w:rsidR="00EA725B" w:rsidRDefault="00EA725B" w:rsidP="00B421C2">
      <w:pPr>
        <w:pStyle w:val="ARTartustawynprozporzdzenia"/>
        <w:ind w:firstLine="0"/>
        <w:rPr>
          <w:b/>
        </w:rPr>
      </w:pPr>
      <w:r w:rsidRPr="007D1E02">
        <w:rPr>
          <w:b/>
        </w:rPr>
        <w:t>Art. 75 projektu</w:t>
      </w:r>
    </w:p>
    <w:p w:rsidR="00EA725B" w:rsidRPr="00EA725B" w:rsidRDefault="00EA725B" w:rsidP="00B421C2">
      <w:pPr>
        <w:pStyle w:val="ARTartustawynprozporzdzenia"/>
        <w:ind w:firstLine="0"/>
        <w:rPr>
          <w:rFonts w:ascii="Times New Roman" w:hAnsi="Times New Roman" w:cs="Times New Roman"/>
          <w:szCs w:val="24"/>
        </w:rPr>
      </w:pPr>
      <w:r>
        <w:t xml:space="preserve">Przepis wskazuje zakres </w:t>
      </w:r>
      <w:r w:rsidR="00DA6BFA">
        <w:t xml:space="preserve">zastosowania zmiany </w:t>
      </w:r>
      <w:r w:rsidR="009E5DC4">
        <w:t xml:space="preserve">art. 99 ustawy zmienianej w art. 33 projektu ustawy w odniesieniu </w:t>
      </w:r>
      <w:r w:rsidR="00DA6BFA">
        <w:t xml:space="preserve">do importu towarów dokonanego po dniu wejścia w życie </w:t>
      </w:r>
      <w:r w:rsidR="009E5DC4">
        <w:t>proponowanych zmian.</w:t>
      </w:r>
    </w:p>
    <w:p w:rsidR="00B16F51" w:rsidRPr="00B81E7D" w:rsidRDefault="00B16F51" w:rsidP="00B421C2">
      <w:pPr>
        <w:pStyle w:val="ARTartustawynprozporzdzenia"/>
        <w:ind w:firstLine="0"/>
        <w:rPr>
          <w:rFonts w:ascii="Times New Roman" w:hAnsi="Times New Roman" w:cs="Times New Roman"/>
          <w:b/>
          <w:szCs w:val="24"/>
        </w:rPr>
      </w:pPr>
      <w:r w:rsidRPr="00B81E7D">
        <w:rPr>
          <w:rFonts w:ascii="Times New Roman" w:hAnsi="Times New Roman" w:cs="Times New Roman"/>
          <w:b/>
          <w:szCs w:val="24"/>
        </w:rPr>
        <w:t xml:space="preserve">Art. </w:t>
      </w:r>
      <w:r w:rsidR="00DA7D72" w:rsidRPr="00B81E7D">
        <w:rPr>
          <w:rFonts w:ascii="Times New Roman" w:hAnsi="Times New Roman" w:cs="Times New Roman"/>
          <w:b/>
          <w:szCs w:val="24"/>
        </w:rPr>
        <w:t>7</w:t>
      </w:r>
      <w:r w:rsidR="00371216">
        <w:rPr>
          <w:rFonts w:ascii="Times New Roman" w:hAnsi="Times New Roman" w:cs="Times New Roman"/>
          <w:b/>
          <w:szCs w:val="24"/>
        </w:rPr>
        <w:t>8</w:t>
      </w:r>
      <w:r w:rsidR="00DA7D72" w:rsidRPr="00B81E7D">
        <w:rPr>
          <w:rFonts w:ascii="Times New Roman" w:hAnsi="Times New Roman" w:cs="Times New Roman"/>
          <w:b/>
          <w:szCs w:val="24"/>
        </w:rPr>
        <w:t xml:space="preserve"> </w:t>
      </w:r>
      <w:r w:rsidRPr="00B81E7D">
        <w:rPr>
          <w:rFonts w:ascii="Times New Roman" w:hAnsi="Times New Roman" w:cs="Times New Roman"/>
          <w:b/>
          <w:szCs w:val="24"/>
        </w:rPr>
        <w:t>projektu</w:t>
      </w:r>
    </w:p>
    <w:p w:rsidR="005C3DE0" w:rsidRPr="00B81E7D" w:rsidRDefault="005C3DE0" w:rsidP="005C3DE0">
      <w:pPr>
        <w:pStyle w:val="ARTartustawynprozporzdzenia"/>
        <w:ind w:firstLine="0"/>
        <w:rPr>
          <w:rFonts w:ascii="Times New Roman" w:hAnsi="Times New Roman" w:cs="Times New Roman"/>
          <w:szCs w:val="24"/>
        </w:rPr>
      </w:pPr>
      <w:r w:rsidRPr="00B81E7D">
        <w:rPr>
          <w:rFonts w:ascii="Times New Roman" w:hAnsi="Times New Roman" w:cs="Times New Roman"/>
          <w:szCs w:val="24"/>
        </w:rPr>
        <w:t xml:space="preserve">Proponowany przepis ma na celu </w:t>
      </w:r>
      <w:r w:rsidR="00A057E1">
        <w:rPr>
          <w:rFonts w:ascii="Times New Roman" w:hAnsi="Times New Roman" w:cs="Times New Roman"/>
          <w:szCs w:val="24"/>
        </w:rPr>
        <w:t xml:space="preserve">wyeliminowanie </w:t>
      </w:r>
      <w:r w:rsidRPr="00B81E7D">
        <w:rPr>
          <w:rFonts w:ascii="Times New Roman" w:hAnsi="Times New Roman" w:cs="Times New Roman"/>
          <w:szCs w:val="24"/>
        </w:rPr>
        <w:t xml:space="preserve"> ewentualnych wątpliwości intertemporalnych dotyczących wprowadzenia do polskiego systemu prawnego instytucji „prawa do popełnienia błędu”. Przewiduje on, że do postępowań, które zostały wszczęte przed wejściem w życie ustawy deregulacyjnej (a więc przed nowelizacją Prawa pr</w:t>
      </w:r>
      <w:r w:rsidR="00BE216B">
        <w:rPr>
          <w:rFonts w:ascii="Times New Roman" w:hAnsi="Times New Roman" w:cs="Times New Roman"/>
          <w:szCs w:val="24"/>
        </w:rPr>
        <w:t>zedsiębiorców) nie znajduje ona </w:t>
      </w:r>
      <w:r w:rsidRPr="00B81E7D">
        <w:rPr>
          <w:rFonts w:ascii="Times New Roman" w:hAnsi="Times New Roman" w:cs="Times New Roman"/>
          <w:szCs w:val="24"/>
        </w:rPr>
        <w:t xml:space="preserve">zastosowania. Inne rozwiązanie mogłoby nastręczyć nadmiernych trudności właściwym organom oraz, ewentualnie, sądom i wywołać istotne problemy proceduralne. </w:t>
      </w:r>
      <w:r w:rsidR="00D5063F" w:rsidRPr="00B81E7D">
        <w:rPr>
          <w:rFonts w:ascii="Times New Roman" w:hAnsi="Times New Roman" w:cs="Times New Roman"/>
          <w:szCs w:val="24"/>
        </w:rPr>
        <w:t xml:space="preserve">Dodatkowo, przewiduje się, że organ nie będzie mógł powołać sią na przesłankę „wyłączeniową” przewidzianą w proponowanym art. 21a ust. 7 pkt 1  Prawa przedsiębiorców, jeżeli naruszenie przez przedsiębiorcę przepisów prawa w przeszłości nastąpiło przed dniem wejścia ustawy deregulacyjnej. Mówiąc zatem kolokwialnie, w dniu </w:t>
      </w:r>
      <w:r w:rsidR="00D5063F" w:rsidRPr="00B81E7D">
        <w:rPr>
          <w:rFonts w:ascii="Times New Roman" w:hAnsi="Times New Roman" w:cs="Times New Roman"/>
          <w:szCs w:val="24"/>
        </w:rPr>
        <w:lastRenderedPageBreak/>
        <w:t>wejścia w życie nowelizacji Prawa przedsiębiorców, każdy będzie posiadał w tym zakresie „czyste konto”.</w:t>
      </w:r>
    </w:p>
    <w:p w:rsidR="00B16F51" w:rsidRPr="00B81E7D" w:rsidRDefault="00B16F51" w:rsidP="00B421C2">
      <w:pPr>
        <w:pStyle w:val="ARTartustawynprozporzdzenia"/>
        <w:ind w:firstLine="0"/>
        <w:rPr>
          <w:rFonts w:ascii="Times New Roman" w:hAnsi="Times New Roman" w:cs="Times New Roman"/>
          <w:b/>
          <w:szCs w:val="24"/>
        </w:rPr>
      </w:pPr>
      <w:r w:rsidRPr="00B81E7D">
        <w:rPr>
          <w:rFonts w:ascii="Times New Roman" w:hAnsi="Times New Roman" w:cs="Times New Roman"/>
          <w:b/>
          <w:szCs w:val="24"/>
        </w:rPr>
        <w:t xml:space="preserve">- Art. </w:t>
      </w:r>
      <w:r w:rsidR="00C4536F">
        <w:rPr>
          <w:rFonts w:ascii="Times New Roman" w:hAnsi="Times New Roman" w:cs="Times New Roman"/>
          <w:b/>
          <w:szCs w:val="24"/>
        </w:rPr>
        <w:t>7</w:t>
      </w:r>
      <w:r w:rsidR="00371216">
        <w:rPr>
          <w:rFonts w:ascii="Times New Roman" w:hAnsi="Times New Roman" w:cs="Times New Roman"/>
          <w:b/>
          <w:szCs w:val="24"/>
        </w:rPr>
        <w:t>9</w:t>
      </w:r>
      <w:r w:rsidR="00DA7D72" w:rsidRPr="00B81E7D">
        <w:rPr>
          <w:rFonts w:ascii="Times New Roman" w:hAnsi="Times New Roman" w:cs="Times New Roman"/>
          <w:b/>
          <w:szCs w:val="24"/>
        </w:rPr>
        <w:t xml:space="preserve"> </w:t>
      </w:r>
      <w:r w:rsidRPr="00B81E7D">
        <w:rPr>
          <w:rFonts w:ascii="Times New Roman" w:hAnsi="Times New Roman" w:cs="Times New Roman"/>
          <w:b/>
          <w:szCs w:val="24"/>
        </w:rPr>
        <w:t>projektu</w:t>
      </w:r>
    </w:p>
    <w:p w:rsidR="00B16F51" w:rsidRDefault="005D5077" w:rsidP="00B421C2">
      <w:pPr>
        <w:pStyle w:val="ARTartustawynprozporzdzenia"/>
        <w:ind w:firstLine="0"/>
        <w:rPr>
          <w:rFonts w:ascii="Times New Roman" w:hAnsi="Times New Roman" w:cs="Times New Roman"/>
          <w:szCs w:val="24"/>
        </w:rPr>
      </w:pPr>
      <w:r w:rsidRPr="00B81E7D">
        <w:rPr>
          <w:rFonts w:ascii="Times New Roman" w:hAnsi="Times New Roman" w:cs="Times New Roman"/>
          <w:szCs w:val="24"/>
        </w:rPr>
        <w:t>Proponuje</w:t>
      </w:r>
      <w:r w:rsidR="00B16F51" w:rsidRPr="00B81E7D">
        <w:rPr>
          <w:rFonts w:ascii="Times New Roman" w:hAnsi="Times New Roman" w:cs="Times New Roman"/>
          <w:szCs w:val="24"/>
        </w:rPr>
        <w:t xml:space="preserve"> się, aby przepisy dodawanego rozdziału 11a ww. ustawy o </w:t>
      </w:r>
      <w:r w:rsidR="000C1F54" w:rsidRPr="00B81E7D">
        <w:rPr>
          <w:rFonts w:ascii="Times New Roman" w:hAnsi="Times New Roman" w:cs="Times New Roman"/>
          <w:szCs w:val="24"/>
        </w:rPr>
        <w:t>tymczasowym</w:t>
      </w:r>
      <w:r w:rsidRPr="00B81E7D">
        <w:rPr>
          <w:rFonts w:ascii="Times New Roman" w:hAnsi="Times New Roman" w:cs="Times New Roman"/>
          <w:szCs w:val="24"/>
        </w:rPr>
        <w:t xml:space="preserve"> przedstawicielu</w:t>
      </w:r>
      <w:r w:rsidR="000C1F54" w:rsidRPr="00B81E7D">
        <w:rPr>
          <w:rFonts w:ascii="Times New Roman" w:hAnsi="Times New Roman" w:cs="Times New Roman"/>
          <w:szCs w:val="24"/>
        </w:rPr>
        <w:t xml:space="preserve"> miały </w:t>
      </w:r>
      <w:r w:rsidRPr="00B81E7D">
        <w:rPr>
          <w:rFonts w:ascii="Times New Roman" w:hAnsi="Times New Roman" w:cs="Times New Roman"/>
          <w:szCs w:val="24"/>
        </w:rPr>
        <w:t>za</w:t>
      </w:r>
      <w:r w:rsidR="000C1F54" w:rsidRPr="00B81E7D">
        <w:rPr>
          <w:rFonts w:ascii="Times New Roman" w:hAnsi="Times New Roman" w:cs="Times New Roman"/>
          <w:szCs w:val="24"/>
        </w:rPr>
        <w:t>stosowan</w:t>
      </w:r>
      <w:r w:rsidRPr="00B81E7D">
        <w:rPr>
          <w:rFonts w:ascii="Times New Roman" w:hAnsi="Times New Roman" w:cs="Times New Roman"/>
          <w:szCs w:val="24"/>
        </w:rPr>
        <w:t>i</w:t>
      </w:r>
      <w:r w:rsidR="000C1F54" w:rsidRPr="00B81E7D">
        <w:rPr>
          <w:rFonts w:ascii="Times New Roman" w:hAnsi="Times New Roman" w:cs="Times New Roman"/>
          <w:szCs w:val="24"/>
        </w:rPr>
        <w:t xml:space="preserve">e </w:t>
      </w:r>
      <w:r w:rsidRPr="00B81E7D">
        <w:rPr>
          <w:rFonts w:ascii="Times New Roman" w:hAnsi="Times New Roman" w:cs="Times New Roman"/>
          <w:szCs w:val="24"/>
        </w:rPr>
        <w:t xml:space="preserve">także </w:t>
      </w:r>
      <w:r w:rsidR="000C1F54" w:rsidRPr="00B81E7D">
        <w:rPr>
          <w:rFonts w:ascii="Times New Roman" w:hAnsi="Times New Roman" w:cs="Times New Roman"/>
          <w:szCs w:val="24"/>
        </w:rPr>
        <w:t>w </w:t>
      </w:r>
      <w:r w:rsidR="00B16F51" w:rsidRPr="00B81E7D">
        <w:rPr>
          <w:rFonts w:ascii="Times New Roman" w:hAnsi="Times New Roman" w:cs="Times New Roman"/>
          <w:szCs w:val="24"/>
        </w:rPr>
        <w:t xml:space="preserve">przypadkach, gdy śmierć małżonka przedsiębiorcy nastąpiła </w:t>
      </w:r>
      <w:r w:rsidRPr="00B81E7D">
        <w:rPr>
          <w:rFonts w:ascii="Times New Roman" w:hAnsi="Times New Roman" w:cs="Times New Roman"/>
          <w:szCs w:val="24"/>
        </w:rPr>
        <w:t xml:space="preserve">przed dniem </w:t>
      </w:r>
      <w:r w:rsidR="00E8154E">
        <w:rPr>
          <w:rFonts w:ascii="Times New Roman" w:hAnsi="Times New Roman" w:cs="Times New Roman"/>
          <w:szCs w:val="24"/>
        </w:rPr>
        <w:t>wejścia</w:t>
      </w:r>
      <w:r w:rsidR="00B16F51" w:rsidRPr="00B81E7D">
        <w:rPr>
          <w:rFonts w:ascii="Times New Roman" w:hAnsi="Times New Roman" w:cs="Times New Roman"/>
          <w:szCs w:val="24"/>
        </w:rPr>
        <w:t xml:space="preserve"> w życie nowych przepisów.</w:t>
      </w:r>
    </w:p>
    <w:p w:rsidR="00253F9B" w:rsidRPr="00253F9B" w:rsidRDefault="00253F9B" w:rsidP="00253F9B">
      <w:pPr>
        <w:pStyle w:val="ARTartustawynprozporzdzenia"/>
        <w:ind w:firstLine="0"/>
        <w:rPr>
          <w:rStyle w:val="Ppogrubienie"/>
          <w:rFonts w:ascii="Times New Roman" w:hAnsi="Times New Roman" w:cs="Times New Roman"/>
          <w:b w:val="0"/>
          <w:szCs w:val="24"/>
        </w:rPr>
      </w:pPr>
      <w:r w:rsidRPr="00253F9B">
        <w:rPr>
          <w:rStyle w:val="Ppogrubienie"/>
          <w:rFonts w:ascii="Times New Roman" w:hAnsi="Times New Roman" w:cs="Times New Roman"/>
          <w:b w:val="0"/>
          <w:szCs w:val="24"/>
        </w:rPr>
        <w:t xml:space="preserve">W związku z tym, że jedną z naczelnych zasad prawa cywilnego jest zasada niedziałania prawa wstecz (lex retro non agit) i na podstawie art. 3 k.c. ustawa nie ma mocy wstecznej, chyba że to wynika z jej brzmienia lub celu, do zdarzeń prawnych stosuje się te przepisy prawa, które obowiązują w chwili ich zaistnienia. Natomiast nowelizacje przepisów prawa, które miały miejsce już po zaistnieniu określonych zdarzeń </w:t>
      </w:r>
      <w:r>
        <w:rPr>
          <w:rStyle w:val="Ppogrubienie"/>
          <w:rFonts w:ascii="Times New Roman" w:hAnsi="Times New Roman" w:cs="Times New Roman"/>
          <w:b w:val="0"/>
          <w:szCs w:val="24"/>
        </w:rPr>
        <w:t>(np. po śmieci spadkodawcy) nie </w:t>
      </w:r>
      <w:r w:rsidRPr="00253F9B">
        <w:rPr>
          <w:rStyle w:val="Ppogrubienie"/>
          <w:rFonts w:ascii="Times New Roman" w:hAnsi="Times New Roman" w:cs="Times New Roman"/>
          <w:b w:val="0"/>
          <w:szCs w:val="24"/>
        </w:rPr>
        <w:t xml:space="preserve">powinny oddziaływać na ich ocenę prawną. Wyjątki od zasady niedziałania prawa wstecz są możliwe jedynie w tych przypadkach, gdy nowelizacja wprost przewiduje taki zapis, bądź też gdy powyższe jednoznacznie wynika z jej celu. </w:t>
      </w:r>
    </w:p>
    <w:p w:rsidR="00253F9B" w:rsidRPr="00B81E7D" w:rsidRDefault="00253F9B" w:rsidP="00253F9B">
      <w:pPr>
        <w:pStyle w:val="ARTartustawynprozporzdzenia"/>
        <w:ind w:firstLine="0"/>
        <w:rPr>
          <w:rStyle w:val="Ppogrubienie"/>
          <w:rFonts w:ascii="Times New Roman" w:hAnsi="Times New Roman" w:cs="Times New Roman"/>
          <w:b w:val="0"/>
          <w:szCs w:val="24"/>
        </w:rPr>
      </w:pPr>
      <w:r w:rsidRPr="00253F9B">
        <w:rPr>
          <w:rStyle w:val="Ppogrubienie"/>
          <w:rFonts w:ascii="Times New Roman" w:hAnsi="Times New Roman" w:cs="Times New Roman"/>
          <w:b w:val="0"/>
          <w:szCs w:val="24"/>
        </w:rPr>
        <w:t>Wprowadzana instytucja tymczasowego przedstawiciela ma na celu zapewnienie właściwego zarządzania udziałem w przedsiębiorstwie, należącym do spadku po zmarłym przedsiębiorcy. Z natury rzeczy ustalenie spadkobierców oraz dział spadku mogą być rozciągnięte w czasie. Dodatkowo, w niektórych przypadkach sprawy spadkowe nie są załatwiane przez spadkobierców mimo upływu dłuższego okresu od śmie</w:t>
      </w:r>
      <w:r>
        <w:rPr>
          <w:rStyle w:val="Ppogrubienie"/>
          <w:rFonts w:ascii="Times New Roman" w:hAnsi="Times New Roman" w:cs="Times New Roman"/>
          <w:b w:val="0"/>
          <w:szCs w:val="24"/>
        </w:rPr>
        <w:t>rci spadkodawcy. Nie sprzyja to </w:t>
      </w:r>
      <w:r w:rsidRPr="00253F9B">
        <w:rPr>
          <w:rStyle w:val="Ppogrubienie"/>
          <w:rFonts w:ascii="Times New Roman" w:hAnsi="Times New Roman" w:cs="Times New Roman"/>
          <w:b w:val="0"/>
          <w:szCs w:val="24"/>
        </w:rPr>
        <w:t>bieżącej działalności przedsiębiorstwa, którego składniki stanowiły majątek wspólny przedsiębiorcy i jego małżonka ani właściwemu zarządzaniu majątkiem spadkowym w części obejmującej przedsiębiorstwo. Ustanowienie tymcza</w:t>
      </w:r>
      <w:r>
        <w:rPr>
          <w:rStyle w:val="Ppogrubienie"/>
          <w:rFonts w:ascii="Times New Roman" w:hAnsi="Times New Roman" w:cs="Times New Roman"/>
          <w:b w:val="0"/>
          <w:szCs w:val="24"/>
        </w:rPr>
        <w:t>sowego przedstawiciela może być </w:t>
      </w:r>
      <w:r w:rsidRPr="00253F9B">
        <w:rPr>
          <w:rStyle w:val="Ppogrubienie"/>
          <w:rFonts w:ascii="Times New Roman" w:hAnsi="Times New Roman" w:cs="Times New Roman"/>
          <w:b w:val="0"/>
          <w:szCs w:val="24"/>
        </w:rPr>
        <w:t>rozwiązaniem korzystnym także dla rodzin, którym nie udało się przez kilka lat dokonać działu spadku. Powody tego stanu rzeczy mogą być różne: brak możliwości</w:t>
      </w:r>
      <w:r>
        <w:rPr>
          <w:rStyle w:val="Ppogrubienie"/>
          <w:rFonts w:ascii="Times New Roman" w:hAnsi="Times New Roman" w:cs="Times New Roman"/>
          <w:b w:val="0"/>
          <w:szCs w:val="24"/>
        </w:rPr>
        <w:t xml:space="preserve"> porozumienia się </w:t>
      </w:r>
      <w:r w:rsidRPr="00253F9B">
        <w:rPr>
          <w:rStyle w:val="Ppogrubienie"/>
          <w:rFonts w:ascii="Times New Roman" w:hAnsi="Times New Roman" w:cs="Times New Roman"/>
          <w:b w:val="0"/>
          <w:szCs w:val="24"/>
        </w:rPr>
        <w:t>między spadkobiercami, trudności w odnalezieniu wszystkich spadkobierców, brak zgody na dokonanie działu spadku w zaproponowany sposób. Niezależnie od przyczyn, umożliwienie powołania tymczasowego przedstawiciela, także w przypadku gdy małżonek przedsiębiorcy zmarł przed wejściem w życie zmian, może przyczynić się do ochrony majątku spadkowego, a nawet powiększyć go poprzez współdziałanie w zarządzaniu składnikami przedsiębiorstwa objętymi współwłasnością.</w:t>
      </w:r>
    </w:p>
    <w:p w:rsidR="00B16F51" w:rsidRPr="00B81E7D" w:rsidRDefault="00B16F51" w:rsidP="00B421C2">
      <w:pPr>
        <w:pStyle w:val="ARTartustawynprozporzdzenia"/>
        <w:ind w:firstLine="0"/>
        <w:rPr>
          <w:rFonts w:ascii="Times New Roman" w:hAnsi="Times New Roman" w:cs="Times New Roman"/>
          <w:b/>
          <w:szCs w:val="24"/>
        </w:rPr>
      </w:pPr>
      <w:r w:rsidRPr="00B81E7D">
        <w:rPr>
          <w:rFonts w:ascii="Times New Roman" w:hAnsi="Times New Roman" w:cs="Times New Roman"/>
          <w:b/>
          <w:szCs w:val="24"/>
        </w:rPr>
        <w:t xml:space="preserve">- Art. </w:t>
      </w:r>
      <w:r w:rsidR="00371216">
        <w:rPr>
          <w:rFonts w:ascii="Times New Roman" w:hAnsi="Times New Roman" w:cs="Times New Roman"/>
          <w:b/>
          <w:szCs w:val="24"/>
        </w:rPr>
        <w:t>80</w:t>
      </w:r>
      <w:r w:rsidR="00C4536F" w:rsidRPr="00B81E7D">
        <w:rPr>
          <w:rFonts w:ascii="Times New Roman" w:hAnsi="Times New Roman" w:cs="Times New Roman"/>
          <w:b/>
          <w:szCs w:val="24"/>
        </w:rPr>
        <w:t xml:space="preserve"> </w:t>
      </w:r>
      <w:r w:rsidRPr="00B81E7D">
        <w:rPr>
          <w:rFonts w:ascii="Times New Roman" w:hAnsi="Times New Roman" w:cs="Times New Roman"/>
          <w:b/>
          <w:szCs w:val="24"/>
        </w:rPr>
        <w:t>projektu</w:t>
      </w:r>
    </w:p>
    <w:p w:rsidR="00B47138" w:rsidRPr="00B81E7D" w:rsidRDefault="00B47138" w:rsidP="00783FBE">
      <w:pPr>
        <w:spacing w:after="120" w:line="360" w:lineRule="auto"/>
        <w:jc w:val="both"/>
        <w:rPr>
          <w:rFonts w:cs="Times New Roman"/>
          <w:szCs w:val="24"/>
        </w:rPr>
      </w:pPr>
      <w:r w:rsidRPr="00B81E7D">
        <w:rPr>
          <w:rFonts w:eastAsia="Calibri" w:cs="Times New Roman"/>
          <w:iCs/>
          <w:color w:val="000000"/>
          <w:szCs w:val="24"/>
          <w:lang w:eastAsia="pl-PL"/>
        </w:rPr>
        <w:lastRenderedPageBreak/>
        <w:t xml:space="preserve">Zgodnie z art. 50 ust. 1a ustawy o finansach publicznych w art. </w:t>
      </w:r>
      <w:r w:rsidR="00C4536F" w:rsidRPr="00B81E7D">
        <w:rPr>
          <w:rFonts w:eastAsia="Calibri" w:cs="Times New Roman"/>
          <w:iCs/>
          <w:color w:val="000000"/>
          <w:szCs w:val="24"/>
          <w:lang w:eastAsia="pl-PL"/>
        </w:rPr>
        <w:t>7</w:t>
      </w:r>
      <w:r w:rsidR="00C4536F">
        <w:rPr>
          <w:rFonts w:eastAsia="Calibri" w:cs="Times New Roman"/>
          <w:iCs/>
          <w:color w:val="000000"/>
          <w:szCs w:val="24"/>
          <w:lang w:eastAsia="pl-PL"/>
        </w:rPr>
        <w:t>8</w:t>
      </w:r>
      <w:r w:rsidR="00C4536F" w:rsidRPr="00B81E7D">
        <w:rPr>
          <w:rFonts w:eastAsia="Calibri" w:cs="Times New Roman"/>
          <w:iCs/>
          <w:color w:val="000000"/>
          <w:szCs w:val="24"/>
          <w:lang w:eastAsia="pl-PL"/>
        </w:rPr>
        <w:t xml:space="preserve"> </w:t>
      </w:r>
      <w:r w:rsidRPr="00B81E7D">
        <w:rPr>
          <w:rFonts w:eastAsia="Calibri" w:cs="Times New Roman"/>
          <w:iCs/>
          <w:color w:val="000000"/>
          <w:szCs w:val="24"/>
          <w:lang w:eastAsia="pl-PL"/>
        </w:rPr>
        <w:t>projektu określono maksymalny limit tych wydatków wyrażony kwotowo, na okres 10 lat budżetowych wykonywania zadań, o których mowa w ustawie</w:t>
      </w:r>
      <w:r w:rsidRPr="00B81E7D">
        <w:t xml:space="preserve"> z dnia 10 kwietnia 1997 r. – Prawo </w:t>
      </w:r>
      <w:r w:rsidRPr="00B81E7D">
        <w:rPr>
          <w:rFonts w:cs="Times New Roman"/>
          <w:szCs w:val="24"/>
        </w:rPr>
        <w:t>energetyczne oddzielnie dla każdego roku. Szczegółowy opis planowanych wydatków związanych z wejściem w życie ustawy znajduje się w OSR.</w:t>
      </w:r>
    </w:p>
    <w:p w:rsidR="00783FBE" w:rsidRPr="00B81E7D" w:rsidRDefault="00783FBE" w:rsidP="00783FBE">
      <w:pPr>
        <w:spacing w:after="120" w:line="360" w:lineRule="auto"/>
        <w:jc w:val="both"/>
        <w:rPr>
          <w:rFonts w:cs="Times New Roman"/>
          <w:szCs w:val="24"/>
        </w:rPr>
      </w:pPr>
      <w:r w:rsidRPr="00B81E7D">
        <w:rPr>
          <w:rFonts w:cs="Times New Roman"/>
          <w:szCs w:val="24"/>
        </w:rPr>
        <w:t>Proponowany system teleinformatyczny jest nowym, odrębnym od innych funkcjonujących w ramach URE projektów informatycznych (takich jak np. Platforma Aukcyjna na sprzedaż energii elektrycznej wytwarzanej w instalacjach OZE) i ko</w:t>
      </w:r>
      <w:r w:rsidR="0041391B">
        <w:rPr>
          <w:rFonts w:cs="Times New Roman"/>
          <w:szCs w:val="24"/>
        </w:rPr>
        <w:t>nieczne jest zabezpieczenie dla </w:t>
      </w:r>
      <w:r w:rsidRPr="00B81E7D">
        <w:rPr>
          <w:rFonts w:cs="Times New Roman"/>
          <w:szCs w:val="24"/>
        </w:rPr>
        <w:t>tego systemu odrębnych środków budżetowych, które nie zostały obecnie ujęte w planie finansowym Urzędu Regulacji Energetyki. System tel</w:t>
      </w:r>
      <w:r w:rsidR="0041391B">
        <w:rPr>
          <w:rFonts w:cs="Times New Roman"/>
          <w:szCs w:val="24"/>
        </w:rPr>
        <w:t>einformatyczny wymaga budowy od </w:t>
      </w:r>
      <w:r w:rsidRPr="00B81E7D">
        <w:rPr>
          <w:rFonts w:cs="Times New Roman"/>
          <w:szCs w:val="24"/>
        </w:rPr>
        <w:t>podstaw ze względu na wymogi techniczne i brak możliwo</w:t>
      </w:r>
      <w:r w:rsidR="0041391B">
        <w:rPr>
          <w:rFonts w:cs="Times New Roman"/>
          <w:szCs w:val="24"/>
        </w:rPr>
        <w:t>ści podłączenia go </w:t>
      </w:r>
      <w:r w:rsidR="0041391B" w:rsidRPr="0041391B">
        <w:t>do</w:t>
      </w:r>
      <w:r w:rsidR="0041391B">
        <w:t> </w:t>
      </w:r>
      <w:r w:rsidRPr="0041391B">
        <w:t>jakichkolwiek</w:t>
      </w:r>
      <w:r w:rsidRPr="00B81E7D">
        <w:rPr>
          <w:rFonts w:cs="Times New Roman"/>
          <w:szCs w:val="24"/>
        </w:rPr>
        <w:t xml:space="preserve"> już funkcjonujących systemów informatycznych w URE.</w:t>
      </w:r>
    </w:p>
    <w:p w:rsidR="00783FBE" w:rsidRPr="00B81E7D" w:rsidRDefault="00783FBE" w:rsidP="00783FBE">
      <w:pPr>
        <w:spacing w:after="120" w:line="360" w:lineRule="auto"/>
        <w:jc w:val="both"/>
        <w:rPr>
          <w:rFonts w:cs="Times New Roman"/>
          <w:szCs w:val="24"/>
        </w:rPr>
      </w:pPr>
      <w:r w:rsidRPr="00B81E7D">
        <w:rPr>
          <w:rFonts w:cs="Times New Roman"/>
          <w:szCs w:val="24"/>
        </w:rPr>
        <w:t>Zaproponowano cyfryzację obowiązków sprawozdawczych nałożonych ustawą Prawo energetyczne na przedsiębiorców sektora paliwowego. W celu cyfryzacji obowiązków sprawozdawczych koniecznym będzie wprowadzenie systemu teleinformatycznego w URE, który umożliwi składanie sprawozdań oraz przetwarzanie i udostępnianie danych, co ułatwi przedsiębiorcom wykonywanie ustawowych obowiązków i przyspieszy proces przetwarzania danych przez Prezesa URE. Na koszty składają się m.in. koszty zakupu serwerów, oprogramowania i zapewnienia bezpieczeństwa danych gospodarczych przedkładanych przez przedsiębiorców przed dostępem osób nieuprawnionych, w tym innych przedsiębiorstw, a następnie zapewnienie sprawnego i bezpiecznego funkcjonowania platformy przez odpowiednie zabezpieczenia programowe, sprzętowe,</w:t>
      </w:r>
      <w:r w:rsidR="0041391B">
        <w:rPr>
          <w:rFonts w:cs="Times New Roman"/>
          <w:szCs w:val="24"/>
        </w:rPr>
        <w:t xml:space="preserve"> programowo-sprzętowe, które są </w:t>
      </w:r>
      <w:r w:rsidRPr="00B81E7D">
        <w:rPr>
          <w:rFonts w:cs="Times New Roman"/>
          <w:szCs w:val="24"/>
        </w:rPr>
        <w:t xml:space="preserve">bardzo kosztowne, ale konieczne ze względu na objęcie systemem ok. 6000 przedsiębiorstw. </w:t>
      </w:r>
    </w:p>
    <w:p w:rsidR="00783FBE" w:rsidRPr="00B81E7D" w:rsidRDefault="00783FBE" w:rsidP="00783FBE">
      <w:pPr>
        <w:spacing w:after="120" w:line="360" w:lineRule="auto"/>
        <w:jc w:val="both"/>
        <w:rPr>
          <w:rFonts w:cs="Times New Roman"/>
          <w:szCs w:val="24"/>
        </w:rPr>
      </w:pPr>
      <w:r w:rsidRPr="00B81E7D">
        <w:rPr>
          <w:rFonts w:cs="Times New Roman"/>
          <w:szCs w:val="24"/>
        </w:rPr>
        <w:t>Proponowany system teleinformatyczny służy ograniczeniu obciążeń administracyjnych sektora paliwowego oraz poprawie kontroli nad tym systemem, w tym zapobieganiu i zwalczaniu szarej strefy w sektorze paliwowym, a także wpisuje się w strategię informatyzacji państwa. Poprawa kontroli i możliwość "crosscheckowania" danych niewątpliwie wpłynie na stabilność wpływów budżetowych z sektora paliwowego. Intencją było, aby powołana platforma mogła stanowić podstawę do rozwoju w kolejnych etapach platformy paliwowej stanowiącej bazę danych dotyczących</w:t>
      </w:r>
      <w:r w:rsidR="00BE216B">
        <w:rPr>
          <w:rFonts w:cs="Times New Roman"/>
          <w:szCs w:val="24"/>
        </w:rPr>
        <w:t xml:space="preserve"> sektora paliwowego, która jest </w:t>
      </w:r>
      <w:r w:rsidRPr="00B81E7D">
        <w:rPr>
          <w:rFonts w:cs="Times New Roman"/>
          <w:szCs w:val="24"/>
        </w:rPr>
        <w:t>ujęta w Programie przeciwdziałania i zwalczania przestępczości gospodarczej na lata 2015-2020. Wg roboczych danych URE szara strefa w se</w:t>
      </w:r>
      <w:r w:rsidR="00BE216B">
        <w:rPr>
          <w:rFonts w:cs="Times New Roman"/>
          <w:szCs w:val="24"/>
        </w:rPr>
        <w:t xml:space="preserve">ktorze paliwowym może sięgać </w:t>
      </w:r>
      <w:r w:rsidR="00BE216B">
        <w:rPr>
          <w:rFonts w:cs="Times New Roman"/>
          <w:szCs w:val="24"/>
        </w:rPr>
        <w:lastRenderedPageBreak/>
        <w:t>ok </w:t>
      </w:r>
      <w:r w:rsidRPr="00B81E7D">
        <w:rPr>
          <w:rFonts w:cs="Times New Roman"/>
          <w:szCs w:val="24"/>
        </w:rPr>
        <w:t>10%, co przekłada się na roczne straty budżetu pastwa rz</w:t>
      </w:r>
      <w:r w:rsidR="00BE216B">
        <w:rPr>
          <w:rFonts w:cs="Times New Roman"/>
          <w:szCs w:val="24"/>
        </w:rPr>
        <w:t>ędu 4 mld zł. Odbudowywanie się </w:t>
      </w:r>
      <w:r w:rsidRPr="00B81E7D">
        <w:rPr>
          <w:rFonts w:cs="Times New Roman"/>
          <w:szCs w:val="24"/>
        </w:rPr>
        <w:t>szarej strefy w sektorze paliwowym sygnalizuje także POPiHN.</w:t>
      </w:r>
    </w:p>
    <w:p w:rsidR="00783FBE" w:rsidRPr="00B81E7D" w:rsidRDefault="00783FBE" w:rsidP="00783FBE">
      <w:pPr>
        <w:spacing w:after="120" w:line="360" w:lineRule="auto"/>
        <w:jc w:val="both"/>
        <w:rPr>
          <w:rFonts w:cs="Times New Roman"/>
          <w:szCs w:val="24"/>
        </w:rPr>
      </w:pPr>
      <w:r w:rsidRPr="00B81E7D">
        <w:rPr>
          <w:rFonts w:cs="Times New Roman"/>
          <w:szCs w:val="24"/>
        </w:rPr>
        <w:t>Koszty budowy tej platformy zostały oszacowane na podstawie kosztów poniesionych przez URE na budowę i funkcjonowanie innych zbliżonych systemów informa</w:t>
      </w:r>
      <w:r w:rsidR="0041391B">
        <w:rPr>
          <w:rFonts w:cs="Times New Roman"/>
          <w:szCs w:val="24"/>
        </w:rPr>
        <w:t>tycznych tj. </w:t>
      </w:r>
      <w:r w:rsidRPr="00B81E7D">
        <w:rPr>
          <w:rFonts w:cs="Times New Roman"/>
          <w:szCs w:val="24"/>
        </w:rPr>
        <w:t>Platformy Aukcyjnej na sprzedaż energii elektrycznej wytwarzanej w instalacjach OZE. Platforma paliwa nie powstanie jednak poprzez modern</w:t>
      </w:r>
      <w:r w:rsidR="0041391B">
        <w:rPr>
          <w:rFonts w:cs="Times New Roman"/>
          <w:szCs w:val="24"/>
        </w:rPr>
        <w:t>izację platformy aukcyjnej, ale </w:t>
      </w:r>
      <w:r w:rsidRPr="00B81E7D">
        <w:rPr>
          <w:rFonts w:cs="Times New Roman"/>
          <w:szCs w:val="24"/>
        </w:rPr>
        <w:t>poprzez rozbudowę systemu teleinformatycznego zaprojektowanego w ustawie deregulacyjnej.</w:t>
      </w:r>
    </w:p>
    <w:p w:rsidR="00F4395E" w:rsidRPr="00B81E7D" w:rsidRDefault="00F4395E" w:rsidP="00B421C2">
      <w:pPr>
        <w:numPr>
          <w:ilvl w:val="0"/>
          <w:numId w:val="3"/>
        </w:numPr>
        <w:spacing w:after="120" w:line="360" w:lineRule="auto"/>
        <w:jc w:val="both"/>
        <w:rPr>
          <w:rFonts w:cs="Times New Roman"/>
          <w:b/>
          <w:szCs w:val="24"/>
        </w:rPr>
      </w:pPr>
      <w:r w:rsidRPr="00B81E7D">
        <w:rPr>
          <w:rFonts w:cs="Times New Roman"/>
          <w:b/>
          <w:szCs w:val="24"/>
        </w:rPr>
        <w:t>Przepis o wejściu w życie</w:t>
      </w:r>
    </w:p>
    <w:p w:rsidR="003B5685" w:rsidRPr="00B81E7D" w:rsidRDefault="00F45BDF" w:rsidP="00B421C2">
      <w:pPr>
        <w:pStyle w:val="ARTartustawynprozporzdzenia"/>
        <w:ind w:firstLine="0"/>
        <w:rPr>
          <w:rStyle w:val="Ppogrubienie"/>
          <w:rFonts w:ascii="Times New Roman" w:hAnsi="Times New Roman" w:cs="Times New Roman"/>
          <w:szCs w:val="24"/>
        </w:rPr>
      </w:pPr>
      <w:r w:rsidRPr="00B81E7D">
        <w:rPr>
          <w:rStyle w:val="Ppogrubienie"/>
          <w:rFonts w:ascii="Times New Roman" w:hAnsi="Times New Roman" w:cs="Times New Roman"/>
          <w:szCs w:val="24"/>
        </w:rPr>
        <w:t xml:space="preserve">Art. </w:t>
      </w:r>
      <w:r w:rsidR="00371216">
        <w:rPr>
          <w:rStyle w:val="Ppogrubienie"/>
          <w:rFonts w:ascii="Times New Roman" w:hAnsi="Times New Roman" w:cs="Times New Roman"/>
          <w:szCs w:val="24"/>
        </w:rPr>
        <w:t>81</w:t>
      </w:r>
      <w:r w:rsidR="00DA7D72" w:rsidRPr="00B81E7D">
        <w:rPr>
          <w:rStyle w:val="Ppogrubienie"/>
          <w:rFonts w:ascii="Times New Roman" w:hAnsi="Times New Roman" w:cs="Times New Roman"/>
          <w:szCs w:val="24"/>
        </w:rPr>
        <w:t xml:space="preserve"> </w:t>
      </w:r>
      <w:r w:rsidR="00587142" w:rsidRPr="00B81E7D">
        <w:rPr>
          <w:rStyle w:val="Ppogrubienie"/>
          <w:rFonts w:ascii="Times New Roman" w:hAnsi="Times New Roman" w:cs="Times New Roman"/>
          <w:szCs w:val="24"/>
        </w:rPr>
        <w:t>projektu</w:t>
      </w:r>
    </w:p>
    <w:p w:rsidR="00B83178" w:rsidRDefault="003B5685" w:rsidP="001A0E35">
      <w:pPr>
        <w:pStyle w:val="ARTartustawynprozporzdzenia"/>
        <w:ind w:firstLine="0"/>
        <w:rPr>
          <w:rFonts w:cs="Times New Roman"/>
          <w:szCs w:val="24"/>
        </w:rPr>
      </w:pPr>
      <w:r w:rsidRPr="00B81E7D">
        <w:rPr>
          <w:rStyle w:val="Ppogrubienie"/>
          <w:rFonts w:ascii="Times New Roman" w:hAnsi="Times New Roman" w:cs="Times New Roman"/>
          <w:b w:val="0"/>
          <w:szCs w:val="24"/>
        </w:rPr>
        <w:t xml:space="preserve">Przepis określa </w:t>
      </w:r>
      <w:r w:rsidR="00A057E1">
        <w:rPr>
          <w:rStyle w:val="Ppogrubienie"/>
          <w:rFonts w:ascii="Times New Roman" w:hAnsi="Times New Roman" w:cs="Times New Roman"/>
          <w:b w:val="0"/>
          <w:szCs w:val="24"/>
        </w:rPr>
        <w:t xml:space="preserve">datę </w:t>
      </w:r>
      <w:r w:rsidRPr="00B81E7D">
        <w:rPr>
          <w:rStyle w:val="Ppogrubienie"/>
          <w:rFonts w:ascii="Times New Roman" w:hAnsi="Times New Roman" w:cs="Times New Roman"/>
          <w:b w:val="0"/>
          <w:szCs w:val="24"/>
        </w:rPr>
        <w:t>wejści</w:t>
      </w:r>
      <w:r w:rsidR="00A057E1">
        <w:rPr>
          <w:rStyle w:val="Ppogrubienie"/>
          <w:rFonts w:ascii="Times New Roman" w:hAnsi="Times New Roman" w:cs="Times New Roman"/>
          <w:b w:val="0"/>
          <w:szCs w:val="24"/>
        </w:rPr>
        <w:t>a</w:t>
      </w:r>
      <w:r w:rsidRPr="00B81E7D">
        <w:rPr>
          <w:rStyle w:val="Ppogrubienie"/>
          <w:rFonts w:ascii="Times New Roman" w:hAnsi="Times New Roman" w:cs="Times New Roman"/>
          <w:b w:val="0"/>
          <w:szCs w:val="24"/>
        </w:rPr>
        <w:t xml:space="preserve"> w życie ustawy na</w:t>
      </w:r>
      <w:r w:rsidR="00862DFA" w:rsidRPr="00B81E7D">
        <w:rPr>
          <w:rStyle w:val="Ppogrubienie"/>
          <w:rFonts w:ascii="Times New Roman" w:hAnsi="Times New Roman" w:cs="Times New Roman"/>
          <w:b w:val="0"/>
          <w:szCs w:val="24"/>
        </w:rPr>
        <w:t xml:space="preserve"> </w:t>
      </w:r>
      <w:r w:rsidR="00FA35F7">
        <w:rPr>
          <w:rStyle w:val="Ppogrubienie"/>
          <w:rFonts w:ascii="Times New Roman" w:hAnsi="Times New Roman" w:cs="Times New Roman"/>
          <w:b w:val="0"/>
          <w:szCs w:val="24"/>
        </w:rPr>
        <w:t xml:space="preserve">dzień </w:t>
      </w:r>
      <w:r w:rsidR="00862DFA" w:rsidRPr="00B81E7D">
        <w:rPr>
          <w:rStyle w:val="Ppogrubienie"/>
          <w:rFonts w:ascii="Times New Roman" w:hAnsi="Times New Roman" w:cs="Times New Roman"/>
          <w:b w:val="0"/>
          <w:szCs w:val="24"/>
        </w:rPr>
        <w:t xml:space="preserve">1 </w:t>
      </w:r>
      <w:r w:rsidR="00B526EA" w:rsidRPr="00B81E7D">
        <w:rPr>
          <w:rStyle w:val="Ppogrubienie"/>
          <w:rFonts w:ascii="Times New Roman" w:hAnsi="Times New Roman" w:cs="Times New Roman"/>
          <w:b w:val="0"/>
          <w:szCs w:val="24"/>
        </w:rPr>
        <w:t xml:space="preserve">stycznia 2020 </w:t>
      </w:r>
      <w:r w:rsidR="00862DFA" w:rsidRPr="00B81E7D">
        <w:rPr>
          <w:rStyle w:val="Ppogrubienie"/>
          <w:rFonts w:ascii="Times New Roman" w:hAnsi="Times New Roman" w:cs="Times New Roman"/>
          <w:b w:val="0"/>
          <w:szCs w:val="24"/>
        </w:rPr>
        <w:t xml:space="preserve">r., </w:t>
      </w:r>
      <w:r w:rsidR="00F53EDC" w:rsidRPr="00B81E7D">
        <w:rPr>
          <w:rStyle w:val="Ppogrubienie"/>
          <w:rFonts w:ascii="Times New Roman" w:hAnsi="Times New Roman" w:cs="Times New Roman"/>
          <w:b w:val="0"/>
          <w:szCs w:val="24"/>
        </w:rPr>
        <w:t>przy czym</w:t>
      </w:r>
      <w:r w:rsidR="00FA35F7">
        <w:rPr>
          <w:rStyle w:val="Ppogrubienie"/>
          <w:rFonts w:ascii="Times New Roman" w:hAnsi="Times New Roman" w:cs="Times New Roman"/>
          <w:b w:val="0"/>
          <w:szCs w:val="24"/>
        </w:rPr>
        <w:t xml:space="preserve"> zmiany wprowadzone w ustawie – Kodeks cywilny (w</w:t>
      </w:r>
      <w:r w:rsidR="00A057E1">
        <w:rPr>
          <w:rStyle w:val="Ppogrubienie"/>
          <w:rFonts w:ascii="Times New Roman" w:hAnsi="Times New Roman" w:cs="Times New Roman"/>
          <w:b w:val="0"/>
          <w:szCs w:val="24"/>
        </w:rPr>
        <w:t xml:space="preserve"> art. 1</w:t>
      </w:r>
      <w:r w:rsidR="00FA35F7">
        <w:rPr>
          <w:rStyle w:val="Ppogrubienie"/>
          <w:rFonts w:ascii="Times New Roman" w:hAnsi="Times New Roman" w:cs="Times New Roman"/>
          <w:b w:val="0"/>
          <w:szCs w:val="24"/>
        </w:rPr>
        <w:t xml:space="preserve"> pkt 1-3) oraz w ustawie o prawach konsumenta powinny wejść w życie z dniem 1 czerwca 2020 r. Z</w:t>
      </w:r>
      <w:r w:rsidR="00F53EDC" w:rsidRPr="00B81E7D">
        <w:rPr>
          <w:rStyle w:val="Ppogrubienie"/>
          <w:rFonts w:ascii="Times New Roman" w:hAnsi="Times New Roman" w:cs="Times New Roman"/>
          <w:b w:val="0"/>
          <w:szCs w:val="24"/>
        </w:rPr>
        <w:t xml:space="preserve">miany wprowadzone </w:t>
      </w:r>
      <w:r w:rsidR="00FA35F7">
        <w:rPr>
          <w:rStyle w:val="Ppogrubienie"/>
          <w:rFonts w:ascii="Times New Roman" w:hAnsi="Times New Roman" w:cs="Times New Roman"/>
          <w:b w:val="0"/>
          <w:szCs w:val="24"/>
        </w:rPr>
        <w:t>w </w:t>
      </w:r>
      <w:r w:rsidR="00C720EB" w:rsidRPr="00B81E7D">
        <w:rPr>
          <w:rStyle w:val="Ppogrubienie"/>
          <w:rFonts w:ascii="Times New Roman" w:hAnsi="Times New Roman" w:cs="Times New Roman"/>
          <w:b w:val="0"/>
          <w:szCs w:val="24"/>
        </w:rPr>
        <w:t xml:space="preserve">ustawie – Prawo energetyczne </w:t>
      </w:r>
      <w:r w:rsidR="00862DFA" w:rsidRPr="00B81E7D">
        <w:rPr>
          <w:rStyle w:val="Ppogrubienie"/>
          <w:rFonts w:ascii="Times New Roman" w:hAnsi="Times New Roman" w:cs="Times New Roman"/>
          <w:b w:val="0"/>
          <w:szCs w:val="24"/>
        </w:rPr>
        <w:t xml:space="preserve">powinny wejść w </w:t>
      </w:r>
      <w:r w:rsidR="00D930B0" w:rsidRPr="00B81E7D">
        <w:rPr>
          <w:rStyle w:val="Ppogrubienie"/>
          <w:rFonts w:ascii="Times New Roman" w:hAnsi="Times New Roman" w:cs="Times New Roman"/>
          <w:b w:val="0"/>
          <w:szCs w:val="24"/>
        </w:rPr>
        <w:t xml:space="preserve">życie </w:t>
      </w:r>
      <w:r w:rsidR="00620873" w:rsidRPr="00B81E7D">
        <w:rPr>
          <w:rFonts w:ascii="Times New Roman" w:hAnsi="Times New Roman" w:cs="Times New Roman"/>
          <w:szCs w:val="24"/>
        </w:rPr>
        <w:t xml:space="preserve">1 </w:t>
      </w:r>
      <w:r w:rsidR="00F53EDC" w:rsidRPr="00B81E7D">
        <w:rPr>
          <w:rFonts w:ascii="Times New Roman" w:hAnsi="Times New Roman" w:cs="Times New Roman"/>
          <w:szCs w:val="24"/>
        </w:rPr>
        <w:t>lipca</w:t>
      </w:r>
      <w:r w:rsidR="00620873" w:rsidRPr="00B81E7D">
        <w:rPr>
          <w:rFonts w:ascii="Times New Roman" w:hAnsi="Times New Roman" w:cs="Times New Roman"/>
          <w:szCs w:val="24"/>
        </w:rPr>
        <w:t xml:space="preserve"> 2021</w:t>
      </w:r>
      <w:r w:rsidR="00862DFA" w:rsidRPr="00B81E7D">
        <w:rPr>
          <w:rFonts w:ascii="Times New Roman" w:hAnsi="Times New Roman" w:cs="Times New Roman"/>
          <w:color w:val="FF0000"/>
          <w:szCs w:val="24"/>
        </w:rPr>
        <w:t xml:space="preserve"> </w:t>
      </w:r>
      <w:r w:rsidR="00FA35F7">
        <w:rPr>
          <w:rFonts w:ascii="Times New Roman" w:hAnsi="Times New Roman" w:cs="Times New Roman"/>
          <w:szCs w:val="24"/>
        </w:rPr>
        <w:t>r. Ponadto </w:t>
      </w:r>
      <w:r w:rsidR="00A057E1">
        <w:rPr>
          <w:rFonts w:ascii="Times New Roman" w:hAnsi="Times New Roman" w:cs="Times New Roman"/>
          <w:szCs w:val="24"/>
        </w:rPr>
        <w:t xml:space="preserve">przepis końcowy przewiduje w art. 81 pkt 4  sześciomiesięczne </w:t>
      </w:r>
      <w:r w:rsidR="00B36975" w:rsidRPr="00B81E7D">
        <w:rPr>
          <w:rFonts w:ascii="Times New Roman" w:hAnsi="Times New Roman" w:cs="Times New Roman"/>
          <w:szCs w:val="24"/>
        </w:rPr>
        <w:t xml:space="preserve">  </w:t>
      </w:r>
      <w:r w:rsidR="00B36975" w:rsidRPr="00B81E7D">
        <w:rPr>
          <w:rFonts w:ascii="Times New Roman" w:hAnsi="Times New Roman" w:cs="Times New Roman"/>
          <w:i/>
          <w:szCs w:val="24"/>
        </w:rPr>
        <w:t>vacatio legis</w:t>
      </w:r>
      <w:r w:rsidR="00B36975" w:rsidRPr="00B81E7D">
        <w:rPr>
          <w:rFonts w:ascii="Times New Roman" w:hAnsi="Times New Roman" w:cs="Times New Roman"/>
          <w:szCs w:val="24"/>
        </w:rPr>
        <w:t xml:space="preserve"> dla zmian dot</w:t>
      </w:r>
      <w:r w:rsidR="00A057E1">
        <w:rPr>
          <w:rFonts w:ascii="Times New Roman" w:hAnsi="Times New Roman" w:cs="Times New Roman"/>
          <w:szCs w:val="24"/>
        </w:rPr>
        <w:t xml:space="preserve">yczących </w:t>
      </w:r>
      <w:r w:rsidR="00B36975" w:rsidRPr="00B81E7D">
        <w:rPr>
          <w:rFonts w:ascii="Times New Roman" w:hAnsi="Times New Roman" w:cs="Times New Roman"/>
          <w:szCs w:val="24"/>
        </w:rPr>
        <w:t xml:space="preserve"> ujawniania w</w:t>
      </w:r>
      <w:r w:rsidR="00C22112" w:rsidRPr="00B81E7D">
        <w:rPr>
          <w:rFonts w:ascii="Times New Roman" w:hAnsi="Times New Roman" w:cs="Times New Roman"/>
          <w:szCs w:val="24"/>
        </w:rPr>
        <w:t> </w:t>
      </w:r>
      <w:r w:rsidR="00B36975" w:rsidRPr="00B81E7D">
        <w:rPr>
          <w:rFonts w:ascii="Times New Roman" w:hAnsi="Times New Roman" w:cs="Times New Roman"/>
          <w:szCs w:val="24"/>
        </w:rPr>
        <w:t>CEIDG uprawnień rzemieślniczych</w:t>
      </w:r>
      <w:r w:rsidR="00B526EA" w:rsidRPr="00B81E7D">
        <w:rPr>
          <w:rFonts w:ascii="Times New Roman" w:hAnsi="Times New Roman" w:cs="Times New Roman"/>
          <w:szCs w:val="24"/>
        </w:rPr>
        <w:t>, co</w:t>
      </w:r>
      <w:r w:rsidR="00B36975" w:rsidRPr="00B81E7D">
        <w:rPr>
          <w:rFonts w:ascii="Times New Roman" w:hAnsi="Times New Roman" w:cs="Times New Roman"/>
          <w:szCs w:val="24"/>
        </w:rPr>
        <w:t xml:space="preserve"> jest podyktowane koniecznością przygotowania zmian technicznych w systemie teleinformatycznym CEIDG.</w:t>
      </w:r>
      <w:r w:rsidR="00840E57" w:rsidRPr="00B81E7D">
        <w:rPr>
          <w:rFonts w:cs="Times New Roman"/>
          <w:szCs w:val="24"/>
        </w:rPr>
        <w:t xml:space="preserve"> </w:t>
      </w:r>
      <w:r w:rsidR="00B36975" w:rsidRPr="00B81E7D">
        <w:rPr>
          <w:rFonts w:ascii="Times New Roman" w:hAnsi="Times New Roman" w:cs="Times New Roman"/>
          <w:szCs w:val="24"/>
        </w:rPr>
        <w:t xml:space="preserve"> </w:t>
      </w:r>
      <w:r w:rsidR="00FE237A" w:rsidRPr="00B81E7D">
        <w:rPr>
          <w:rFonts w:cs="Times New Roman"/>
          <w:szCs w:val="24"/>
        </w:rPr>
        <w:t xml:space="preserve">Ponadto zmiany </w:t>
      </w:r>
      <w:r w:rsidR="00B77463">
        <w:rPr>
          <w:rFonts w:cs="Times New Roman"/>
          <w:szCs w:val="24"/>
        </w:rPr>
        <w:t xml:space="preserve">zaprojektowane </w:t>
      </w:r>
      <w:r w:rsidR="00FE237A" w:rsidRPr="00B81E7D">
        <w:rPr>
          <w:rFonts w:cs="Times New Roman"/>
          <w:szCs w:val="24"/>
        </w:rPr>
        <w:t xml:space="preserve">w art. </w:t>
      </w:r>
      <w:r w:rsidR="00C4536F">
        <w:rPr>
          <w:rFonts w:cs="Times New Roman"/>
          <w:szCs w:val="24"/>
        </w:rPr>
        <w:t>6</w:t>
      </w:r>
      <w:r w:rsidR="00B77463">
        <w:rPr>
          <w:rFonts w:cs="Times New Roman"/>
          <w:szCs w:val="24"/>
        </w:rPr>
        <w:t>1</w:t>
      </w:r>
      <w:r w:rsidR="00C4536F" w:rsidRPr="00B81E7D">
        <w:rPr>
          <w:rFonts w:cs="Times New Roman"/>
          <w:szCs w:val="24"/>
        </w:rPr>
        <w:t xml:space="preserve"> </w:t>
      </w:r>
      <w:r w:rsidR="00FE237A" w:rsidRPr="00B81E7D">
        <w:rPr>
          <w:rFonts w:cs="Times New Roman"/>
          <w:szCs w:val="24"/>
        </w:rPr>
        <w:t xml:space="preserve">pkt </w:t>
      </w:r>
      <w:r w:rsidR="001A58BC">
        <w:rPr>
          <w:rFonts w:cs="Times New Roman"/>
          <w:szCs w:val="24"/>
        </w:rPr>
        <w:t>6</w:t>
      </w:r>
      <w:r w:rsidR="00880781">
        <w:rPr>
          <w:rFonts w:cs="Times New Roman"/>
          <w:szCs w:val="24"/>
        </w:rPr>
        <w:t xml:space="preserve"> </w:t>
      </w:r>
      <w:r w:rsidR="001A58BC">
        <w:rPr>
          <w:rFonts w:cs="Times New Roman"/>
          <w:szCs w:val="24"/>
        </w:rPr>
        <w:t xml:space="preserve">lit.a tiret trzecie, lit. b i e </w:t>
      </w:r>
      <w:r w:rsidR="001A0E35">
        <w:rPr>
          <w:rFonts w:cs="Times New Roman"/>
          <w:szCs w:val="24"/>
        </w:rPr>
        <w:t xml:space="preserve"> </w:t>
      </w:r>
      <w:r w:rsidR="001A58BC">
        <w:rPr>
          <w:rFonts w:cs="Times New Roman"/>
          <w:szCs w:val="24"/>
        </w:rPr>
        <w:t xml:space="preserve">i pkt 7 </w:t>
      </w:r>
      <w:r w:rsidR="00FE237A" w:rsidRPr="00B81E7D">
        <w:rPr>
          <w:rFonts w:cs="Times New Roman"/>
          <w:szCs w:val="24"/>
        </w:rPr>
        <w:t xml:space="preserve">oraz </w:t>
      </w:r>
      <w:r w:rsidR="001A0E35">
        <w:rPr>
          <w:rFonts w:cs="Times New Roman"/>
          <w:szCs w:val="24"/>
        </w:rPr>
        <w:t xml:space="preserve">art. </w:t>
      </w:r>
      <w:r w:rsidR="00C4536F">
        <w:rPr>
          <w:rFonts w:cs="Times New Roman"/>
          <w:szCs w:val="24"/>
        </w:rPr>
        <w:t>6</w:t>
      </w:r>
      <w:r w:rsidR="00B77463">
        <w:rPr>
          <w:rFonts w:cs="Times New Roman"/>
          <w:szCs w:val="24"/>
        </w:rPr>
        <w:t>9</w:t>
      </w:r>
      <w:r w:rsidR="00C4536F" w:rsidRPr="00B81E7D">
        <w:rPr>
          <w:rFonts w:cs="Times New Roman"/>
          <w:szCs w:val="24"/>
        </w:rPr>
        <w:t xml:space="preserve"> </w:t>
      </w:r>
      <w:r w:rsidR="00AF27E2" w:rsidRPr="00B81E7D">
        <w:rPr>
          <w:rFonts w:cs="Times New Roman"/>
          <w:szCs w:val="24"/>
        </w:rPr>
        <w:t>ust. 1-8</w:t>
      </w:r>
      <w:r w:rsidR="00FE237A" w:rsidRPr="00B81E7D">
        <w:rPr>
          <w:rFonts w:cs="Times New Roman"/>
          <w:szCs w:val="24"/>
        </w:rPr>
        <w:t xml:space="preserve"> projektu w</w:t>
      </w:r>
      <w:r w:rsidR="00B77463">
        <w:rPr>
          <w:rFonts w:cs="Times New Roman"/>
          <w:szCs w:val="24"/>
        </w:rPr>
        <w:t xml:space="preserve">ejdą </w:t>
      </w:r>
      <w:r w:rsidR="00FE237A" w:rsidRPr="00B81E7D">
        <w:rPr>
          <w:rFonts w:cs="Times New Roman"/>
          <w:szCs w:val="24"/>
        </w:rPr>
        <w:t xml:space="preserve"> w życie z dniem 1 października 2020 r.</w:t>
      </w:r>
    </w:p>
    <w:p w:rsidR="005519D0" w:rsidRPr="00FA35F7" w:rsidRDefault="005519D0" w:rsidP="001A0E35">
      <w:pPr>
        <w:pStyle w:val="ARTartustawynprozporzdzenia"/>
        <w:ind w:firstLine="0"/>
        <w:rPr>
          <w:rFonts w:ascii="Times New Roman" w:hAnsi="Times New Roman" w:cs="Times New Roman"/>
          <w:szCs w:val="24"/>
        </w:rPr>
      </w:pPr>
    </w:p>
    <w:p w:rsidR="001F2841" w:rsidRDefault="001F2841" w:rsidP="001A0E35">
      <w:pPr>
        <w:pStyle w:val="ARTartustawynprozporzdzenia"/>
        <w:ind w:firstLine="0"/>
        <w:rPr>
          <w:rFonts w:cs="Times New Roman"/>
          <w:szCs w:val="24"/>
        </w:rPr>
      </w:pPr>
      <w:r>
        <w:rPr>
          <w:rFonts w:cs="Times New Roman"/>
          <w:szCs w:val="24"/>
        </w:rPr>
        <w:t xml:space="preserve">Przepisy zawarte w art. </w:t>
      </w:r>
      <w:r w:rsidR="00C4536F">
        <w:rPr>
          <w:rFonts w:cs="Times New Roman"/>
          <w:szCs w:val="24"/>
        </w:rPr>
        <w:t xml:space="preserve">33 </w:t>
      </w:r>
      <w:r w:rsidR="00A268DC">
        <w:rPr>
          <w:rFonts w:cs="Times New Roman"/>
          <w:szCs w:val="24"/>
        </w:rPr>
        <w:t>pkt 2</w:t>
      </w:r>
      <w:r>
        <w:rPr>
          <w:rFonts w:cs="Times New Roman"/>
          <w:szCs w:val="24"/>
        </w:rPr>
        <w:t xml:space="preserve"> projektowanej ustawy (tj. </w:t>
      </w:r>
      <w:r w:rsidRPr="001F2841">
        <w:rPr>
          <w:rFonts w:cs="Times New Roman"/>
          <w:szCs w:val="24"/>
        </w:rPr>
        <w:t xml:space="preserve">art. 33a </w:t>
      </w:r>
      <w:r>
        <w:rPr>
          <w:rFonts w:cs="Times New Roman"/>
          <w:szCs w:val="24"/>
        </w:rPr>
        <w:t xml:space="preserve">ustawy o </w:t>
      </w:r>
      <w:r w:rsidRPr="001F2841">
        <w:rPr>
          <w:rFonts w:cs="Times New Roman"/>
          <w:szCs w:val="24"/>
        </w:rPr>
        <w:t>VAT</w:t>
      </w:r>
      <w:r>
        <w:rPr>
          <w:rFonts w:cs="Times New Roman"/>
          <w:szCs w:val="24"/>
        </w:rPr>
        <w:t>)</w:t>
      </w:r>
      <w:r w:rsidRPr="001F2841">
        <w:rPr>
          <w:rFonts w:cs="Times New Roman"/>
          <w:szCs w:val="24"/>
        </w:rPr>
        <w:t xml:space="preserve"> ma</w:t>
      </w:r>
      <w:r>
        <w:rPr>
          <w:rFonts w:cs="Times New Roman"/>
          <w:szCs w:val="24"/>
        </w:rPr>
        <w:t>ją</w:t>
      </w:r>
      <w:r w:rsidRPr="001F2841">
        <w:rPr>
          <w:rFonts w:cs="Times New Roman"/>
          <w:szCs w:val="24"/>
        </w:rPr>
        <w:t xml:space="preserve"> wejść w życie </w:t>
      </w:r>
      <w:r w:rsidR="001A58BC">
        <w:rPr>
          <w:rFonts w:cs="Times New Roman"/>
          <w:szCs w:val="24"/>
        </w:rPr>
        <w:t xml:space="preserve">z </w:t>
      </w:r>
      <w:r w:rsidR="005519D0">
        <w:rPr>
          <w:rFonts w:cs="Times New Roman"/>
          <w:szCs w:val="24"/>
        </w:rPr>
        <w:t>dni</w:t>
      </w:r>
      <w:r w:rsidR="001A58BC">
        <w:rPr>
          <w:rFonts w:cs="Times New Roman"/>
          <w:szCs w:val="24"/>
        </w:rPr>
        <w:t xml:space="preserve">em </w:t>
      </w:r>
      <w:r w:rsidRPr="001F2841">
        <w:rPr>
          <w:rFonts w:cs="Times New Roman"/>
          <w:szCs w:val="24"/>
        </w:rPr>
        <w:t xml:space="preserve"> 1 </w:t>
      </w:r>
      <w:r w:rsidR="007E207E">
        <w:rPr>
          <w:rFonts w:cs="Times New Roman"/>
          <w:szCs w:val="24"/>
        </w:rPr>
        <w:t>lipca</w:t>
      </w:r>
      <w:r w:rsidRPr="001F2841">
        <w:rPr>
          <w:rFonts w:cs="Times New Roman"/>
          <w:szCs w:val="24"/>
        </w:rPr>
        <w:t xml:space="preserve"> 2020. Wydłużenie vacatio legis jest uzasadnione równoległymi pracami </w:t>
      </w:r>
      <w:r w:rsidR="00990C81">
        <w:rPr>
          <w:rFonts w:cs="Times New Roman"/>
          <w:szCs w:val="24"/>
        </w:rPr>
        <w:t>M</w:t>
      </w:r>
      <w:r w:rsidRPr="001F2841">
        <w:rPr>
          <w:rFonts w:cs="Times New Roman"/>
          <w:szCs w:val="24"/>
        </w:rPr>
        <w:t xml:space="preserve">inisterstwa </w:t>
      </w:r>
      <w:r w:rsidR="00990C81">
        <w:rPr>
          <w:rFonts w:cs="Times New Roman"/>
          <w:szCs w:val="24"/>
        </w:rPr>
        <w:t>F</w:t>
      </w:r>
      <w:r w:rsidRPr="001F2841">
        <w:rPr>
          <w:rFonts w:cs="Times New Roman"/>
          <w:szCs w:val="24"/>
        </w:rPr>
        <w:t xml:space="preserve">inansów nad zmianami </w:t>
      </w:r>
      <w:r w:rsidR="005519D0">
        <w:rPr>
          <w:rFonts w:cs="Times New Roman"/>
          <w:szCs w:val="24"/>
        </w:rPr>
        <w:t xml:space="preserve">dotyczącymi </w:t>
      </w:r>
      <w:r w:rsidRPr="001F2841">
        <w:rPr>
          <w:rFonts w:cs="Times New Roman"/>
          <w:szCs w:val="24"/>
        </w:rPr>
        <w:t xml:space="preserve"> JPK_VAT, które mają zabezpieczyć prawidłowe funkcjonowanie proponowanych rozwiązań</w:t>
      </w:r>
      <w:r w:rsidR="007E207E">
        <w:rPr>
          <w:rFonts w:cs="Times New Roman"/>
          <w:szCs w:val="24"/>
        </w:rPr>
        <w:t>.</w:t>
      </w:r>
    </w:p>
    <w:p w:rsidR="001A0E35" w:rsidRPr="001A0E35" w:rsidRDefault="001A0E35" w:rsidP="001A0E35">
      <w:pPr>
        <w:pStyle w:val="ARTartustawynprozporzdzenia"/>
        <w:ind w:firstLine="0"/>
        <w:rPr>
          <w:rFonts w:cs="Times New Roman"/>
          <w:szCs w:val="24"/>
        </w:rPr>
      </w:pPr>
    </w:p>
    <w:p w:rsidR="00EE31D5" w:rsidRPr="00B81E7D" w:rsidRDefault="00EE31D5" w:rsidP="00B421C2">
      <w:pPr>
        <w:numPr>
          <w:ilvl w:val="0"/>
          <w:numId w:val="1"/>
        </w:numPr>
        <w:spacing w:line="360" w:lineRule="auto"/>
        <w:jc w:val="both"/>
        <w:rPr>
          <w:rFonts w:cs="Times New Roman"/>
          <w:b/>
          <w:szCs w:val="24"/>
        </w:rPr>
      </w:pPr>
      <w:r w:rsidRPr="00B81E7D">
        <w:rPr>
          <w:rFonts w:cs="Times New Roman"/>
          <w:b/>
          <w:szCs w:val="24"/>
        </w:rPr>
        <w:t>WYKAZ AKTÓW WYKONAWCZYCH, KTÓRE BĘDĄ WYDANE W WYNIKU UCHWALENIA PROJEKTU</w:t>
      </w:r>
    </w:p>
    <w:p w:rsidR="00C40A47" w:rsidRPr="00B81E7D" w:rsidRDefault="00C618E8" w:rsidP="000A6809">
      <w:pPr>
        <w:pStyle w:val="ARTartustawynprozporzdzenia"/>
        <w:numPr>
          <w:ilvl w:val="0"/>
          <w:numId w:val="12"/>
        </w:numPr>
        <w:ind w:hanging="436"/>
        <w:rPr>
          <w:rFonts w:ascii="Times New Roman" w:hAnsi="Times New Roman" w:cs="Times New Roman"/>
          <w:bCs/>
          <w:szCs w:val="24"/>
        </w:rPr>
      </w:pPr>
      <w:r w:rsidRPr="00B81E7D">
        <w:rPr>
          <w:rFonts w:ascii="Times New Roman" w:hAnsi="Times New Roman" w:cs="Times New Roman"/>
          <w:bCs/>
          <w:szCs w:val="24"/>
        </w:rPr>
        <w:t>Rozporządzenie ministra właściwego do spraw energi</w:t>
      </w:r>
      <w:r w:rsidR="00BE216B">
        <w:rPr>
          <w:rFonts w:ascii="Times New Roman" w:hAnsi="Times New Roman" w:cs="Times New Roman"/>
          <w:bCs/>
          <w:szCs w:val="24"/>
        </w:rPr>
        <w:t>i na podstawie ustawy z dnia 10 </w:t>
      </w:r>
      <w:r w:rsidRPr="00B81E7D">
        <w:rPr>
          <w:rFonts w:ascii="Times New Roman" w:hAnsi="Times New Roman" w:cs="Times New Roman"/>
          <w:bCs/>
          <w:szCs w:val="24"/>
        </w:rPr>
        <w:t>kwietnia 1997 r. – Prawo energetyczne określające</w:t>
      </w:r>
      <w:r w:rsidR="00C40A47" w:rsidRPr="00B81E7D">
        <w:rPr>
          <w:rFonts w:ascii="Times New Roman" w:hAnsi="Times New Roman" w:cs="Times New Roman"/>
          <w:bCs/>
          <w:szCs w:val="24"/>
        </w:rPr>
        <w:t>:</w:t>
      </w:r>
    </w:p>
    <w:p w:rsidR="00C618E8" w:rsidRPr="00B81E7D" w:rsidRDefault="00C618E8" w:rsidP="000A6809">
      <w:pPr>
        <w:pStyle w:val="ARTartustawynprozporzdzenia"/>
        <w:numPr>
          <w:ilvl w:val="1"/>
          <w:numId w:val="12"/>
        </w:numPr>
        <w:rPr>
          <w:rFonts w:ascii="Times New Roman" w:hAnsi="Times New Roman" w:cs="Times New Roman"/>
          <w:bCs/>
          <w:szCs w:val="24"/>
        </w:rPr>
      </w:pPr>
      <w:r w:rsidRPr="00B81E7D">
        <w:rPr>
          <w:rFonts w:ascii="Times New Roman" w:hAnsi="Times New Roman" w:cs="Times New Roman"/>
          <w:bCs/>
          <w:szCs w:val="24"/>
        </w:rPr>
        <w:t>sposób prowadzenia przez Prezesa Urzędu Regulacji Energetyki systemu teleinformatycznego, o którym mowa w art. 43f ust. 1 tej ustawy</w:t>
      </w:r>
      <w:r w:rsidR="00C40A47" w:rsidRPr="00B81E7D">
        <w:rPr>
          <w:rFonts w:ascii="Times New Roman" w:hAnsi="Times New Roman" w:cs="Times New Roman"/>
          <w:bCs/>
          <w:szCs w:val="24"/>
        </w:rPr>
        <w:t>;</w:t>
      </w:r>
    </w:p>
    <w:p w:rsidR="00C40A47" w:rsidRPr="00B81E7D" w:rsidRDefault="00C40A47" w:rsidP="000A6809">
      <w:pPr>
        <w:pStyle w:val="ARTartustawynprozporzdzenia"/>
        <w:numPr>
          <w:ilvl w:val="1"/>
          <w:numId w:val="12"/>
        </w:numPr>
        <w:rPr>
          <w:rFonts w:ascii="Times New Roman" w:hAnsi="Times New Roman" w:cs="Times New Roman"/>
          <w:bCs/>
          <w:szCs w:val="24"/>
        </w:rPr>
      </w:pPr>
      <w:r w:rsidRPr="00B81E7D">
        <w:rPr>
          <w:rFonts w:ascii="Times New Roman" w:hAnsi="Times New Roman" w:cs="Times New Roman"/>
          <w:bCs/>
          <w:szCs w:val="24"/>
        </w:rPr>
        <w:lastRenderedPageBreak/>
        <w:t xml:space="preserve">sposób składania sprawozdań, o których mowa w art. 4ba ust. 1 i art. 43d </w:t>
      </w:r>
      <w:r w:rsidRPr="00B81E7D">
        <w:rPr>
          <w:rFonts w:ascii="Times New Roman" w:hAnsi="Times New Roman" w:cs="Times New Roman"/>
          <w:bCs/>
          <w:szCs w:val="24"/>
        </w:rPr>
        <w:br/>
        <w:t>ust. 1 ustawy, oraz informacji, o któ</w:t>
      </w:r>
      <w:r w:rsidR="0087398D">
        <w:rPr>
          <w:rFonts w:ascii="Times New Roman" w:hAnsi="Times New Roman" w:cs="Times New Roman"/>
          <w:bCs/>
          <w:szCs w:val="24"/>
        </w:rPr>
        <w:t>rych mowa w art. 43e ust. 1, za </w:t>
      </w:r>
      <w:r w:rsidRPr="00B81E7D">
        <w:rPr>
          <w:rFonts w:ascii="Times New Roman" w:hAnsi="Times New Roman" w:cs="Times New Roman"/>
          <w:bCs/>
          <w:szCs w:val="24"/>
        </w:rPr>
        <w:t>pośrednictwem systemu teleinformatycznego, o którym mowa w art. 43f ust. 1</w:t>
      </w:r>
      <w:r w:rsidR="00A65E5D" w:rsidRPr="00B81E7D">
        <w:rPr>
          <w:rFonts w:ascii="Times New Roman" w:hAnsi="Times New Roman" w:cs="Times New Roman"/>
          <w:bCs/>
          <w:szCs w:val="24"/>
        </w:rPr>
        <w:t> </w:t>
      </w:r>
      <w:r w:rsidRPr="00B81E7D">
        <w:rPr>
          <w:rFonts w:ascii="Times New Roman" w:hAnsi="Times New Roman" w:cs="Times New Roman"/>
          <w:bCs/>
          <w:szCs w:val="24"/>
        </w:rPr>
        <w:t>ustawy;</w:t>
      </w:r>
    </w:p>
    <w:p w:rsidR="00C40A47" w:rsidRPr="00B81E7D" w:rsidRDefault="00C40A47" w:rsidP="000A6809">
      <w:pPr>
        <w:pStyle w:val="ARTartustawynprozporzdzenia"/>
        <w:numPr>
          <w:ilvl w:val="1"/>
          <w:numId w:val="12"/>
        </w:numPr>
        <w:rPr>
          <w:rFonts w:ascii="Times New Roman" w:hAnsi="Times New Roman" w:cs="Times New Roman"/>
          <w:bCs/>
          <w:szCs w:val="24"/>
        </w:rPr>
      </w:pPr>
      <w:r w:rsidRPr="00B81E7D">
        <w:rPr>
          <w:rFonts w:ascii="Times New Roman" w:hAnsi="Times New Roman" w:cs="Times New Roman"/>
          <w:bCs/>
          <w:szCs w:val="24"/>
        </w:rPr>
        <w:t xml:space="preserve">wzory </w:t>
      </w:r>
      <w:r w:rsidR="000A1BC0" w:rsidRPr="00B81E7D">
        <w:t>sprawozdań, o których mowa w art. 4ba</w:t>
      </w:r>
      <w:r w:rsidR="0041391B">
        <w:t xml:space="preserve"> ust. 1 i art. 43d ust. 1, oraz </w:t>
      </w:r>
      <w:r w:rsidR="000A1BC0" w:rsidRPr="00B81E7D">
        <w:t>informacji, o których mowa w art. 43e ust. 1.</w:t>
      </w:r>
    </w:p>
    <w:p w:rsidR="00C40A47" w:rsidRPr="00B81E7D" w:rsidRDefault="00C40A47" w:rsidP="000A6809">
      <w:pPr>
        <w:pStyle w:val="ARTartustawynprozporzdzenia"/>
        <w:numPr>
          <w:ilvl w:val="0"/>
          <w:numId w:val="12"/>
        </w:numPr>
        <w:ind w:hanging="436"/>
        <w:rPr>
          <w:rFonts w:ascii="Times New Roman" w:hAnsi="Times New Roman" w:cs="Times New Roman"/>
          <w:bCs/>
          <w:szCs w:val="24"/>
        </w:rPr>
      </w:pPr>
      <w:r w:rsidRPr="00B81E7D">
        <w:rPr>
          <w:rFonts w:ascii="Times New Roman" w:hAnsi="Times New Roman" w:cs="Times New Roman"/>
          <w:bCs/>
          <w:szCs w:val="24"/>
        </w:rPr>
        <w:t>Rozporządzenie ministra właściwego do spraw transportu na podstawie ustawy z dnia 3 lipca 2002 r. – Prawo lotnicze określające:</w:t>
      </w:r>
    </w:p>
    <w:p w:rsidR="001603FD" w:rsidRPr="00B81E7D" w:rsidRDefault="00C40A47" w:rsidP="000A6809">
      <w:pPr>
        <w:pStyle w:val="ARTartustawynprozporzdzenia"/>
        <w:numPr>
          <w:ilvl w:val="1"/>
          <w:numId w:val="12"/>
        </w:numPr>
        <w:rPr>
          <w:rFonts w:ascii="Times New Roman" w:hAnsi="Times New Roman" w:cs="Times New Roman"/>
          <w:bCs/>
          <w:szCs w:val="24"/>
        </w:rPr>
      </w:pPr>
      <w:r w:rsidRPr="00B81E7D">
        <w:rPr>
          <w:rFonts w:ascii="Times New Roman" w:hAnsi="Times New Roman" w:cs="Times New Roman"/>
          <w:bCs/>
          <w:szCs w:val="24"/>
        </w:rPr>
        <w:t xml:space="preserve">szczegółowe </w:t>
      </w:r>
      <w:r w:rsidR="000A1BC0" w:rsidRPr="00B81E7D">
        <w:t>warunki prowadzenia rejestru sta</w:t>
      </w:r>
      <w:r w:rsidR="001603FD" w:rsidRPr="00B81E7D">
        <w:t>tków, tryb składania wniosków o </w:t>
      </w:r>
      <w:r w:rsidR="000A1BC0" w:rsidRPr="00B81E7D">
        <w:t>wpis do rejestru statków, zgłaszania zmiany danych rejestrowych, a także wzór świadectwa rejestracji oraz warunki je</w:t>
      </w:r>
      <w:r w:rsidR="001603FD" w:rsidRPr="00B81E7D">
        <w:t>go ważności, z uwzględnieniem w </w:t>
      </w:r>
      <w:r w:rsidR="000A1BC0" w:rsidRPr="00B81E7D">
        <w:t>szczególności rodzaju i charakterystyki statku powietrznego;</w:t>
      </w:r>
    </w:p>
    <w:p w:rsidR="001603FD" w:rsidRPr="00B81E7D" w:rsidRDefault="000A1BC0" w:rsidP="000A6809">
      <w:pPr>
        <w:pStyle w:val="ARTartustawynprozporzdzenia"/>
        <w:numPr>
          <w:ilvl w:val="1"/>
          <w:numId w:val="12"/>
        </w:numPr>
        <w:rPr>
          <w:rFonts w:ascii="Times New Roman" w:hAnsi="Times New Roman" w:cs="Times New Roman"/>
          <w:bCs/>
          <w:szCs w:val="24"/>
        </w:rPr>
      </w:pPr>
      <w:r w:rsidRPr="00B81E7D">
        <w:rPr>
          <w:rFonts w:ascii="Times New Roman" w:hAnsi="Times New Roman" w:cs="Times New Roman"/>
          <w:bCs/>
          <w:szCs w:val="24"/>
        </w:rPr>
        <w:t xml:space="preserve">znaki </w:t>
      </w:r>
      <w:r w:rsidRPr="00B81E7D">
        <w:t>rozpoznawcze oraz inne znaki i napisy umieszczane na statkach powietrznych, z uwzględnieniem i</w:t>
      </w:r>
      <w:r w:rsidR="0041391B">
        <w:t>ch opisu, sposobu i miejsca ich </w:t>
      </w:r>
      <w:r w:rsidRPr="00B81E7D">
        <w:t>umieszczania;</w:t>
      </w:r>
    </w:p>
    <w:p w:rsidR="00C40A47" w:rsidRPr="00B81E7D" w:rsidRDefault="000A1BC0" w:rsidP="000A6809">
      <w:pPr>
        <w:pStyle w:val="ARTartustawynprozporzdzenia"/>
        <w:numPr>
          <w:ilvl w:val="1"/>
          <w:numId w:val="12"/>
        </w:numPr>
        <w:rPr>
          <w:rFonts w:ascii="Times New Roman" w:hAnsi="Times New Roman" w:cs="Times New Roman"/>
          <w:bCs/>
          <w:szCs w:val="24"/>
        </w:rPr>
      </w:pPr>
      <w:r w:rsidRPr="00B81E7D">
        <w:rPr>
          <w:rFonts w:ascii="Times New Roman" w:hAnsi="Times New Roman" w:cs="Times New Roman"/>
          <w:bCs/>
          <w:szCs w:val="24"/>
        </w:rPr>
        <w:t xml:space="preserve">sposób </w:t>
      </w:r>
      <w:r w:rsidRPr="00B81E7D">
        <w:t>prowadzenia wykazu znaków rozpoznawczych wykorzysty</w:t>
      </w:r>
      <w:r w:rsidR="0041391B">
        <w:t>wanych do </w:t>
      </w:r>
      <w:r w:rsidRPr="00B81E7D">
        <w:t>lotów przez statki powietrzne niewpisane do rejestru statków, w tym dane zamieszczane w wykazie, z uwzględnieniem możliwości weryfikacji tego wykazu.</w:t>
      </w:r>
    </w:p>
    <w:p w:rsidR="001603FD" w:rsidRPr="00B81E7D" w:rsidRDefault="00A65E5D" w:rsidP="000A6809">
      <w:pPr>
        <w:pStyle w:val="ARTartustawynprozporzdzenia"/>
        <w:numPr>
          <w:ilvl w:val="0"/>
          <w:numId w:val="12"/>
        </w:numPr>
        <w:rPr>
          <w:rFonts w:ascii="Times New Roman" w:hAnsi="Times New Roman" w:cs="Times New Roman"/>
          <w:bCs/>
          <w:szCs w:val="24"/>
        </w:rPr>
      </w:pPr>
      <w:r w:rsidRPr="00B81E7D">
        <w:rPr>
          <w:rFonts w:ascii="Times New Roman" w:hAnsi="Times New Roman" w:cs="Times New Roman"/>
          <w:bCs/>
          <w:szCs w:val="24"/>
        </w:rPr>
        <w:t>Rozporządzenie Rady Ministrów na podstawie ustawy z dnia 23 listopada 2012 r.</w:t>
      </w:r>
      <w:r w:rsidR="00217804" w:rsidRPr="00B81E7D">
        <w:rPr>
          <w:rFonts w:ascii="Times New Roman" w:hAnsi="Times New Roman" w:cs="Times New Roman"/>
          <w:bCs/>
          <w:szCs w:val="24"/>
        </w:rPr>
        <w:t>-</w:t>
      </w:r>
      <w:r w:rsidRPr="00B81E7D">
        <w:rPr>
          <w:rFonts w:ascii="Times New Roman" w:hAnsi="Times New Roman" w:cs="Times New Roman"/>
          <w:bCs/>
          <w:szCs w:val="24"/>
        </w:rPr>
        <w:t xml:space="preserve"> Prawo pocztowe</w:t>
      </w:r>
      <w:r w:rsidR="00217804" w:rsidRPr="00B81E7D">
        <w:rPr>
          <w:rFonts w:ascii="Times New Roman" w:hAnsi="Times New Roman" w:cs="Times New Roman"/>
          <w:bCs/>
          <w:szCs w:val="24"/>
        </w:rPr>
        <w:t>, w sprawie planów działań operatora pocztowego w sytuacji szczególnego zagrożenia, w którym Rada Ministrów:</w:t>
      </w:r>
    </w:p>
    <w:p w:rsidR="001603FD" w:rsidRPr="00B81E7D" w:rsidRDefault="001603FD" w:rsidP="000A6809">
      <w:pPr>
        <w:pStyle w:val="ARTartustawynprozporzdzenia"/>
        <w:numPr>
          <w:ilvl w:val="1"/>
          <w:numId w:val="12"/>
        </w:numPr>
        <w:rPr>
          <w:rFonts w:ascii="Times New Roman" w:hAnsi="Times New Roman" w:cs="Times New Roman"/>
          <w:bCs/>
          <w:szCs w:val="24"/>
        </w:rPr>
      </w:pPr>
      <w:r w:rsidRPr="00B81E7D">
        <w:rPr>
          <w:rFonts w:ascii="Times New Roman" w:hAnsi="Times New Roman" w:cs="Times New Roman"/>
          <w:bCs/>
          <w:szCs w:val="24"/>
        </w:rPr>
        <w:t>o</w:t>
      </w:r>
      <w:r w:rsidR="00217804" w:rsidRPr="00B81E7D">
        <w:rPr>
          <w:rFonts w:ascii="Times New Roman" w:hAnsi="Times New Roman" w:cs="Times New Roman"/>
          <w:bCs/>
          <w:szCs w:val="24"/>
        </w:rPr>
        <w:t>kreśli:</w:t>
      </w:r>
    </w:p>
    <w:p w:rsidR="001603FD" w:rsidRPr="00B81E7D" w:rsidRDefault="001603FD" w:rsidP="000A6809">
      <w:pPr>
        <w:pStyle w:val="ARTartustawynprozporzdzenia"/>
        <w:numPr>
          <w:ilvl w:val="2"/>
          <w:numId w:val="12"/>
        </w:numPr>
        <w:ind w:left="1843" w:hanging="425"/>
        <w:rPr>
          <w:rFonts w:ascii="Times New Roman" w:hAnsi="Times New Roman" w:cs="Times New Roman"/>
          <w:bCs/>
          <w:szCs w:val="24"/>
        </w:rPr>
      </w:pPr>
      <w:r w:rsidRPr="00B81E7D">
        <w:rPr>
          <w:rFonts w:ascii="Times New Roman" w:hAnsi="Times New Roman" w:cs="Times New Roman"/>
          <w:bCs/>
          <w:szCs w:val="24"/>
        </w:rPr>
        <w:t xml:space="preserve"> </w:t>
      </w:r>
      <w:r w:rsidR="00217804" w:rsidRPr="00B81E7D">
        <w:rPr>
          <w:rFonts w:ascii="Times New Roman" w:hAnsi="Times New Roman" w:cs="Times New Roman"/>
          <w:bCs/>
          <w:szCs w:val="24"/>
        </w:rPr>
        <w:t>rodzaje, zawartość oraz tryb sporządzania i aktualizacji planów,</w:t>
      </w:r>
    </w:p>
    <w:p w:rsidR="001603FD" w:rsidRPr="00B81E7D" w:rsidRDefault="00217804" w:rsidP="000A6809">
      <w:pPr>
        <w:pStyle w:val="ARTartustawynprozporzdzenia"/>
        <w:numPr>
          <w:ilvl w:val="2"/>
          <w:numId w:val="12"/>
        </w:numPr>
        <w:ind w:left="1843" w:hanging="425"/>
        <w:rPr>
          <w:rFonts w:ascii="Times New Roman" w:hAnsi="Times New Roman" w:cs="Times New Roman"/>
          <w:bCs/>
          <w:szCs w:val="24"/>
        </w:rPr>
      </w:pPr>
      <w:r w:rsidRPr="00B81E7D">
        <w:rPr>
          <w:rFonts w:ascii="Times New Roman" w:hAnsi="Times New Roman" w:cs="Times New Roman"/>
          <w:bCs/>
          <w:szCs w:val="24"/>
        </w:rPr>
        <w:t xml:space="preserve"> organy uzgadniające plany oraz zakres tych uzgodnień,</w:t>
      </w:r>
    </w:p>
    <w:p w:rsidR="00217804" w:rsidRPr="00B81E7D" w:rsidRDefault="00217804" w:rsidP="000A6809">
      <w:pPr>
        <w:pStyle w:val="ARTartustawynprozporzdzenia"/>
        <w:numPr>
          <w:ilvl w:val="2"/>
          <w:numId w:val="12"/>
        </w:numPr>
        <w:ind w:left="1843" w:hanging="425"/>
        <w:rPr>
          <w:rFonts w:ascii="Times New Roman" w:hAnsi="Times New Roman" w:cs="Times New Roman"/>
          <w:bCs/>
          <w:szCs w:val="24"/>
        </w:rPr>
      </w:pPr>
      <w:r w:rsidRPr="00B81E7D">
        <w:rPr>
          <w:rFonts w:ascii="Times New Roman" w:hAnsi="Times New Roman" w:cs="Times New Roman"/>
          <w:bCs/>
          <w:szCs w:val="24"/>
        </w:rPr>
        <w:t xml:space="preserve"> rodzaje operatorów pocztowych obowiązanych do uzgadniania zawartości planów;</w:t>
      </w:r>
    </w:p>
    <w:p w:rsidR="00DD5C98" w:rsidRPr="00B81E7D" w:rsidRDefault="001603FD" w:rsidP="000A6809">
      <w:pPr>
        <w:pStyle w:val="ARTartustawynprozporzdzenia"/>
        <w:numPr>
          <w:ilvl w:val="1"/>
          <w:numId w:val="12"/>
        </w:numPr>
        <w:rPr>
          <w:rFonts w:ascii="Times New Roman" w:hAnsi="Times New Roman" w:cs="Times New Roman"/>
          <w:bCs/>
          <w:szCs w:val="24"/>
        </w:rPr>
      </w:pPr>
      <w:r w:rsidRPr="00B81E7D">
        <w:rPr>
          <w:rFonts w:ascii="Times New Roman" w:hAnsi="Times New Roman" w:cs="Times New Roman"/>
          <w:bCs/>
          <w:szCs w:val="24"/>
        </w:rPr>
        <w:t>m</w:t>
      </w:r>
      <w:r w:rsidR="00217804" w:rsidRPr="00B81E7D">
        <w:rPr>
          <w:rFonts w:ascii="Times New Roman" w:hAnsi="Times New Roman" w:cs="Times New Roman"/>
          <w:bCs/>
          <w:szCs w:val="24"/>
        </w:rPr>
        <w:t>oże określić rodzaje działalności pocztowej lub rodzaje operatorów pocztowych niepodlegających obowiązkowi sporządzania planu.</w:t>
      </w:r>
      <w:r w:rsidR="00A65E5D" w:rsidRPr="00B81E7D">
        <w:rPr>
          <w:rFonts w:ascii="Times New Roman" w:hAnsi="Times New Roman" w:cs="Times New Roman"/>
          <w:bCs/>
          <w:szCs w:val="24"/>
        </w:rPr>
        <w:t xml:space="preserve"> </w:t>
      </w:r>
    </w:p>
    <w:p w:rsidR="00C40A47" w:rsidRPr="00B81E7D" w:rsidRDefault="00C40A47" w:rsidP="00B421C2">
      <w:pPr>
        <w:pStyle w:val="ARTartustawynprozporzdzenia"/>
        <w:rPr>
          <w:rFonts w:ascii="Times New Roman" w:hAnsi="Times New Roman" w:cs="Times New Roman"/>
          <w:szCs w:val="24"/>
        </w:rPr>
      </w:pPr>
    </w:p>
    <w:p w:rsidR="00C05202" w:rsidRPr="00B81E7D" w:rsidRDefault="00A94B76" w:rsidP="00B421C2">
      <w:pPr>
        <w:numPr>
          <w:ilvl w:val="0"/>
          <w:numId w:val="1"/>
        </w:numPr>
        <w:spacing w:after="120" w:line="360" w:lineRule="auto"/>
        <w:jc w:val="both"/>
        <w:rPr>
          <w:rFonts w:cs="Times New Roman"/>
          <w:b/>
          <w:szCs w:val="24"/>
        </w:rPr>
      </w:pPr>
      <w:r w:rsidRPr="00B81E7D">
        <w:rPr>
          <w:rFonts w:cs="Times New Roman"/>
          <w:b/>
          <w:szCs w:val="24"/>
        </w:rPr>
        <w:lastRenderedPageBreak/>
        <w:t>WPŁYW NA DZIAŁALNOŚĆ MIKROPRZEDSIĘBIORCÓW ORAZ MAŁYCH I ŚREDNICH PRZEDSIĘBIORCÓW.</w:t>
      </w:r>
    </w:p>
    <w:p w:rsidR="00A94B76" w:rsidRPr="00B81E7D" w:rsidRDefault="00C05202" w:rsidP="00B421C2">
      <w:pPr>
        <w:spacing w:after="120" w:line="360" w:lineRule="auto"/>
        <w:jc w:val="both"/>
        <w:rPr>
          <w:rFonts w:cs="Times New Roman"/>
          <w:bCs/>
          <w:szCs w:val="24"/>
        </w:rPr>
      </w:pPr>
      <w:r w:rsidRPr="00B81E7D">
        <w:rPr>
          <w:rFonts w:cs="Times New Roman"/>
          <w:szCs w:val="24"/>
        </w:rPr>
        <w:t xml:space="preserve">Celem regulacji jest ograniczenie obciążeń administracyjnych dla przedsiębiorców, dlatego </w:t>
      </w:r>
      <w:r w:rsidRPr="00B81E7D">
        <w:rPr>
          <w:rFonts w:cs="Times New Roman"/>
          <w:bCs/>
          <w:szCs w:val="24"/>
        </w:rPr>
        <w:t>p</w:t>
      </w:r>
      <w:r w:rsidR="00F4395E" w:rsidRPr="00B81E7D">
        <w:rPr>
          <w:rFonts w:cs="Times New Roman"/>
          <w:bCs/>
          <w:szCs w:val="24"/>
        </w:rPr>
        <w:t>rojektowane przepisy wpłyną pozytywnie na działalność mikroprzedsiębiorstw oraz ma</w:t>
      </w:r>
      <w:r w:rsidRPr="00B81E7D">
        <w:rPr>
          <w:rFonts w:cs="Times New Roman"/>
          <w:bCs/>
          <w:szCs w:val="24"/>
        </w:rPr>
        <w:t>łych i średnich przedsiębiorstw w poszczególnych branżach.</w:t>
      </w:r>
      <w:r w:rsidR="00F4395E" w:rsidRPr="00B81E7D">
        <w:rPr>
          <w:rFonts w:cs="Times New Roman"/>
          <w:bCs/>
          <w:szCs w:val="24"/>
        </w:rPr>
        <w:t xml:space="preserve"> Szczegółow</w:t>
      </w:r>
      <w:r w:rsidR="0041391B">
        <w:rPr>
          <w:rFonts w:cs="Times New Roman"/>
          <w:bCs/>
          <w:szCs w:val="24"/>
        </w:rPr>
        <w:t>e skutki zmian dla </w:t>
      </w:r>
      <w:r w:rsidR="00F4395E" w:rsidRPr="00B81E7D">
        <w:rPr>
          <w:rFonts w:cs="Times New Roman"/>
          <w:bCs/>
          <w:szCs w:val="24"/>
        </w:rPr>
        <w:t xml:space="preserve">przedsiębiorców zostały przedstawione w OSR. </w:t>
      </w:r>
    </w:p>
    <w:p w:rsidR="003C6306" w:rsidRDefault="003C6306" w:rsidP="00B421C2">
      <w:pPr>
        <w:spacing w:after="120" w:line="360" w:lineRule="auto"/>
        <w:jc w:val="both"/>
        <w:rPr>
          <w:rFonts w:cs="Times New Roman"/>
          <w:b/>
          <w:szCs w:val="24"/>
        </w:rPr>
      </w:pPr>
    </w:p>
    <w:p w:rsidR="00FE0821" w:rsidRPr="00B81E7D" w:rsidRDefault="00FE0821" w:rsidP="00B421C2">
      <w:pPr>
        <w:spacing w:after="120" w:line="360" w:lineRule="auto"/>
        <w:jc w:val="both"/>
        <w:rPr>
          <w:rFonts w:cs="Times New Roman"/>
          <w:b/>
          <w:szCs w:val="24"/>
        </w:rPr>
      </w:pPr>
    </w:p>
    <w:p w:rsidR="004241CD" w:rsidRPr="00B81E7D" w:rsidRDefault="00A94B76" w:rsidP="00B421C2">
      <w:pPr>
        <w:numPr>
          <w:ilvl w:val="0"/>
          <w:numId w:val="1"/>
        </w:numPr>
        <w:spacing w:after="120" w:line="360" w:lineRule="auto"/>
        <w:jc w:val="both"/>
        <w:rPr>
          <w:rFonts w:cs="Times New Roman"/>
          <w:b/>
          <w:szCs w:val="24"/>
        </w:rPr>
      </w:pPr>
      <w:r w:rsidRPr="00B81E7D">
        <w:rPr>
          <w:rFonts w:cs="Times New Roman"/>
          <w:b/>
          <w:szCs w:val="24"/>
        </w:rPr>
        <w:t>INNE OŚWIADCZENIA I INFORMACJE DOTYCZĄCE PROJEKTU.</w:t>
      </w:r>
    </w:p>
    <w:p w:rsidR="00CE28DE" w:rsidRPr="00B81E7D" w:rsidRDefault="00C05202" w:rsidP="00B421C2">
      <w:pPr>
        <w:spacing w:after="120" w:line="360" w:lineRule="auto"/>
        <w:jc w:val="both"/>
        <w:rPr>
          <w:rFonts w:cs="Times New Roman"/>
          <w:szCs w:val="24"/>
        </w:rPr>
      </w:pPr>
      <w:r w:rsidRPr="00B81E7D">
        <w:rPr>
          <w:rFonts w:cs="Times New Roman"/>
          <w:szCs w:val="24"/>
        </w:rPr>
        <w:t>Projekt ustawy jest zgo</w:t>
      </w:r>
      <w:r w:rsidR="00CE28DE" w:rsidRPr="00B81E7D">
        <w:rPr>
          <w:rFonts w:cs="Times New Roman"/>
          <w:szCs w:val="24"/>
        </w:rPr>
        <w:t>dny z prawem Unii Europejskiej.</w:t>
      </w:r>
    </w:p>
    <w:p w:rsidR="00C05202" w:rsidRPr="00B81E7D" w:rsidRDefault="00C05202" w:rsidP="00B421C2">
      <w:pPr>
        <w:spacing w:after="120" w:line="360" w:lineRule="auto"/>
        <w:jc w:val="both"/>
        <w:rPr>
          <w:rFonts w:cs="Times New Roman"/>
          <w:szCs w:val="24"/>
        </w:rPr>
      </w:pPr>
      <w:r w:rsidRPr="00B81E7D">
        <w:rPr>
          <w:rFonts w:cs="Times New Roman"/>
          <w:szCs w:val="24"/>
        </w:rPr>
        <w:t>Projekt ustawy nie podlega przedstawieniu właśc</w:t>
      </w:r>
      <w:r w:rsidR="00BE216B">
        <w:rPr>
          <w:rFonts w:cs="Times New Roman"/>
          <w:szCs w:val="24"/>
        </w:rPr>
        <w:t>iwym organom i instytucjom Unii </w:t>
      </w:r>
      <w:r w:rsidRPr="00B81E7D">
        <w:rPr>
          <w:rFonts w:cs="Times New Roman"/>
          <w:szCs w:val="24"/>
        </w:rPr>
        <w:t xml:space="preserve">Europejskiej, w tym Europejskiemu Bankowi Centralnemu. </w:t>
      </w:r>
    </w:p>
    <w:p w:rsidR="00C05202" w:rsidRPr="00B81E7D" w:rsidRDefault="00C05202" w:rsidP="00B421C2">
      <w:pPr>
        <w:spacing w:after="120" w:line="360" w:lineRule="auto"/>
        <w:jc w:val="both"/>
        <w:rPr>
          <w:rFonts w:cs="Times New Roman"/>
          <w:szCs w:val="24"/>
        </w:rPr>
      </w:pPr>
      <w:r w:rsidRPr="00B81E7D">
        <w:rPr>
          <w:rFonts w:cs="Times New Roman"/>
          <w:szCs w:val="24"/>
        </w:rPr>
        <w:t>Projekt ustawy nie zawiera norm technicznych w rozumieniu przepisów rozporządzenia Rady Ministrów z dnia 23 grudnia 2002 r. w sprawie sposobu funkcjonowania krajowego systemu notyfikacji norm i aktów prawnych (Dz. U. poz. 2039, z p</w:t>
      </w:r>
      <w:r w:rsidR="00A844C5">
        <w:rPr>
          <w:rFonts w:cs="Times New Roman"/>
          <w:szCs w:val="24"/>
        </w:rPr>
        <w:t>óźn. zm.), w związku z czym nie </w:t>
      </w:r>
      <w:r w:rsidRPr="00B81E7D">
        <w:rPr>
          <w:rFonts w:cs="Times New Roman"/>
          <w:szCs w:val="24"/>
        </w:rPr>
        <w:t>podlega notyfikacji.</w:t>
      </w:r>
    </w:p>
    <w:p w:rsidR="00CE28DE" w:rsidRPr="00B81E7D" w:rsidRDefault="006D5FFD" w:rsidP="00B421C2">
      <w:pPr>
        <w:spacing w:after="120" w:line="360" w:lineRule="auto"/>
        <w:jc w:val="both"/>
        <w:rPr>
          <w:rFonts w:cs="Times New Roman"/>
          <w:szCs w:val="24"/>
        </w:rPr>
      </w:pPr>
      <w:r w:rsidRPr="00B81E7D">
        <w:rPr>
          <w:rFonts w:cs="Times New Roman"/>
          <w:szCs w:val="24"/>
        </w:rPr>
        <w:t>Stosow</w:t>
      </w:r>
      <w:r w:rsidR="00C05202" w:rsidRPr="00B81E7D">
        <w:rPr>
          <w:rFonts w:cs="Times New Roman"/>
          <w:szCs w:val="24"/>
        </w:rPr>
        <w:t xml:space="preserve">nie do art. 5 ustawy z dnia 7 lipca 2005 r. o działalności lobbingowej w procesie stanowienia prawa (Dz. U. z 2017 r. poz. 248) w związku z § 52 ust. 1 uchwały nr 190 Rady Ministrów z dnia 29 października 2013 r. – Regulamin pracy Rady Ministrów (M.P. z 2016 r. poz. 1006, z późn. zm.), projekt ustawy </w:t>
      </w:r>
      <w:r w:rsidR="00EC0E46" w:rsidRPr="00B81E7D">
        <w:rPr>
          <w:rFonts w:cs="Times New Roman"/>
          <w:szCs w:val="24"/>
        </w:rPr>
        <w:t>został</w:t>
      </w:r>
      <w:r w:rsidR="00C05202" w:rsidRPr="00B81E7D">
        <w:rPr>
          <w:rFonts w:cs="Times New Roman"/>
          <w:szCs w:val="24"/>
        </w:rPr>
        <w:t xml:space="preserve"> udostępniony w Biuletynie Informacji Publicznej na stronie podmiotowej Rządowego Centrum Legislacji, w se</w:t>
      </w:r>
      <w:r w:rsidRPr="00B81E7D">
        <w:rPr>
          <w:rFonts w:cs="Times New Roman"/>
          <w:szCs w:val="24"/>
        </w:rPr>
        <w:t>rwisie Rządowy Proces Legislacyjny.</w:t>
      </w:r>
      <w:r w:rsidR="00CE28DE" w:rsidRPr="00B81E7D">
        <w:rPr>
          <w:rFonts w:cs="Times New Roman"/>
          <w:szCs w:val="24"/>
        </w:rPr>
        <w:t xml:space="preserve"> </w:t>
      </w:r>
    </w:p>
    <w:p w:rsidR="00CB2BE2" w:rsidRPr="00B421C2" w:rsidRDefault="00CE28DE" w:rsidP="00B421C2">
      <w:pPr>
        <w:spacing w:after="120" w:line="360" w:lineRule="auto"/>
        <w:jc w:val="both"/>
        <w:rPr>
          <w:rFonts w:cs="Times New Roman"/>
          <w:szCs w:val="24"/>
        </w:rPr>
      </w:pPr>
      <w:r w:rsidRPr="00B81E7D">
        <w:rPr>
          <w:rFonts w:cs="Times New Roman"/>
          <w:szCs w:val="24"/>
        </w:rPr>
        <w:t>Z</w:t>
      </w:r>
      <w:r w:rsidR="00E97AED" w:rsidRPr="00B81E7D">
        <w:rPr>
          <w:rFonts w:cs="Times New Roman"/>
          <w:szCs w:val="24"/>
        </w:rPr>
        <w:t xml:space="preserve">godnie z uchwałą </w:t>
      </w:r>
      <w:r w:rsidR="00142914">
        <w:rPr>
          <w:rFonts w:cs="Times New Roman"/>
          <w:szCs w:val="24"/>
        </w:rPr>
        <w:t>n</w:t>
      </w:r>
      <w:r w:rsidR="00E97AED" w:rsidRPr="00B81E7D">
        <w:rPr>
          <w:rFonts w:cs="Times New Roman"/>
          <w:szCs w:val="24"/>
        </w:rPr>
        <w:t>r 20 Rady Ministrów z 18 lutego 2014 r. w sprawie zaleceń ujednolicenia terminów wejścia w życie niektórych aktó</w:t>
      </w:r>
      <w:r w:rsidR="00040E03">
        <w:rPr>
          <w:rFonts w:cs="Times New Roman"/>
          <w:szCs w:val="24"/>
        </w:rPr>
        <w:t>w normatywnych, planuje się, </w:t>
      </w:r>
      <w:r w:rsidR="0041391B">
        <w:rPr>
          <w:rFonts w:cs="Times New Roman"/>
          <w:szCs w:val="24"/>
        </w:rPr>
        <w:t>że </w:t>
      </w:r>
      <w:r w:rsidR="00E97AED" w:rsidRPr="00B81E7D">
        <w:rPr>
          <w:rFonts w:cs="Times New Roman"/>
          <w:szCs w:val="24"/>
        </w:rPr>
        <w:t>ustawa wejdzie w życie z dniem 1 </w:t>
      </w:r>
      <w:r w:rsidR="0007444F" w:rsidRPr="00B81E7D">
        <w:rPr>
          <w:rFonts w:cs="Times New Roman"/>
          <w:szCs w:val="24"/>
        </w:rPr>
        <w:t>stycznia 2020</w:t>
      </w:r>
      <w:r w:rsidR="00E97AED" w:rsidRPr="00B81E7D">
        <w:rPr>
          <w:rFonts w:cs="Times New Roman"/>
          <w:szCs w:val="24"/>
        </w:rPr>
        <w:t xml:space="preserve"> r.</w:t>
      </w:r>
      <w:r w:rsidR="0000471F">
        <w:rPr>
          <w:rFonts w:cs="Times New Roman"/>
          <w:szCs w:val="24"/>
        </w:rPr>
        <w:t xml:space="preserve">, </w:t>
      </w:r>
      <w:r w:rsidR="0000471F" w:rsidRPr="0000471F">
        <w:rPr>
          <w:rFonts w:cs="Times New Roman"/>
          <w:szCs w:val="24"/>
        </w:rPr>
        <w:t>z wyjątkami określonymi w art. 81 pkt 1–5.</w:t>
      </w:r>
    </w:p>
    <w:sectPr w:rsidR="00CB2BE2" w:rsidRPr="00B421C2" w:rsidSect="00142914">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D7FB9" w:rsidRDefault="00CD7FB9" w:rsidP="008E2D17">
      <w:r>
        <w:separator/>
      </w:r>
    </w:p>
    <w:p w:rsidR="00CD7FB9" w:rsidRDefault="00CD7FB9"/>
  </w:endnote>
  <w:endnote w:type="continuationSeparator" w:id="0">
    <w:p w:rsidR="00CD7FB9" w:rsidRDefault="00CD7FB9" w:rsidP="008E2D17">
      <w:r>
        <w:continuationSeparator/>
      </w:r>
    </w:p>
    <w:p w:rsidR="00CD7FB9" w:rsidRDefault="00CD7FB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notTrueType/>
    <w:pitch w:val="variable"/>
    <w:sig w:usb0="00000003" w:usb1="00000000" w:usb2="00000000" w:usb3="00000000" w:csb0="00000001" w:csb1="00000000"/>
  </w:font>
  <w:font w:name="Times">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MS ??">
    <w:altName w:val="Arial Unicode MS"/>
    <w:panose1 w:val="00000000000000000000"/>
    <w:charset w:val="80"/>
    <w:family w:val="auto"/>
    <w:notTrueType/>
    <w:pitch w:val="variable"/>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6A6F" w:rsidRDefault="00106A6F" w:rsidP="00142914">
    <w:pPr>
      <w:pStyle w:val="Stopka"/>
      <w:jc w:val="center"/>
    </w:pPr>
    <w:r>
      <w:fldChar w:fldCharType="begin"/>
    </w:r>
    <w:r>
      <w:instrText>PAGE   \* MERGEFORMAT</w:instrText>
    </w:r>
    <w:r>
      <w:fldChar w:fldCharType="separate"/>
    </w:r>
    <w:r w:rsidR="00C853B6">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D7FB9" w:rsidRDefault="00CD7FB9" w:rsidP="008E2D17">
      <w:r>
        <w:separator/>
      </w:r>
    </w:p>
    <w:p w:rsidR="00CD7FB9" w:rsidRDefault="00CD7FB9"/>
  </w:footnote>
  <w:footnote w:type="continuationSeparator" w:id="0">
    <w:p w:rsidR="00CD7FB9" w:rsidRDefault="00CD7FB9" w:rsidP="008E2D17">
      <w:r>
        <w:continuationSeparator/>
      </w:r>
    </w:p>
    <w:p w:rsidR="00CD7FB9" w:rsidRDefault="00CD7FB9"/>
  </w:footnote>
  <w:footnote w:id="1">
    <w:p w:rsidR="00106A6F" w:rsidRPr="00E01AAE" w:rsidRDefault="00106A6F" w:rsidP="007D1E02">
      <w:pPr>
        <w:pStyle w:val="Tekstprzypisudolnego"/>
        <w:spacing w:line="360" w:lineRule="auto"/>
        <w:contextualSpacing/>
        <w:jc w:val="both"/>
        <w:rPr>
          <w:rFonts w:ascii="Times New Roman" w:hAnsi="Times New Roman"/>
          <w:sz w:val="18"/>
          <w:szCs w:val="18"/>
        </w:rPr>
      </w:pPr>
      <w:r w:rsidRPr="00E01AAE">
        <w:rPr>
          <w:rStyle w:val="Odwoanieprzypisudolnego"/>
          <w:rFonts w:ascii="Times New Roman" w:hAnsi="Times New Roman"/>
          <w:sz w:val="18"/>
          <w:szCs w:val="18"/>
        </w:rPr>
        <w:footnoteRef/>
      </w:r>
      <w:r w:rsidRPr="00E01AAE">
        <w:rPr>
          <w:rFonts w:ascii="Times New Roman" w:hAnsi="Times New Roman"/>
          <w:sz w:val="18"/>
          <w:szCs w:val="18"/>
        </w:rPr>
        <w:t xml:space="preserve"> </w:t>
      </w:r>
      <w:r w:rsidRPr="00E01AAE">
        <w:rPr>
          <w:rFonts w:ascii="Times New Roman" w:hAnsi="Times New Roman"/>
          <w:i/>
          <w:sz w:val="18"/>
          <w:szCs w:val="18"/>
        </w:rPr>
        <w:t>Bariery rozwoju przedsiębiorstw, czyli co najbardziej hamuje wzrost polskich firm</w:t>
      </w:r>
      <w:r w:rsidRPr="00E01AAE">
        <w:rPr>
          <w:rFonts w:ascii="Times New Roman" w:hAnsi="Times New Roman"/>
          <w:sz w:val="18"/>
          <w:szCs w:val="18"/>
        </w:rPr>
        <w:t>, Krajowa Izba Gospodarcza, Grant Thornton, grudzień 2013.</w:t>
      </w:r>
    </w:p>
  </w:footnote>
  <w:footnote w:id="2">
    <w:p w:rsidR="00106A6F" w:rsidRPr="00E01AAE" w:rsidRDefault="00106A6F" w:rsidP="007D1E02">
      <w:pPr>
        <w:pStyle w:val="Tekstprzypisudolnego"/>
        <w:spacing w:line="360" w:lineRule="auto"/>
        <w:contextualSpacing/>
        <w:jc w:val="both"/>
        <w:rPr>
          <w:rFonts w:ascii="Times New Roman" w:hAnsi="Times New Roman"/>
          <w:sz w:val="18"/>
          <w:szCs w:val="18"/>
          <w:lang w:val="en-US"/>
        </w:rPr>
      </w:pPr>
      <w:r w:rsidRPr="00E01AAE">
        <w:rPr>
          <w:rStyle w:val="Odwoanieprzypisudolnego"/>
          <w:rFonts w:ascii="Times New Roman" w:hAnsi="Times New Roman"/>
          <w:sz w:val="18"/>
          <w:szCs w:val="18"/>
        </w:rPr>
        <w:footnoteRef/>
      </w:r>
      <w:r w:rsidRPr="00E01AAE">
        <w:rPr>
          <w:rFonts w:ascii="Times New Roman" w:hAnsi="Times New Roman"/>
          <w:sz w:val="18"/>
          <w:szCs w:val="18"/>
          <w:lang w:val="en-US"/>
        </w:rPr>
        <w:t xml:space="preserve"> </w:t>
      </w:r>
      <w:r w:rsidRPr="00E01AAE">
        <w:rPr>
          <w:rFonts w:ascii="Times New Roman" w:hAnsi="Times New Roman"/>
          <w:i/>
          <w:sz w:val="18"/>
          <w:szCs w:val="18"/>
          <w:lang w:val="en-US"/>
        </w:rPr>
        <w:t>Businesses’ View on Red Tape, Administrative and Regulatory Burdens on Small and Medium-Sized Enterprises</w:t>
      </w:r>
      <w:r w:rsidRPr="00E01AAE">
        <w:rPr>
          <w:rFonts w:ascii="Times New Roman" w:hAnsi="Times New Roman"/>
          <w:sz w:val="18"/>
          <w:szCs w:val="18"/>
          <w:lang w:val="en-US"/>
        </w:rPr>
        <w:t>, OECD, 2001.</w:t>
      </w:r>
    </w:p>
  </w:footnote>
  <w:footnote w:id="3">
    <w:p w:rsidR="00106A6F" w:rsidRPr="00E01AAE" w:rsidRDefault="00106A6F" w:rsidP="007D1E02">
      <w:pPr>
        <w:pStyle w:val="Tekstprzypisudolnego"/>
        <w:spacing w:line="360" w:lineRule="auto"/>
        <w:jc w:val="both"/>
        <w:rPr>
          <w:rFonts w:ascii="Times New Roman" w:hAnsi="Times New Roman"/>
          <w:sz w:val="18"/>
          <w:szCs w:val="18"/>
          <w:lang w:val="en-US"/>
        </w:rPr>
      </w:pPr>
      <w:r w:rsidRPr="00E01AAE">
        <w:rPr>
          <w:rStyle w:val="Odwoanieprzypisudolnego"/>
          <w:rFonts w:ascii="Times New Roman" w:hAnsi="Times New Roman"/>
          <w:sz w:val="18"/>
          <w:szCs w:val="18"/>
        </w:rPr>
        <w:footnoteRef/>
      </w:r>
      <w:r w:rsidRPr="00E01AAE">
        <w:rPr>
          <w:rFonts w:ascii="Times New Roman" w:hAnsi="Times New Roman"/>
          <w:sz w:val="18"/>
          <w:szCs w:val="18"/>
          <w:lang w:val="en-US"/>
        </w:rPr>
        <w:t xml:space="preserve"> Global Competitiveness Index 2018, 2017-2018, 2016-2017, World Economic Forum.</w:t>
      </w:r>
    </w:p>
  </w:footnote>
  <w:footnote w:id="4">
    <w:p w:rsidR="00106A6F" w:rsidRPr="00E01AAE" w:rsidRDefault="00106A6F" w:rsidP="007D1E02">
      <w:pPr>
        <w:pStyle w:val="Tekstprzypisudolnego"/>
        <w:spacing w:line="360" w:lineRule="auto"/>
        <w:jc w:val="both"/>
        <w:rPr>
          <w:rFonts w:ascii="Times New Roman" w:hAnsi="Times New Roman"/>
          <w:sz w:val="18"/>
          <w:szCs w:val="18"/>
        </w:rPr>
      </w:pPr>
      <w:r w:rsidRPr="00E01AAE">
        <w:rPr>
          <w:rStyle w:val="Odwoanieprzypisudolnego"/>
          <w:rFonts w:ascii="Times New Roman" w:hAnsi="Times New Roman"/>
          <w:sz w:val="18"/>
          <w:szCs w:val="18"/>
        </w:rPr>
        <w:footnoteRef/>
      </w:r>
      <w:r w:rsidRPr="00E01AAE">
        <w:rPr>
          <w:rFonts w:ascii="Times New Roman" w:hAnsi="Times New Roman"/>
          <w:sz w:val="18"/>
          <w:szCs w:val="18"/>
        </w:rPr>
        <w:t xml:space="preserve"> K. Osajda, </w:t>
      </w:r>
      <w:r w:rsidRPr="00E01AAE">
        <w:rPr>
          <w:rFonts w:ascii="Times New Roman" w:hAnsi="Times New Roman"/>
          <w:bCs/>
          <w:i/>
          <w:sz w:val="18"/>
          <w:szCs w:val="18"/>
        </w:rPr>
        <w:t>Kodeks cywilny. Komentarz</w:t>
      </w:r>
      <w:r w:rsidRPr="00E01AAE">
        <w:rPr>
          <w:rFonts w:ascii="Times New Roman" w:hAnsi="Times New Roman"/>
          <w:bCs/>
          <w:sz w:val="18"/>
          <w:szCs w:val="18"/>
        </w:rPr>
        <w:t>, Komentarz do art. 981</w:t>
      </w:r>
      <w:r w:rsidRPr="00E01AAE">
        <w:rPr>
          <w:rFonts w:ascii="Times New Roman" w:hAnsi="Times New Roman"/>
          <w:bCs/>
          <w:sz w:val="18"/>
          <w:szCs w:val="18"/>
          <w:vertAlign w:val="superscript"/>
        </w:rPr>
        <w:t>[1]</w:t>
      </w:r>
      <w:r w:rsidRPr="00E01AAE">
        <w:rPr>
          <w:rFonts w:ascii="Times New Roman" w:hAnsi="Times New Roman"/>
          <w:bCs/>
          <w:sz w:val="18"/>
          <w:szCs w:val="18"/>
        </w:rPr>
        <w:t xml:space="preserve"> k.c., Legalis 2018.</w:t>
      </w:r>
    </w:p>
  </w:footnote>
  <w:footnote w:id="5">
    <w:p w:rsidR="00106A6F" w:rsidRPr="00E01AAE" w:rsidRDefault="00106A6F" w:rsidP="007D1E02">
      <w:pPr>
        <w:pStyle w:val="Tekstprzypisudolnego"/>
        <w:spacing w:line="360" w:lineRule="auto"/>
        <w:jc w:val="both"/>
        <w:rPr>
          <w:rFonts w:ascii="Times New Roman" w:hAnsi="Times New Roman"/>
          <w:sz w:val="18"/>
          <w:szCs w:val="18"/>
        </w:rPr>
      </w:pPr>
      <w:r w:rsidRPr="00E01AAE">
        <w:rPr>
          <w:rStyle w:val="Odwoanieprzypisudolnego"/>
          <w:rFonts w:ascii="Times New Roman" w:hAnsi="Times New Roman"/>
          <w:sz w:val="18"/>
          <w:szCs w:val="18"/>
        </w:rPr>
        <w:footnoteRef/>
      </w:r>
      <w:r w:rsidRPr="00E01AAE">
        <w:rPr>
          <w:rFonts w:ascii="Times New Roman" w:hAnsi="Times New Roman"/>
          <w:sz w:val="18"/>
          <w:szCs w:val="18"/>
        </w:rPr>
        <w:t xml:space="preserve"> T. Szczurowski [w:] Z. Jara, </w:t>
      </w:r>
      <w:r w:rsidRPr="00E01AAE">
        <w:rPr>
          <w:rFonts w:ascii="Times New Roman" w:hAnsi="Times New Roman"/>
          <w:bCs/>
          <w:i/>
          <w:sz w:val="18"/>
          <w:szCs w:val="18"/>
        </w:rPr>
        <w:t>Kodeks spółek handlowych. Komentarz</w:t>
      </w:r>
      <w:r w:rsidRPr="00E01AAE">
        <w:rPr>
          <w:rFonts w:ascii="Times New Roman" w:hAnsi="Times New Roman"/>
          <w:bCs/>
          <w:sz w:val="18"/>
          <w:szCs w:val="18"/>
        </w:rPr>
        <w:t>, Komentarz do art. 10 k.s.h., Legalis 2018.</w:t>
      </w:r>
    </w:p>
  </w:footnote>
  <w:footnote w:id="6">
    <w:p w:rsidR="00106A6F" w:rsidRPr="00E01AAE" w:rsidRDefault="00106A6F" w:rsidP="007D1E02">
      <w:pPr>
        <w:pStyle w:val="Tekstprzypisudolnego"/>
        <w:spacing w:line="360" w:lineRule="auto"/>
        <w:jc w:val="both"/>
        <w:rPr>
          <w:rFonts w:ascii="Times New Roman" w:hAnsi="Times New Roman"/>
          <w:i/>
          <w:sz w:val="18"/>
          <w:szCs w:val="18"/>
        </w:rPr>
      </w:pPr>
      <w:r w:rsidRPr="00E01AAE">
        <w:rPr>
          <w:rStyle w:val="Odwoanieprzypisudolnego"/>
          <w:rFonts w:ascii="Times New Roman" w:hAnsi="Times New Roman"/>
          <w:sz w:val="18"/>
          <w:szCs w:val="18"/>
        </w:rPr>
        <w:footnoteRef/>
      </w:r>
      <w:r w:rsidRPr="00E01AAE">
        <w:rPr>
          <w:rFonts w:ascii="Times New Roman" w:hAnsi="Times New Roman"/>
          <w:sz w:val="18"/>
          <w:szCs w:val="18"/>
        </w:rPr>
        <w:t xml:space="preserve"> </w:t>
      </w:r>
      <w:r w:rsidRPr="00E01AAE">
        <w:rPr>
          <w:rFonts w:ascii="Times New Roman" w:hAnsi="Times New Roman"/>
          <w:i/>
          <w:sz w:val="18"/>
          <w:szCs w:val="18"/>
        </w:rPr>
        <w:t>Ibidem.</w:t>
      </w:r>
    </w:p>
  </w:footnote>
  <w:footnote w:id="7">
    <w:p w:rsidR="00106A6F" w:rsidRPr="00E01AAE" w:rsidRDefault="00106A6F" w:rsidP="007D1E02">
      <w:pPr>
        <w:pStyle w:val="Tekstprzypisudolnego"/>
        <w:spacing w:line="360" w:lineRule="auto"/>
        <w:jc w:val="both"/>
        <w:rPr>
          <w:rFonts w:ascii="Times New Roman" w:hAnsi="Times New Roman"/>
          <w:sz w:val="18"/>
          <w:szCs w:val="18"/>
        </w:rPr>
      </w:pPr>
      <w:r w:rsidRPr="00E01AAE">
        <w:rPr>
          <w:rStyle w:val="Odwoanieprzypisudolnego"/>
          <w:rFonts w:ascii="Times New Roman" w:hAnsi="Times New Roman"/>
          <w:sz w:val="18"/>
          <w:szCs w:val="18"/>
        </w:rPr>
        <w:footnoteRef/>
      </w:r>
      <w:r w:rsidRPr="00E01AAE">
        <w:rPr>
          <w:rFonts w:ascii="Times New Roman" w:hAnsi="Times New Roman"/>
          <w:sz w:val="18"/>
          <w:szCs w:val="18"/>
        </w:rPr>
        <w:t xml:space="preserve"> Zob. </w:t>
      </w:r>
      <w:r w:rsidRPr="00E01AAE">
        <w:rPr>
          <w:rFonts w:ascii="Times New Roman" w:hAnsi="Times New Roman"/>
          <w:color w:val="000000"/>
          <w:sz w:val="18"/>
          <w:szCs w:val="18"/>
        </w:rPr>
        <w:t xml:space="preserve">Joanna Bodio, </w:t>
      </w:r>
      <w:r w:rsidRPr="00E01AAE">
        <w:rPr>
          <w:rFonts w:ascii="Times New Roman" w:hAnsi="Times New Roman"/>
          <w:i/>
          <w:color w:val="000000"/>
          <w:sz w:val="18"/>
          <w:szCs w:val="18"/>
        </w:rPr>
        <w:t>Komentarz aktualizowany do art. 10 Kodeksu postępowania cywilnego</w:t>
      </w:r>
      <w:r w:rsidRPr="00E01AAE">
        <w:rPr>
          <w:rFonts w:ascii="Times New Roman" w:hAnsi="Times New Roman"/>
          <w:color w:val="000000"/>
          <w:sz w:val="18"/>
          <w:szCs w:val="18"/>
        </w:rPr>
        <w:t>, LEX (dostęp z dnia 18 marca 2019 r.)</w:t>
      </w:r>
    </w:p>
  </w:footnote>
  <w:footnote w:id="8">
    <w:p w:rsidR="00106A6F" w:rsidRPr="00E01AAE" w:rsidRDefault="00106A6F" w:rsidP="007D1E02">
      <w:pPr>
        <w:pStyle w:val="Tekstprzypisudolnego"/>
        <w:spacing w:line="360" w:lineRule="auto"/>
        <w:jc w:val="both"/>
        <w:rPr>
          <w:rFonts w:ascii="Times New Roman" w:hAnsi="Times New Roman"/>
          <w:sz w:val="18"/>
          <w:szCs w:val="18"/>
        </w:rPr>
      </w:pPr>
      <w:r w:rsidRPr="00E01AAE">
        <w:rPr>
          <w:rStyle w:val="Odwoanieprzypisudolnego"/>
          <w:rFonts w:ascii="Times New Roman" w:hAnsi="Times New Roman"/>
          <w:sz w:val="18"/>
          <w:szCs w:val="18"/>
        </w:rPr>
        <w:footnoteRef/>
      </w:r>
      <w:r w:rsidRPr="00E01AAE">
        <w:rPr>
          <w:rFonts w:ascii="Times New Roman" w:hAnsi="Times New Roman"/>
          <w:sz w:val="18"/>
          <w:szCs w:val="18"/>
        </w:rPr>
        <w:t xml:space="preserve"> </w:t>
      </w:r>
      <w:r w:rsidRPr="00E01AAE">
        <w:rPr>
          <w:rFonts w:ascii="Times New Roman" w:hAnsi="Times New Roman"/>
          <w:color w:val="000000"/>
          <w:sz w:val="18"/>
          <w:szCs w:val="18"/>
        </w:rPr>
        <w:t xml:space="preserve">Zob. Grzegorz Jędrejek, </w:t>
      </w:r>
      <w:r w:rsidRPr="00E01AAE">
        <w:rPr>
          <w:rFonts w:ascii="Times New Roman" w:hAnsi="Times New Roman"/>
          <w:i/>
          <w:color w:val="000000"/>
          <w:sz w:val="18"/>
          <w:szCs w:val="18"/>
        </w:rPr>
        <w:t>Komentarz do art. 479</w:t>
      </w:r>
      <w:r w:rsidRPr="00E01AAE">
        <w:rPr>
          <w:rFonts w:ascii="Times New Roman" w:hAnsi="Times New Roman"/>
          <w:i/>
          <w:color w:val="000000"/>
          <w:sz w:val="18"/>
          <w:szCs w:val="18"/>
          <w:vertAlign w:val="superscript"/>
        </w:rPr>
        <w:t>28</w:t>
      </w:r>
      <w:r w:rsidRPr="00E01AAE">
        <w:rPr>
          <w:rFonts w:ascii="Times New Roman" w:hAnsi="Times New Roman"/>
          <w:i/>
          <w:color w:val="000000"/>
          <w:sz w:val="18"/>
          <w:szCs w:val="18"/>
        </w:rPr>
        <w:t xml:space="preserve"> Kodeksu postępowania cywilnego</w:t>
      </w:r>
      <w:r w:rsidRPr="00E01AAE">
        <w:rPr>
          <w:rFonts w:ascii="Times New Roman" w:hAnsi="Times New Roman"/>
          <w:color w:val="000000"/>
          <w:sz w:val="18"/>
          <w:szCs w:val="18"/>
        </w:rPr>
        <w:t>, LEX (dostęp z dnia 18 marca 2019 r.).</w:t>
      </w:r>
    </w:p>
  </w:footnote>
  <w:footnote w:id="9">
    <w:p w:rsidR="00106A6F" w:rsidRPr="00E01AAE" w:rsidRDefault="00106A6F" w:rsidP="007D1E02">
      <w:pPr>
        <w:pStyle w:val="Tekstprzypisudolnego"/>
        <w:spacing w:line="360" w:lineRule="auto"/>
        <w:jc w:val="both"/>
        <w:rPr>
          <w:rFonts w:ascii="Times New Roman" w:hAnsi="Times New Roman"/>
          <w:sz w:val="18"/>
          <w:szCs w:val="18"/>
        </w:rPr>
      </w:pPr>
      <w:r w:rsidRPr="00E01AAE">
        <w:rPr>
          <w:rStyle w:val="Odwoanieprzypisudolnego"/>
          <w:rFonts w:ascii="Times New Roman" w:hAnsi="Times New Roman"/>
          <w:sz w:val="18"/>
          <w:szCs w:val="18"/>
        </w:rPr>
        <w:footnoteRef/>
      </w:r>
      <w:r w:rsidRPr="00E01AAE">
        <w:rPr>
          <w:rFonts w:ascii="Times New Roman" w:hAnsi="Times New Roman"/>
          <w:sz w:val="18"/>
          <w:szCs w:val="18"/>
        </w:rPr>
        <w:t>https://www.rpo.gov.pl/pl/content/resort-przedsiebiorczosci-przyznaje-racje-rpo-co-do-ograniczen-w-egzekucji-komorniczej</w:t>
      </w:r>
    </w:p>
  </w:footnote>
  <w:footnote w:id="10">
    <w:p w:rsidR="00106A6F" w:rsidRPr="00E01AAE" w:rsidRDefault="00106A6F" w:rsidP="007D1E02">
      <w:pPr>
        <w:pStyle w:val="ODNONIKtreodnonika"/>
        <w:spacing w:line="360" w:lineRule="auto"/>
        <w:rPr>
          <w:rFonts w:cs="Times New Roman"/>
          <w:sz w:val="18"/>
          <w:szCs w:val="18"/>
        </w:rPr>
      </w:pPr>
      <w:r w:rsidRPr="00E01AAE">
        <w:rPr>
          <w:rStyle w:val="Odwoanieprzypisudolnego"/>
          <w:rFonts w:cs="Times New Roman"/>
          <w:sz w:val="18"/>
          <w:szCs w:val="18"/>
        </w:rPr>
        <w:footnoteRef/>
      </w:r>
      <w:r w:rsidRPr="00E01AAE">
        <w:rPr>
          <w:rStyle w:val="IGindeksgrny"/>
          <w:rFonts w:cs="Times New Roman"/>
          <w:sz w:val="18"/>
          <w:szCs w:val="18"/>
        </w:rPr>
        <w:t>)</w:t>
      </w:r>
      <w:r w:rsidRPr="00E01AAE">
        <w:rPr>
          <w:rFonts w:cs="Times New Roman"/>
          <w:sz w:val="18"/>
          <w:szCs w:val="18"/>
        </w:rPr>
        <w:t xml:space="preserve"> </w:t>
      </w:r>
      <w:r w:rsidRPr="00E01AAE">
        <w:rPr>
          <w:rFonts w:cs="Times New Roman"/>
          <w:sz w:val="18"/>
          <w:szCs w:val="18"/>
        </w:rPr>
        <w:tab/>
        <w:t>Zmiany tekstu jednolitego wymienionej ustawy zostały ogłoszone w Dz. U. z 2018 r. poz. 2161, 2203, 2193, 2245 oraz z 2019 r. poz. 525.</w:t>
      </w:r>
    </w:p>
  </w:footnote>
  <w:footnote w:id="11">
    <w:p w:rsidR="00106A6F" w:rsidRPr="00E01AAE" w:rsidRDefault="00106A6F" w:rsidP="007D1E02">
      <w:pPr>
        <w:pStyle w:val="Tekstprzypisudolnego"/>
        <w:spacing w:line="360" w:lineRule="auto"/>
        <w:jc w:val="both"/>
        <w:rPr>
          <w:rFonts w:ascii="Times New Roman" w:hAnsi="Times New Roman"/>
          <w:sz w:val="18"/>
          <w:szCs w:val="18"/>
        </w:rPr>
      </w:pPr>
      <w:r w:rsidRPr="00E01AAE">
        <w:rPr>
          <w:rStyle w:val="Odwoanieprzypisudolnego"/>
          <w:rFonts w:ascii="Times New Roman" w:hAnsi="Times New Roman"/>
          <w:sz w:val="18"/>
          <w:szCs w:val="18"/>
        </w:rPr>
        <w:footnoteRef/>
      </w:r>
      <w:r w:rsidRPr="00E01AAE">
        <w:rPr>
          <w:rFonts w:ascii="Times New Roman" w:hAnsi="Times New Roman"/>
          <w:sz w:val="18"/>
          <w:szCs w:val="18"/>
        </w:rPr>
        <w:t xml:space="preserve"> Dyrektywa Parlamentu Europejskiego i Rady 2014/59/UE z dnia 15 maja 2014 r. ustanawiająca ramy na potrzeby prowadzenia działań naprawczych oraz restrukturyzacji i uporządkowanej likwidacji w odniesieniu do instytucji kredytowych i firm inwestycyjnych oraz zmieniająca dyrektywę Rady 82/891/EWG i dyrektywy Parlamentu Europejskiego i Rady 2001/24/WE, 2002/47/WE, 2004/25/WE, 2005/56/WE, 2007/36/WE, 2011/35/UE, 2012/30/UE i 2013/36/EU oraz rozporządzenia Parlamentu Europejskiego i Rady (UE) nr 1093/2010 i (UE) nr 648/2012 Tekst mający znaczenie dla EOG.</w:t>
      </w:r>
    </w:p>
  </w:footnote>
  <w:footnote w:id="12">
    <w:p w:rsidR="00106A6F" w:rsidRPr="00E01AAE" w:rsidRDefault="00106A6F" w:rsidP="007D1E02">
      <w:pPr>
        <w:pStyle w:val="Tekstprzypisudolnego"/>
        <w:spacing w:line="360" w:lineRule="auto"/>
        <w:jc w:val="both"/>
        <w:rPr>
          <w:rFonts w:ascii="Times New Roman" w:hAnsi="Times New Roman"/>
          <w:sz w:val="18"/>
          <w:szCs w:val="18"/>
        </w:rPr>
      </w:pPr>
      <w:r w:rsidRPr="00E01AAE">
        <w:rPr>
          <w:rStyle w:val="Odwoanieprzypisudolnego"/>
          <w:rFonts w:ascii="Times New Roman" w:hAnsi="Times New Roman"/>
          <w:sz w:val="18"/>
          <w:szCs w:val="18"/>
        </w:rPr>
        <w:footnoteRef/>
      </w:r>
      <w:r w:rsidRPr="00E01AAE">
        <w:rPr>
          <w:rFonts w:ascii="Times New Roman" w:hAnsi="Times New Roman"/>
          <w:sz w:val="18"/>
          <w:szCs w:val="18"/>
        </w:rPr>
        <w:t xml:space="preserve"> Podkreślenia wymaga, że</w:t>
      </w:r>
      <w:r>
        <w:rPr>
          <w:rFonts w:ascii="Times New Roman" w:hAnsi="Times New Roman"/>
          <w:sz w:val="18"/>
          <w:szCs w:val="18"/>
        </w:rPr>
        <w:t xml:space="preserve"> ustawa -</w:t>
      </w:r>
      <w:r w:rsidRPr="00E01AAE">
        <w:rPr>
          <w:rFonts w:ascii="Times New Roman" w:hAnsi="Times New Roman"/>
          <w:sz w:val="18"/>
          <w:szCs w:val="18"/>
        </w:rPr>
        <w:t xml:space="preserve"> Prawo przedsiębiorców dążąc do wyeliminowania wskazanych mankamentów polskiego systemu prawnego wprowadziło szereg nowych rozwiązań, w tym zasadę przyjaznej interpretacji przepisów (art. 11) czy możliwość wydawania tzw. objaśnień prawnych (art. 33). </w:t>
      </w:r>
    </w:p>
  </w:footnote>
  <w:footnote w:id="13">
    <w:p w:rsidR="00106A6F" w:rsidRPr="00E01AAE" w:rsidRDefault="00106A6F" w:rsidP="007D1E02">
      <w:pPr>
        <w:pStyle w:val="Tekstprzypisudolnego"/>
        <w:spacing w:line="360" w:lineRule="auto"/>
        <w:jc w:val="both"/>
        <w:rPr>
          <w:rFonts w:ascii="Times New Roman" w:hAnsi="Times New Roman"/>
          <w:sz w:val="18"/>
          <w:szCs w:val="18"/>
        </w:rPr>
      </w:pPr>
      <w:r w:rsidRPr="00E01AAE">
        <w:rPr>
          <w:rStyle w:val="Odwoanieprzypisudolnego"/>
          <w:rFonts w:ascii="Times New Roman" w:hAnsi="Times New Roman"/>
          <w:sz w:val="18"/>
          <w:szCs w:val="18"/>
        </w:rPr>
        <w:footnoteRef/>
      </w:r>
      <w:r w:rsidRPr="00E01AAE">
        <w:rPr>
          <w:rFonts w:ascii="Times New Roman" w:hAnsi="Times New Roman"/>
          <w:sz w:val="18"/>
          <w:szCs w:val="18"/>
        </w:rPr>
        <w:t xml:space="preserve"> Naruszenie przepisów może przecież bowiem nie wywołać żadnych skutków.</w:t>
      </w:r>
    </w:p>
  </w:footnote>
  <w:footnote w:id="14">
    <w:p w:rsidR="00106A6F" w:rsidRPr="00E01AAE" w:rsidRDefault="00106A6F" w:rsidP="007D1E02">
      <w:pPr>
        <w:pStyle w:val="Tekstprzypisudolnego"/>
        <w:spacing w:line="360" w:lineRule="auto"/>
        <w:jc w:val="both"/>
        <w:rPr>
          <w:rFonts w:ascii="Times New Roman" w:hAnsi="Times New Roman"/>
          <w:sz w:val="18"/>
          <w:szCs w:val="18"/>
        </w:rPr>
      </w:pPr>
      <w:r w:rsidRPr="00E01AAE">
        <w:rPr>
          <w:rStyle w:val="Odwoanieprzypisudolnego"/>
          <w:rFonts w:ascii="Times New Roman" w:hAnsi="Times New Roman"/>
          <w:sz w:val="18"/>
          <w:szCs w:val="18"/>
        </w:rPr>
        <w:footnoteRef/>
      </w:r>
      <w:r w:rsidRPr="00E01AAE">
        <w:rPr>
          <w:rFonts w:ascii="Times New Roman" w:hAnsi="Times New Roman"/>
          <w:sz w:val="18"/>
          <w:szCs w:val="18"/>
        </w:rPr>
        <w:t xml:space="preserve"> W takim przypadku odstąpienie następować będzie w drodze decyzji administracyjnej.</w:t>
      </w:r>
    </w:p>
  </w:footnote>
  <w:footnote w:id="15">
    <w:p w:rsidR="00106A6F" w:rsidRPr="00E01AAE" w:rsidRDefault="00106A6F" w:rsidP="007D1E02">
      <w:pPr>
        <w:pStyle w:val="Tekstprzypisudolnego"/>
        <w:spacing w:line="360" w:lineRule="auto"/>
        <w:jc w:val="both"/>
        <w:rPr>
          <w:rFonts w:ascii="Times New Roman" w:hAnsi="Times New Roman"/>
          <w:sz w:val="18"/>
          <w:szCs w:val="18"/>
        </w:rPr>
      </w:pPr>
      <w:r w:rsidRPr="00E01AAE">
        <w:rPr>
          <w:rStyle w:val="Odwoanieprzypisudolnego"/>
          <w:rFonts w:ascii="Times New Roman" w:hAnsi="Times New Roman"/>
          <w:sz w:val="18"/>
          <w:szCs w:val="18"/>
        </w:rPr>
        <w:footnoteRef/>
      </w:r>
      <w:r w:rsidRPr="00E01AAE">
        <w:rPr>
          <w:rFonts w:ascii="Times New Roman" w:hAnsi="Times New Roman"/>
          <w:sz w:val="18"/>
          <w:szCs w:val="18"/>
        </w:rPr>
        <w:t xml:space="preserve"> Niezasadnym byłoby bowiem tworzenie sytuacji, w której właściwy organ nie wymierza kary grzywny w drodze mandatu karnego w związku z usunięciem przez przedsiębiorcę naruszeń prawa i ich skutków, jedynie po to, by został on następnie ukarany za ten sam czyn na drodze sądowej.</w:t>
      </w:r>
    </w:p>
  </w:footnote>
  <w:footnote w:id="16">
    <w:p w:rsidR="00106A6F" w:rsidRPr="00E01AAE" w:rsidRDefault="00106A6F" w:rsidP="007D1E02">
      <w:pPr>
        <w:pStyle w:val="Tekstprzypisudolnego"/>
        <w:spacing w:line="360" w:lineRule="auto"/>
        <w:jc w:val="both"/>
        <w:rPr>
          <w:rFonts w:ascii="Times New Roman" w:hAnsi="Times New Roman"/>
          <w:sz w:val="18"/>
          <w:szCs w:val="18"/>
        </w:rPr>
      </w:pPr>
      <w:r w:rsidRPr="00E01AAE">
        <w:rPr>
          <w:rStyle w:val="Odwoanieprzypisudolnego"/>
          <w:rFonts w:ascii="Times New Roman" w:hAnsi="Times New Roman"/>
          <w:sz w:val="18"/>
          <w:szCs w:val="18"/>
        </w:rPr>
        <w:footnoteRef/>
      </w:r>
      <w:r w:rsidRPr="00E01AAE">
        <w:rPr>
          <w:rFonts w:ascii="Times New Roman" w:hAnsi="Times New Roman"/>
          <w:sz w:val="18"/>
          <w:szCs w:val="18"/>
        </w:rPr>
        <w:t xml:space="preserve"> W przypadku przekazania powiadomienia do niewłaściwego organu, ten ostatni powinien, zgodnie z Kodeksem postępowania administracyjnego, przesłać je do organu właściwego. </w:t>
      </w:r>
    </w:p>
  </w:footnote>
  <w:footnote w:id="17">
    <w:p w:rsidR="00106A6F" w:rsidRPr="00E01AAE" w:rsidRDefault="00106A6F" w:rsidP="007D1E02">
      <w:pPr>
        <w:pStyle w:val="Tekstprzypisudolnego"/>
        <w:spacing w:line="360" w:lineRule="auto"/>
        <w:jc w:val="both"/>
        <w:rPr>
          <w:rFonts w:ascii="Times New Roman" w:hAnsi="Times New Roman"/>
          <w:sz w:val="18"/>
          <w:szCs w:val="18"/>
        </w:rPr>
      </w:pPr>
      <w:r w:rsidRPr="00E01AAE">
        <w:rPr>
          <w:rStyle w:val="Odwoanieprzypisudolnego"/>
          <w:rFonts w:ascii="Times New Roman" w:hAnsi="Times New Roman"/>
          <w:sz w:val="18"/>
          <w:szCs w:val="18"/>
        </w:rPr>
        <w:footnoteRef/>
      </w:r>
      <w:r w:rsidRPr="00E01AAE">
        <w:rPr>
          <w:rFonts w:ascii="Times New Roman" w:hAnsi="Times New Roman"/>
          <w:sz w:val="18"/>
          <w:szCs w:val="18"/>
        </w:rPr>
        <w:t xml:space="preserve"> Sam fakt braku nałożenia przez właściwy organ kary grzywny w drodze mandatu karnego nie powodowałby bowiem braku ustania możliwości nałożenia kary za dany czyn – nadal mógłby on bowiem podlegać sądowemu rozpoznaniu według zasad ogólnych. </w:t>
      </w:r>
    </w:p>
  </w:footnote>
  <w:footnote w:id="18">
    <w:p w:rsidR="00106A6F" w:rsidRPr="00E01AAE" w:rsidRDefault="00106A6F" w:rsidP="007D1E02">
      <w:pPr>
        <w:pStyle w:val="Tekstprzypisudolnego"/>
        <w:spacing w:line="360" w:lineRule="auto"/>
        <w:jc w:val="both"/>
        <w:rPr>
          <w:rFonts w:ascii="Times New Roman" w:hAnsi="Times New Roman"/>
          <w:sz w:val="18"/>
          <w:szCs w:val="18"/>
        </w:rPr>
      </w:pPr>
      <w:r w:rsidRPr="00E01AAE">
        <w:rPr>
          <w:rStyle w:val="Odwoanieprzypisudolnego"/>
          <w:rFonts w:ascii="Times New Roman" w:hAnsi="Times New Roman"/>
          <w:sz w:val="18"/>
          <w:szCs w:val="18"/>
        </w:rPr>
        <w:footnoteRef/>
      </w:r>
      <w:r w:rsidRPr="00E01AAE">
        <w:rPr>
          <w:rFonts w:ascii="Times New Roman" w:hAnsi="Times New Roman"/>
          <w:sz w:val="18"/>
          <w:szCs w:val="18"/>
        </w:rPr>
        <w:t xml:space="preserve"> Zgodnie z art. 17 ust. 1 </w:t>
      </w:r>
      <w:r>
        <w:rPr>
          <w:rFonts w:ascii="Times New Roman" w:hAnsi="Times New Roman"/>
          <w:sz w:val="18"/>
          <w:szCs w:val="18"/>
        </w:rPr>
        <w:t xml:space="preserve">ustawy - </w:t>
      </w:r>
      <w:r w:rsidRPr="00E01AAE">
        <w:rPr>
          <w:rFonts w:ascii="Times New Roman" w:hAnsi="Times New Roman"/>
          <w:sz w:val="18"/>
          <w:szCs w:val="18"/>
        </w:rPr>
        <w:t>Prawa przedsiębiorców, przedsiębiorca będący osobą fizyczną ma obowiązek uzyskania wpisu w CEIDG w przypadku chęci prowadzenia działalności gospodarczej w Polsce.</w:t>
      </w:r>
    </w:p>
  </w:footnote>
  <w:footnote w:id="19">
    <w:p w:rsidR="00106A6F" w:rsidRPr="00E01AAE" w:rsidRDefault="00106A6F" w:rsidP="007D1E02">
      <w:pPr>
        <w:pStyle w:val="Tekstprzypisudolnego"/>
        <w:spacing w:line="360" w:lineRule="auto"/>
        <w:jc w:val="both"/>
        <w:rPr>
          <w:rFonts w:ascii="Times New Roman" w:hAnsi="Times New Roman"/>
          <w:sz w:val="18"/>
          <w:szCs w:val="18"/>
        </w:rPr>
      </w:pPr>
      <w:r w:rsidRPr="00E01AAE">
        <w:rPr>
          <w:rStyle w:val="Odwoanieprzypisudolnego"/>
          <w:rFonts w:ascii="Times New Roman" w:hAnsi="Times New Roman"/>
          <w:sz w:val="18"/>
          <w:szCs w:val="18"/>
        </w:rPr>
        <w:footnoteRef/>
      </w:r>
      <w:r w:rsidRPr="00E01AAE">
        <w:rPr>
          <w:rFonts w:ascii="Times New Roman" w:hAnsi="Times New Roman"/>
          <w:sz w:val="18"/>
          <w:szCs w:val="18"/>
        </w:rPr>
        <w:t xml:space="preserve"> W związku z tym powstała też konieczność dokonania zmiany zaproponowanej w art. 60 pkt 4 przedstawianej ustawy.</w:t>
      </w:r>
    </w:p>
  </w:footnote>
  <w:footnote w:id="20">
    <w:p w:rsidR="00106A6F" w:rsidRPr="00E01AAE" w:rsidRDefault="00106A6F" w:rsidP="007D1E02">
      <w:pPr>
        <w:spacing w:line="360" w:lineRule="auto"/>
        <w:jc w:val="both"/>
        <w:rPr>
          <w:rFonts w:cs="Times New Roman"/>
          <w:sz w:val="18"/>
          <w:szCs w:val="18"/>
        </w:rPr>
      </w:pPr>
      <w:r w:rsidRPr="00E01AAE">
        <w:rPr>
          <w:rStyle w:val="Odwoanieprzypisudolnego"/>
          <w:rFonts w:cs="Times New Roman"/>
          <w:sz w:val="18"/>
          <w:szCs w:val="18"/>
        </w:rPr>
        <w:footnoteRef/>
      </w:r>
      <w:r w:rsidRPr="00E01AAE">
        <w:rPr>
          <w:rFonts w:cs="Times New Roman"/>
          <w:sz w:val="18"/>
          <w:szCs w:val="18"/>
        </w:rPr>
        <w:t xml:space="preserve"> Dość ciekawym przykładem sytuacji, w której w ocenie projektodawcy nie jest możliwe usunięcie naruszenia przepisów, jest przejazd przewoźnika bez uiszczenia opłaty elektronicznej w przypadku braku posiadania w pojeździe urządzenia pokładowego OBU. Uniemożliwia to bowiem określenie przejechanej trasy, a zatem także dokładnej wysokości należności. Tym samym, jako że nie da się ustalić wysokości opłaty, nie jest możliwe usunięcie naruszenia.  </w:t>
      </w:r>
    </w:p>
  </w:footnote>
  <w:footnote w:id="21">
    <w:p w:rsidR="00106A6F" w:rsidRPr="00E01AAE" w:rsidRDefault="00106A6F" w:rsidP="007D1E02">
      <w:pPr>
        <w:pStyle w:val="Tekstprzypisudolnego"/>
        <w:spacing w:line="360" w:lineRule="auto"/>
        <w:jc w:val="both"/>
        <w:rPr>
          <w:rFonts w:ascii="Times New Roman" w:hAnsi="Times New Roman"/>
          <w:sz w:val="18"/>
          <w:szCs w:val="18"/>
        </w:rPr>
      </w:pPr>
      <w:r w:rsidRPr="00E01AAE">
        <w:rPr>
          <w:rStyle w:val="Odwoanieprzypisudolnego"/>
          <w:rFonts w:ascii="Times New Roman" w:hAnsi="Times New Roman"/>
          <w:sz w:val="18"/>
          <w:szCs w:val="18"/>
        </w:rPr>
        <w:footnoteRef/>
      </w:r>
      <w:r w:rsidRPr="00E01AAE">
        <w:rPr>
          <w:rFonts w:ascii="Times New Roman" w:hAnsi="Times New Roman"/>
          <w:sz w:val="18"/>
          <w:szCs w:val="18"/>
        </w:rPr>
        <w:t xml:space="preserve"> Organ nie łamie przepisów ust. 1-3, jeżeli zachodzą przesłanki z ust. 7 – jednakże to, czy te ostatnie występują (np. czy naruszenie prawa faktycznie jest rażące), nie podlegałoby późniejszej weryfikacji sądowej. Stąd też m.in. powstała konieczność wprowadzenia przepisu ust. 8.   </w:t>
      </w:r>
    </w:p>
  </w:footnote>
  <w:footnote w:id="22">
    <w:p w:rsidR="00106A6F" w:rsidRPr="00E01AAE" w:rsidRDefault="00106A6F" w:rsidP="007D1E02">
      <w:pPr>
        <w:pStyle w:val="Tekstprzypisudolnego"/>
        <w:spacing w:line="360" w:lineRule="auto"/>
        <w:jc w:val="both"/>
        <w:rPr>
          <w:rFonts w:ascii="Times New Roman" w:hAnsi="Times New Roman"/>
          <w:sz w:val="18"/>
          <w:szCs w:val="18"/>
        </w:rPr>
      </w:pPr>
      <w:r w:rsidRPr="00E01AAE">
        <w:rPr>
          <w:rStyle w:val="Odwoanieprzypisudolnego"/>
          <w:rFonts w:ascii="Times New Roman" w:hAnsi="Times New Roman"/>
          <w:sz w:val="18"/>
          <w:szCs w:val="18"/>
        </w:rPr>
        <w:footnoteRef/>
      </w:r>
      <w:r w:rsidRPr="00E01AAE">
        <w:rPr>
          <w:rFonts w:ascii="Times New Roman" w:hAnsi="Times New Roman"/>
          <w:sz w:val="18"/>
          <w:szCs w:val="18"/>
        </w:rPr>
        <w:t xml:space="preserve"> Określenie „niezwłoczności” uzależnione jest okoliczności konkretnej sprawy.</w:t>
      </w:r>
    </w:p>
  </w:footnote>
  <w:footnote w:id="23">
    <w:p w:rsidR="00106A6F" w:rsidRPr="00E01AAE" w:rsidRDefault="00106A6F" w:rsidP="007D1E02">
      <w:pPr>
        <w:pStyle w:val="Tekstprzypisudolnego"/>
        <w:spacing w:line="360" w:lineRule="auto"/>
        <w:jc w:val="both"/>
        <w:rPr>
          <w:rFonts w:ascii="Times New Roman" w:hAnsi="Times New Roman"/>
          <w:sz w:val="18"/>
          <w:szCs w:val="18"/>
        </w:rPr>
      </w:pPr>
      <w:r w:rsidRPr="00E01AAE">
        <w:rPr>
          <w:rStyle w:val="Odwoanieprzypisudolnego"/>
          <w:rFonts w:ascii="Times New Roman" w:hAnsi="Times New Roman"/>
          <w:sz w:val="18"/>
          <w:szCs w:val="18"/>
        </w:rPr>
        <w:footnoteRef/>
      </w:r>
      <w:r w:rsidRPr="00E01AAE">
        <w:rPr>
          <w:rFonts w:ascii="Times New Roman" w:hAnsi="Times New Roman"/>
          <w:sz w:val="18"/>
          <w:szCs w:val="18"/>
        </w:rPr>
        <w:t xml:space="preserve"> Regulacja przewiduje jednak w tej sprawie pewne wyjątki.</w:t>
      </w:r>
    </w:p>
  </w:footnote>
  <w:footnote w:id="24">
    <w:p w:rsidR="00106A6F" w:rsidRPr="00E01AAE" w:rsidRDefault="00106A6F" w:rsidP="007D1E02">
      <w:pPr>
        <w:pStyle w:val="Tekstprzypisudolnego"/>
        <w:spacing w:line="360" w:lineRule="auto"/>
        <w:rPr>
          <w:rFonts w:ascii="Times New Roman" w:hAnsi="Times New Roman"/>
          <w:sz w:val="18"/>
          <w:szCs w:val="18"/>
        </w:rPr>
      </w:pPr>
      <w:r w:rsidRPr="00E01AAE">
        <w:rPr>
          <w:rStyle w:val="Odwoanieprzypisudolnego"/>
          <w:rFonts w:ascii="Times New Roman" w:hAnsi="Times New Roman"/>
          <w:sz w:val="18"/>
          <w:szCs w:val="18"/>
        </w:rPr>
        <w:footnoteRef/>
      </w:r>
      <w:r w:rsidRPr="00E01AAE">
        <w:rPr>
          <w:rFonts w:ascii="Times New Roman" w:hAnsi="Times New Roman"/>
          <w:sz w:val="18"/>
          <w:szCs w:val="18"/>
        </w:rPr>
        <w:t xml:space="preserve"> Art. 3 pkt 8 </w:t>
      </w:r>
      <w:r>
        <w:rPr>
          <w:rFonts w:ascii="Times New Roman" w:hAnsi="Times New Roman"/>
          <w:sz w:val="18"/>
          <w:szCs w:val="18"/>
        </w:rPr>
        <w:t xml:space="preserve">ustawy o cudzoziemcach </w:t>
      </w:r>
    </w:p>
  </w:footnote>
  <w:footnote w:id="25">
    <w:p w:rsidR="00106A6F" w:rsidRPr="00E01AAE" w:rsidRDefault="00106A6F" w:rsidP="007D1E02">
      <w:pPr>
        <w:pStyle w:val="Tekstprzypisudolnego"/>
        <w:spacing w:line="360" w:lineRule="auto"/>
        <w:jc w:val="both"/>
        <w:rPr>
          <w:rFonts w:ascii="Times New Roman" w:hAnsi="Times New Roman"/>
          <w:sz w:val="18"/>
          <w:szCs w:val="18"/>
        </w:rPr>
      </w:pPr>
      <w:r w:rsidRPr="00E01AAE">
        <w:rPr>
          <w:rStyle w:val="Odwoanieprzypisudolnego"/>
          <w:rFonts w:ascii="Times New Roman" w:hAnsi="Times New Roman"/>
          <w:sz w:val="18"/>
          <w:szCs w:val="18"/>
        </w:rPr>
        <w:footnoteRef/>
      </w:r>
      <w:r w:rsidRPr="00E01AAE">
        <w:rPr>
          <w:rFonts w:ascii="Times New Roman" w:hAnsi="Times New Roman"/>
          <w:sz w:val="18"/>
          <w:szCs w:val="18"/>
        </w:rPr>
        <w:t xml:space="preserve"> </w:t>
      </w:r>
      <w:r w:rsidRPr="00E01AAE">
        <w:rPr>
          <w:rFonts w:ascii="Times New Roman" w:hAnsi="Times New Roman"/>
          <w:color w:val="000000"/>
          <w:sz w:val="18"/>
          <w:szCs w:val="18"/>
        </w:rPr>
        <w:t>Raport „Firma rodzinna to marka”, sporządzony przez Instytut Biznesu Rodzinnego, Poznań 2016. Raport jest dostępny na stronie www: http://www.ibrpolska.pl/raporty/statystyka_firm_rodzinnych/.</w:t>
      </w:r>
    </w:p>
  </w:footnote>
  <w:footnote w:id="26">
    <w:p w:rsidR="00106A6F" w:rsidRPr="00E01AAE" w:rsidRDefault="00106A6F" w:rsidP="007D1E02">
      <w:pPr>
        <w:pStyle w:val="Tekstprzypisudolnego"/>
        <w:spacing w:line="360" w:lineRule="auto"/>
        <w:jc w:val="both"/>
        <w:rPr>
          <w:rFonts w:ascii="Times New Roman" w:hAnsi="Times New Roman"/>
          <w:sz w:val="18"/>
          <w:szCs w:val="18"/>
        </w:rPr>
      </w:pPr>
      <w:r w:rsidRPr="00E01AAE">
        <w:rPr>
          <w:rStyle w:val="Odwoanieprzypisudolnego"/>
          <w:rFonts w:ascii="Times New Roman" w:hAnsi="Times New Roman"/>
          <w:sz w:val="18"/>
          <w:szCs w:val="18"/>
        </w:rPr>
        <w:footnoteRef/>
      </w:r>
      <w:r w:rsidRPr="00E01AAE">
        <w:rPr>
          <w:rFonts w:ascii="Times New Roman" w:hAnsi="Times New Roman"/>
          <w:sz w:val="18"/>
          <w:szCs w:val="18"/>
        </w:rPr>
        <w:t xml:space="preserve"> Raport „Barometr sukcesyjny. Ścieżki kariery pokolenia </w:t>
      </w:r>
      <w:r w:rsidRPr="00E01AAE">
        <w:rPr>
          <w:rFonts w:ascii="Times New Roman" w:hAnsi="Times New Roman"/>
          <w:i/>
          <w:sz w:val="18"/>
          <w:szCs w:val="18"/>
        </w:rPr>
        <w:t>Next Generation</w:t>
      </w:r>
      <w:r w:rsidRPr="00E01AAE">
        <w:rPr>
          <w:rFonts w:ascii="Times New Roman" w:hAnsi="Times New Roman"/>
          <w:sz w:val="18"/>
          <w:szCs w:val="18"/>
        </w:rPr>
        <w:t xml:space="preserve"> w polskich firmach rodzinnych”, Instytut Biznesu Rodzinnego, Poznań 2017.</w:t>
      </w:r>
    </w:p>
  </w:footnote>
  <w:footnote w:id="27">
    <w:p w:rsidR="00106A6F" w:rsidRPr="00E01AAE" w:rsidRDefault="00106A6F" w:rsidP="007D1E02">
      <w:pPr>
        <w:pStyle w:val="Tekstprzypisudolnego"/>
        <w:spacing w:line="360" w:lineRule="auto"/>
        <w:jc w:val="both"/>
        <w:rPr>
          <w:rFonts w:ascii="Times New Roman" w:hAnsi="Times New Roman"/>
          <w:sz w:val="18"/>
          <w:szCs w:val="18"/>
        </w:rPr>
      </w:pPr>
      <w:r w:rsidRPr="00E01AAE">
        <w:rPr>
          <w:rStyle w:val="Odwoanieprzypisudolnego"/>
          <w:rFonts w:ascii="Times New Roman" w:hAnsi="Times New Roman"/>
          <w:sz w:val="18"/>
          <w:szCs w:val="18"/>
        </w:rPr>
        <w:footnoteRef/>
      </w:r>
      <w:r w:rsidRPr="00E01AAE">
        <w:rPr>
          <w:rFonts w:ascii="Times New Roman" w:hAnsi="Times New Roman"/>
          <w:sz w:val="18"/>
          <w:szCs w:val="18"/>
        </w:rPr>
        <w:t xml:space="preserve"> </w:t>
      </w:r>
      <w:r w:rsidRPr="00E01AAE">
        <w:rPr>
          <w:rFonts w:ascii="Times New Roman" w:hAnsi="Times New Roman"/>
          <w:i/>
          <w:sz w:val="18"/>
          <w:szCs w:val="18"/>
        </w:rPr>
        <w:t>Ibidem</w:t>
      </w:r>
      <w:r w:rsidRPr="00E01AAE">
        <w:rPr>
          <w:rFonts w:ascii="Times New Roman" w:hAnsi="Times New Roman"/>
          <w:sz w:val="18"/>
          <w:szCs w:val="18"/>
        </w:rPr>
        <w:t>.</w:t>
      </w:r>
    </w:p>
  </w:footnote>
  <w:footnote w:id="28">
    <w:p w:rsidR="00106A6F" w:rsidRPr="00E01AAE" w:rsidRDefault="00106A6F" w:rsidP="007D1E02">
      <w:pPr>
        <w:pStyle w:val="Tekstprzypisudolnego"/>
        <w:spacing w:line="360" w:lineRule="auto"/>
        <w:jc w:val="both"/>
        <w:rPr>
          <w:rFonts w:ascii="Times New Roman" w:hAnsi="Times New Roman"/>
          <w:sz w:val="18"/>
          <w:szCs w:val="18"/>
        </w:rPr>
      </w:pPr>
      <w:r w:rsidRPr="00E01AAE">
        <w:rPr>
          <w:rFonts w:ascii="Times New Roman" w:hAnsi="Times New Roman"/>
          <w:sz w:val="18"/>
          <w:szCs w:val="18"/>
          <w:vertAlign w:val="superscript"/>
        </w:rPr>
        <w:footnoteRef/>
      </w:r>
      <w:r w:rsidRPr="00E01AAE">
        <w:rPr>
          <w:rFonts w:ascii="Times New Roman" w:hAnsi="Times New Roman"/>
          <w:i/>
          <w:sz w:val="18"/>
          <w:szCs w:val="18"/>
        </w:rPr>
        <w:t xml:space="preserve"> </w:t>
      </w:r>
      <w:r w:rsidRPr="00E01AAE">
        <w:rPr>
          <w:rFonts w:ascii="Times New Roman" w:hAnsi="Times New Roman"/>
          <w:sz w:val="18"/>
          <w:szCs w:val="18"/>
        </w:rPr>
        <w:t>Zob. m.in. M. Kępiński [w:] M. Gutowski,</w:t>
      </w:r>
      <w:r w:rsidRPr="00E01AAE">
        <w:rPr>
          <w:rFonts w:ascii="Times New Roman" w:hAnsi="Times New Roman"/>
          <w:i/>
          <w:sz w:val="18"/>
          <w:szCs w:val="18"/>
        </w:rPr>
        <w:t xml:space="preserve"> Kodeks cywilny. Tom I. Komentarz do art. 1-449</w:t>
      </w:r>
      <w:r w:rsidRPr="00E01AAE">
        <w:rPr>
          <w:rFonts w:ascii="Times New Roman" w:hAnsi="Times New Roman"/>
          <w:i/>
          <w:sz w:val="18"/>
          <w:szCs w:val="18"/>
          <w:vertAlign w:val="superscript"/>
        </w:rPr>
        <w:t>11</w:t>
      </w:r>
      <w:r w:rsidRPr="00E01AAE">
        <w:rPr>
          <w:rFonts w:ascii="Times New Roman" w:hAnsi="Times New Roman"/>
          <w:sz w:val="18"/>
          <w:szCs w:val="18"/>
        </w:rPr>
        <w:t xml:space="preserve">, Warszawa 2016, wyrok NSA z 16 maja 2012 r., </w:t>
      </w:r>
      <w:bookmarkStart w:id="18" w:name="orz.255537818"/>
      <w:r w:rsidRPr="00E01AAE">
        <w:rPr>
          <w:rFonts w:ascii="Times New Roman" w:hAnsi="Times New Roman"/>
          <w:sz w:val="18"/>
          <w:szCs w:val="18"/>
        </w:rPr>
        <w:t>II FSK 1937/11</w:t>
      </w:r>
      <w:bookmarkEnd w:id="18"/>
      <w:r w:rsidRPr="00E01AAE">
        <w:rPr>
          <w:rFonts w:ascii="Times New Roman" w:hAnsi="Times New Roman"/>
          <w:sz w:val="18"/>
          <w:szCs w:val="18"/>
        </w:rPr>
        <w:t xml:space="preserve">, wyrok SN z 28 lutego 2008 r., </w:t>
      </w:r>
      <w:bookmarkStart w:id="19" w:name="orz.95147428"/>
      <w:r w:rsidRPr="00E01AAE">
        <w:rPr>
          <w:rFonts w:ascii="Times New Roman" w:hAnsi="Times New Roman"/>
          <w:sz w:val="18"/>
          <w:szCs w:val="18"/>
        </w:rPr>
        <w:t>III CSK 252/07</w:t>
      </w:r>
      <w:bookmarkEnd w:id="19"/>
      <w:r w:rsidRPr="00E01AAE">
        <w:rPr>
          <w:rFonts w:ascii="Times New Roman" w:hAnsi="Times New Roman"/>
          <w:sz w:val="18"/>
          <w:szCs w:val="18"/>
        </w:rPr>
        <w:t>, wyrok WSA w Warszawie z 10 marca 2016 r., VI SA/Wa 2467/15.</w:t>
      </w:r>
    </w:p>
    <w:p w:rsidR="00106A6F" w:rsidRPr="00E01AAE" w:rsidRDefault="00106A6F" w:rsidP="007D1E02">
      <w:pPr>
        <w:pStyle w:val="Tekstprzypisudolnego"/>
        <w:spacing w:line="360" w:lineRule="auto"/>
        <w:jc w:val="both"/>
        <w:rPr>
          <w:rFonts w:ascii="Times New Roman" w:hAnsi="Times New Roman"/>
          <w:sz w:val="18"/>
          <w:szCs w:val="18"/>
        </w:rPr>
      </w:pPr>
    </w:p>
  </w:footnote>
  <w:footnote w:id="29">
    <w:p w:rsidR="00106A6F" w:rsidRPr="00E01AAE" w:rsidRDefault="00106A6F" w:rsidP="007D1E02">
      <w:pPr>
        <w:pStyle w:val="Tekstprzypisudolnego"/>
        <w:spacing w:line="360" w:lineRule="auto"/>
        <w:jc w:val="both"/>
        <w:rPr>
          <w:rFonts w:ascii="Times New Roman" w:hAnsi="Times New Roman"/>
          <w:sz w:val="18"/>
          <w:szCs w:val="18"/>
        </w:rPr>
      </w:pPr>
      <w:r w:rsidRPr="00E01AAE">
        <w:rPr>
          <w:rStyle w:val="Odwoanieprzypisudolnego"/>
          <w:rFonts w:ascii="Times New Roman" w:hAnsi="Times New Roman"/>
          <w:sz w:val="18"/>
          <w:szCs w:val="18"/>
        </w:rPr>
        <w:footnoteRef/>
      </w:r>
      <w:r w:rsidRPr="00E01AAE">
        <w:rPr>
          <w:rFonts w:ascii="Times New Roman" w:hAnsi="Times New Roman"/>
          <w:sz w:val="18"/>
          <w:szCs w:val="18"/>
        </w:rPr>
        <w:t xml:space="preserve"> Sondaż przeprowadzony </w:t>
      </w:r>
      <w:r w:rsidRPr="00E01AAE">
        <w:rPr>
          <w:rFonts w:ascii="Times New Roman" w:hAnsi="Times New Roman"/>
          <w:bCs/>
          <w:sz w:val="18"/>
          <w:szCs w:val="18"/>
        </w:rPr>
        <w:t>przez Kantar Milward Brown we współpracy z Fundacją Otwarte Forum.</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CA3D0C"/>
    <w:multiLevelType w:val="hybridMultilevel"/>
    <w:tmpl w:val="0CBE288E"/>
    <w:lvl w:ilvl="0" w:tplc="4B24FA10">
      <w:start w:val="1"/>
      <w:numFmt w:val="decimal"/>
      <w:lvlText w:val="%1)"/>
      <w:lvlJc w:val="left"/>
      <w:pPr>
        <w:ind w:left="23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A366D90"/>
    <w:multiLevelType w:val="hybridMultilevel"/>
    <w:tmpl w:val="E640A1F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0C34F43"/>
    <w:multiLevelType w:val="hybridMultilevel"/>
    <w:tmpl w:val="F4FE6EE4"/>
    <w:lvl w:ilvl="0" w:tplc="4B24FA10">
      <w:start w:val="1"/>
      <w:numFmt w:val="decimal"/>
      <w:lvlText w:val="%1)"/>
      <w:lvlJc w:val="left"/>
      <w:pPr>
        <w:ind w:left="23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2A4510D"/>
    <w:multiLevelType w:val="hybridMultilevel"/>
    <w:tmpl w:val="F05C934A"/>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4" w15:restartNumberingAfterBreak="0">
    <w:nsid w:val="135317E5"/>
    <w:multiLevelType w:val="hybridMultilevel"/>
    <w:tmpl w:val="AA228DDE"/>
    <w:lvl w:ilvl="0" w:tplc="B1D6E940">
      <w:start w:val="1"/>
      <w:numFmt w:val="decimal"/>
      <w:lvlText w:val="%1)"/>
      <w:lvlJc w:val="left"/>
      <w:pPr>
        <w:ind w:left="23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EE565E6"/>
    <w:multiLevelType w:val="hybridMultilevel"/>
    <w:tmpl w:val="5BC65408"/>
    <w:lvl w:ilvl="0" w:tplc="4B24FA10">
      <w:start w:val="1"/>
      <w:numFmt w:val="decimal"/>
      <w:lvlText w:val="%1)"/>
      <w:lvlJc w:val="left"/>
      <w:pPr>
        <w:ind w:left="23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23430ADF"/>
    <w:multiLevelType w:val="hybridMultilevel"/>
    <w:tmpl w:val="8056DF26"/>
    <w:lvl w:ilvl="0" w:tplc="E1F2B47C">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7" w15:restartNumberingAfterBreak="0">
    <w:nsid w:val="2A5548FD"/>
    <w:multiLevelType w:val="hybridMultilevel"/>
    <w:tmpl w:val="8E7240B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2B5B0A30"/>
    <w:multiLevelType w:val="hybridMultilevel"/>
    <w:tmpl w:val="9D36A368"/>
    <w:lvl w:ilvl="0" w:tplc="E1F2B47C">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2C113C3D"/>
    <w:multiLevelType w:val="hybridMultilevel"/>
    <w:tmpl w:val="1D104272"/>
    <w:lvl w:ilvl="0" w:tplc="0415000F">
      <w:start w:val="1"/>
      <w:numFmt w:val="decimal"/>
      <w:lvlText w:val="%1."/>
      <w:lvlJc w:val="left"/>
      <w:pPr>
        <w:ind w:left="720" w:hanging="360"/>
      </w:pPr>
      <w:rPr>
        <w:rFonts w:hint="default"/>
      </w:rPr>
    </w:lvl>
    <w:lvl w:ilvl="1" w:tplc="04150011">
      <w:start w:val="1"/>
      <w:numFmt w:val="decimal"/>
      <w:lvlText w:val="%2)"/>
      <w:lvlJc w:val="left"/>
      <w:pPr>
        <w:ind w:left="1440" w:hanging="360"/>
      </w:pPr>
    </w:lvl>
    <w:lvl w:ilvl="2" w:tplc="04150019">
      <w:start w:val="1"/>
      <w:numFmt w:val="lowerLetter"/>
      <w:lvlText w:val="%3."/>
      <w:lvlJc w:val="lef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2C480ABB"/>
    <w:multiLevelType w:val="hybridMultilevel"/>
    <w:tmpl w:val="7AA0D72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36DA105C"/>
    <w:multiLevelType w:val="hybridMultilevel"/>
    <w:tmpl w:val="95B61554"/>
    <w:lvl w:ilvl="0" w:tplc="E1F2B47C">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E1F2B47C">
      <w:start w:val="1"/>
      <w:numFmt w:val="bullet"/>
      <w:lvlText w:val=""/>
      <w:lvlJc w:val="left"/>
      <w:pPr>
        <w:ind w:left="2160" w:hanging="360"/>
      </w:pPr>
      <w:rPr>
        <w:rFonts w:ascii="Symbol" w:hAnsi="Symbol"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3AEE07C8"/>
    <w:multiLevelType w:val="hybridMultilevel"/>
    <w:tmpl w:val="65BE9078"/>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3" w15:restartNumberingAfterBreak="0">
    <w:nsid w:val="4157654C"/>
    <w:multiLevelType w:val="hybridMultilevel"/>
    <w:tmpl w:val="D1F42ADE"/>
    <w:lvl w:ilvl="0" w:tplc="E1F2B47C">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422559BB"/>
    <w:multiLevelType w:val="hybridMultilevel"/>
    <w:tmpl w:val="AFEA3A08"/>
    <w:lvl w:ilvl="0" w:tplc="04150013">
      <w:start w:val="1"/>
      <w:numFmt w:val="upperRoman"/>
      <w:lvlText w:val="%1."/>
      <w:lvlJc w:val="right"/>
      <w:pPr>
        <w:ind w:left="780" w:hanging="360"/>
      </w:pPr>
    </w:lvl>
    <w:lvl w:ilvl="1" w:tplc="04150019">
      <w:start w:val="1"/>
      <w:numFmt w:val="lowerLetter"/>
      <w:lvlText w:val="%2."/>
      <w:lvlJc w:val="left"/>
      <w:pPr>
        <w:ind w:left="1500" w:hanging="360"/>
      </w:pPr>
    </w:lvl>
    <w:lvl w:ilvl="2" w:tplc="BFC0D570">
      <w:numFmt w:val="bullet"/>
      <w:lvlText w:val="•"/>
      <w:lvlJc w:val="left"/>
      <w:pPr>
        <w:ind w:left="2745" w:hanging="705"/>
      </w:pPr>
      <w:rPr>
        <w:rFonts w:ascii="Times New Roman" w:eastAsia="Arial Unicode MS" w:hAnsi="Times New Roman" w:cs="Times New Roman" w:hint="default"/>
      </w:rPr>
    </w:lvl>
    <w:lvl w:ilvl="3" w:tplc="0415000F" w:tentative="1">
      <w:start w:val="1"/>
      <w:numFmt w:val="decimal"/>
      <w:lvlText w:val="%4."/>
      <w:lvlJc w:val="left"/>
      <w:pPr>
        <w:ind w:left="2940" w:hanging="360"/>
      </w:pPr>
    </w:lvl>
    <w:lvl w:ilvl="4" w:tplc="04150019" w:tentative="1">
      <w:start w:val="1"/>
      <w:numFmt w:val="lowerLetter"/>
      <w:lvlText w:val="%5."/>
      <w:lvlJc w:val="left"/>
      <w:pPr>
        <w:ind w:left="3660" w:hanging="360"/>
      </w:pPr>
    </w:lvl>
    <w:lvl w:ilvl="5" w:tplc="0415001B" w:tentative="1">
      <w:start w:val="1"/>
      <w:numFmt w:val="lowerRoman"/>
      <w:lvlText w:val="%6."/>
      <w:lvlJc w:val="right"/>
      <w:pPr>
        <w:ind w:left="4380" w:hanging="180"/>
      </w:pPr>
    </w:lvl>
    <w:lvl w:ilvl="6" w:tplc="0415000F" w:tentative="1">
      <w:start w:val="1"/>
      <w:numFmt w:val="decimal"/>
      <w:lvlText w:val="%7."/>
      <w:lvlJc w:val="left"/>
      <w:pPr>
        <w:ind w:left="5100" w:hanging="360"/>
      </w:pPr>
    </w:lvl>
    <w:lvl w:ilvl="7" w:tplc="04150019" w:tentative="1">
      <w:start w:val="1"/>
      <w:numFmt w:val="lowerLetter"/>
      <w:lvlText w:val="%8."/>
      <w:lvlJc w:val="left"/>
      <w:pPr>
        <w:ind w:left="5820" w:hanging="360"/>
      </w:pPr>
    </w:lvl>
    <w:lvl w:ilvl="8" w:tplc="0415001B" w:tentative="1">
      <w:start w:val="1"/>
      <w:numFmt w:val="lowerRoman"/>
      <w:lvlText w:val="%9."/>
      <w:lvlJc w:val="right"/>
      <w:pPr>
        <w:ind w:left="6540" w:hanging="180"/>
      </w:pPr>
    </w:lvl>
  </w:abstractNum>
  <w:abstractNum w:abstractNumId="15" w15:restartNumberingAfterBreak="0">
    <w:nsid w:val="42E87FE8"/>
    <w:multiLevelType w:val="hybridMultilevel"/>
    <w:tmpl w:val="6F7E9B46"/>
    <w:lvl w:ilvl="0" w:tplc="9392E050">
      <w:start w:val="1"/>
      <w:numFmt w:val="decimal"/>
      <w:lvlText w:val="%1)"/>
      <w:lvlJc w:val="left"/>
      <w:pPr>
        <w:ind w:left="720" w:hanging="360"/>
      </w:pPr>
      <w:rPr>
        <w:rFonts w:ascii="Times New Roman" w:hAnsi="Times New Roman" w:hint="default"/>
        <w:sz w:val="24"/>
      </w:r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464624F6"/>
    <w:multiLevelType w:val="hybridMultilevel"/>
    <w:tmpl w:val="1368D2E2"/>
    <w:lvl w:ilvl="0" w:tplc="4B24FA10">
      <w:start w:val="1"/>
      <w:numFmt w:val="decimal"/>
      <w:lvlText w:val="%1)"/>
      <w:lvlJc w:val="left"/>
      <w:pPr>
        <w:ind w:left="23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4A765B83"/>
    <w:multiLevelType w:val="hybridMultilevel"/>
    <w:tmpl w:val="D6CAB672"/>
    <w:lvl w:ilvl="0" w:tplc="BEE6182E">
      <w:start w:val="1"/>
      <w:numFmt w:val="decimal"/>
      <w:lvlText w:val="%1."/>
      <w:lvlJc w:val="left"/>
      <w:pPr>
        <w:ind w:left="720" w:hanging="360"/>
      </w:pPr>
      <w:rPr>
        <w:rFonts w:cs="Times New Roman" w:hint="default"/>
        <w:b/>
        <w:color w:val="auto"/>
      </w:rPr>
    </w:lvl>
    <w:lvl w:ilvl="1" w:tplc="04150019">
      <w:start w:val="1"/>
      <w:numFmt w:val="lowerLetter"/>
      <w:lvlText w:val="%2."/>
      <w:lvlJc w:val="left"/>
      <w:pPr>
        <w:ind w:left="1440" w:hanging="360"/>
      </w:pPr>
    </w:lvl>
    <w:lvl w:ilvl="2" w:tplc="4B24FA10">
      <w:start w:val="1"/>
      <w:numFmt w:val="decimal"/>
      <w:lvlText w:val="%3)"/>
      <w:lvlJc w:val="left"/>
      <w:pPr>
        <w:ind w:left="2340" w:hanging="36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510F6887"/>
    <w:multiLevelType w:val="hybridMultilevel"/>
    <w:tmpl w:val="F5705922"/>
    <w:lvl w:ilvl="0" w:tplc="4B24FA10">
      <w:start w:val="1"/>
      <w:numFmt w:val="decimal"/>
      <w:lvlText w:val="%1)"/>
      <w:lvlJc w:val="left"/>
      <w:pPr>
        <w:ind w:left="23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51917E04"/>
    <w:multiLevelType w:val="hybridMultilevel"/>
    <w:tmpl w:val="55B2E2E6"/>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0" w15:restartNumberingAfterBreak="0">
    <w:nsid w:val="5BB27660"/>
    <w:multiLevelType w:val="hybridMultilevel"/>
    <w:tmpl w:val="F5C069F4"/>
    <w:lvl w:ilvl="0" w:tplc="4B24FA10">
      <w:start w:val="1"/>
      <w:numFmt w:val="decimal"/>
      <w:lvlText w:val="%1)"/>
      <w:lvlJc w:val="left"/>
      <w:pPr>
        <w:ind w:left="23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5DD75659"/>
    <w:multiLevelType w:val="hybridMultilevel"/>
    <w:tmpl w:val="2EE441A6"/>
    <w:lvl w:ilvl="0" w:tplc="B1D6E940">
      <w:start w:val="1"/>
      <w:numFmt w:val="decimal"/>
      <w:lvlText w:val="%1)"/>
      <w:lvlJc w:val="left"/>
      <w:pPr>
        <w:ind w:left="23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67421510"/>
    <w:multiLevelType w:val="hybridMultilevel"/>
    <w:tmpl w:val="5E0EAD3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695B1786"/>
    <w:multiLevelType w:val="hybridMultilevel"/>
    <w:tmpl w:val="25220AA4"/>
    <w:lvl w:ilvl="0" w:tplc="E1F2B47C">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69AB0EA2"/>
    <w:multiLevelType w:val="hybridMultilevel"/>
    <w:tmpl w:val="2C80B79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722B24CC"/>
    <w:multiLevelType w:val="hybridMultilevel"/>
    <w:tmpl w:val="A63CF52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778903E8"/>
    <w:multiLevelType w:val="hybridMultilevel"/>
    <w:tmpl w:val="9A8C93DA"/>
    <w:lvl w:ilvl="0" w:tplc="BEE6182E">
      <w:start w:val="1"/>
      <w:numFmt w:val="decimal"/>
      <w:lvlText w:val="%1."/>
      <w:lvlJc w:val="left"/>
      <w:pPr>
        <w:ind w:left="720" w:hanging="360"/>
      </w:pPr>
      <w:rPr>
        <w:rFonts w:cs="Times New Roman" w:hint="default"/>
        <w:b/>
        <w:color w:val="auto"/>
      </w:rPr>
    </w:lvl>
    <w:lvl w:ilvl="1" w:tplc="04150019">
      <w:start w:val="1"/>
      <w:numFmt w:val="lowerLetter"/>
      <w:lvlText w:val="%2."/>
      <w:lvlJc w:val="left"/>
      <w:pPr>
        <w:ind w:left="1440" w:hanging="360"/>
      </w:pPr>
    </w:lvl>
    <w:lvl w:ilvl="2" w:tplc="04150011">
      <w:start w:val="1"/>
      <w:numFmt w:val="decimal"/>
      <w:lvlText w:val="%3)"/>
      <w:lvlJc w:val="left"/>
      <w:pPr>
        <w:ind w:left="360" w:hanging="360"/>
      </w:pPr>
      <w:rPr>
        <w:rFonts w:hint="default"/>
      </w:r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7A321BD2"/>
    <w:multiLevelType w:val="hybridMultilevel"/>
    <w:tmpl w:val="FB06D7B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7DD533A5"/>
    <w:multiLevelType w:val="hybridMultilevel"/>
    <w:tmpl w:val="14A6635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4"/>
  </w:num>
  <w:num w:numId="2">
    <w:abstractNumId w:val="26"/>
  </w:num>
  <w:num w:numId="3">
    <w:abstractNumId w:val="28"/>
  </w:num>
  <w:num w:numId="4">
    <w:abstractNumId w:val="15"/>
  </w:num>
  <w:num w:numId="5">
    <w:abstractNumId w:val="10"/>
  </w:num>
  <w:num w:numId="6">
    <w:abstractNumId w:val="27"/>
  </w:num>
  <w:num w:numId="7">
    <w:abstractNumId w:val="16"/>
  </w:num>
  <w:num w:numId="8">
    <w:abstractNumId w:val="20"/>
  </w:num>
  <w:num w:numId="9">
    <w:abstractNumId w:val="4"/>
  </w:num>
  <w:num w:numId="10">
    <w:abstractNumId w:val="21"/>
  </w:num>
  <w:num w:numId="11">
    <w:abstractNumId w:val="17"/>
  </w:num>
  <w:num w:numId="12">
    <w:abstractNumId w:val="9"/>
  </w:num>
  <w:num w:numId="13">
    <w:abstractNumId w:val="11"/>
  </w:num>
  <w:num w:numId="14">
    <w:abstractNumId w:val="23"/>
  </w:num>
  <w:num w:numId="15">
    <w:abstractNumId w:val="13"/>
  </w:num>
  <w:num w:numId="16">
    <w:abstractNumId w:val="2"/>
  </w:num>
  <w:num w:numId="17">
    <w:abstractNumId w:val="0"/>
  </w:num>
  <w:num w:numId="18">
    <w:abstractNumId w:val="18"/>
  </w:num>
  <w:num w:numId="19">
    <w:abstractNumId w:val="5"/>
  </w:num>
  <w:num w:numId="20">
    <w:abstractNumId w:val="8"/>
  </w:num>
  <w:num w:numId="21">
    <w:abstractNumId w:val="19"/>
  </w:num>
  <w:num w:numId="22">
    <w:abstractNumId w:val="6"/>
  </w:num>
  <w:num w:numId="23">
    <w:abstractNumId w:val="12"/>
  </w:num>
  <w:num w:numId="24">
    <w:abstractNumId w:val="3"/>
  </w:num>
  <w:num w:numId="25">
    <w:abstractNumId w:val="22"/>
  </w:num>
  <w:num w:numId="26">
    <w:abstractNumId w:val="24"/>
  </w:num>
  <w:num w:numId="27">
    <w:abstractNumId w:val="7"/>
  </w:num>
  <w:num w:numId="28">
    <w:abstractNumId w:val="25"/>
  </w:num>
  <w:num w:numId="29">
    <w:abstractNumId w:val="1"/>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6234"/>
    <w:rsid w:val="000006DA"/>
    <w:rsid w:val="0000303B"/>
    <w:rsid w:val="0000453D"/>
    <w:rsid w:val="0000471F"/>
    <w:rsid w:val="0000472F"/>
    <w:rsid w:val="00004BA3"/>
    <w:rsid w:val="00005814"/>
    <w:rsid w:val="00014E81"/>
    <w:rsid w:val="00015053"/>
    <w:rsid w:val="0001654F"/>
    <w:rsid w:val="00016DCE"/>
    <w:rsid w:val="000200C2"/>
    <w:rsid w:val="0002103D"/>
    <w:rsid w:val="00021A01"/>
    <w:rsid w:val="000221AE"/>
    <w:rsid w:val="00024768"/>
    <w:rsid w:val="00024A5E"/>
    <w:rsid w:val="000257E8"/>
    <w:rsid w:val="00025D01"/>
    <w:rsid w:val="000273C2"/>
    <w:rsid w:val="000279A6"/>
    <w:rsid w:val="0003357C"/>
    <w:rsid w:val="000344DA"/>
    <w:rsid w:val="00034CE7"/>
    <w:rsid w:val="0003561A"/>
    <w:rsid w:val="00037753"/>
    <w:rsid w:val="00040E03"/>
    <w:rsid w:val="000436CA"/>
    <w:rsid w:val="00043CAF"/>
    <w:rsid w:val="0004678B"/>
    <w:rsid w:val="00047582"/>
    <w:rsid w:val="00047AAE"/>
    <w:rsid w:val="000504BD"/>
    <w:rsid w:val="00051247"/>
    <w:rsid w:val="00052549"/>
    <w:rsid w:val="00052D1D"/>
    <w:rsid w:val="000537DB"/>
    <w:rsid w:val="0006018B"/>
    <w:rsid w:val="00060224"/>
    <w:rsid w:val="000614E3"/>
    <w:rsid w:val="00062658"/>
    <w:rsid w:val="00065A77"/>
    <w:rsid w:val="00072E41"/>
    <w:rsid w:val="0007444F"/>
    <w:rsid w:val="00076AE4"/>
    <w:rsid w:val="0008007C"/>
    <w:rsid w:val="000802FB"/>
    <w:rsid w:val="00080B2F"/>
    <w:rsid w:val="00086D53"/>
    <w:rsid w:val="00087D5E"/>
    <w:rsid w:val="0009060A"/>
    <w:rsid w:val="000924A9"/>
    <w:rsid w:val="00093CE4"/>
    <w:rsid w:val="0009459E"/>
    <w:rsid w:val="00095E49"/>
    <w:rsid w:val="000960B1"/>
    <w:rsid w:val="000A047D"/>
    <w:rsid w:val="000A16E4"/>
    <w:rsid w:val="000A1BC0"/>
    <w:rsid w:val="000A2DAC"/>
    <w:rsid w:val="000A543B"/>
    <w:rsid w:val="000A6211"/>
    <w:rsid w:val="000A6809"/>
    <w:rsid w:val="000A6CCC"/>
    <w:rsid w:val="000A7DB8"/>
    <w:rsid w:val="000B1A57"/>
    <w:rsid w:val="000B2D1D"/>
    <w:rsid w:val="000B46C1"/>
    <w:rsid w:val="000B5622"/>
    <w:rsid w:val="000B6919"/>
    <w:rsid w:val="000B6CDF"/>
    <w:rsid w:val="000C1C2D"/>
    <w:rsid w:val="000C1F54"/>
    <w:rsid w:val="000C3650"/>
    <w:rsid w:val="000C4CB4"/>
    <w:rsid w:val="000C6ACC"/>
    <w:rsid w:val="000C6BAE"/>
    <w:rsid w:val="000C78EF"/>
    <w:rsid w:val="000C7E18"/>
    <w:rsid w:val="000D086F"/>
    <w:rsid w:val="000D2C12"/>
    <w:rsid w:val="000D4FBB"/>
    <w:rsid w:val="000D6091"/>
    <w:rsid w:val="000E039D"/>
    <w:rsid w:val="000E0966"/>
    <w:rsid w:val="000E36A5"/>
    <w:rsid w:val="000E36E1"/>
    <w:rsid w:val="000E4387"/>
    <w:rsid w:val="000E6637"/>
    <w:rsid w:val="000E72B4"/>
    <w:rsid w:val="000F097B"/>
    <w:rsid w:val="000F13E4"/>
    <w:rsid w:val="000F3530"/>
    <w:rsid w:val="000F3A5E"/>
    <w:rsid w:val="000F770E"/>
    <w:rsid w:val="00102042"/>
    <w:rsid w:val="00105BE1"/>
    <w:rsid w:val="00106A6F"/>
    <w:rsid w:val="00110591"/>
    <w:rsid w:val="0011179B"/>
    <w:rsid w:val="00112863"/>
    <w:rsid w:val="00113071"/>
    <w:rsid w:val="00113129"/>
    <w:rsid w:val="001138B9"/>
    <w:rsid w:val="00113968"/>
    <w:rsid w:val="00114BD6"/>
    <w:rsid w:val="00115630"/>
    <w:rsid w:val="001157B7"/>
    <w:rsid w:val="0011591F"/>
    <w:rsid w:val="00115A09"/>
    <w:rsid w:val="00116429"/>
    <w:rsid w:val="001228CB"/>
    <w:rsid w:val="0012476A"/>
    <w:rsid w:val="00124C43"/>
    <w:rsid w:val="00127F91"/>
    <w:rsid w:val="0013028D"/>
    <w:rsid w:val="00130A9C"/>
    <w:rsid w:val="0013100E"/>
    <w:rsid w:val="00133E70"/>
    <w:rsid w:val="0013670D"/>
    <w:rsid w:val="0014098E"/>
    <w:rsid w:val="00142914"/>
    <w:rsid w:val="0014544F"/>
    <w:rsid w:val="00145ED2"/>
    <w:rsid w:val="001500F0"/>
    <w:rsid w:val="001511D1"/>
    <w:rsid w:val="00154EFD"/>
    <w:rsid w:val="00156B24"/>
    <w:rsid w:val="001603FD"/>
    <w:rsid w:val="0016122B"/>
    <w:rsid w:val="0016135B"/>
    <w:rsid w:val="00162638"/>
    <w:rsid w:val="00162C25"/>
    <w:rsid w:val="001635DE"/>
    <w:rsid w:val="001661E9"/>
    <w:rsid w:val="00170E4D"/>
    <w:rsid w:val="00170F78"/>
    <w:rsid w:val="001711FE"/>
    <w:rsid w:val="001718A3"/>
    <w:rsid w:val="00171C84"/>
    <w:rsid w:val="00177F5D"/>
    <w:rsid w:val="0018006E"/>
    <w:rsid w:val="00180C7F"/>
    <w:rsid w:val="001819AD"/>
    <w:rsid w:val="00185561"/>
    <w:rsid w:val="00185E2D"/>
    <w:rsid w:val="00185E9C"/>
    <w:rsid w:val="00190F0C"/>
    <w:rsid w:val="00193350"/>
    <w:rsid w:val="001935B0"/>
    <w:rsid w:val="00196A46"/>
    <w:rsid w:val="00197A31"/>
    <w:rsid w:val="00197FB5"/>
    <w:rsid w:val="001A08E6"/>
    <w:rsid w:val="001A0AC1"/>
    <w:rsid w:val="001A0E35"/>
    <w:rsid w:val="001A1C09"/>
    <w:rsid w:val="001A307B"/>
    <w:rsid w:val="001A3C3D"/>
    <w:rsid w:val="001A58BC"/>
    <w:rsid w:val="001A7B04"/>
    <w:rsid w:val="001B31AC"/>
    <w:rsid w:val="001B454D"/>
    <w:rsid w:val="001B5520"/>
    <w:rsid w:val="001B7223"/>
    <w:rsid w:val="001B78CB"/>
    <w:rsid w:val="001C0789"/>
    <w:rsid w:val="001C0C20"/>
    <w:rsid w:val="001C107F"/>
    <w:rsid w:val="001C2772"/>
    <w:rsid w:val="001C4DCB"/>
    <w:rsid w:val="001C54C8"/>
    <w:rsid w:val="001C5531"/>
    <w:rsid w:val="001C717A"/>
    <w:rsid w:val="001C78C5"/>
    <w:rsid w:val="001C79BF"/>
    <w:rsid w:val="001E2E05"/>
    <w:rsid w:val="001E3294"/>
    <w:rsid w:val="001E395C"/>
    <w:rsid w:val="001E5E8C"/>
    <w:rsid w:val="001E6E9C"/>
    <w:rsid w:val="001E6FD6"/>
    <w:rsid w:val="001E7D6A"/>
    <w:rsid w:val="001F1B42"/>
    <w:rsid w:val="001F2841"/>
    <w:rsid w:val="001F2BA5"/>
    <w:rsid w:val="001F3B81"/>
    <w:rsid w:val="001F3ECE"/>
    <w:rsid w:val="00200E20"/>
    <w:rsid w:val="0020425D"/>
    <w:rsid w:val="002042E8"/>
    <w:rsid w:val="00204DB9"/>
    <w:rsid w:val="00206005"/>
    <w:rsid w:val="0021110B"/>
    <w:rsid w:val="00211F19"/>
    <w:rsid w:val="00212969"/>
    <w:rsid w:val="00214FA0"/>
    <w:rsid w:val="00217804"/>
    <w:rsid w:val="00217A20"/>
    <w:rsid w:val="00217BE0"/>
    <w:rsid w:val="002208A0"/>
    <w:rsid w:val="002222BB"/>
    <w:rsid w:val="0022278C"/>
    <w:rsid w:val="0022279B"/>
    <w:rsid w:val="0022339D"/>
    <w:rsid w:val="002248D1"/>
    <w:rsid w:val="00225564"/>
    <w:rsid w:val="00234408"/>
    <w:rsid w:val="00237A48"/>
    <w:rsid w:val="00241103"/>
    <w:rsid w:val="00247A89"/>
    <w:rsid w:val="002510E0"/>
    <w:rsid w:val="00251B0D"/>
    <w:rsid w:val="002529C1"/>
    <w:rsid w:val="00252F65"/>
    <w:rsid w:val="00253F9B"/>
    <w:rsid w:val="0025598E"/>
    <w:rsid w:val="0025674B"/>
    <w:rsid w:val="002607A3"/>
    <w:rsid w:val="00261225"/>
    <w:rsid w:val="00261681"/>
    <w:rsid w:val="002619C4"/>
    <w:rsid w:val="00261D03"/>
    <w:rsid w:val="002635FA"/>
    <w:rsid w:val="00265ED0"/>
    <w:rsid w:val="00270CB9"/>
    <w:rsid w:val="00271786"/>
    <w:rsid w:val="0027187A"/>
    <w:rsid w:val="002742D0"/>
    <w:rsid w:val="00274B88"/>
    <w:rsid w:val="00276EF5"/>
    <w:rsid w:val="00280E3C"/>
    <w:rsid w:val="002817A2"/>
    <w:rsid w:val="0028276C"/>
    <w:rsid w:val="00282874"/>
    <w:rsid w:val="00283D22"/>
    <w:rsid w:val="00283F25"/>
    <w:rsid w:val="00285E67"/>
    <w:rsid w:val="00286AC9"/>
    <w:rsid w:val="00287429"/>
    <w:rsid w:val="002874B1"/>
    <w:rsid w:val="002874D4"/>
    <w:rsid w:val="002879DF"/>
    <w:rsid w:val="00290C11"/>
    <w:rsid w:val="0029117F"/>
    <w:rsid w:val="00295B51"/>
    <w:rsid w:val="002A03CD"/>
    <w:rsid w:val="002A143F"/>
    <w:rsid w:val="002A4120"/>
    <w:rsid w:val="002A42B0"/>
    <w:rsid w:val="002A442E"/>
    <w:rsid w:val="002A5FF9"/>
    <w:rsid w:val="002B05FD"/>
    <w:rsid w:val="002B16B8"/>
    <w:rsid w:val="002B22C3"/>
    <w:rsid w:val="002B35E8"/>
    <w:rsid w:val="002B4E43"/>
    <w:rsid w:val="002B4F2B"/>
    <w:rsid w:val="002C18B9"/>
    <w:rsid w:val="002C3421"/>
    <w:rsid w:val="002C46D4"/>
    <w:rsid w:val="002C4CB3"/>
    <w:rsid w:val="002C5FFD"/>
    <w:rsid w:val="002D3D7A"/>
    <w:rsid w:val="002E16DF"/>
    <w:rsid w:val="002E44B3"/>
    <w:rsid w:val="002E5801"/>
    <w:rsid w:val="002E5C35"/>
    <w:rsid w:val="002E5F1F"/>
    <w:rsid w:val="002E7392"/>
    <w:rsid w:val="002E7E97"/>
    <w:rsid w:val="002F2EB0"/>
    <w:rsid w:val="002F4687"/>
    <w:rsid w:val="002F77A4"/>
    <w:rsid w:val="00300F19"/>
    <w:rsid w:val="0030247A"/>
    <w:rsid w:val="00306F5A"/>
    <w:rsid w:val="00311013"/>
    <w:rsid w:val="0031155B"/>
    <w:rsid w:val="003118C5"/>
    <w:rsid w:val="003128BB"/>
    <w:rsid w:val="003172FD"/>
    <w:rsid w:val="0032032D"/>
    <w:rsid w:val="00322425"/>
    <w:rsid w:val="00324811"/>
    <w:rsid w:val="00326678"/>
    <w:rsid w:val="00334105"/>
    <w:rsid w:val="00334577"/>
    <w:rsid w:val="00335571"/>
    <w:rsid w:val="00336131"/>
    <w:rsid w:val="00337DE1"/>
    <w:rsid w:val="00342B71"/>
    <w:rsid w:val="00342EDF"/>
    <w:rsid w:val="0034336C"/>
    <w:rsid w:val="003437E4"/>
    <w:rsid w:val="00344334"/>
    <w:rsid w:val="00344D2A"/>
    <w:rsid w:val="0034599F"/>
    <w:rsid w:val="00347D39"/>
    <w:rsid w:val="003504A6"/>
    <w:rsid w:val="003527B9"/>
    <w:rsid w:val="0035354E"/>
    <w:rsid w:val="003538D1"/>
    <w:rsid w:val="00354CF7"/>
    <w:rsid w:val="0035630D"/>
    <w:rsid w:val="00357713"/>
    <w:rsid w:val="00357904"/>
    <w:rsid w:val="00360CD8"/>
    <w:rsid w:val="0036175E"/>
    <w:rsid w:val="00362217"/>
    <w:rsid w:val="00363813"/>
    <w:rsid w:val="00365E70"/>
    <w:rsid w:val="00366A3B"/>
    <w:rsid w:val="00366EFB"/>
    <w:rsid w:val="00367FD6"/>
    <w:rsid w:val="00371216"/>
    <w:rsid w:val="00372D07"/>
    <w:rsid w:val="0037459B"/>
    <w:rsid w:val="0037661F"/>
    <w:rsid w:val="00381490"/>
    <w:rsid w:val="003814A2"/>
    <w:rsid w:val="00381E12"/>
    <w:rsid w:val="00382432"/>
    <w:rsid w:val="00382A35"/>
    <w:rsid w:val="00383551"/>
    <w:rsid w:val="003841A3"/>
    <w:rsid w:val="00387D67"/>
    <w:rsid w:val="0039251C"/>
    <w:rsid w:val="00392F87"/>
    <w:rsid w:val="00393292"/>
    <w:rsid w:val="00393DD0"/>
    <w:rsid w:val="00394AB2"/>
    <w:rsid w:val="0039507D"/>
    <w:rsid w:val="00396E8E"/>
    <w:rsid w:val="003972A8"/>
    <w:rsid w:val="003975E5"/>
    <w:rsid w:val="003A0D6B"/>
    <w:rsid w:val="003A7905"/>
    <w:rsid w:val="003B079F"/>
    <w:rsid w:val="003B0A45"/>
    <w:rsid w:val="003B31A3"/>
    <w:rsid w:val="003B5685"/>
    <w:rsid w:val="003B6234"/>
    <w:rsid w:val="003B74A0"/>
    <w:rsid w:val="003B7821"/>
    <w:rsid w:val="003C0AB3"/>
    <w:rsid w:val="003C2E38"/>
    <w:rsid w:val="003C3E52"/>
    <w:rsid w:val="003C517D"/>
    <w:rsid w:val="003C6306"/>
    <w:rsid w:val="003D1D74"/>
    <w:rsid w:val="003D27AD"/>
    <w:rsid w:val="003D315E"/>
    <w:rsid w:val="003D36FE"/>
    <w:rsid w:val="003D49F0"/>
    <w:rsid w:val="003D4E56"/>
    <w:rsid w:val="003D4F4C"/>
    <w:rsid w:val="003E55B0"/>
    <w:rsid w:val="003E619D"/>
    <w:rsid w:val="003E6B4B"/>
    <w:rsid w:val="003F13C2"/>
    <w:rsid w:val="003F4B08"/>
    <w:rsid w:val="003F72B2"/>
    <w:rsid w:val="0040024D"/>
    <w:rsid w:val="004006FC"/>
    <w:rsid w:val="00401C89"/>
    <w:rsid w:val="00402DAB"/>
    <w:rsid w:val="004041A4"/>
    <w:rsid w:val="004042AE"/>
    <w:rsid w:val="00405DF2"/>
    <w:rsid w:val="00406334"/>
    <w:rsid w:val="00406B4D"/>
    <w:rsid w:val="00407421"/>
    <w:rsid w:val="00407717"/>
    <w:rsid w:val="00410688"/>
    <w:rsid w:val="00410719"/>
    <w:rsid w:val="00410D3F"/>
    <w:rsid w:val="00411CDE"/>
    <w:rsid w:val="00412C39"/>
    <w:rsid w:val="0041391B"/>
    <w:rsid w:val="00415B5B"/>
    <w:rsid w:val="00415C8C"/>
    <w:rsid w:val="004171EB"/>
    <w:rsid w:val="00422749"/>
    <w:rsid w:val="00422A94"/>
    <w:rsid w:val="004241CD"/>
    <w:rsid w:val="0042474C"/>
    <w:rsid w:val="00424F90"/>
    <w:rsid w:val="00425D54"/>
    <w:rsid w:val="00425F36"/>
    <w:rsid w:val="004262B3"/>
    <w:rsid w:val="0042673A"/>
    <w:rsid w:val="00431FF6"/>
    <w:rsid w:val="00432235"/>
    <w:rsid w:val="0043284E"/>
    <w:rsid w:val="00434105"/>
    <w:rsid w:val="00436990"/>
    <w:rsid w:val="00436A7A"/>
    <w:rsid w:val="00436BCF"/>
    <w:rsid w:val="00437F48"/>
    <w:rsid w:val="0044092F"/>
    <w:rsid w:val="00440DA3"/>
    <w:rsid w:val="00443416"/>
    <w:rsid w:val="00443B3F"/>
    <w:rsid w:val="00445257"/>
    <w:rsid w:val="004456EE"/>
    <w:rsid w:val="00445BC7"/>
    <w:rsid w:val="004479D0"/>
    <w:rsid w:val="00447CAF"/>
    <w:rsid w:val="00451474"/>
    <w:rsid w:val="00451D05"/>
    <w:rsid w:val="00452180"/>
    <w:rsid w:val="00452453"/>
    <w:rsid w:val="00452584"/>
    <w:rsid w:val="00452993"/>
    <w:rsid w:val="0045672F"/>
    <w:rsid w:val="0045777E"/>
    <w:rsid w:val="00457B7D"/>
    <w:rsid w:val="00460DB4"/>
    <w:rsid w:val="00461966"/>
    <w:rsid w:val="00462B04"/>
    <w:rsid w:val="00462C14"/>
    <w:rsid w:val="00464CA9"/>
    <w:rsid w:val="00464E52"/>
    <w:rsid w:val="00472D4F"/>
    <w:rsid w:val="00472E26"/>
    <w:rsid w:val="004730F2"/>
    <w:rsid w:val="00473448"/>
    <w:rsid w:val="00473E04"/>
    <w:rsid w:val="004762CC"/>
    <w:rsid w:val="004775F4"/>
    <w:rsid w:val="00480050"/>
    <w:rsid w:val="0048310B"/>
    <w:rsid w:val="00483A25"/>
    <w:rsid w:val="00484BF6"/>
    <w:rsid w:val="00485C5C"/>
    <w:rsid w:val="00485EC8"/>
    <w:rsid w:val="00487234"/>
    <w:rsid w:val="004875D7"/>
    <w:rsid w:val="00490C01"/>
    <w:rsid w:val="004924E1"/>
    <w:rsid w:val="00492B8F"/>
    <w:rsid w:val="00495E74"/>
    <w:rsid w:val="004A0371"/>
    <w:rsid w:val="004A292F"/>
    <w:rsid w:val="004A681C"/>
    <w:rsid w:val="004A752A"/>
    <w:rsid w:val="004B2C25"/>
    <w:rsid w:val="004B412C"/>
    <w:rsid w:val="004B59E5"/>
    <w:rsid w:val="004B6ECD"/>
    <w:rsid w:val="004B74E1"/>
    <w:rsid w:val="004C1FE9"/>
    <w:rsid w:val="004C26F0"/>
    <w:rsid w:val="004C309F"/>
    <w:rsid w:val="004C37CE"/>
    <w:rsid w:val="004C3D53"/>
    <w:rsid w:val="004C3EBE"/>
    <w:rsid w:val="004C5831"/>
    <w:rsid w:val="004C5B7C"/>
    <w:rsid w:val="004D6469"/>
    <w:rsid w:val="004E0FC2"/>
    <w:rsid w:val="004E1036"/>
    <w:rsid w:val="004E12D7"/>
    <w:rsid w:val="004E323B"/>
    <w:rsid w:val="004E3477"/>
    <w:rsid w:val="004E3CF0"/>
    <w:rsid w:val="004E49B4"/>
    <w:rsid w:val="004E58C6"/>
    <w:rsid w:val="004E684A"/>
    <w:rsid w:val="004E6CD6"/>
    <w:rsid w:val="004E6E82"/>
    <w:rsid w:val="004F0C8C"/>
    <w:rsid w:val="004F1E7E"/>
    <w:rsid w:val="004F32CD"/>
    <w:rsid w:val="004F5A87"/>
    <w:rsid w:val="005015D0"/>
    <w:rsid w:val="00501748"/>
    <w:rsid w:val="00501E07"/>
    <w:rsid w:val="00502DF8"/>
    <w:rsid w:val="00505233"/>
    <w:rsid w:val="005054CA"/>
    <w:rsid w:val="00507A5D"/>
    <w:rsid w:val="00507B0C"/>
    <w:rsid w:val="005162F2"/>
    <w:rsid w:val="00516A4D"/>
    <w:rsid w:val="00520E24"/>
    <w:rsid w:val="005217E4"/>
    <w:rsid w:val="00527C5C"/>
    <w:rsid w:val="005310B0"/>
    <w:rsid w:val="00531145"/>
    <w:rsid w:val="00531B87"/>
    <w:rsid w:val="00532068"/>
    <w:rsid w:val="005335F9"/>
    <w:rsid w:val="00534391"/>
    <w:rsid w:val="00535531"/>
    <w:rsid w:val="00535BD5"/>
    <w:rsid w:val="00535CD3"/>
    <w:rsid w:val="0054155C"/>
    <w:rsid w:val="005422E5"/>
    <w:rsid w:val="0054305C"/>
    <w:rsid w:val="00543A69"/>
    <w:rsid w:val="005444B9"/>
    <w:rsid w:val="00544FAE"/>
    <w:rsid w:val="0054774A"/>
    <w:rsid w:val="005506CF"/>
    <w:rsid w:val="005519D0"/>
    <w:rsid w:val="0055258F"/>
    <w:rsid w:val="00554223"/>
    <w:rsid w:val="00556EFE"/>
    <w:rsid w:val="00557E10"/>
    <w:rsid w:val="005606CD"/>
    <w:rsid w:val="00561988"/>
    <w:rsid w:val="005628F6"/>
    <w:rsid w:val="005647D9"/>
    <w:rsid w:val="00565CD7"/>
    <w:rsid w:val="00567317"/>
    <w:rsid w:val="00567BC3"/>
    <w:rsid w:val="005705F9"/>
    <w:rsid w:val="0057502C"/>
    <w:rsid w:val="00575A74"/>
    <w:rsid w:val="005769D3"/>
    <w:rsid w:val="00577525"/>
    <w:rsid w:val="00577797"/>
    <w:rsid w:val="00577CA2"/>
    <w:rsid w:val="00581CBA"/>
    <w:rsid w:val="0058354E"/>
    <w:rsid w:val="00583853"/>
    <w:rsid w:val="00585768"/>
    <w:rsid w:val="00586850"/>
    <w:rsid w:val="00587142"/>
    <w:rsid w:val="005902BF"/>
    <w:rsid w:val="005913A9"/>
    <w:rsid w:val="00593ABB"/>
    <w:rsid w:val="00596D15"/>
    <w:rsid w:val="00597408"/>
    <w:rsid w:val="005A1934"/>
    <w:rsid w:val="005A36BB"/>
    <w:rsid w:val="005A4AA9"/>
    <w:rsid w:val="005B060F"/>
    <w:rsid w:val="005B22CF"/>
    <w:rsid w:val="005B26A1"/>
    <w:rsid w:val="005B4528"/>
    <w:rsid w:val="005B5B6E"/>
    <w:rsid w:val="005C0BEE"/>
    <w:rsid w:val="005C1ABE"/>
    <w:rsid w:val="005C2CCA"/>
    <w:rsid w:val="005C36F8"/>
    <w:rsid w:val="005C3C9F"/>
    <w:rsid w:val="005C3DE0"/>
    <w:rsid w:val="005C5EE4"/>
    <w:rsid w:val="005C63BE"/>
    <w:rsid w:val="005C6C43"/>
    <w:rsid w:val="005D0D82"/>
    <w:rsid w:val="005D28F2"/>
    <w:rsid w:val="005D2F8B"/>
    <w:rsid w:val="005D5077"/>
    <w:rsid w:val="005D640D"/>
    <w:rsid w:val="005E3D19"/>
    <w:rsid w:val="005E53F6"/>
    <w:rsid w:val="005E5C20"/>
    <w:rsid w:val="005E7973"/>
    <w:rsid w:val="005F236E"/>
    <w:rsid w:val="005F5A1C"/>
    <w:rsid w:val="005F6745"/>
    <w:rsid w:val="005F7C5B"/>
    <w:rsid w:val="006027B5"/>
    <w:rsid w:val="006079D7"/>
    <w:rsid w:val="00610A34"/>
    <w:rsid w:val="00611870"/>
    <w:rsid w:val="00611BA2"/>
    <w:rsid w:val="00613903"/>
    <w:rsid w:val="00614FDC"/>
    <w:rsid w:val="00615665"/>
    <w:rsid w:val="00620378"/>
    <w:rsid w:val="00620873"/>
    <w:rsid w:val="00626361"/>
    <w:rsid w:val="006322BC"/>
    <w:rsid w:val="0063412F"/>
    <w:rsid w:val="00640C6A"/>
    <w:rsid w:val="00647176"/>
    <w:rsid w:val="006524E8"/>
    <w:rsid w:val="00652F2E"/>
    <w:rsid w:val="006543DB"/>
    <w:rsid w:val="00654BB2"/>
    <w:rsid w:val="00661260"/>
    <w:rsid w:val="006620C8"/>
    <w:rsid w:val="00662F64"/>
    <w:rsid w:val="00663B87"/>
    <w:rsid w:val="006640BD"/>
    <w:rsid w:val="00667EC0"/>
    <w:rsid w:val="00671FA4"/>
    <w:rsid w:val="00672B61"/>
    <w:rsid w:val="00673537"/>
    <w:rsid w:val="00673F55"/>
    <w:rsid w:val="00674B64"/>
    <w:rsid w:val="00675003"/>
    <w:rsid w:val="006756DE"/>
    <w:rsid w:val="0067654A"/>
    <w:rsid w:val="00676F8D"/>
    <w:rsid w:val="00684B2E"/>
    <w:rsid w:val="0068644B"/>
    <w:rsid w:val="0068792E"/>
    <w:rsid w:val="00687A72"/>
    <w:rsid w:val="006902F2"/>
    <w:rsid w:val="00691144"/>
    <w:rsid w:val="00692712"/>
    <w:rsid w:val="00692F3A"/>
    <w:rsid w:val="0069413B"/>
    <w:rsid w:val="006948A7"/>
    <w:rsid w:val="00696A00"/>
    <w:rsid w:val="0069768C"/>
    <w:rsid w:val="006A0725"/>
    <w:rsid w:val="006A204C"/>
    <w:rsid w:val="006A35CB"/>
    <w:rsid w:val="006A51A5"/>
    <w:rsid w:val="006A68C0"/>
    <w:rsid w:val="006B1DAE"/>
    <w:rsid w:val="006B2A89"/>
    <w:rsid w:val="006B2FD7"/>
    <w:rsid w:val="006B40A0"/>
    <w:rsid w:val="006B48DD"/>
    <w:rsid w:val="006B5FB9"/>
    <w:rsid w:val="006B76DF"/>
    <w:rsid w:val="006B788A"/>
    <w:rsid w:val="006C043A"/>
    <w:rsid w:val="006C586D"/>
    <w:rsid w:val="006C77A9"/>
    <w:rsid w:val="006D3F2C"/>
    <w:rsid w:val="006D4247"/>
    <w:rsid w:val="006D489B"/>
    <w:rsid w:val="006D5532"/>
    <w:rsid w:val="006D5FFD"/>
    <w:rsid w:val="006E19B2"/>
    <w:rsid w:val="006E19BD"/>
    <w:rsid w:val="006E79B4"/>
    <w:rsid w:val="006F2247"/>
    <w:rsid w:val="006F3E5B"/>
    <w:rsid w:val="006F5760"/>
    <w:rsid w:val="007010B0"/>
    <w:rsid w:val="007023F4"/>
    <w:rsid w:val="00706733"/>
    <w:rsid w:val="00711735"/>
    <w:rsid w:val="0071304A"/>
    <w:rsid w:val="007132F8"/>
    <w:rsid w:val="00713840"/>
    <w:rsid w:val="007142DC"/>
    <w:rsid w:val="00714F58"/>
    <w:rsid w:val="0071655C"/>
    <w:rsid w:val="007200DB"/>
    <w:rsid w:val="00720529"/>
    <w:rsid w:val="00720AAC"/>
    <w:rsid w:val="007226EC"/>
    <w:rsid w:val="00723C03"/>
    <w:rsid w:val="007240E3"/>
    <w:rsid w:val="007257D0"/>
    <w:rsid w:val="00726805"/>
    <w:rsid w:val="00730356"/>
    <w:rsid w:val="00733785"/>
    <w:rsid w:val="007343AA"/>
    <w:rsid w:val="007343FC"/>
    <w:rsid w:val="00735B88"/>
    <w:rsid w:val="00741B6C"/>
    <w:rsid w:val="007421DA"/>
    <w:rsid w:val="00742698"/>
    <w:rsid w:val="007460CF"/>
    <w:rsid w:val="00751918"/>
    <w:rsid w:val="00752DF4"/>
    <w:rsid w:val="00760A1E"/>
    <w:rsid w:val="007634F0"/>
    <w:rsid w:val="00763A0B"/>
    <w:rsid w:val="00764AFB"/>
    <w:rsid w:val="00767D18"/>
    <w:rsid w:val="00770481"/>
    <w:rsid w:val="0077350E"/>
    <w:rsid w:val="00773657"/>
    <w:rsid w:val="00775DD9"/>
    <w:rsid w:val="00775ED1"/>
    <w:rsid w:val="0077633F"/>
    <w:rsid w:val="0077658A"/>
    <w:rsid w:val="00776C85"/>
    <w:rsid w:val="00776E50"/>
    <w:rsid w:val="00777046"/>
    <w:rsid w:val="0078008C"/>
    <w:rsid w:val="00780386"/>
    <w:rsid w:val="00780908"/>
    <w:rsid w:val="00783DD6"/>
    <w:rsid w:val="00783FBE"/>
    <w:rsid w:val="00784FFA"/>
    <w:rsid w:val="007865F8"/>
    <w:rsid w:val="00787034"/>
    <w:rsid w:val="00787E41"/>
    <w:rsid w:val="00790D0C"/>
    <w:rsid w:val="00790DE0"/>
    <w:rsid w:val="007917CC"/>
    <w:rsid w:val="0079395B"/>
    <w:rsid w:val="00793B52"/>
    <w:rsid w:val="007947DE"/>
    <w:rsid w:val="007961CB"/>
    <w:rsid w:val="00797D7F"/>
    <w:rsid w:val="007A2889"/>
    <w:rsid w:val="007A3CE1"/>
    <w:rsid w:val="007A531A"/>
    <w:rsid w:val="007A551D"/>
    <w:rsid w:val="007B0B12"/>
    <w:rsid w:val="007B2983"/>
    <w:rsid w:val="007B3369"/>
    <w:rsid w:val="007B3921"/>
    <w:rsid w:val="007B5E14"/>
    <w:rsid w:val="007C1194"/>
    <w:rsid w:val="007C24A4"/>
    <w:rsid w:val="007C265C"/>
    <w:rsid w:val="007C2E9C"/>
    <w:rsid w:val="007D0895"/>
    <w:rsid w:val="007D1E02"/>
    <w:rsid w:val="007D2CE5"/>
    <w:rsid w:val="007D6DB8"/>
    <w:rsid w:val="007D727E"/>
    <w:rsid w:val="007D7DF4"/>
    <w:rsid w:val="007E05CA"/>
    <w:rsid w:val="007E081A"/>
    <w:rsid w:val="007E207E"/>
    <w:rsid w:val="007E2EC2"/>
    <w:rsid w:val="007E6BC4"/>
    <w:rsid w:val="007F0619"/>
    <w:rsid w:val="007F10C8"/>
    <w:rsid w:val="007F1BA5"/>
    <w:rsid w:val="007F39A3"/>
    <w:rsid w:val="007F4775"/>
    <w:rsid w:val="007F489D"/>
    <w:rsid w:val="007F5246"/>
    <w:rsid w:val="007F7402"/>
    <w:rsid w:val="00800AE1"/>
    <w:rsid w:val="0080132B"/>
    <w:rsid w:val="008030CB"/>
    <w:rsid w:val="00803456"/>
    <w:rsid w:val="00803BB1"/>
    <w:rsid w:val="0080575D"/>
    <w:rsid w:val="0080619C"/>
    <w:rsid w:val="00807F1F"/>
    <w:rsid w:val="00811847"/>
    <w:rsid w:val="00816FE9"/>
    <w:rsid w:val="00817FA9"/>
    <w:rsid w:val="00822C14"/>
    <w:rsid w:val="00823465"/>
    <w:rsid w:val="0082566D"/>
    <w:rsid w:val="00830648"/>
    <w:rsid w:val="00830D02"/>
    <w:rsid w:val="00831539"/>
    <w:rsid w:val="00831591"/>
    <w:rsid w:val="00832D26"/>
    <w:rsid w:val="00833011"/>
    <w:rsid w:val="00833C19"/>
    <w:rsid w:val="008358D2"/>
    <w:rsid w:val="00835AAC"/>
    <w:rsid w:val="0083625C"/>
    <w:rsid w:val="00840E57"/>
    <w:rsid w:val="0084375C"/>
    <w:rsid w:val="00844381"/>
    <w:rsid w:val="00845688"/>
    <w:rsid w:val="0084593F"/>
    <w:rsid w:val="00846619"/>
    <w:rsid w:val="008469BB"/>
    <w:rsid w:val="0085047F"/>
    <w:rsid w:val="00855613"/>
    <w:rsid w:val="0085642C"/>
    <w:rsid w:val="00860901"/>
    <w:rsid w:val="00862DFA"/>
    <w:rsid w:val="00863F6D"/>
    <w:rsid w:val="0086457F"/>
    <w:rsid w:val="008664CD"/>
    <w:rsid w:val="008711ED"/>
    <w:rsid w:val="00871CE3"/>
    <w:rsid w:val="008731C6"/>
    <w:rsid w:val="00873785"/>
    <w:rsid w:val="0087398D"/>
    <w:rsid w:val="00874035"/>
    <w:rsid w:val="008777E0"/>
    <w:rsid w:val="00880781"/>
    <w:rsid w:val="00881665"/>
    <w:rsid w:val="008830C0"/>
    <w:rsid w:val="00884E9A"/>
    <w:rsid w:val="00886D65"/>
    <w:rsid w:val="00893564"/>
    <w:rsid w:val="00893BB7"/>
    <w:rsid w:val="00893C45"/>
    <w:rsid w:val="0089753C"/>
    <w:rsid w:val="008975AF"/>
    <w:rsid w:val="00897B13"/>
    <w:rsid w:val="008A08FA"/>
    <w:rsid w:val="008A0A58"/>
    <w:rsid w:val="008A0ADF"/>
    <w:rsid w:val="008A1DCE"/>
    <w:rsid w:val="008A2940"/>
    <w:rsid w:val="008A2990"/>
    <w:rsid w:val="008A70C3"/>
    <w:rsid w:val="008B2727"/>
    <w:rsid w:val="008B3060"/>
    <w:rsid w:val="008B5033"/>
    <w:rsid w:val="008B5E4D"/>
    <w:rsid w:val="008B662C"/>
    <w:rsid w:val="008C06A0"/>
    <w:rsid w:val="008C3158"/>
    <w:rsid w:val="008D2318"/>
    <w:rsid w:val="008D285C"/>
    <w:rsid w:val="008D3BAD"/>
    <w:rsid w:val="008D541D"/>
    <w:rsid w:val="008D61E9"/>
    <w:rsid w:val="008E2D17"/>
    <w:rsid w:val="008E45DD"/>
    <w:rsid w:val="008E54E9"/>
    <w:rsid w:val="008E61B0"/>
    <w:rsid w:val="008E7818"/>
    <w:rsid w:val="008F39ED"/>
    <w:rsid w:val="008F58E4"/>
    <w:rsid w:val="008F6AF7"/>
    <w:rsid w:val="008F74D7"/>
    <w:rsid w:val="008F7758"/>
    <w:rsid w:val="008F7CCC"/>
    <w:rsid w:val="00904FC2"/>
    <w:rsid w:val="00907A56"/>
    <w:rsid w:val="009137AF"/>
    <w:rsid w:val="00915575"/>
    <w:rsid w:val="00922EFD"/>
    <w:rsid w:val="00923FC4"/>
    <w:rsid w:val="0093153A"/>
    <w:rsid w:val="00931A10"/>
    <w:rsid w:val="00932866"/>
    <w:rsid w:val="00932F28"/>
    <w:rsid w:val="0093438E"/>
    <w:rsid w:val="00935130"/>
    <w:rsid w:val="00940671"/>
    <w:rsid w:val="009407AD"/>
    <w:rsid w:val="00941553"/>
    <w:rsid w:val="0094246E"/>
    <w:rsid w:val="009465F3"/>
    <w:rsid w:val="00947AFA"/>
    <w:rsid w:val="00950CFC"/>
    <w:rsid w:val="00952779"/>
    <w:rsid w:val="00952C33"/>
    <w:rsid w:val="0095338F"/>
    <w:rsid w:val="00953D74"/>
    <w:rsid w:val="00953E62"/>
    <w:rsid w:val="00955DA4"/>
    <w:rsid w:val="009577A0"/>
    <w:rsid w:val="00961603"/>
    <w:rsid w:val="009625CE"/>
    <w:rsid w:val="009632B8"/>
    <w:rsid w:val="00964B8C"/>
    <w:rsid w:val="009701AB"/>
    <w:rsid w:val="00971895"/>
    <w:rsid w:val="0097465D"/>
    <w:rsid w:val="0097537B"/>
    <w:rsid w:val="009821C1"/>
    <w:rsid w:val="009864E2"/>
    <w:rsid w:val="00986F49"/>
    <w:rsid w:val="00990676"/>
    <w:rsid w:val="00990C81"/>
    <w:rsid w:val="0099426F"/>
    <w:rsid w:val="00994504"/>
    <w:rsid w:val="00995595"/>
    <w:rsid w:val="009965C5"/>
    <w:rsid w:val="009A6B91"/>
    <w:rsid w:val="009A73D0"/>
    <w:rsid w:val="009B0645"/>
    <w:rsid w:val="009B06DB"/>
    <w:rsid w:val="009B0D27"/>
    <w:rsid w:val="009B3F71"/>
    <w:rsid w:val="009B4051"/>
    <w:rsid w:val="009B4701"/>
    <w:rsid w:val="009B4D44"/>
    <w:rsid w:val="009B702A"/>
    <w:rsid w:val="009B7C05"/>
    <w:rsid w:val="009C2CBB"/>
    <w:rsid w:val="009C3E4E"/>
    <w:rsid w:val="009C5020"/>
    <w:rsid w:val="009C53AB"/>
    <w:rsid w:val="009C5F9F"/>
    <w:rsid w:val="009D24E8"/>
    <w:rsid w:val="009D2B6A"/>
    <w:rsid w:val="009D2F11"/>
    <w:rsid w:val="009D50E1"/>
    <w:rsid w:val="009E0EBC"/>
    <w:rsid w:val="009E1502"/>
    <w:rsid w:val="009E20B8"/>
    <w:rsid w:val="009E3075"/>
    <w:rsid w:val="009E5DC4"/>
    <w:rsid w:val="009F0D56"/>
    <w:rsid w:val="009F3F64"/>
    <w:rsid w:val="009F5CF0"/>
    <w:rsid w:val="009F6D67"/>
    <w:rsid w:val="009F7AAB"/>
    <w:rsid w:val="00A011DE"/>
    <w:rsid w:val="00A0471F"/>
    <w:rsid w:val="00A0481E"/>
    <w:rsid w:val="00A056A2"/>
    <w:rsid w:val="00A057E1"/>
    <w:rsid w:val="00A07EB7"/>
    <w:rsid w:val="00A109C4"/>
    <w:rsid w:val="00A1277B"/>
    <w:rsid w:val="00A1366E"/>
    <w:rsid w:val="00A159DE"/>
    <w:rsid w:val="00A170DD"/>
    <w:rsid w:val="00A173C7"/>
    <w:rsid w:val="00A17B80"/>
    <w:rsid w:val="00A22774"/>
    <w:rsid w:val="00A2309B"/>
    <w:rsid w:val="00A233B2"/>
    <w:rsid w:val="00A233D9"/>
    <w:rsid w:val="00A268DC"/>
    <w:rsid w:val="00A2703D"/>
    <w:rsid w:val="00A275BE"/>
    <w:rsid w:val="00A308FB"/>
    <w:rsid w:val="00A34DB4"/>
    <w:rsid w:val="00A35436"/>
    <w:rsid w:val="00A365E7"/>
    <w:rsid w:val="00A43392"/>
    <w:rsid w:val="00A50D07"/>
    <w:rsid w:val="00A53F9D"/>
    <w:rsid w:val="00A54233"/>
    <w:rsid w:val="00A56BE9"/>
    <w:rsid w:val="00A56C30"/>
    <w:rsid w:val="00A60DFD"/>
    <w:rsid w:val="00A62564"/>
    <w:rsid w:val="00A65C4D"/>
    <w:rsid w:val="00A65E5D"/>
    <w:rsid w:val="00A70D15"/>
    <w:rsid w:val="00A729DE"/>
    <w:rsid w:val="00A733B6"/>
    <w:rsid w:val="00A73E31"/>
    <w:rsid w:val="00A76A4B"/>
    <w:rsid w:val="00A770B7"/>
    <w:rsid w:val="00A77550"/>
    <w:rsid w:val="00A822EA"/>
    <w:rsid w:val="00A83B5D"/>
    <w:rsid w:val="00A844C5"/>
    <w:rsid w:val="00A853A8"/>
    <w:rsid w:val="00A856DE"/>
    <w:rsid w:val="00A85A21"/>
    <w:rsid w:val="00A8660C"/>
    <w:rsid w:val="00A8764D"/>
    <w:rsid w:val="00A90920"/>
    <w:rsid w:val="00A92064"/>
    <w:rsid w:val="00A923C0"/>
    <w:rsid w:val="00A9335A"/>
    <w:rsid w:val="00A935E8"/>
    <w:rsid w:val="00A94100"/>
    <w:rsid w:val="00A94B76"/>
    <w:rsid w:val="00AA0261"/>
    <w:rsid w:val="00AA0B5F"/>
    <w:rsid w:val="00AA22BA"/>
    <w:rsid w:val="00AA33C3"/>
    <w:rsid w:val="00AA3CBD"/>
    <w:rsid w:val="00AA6E91"/>
    <w:rsid w:val="00AB01D3"/>
    <w:rsid w:val="00AB10B4"/>
    <w:rsid w:val="00AB21EA"/>
    <w:rsid w:val="00AB5395"/>
    <w:rsid w:val="00AB5DCE"/>
    <w:rsid w:val="00AB6032"/>
    <w:rsid w:val="00AB78BF"/>
    <w:rsid w:val="00AC2078"/>
    <w:rsid w:val="00AC3E06"/>
    <w:rsid w:val="00AC6575"/>
    <w:rsid w:val="00AD0385"/>
    <w:rsid w:val="00AD47B7"/>
    <w:rsid w:val="00AD7942"/>
    <w:rsid w:val="00AE1596"/>
    <w:rsid w:val="00AE2D9C"/>
    <w:rsid w:val="00AE34A7"/>
    <w:rsid w:val="00AE3F2D"/>
    <w:rsid w:val="00AE44F9"/>
    <w:rsid w:val="00AE53A3"/>
    <w:rsid w:val="00AE55CC"/>
    <w:rsid w:val="00AE62C9"/>
    <w:rsid w:val="00AE6451"/>
    <w:rsid w:val="00AF0AD1"/>
    <w:rsid w:val="00AF0B3F"/>
    <w:rsid w:val="00AF27E2"/>
    <w:rsid w:val="00AF39D0"/>
    <w:rsid w:val="00AF4707"/>
    <w:rsid w:val="00AF4A7D"/>
    <w:rsid w:val="00B013E2"/>
    <w:rsid w:val="00B035C6"/>
    <w:rsid w:val="00B04375"/>
    <w:rsid w:val="00B04F1A"/>
    <w:rsid w:val="00B15318"/>
    <w:rsid w:val="00B15377"/>
    <w:rsid w:val="00B15818"/>
    <w:rsid w:val="00B16F51"/>
    <w:rsid w:val="00B175FD"/>
    <w:rsid w:val="00B248A7"/>
    <w:rsid w:val="00B304A9"/>
    <w:rsid w:val="00B30E35"/>
    <w:rsid w:val="00B329BA"/>
    <w:rsid w:val="00B330D9"/>
    <w:rsid w:val="00B36975"/>
    <w:rsid w:val="00B37C56"/>
    <w:rsid w:val="00B413A5"/>
    <w:rsid w:val="00B421C2"/>
    <w:rsid w:val="00B42684"/>
    <w:rsid w:val="00B432D2"/>
    <w:rsid w:val="00B44B9D"/>
    <w:rsid w:val="00B44C0B"/>
    <w:rsid w:val="00B4541D"/>
    <w:rsid w:val="00B45A9A"/>
    <w:rsid w:val="00B461C5"/>
    <w:rsid w:val="00B47138"/>
    <w:rsid w:val="00B4744D"/>
    <w:rsid w:val="00B526EA"/>
    <w:rsid w:val="00B5586D"/>
    <w:rsid w:val="00B57A93"/>
    <w:rsid w:val="00B6144E"/>
    <w:rsid w:val="00B62651"/>
    <w:rsid w:val="00B65797"/>
    <w:rsid w:val="00B6585D"/>
    <w:rsid w:val="00B664C6"/>
    <w:rsid w:val="00B67B2F"/>
    <w:rsid w:val="00B71440"/>
    <w:rsid w:val="00B71AF0"/>
    <w:rsid w:val="00B726BF"/>
    <w:rsid w:val="00B72FE1"/>
    <w:rsid w:val="00B7610C"/>
    <w:rsid w:val="00B76E1B"/>
    <w:rsid w:val="00B77463"/>
    <w:rsid w:val="00B77643"/>
    <w:rsid w:val="00B80FEC"/>
    <w:rsid w:val="00B81E7D"/>
    <w:rsid w:val="00B82C2C"/>
    <w:rsid w:val="00B82D3F"/>
    <w:rsid w:val="00B8301D"/>
    <w:rsid w:val="00B83178"/>
    <w:rsid w:val="00B837B3"/>
    <w:rsid w:val="00B839FB"/>
    <w:rsid w:val="00B864AB"/>
    <w:rsid w:val="00B865BF"/>
    <w:rsid w:val="00B86A39"/>
    <w:rsid w:val="00B92069"/>
    <w:rsid w:val="00B92987"/>
    <w:rsid w:val="00B941F6"/>
    <w:rsid w:val="00B94C8D"/>
    <w:rsid w:val="00B959A4"/>
    <w:rsid w:val="00B95AA5"/>
    <w:rsid w:val="00B96762"/>
    <w:rsid w:val="00B97395"/>
    <w:rsid w:val="00BA0D28"/>
    <w:rsid w:val="00BA3330"/>
    <w:rsid w:val="00BA3CD6"/>
    <w:rsid w:val="00BA3F1F"/>
    <w:rsid w:val="00BA5158"/>
    <w:rsid w:val="00BA6AA2"/>
    <w:rsid w:val="00BA71AB"/>
    <w:rsid w:val="00BA7972"/>
    <w:rsid w:val="00BA7B5E"/>
    <w:rsid w:val="00BB2008"/>
    <w:rsid w:val="00BB2061"/>
    <w:rsid w:val="00BB6C3D"/>
    <w:rsid w:val="00BB6E92"/>
    <w:rsid w:val="00BB7BCE"/>
    <w:rsid w:val="00BC05FA"/>
    <w:rsid w:val="00BC0ACA"/>
    <w:rsid w:val="00BC170B"/>
    <w:rsid w:val="00BC2408"/>
    <w:rsid w:val="00BC2E70"/>
    <w:rsid w:val="00BC3602"/>
    <w:rsid w:val="00BC3D22"/>
    <w:rsid w:val="00BC477E"/>
    <w:rsid w:val="00BC6F67"/>
    <w:rsid w:val="00BE133C"/>
    <w:rsid w:val="00BE1F3B"/>
    <w:rsid w:val="00BE216B"/>
    <w:rsid w:val="00BE23C0"/>
    <w:rsid w:val="00BE24BB"/>
    <w:rsid w:val="00BE2A3A"/>
    <w:rsid w:val="00BE7994"/>
    <w:rsid w:val="00BF0EAE"/>
    <w:rsid w:val="00BF2894"/>
    <w:rsid w:val="00BF3234"/>
    <w:rsid w:val="00BF425D"/>
    <w:rsid w:val="00C0083B"/>
    <w:rsid w:val="00C028B8"/>
    <w:rsid w:val="00C04C54"/>
    <w:rsid w:val="00C05202"/>
    <w:rsid w:val="00C06A17"/>
    <w:rsid w:val="00C07A16"/>
    <w:rsid w:val="00C12D3D"/>
    <w:rsid w:val="00C12FFC"/>
    <w:rsid w:val="00C146D5"/>
    <w:rsid w:val="00C15F38"/>
    <w:rsid w:val="00C22112"/>
    <w:rsid w:val="00C232B9"/>
    <w:rsid w:val="00C2383B"/>
    <w:rsid w:val="00C23ED9"/>
    <w:rsid w:val="00C24CB7"/>
    <w:rsid w:val="00C25CA1"/>
    <w:rsid w:val="00C27D5F"/>
    <w:rsid w:val="00C30A76"/>
    <w:rsid w:val="00C31E1C"/>
    <w:rsid w:val="00C31EC8"/>
    <w:rsid w:val="00C32477"/>
    <w:rsid w:val="00C32F3F"/>
    <w:rsid w:val="00C35AE1"/>
    <w:rsid w:val="00C35F54"/>
    <w:rsid w:val="00C36DCB"/>
    <w:rsid w:val="00C40A47"/>
    <w:rsid w:val="00C40FCA"/>
    <w:rsid w:val="00C41F72"/>
    <w:rsid w:val="00C4536F"/>
    <w:rsid w:val="00C46E56"/>
    <w:rsid w:val="00C50138"/>
    <w:rsid w:val="00C51073"/>
    <w:rsid w:val="00C52D08"/>
    <w:rsid w:val="00C53753"/>
    <w:rsid w:val="00C539FB"/>
    <w:rsid w:val="00C54309"/>
    <w:rsid w:val="00C54A83"/>
    <w:rsid w:val="00C5503F"/>
    <w:rsid w:val="00C55DDB"/>
    <w:rsid w:val="00C60353"/>
    <w:rsid w:val="00C60EFB"/>
    <w:rsid w:val="00C618E8"/>
    <w:rsid w:val="00C65D01"/>
    <w:rsid w:val="00C66849"/>
    <w:rsid w:val="00C66F1E"/>
    <w:rsid w:val="00C67043"/>
    <w:rsid w:val="00C71793"/>
    <w:rsid w:val="00C720EB"/>
    <w:rsid w:val="00C7395A"/>
    <w:rsid w:val="00C73C1C"/>
    <w:rsid w:val="00C7538C"/>
    <w:rsid w:val="00C76DCD"/>
    <w:rsid w:val="00C803D3"/>
    <w:rsid w:val="00C8044C"/>
    <w:rsid w:val="00C80B2E"/>
    <w:rsid w:val="00C814ED"/>
    <w:rsid w:val="00C8191B"/>
    <w:rsid w:val="00C822A1"/>
    <w:rsid w:val="00C83A93"/>
    <w:rsid w:val="00C853B6"/>
    <w:rsid w:val="00C8763A"/>
    <w:rsid w:val="00C90CD0"/>
    <w:rsid w:val="00C90D2A"/>
    <w:rsid w:val="00C91A14"/>
    <w:rsid w:val="00C9592A"/>
    <w:rsid w:val="00CA0C84"/>
    <w:rsid w:val="00CA2BB4"/>
    <w:rsid w:val="00CA31B0"/>
    <w:rsid w:val="00CA3CCA"/>
    <w:rsid w:val="00CA411A"/>
    <w:rsid w:val="00CA6B45"/>
    <w:rsid w:val="00CA7D0E"/>
    <w:rsid w:val="00CB1364"/>
    <w:rsid w:val="00CB2BE2"/>
    <w:rsid w:val="00CB3687"/>
    <w:rsid w:val="00CB7712"/>
    <w:rsid w:val="00CC18C8"/>
    <w:rsid w:val="00CC1A34"/>
    <w:rsid w:val="00CD0658"/>
    <w:rsid w:val="00CD0D30"/>
    <w:rsid w:val="00CD2DCC"/>
    <w:rsid w:val="00CD7498"/>
    <w:rsid w:val="00CD7FB9"/>
    <w:rsid w:val="00CE0478"/>
    <w:rsid w:val="00CE25AF"/>
    <w:rsid w:val="00CE28DE"/>
    <w:rsid w:val="00CE3AAE"/>
    <w:rsid w:val="00CE4E12"/>
    <w:rsid w:val="00CE6253"/>
    <w:rsid w:val="00CE7373"/>
    <w:rsid w:val="00CE764D"/>
    <w:rsid w:val="00CE7990"/>
    <w:rsid w:val="00CE7C58"/>
    <w:rsid w:val="00CF114F"/>
    <w:rsid w:val="00CF2E0E"/>
    <w:rsid w:val="00CF42DA"/>
    <w:rsid w:val="00CF5A67"/>
    <w:rsid w:val="00CF6F19"/>
    <w:rsid w:val="00D00A68"/>
    <w:rsid w:val="00D015CD"/>
    <w:rsid w:val="00D01D57"/>
    <w:rsid w:val="00D01F21"/>
    <w:rsid w:val="00D0266C"/>
    <w:rsid w:val="00D02DA9"/>
    <w:rsid w:val="00D06E33"/>
    <w:rsid w:val="00D073E4"/>
    <w:rsid w:val="00D07483"/>
    <w:rsid w:val="00D11014"/>
    <w:rsid w:val="00D1257F"/>
    <w:rsid w:val="00D12994"/>
    <w:rsid w:val="00D16645"/>
    <w:rsid w:val="00D1702B"/>
    <w:rsid w:val="00D20A62"/>
    <w:rsid w:val="00D21A2F"/>
    <w:rsid w:val="00D253C1"/>
    <w:rsid w:val="00D25A35"/>
    <w:rsid w:val="00D262D7"/>
    <w:rsid w:val="00D27427"/>
    <w:rsid w:val="00D2795A"/>
    <w:rsid w:val="00D32662"/>
    <w:rsid w:val="00D335AE"/>
    <w:rsid w:val="00D35071"/>
    <w:rsid w:val="00D37680"/>
    <w:rsid w:val="00D402B3"/>
    <w:rsid w:val="00D41562"/>
    <w:rsid w:val="00D4253C"/>
    <w:rsid w:val="00D42DC8"/>
    <w:rsid w:val="00D43E4B"/>
    <w:rsid w:val="00D505D7"/>
    <w:rsid w:val="00D5063F"/>
    <w:rsid w:val="00D515D2"/>
    <w:rsid w:val="00D51C85"/>
    <w:rsid w:val="00D5311A"/>
    <w:rsid w:val="00D542BB"/>
    <w:rsid w:val="00D55AA6"/>
    <w:rsid w:val="00D55FCF"/>
    <w:rsid w:val="00D56AB8"/>
    <w:rsid w:val="00D56C6E"/>
    <w:rsid w:val="00D57C45"/>
    <w:rsid w:val="00D61D54"/>
    <w:rsid w:val="00D61FEF"/>
    <w:rsid w:val="00D622A3"/>
    <w:rsid w:val="00D6300A"/>
    <w:rsid w:val="00D64115"/>
    <w:rsid w:val="00D64D0B"/>
    <w:rsid w:val="00D66DF6"/>
    <w:rsid w:val="00D67F72"/>
    <w:rsid w:val="00D719AE"/>
    <w:rsid w:val="00D76D37"/>
    <w:rsid w:val="00D76F5C"/>
    <w:rsid w:val="00D7798F"/>
    <w:rsid w:val="00D82656"/>
    <w:rsid w:val="00D8420C"/>
    <w:rsid w:val="00D920F6"/>
    <w:rsid w:val="00D930B0"/>
    <w:rsid w:val="00D94153"/>
    <w:rsid w:val="00D9598B"/>
    <w:rsid w:val="00D97CBD"/>
    <w:rsid w:val="00DA063C"/>
    <w:rsid w:val="00DA07C5"/>
    <w:rsid w:val="00DA3D74"/>
    <w:rsid w:val="00DA3DEB"/>
    <w:rsid w:val="00DA3F3A"/>
    <w:rsid w:val="00DA53EB"/>
    <w:rsid w:val="00DA5A4B"/>
    <w:rsid w:val="00DA6BFA"/>
    <w:rsid w:val="00DA7D72"/>
    <w:rsid w:val="00DA7EAB"/>
    <w:rsid w:val="00DB0558"/>
    <w:rsid w:val="00DB05AB"/>
    <w:rsid w:val="00DB334E"/>
    <w:rsid w:val="00DB3493"/>
    <w:rsid w:val="00DB3722"/>
    <w:rsid w:val="00DB41B2"/>
    <w:rsid w:val="00DB5937"/>
    <w:rsid w:val="00DB5A62"/>
    <w:rsid w:val="00DC0212"/>
    <w:rsid w:val="00DC449A"/>
    <w:rsid w:val="00DC5072"/>
    <w:rsid w:val="00DC63F3"/>
    <w:rsid w:val="00DC6B2E"/>
    <w:rsid w:val="00DC7AB6"/>
    <w:rsid w:val="00DD2DC8"/>
    <w:rsid w:val="00DD5C98"/>
    <w:rsid w:val="00DD70F4"/>
    <w:rsid w:val="00DD77FD"/>
    <w:rsid w:val="00DE218A"/>
    <w:rsid w:val="00DF0187"/>
    <w:rsid w:val="00DF1303"/>
    <w:rsid w:val="00DF1549"/>
    <w:rsid w:val="00DF24A0"/>
    <w:rsid w:val="00DF5A73"/>
    <w:rsid w:val="00DF7A8B"/>
    <w:rsid w:val="00DF7F93"/>
    <w:rsid w:val="00E00CB7"/>
    <w:rsid w:val="00E01AAE"/>
    <w:rsid w:val="00E01D62"/>
    <w:rsid w:val="00E02D58"/>
    <w:rsid w:val="00E055A2"/>
    <w:rsid w:val="00E101DC"/>
    <w:rsid w:val="00E10937"/>
    <w:rsid w:val="00E13951"/>
    <w:rsid w:val="00E14120"/>
    <w:rsid w:val="00E14E1D"/>
    <w:rsid w:val="00E1531D"/>
    <w:rsid w:val="00E15704"/>
    <w:rsid w:val="00E158DC"/>
    <w:rsid w:val="00E15A37"/>
    <w:rsid w:val="00E16279"/>
    <w:rsid w:val="00E2231A"/>
    <w:rsid w:val="00E223FF"/>
    <w:rsid w:val="00E26580"/>
    <w:rsid w:val="00E265E6"/>
    <w:rsid w:val="00E2769B"/>
    <w:rsid w:val="00E310BF"/>
    <w:rsid w:val="00E31D15"/>
    <w:rsid w:val="00E324F2"/>
    <w:rsid w:val="00E3255B"/>
    <w:rsid w:val="00E32D86"/>
    <w:rsid w:val="00E3406C"/>
    <w:rsid w:val="00E341B9"/>
    <w:rsid w:val="00E346D7"/>
    <w:rsid w:val="00E35825"/>
    <w:rsid w:val="00E358DC"/>
    <w:rsid w:val="00E37F15"/>
    <w:rsid w:val="00E41354"/>
    <w:rsid w:val="00E41585"/>
    <w:rsid w:val="00E4200B"/>
    <w:rsid w:val="00E43544"/>
    <w:rsid w:val="00E46EE0"/>
    <w:rsid w:val="00E5088A"/>
    <w:rsid w:val="00E5100F"/>
    <w:rsid w:val="00E52151"/>
    <w:rsid w:val="00E52F55"/>
    <w:rsid w:val="00E54523"/>
    <w:rsid w:val="00E56D59"/>
    <w:rsid w:val="00E601F2"/>
    <w:rsid w:val="00E6062F"/>
    <w:rsid w:val="00E60A67"/>
    <w:rsid w:val="00E63319"/>
    <w:rsid w:val="00E65D47"/>
    <w:rsid w:val="00E66EE1"/>
    <w:rsid w:val="00E67116"/>
    <w:rsid w:val="00E67E71"/>
    <w:rsid w:val="00E71E90"/>
    <w:rsid w:val="00E73D8C"/>
    <w:rsid w:val="00E74EE0"/>
    <w:rsid w:val="00E765F3"/>
    <w:rsid w:val="00E8154E"/>
    <w:rsid w:val="00E864BF"/>
    <w:rsid w:val="00E86BC9"/>
    <w:rsid w:val="00E90C04"/>
    <w:rsid w:val="00E90FD9"/>
    <w:rsid w:val="00E935B9"/>
    <w:rsid w:val="00E95751"/>
    <w:rsid w:val="00E97AED"/>
    <w:rsid w:val="00EA0B0B"/>
    <w:rsid w:val="00EA1F28"/>
    <w:rsid w:val="00EA3436"/>
    <w:rsid w:val="00EA725B"/>
    <w:rsid w:val="00EA7E88"/>
    <w:rsid w:val="00EB078D"/>
    <w:rsid w:val="00EB20A3"/>
    <w:rsid w:val="00EB50C5"/>
    <w:rsid w:val="00EB5672"/>
    <w:rsid w:val="00EC0E46"/>
    <w:rsid w:val="00EC7513"/>
    <w:rsid w:val="00ED2328"/>
    <w:rsid w:val="00ED2605"/>
    <w:rsid w:val="00ED27E8"/>
    <w:rsid w:val="00ED55FC"/>
    <w:rsid w:val="00ED56DC"/>
    <w:rsid w:val="00ED5ECC"/>
    <w:rsid w:val="00ED6E8C"/>
    <w:rsid w:val="00ED71C2"/>
    <w:rsid w:val="00EE0199"/>
    <w:rsid w:val="00EE0905"/>
    <w:rsid w:val="00EE31D5"/>
    <w:rsid w:val="00EE5B52"/>
    <w:rsid w:val="00EE63B9"/>
    <w:rsid w:val="00EF3575"/>
    <w:rsid w:val="00EF511B"/>
    <w:rsid w:val="00EF6218"/>
    <w:rsid w:val="00F02B7B"/>
    <w:rsid w:val="00F04103"/>
    <w:rsid w:val="00F059AC"/>
    <w:rsid w:val="00F05DAC"/>
    <w:rsid w:val="00F063F6"/>
    <w:rsid w:val="00F1061A"/>
    <w:rsid w:val="00F11DEB"/>
    <w:rsid w:val="00F127EA"/>
    <w:rsid w:val="00F16FA8"/>
    <w:rsid w:val="00F24260"/>
    <w:rsid w:val="00F251F1"/>
    <w:rsid w:val="00F26A2E"/>
    <w:rsid w:val="00F272E5"/>
    <w:rsid w:val="00F27B06"/>
    <w:rsid w:val="00F30912"/>
    <w:rsid w:val="00F41449"/>
    <w:rsid w:val="00F4224E"/>
    <w:rsid w:val="00F4305F"/>
    <w:rsid w:val="00F4395E"/>
    <w:rsid w:val="00F44E27"/>
    <w:rsid w:val="00F45142"/>
    <w:rsid w:val="00F45BDF"/>
    <w:rsid w:val="00F517DE"/>
    <w:rsid w:val="00F521E2"/>
    <w:rsid w:val="00F52DA5"/>
    <w:rsid w:val="00F53EDC"/>
    <w:rsid w:val="00F54E34"/>
    <w:rsid w:val="00F57320"/>
    <w:rsid w:val="00F5750C"/>
    <w:rsid w:val="00F5797A"/>
    <w:rsid w:val="00F6055A"/>
    <w:rsid w:val="00F619F0"/>
    <w:rsid w:val="00F64E47"/>
    <w:rsid w:val="00F65D7E"/>
    <w:rsid w:val="00F668C5"/>
    <w:rsid w:val="00F66F6B"/>
    <w:rsid w:val="00F708CA"/>
    <w:rsid w:val="00F73A8D"/>
    <w:rsid w:val="00F77238"/>
    <w:rsid w:val="00F80DFE"/>
    <w:rsid w:val="00F810B6"/>
    <w:rsid w:val="00F8577F"/>
    <w:rsid w:val="00F9171B"/>
    <w:rsid w:val="00F91DFD"/>
    <w:rsid w:val="00F93451"/>
    <w:rsid w:val="00F939A9"/>
    <w:rsid w:val="00F94E85"/>
    <w:rsid w:val="00F9629E"/>
    <w:rsid w:val="00FA1CF0"/>
    <w:rsid w:val="00FA2AFF"/>
    <w:rsid w:val="00FA35F7"/>
    <w:rsid w:val="00FA41FE"/>
    <w:rsid w:val="00FA55B6"/>
    <w:rsid w:val="00FA6A98"/>
    <w:rsid w:val="00FC017F"/>
    <w:rsid w:val="00FC075D"/>
    <w:rsid w:val="00FC2F03"/>
    <w:rsid w:val="00FC2F3D"/>
    <w:rsid w:val="00FC6A1B"/>
    <w:rsid w:val="00FC7BA6"/>
    <w:rsid w:val="00FD13F7"/>
    <w:rsid w:val="00FD1FFD"/>
    <w:rsid w:val="00FD744D"/>
    <w:rsid w:val="00FE0821"/>
    <w:rsid w:val="00FE237A"/>
    <w:rsid w:val="00FE2731"/>
    <w:rsid w:val="00FE2BA3"/>
    <w:rsid w:val="00FE4E56"/>
    <w:rsid w:val="00FF1B74"/>
    <w:rsid w:val="00FF21D8"/>
    <w:rsid w:val="00FF3C20"/>
    <w:rsid w:val="00FF40AA"/>
    <w:rsid w:val="00FF44FB"/>
    <w:rsid w:val="00FF4FA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7C86983-23CC-4A4A-A0BC-6799D126EE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Calibri" w:hAnsi="Times"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871CE3"/>
    <w:rPr>
      <w:rFonts w:ascii="Times New Roman" w:eastAsia="Times New Roman" w:hAnsi="Times New Roman" w:cs="Arial"/>
      <w:sz w:val="24"/>
      <w:lang w:eastAsia="en-US"/>
    </w:rPr>
  </w:style>
  <w:style w:type="paragraph" w:styleId="Nagwek1">
    <w:name w:val="heading 1"/>
    <w:basedOn w:val="Normalny"/>
    <w:next w:val="Normalny"/>
    <w:link w:val="Nagwek1Znak"/>
    <w:uiPriority w:val="9"/>
    <w:qFormat/>
    <w:rsid w:val="003D36FE"/>
    <w:pPr>
      <w:keepNext/>
      <w:keepLines/>
      <w:spacing w:before="480" w:line="276" w:lineRule="auto"/>
      <w:outlineLvl w:val="0"/>
    </w:pPr>
    <w:rPr>
      <w:rFonts w:ascii="Cambria" w:hAnsi="Cambria" w:cs="Times New Roman"/>
      <w:b/>
      <w:bCs/>
      <w:color w:val="365F91"/>
      <w:sz w:val="28"/>
      <w:szCs w:val="2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871CE3"/>
    <w:pPr>
      <w:ind w:left="1497"/>
    </w:pPr>
  </w:style>
  <w:style w:type="paragraph" w:customStyle="1" w:styleId="ZTIRwPKTzmtirwpktartykuempunktem">
    <w:name w:val="Z/TIR_w_PKT – zm. tir. w pkt artykułem (punktem)"/>
    <w:basedOn w:val="TIRtiret"/>
    <w:uiPriority w:val="33"/>
    <w:qFormat/>
    <w:rsid w:val="00871CE3"/>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871CE3"/>
    <w:pPr>
      <w:ind w:left="1021"/>
    </w:pPr>
  </w:style>
  <w:style w:type="paragraph" w:customStyle="1" w:styleId="2TIRpodwjnytiret">
    <w:name w:val="2TIR – podwójny tiret"/>
    <w:basedOn w:val="TIRtiret"/>
    <w:uiPriority w:val="73"/>
    <w:qFormat/>
    <w:rsid w:val="00871CE3"/>
    <w:pPr>
      <w:ind w:left="1780"/>
    </w:pPr>
  </w:style>
  <w:style w:type="paragraph" w:customStyle="1" w:styleId="ARTartustawynprozporzdzenia">
    <w:name w:val="ART(§) – art. ustawy (§ np. rozporządzenia)"/>
    <w:uiPriority w:val="11"/>
    <w:qFormat/>
    <w:rsid w:val="00871CE3"/>
    <w:pPr>
      <w:suppressAutoHyphens/>
      <w:autoSpaceDE w:val="0"/>
      <w:autoSpaceDN w:val="0"/>
      <w:adjustRightInd w:val="0"/>
      <w:spacing w:before="120" w:line="360" w:lineRule="auto"/>
      <w:ind w:firstLine="510"/>
      <w:jc w:val="both"/>
    </w:pPr>
    <w:rPr>
      <w:rFonts w:eastAsia="Times New Roman" w:cs="Arial"/>
      <w:sz w:val="24"/>
      <w:lang w:eastAsia="en-US"/>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871CE3"/>
    <w:pPr>
      <w:ind w:left="1497"/>
    </w:pPr>
  </w:style>
  <w:style w:type="paragraph" w:customStyle="1" w:styleId="ZTIRwLITzmtirwlitartykuempunktem">
    <w:name w:val="Z/TIR_w_LIT – zm. tir. w lit. artykułem (punktem)"/>
    <w:basedOn w:val="TIRtiret"/>
    <w:uiPriority w:val="33"/>
    <w:qFormat/>
    <w:rsid w:val="00871CE3"/>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871CE3"/>
  </w:style>
  <w:style w:type="paragraph" w:customStyle="1" w:styleId="ZPKTzmpktartykuempunktem">
    <w:name w:val="Z/PKT – zm. pkt artykułem (punktem)"/>
    <w:basedOn w:val="PKTpunkt"/>
    <w:uiPriority w:val="31"/>
    <w:qFormat/>
    <w:rsid w:val="00871CE3"/>
    <w:pPr>
      <w:ind w:left="1020"/>
    </w:pPr>
  </w:style>
  <w:style w:type="paragraph" w:customStyle="1" w:styleId="ZARTzmartartykuempunktem">
    <w:name w:val="Z/ART(§) – zm. art. (§) artykułem (punktem)"/>
    <w:basedOn w:val="ARTartustawynprozporzdzenia"/>
    <w:uiPriority w:val="30"/>
    <w:qFormat/>
    <w:rsid w:val="00871CE3"/>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871CE3"/>
    <w:pPr>
      <w:keepNext/>
      <w:suppressAutoHyphens/>
      <w:spacing w:before="120" w:after="120" w:line="360" w:lineRule="auto"/>
      <w:jc w:val="center"/>
    </w:pPr>
    <w:rPr>
      <w:rFonts w:eastAsia="Times New Roman" w:cs="Arial"/>
      <w:bCs/>
      <w:sz w:val="24"/>
      <w:szCs w:val="24"/>
      <w:lang w:eastAsia="en-US"/>
    </w:rPr>
  </w:style>
  <w:style w:type="paragraph" w:customStyle="1" w:styleId="TYTUAKTUprzedmiotregulacjiustawylubrozporzdzenia">
    <w:name w:val="TYTUŁ_AKTU – przedmiot regulacji ustawy lub rozporządzenia"/>
    <w:next w:val="ARTartustawynprozporzdzenia"/>
    <w:uiPriority w:val="6"/>
    <w:qFormat/>
    <w:rsid w:val="00871CE3"/>
    <w:pPr>
      <w:keepNext/>
      <w:suppressAutoHyphens/>
      <w:spacing w:before="120" w:after="360" w:line="360" w:lineRule="auto"/>
      <w:jc w:val="center"/>
    </w:pPr>
    <w:rPr>
      <w:rFonts w:eastAsia="Times New Roman" w:cs="Arial"/>
      <w:b/>
      <w:bCs/>
      <w:sz w:val="24"/>
      <w:szCs w:val="24"/>
      <w:lang w:eastAsia="en-US"/>
    </w:rPr>
  </w:style>
  <w:style w:type="paragraph" w:customStyle="1" w:styleId="CZKSIGAoznaczenieiprzedmiotczcilubksigi">
    <w:name w:val="CZĘŚĆ(KSIĘGA) – oznaczenie i przedmiot części lub księgi"/>
    <w:next w:val="ARTartustawynprozporzdzenia"/>
    <w:uiPriority w:val="8"/>
    <w:qFormat/>
    <w:rsid w:val="00871CE3"/>
    <w:pPr>
      <w:keepNext/>
      <w:suppressAutoHyphens/>
      <w:spacing w:before="120" w:line="360" w:lineRule="auto"/>
      <w:jc w:val="center"/>
    </w:pPr>
    <w:rPr>
      <w:b/>
      <w:bCs/>
      <w:caps/>
      <w:kern w:val="24"/>
      <w:sz w:val="24"/>
      <w:szCs w:val="24"/>
      <w:lang w:eastAsia="en-US"/>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871CE3"/>
    <w:rPr>
      <w:bCs/>
    </w:rPr>
  </w:style>
  <w:style w:type="paragraph" w:customStyle="1" w:styleId="OZNRODZAKTUtznustawalubrozporzdzenieiorganwydajcy">
    <w:name w:val="OZN_RODZ_AKTU – tzn. ustawa lub rozporządzenie i organ wydający"/>
    <w:next w:val="DATAAKTUdatauchwalenialubwydaniaaktu"/>
    <w:uiPriority w:val="5"/>
    <w:qFormat/>
    <w:rsid w:val="00871CE3"/>
    <w:pPr>
      <w:keepNext/>
      <w:suppressAutoHyphens/>
      <w:spacing w:after="120" w:line="360" w:lineRule="auto"/>
      <w:jc w:val="center"/>
    </w:pPr>
    <w:rPr>
      <w:b/>
      <w:bCs/>
      <w:caps/>
      <w:spacing w:val="54"/>
      <w:kern w:val="24"/>
      <w:sz w:val="24"/>
      <w:szCs w:val="24"/>
      <w:lang w:eastAsia="en-US"/>
    </w:rPr>
  </w:style>
  <w:style w:type="paragraph" w:customStyle="1" w:styleId="USTustnpkodeksu">
    <w:name w:val="UST(§) – ust. (§ np. kodeksu)"/>
    <w:basedOn w:val="ARTartustawynprozporzdzenia"/>
    <w:uiPriority w:val="12"/>
    <w:qFormat/>
    <w:rsid w:val="00871CE3"/>
    <w:pPr>
      <w:spacing w:before="0"/>
    </w:pPr>
    <w:rPr>
      <w:bCs/>
    </w:rPr>
  </w:style>
  <w:style w:type="paragraph" w:customStyle="1" w:styleId="PKTpunkt">
    <w:name w:val="PKT – punkt"/>
    <w:uiPriority w:val="13"/>
    <w:qFormat/>
    <w:rsid w:val="00871CE3"/>
    <w:pPr>
      <w:spacing w:line="360" w:lineRule="auto"/>
      <w:ind w:left="510" w:hanging="510"/>
      <w:jc w:val="both"/>
    </w:pPr>
    <w:rPr>
      <w:rFonts w:eastAsia="Times New Roman" w:cs="Arial"/>
      <w:bCs/>
      <w:sz w:val="24"/>
      <w:lang w:eastAsia="en-US"/>
    </w:rPr>
  </w:style>
  <w:style w:type="paragraph" w:customStyle="1" w:styleId="CZWSPPKTczwsplnapunktw">
    <w:name w:val="CZ_WSP_PKT – część wspólna punktów"/>
    <w:basedOn w:val="PKTpunkt"/>
    <w:next w:val="USTustnpkodeksu"/>
    <w:uiPriority w:val="16"/>
    <w:qFormat/>
    <w:rsid w:val="00871CE3"/>
    <w:pPr>
      <w:ind w:left="0" w:firstLine="0"/>
    </w:pPr>
  </w:style>
  <w:style w:type="paragraph" w:customStyle="1" w:styleId="LITlitera">
    <w:name w:val="LIT – litera"/>
    <w:basedOn w:val="PKTpunkt"/>
    <w:uiPriority w:val="14"/>
    <w:qFormat/>
    <w:rsid w:val="00871CE3"/>
    <w:pPr>
      <w:ind w:left="986" w:hanging="476"/>
    </w:pPr>
  </w:style>
  <w:style w:type="paragraph" w:customStyle="1" w:styleId="CZWSPLITczwsplnaliter">
    <w:name w:val="CZ_WSP_LIT – część wspólna liter"/>
    <w:basedOn w:val="LITlitera"/>
    <w:next w:val="USTustnpkodeksu"/>
    <w:uiPriority w:val="17"/>
    <w:qFormat/>
    <w:rsid w:val="00871CE3"/>
    <w:pPr>
      <w:ind w:left="510" w:firstLine="0"/>
    </w:pPr>
    <w:rPr>
      <w:szCs w:val="24"/>
    </w:rPr>
  </w:style>
  <w:style w:type="paragraph" w:customStyle="1" w:styleId="TIRtiret">
    <w:name w:val="TIR – tiret"/>
    <w:basedOn w:val="LITlitera"/>
    <w:uiPriority w:val="15"/>
    <w:qFormat/>
    <w:rsid w:val="00871CE3"/>
    <w:pPr>
      <w:ind w:left="1384" w:hanging="397"/>
    </w:pPr>
  </w:style>
  <w:style w:type="paragraph" w:customStyle="1" w:styleId="CZWSPTIRczwsplnatiret">
    <w:name w:val="CZ_WSP_TIR – część wspólna tiret"/>
    <w:basedOn w:val="TIRtiret"/>
    <w:next w:val="USTustnpkodeksu"/>
    <w:uiPriority w:val="17"/>
    <w:qFormat/>
    <w:rsid w:val="00871CE3"/>
    <w:pPr>
      <w:ind w:left="987" w:firstLine="0"/>
    </w:pPr>
  </w:style>
  <w:style w:type="paragraph" w:customStyle="1" w:styleId="CYTcytatnpprzysigi">
    <w:name w:val="CYT – cytat np. przysięgi"/>
    <w:basedOn w:val="USTustnpkodeksu"/>
    <w:next w:val="USTustnpkodeksu"/>
    <w:uiPriority w:val="18"/>
    <w:qFormat/>
    <w:rsid w:val="00871CE3"/>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871CE3"/>
    <w:pPr>
      <w:keepNext/>
      <w:suppressAutoHyphens/>
      <w:spacing w:before="120" w:line="360" w:lineRule="auto"/>
      <w:jc w:val="center"/>
    </w:pPr>
    <w:rPr>
      <w:rFonts w:eastAsia="Times New Roman"/>
      <w:b/>
      <w:bCs/>
      <w:sz w:val="24"/>
      <w:szCs w:val="24"/>
      <w:lang w:eastAsia="en-US"/>
    </w:rPr>
  </w:style>
  <w:style w:type="paragraph" w:customStyle="1" w:styleId="ZLITzmlitartykuempunktem">
    <w:name w:val="Z/LIT – zm. lit. artykułem (punktem)"/>
    <w:basedOn w:val="LITlitera"/>
    <w:uiPriority w:val="32"/>
    <w:qFormat/>
    <w:rsid w:val="00871CE3"/>
  </w:style>
  <w:style w:type="paragraph" w:customStyle="1" w:styleId="ZLITCZWSPTIRwLITzmczciwsptirwlitliter">
    <w:name w:val="Z_LIT/CZ_WSP_TIR_w_LIT – zm. części wsp. tir. w lit. literą"/>
    <w:basedOn w:val="CZWSPTIRczwsplnatiret"/>
    <w:next w:val="LITlitera"/>
    <w:uiPriority w:val="51"/>
    <w:qFormat/>
    <w:rsid w:val="00871CE3"/>
    <w:pPr>
      <w:ind w:left="1463"/>
    </w:pPr>
  </w:style>
  <w:style w:type="paragraph" w:customStyle="1" w:styleId="ZLITTIRwLITzmtirwlitliter">
    <w:name w:val="Z_LIT/TIR_w_LIT – zm. tir. w lit. literą"/>
    <w:basedOn w:val="TIRtiret"/>
    <w:uiPriority w:val="49"/>
    <w:qFormat/>
    <w:rsid w:val="00871CE3"/>
    <w:pPr>
      <w:ind w:left="1860"/>
    </w:pPr>
  </w:style>
  <w:style w:type="paragraph" w:customStyle="1" w:styleId="TYTDZOZNoznaczenietytuulubdziau">
    <w:name w:val="TYT(DZ)_OZN – oznaczenie tytułu lub działu"/>
    <w:next w:val="Normalny"/>
    <w:uiPriority w:val="9"/>
    <w:qFormat/>
    <w:rsid w:val="00871CE3"/>
    <w:pPr>
      <w:keepNext/>
      <w:spacing w:before="120" w:line="360" w:lineRule="auto"/>
      <w:jc w:val="center"/>
    </w:pPr>
    <w:rPr>
      <w:rFonts w:eastAsia="Times New Roman" w:cs="Arial"/>
      <w:bCs/>
      <w:caps/>
      <w:kern w:val="24"/>
      <w:sz w:val="24"/>
      <w:szCs w:val="24"/>
      <w:lang w:eastAsia="en-US"/>
    </w:rPr>
  </w:style>
  <w:style w:type="paragraph" w:customStyle="1" w:styleId="ZWMATFIZCHEMzmwzorumatfizlubchemartykuempunktem">
    <w:name w:val="Z/W_MAT(FIZ|CHEM) – zm. wzoru mat. (fiz. lub chem.) artykułem (punktem)"/>
    <w:basedOn w:val="WMATFIZCHEMwzrmatfizlubchem"/>
    <w:uiPriority w:val="38"/>
    <w:qFormat/>
    <w:rsid w:val="00871CE3"/>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871CE3"/>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871CE3"/>
    <w:pPr>
      <w:keepNext/>
      <w:suppressAutoHyphens/>
      <w:spacing w:line="360" w:lineRule="auto"/>
      <w:ind w:left="510"/>
      <w:jc w:val="center"/>
    </w:pPr>
    <w:rPr>
      <w:sz w:val="24"/>
      <w:szCs w:val="26"/>
      <w:lang w:eastAsia="en-US"/>
    </w:rPr>
  </w:style>
  <w:style w:type="paragraph" w:customStyle="1" w:styleId="ZTIRzmtirartykuempunktem">
    <w:name w:val="Z/TIR – zm. tir. artykułem (punktem)"/>
    <w:basedOn w:val="TIRtiret"/>
    <w:next w:val="PKTpunkt"/>
    <w:uiPriority w:val="33"/>
    <w:qFormat/>
    <w:rsid w:val="00871CE3"/>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871CE3"/>
    <w:pPr>
      <w:ind w:left="510"/>
    </w:pPr>
  </w:style>
  <w:style w:type="paragraph" w:customStyle="1" w:styleId="ZZLITzmianazmlit">
    <w:name w:val="ZZ/LIT – zmiana zm. lit."/>
    <w:basedOn w:val="ZZPKTzmianazmpkt"/>
    <w:uiPriority w:val="67"/>
    <w:qFormat/>
    <w:rsid w:val="00871CE3"/>
    <w:pPr>
      <w:ind w:left="2370" w:hanging="476"/>
    </w:pPr>
  </w:style>
  <w:style w:type="paragraph" w:customStyle="1" w:styleId="ZZTIRzmianazmtir">
    <w:name w:val="ZZ/TIR – zmiana zm. tir."/>
    <w:basedOn w:val="ZZLITzmianazmlit"/>
    <w:uiPriority w:val="67"/>
    <w:qFormat/>
    <w:rsid w:val="00871CE3"/>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871CE3"/>
    <w:pPr>
      <w:keepNext/>
      <w:suppressAutoHyphens/>
      <w:spacing w:line="360" w:lineRule="auto"/>
      <w:ind w:left="510"/>
      <w:jc w:val="center"/>
    </w:pPr>
    <w:rPr>
      <w:rFonts w:eastAsia="Times New Roman" w:cs="Arial"/>
      <w:bCs/>
      <w:kern w:val="24"/>
      <w:sz w:val="24"/>
      <w:szCs w:val="24"/>
      <w:lang w:eastAsia="en-US"/>
    </w:rPr>
  </w:style>
  <w:style w:type="paragraph" w:customStyle="1" w:styleId="ZLITUSTzmustliter">
    <w:name w:val="Z_LIT/UST(§) – zm. ust. (§) literą"/>
    <w:basedOn w:val="USTustnpkodeksu"/>
    <w:uiPriority w:val="46"/>
    <w:qFormat/>
    <w:rsid w:val="00871CE3"/>
    <w:pPr>
      <w:ind w:left="987"/>
    </w:pPr>
  </w:style>
  <w:style w:type="paragraph" w:customStyle="1" w:styleId="ZLITPKTzmpktliter">
    <w:name w:val="Z_LIT/PKT – zm. pkt literą"/>
    <w:basedOn w:val="PKTpunkt"/>
    <w:uiPriority w:val="47"/>
    <w:qFormat/>
    <w:rsid w:val="00871CE3"/>
    <w:pPr>
      <w:ind w:left="1497"/>
    </w:pPr>
  </w:style>
  <w:style w:type="paragraph" w:customStyle="1" w:styleId="ZZCZWSPPKTzmianazmczciwsppkt">
    <w:name w:val="ZZ/CZ_WSP_PKT – zmiana. zm. części wsp. pkt"/>
    <w:basedOn w:val="ZZARTzmianazmart"/>
    <w:next w:val="ZPKTzmpktartykuempunktem"/>
    <w:uiPriority w:val="68"/>
    <w:qFormat/>
    <w:rsid w:val="00871CE3"/>
    <w:pPr>
      <w:ind w:firstLine="0"/>
    </w:pPr>
  </w:style>
  <w:style w:type="paragraph" w:customStyle="1" w:styleId="ZLITLITzmlitliter">
    <w:name w:val="Z_LIT/LIT – zm. lit. literą"/>
    <w:basedOn w:val="LITlitera"/>
    <w:uiPriority w:val="48"/>
    <w:qFormat/>
    <w:rsid w:val="00871CE3"/>
    <w:pPr>
      <w:ind w:left="1463"/>
    </w:pPr>
  </w:style>
  <w:style w:type="paragraph" w:customStyle="1" w:styleId="ZLITCZWSPPKTzmczciwsppktliter">
    <w:name w:val="Z_LIT/CZ_WSP_PKT – zm. części wsp. pkt literą"/>
    <w:basedOn w:val="CZWSPLITczwsplnaliter"/>
    <w:next w:val="LITlitera"/>
    <w:uiPriority w:val="50"/>
    <w:qFormat/>
    <w:rsid w:val="00871CE3"/>
    <w:pPr>
      <w:ind w:left="987"/>
    </w:pPr>
  </w:style>
  <w:style w:type="paragraph" w:customStyle="1" w:styleId="ZLITTIRzmtirliter">
    <w:name w:val="Z_LIT/TIR – zm. tir. literą"/>
    <w:basedOn w:val="TIRtiret"/>
    <w:uiPriority w:val="49"/>
    <w:qFormat/>
    <w:rsid w:val="00871CE3"/>
  </w:style>
  <w:style w:type="paragraph" w:customStyle="1" w:styleId="ZZCZWSPLITwPKTzmianazmczciwsplitwpkt">
    <w:name w:val="ZZ/CZ_WSP_LIT_w_PKT – zmiana zm. części wsp. lit. w pkt"/>
    <w:basedOn w:val="ZZLITwPKTzmianazmlitwpkt"/>
    <w:uiPriority w:val="69"/>
    <w:qFormat/>
    <w:rsid w:val="00871CE3"/>
    <w:pPr>
      <w:ind w:left="2404" w:firstLine="0"/>
    </w:pPr>
  </w:style>
  <w:style w:type="paragraph" w:customStyle="1" w:styleId="ZLITLITwPKTzmlitwpktliter">
    <w:name w:val="Z_LIT/LIT_w_PKT – zm. lit. w pkt literą"/>
    <w:basedOn w:val="LITlitera"/>
    <w:uiPriority w:val="48"/>
    <w:qFormat/>
    <w:rsid w:val="00871CE3"/>
    <w:pPr>
      <w:ind w:left="1973"/>
    </w:pPr>
  </w:style>
  <w:style w:type="paragraph" w:customStyle="1" w:styleId="ZLITCZWSPLITwPKTzmczciwsplitwpktliter">
    <w:name w:val="Z_LIT/CZ_WSP_LIT_w_PKT – zm. części wsp. lit. w pkt literą"/>
    <w:basedOn w:val="CZWSPLITczwsplnaliter"/>
    <w:next w:val="LITlitera"/>
    <w:uiPriority w:val="51"/>
    <w:qFormat/>
    <w:rsid w:val="00871CE3"/>
    <w:pPr>
      <w:ind w:left="1497"/>
    </w:pPr>
  </w:style>
  <w:style w:type="paragraph" w:customStyle="1" w:styleId="ZLITTIRwPKTzmtirwpktliter">
    <w:name w:val="Z_LIT/TIR_w_PKT – zm. tir. w pkt literą"/>
    <w:basedOn w:val="TIRtiret"/>
    <w:uiPriority w:val="49"/>
    <w:qFormat/>
    <w:rsid w:val="00871CE3"/>
    <w:pPr>
      <w:ind w:left="2370"/>
    </w:pPr>
  </w:style>
  <w:style w:type="paragraph" w:customStyle="1" w:styleId="ZLITCZWSPTIRwPKTzmczciwsptirwpktliter">
    <w:name w:val="Z_LIT/CZ_WSP_TIR_w_PKT – zm. części wsp. tir. w pkt literą"/>
    <w:basedOn w:val="CZWSPTIRczwsplnatiret"/>
    <w:next w:val="LITlitera"/>
    <w:uiPriority w:val="51"/>
    <w:qFormat/>
    <w:rsid w:val="00871CE3"/>
    <w:pPr>
      <w:ind w:left="1973"/>
    </w:pPr>
  </w:style>
  <w:style w:type="paragraph" w:customStyle="1" w:styleId="ZTIRLITzmlittiret">
    <w:name w:val="Z_TIR/LIT – zm. lit. tiret"/>
    <w:basedOn w:val="LITlitera"/>
    <w:uiPriority w:val="57"/>
    <w:qFormat/>
    <w:rsid w:val="00871CE3"/>
    <w:pPr>
      <w:ind w:left="1859"/>
    </w:pPr>
  </w:style>
  <w:style w:type="paragraph" w:customStyle="1" w:styleId="ZTIRCZWSPPKTzmczciwsppkttiret">
    <w:name w:val="Z_TIR/CZ_WSP_PKT – zm. części wsp. pkt tiret"/>
    <w:basedOn w:val="CZWSPLITczwsplnaliter"/>
    <w:next w:val="TIRtiret"/>
    <w:uiPriority w:val="58"/>
    <w:qFormat/>
    <w:rsid w:val="00871CE3"/>
    <w:pPr>
      <w:ind w:left="1383"/>
    </w:pPr>
  </w:style>
  <w:style w:type="paragraph" w:customStyle="1" w:styleId="ZTIRTIRzmtirtiret">
    <w:name w:val="Z_TIR/TIR – zm. tir. tiret"/>
    <w:basedOn w:val="TIRtiret"/>
    <w:uiPriority w:val="57"/>
    <w:qFormat/>
    <w:rsid w:val="00871CE3"/>
    <w:pPr>
      <w:ind w:left="1780"/>
    </w:pPr>
  </w:style>
  <w:style w:type="paragraph" w:customStyle="1" w:styleId="ZZCZWSPTIRwPKTzmianazmczciwsptirwpkt">
    <w:name w:val="ZZ/CZ_WSP_TIR_w_PKT – zmiana zm. części wsp. tir. w pkt"/>
    <w:basedOn w:val="ZZTIRwPKTzmianazmtirwpkt"/>
    <w:uiPriority w:val="70"/>
    <w:qFormat/>
    <w:rsid w:val="00871CE3"/>
    <w:pPr>
      <w:ind w:left="2880" w:firstLine="0"/>
    </w:pPr>
  </w:style>
  <w:style w:type="paragraph" w:customStyle="1" w:styleId="ZZTIRwLITzmianazmtirwlit">
    <w:name w:val="ZZ/TIR_w_LIT – zmiana zm. tir. w lit."/>
    <w:basedOn w:val="ZZTIRzmianazmtir"/>
    <w:uiPriority w:val="67"/>
    <w:qFormat/>
    <w:rsid w:val="00871CE3"/>
    <w:pPr>
      <w:ind w:left="2767"/>
    </w:pPr>
  </w:style>
  <w:style w:type="paragraph" w:customStyle="1" w:styleId="ZTIRTIRwLITzmtirwlittiret">
    <w:name w:val="Z_TIR/TIR_w_LIT – zm. tir. w lit. tiret"/>
    <w:basedOn w:val="TIRtiret"/>
    <w:uiPriority w:val="57"/>
    <w:qFormat/>
    <w:rsid w:val="00871CE3"/>
    <w:pPr>
      <w:ind w:left="2257"/>
    </w:pPr>
  </w:style>
  <w:style w:type="paragraph" w:customStyle="1" w:styleId="ZTIRCZWSPTIRwLITzmczciwsptirwlittiret">
    <w:name w:val="Z_TIR/CZ_WSP_TIR_w_LIT – zm. części wsp. tir. w lit. tiret"/>
    <w:basedOn w:val="CZWSPTIRczwsplnatiret"/>
    <w:next w:val="TIRtiret"/>
    <w:uiPriority w:val="60"/>
    <w:qFormat/>
    <w:rsid w:val="00871CE3"/>
    <w:pPr>
      <w:ind w:left="1860"/>
    </w:pPr>
  </w:style>
  <w:style w:type="paragraph" w:customStyle="1" w:styleId="CZWSP2TIRczwsplnapodwjnychtiret">
    <w:name w:val="CZ_WSP_2TIR – część wspólna podwójnych tiret"/>
    <w:basedOn w:val="CZWSPTIRczwsplnatiret"/>
    <w:next w:val="TIRtiret"/>
    <w:uiPriority w:val="73"/>
    <w:qFormat/>
    <w:rsid w:val="00871CE3"/>
    <w:pPr>
      <w:ind w:left="1780"/>
    </w:pPr>
  </w:style>
  <w:style w:type="paragraph" w:customStyle="1" w:styleId="Z2TIRzmpodwtirartykuempunktem">
    <w:name w:val="Z/2TIR – zm. podw. tir. artykułem (punktem)"/>
    <w:basedOn w:val="TIRtiret"/>
    <w:uiPriority w:val="73"/>
    <w:qFormat/>
    <w:rsid w:val="00871CE3"/>
    <w:pPr>
      <w:ind w:left="907"/>
    </w:pPr>
  </w:style>
  <w:style w:type="paragraph" w:customStyle="1" w:styleId="ZZCZWSPTIRwLITzmianazmczciwsptirwlit">
    <w:name w:val="ZZ/CZ_WSP_TIR_w_LIT – zmiana zm. części wsp. tir. w lit."/>
    <w:basedOn w:val="ZZTIRwLITzmianazmtirwlit"/>
    <w:uiPriority w:val="70"/>
    <w:qFormat/>
    <w:rsid w:val="00871CE3"/>
    <w:pPr>
      <w:ind w:left="2370" w:firstLine="0"/>
    </w:pPr>
  </w:style>
  <w:style w:type="paragraph" w:customStyle="1" w:styleId="ZLIT2TIRzmpodwtirliter">
    <w:name w:val="Z_LIT/2TIR – zm. podw. tir. literą"/>
    <w:basedOn w:val="TIRtiret"/>
    <w:uiPriority w:val="75"/>
    <w:qFormat/>
    <w:rsid w:val="00871CE3"/>
  </w:style>
  <w:style w:type="paragraph" w:customStyle="1" w:styleId="ZTIR2TIRzmpodwtirtiret">
    <w:name w:val="Z_TIR/2TIR – zm. podw. tir. tiret"/>
    <w:basedOn w:val="TIRtiret"/>
    <w:uiPriority w:val="78"/>
    <w:qFormat/>
    <w:rsid w:val="00871CE3"/>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871CE3"/>
    <w:pPr>
      <w:ind w:left="1780"/>
    </w:pPr>
  </w:style>
  <w:style w:type="paragraph" w:customStyle="1" w:styleId="Z2TIRwPKTzmpodwtirwpktartykuempunktem">
    <w:name w:val="Z/2TIR_w_PKT – zm. podw. tir. w pkt artykułem (punktem)"/>
    <w:basedOn w:val="TIRtiret"/>
    <w:next w:val="ZPKTzmpktartykuempunktem"/>
    <w:uiPriority w:val="74"/>
    <w:qFormat/>
    <w:rsid w:val="00871CE3"/>
    <w:pPr>
      <w:ind w:left="2291"/>
    </w:pPr>
  </w:style>
  <w:style w:type="paragraph" w:customStyle="1" w:styleId="ZTIRPKTzmpkttiret">
    <w:name w:val="Z_TIR/PKT – zm. pkt tiret"/>
    <w:basedOn w:val="PKTpunkt"/>
    <w:uiPriority w:val="56"/>
    <w:qFormat/>
    <w:rsid w:val="00871CE3"/>
    <w:pPr>
      <w:ind w:left="1893"/>
    </w:pPr>
  </w:style>
  <w:style w:type="paragraph" w:customStyle="1" w:styleId="ZTIRLITwPKTzmlitwpkttiret">
    <w:name w:val="Z_TIR/LIT_w_PKT – zm. lit. w pkt tiret"/>
    <w:basedOn w:val="LITlitera"/>
    <w:uiPriority w:val="57"/>
    <w:qFormat/>
    <w:rsid w:val="00871CE3"/>
    <w:pPr>
      <w:ind w:left="2336"/>
    </w:pPr>
  </w:style>
  <w:style w:type="paragraph" w:customStyle="1" w:styleId="ZTIRCZWSPLITwPKTzmczciwsplitwpkttiret">
    <w:name w:val="Z_TIR/CZ_WSP_LIT_w_PKT – zm. części wsp. lit. w pkt tiret"/>
    <w:basedOn w:val="CZWSPLITczwsplnaliter"/>
    <w:uiPriority w:val="59"/>
    <w:qFormat/>
    <w:rsid w:val="00871CE3"/>
    <w:pPr>
      <w:ind w:left="1860"/>
    </w:pPr>
  </w:style>
  <w:style w:type="paragraph" w:customStyle="1" w:styleId="ZTIR2TIRwLITzmpodwtirwlittiret">
    <w:name w:val="Z_TIR/2TIR_w_LIT – zm. podw. tir. w lit. tiret"/>
    <w:basedOn w:val="TIRtiret"/>
    <w:uiPriority w:val="79"/>
    <w:qFormat/>
    <w:rsid w:val="00871CE3"/>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871CE3"/>
    <w:pPr>
      <w:ind w:left="2257"/>
    </w:pPr>
  </w:style>
  <w:style w:type="paragraph" w:customStyle="1" w:styleId="ZTIR2TIRwTIRzmpodwtirwtirtiret">
    <w:name w:val="Z_TIR/2TIR_w_TIR – zm. podw. tir. w tir. tiret"/>
    <w:basedOn w:val="TIRtiret"/>
    <w:uiPriority w:val="78"/>
    <w:qFormat/>
    <w:rsid w:val="00871CE3"/>
    <w:pPr>
      <w:ind w:left="2177"/>
    </w:pPr>
  </w:style>
  <w:style w:type="paragraph" w:customStyle="1" w:styleId="ZTIRCZWSP2TIRwTIRzmczciwsppodwtirwtirtiret">
    <w:name w:val="Z_TIR/CZ_WSP_2TIR_w_TIR – zm. części wsp. podw. tir. w tir. tiret"/>
    <w:basedOn w:val="CZWSPTIRczwsplnatiret"/>
    <w:uiPriority w:val="79"/>
    <w:qFormat/>
    <w:rsid w:val="00871CE3"/>
    <w:pPr>
      <w:ind w:left="1780"/>
    </w:pPr>
  </w:style>
  <w:style w:type="paragraph" w:customStyle="1" w:styleId="Z2TIRLITzmlitpodwjnymtiret">
    <w:name w:val="Z_2TIR/LIT – zm. lit. podwójnym tiret"/>
    <w:basedOn w:val="LITlitera"/>
    <w:uiPriority w:val="84"/>
    <w:qFormat/>
    <w:rsid w:val="00871CE3"/>
    <w:pPr>
      <w:ind w:left="2256"/>
    </w:pPr>
  </w:style>
  <w:style w:type="paragraph" w:customStyle="1" w:styleId="ZZ2TIRwTIRzmianazmpodwtirwtir">
    <w:name w:val="ZZ/2TIR_w_TIR – zmiana zm. podw. tir. w tir."/>
    <w:basedOn w:val="ZZCZWSP2TIRzmianazmczciwsppodwtir"/>
    <w:uiPriority w:val="93"/>
    <w:qFormat/>
    <w:rsid w:val="00871CE3"/>
    <w:pPr>
      <w:ind w:left="2688" w:hanging="397"/>
    </w:pPr>
  </w:style>
  <w:style w:type="paragraph" w:customStyle="1" w:styleId="ZZ2TIRwLITzmianazmpodwtirwlit">
    <w:name w:val="ZZ/2TIR_w_LIT – zmiana zm. podw. tir. w lit."/>
    <w:basedOn w:val="ZZ2TIRwTIRzmianazmpodwtirwtir"/>
    <w:uiPriority w:val="94"/>
    <w:qFormat/>
    <w:rsid w:val="00871CE3"/>
    <w:pPr>
      <w:ind w:left="3164"/>
    </w:pPr>
  </w:style>
  <w:style w:type="paragraph" w:customStyle="1" w:styleId="Z2TIRTIRwLITzmtirwlitpodwjnymtiret">
    <w:name w:val="Z_2TIR/TIR_w_LIT – zm. tir. w lit. podwójnym tiret"/>
    <w:basedOn w:val="TIRtiret"/>
    <w:uiPriority w:val="84"/>
    <w:qFormat/>
    <w:rsid w:val="00871CE3"/>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871CE3"/>
    <w:pPr>
      <w:ind w:left="2257"/>
    </w:pPr>
  </w:style>
  <w:style w:type="paragraph" w:customStyle="1" w:styleId="ZZ2TIRwPKTzmianazmpodwtirwpkt">
    <w:name w:val="ZZ/2TIR_w_PKT – zmiana zm. podw. tir. w pkt"/>
    <w:basedOn w:val="ZZ2TIRwLITzmianazmpodwtirwlit"/>
    <w:uiPriority w:val="94"/>
    <w:qFormat/>
    <w:rsid w:val="00871CE3"/>
    <w:pPr>
      <w:ind w:left="3674"/>
    </w:pPr>
  </w:style>
  <w:style w:type="paragraph" w:customStyle="1" w:styleId="ZZCZWSP2TIRwTIRzmianazmczciwsppodwtirwtir">
    <w:name w:val="ZZ/CZ_WSP_2TIR_w_TIR – zmiana zm. części wsp. podw. tir. w tir."/>
    <w:basedOn w:val="ZZ2TIRwLITzmianazmpodwtirwlit"/>
    <w:uiPriority w:val="94"/>
    <w:qFormat/>
    <w:rsid w:val="00871CE3"/>
    <w:pPr>
      <w:ind w:left="2291" w:firstLine="0"/>
    </w:pPr>
  </w:style>
  <w:style w:type="paragraph" w:customStyle="1" w:styleId="Z2TIR2TIRwTIRzmpodwtirwtirpodwjnymtiret">
    <w:name w:val="Z_2TIR/2TIR_w_TIR – zm. podw. tir. w tir. podwójnym tiret"/>
    <w:basedOn w:val="TIRtiret"/>
    <w:uiPriority w:val="85"/>
    <w:qFormat/>
    <w:rsid w:val="00871CE3"/>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871CE3"/>
    <w:pPr>
      <w:ind w:left="2177"/>
    </w:pPr>
  </w:style>
  <w:style w:type="paragraph" w:customStyle="1" w:styleId="Z2TIR2TIRwLITzmpodwtirwlitpodwjnymtiret">
    <w:name w:val="Z_2TIR/2TIR_w_LIT – zm. podw. tir. w lit. podwójnym tiret"/>
    <w:basedOn w:val="TIRtiret"/>
    <w:uiPriority w:val="86"/>
    <w:qFormat/>
    <w:rsid w:val="00871CE3"/>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871CE3"/>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871CE3"/>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871CE3"/>
    <w:pPr>
      <w:spacing w:after="120"/>
      <w:ind w:left="510"/>
    </w:pPr>
    <w:rPr>
      <w:b w:val="0"/>
    </w:rPr>
  </w:style>
  <w:style w:type="paragraph" w:customStyle="1" w:styleId="ZZARTzmianazmart">
    <w:name w:val="ZZ/ART(§) – zmiana zm. art. (§)"/>
    <w:basedOn w:val="ZARTzmartartykuempunktem"/>
    <w:uiPriority w:val="65"/>
    <w:qFormat/>
    <w:rsid w:val="00871CE3"/>
    <w:pPr>
      <w:ind w:left="1894"/>
    </w:pPr>
  </w:style>
  <w:style w:type="paragraph" w:customStyle="1" w:styleId="ZZPKTzmianazmpkt">
    <w:name w:val="ZZ/PKT – zmiana zm. pkt"/>
    <w:basedOn w:val="ZPKTzmpktartykuempunktem"/>
    <w:uiPriority w:val="66"/>
    <w:qFormat/>
    <w:rsid w:val="00871CE3"/>
    <w:pPr>
      <w:ind w:left="2404"/>
    </w:pPr>
  </w:style>
  <w:style w:type="paragraph" w:customStyle="1" w:styleId="ZZLITwPKTzmianazmlitwpkt">
    <w:name w:val="ZZ/LIT_w_PKT – zmiana zm. lit. w pkt"/>
    <w:basedOn w:val="ZLITwPKTzmlitwpktartykuempunktem"/>
    <w:uiPriority w:val="67"/>
    <w:qFormat/>
    <w:rsid w:val="00871CE3"/>
    <w:pPr>
      <w:ind w:left="2880"/>
    </w:pPr>
  </w:style>
  <w:style w:type="paragraph" w:customStyle="1" w:styleId="ZZTIRwPKTzmianazmtirwpkt">
    <w:name w:val="ZZ/TIR_w_PKT – zmiana zm. tir. w pkt"/>
    <w:basedOn w:val="ZTIRwPKTzmtirwpktartykuempunktem"/>
    <w:uiPriority w:val="67"/>
    <w:qFormat/>
    <w:rsid w:val="00871CE3"/>
    <w:pPr>
      <w:ind w:left="3277"/>
    </w:pPr>
  </w:style>
  <w:style w:type="paragraph" w:customStyle="1" w:styleId="ZZWMATFIZCHEMzmwzorumatfizlubchem">
    <w:name w:val="ZZ/W_MAT(FIZ|CHEM) – zm. wzoru mat. (fiz. lub chem.)"/>
    <w:basedOn w:val="ZWMATFIZCHEMzmwzorumatfizlubchemartykuempunktem"/>
    <w:uiPriority w:val="71"/>
    <w:qFormat/>
    <w:rsid w:val="00871CE3"/>
    <w:pPr>
      <w:ind w:left="2404"/>
    </w:pPr>
  </w:style>
  <w:style w:type="paragraph" w:customStyle="1" w:styleId="ODNONIKtreodnonika">
    <w:name w:val="ODNOŚNIK – treść odnośnika"/>
    <w:uiPriority w:val="19"/>
    <w:qFormat/>
    <w:rsid w:val="00871CE3"/>
    <w:pPr>
      <w:ind w:left="284" w:hanging="284"/>
      <w:jc w:val="both"/>
    </w:pPr>
    <w:rPr>
      <w:rFonts w:ascii="Times New Roman" w:eastAsia="Times New Roman" w:hAnsi="Times New Roman" w:cs="Arial"/>
      <w:lang w:eastAsia="en-US"/>
    </w:rPr>
  </w:style>
  <w:style w:type="paragraph" w:customStyle="1" w:styleId="ZFRAGzmfragmentunpzdaniaartykuempunktem">
    <w:name w:val="Z/FRAG – zm. fragmentu (np. zdania) artykułem (punktem)"/>
    <w:basedOn w:val="ZARTzmartartykuempunktem"/>
    <w:next w:val="PKTpunkt"/>
    <w:uiPriority w:val="36"/>
    <w:qFormat/>
    <w:rsid w:val="00871CE3"/>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871CE3"/>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871CE3"/>
    <w:rPr>
      <w:rFonts w:ascii="Times New Roman" w:hAnsi="Times New Roman"/>
    </w:rPr>
  </w:style>
  <w:style w:type="paragraph" w:customStyle="1" w:styleId="ZTIRTIRwPKTzmtirwpkttiret">
    <w:name w:val="Z_TIR/TIR_w_PKT – zm. tir. w pkt tiret"/>
    <w:basedOn w:val="ZTIRTIRwLITzmtirwlittiret"/>
    <w:uiPriority w:val="57"/>
    <w:qFormat/>
    <w:rsid w:val="00871CE3"/>
    <w:pPr>
      <w:ind w:left="2733"/>
    </w:pPr>
  </w:style>
  <w:style w:type="paragraph" w:customStyle="1" w:styleId="ZTIRCZWSPTIRwPKTzmczciwsptirtiret">
    <w:name w:val="Z_TIR/CZ_WSP_TIR_w_PKT – zm. części wsp. tir. tiret"/>
    <w:basedOn w:val="ZTIRTIRwPKTzmtirwpkttiret"/>
    <w:next w:val="TIRtiret"/>
    <w:uiPriority w:val="60"/>
    <w:qFormat/>
    <w:rsid w:val="00871CE3"/>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871CE3"/>
    <w:pPr>
      <w:ind w:left="510" w:firstLine="0"/>
    </w:pPr>
  </w:style>
  <w:style w:type="paragraph" w:customStyle="1" w:styleId="ROZDZODDZOZNoznaczenierozdziauluboddziau">
    <w:name w:val="ROZDZ(ODDZ)_OZN – oznaczenie rozdziału lub oddziału"/>
    <w:next w:val="ARTartustawynprozporzdzenia"/>
    <w:uiPriority w:val="10"/>
    <w:qFormat/>
    <w:rsid w:val="00871CE3"/>
    <w:pPr>
      <w:keepNext/>
      <w:suppressAutoHyphens/>
      <w:spacing w:before="120" w:line="360" w:lineRule="auto"/>
      <w:jc w:val="center"/>
    </w:pPr>
    <w:rPr>
      <w:rFonts w:eastAsia="Times New Roman" w:cs="Arial"/>
      <w:bCs/>
      <w:kern w:val="24"/>
      <w:sz w:val="24"/>
      <w:szCs w:val="24"/>
      <w:lang w:eastAsia="en-US"/>
    </w:rPr>
  </w:style>
  <w:style w:type="paragraph" w:customStyle="1" w:styleId="Z2TIR2TIRzmpodwtirpodwjnymtiret">
    <w:name w:val="Z_2TIR/2TIR – zm. podw. tir. podwójnym tiret"/>
    <w:basedOn w:val="TIRtiret"/>
    <w:uiPriority w:val="85"/>
    <w:qFormat/>
    <w:rsid w:val="00871CE3"/>
    <w:pPr>
      <w:ind w:left="2177"/>
    </w:pPr>
  </w:style>
  <w:style w:type="paragraph" w:customStyle="1" w:styleId="Z2TIRTIRzmtirpodwjnymtiret">
    <w:name w:val="Z_2TIR/TIR – zm. tir. podwójnym tiret"/>
    <w:basedOn w:val="TIRtiret"/>
    <w:uiPriority w:val="84"/>
    <w:qFormat/>
    <w:rsid w:val="00871CE3"/>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871CE3"/>
    <w:pPr>
      <w:ind w:left="1021"/>
    </w:pPr>
  </w:style>
  <w:style w:type="paragraph" w:customStyle="1" w:styleId="ZLITSKARNzmsankcjikarnejliter">
    <w:name w:val="Z_LIT/S_KARN – zm. sankcji karnej literą"/>
    <w:basedOn w:val="ZSKARNzmsankcjikarnejwszczeglnociwKodeksiekarnym"/>
    <w:uiPriority w:val="53"/>
    <w:qFormat/>
    <w:rsid w:val="00871CE3"/>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871CE3"/>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871CE3"/>
    <w:pPr>
      <w:ind w:left="1894" w:firstLine="0"/>
    </w:pPr>
  </w:style>
  <w:style w:type="paragraph" w:customStyle="1" w:styleId="Z2TIRwLITzmpodwtirwlitartykuempunktem">
    <w:name w:val="Z/2TIR_w_LIT – zm. podw. tir. w lit. artykułem (punktem)"/>
    <w:basedOn w:val="Z2TIRwPKTzmpodwtirwpktartykuempunktem"/>
    <w:uiPriority w:val="74"/>
    <w:qFormat/>
    <w:rsid w:val="00871CE3"/>
    <w:pPr>
      <w:ind w:left="1780"/>
    </w:pPr>
  </w:style>
  <w:style w:type="paragraph" w:customStyle="1" w:styleId="Z2TIRwTIRzmpodwtirwtirartykuempunktem">
    <w:name w:val="Z/2TIR_w_TIR – zm. podw. tir. w tir. artykułem (punktem)"/>
    <w:basedOn w:val="Z2TIRwLITzmpodwtirwlitartykuempunktem"/>
    <w:uiPriority w:val="73"/>
    <w:qFormat/>
    <w:rsid w:val="00871CE3"/>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871CE3"/>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871CE3"/>
    <w:pPr>
      <w:ind w:left="1383" w:firstLine="0"/>
    </w:pPr>
  </w:style>
  <w:style w:type="paragraph" w:customStyle="1" w:styleId="ZZCZWSP2TIRzmianazmczciwsppodwtir">
    <w:name w:val="ZZ/CZ_WSP_2TIR – zmiana zm. części wsp. podw. tir."/>
    <w:basedOn w:val="ZZTIRzmianazmtir"/>
    <w:next w:val="ZZUSTzmianazmust"/>
    <w:uiPriority w:val="94"/>
    <w:qFormat/>
    <w:rsid w:val="00871CE3"/>
    <w:pPr>
      <w:ind w:left="1894" w:firstLine="0"/>
    </w:pPr>
  </w:style>
  <w:style w:type="paragraph" w:customStyle="1" w:styleId="PKTODNONIKApunktodnonika">
    <w:name w:val="PKT_ODNOŚNIKA – punkt odnośnika"/>
    <w:basedOn w:val="ODNONIKtreodnonika"/>
    <w:uiPriority w:val="19"/>
    <w:qFormat/>
    <w:rsid w:val="00871CE3"/>
    <w:pPr>
      <w:ind w:left="568"/>
    </w:pPr>
  </w:style>
  <w:style w:type="paragraph" w:customStyle="1" w:styleId="ZODNONIKAzmtekstuodnonikaartykuempunktem">
    <w:name w:val="Z/ODNOŚNIKA – zm. tekstu odnośnika artykułem (punktem)"/>
    <w:basedOn w:val="ODNONIKtreodnonika"/>
    <w:uiPriority w:val="39"/>
    <w:qFormat/>
    <w:rsid w:val="00871CE3"/>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871CE3"/>
    <w:pPr>
      <w:ind w:left="1304"/>
    </w:pPr>
  </w:style>
  <w:style w:type="paragraph" w:customStyle="1" w:styleId="ZPKTODNONIKAzmpktodnonikaartykuempunktem">
    <w:name w:val="Z/PKT_ODNOŚNIKA – zm. pkt odnośnika artykułem (punktem)"/>
    <w:basedOn w:val="ZODNONIKAzmtekstuodnonikaartykuempunktem"/>
    <w:uiPriority w:val="39"/>
    <w:qFormat/>
    <w:rsid w:val="00871CE3"/>
  </w:style>
  <w:style w:type="paragraph" w:customStyle="1" w:styleId="ZLIT2TIRwTIRzmpodwtirwtirliter">
    <w:name w:val="Z_LIT/2TIR_w_TIR – zm. podw. tir. w tir. literą"/>
    <w:basedOn w:val="ZLIT2TIRzmpodwtirliter"/>
    <w:uiPriority w:val="75"/>
    <w:qFormat/>
    <w:rsid w:val="00871CE3"/>
    <w:pPr>
      <w:ind w:left="1780"/>
    </w:pPr>
  </w:style>
  <w:style w:type="paragraph" w:customStyle="1" w:styleId="ZLIT2TIRwLITzmpodwtirwlitliter">
    <w:name w:val="Z_LIT/2TIR_w_LIT – zm. podw. tir. w lit. literą"/>
    <w:basedOn w:val="ZLIT2TIRwTIRzmpodwtirwtirliter"/>
    <w:uiPriority w:val="76"/>
    <w:qFormat/>
    <w:rsid w:val="00871CE3"/>
    <w:pPr>
      <w:ind w:left="2257"/>
    </w:pPr>
  </w:style>
  <w:style w:type="paragraph" w:customStyle="1" w:styleId="ZLIT2TIRwPKTzmpodwtirwpktliter">
    <w:name w:val="Z_LIT/2TIR_w_PKT – zm. podw. tir. w pkt literą"/>
    <w:basedOn w:val="ZLIT2TIRwLITzmpodwtirwlitliter"/>
    <w:uiPriority w:val="76"/>
    <w:qFormat/>
    <w:rsid w:val="00871CE3"/>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871CE3"/>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871CE3"/>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871CE3"/>
    <w:pPr>
      <w:ind w:left="2370" w:firstLine="0"/>
    </w:pPr>
  </w:style>
  <w:style w:type="paragraph" w:customStyle="1" w:styleId="ZTIR2TIRwPKTzmpodwtirwpkttiret">
    <w:name w:val="Z_TIR/2TIR_w_PKT – zm. podw. tir. w pkt tiret"/>
    <w:basedOn w:val="ZTIR2TIRwLITzmpodwtirwlittiret"/>
    <w:uiPriority w:val="79"/>
    <w:qFormat/>
    <w:rsid w:val="00871CE3"/>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871CE3"/>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871CE3"/>
    <w:pPr>
      <w:ind w:left="2767"/>
    </w:pPr>
  </w:style>
  <w:style w:type="paragraph" w:customStyle="1" w:styleId="ZZCZWSP2TIRwPKTzmianazmczciwsppodwtirwpkt">
    <w:name w:val="ZZ/CZ_WSP_2TIR_w_PKT – zmiana zm. części wsp. podw. tir. w pkt"/>
    <w:basedOn w:val="ZZ2TIRwLITzmianazmpodwtirwlit"/>
    <w:uiPriority w:val="95"/>
    <w:qFormat/>
    <w:rsid w:val="00871CE3"/>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871CE3"/>
  </w:style>
  <w:style w:type="paragraph" w:customStyle="1" w:styleId="ZLITCZWSP2TIRzmczciwsppodwtirliter">
    <w:name w:val="Z_LIT/CZ_WSP_2TIR – zm. części wsp. podw. tir. literą"/>
    <w:basedOn w:val="ZLITCZWSPPKTzmczciwsppktliter"/>
    <w:next w:val="LITlitera"/>
    <w:uiPriority w:val="76"/>
    <w:qFormat/>
    <w:rsid w:val="00871CE3"/>
  </w:style>
  <w:style w:type="paragraph" w:customStyle="1" w:styleId="ZTIRCZWSP2TIRzmczciwsppodwtirtiret">
    <w:name w:val="Z_TIR/CZ_WSP_2TIR – zm. części wsp. podw. tir. tiret"/>
    <w:basedOn w:val="ZLITCZWSP2TIRzmczciwsppodwtirliter"/>
    <w:next w:val="TIRtiret"/>
    <w:uiPriority w:val="79"/>
    <w:qFormat/>
    <w:rsid w:val="00871CE3"/>
  </w:style>
  <w:style w:type="paragraph" w:customStyle="1" w:styleId="ZZ2TIRzmianazmpodwtir">
    <w:name w:val="ZZ/2TIR – zmiana zm. podw. tir."/>
    <w:basedOn w:val="ZZCZWSP2TIRzmianazmczciwsppodwtir"/>
    <w:uiPriority w:val="93"/>
    <w:qFormat/>
    <w:rsid w:val="00871CE3"/>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871CE3"/>
  </w:style>
  <w:style w:type="paragraph" w:customStyle="1" w:styleId="ZCZWSPTIRzmczciwsptirartykuempunktem">
    <w:name w:val="Z/CZ_WSP_TIR – zm. części wsp. tir. artykułem (punktem)"/>
    <w:basedOn w:val="ZCZWSPPKTzmczciwsppktartykuempunktem"/>
    <w:next w:val="PKTpunkt"/>
    <w:uiPriority w:val="35"/>
    <w:qFormat/>
    <w:rsid w:val="00871CE3"/>
  </w:style>
  <w:style w:type="paragraph" w:customStyle="1" w:styleId="ZLITCZWSPLITzmczciwsplitliter">
    <w:name w:val="Z_LIT/CZ_WSP_LIT – zm. części wsp. lit. literą"/>
    <w:basedOn w:val="ZLITCZWSPPKTzmczciwsppktliter"/>
    <w:next w:val="LITlitera"/>
    <w:uiPriority w:val="51"/>
    <w:qFormat/>
    <w:rsid w:val="00871CE3"/>
  </w:style>
  <w:style w:type="paragraph" w:customStyle="1" w:styleId="ZLITCZWSPTIRzmczciwsptirliter">
    <w:name w:val="Z_LIT/CZ_WSP_TIR – zm. części wsp. tir. literą"/>
    <w:basedOn w:val="ZLITCZWSPPKTzmczciwsppktliter"/>
    <w:next w:val="LITlitera"/>
    <w:uiPriority w:val="51"/>
    <w:qFormat/>
    <w:rsid w:val="00871CE3"/>
  </w:style>
  <w:style w:type="paragraph" w:customStyle="1" w:styleId="ZTIRCZWSPLITzmczciwsplittiret">
    <w:name w:val="Z_TIR/CZ_WSP_LIT – zm. części wsp. lit. tiret"/>
    <w:basedOn w:val="ZTIRCZWSPPKTzmczciwsppkttiret"/>
    <w:next w:val="TIRtiret"/>
    <w:uiPriority w:val="59"/>
    <w:qFormat/>
    <w:rsid w:val="00871CE3"/>
  </w:style>
  <w:style w:type="paragraph" w:customStyle="1" w:styleId="ZTIRCZWSPTIRzmczciwsptirtiret">
    <w:name w:val="Z_TIR/CZ_WSP_TIR – zm. części wsp. tir. tiret"/>
    <w:basedOn w:val="ZTIRCZWSPPKTzmczciwsppkttiret"/>
    <w:next w:val="TIRtiret"/>
    <w:uiPriority w:val="60"/>
    <w:qFormat/>
    <w:rsid w:val="00871CE3"/>
  </w:style>
  <w:style w:type="paragraph" w:customStyle="1" w:styleId="ZZCZWSPLITzmianazmczciwsplit">
    <w:name w:val="ZZ/CZ_WSP_LIT – zmiana. zm. części wsp. lit."/>
    <w:basedOn w:val="ZZCZWSPPKTzmianazmczciwsppkt"/>
    <w:uiPriority w:val="69"/>
    <w:qFormat/>
    <w:rsid w:val="00871CE3"/>
  </w:style>
  <w:style w:type="paragraph" w:customStyle="1" w:styleId="ZZCZWSPTIRzmianazmczciwsptir">
    <w:name w:val="ZZ/CZ_WSP_TIR – zmiana. zm. części wsp. tir."/>
    <w:basedOn w:val="ZZCZWSPPKTzmianazmczciwsppkt"/>
    <w:uiPriority w:val="69"/>
    <w:qFormat/>
    <w:rsid w:val="00871CE3"/>
  </w:style>
  <w:style w:type="paragraph" w:customStyle="1" w:styleId="Z2TIRCZWSPTIRzmczciwsptirpodwjnymtiret">
    <w:name w:val="Z_2TIR/CZ_WSP_TIR – zm. części wsp. tir. podwójnym tiret"/>
    <w:basedOn w:val="Z2TIRCZWSPLITzmczciwsplitpodwjnymtiret"/>
    <w:next w:val="2TIRpodwjnytiret"/>
    <w:uiPriority w:val="87"/>
    <w:qFormat/>
    <w:rsid w:val="00871CE3"/>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871CE3"/>
  </w:style>
  <w:style w:type="paragraph" w:customStyle="1" w:styleId="ZUSTzmustartykuempunktem">
    <w:name w:val="Z/UST(§) – zm. ust. (§) artykułem (punktem)"/>
    <w:basedOn w:val="ZARTzmartartykuempunktem"/>
    <w:uiPriority w:val="30"/>
    <w:qFormat/>
    <w:rsid w:val="00871CE3"/>
  </w:style>
  <w:style w:type="paragraph" w:customStyle="1" w:styleId="ZZUSTzmianazmust">
    <w:name w:val="ZZ/UST(§) – zmiana zm. ust. (§)"/>
    <w:basedOn w:val="ZZARTzmianazmart"/>
    <w:uiPriority w:val="65"/>
    <w:qFormat/>
    <w:rsid w:val="00871CE3"/>
  </w:style>
  <w:style w:type="paragraph" w:customStyle="1" w:styleId="TYTDZPRZEDMprzedmiotregulacjitytuulubdziau">
    <w:name w:val="TYT(DZ)_PRZEDM – przedmiot regulacji tytułu lub działu"/>
    <w:next w:val="ARTartustawynprozporzdzenia"/>
    <w:uiPriority w:val="9"/>
    <w:qFormat/>
    <w:rsid w:val="00871CE3"/>
    <w:pPr>
      <w:keepNext/>
      <w:suppressAutoHyphens/>
      <w:spacing w:before="120" w:line="360" w:lineRule="auto"/>
      <w:jc w:val="center"/>
    </w:pPr>
    <w:rPr>
      <w:b/>
      <w:sz w:val="24"/>
      <w:szCs w:val="26"/>
      <w:lang w:eastAsia="en-US"/>
    </w:rPr>
  </w:style>
  <w:style w:type="paragraph" w:customStyle="1" w:styleId="ZNIEARTTEKSTzmtekstunieartykuowanego">
    <w:name w:val="Z/NIEART_TEKST – zm. tekstu nieartykułowanego"/>
    <w:basedOn w:val="NIEARTTEKSTtekstnieartykuowanynppodstprawnarozplubpreambua"/>
    <w:uiPriority w:val="37"/>
    <w:qFormat/>
    <w:rsid w:val="00871CE3"/>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871CE3"/>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871CE3"/>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871CE3"/>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871CE3"/>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871CE3"/>
    <w:pPr>
      <w:ind w:left="1894"/>
    </w:pPr>
  </w:style>
  <w:style w:type="paragraph" w:customStyle="1" w:styleId="P1wTABELIpoziom1numeracjiwtabeli">
    <w:name w:val="P1_w_TABELI – poziom 1 numeracji w tabeli"/>
    <w:basedOn w:val="PKTpunkt"/>
    <w:uiPriority w:val="24"/>
    <w:qFormat/>
    <w:rsid w:val="00871CE3"/>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871CE3"/>
    <w:pPr>
      <w:ind w:left="0" w:firstLine="0"/>
    </w:pPr>
  </w:style>
  <w:style w:type="paragraph" w:customStyle="1" w:styleId="P2wTABELIpoziom2numeracjiwtabeli">
    <w:name w:val="P2_w_TABELI – poziom 2 numeracji w tabeli"/>
    <w:basedOn w:val="P1wTABELIpoziom1numeracjiwtabeli"/>
    <w:uiPriority w:val="24"/>
    <w:qFormat/>
    <w:rsid w:val="00871CE3"/>
    <w:pPr>
      <w:ind w:left="794"/>
    </w:pPr>
  </w:style>
  <w:style w:type="paragraph" w:customStyle="1" w:styleId="P3wTABELIpoziom3numeracjiwtabeli">
    <w:name w:val="P3_w_TABELI – poziom 3 numeracji w tabeli"/>
    <w:basedOn w:val="P2wTABELIpoziom2numeracjiwtabeli"/>
    <w:uiPriority w:val="24"/>
    <w:qFormat/>
    <w:rsid w:val="00871CE3"/>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871CE3"/>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871CE3"/>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871CE3"/>
    <w:pPr>
      <w:ind w:left="1191"/>
    </w:pPr>
  </w:style>
  <w:style w:type="paragraph" w:customStyle="1" w:styleId="P4wTABELIpoziom4numeracjiwtabeli">
    <w:name w:val="P4_w_TABELI – poziom 4 numeracji w tabeli"/>
    <w:basedOn w:val="P3wTABELIpoziom3numeracjiwtabeli"/>
    <w:uiPriority w:val="24"/>
    <w:qFormat/>
    <w:rsid w:val="00871CE3"/>
    <w:pPr>
      <w:ind w:left="1588"/>
    </w:pPr>
  </w:style>
  <w:style w:type="paragraph" w:customStyle="1" w:styleId="TYTTABELItytutabeli">
    <w:name w:val="TYT_TABELI – tytuł tabeli"/>
    <w:basedOn w:val="TYTDZOZNoznaczenietytuulubdziau"/>
    <w:uiPriority w:val="22"/>
    <w:qFormat/>
    <w:rsid w:val="00871CE3"/>
    <w:rPr>
      <w:b/>
    </w:rPr>
  </w:style>
  <w:style w:type="paragraph" w:customStyle="1" w:styleId="OZNPROJEKTUwskazaniedatylubwersjiprojektu">
    <w:name w:val="OZN_PROJEKTU – wskazanie daty lub wersji projektu"/>
    <w:next w:val="OZNRODZAKTUtznustawalubrozporzdzenieiorganwydajcy"/>
    <w:uiPriority w:val="5"/>
    <w:qFormat/>
    <w:rsid w:val="00871CE3"/>
    <w:pPr>
      <w:spacing w:line="360" w:lineRule="auto"/>
      <w:jc w:val="right"/>
    </w:pPr>
    <w:rPr>
      <w:rFonts w:ascii="Times New Roman" w:eastAsia="Times New Roman" w:hAnsi="Times New Roman" w:cs="Arial"/>
      <w:sz w:val="24"/>
      <w:u w:val="single"/>
      <w:lang w:eastAsia="en-US"/>
    </w:rPr>
  </w:style>
  <w:style w:type="paragraph" w:customStyle="1" w:styleId="NAZORGWYDnazwaorganuwydajcegoprojektowanyakt">
    <w:name w:val="NAZ_ORG_WYD – nazwa organu wydającego projektowany akt"/>
    <w:basedOn w:val="OZNRODZAKTUtznustawalubrozporzdzenieiorganwydajcy"/>
    <w:uiPriority w:val="27"/>
    <w:qFormat/>
    <w:rsid w:val="00871CE3"/>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871CE3"/>
    <w:pPr>
      <w:ind w:left="0" w:right="4820"/>
      <w:jc w:val="left"/>
    </w:pPr>
  </w:style>
  <w:style w:type="paragraph" w:customStyle="1" w:styleId="TEKSTwporozumieniu">
    <w:name w:val="TEKST&quot;w porozumieniu:&quot;"/>
    <w:next w:val="NAZORGWPOROZUMIENIUnazwaorganuwporozumieniuzktrymaktjestwydawany"/>
    <w:uiPriority w:val="27"/>
    <w:qFormat/>
    <w:rsid w:val="00871CE3"/>
    <w:pPr>
      <w:spacing w:line="360" w:lineRule="auto"/>
    </w:pPr>
    <w:rPr>
      <w:rFonts w:ascii="Times New Roman" w:eastAsia="Times New Roman" w:hAnsi="Times New Roman" w:cs="Arial"/>
      <w:b/>
      <w:sz w:val="24"/>
      <w:lang w:eastAsia="en-US"/>
    </w:rPr>
  </w:style>
  <w:style w:type="paragraph" w:customStyle="1" w:styleId="CZWSPPKTODNONIKAczwsppunkwodnonika">
    <w:name w:val="CZ_WSP_PKT_ODNOŚNIKA – część wsp. punków odnośnika"/>
    <w:basedOn w:val="PKTODNONIKApunktodnonika"/>
    <w:uiPriority w:val="21"/>
    <w:qFormat/>
    <w:rsid w:val="00871CE3"/>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871CE3"/>
    <w:pPr>
      <w:ind w:left="510" w:firstLine="0"/>
    </w:pPr>
  </w:style>
  <w:style w:type="paragraph" w:customStyle="1" w:styleId="NOTATKILEGISLATORA">
    <w:name w:val="NOTATKI_LEGISLATORA"/>
    <w:basedOn w:val="Normalny"/>
    <w:uiPriority w:val="5"/>
    <w:qFormat/>
    <w:rsid w:val="00871CE3"/>
    <w:rPr>
      <w:b/>
      <w:i/>
    </w:rPr>
  </w:style>
  <w:style w:type="paragraph" w:customStyle="1" w:styleId="OZNZACZNIKAwskazanienrzacznika">
    <w:name w:val="OZN_ZAŁĄCZNIKA – wskazanie nr załącznika"/>
    <w:basedOn w:val="OZNPROJEKTUwskazaniedatylubwersjiprojektu"/>
    <w:uiPriority w:val="28"/>
    <w:qFormat/>
    <w:rsid w:val="00871CE3"/>
    <w:pPr>
      <w:keepNext/>
    </w:pPr>
    <w:rPr>
      <w:b/>
      <w:u w:val="none"/>
    </w:rPr>
  </w:style>
  <w:style w:type="paragraph" w:customStyle="1" w:styleId="OZNPARAFYADNOTACJE">
    <w:name w:val="OZN_PARAFY(ADNOTACJE)"/>
    <w:basedOn w:val="ODNONIKtreodnonika"/>
    <w:uiPriority w:val="26"/>
    <w:qFormat/>
    <w:rsid w:val="00871CE3"/>
  </w:style>
  <w:style w:type="paragraph" w:customStyle="1" w:styleId="TEKSTZacznikido">
    <w:name w:val="TEKST&quot;Załącznik(i) do ...&quot;"/>
    <w:uiPriority w:val="28"/>
    <w:qFormat/>
    <w:rsid w:val="00871CE3"/>
    <w:pPr>
      <w:keepNext/>
      <w:spacing w:after="240"/>
      <w:ind w:left="5670"/>
      <w:contextualSpacing/>
    </w:pPr>
    <w:rPr>
      <w:rFonts w:ascii="Times New Roman" w:eastAsia="Times New Roman" w:hAnsi="Times New Roman" w:cs="Arial"/>
      <w:sz w:val="24"/>
      <w:lang w:eastAsia="en-US"/>
    </w:rPr>
  </w:style>
  <w:style w:type="paragraph" w:customStyle="1" w:styleId="LITODNONIKAliteraodnonika">
    <w:name w:val="LIT_ODNOŚNIKA – litera odnośnika"/>
    <w:basedOn w:val="PKTODNONIKApunktodnonika"/>
    <w:uiPriority w:val="20"/>
    <w:qFormat/>
    <w:rsid w:val="00871CE3"/>
    <w:pPr>
      <w:ind w:left="851"/>
    </w:pPr>
  </w:style>
  <w:style w:type="paragraph" w:customStyle="1" w:styleId="CZWSPLITODNONIKAczwspliterodnonika">
    <w:name w:val="CZ_WSP_LIT_ODNOŚNIKA – część wsp. liter odnośnika"/>
    <w:basedOn w:val="LITODNONIKAliteraodnonika"/>
    <w:uiPriority w:val="22"/>
    <w:qFormat/>
    <w:rsid w:val="00871CE3"/>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871CE3"/>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871CE3"/>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871CE3"/>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871CE3"/>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871CE3"/>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871CE3"/>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871CE3"/>
  </w:style>
  <w:style w:type="paragraph" w:customStyle="1" w:styleId="ZLITwPKTODNONIKAzmlitwpktodnonikaartykuempunktem">
    <w:name w:val="Z/LIT_w_PKT_ODNOŚNIKA – zm. lit. w pkt odnośnika artykułem (punktem)"/>
    <w:basedOn w:val="ZLITODNONIKAzmlitodnonikaartykuempunktem"/>
    <w:uiPriority w:val="40"/>
    <w:qFormat/>
    <w:rsid w:val="00871CE3"/>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871CE3"/>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871CE3"/>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871CE3"/>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871CE3"/>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871CE3"/>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871CE3"/>
  </w:style>
  <w:style w:type="paragraph" w:customStyle="1" w:styleId="ZZFRAGzmianazmfragmentunpzdania">
    <w:name w:val="ZZ/FRAG – zmiana zm. fragmentu (np. zdania)"/>
    <w:basedOn w:val="ZZCZWSPPKTzmianazmczciwsppkt"/>
    <w:uiPriority w:val="70"/>
    <w:qFormat/>
    <w:rsid w:val="00871CE3"/>
  </w:style>
  <w:style w:type="paragraph" w:customStyle="1" w:styleId="Z2TIRPKTzmpktpodwjnymtiret">
    <w:name w:val="Z_2TIR/PKT – zm. pkt podwójnym tiret"/>
    <w:basedOn w:val="Z2TIRLITzmlitpodwjnymtiret"/>
    <w:uiPriority w:val="83"/>
    <w:qFormat/>
    <w:rsid w:val="00871CE3"/>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871CE3"/>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871CE3"/>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871CE3"/>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871CE3"/>
    <w:pPr>
      <w:ind w:left="1780" w:firstLine="510"/>
    </w:pPr>
  </w:style>
  <w:style w:type="paragraph" w:customStyle="1" w:styleId="Z2TIRUSTzmustpodwjnymtiret">
    <w:name w:val="Z_2TIR/UST(§) – zm. ust. (§) podwójnym tiret"/>
    <w:basedOn w:val="Z2TIRPKTzmpktpodwjnymtiret"/>
    <w:uiPriority w:val="82"/>
    <w:qFormat/>
    <w:rsid w:val="00871CE3"/>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871CE3"/>
    <w:pPr>
      <w:ind w:left="3164" w:firstLine="0"/>
    </w:pPr>
  </w:style>
  <w:style w:type="paragraph" w:customStyle="1" w:styleId="Z2TIRCZWSPPKTzmczciwsppktpodwjnymtiret">
    <w:name w:val="Z_2TIR/CZ_WSP_PKT – zm. części wsp. pkt podwójnym tiret"/>
    <w:basedOn w:val="Z2TIRPKTzmpktpodwjnymtiret"/>
    <w:uiPriority w:val="86"/>
    <w:qFormat/>
    <w:rsid w:val="00871CE3"/>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871CE3"/>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871CE3"/>
    <w:pPr>
      <w:ind w:left="2767" w:firstLine="0"/>
    </w:pPr>
  </w:style>
  <w:style w:type="paragraph" w:customStyle="1" w:styleId="ZLITARTzmartliter">
    <w:name w:val="Z_LIT/ART(§) – zm. art. (§) literą"/>
    <w:basedOn w:val="ZLITUSTzmustliter"/>
    <w:uiPriority w:val="46"/>
    <w:qFormat/>
    <w:rsid w:val="00871CE3"/>
    <w:rPr>
      <w:rFonts w:ascii="Times New Roman" w:hAnsi="Times New Roman"/>
    </w:rPr>
  </w:style>
  <w:style w:type="paragraph" w:customStyle="1" w:styleId="ZTIRARTzmarttiret">
    <w:name w:val="Z_TIR/ART(§) – zm. art. (§) tiret"/>
    <w:basedOn w:val="ZTIRPKTzmpkttiret"/>
    <w:uiPriority w:val="55"/>
    <w:qFormat/>
    <w:rsid w:val="00871CE3"/>
    <w:pPr>
      <w:ind w:left="1383" w:firstLine="510"/>
    </w:pPr>
    <w:rPr>
      <w:rFonts w:ascii="Times New Roman" w:hAnsi="Times New Roman"/>
    </w:rPr>
  </w:style>
  <w:style w:type="paragraph" w:customStyle="1" w:styleId="ZTIRUSTzmusttiret">
    <w:name w:val="Z_TIR/UST(§) – zm. ust. (§) tiret"/>
    <w:basedOn w:val="ZTIRARTzmarttiret"/>
    <w:uiPriority w:val="55"/>
    <w:qFormat/>
    <w:rsid w:val="00871CE3"/>
  </w:style>
  <w:style w:type="paragraph" w:customStyle="1" w:styleId="ZLITKSIGIzmozniprzedmksigiliter">
    <w:name w:val="Z_LIT/KSIĘGI – zm. ozn. i przedm. księgi literą"/>
    <w:basedOn w:val="ZCZCIKSIGIzmozniprzedmczciksigiartykuempunktem"/>
    <w:uiPriority w:val="44"/>
    <w:qFormat/>
    <w:rsid w:val="00871CE3"/>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871CE3"/>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871CE3"/>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871CE3"/>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871CE3"/>
    <w:pPr>
      <w:ind w:left="987"/>
    </w:pPr>
  </w:style>
  <w:style w:type="paragraph" w:customStyle="1" w:styleId="ZTIRDZOZNzmozndziautiret">
    <w:name w:val="Z_TIR/DZ_OZN – zm. ozn. działu tiret"/>
    <w:basedOn w:val="ZLITTYTDZOZNzmozntytuudziauliter"/>
    <w:next w:val="ZTIRDZPRZEDMzmprzedmdziautiret"/>
    <w:uiPriority w:val="54"/>
    <w:qFormat/>
    <w:rsid w:val="00871CE3"/>
    <w:pPr>
      <w:ind w:left="1383"/>
    </w:pPr>
  </w:style>
  <w:style w:type="paragraph" w:customStyle="1" w:styleId="ZTIRDZPRZEDMzmprzedmdziautiret">
    <w:name w:val="Z_TIR/DZ_PRZEDM – zm. przedm. działu tiret"/>
    <w:basedOn w:val="ZLITTYTDZPRZEDMzmprzedmtytuudziauliter"/>
    <w:uiPriority w:val="54"/>
    <w:qFormat/>
    <w:rsid w:val="00871CE3"/>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871CE3"/>
    <w:pPr>
      <w:ind w:left="1383"/>
    </w:pPr>
  </w:style>
  <w:style w:type="paragraph" w:customStyle="1" w:styleId="ZTIRROZDZODDZPRZEDMzmprzedmrozdzoddztiret">
    <w:name w:val="Z_TIR/ROZDZ(ODDZ)_PRZEDM – zm. przedm. rozdz. (oddz.) tiret"/>
    <w:basedOn w:val="ZLITROZDZODDZPRZEDMzmprzedmrozdzoddzliter"/>
    <w:uiPriority w:val="54"/>
    <w:qFormat/>
    <w:rsid w:val="00871CE3"/>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871CE3"/>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871CE3"/>
    <w:pPr>
      <w:ind w:left="1780"/>
    </w:pPr>
  </w:style>
  <w:style w:type="character" w:customStyle="1" w:styleId="IGindeksgrny">
    <w:name w:val="_IG_ – indeks górny"/>
    <w:uiPriority w:val="2"/>
    <w:qFormat/>
    <w:rsid w:val="00871CE3"/>
    <w:rPr>
      <w:b w:val="0"/>
      <w:i w:val="0"/>
      <w:vanish w:val="0"/>
      <w:spacing w:val="0"/>
      <w:vertAlign w:val="superscript"/>
    </w:rPr>
  </w:style>
  <w:style w:type="character" w:customStyle="1" w:styleId="IDindeksdolny">
    <w:name w:val="_ID_ – indeks dolny"/>
    <w:uiPriority w:val="3"/>
    <w:qFormat/>
    <w:rsid w:val="00871CE3"/>
    <w:rPr>
      <w:b w:val="0"/>
      <w:i w:val="0"/>
      <w:vanish w:val="0"/>
      <w:spacing w:val="0"/>
      <w:vertAlign w:val="subscript"/>
    </w:rPr>
  </w:style>
  <w:style w:type="character" w:customStyle="1" w:styleId="IDPindeksdolnyipogrubienie">
    <w:name w:val="_ID_P_ – indeks dolny i pogrubienie"/>
    <w:uiPriority w:val="3"/>
    <w:qFormat/>
    <w:rsid w:val="00871CE3"/>
    <w:rPr>
      <w:b/>
      <w:vanish w:val="0"/>
      <w:spacing w:val="0"/>
      <w:vertAlign w:val="subscript"/>
    </w:rPr>
  </w:style>
  <w:style w:type="character" w:customStyle="1" w:styleId="IDKindeksdolnyikursywa">
    <w:name w:val="_ID_K_ – indeks dolny i kursywa"/>
    <w:uiPriority w:val="3"/>
    <w:qFormat/>
    <w:rsid w:val="00871CE3"/>
    <w:rPr>
      <w:i/>
      <w:vanish w:val="0"/>
      <w:spacing w:val="0"/>
      <w:vertAlign w:val="subscript"/>
    </w:rPr>
  </w:style>
  <w:style w:type="character" w:customStyle="1" w:styleId="IGPindeksgrnyipogrubienie">
    <w:name w:val="_IG_P_ – indeks górny i pogrubienie"/>
    <w:uiPriority w:val="2"/>
    <w:qFormat/>
    <w:rsid w:val="00871CE3"/>
    <w:rPr>
      <w:b/>
      <w:vanish w:val="0"/>
      <w:spacing w:val="0"/>
      <w:vertAlign w:val="superscript"/>
    </w:rPr>
  </w:style>
  <w:style w:type="character" w:customStyle="1" w:styleId="IGKindeksgrnyikursywa">
    <w:name w:val="_IG_K_ – indeks górny i kursywa"/>
    <w:uiPriority w:val="2"/>
    <w:qFormat/>
    <w:rsid w:val="00871CE3"/>
    <w:rPr>
      <w:i/>
      <w:vanish w:val="0"/>
      <w:spacing w:val="0"/>
      <w:vertAlign w:val="superscript"/>
    </w:rPr>
  </w:style>
  <w:style w:type="character" w:customStyle="1" w:styleId="IGPKindeksgrnyipogrubieniekursywa">
    <w:name w:val="_IG_P_K_ – indeks górny i pogrubienie kursywa"/>
    <w:uiPriority w:val="2"/>
    <w:qFormat/>
    <w:rsid w:val="00871CE3"/>
    <w:rPr>
      <w:b/>
      <w:i/>
      <w:vanish w:val="0"/>
      <w:spacing w:val="0"/>
      <w:vertAlign w:val="superscript"/>
    </w:rPr>
  </w:style>
  <w:style w:type="character" w:customStyle="1" w:styleId="IDPKindeksdolnyipogrugieniekursywa">
    <w:name w:val="_ID_P_K_ – indeks dolny i pogrugienie kursywa"/>
    <w:uiPriority w:val="3"/>
    <w:qFormat/>
    <w:rsid w:val="00871CE3"/>
    <w:rPr>
      <w:b/>
      <w:i/>
      <w:vanish w:val="0"/>
      <w:spacing w:val="0"/>
      <w:vertAlign w:val="subscript"/>
    </w:rPr>
  </w:style>
  <w:style w:type="character" w:customStyle="1" w:styleId="Ppogrubienie">
    <w:name w:val="_P_ – pogrubienie"/>
    <w:uiPriority w:val="1"/>
    <w:qFormat/>
    <w:rsid w:val="00871CE3"/>
    <w:rPr>
      <w:b/>
    </w:rPr>
  </w:style>
  <w:style w:type="character" w:customStyle="1" w:styleId="Kkursywa">
    <w:name w:val="_K_ – kursywa"/>
    <w:uiPriority w:val="1"/>
    <w:qFormat/>
    <w:rsid w:val="00871CE3"/>
    <w:rPr>
      <w:i/>
    </w:rPr>
  </w:style>
  <w:style w:type="character" w:customStyle="1" w:styleId="PKpogrubieniekursywa">
    <w:name w:val="_P_K_ – pogrubienie kursywa"/>
    <w:uiPriority w:val="1"/>
    <w:qFormat/>
    <w:rsid w:val="00871CE3"/>
    <w:rPr>
      <w:b/>
      <w:i/>
    </w:rPr>
  </w:style>
  <w:style w:type="character" w:customStyle="1" w:styleId="TEKSTOZNACZONYWDOKUMENCIERDOWYMJAKOUKRYTY">
    <w:name w:val="_TEKST_OZNACZONY_W_DOKUMENCIE_ŹRÓDŁOWYM_JAKO_UKRYTY_"/>
    <w:uiPriority w:val="4"/>
    <w:unhideWhenUsed/>
    <w:qFormat/>
    <w:rsid w:val="00871CE3"/>
    <w:rPr>
      <w:vanish w:val="0"/>
      <w:color w:val="FF0000"/>
      <w:u w:val="single" w:color="FF0000"/>
    </w:rPr>
  </w:style>
  <w:style w:type="character" w:customStyle="1" w:styleId="BEZWERSALIKW">
    <w:name w:val="_BEZ_WERSALIKÓW_"/>
    <w:uiPriority w:val="4"/>
    <w:qFormat/>
    <w:rsid w:val="00871CE3"/>
    <w:rPr>
      <w:caps/>
    </w:rPr>
  </w:style>
  <w:style w:type="character" w:customStyle="1" w:styleId="IIGPindeksgrnyindeksugrnegoipogrubienie">
    <w:name w:val="_IIG_P_ – indeks górny indeksu górnego i pogrubienie"/>
    <w:uiPriority w:val="3"/>
    <w:qFormat/>
    <w:rsid w:val="00871CE3"/>
    <w:rPr>
      <w:b/>
      <w:vanish w:val="0"/>
      <w:spacing w:val="0"/>
      <w:position w:val="6"/>
      <w:vertAlign w:val="superscript"/>
    </w:rPr>
  </w:style>
  <w:style w:type="character" w:customStyle="1" w:styleId="IIGindeksgrnyindeksugrnego">
    <w:name w:val="_IIG_ – indeks górny indeksu górnego"/>
    <w:uiPriority w:val="3"/>
    <w:qFormat/>
    <w:rsid w:val="00871CE3"/>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871CE3"/>
    <w:pPr>
      <w:ind w:left="283" w:hanging="170"/>
    </w:pPr>
    <w:rPr>
      <w:sz w:val="20"/>
    </w:rPr>
  </w:style>
  <w:style w:type="paragraph" w:customStyle="1" w:styleId="TEKSTwTABELItekstzwcitympierwwierszem">
    <w:name w:val="TEKST_w_TABELI – tekst z wciętym pierw. wierszem"/>
    <w:basedOn w:val="Normalny"/>
    <w:uiPriority w:val="23"/>
    <w:qFormat/>
    <w:rsid w:val="00871CE3"/>
    <w:pPr>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871CE3"/>
    <w:pPr>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871CE3"/>
    <w:pPr>
      <w:ind w:left="1894"/>
    </w:pPr>
  </w:style>
  <w:style w:type="paragraph" w:customStyle="1" w:styleId="ZZSKARNzmianazmsankcjikarnej">
    <w:name w:val="ZZ/S_KARN – zmiana zm. sankcji karnej"/>
    <w:basedOn w:val="ZZFRAGzmianazmfragmentunpzdania"/>
    <w:uiPriority w:val="71"/>
    <w:qFormat/>
    <w:rsid w:val="00871CE3"/>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871CE3"/>
    <w:pPr>
      <w:ind w:left="2291" w:firstLine="0"/>
    </w:pPr>
  </w:style>
  <w:style w:type="paragraph" w:customStyle="1" w:styleId="WMATFIZCHEMwzrmatfizlubchem">
    <w:name w:val="W_MAT(FIZ|CHEM) – wzór mat. (fiz. lub chem.)"/>
    <w:uiPriority w:val="18"/>
    <w:qFormat/>
    <w:rsid w:val="00871CE3"/>
    <w:pPr>
      <w:spacing w:line="360" w:lineRule="auto"/>
      <w:jc w:val="center"/>
    </w:pPr>
    <w:rPr>
      <w:rFonts w:ascii="Times New Roman" w:eastAsia="Times New Roman" w:hAnsi="Times New Roman" w:cs="Arial"/>
      <w:sz w:val="24"/>
      <w:lang w:eastAsia="en-US"/>
    </w:rPr>
  </w:style>
  <w:style w:type="paragraph" w:customStyle="1" w:styleId="LEGWMATFIZCHEMlegendawzorumatfizlubchem">
    <w:name w:val="LEG_W_MAT(FIZ|CHEM) – legenda wzoru mat. (fiz. lub chem.)"/>
    <w:basedOn w:val="WMATFIZCHEMwzrmatfizlubchem"/>
    <w:uiPriority w:val="19"/>
    <w:qFormat/>
    <w:rsid w:val="00871CE3"/>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871CE3"/>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871CE3"/>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871CE3"/>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871CE3"/>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871CE3"/>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871CE3"/>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871CE3"/>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871CE3"/>
    <w:pPr>
      <w:ind w:left="3085"/>
    </w:pPr>
  </w:style>
  <w:style w:type="paragraph" w:customStyle="1" w:styleId="ZLITCYTzmcytatunpprzysigiliter">
    <w:name w:val="Z_LIT/CYT – zm. cytatu np. przysięgi literą"/>
    <w:basedOn w:val="ZCYTzmcytatunpprzysigiartykuempunktem"/>
    <w:uiPriority w:val="53"/>
    <w:qFormat/>
    <w:rsid w:val="00871CE3"/>
    <w:pPr>
      <w:ind w:left="1497"/>
    </w:pPr>
  </w:style>
  <w:style w:type="paragraph" w:customStyle="1" w:styleId="ZTIRCYTzmcytatunpprzysigitiret">
    <w:name w:val="Z_TIR/CYT – zm. cytatu np. przysięgi tiret"/>
    <w:basedOn w:val="ZLITCYTzmcytatunpprzysigiliter"/>
    <w:next w:val="ZTIRUSTzmusttiret"/>
    <w:uiPriority w:val="61"/>
    <w:qFormat/>
    <w:rsid w:val="00871CE3"/>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871CE3"/>
    <w:pPr>
      <w:ind w:left="2291"/>
    </w:pPr>
  </w:style>
  <w:style w:type="paragraph" w:customStyle="1" w:styleId="ZZCYTzmianazmcytatunpprzysigi">
    <w:name w:val="ZZ/CYT – zmiana zm. cytatu np. przysięgi"/>
    <w:basedOn w:val="ZZFRAGzmianazmfragmentunpzdania"/>
    <w:next w:val="ZZUSTzmianazmust"/>
    <w:uiPriority w:val="71"/>
    <w:qFormat/>
    <w:rsid w:val="00871CE3"/>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871CE3"/>
    <w:pPr>
      <w:ind w:left="1780"/>
    </w:pPr>
  </w:style>
  <w:style w:type="paragraph" w:styleId="Akapitzlist">
    <w:name w:val="List Paragraph"/>
    <w:basedOn w:val="Normalny"/>
    <w:uiPriority w:val="34"/>
    <w:qFormat/>
    <w:rsid w:val="00871CE3"/>
    <w:pPr>
      <w:spacing w:after="160" w:line="259" w:lineRule="auto"/>
      <w:ind w:left="720"/>
      <w:contextualSpacing/>
    </w:pPr>
    <w:rPr>
      <w:rFonts w:ascii="Calibri" w:eastAsia="Calibri" w:hAnsi="Calibri" w:cs="Times New Roman"/>
      <w:sz w:val="22"/>
      <w:szCs w:val="22"/>
    </w:rPr>
  </w:style>
  <w:style w:type="table" w:styleId="Tabela-Siatka">
    <w:name w:val="Table Grid"/>
    <w:basedOn w:val="Standardowy"/>
    <w:uiPriority w:val="59"/>
    <w:rsid w:val="00F8577F"/>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odstawowy">
    <w:name w:val="Body Text"/>
    <w:basedOn w:val="Normalny"/>
    <w:link w:val="TekstpodstawowyZnak"/>
    <w:rsid w:val="00F8577F"/>
    <w:rPr>
      <w:rFonts w:ascii="Arial" w:hAnsi="Arial"/>
      <w:sz w:val="22"/>
      <w:szCs w:val="22"/>
      <w:lang w:eastAsia="pl-PL"/>
    </w:rPr>
  </w:style>
  <w:style w:type="character" w:customStyle="1" w:styleId="TekstpodstawowyZnak">
    <w:name w:val="Tekst podstawowy Znak"/>
    <w:link w:val="Tekstpodstawowy"/>
    <w:rsid w:val="00F8577F"/>
    <w:rPr>
      <w:rFonts w:ascii="Arial" w:eastAsia="Times New Roman" w:hAnsi="Arial" w:cs="Arial"/>
      <w:sz w:val="22"/>
      <w:szCs w:val="22"/>
    </w:rPr>
  </w:style>
  <w:style w:type="paragraph" w:customStyle="1" w:styleId="ust">
    <w:name w:val="ust"/>
    <w:rsid w:val="007E2EC2"/>
    <w:pPr>
      <w:overflowPunct w:val="0"/>
      <w:autoSpaceDE w:val="0"/>
      <w:autoSpaceDN w:val="0"/>
      <w:adjustRightInd w:val="0"/>
      <w:spacing w:before="60" w:after="60"/>
      <w:ind w:left="426" w:hanging="284"/>
      <w:jc w:val="both"/>
      <w:textAlignment w:val="baseline"/>
    </w:pPr>
    <w:rPr>
      <w:rFonts w:ascii="Times New Roman" w:eastAsia="Times New Roman" w:hAnsi="Times New Roman"/>
      <w:sz w:val="24"/>
    </w:rPr>
  </w:style>
  <w:style w:type="paragraph" w:customStyle="1" w:styleId="pkt1">
    <w:name w:val="pkt1"/>
    <w:basedOn w:val="Normalny"/>
    <w:rsid w:val="00E310BF"/>
    <w:pPr>
      <w:overflowPunct w:val="0"/>
      <w:spacing w:before="60" w:after="60"/>
      <w:ind w:left="850" w:hanging="425"/>
      <w:jc w:val="both"/>
      <w:textAlignment w:val="baseline"/>
    </w:pPr>
    <w:rPr>
      <w:rFonts w:cs="Times New Roman"/>
      <w:lang w:eastAsia="pl-PL"/>
    </w:rPr>
  </w:style>
  <w:style w:type="paragraph" w:styleId="Tekstdymka">
    <w:name w:val="Balloon Text"/>
    <w:basedOn w:val="Normalny"/>
    <w:link w:val="TekstdymkaZnak"/>
    <w:uiPriority w:val="99"/>
    <w:semiHidden/>
    <w:unhideWhenUsed/>
    <w:rsid w:val="009B4701"/>
    <w:rPr>
      <w:rFonts w:ascii="Tahoma" w:hAnsi="Tahoma" w:cs="Tahoma"/>
      <w:sz w:val="16"/>
      <w:szCs w:val="16"/>
    </w:rPr>
  </w:style>
  <w:style w:type="character" w:customStyle="1" w:styleId="TekstdymkaZnak">
    <w:name w:val="Tekst dymka Znak"/>
    <w:link w:val="Tekstdymka"/>
    <w:uiPriority w:val="99"/>
    <w:semiHidden/>
    <w:rsid w:val="009B4701"/>
    <w:rPr>
      <w:rFonts w:ascii="Tahoma" w:eastAsia="Times New Roman" w:hAnsi="Tahoma" w:cs="Tahoma"/>
      <w:sz w:val="16"/>
      <w:szCs w:val="16"/>
      <w:lang w:eastAsia="en-US"/>
    </w:rPr>
  </w:style>
  <w:style w:type="paragraph" w:styleId="Tekstprzypisudolnego">
    <w:name w:val="footnote text"/>
    <w:aliases w:val="FA,FA Fußnotentext,Podrozdział,Podrozdzia3,Footnote,Schriftart: 9 pt,Schriftart: 10 pt,Schriftart: 8 pt,o,Footnote text,Tekst przypisu Znak Znak Znak Znak,Tekst przypisu Znak Znak Znak Znak Znak Char,fußn,Fußnote"/>
    <w:basedOn w:val="Normalny"/>
    <w:link w:val="TekstprzypisudolnegoZnak"/>
    <w:uiPriority w:val="99"/>
    <w:unhideWhenUsed/>
    <w:rsid w:val="008E2D17"/>
    <w:pPr>
      <w:spacing w:line="276" w:lineRule="auto"/>
    </w:pPr>
    <w:rPr>
      <w:rFonts w:ascii="Calibri" w:eastAsia="Calibri" w:hAnsi="Calibri" w:cs="Times New Roman"/>
      <w:sz w:val="20"/>
    </w:rPr>
  </w:style>
  <w:style w:type="character" w:customStyle="1" w:styleId="TekstprzypisudolnegoZnak">
    <w:name w:val="Tekst przypisu dolnego Znak"/>
    <w:aliases w:val="FA Znak,FA Fußnotentext Znak,Podrozdział Znak,Podrozdzia3 Znak,Footnote Znak,Schriftart: 9 pt Znak,Schriftart: 10 pt Znak,Schriftart: 8 pt Znak,o Znak,Footnote text Znak,Tekst przypisu Znak Znak Znak Znak Znak,fußn Znak"/>
    <w:link w:val="Tekstprzypisudolnego"/>
    <w:uiPriority w:val="99"/>
    <w:rsid w:val="008E2D17"/>
    <w:rPr>
      <w:rFonts w:ascii="Calibri" w:hAnsi="Calibri"/>
      <w:lang w:eastAsia="en-US"/>
    </w:rPr>
  </w:style>
  <w:style w:type="character" w:styleId="Odwoanieprzypisudolnego">
    <w:name w:val="footnote reference"/>
    <w:aliases w:val="FZ,Footnote symbol,Voetnootverwijzing,Footnote reference number"/>
    <w:uiPriority w:val="99"/>
    <w:unhideWhenUsed/>
    <w:rsid w:val="008E2D17"/>
    <w:rPr>
      <w:vertAlign w:val="superscript"/>
    </w:rPr>
  </w:style>
  <w:style w:type="character" w:styleId="Odwoaniedokomentarza">
    <w:name w:val="annotation reference"/>
    <w:uiPriority w:val="99"/>
    <w:semiHidden/>
    <w:unhideWhenUsed/>
    <w:rsid w:val="00025D01"/>
    <w:rPr>
      <w:sz w:val="16"/>
      <w:szCs w:val="16"/>
    </w:rPr>
  </w:style>
  <w:style w:type="paragraph" w:styleId="Tekstkomentarza">
    <w:name w:val="annotation text"/>
    <w:basedOn w:val="Normalny"/>
    <w:link w:val="TekstkomentarzaZnak"/>
    <w:unhideWhenUsed/>
    <w:rsid w:val="00025D01"/>
    <w:rPr>
      <w:sz w:val="20"/>
    </w:rPr>
  </w:style>
  <w:style w:type="character" w:customStyle="1" w:styleId="TekstkomentarzaZnak">
    <w:name w:val="Tekst komentarza Znak"/>
    <w:link w:val="Tekstkomentarza"/>
    <w:rsid w:val="00025D01"/>
    <w:rPr>
      <w:rFonts w:ascii="Times New Roman" w:eastAsia="Times New Roman" w:hAnsi="Times New Roman" w:cs="Arial"/>
      <w:lang w:eastAsia="en-US"/>
    </w:rPr>
  </w:style>
  <w:style w:type="paragraph" w:styleId="Tematkomentarza">
    <w:name w:val="annotation subject"/>
    <w:basedOn w:val="Tekstkomentarza"/>
    <w:next w:val="Tekstkomentarza"/>
    <w:link w:val="TematkomentarzaZnak"/>
    <w:uiPriority w:val="99"/>
    <w:semiHidden/>
    <w:unhideWhenUsed/>
    <w:rsid w:val="00025D01"/>
    <w:rPr>
      <w:b/>
      <w:bCs/>
    </w:rPr>
  </w:style>
  <w:style w:type="character" w:customStyle="1" w:styleId="TematkomentarzaZnak">
    <w:name w:val="Temat komentarza Znak"/>
    <w:link w:val="Tematkomentarza"/>
    <w:uiPriority w:val="99"/>
    <w:semiHidden/>
    <w:rsid w:val="00025D01"/>
    <w:rPr>
      <w:rFonts w:ascii="Times New Roman" w:eastAsia="Times New Roman" w:hAnsi="Times New Roman" w:cs="Arial"/>
      <w:b/>
      <w:bCs/>
      <w:lang w:eastAsia="en-US"/>
    </w:rPr>
  </w:style>
  <w:style w:type="paragraph" w:customStyle="1" w:styleId="ListParagraph1">
    <w:name w:val="List Paragraph1"/>
    <w:basedOn w:val="Normalny"/>
    <w:link w:val="ListParagraphZnak"/>
    <w:uiPriority w:val="99"/>
    <w:rsid w:val="004F32CD"/>
    <w:pPr>
      <w:ind w:left="720"/>
      <w:contextualSpacing/>
      <w:jc w:val="both"/>
    </w:pPr>
    <w:rPr>
      <w:rFonts w:eastAsia="MS ??" w:cs="Times New Roman"/>
      <w:sz w:val="20"/>
      <w:lang w:eastAsia="pl-PL"/>
    </w:rPr>
  </w:style>
  <w:style w:type="character" w:customStyle="1" w:styleId="ListParagraphZnak">
    <w:name w:val="List Paragraph Znak"/>
    <w:link w:val="ListParagraph1"/>
    <w:uiPriority w:val="99"/>
    <w:locked/>
    <w:rsid w:val="004F32CD"/>
    <w:rPr>
      <w:rFonts w:ascii="Times New Roman" w:eastAsia="MS ??" w:hAnsi="Times New Roman"/>
    </w:rPr>
  </w:style>
  <w:style w:type="character" w:styleId="Pogrubienie">
    <w:name w:val="Strong"/>
    <w:uiPriority w:val="22"/>
    <w:qFormat/>
    <w:rsid w:val="00E73D8C"/>
    <w:rPr>
      <w:b/>
      <w:bCs/>
    </w:rPr>
  </w:style>
  <w:style w:type="paragraph" w:styleId="NormalnyWeb">
    <w:name w:val="Normal (Web)"/>
    <w:uiPriority w:val="99"/>
    <w:rsid w:val="00611870"/>
    <w:pPr>
      <w:pBdr>
        <w:top w:val="nil"/>
        <w:left w:val="nil"/>
        <w:bottom w:val="nil"/>
        <w:right w:val="nil"/>
        <w:between w:val="nil"/>
        <w:bar w:val="nil"/>
      </w:pBdr>
      <w:spacing w:before="100" w:after="119" w:line="259" w:lineRule="auto"/>
    </w:pPr>
    <w:rPr>
      <w:rFonts w:ascii="Times New Roman" w:eastAsia="Arial Unicode MS" w:hAnsi="Times New Roman" w:cs="Arial Unicode MS"/>
      <w:color w:val="000000"/>
      <w:sz w:val="24"/>
      <w:szCs w:val="24"/>
      <w:u w:color="000000"/>
      <w:bdr w:val="nil"/>
    </w:rPr>
  </w:style>
  <w:style w:type="character" w:styleId="Hipercze">
    <w:name w:val="Hyperlink"/>
    <w:uiPriority w:val="99"/>
    <w:semiHidden/>
    <w:unhideWhenUsed/>
    <w:rsid w:val="00FF1B74"/>
    <w:rPr>
      <w:color w:val="0000FF"/>
      <w:u w:val="single"/>
    </w:rPr>
  </w:style>
  <w:style w:type="paragraph" w:styleId="Tekstprzypisukocowego">
    <w:name w:val="endnote text"/>
    <w:basedOn w:val="Normalny"/>
    <w:link w:val="TekstprzypisukocowegoZnak"/>
    <w:uiPriority w:val="99"/>
    <w:semiHidden/>
    <w:unhideWhenUsed/>
    <w:rsid w:val="00A9335A"/>
    <w:rPr>
      <w:sz w:val="20"/>
    </w:rPr>
  </w:style>
  <w:style w:type="character" w:customStyle="1" w:styleId="TekstprzypisukocowegoZnak">
    <w:name w:val="Tekst przypisu końcowego Znak"/>
    <w:link w:val="Tekstprzypisukocowego"/>
    <w:uiPriority w:val="99"/>
    <w:semiHidden/>
    <w:rsid w:val="00A9335A"/>
    <w:rPr>
      <w:rFonts w:ascii="Times New Roman" w:eastAsia="Times New Roman" w:hAnsi="Times New Roman" w:cs="Arial"/>
      <w:lang w:eastAsia="en-US"/>
    </w:rPr>
  </w:style>
  <w:style w:type="character" w:styleId="Odwoanieprzypisukocowego">
    <w:name w:val="endnote reference"/>
    <w:uiPriority w:val="99"/>
    <w:semiHidden/>
    <w:unhideWhenUsed/>
    <w:rsid w:val="00A9335A"/>
    <w:rPr>
      <w:vertAlign w:val="superscript"/>
    </w:rPr>
  </w:style>
  <w:style w:type="paragraph" w:styleId="Nagwek">
    <w:name w:val="header"/>
    <w:basedOn w:val="Normalny"/>
    <w:link w:val="NagwekZnak"/>
    <w:uiPriority w:val="99"/>
    <w:unhideWhenUsed/>
    <w:rsid w:val="002A03CD"/>
    <w:pPr>
      <w:tabs>
        <w:tab w:val="center" w:pos="4536"/>
        <w:tab w:val="right" w:pos="9072"/>
      </w:tabs>
    </w:pPr>
  </w:style>
  <w:style w:type="character" w:customStyle="1" w:styleId="NagwekZnak">
    <w:name w:val="Nagłówek Znak"/>
    <w:link w:val="Nagwek"/>
    <w:uiPriority w:val="99"/>
    <w:rsid w:val="002A03CD"/>
    <w:rPr>
      <w:rFonts w:ascii="Times New Roman" w:eastAsia="Times New Roman" w:hAnsi="Times New Roman" w:cs="Arial"/>
      <w:sz w:val="24"/>
      <w:lang w:eastAsia="en-US"/>
    </w:rPr>
  </w:style>
  <w:style w:type="paragraph" w:styleId="Stopka">
    <w:name w:val="footer"/>
    <w:basedOn w:val="Normalny"/>
    <w:link w:val="StopkaZnak"/>
    <w:uiPriority w:val="99"/>
    <w:unhideWhenUsed/>
    <w:rsid w:val="002A03CD"/>
    <w:pPr>
      <w:tabs>
        <w:tab w:val="center" w:pos="4536"/>
        <w:tab w:val="right" w:pos="9072"/>
      </w:tabs>
    </w:pPr>
  </w:style>
  <w:style w:type="character" w:customStyle="1" w:styleId="StopkaZnak">
    <w:name w:val="Stopka Znak"/>
    <w:link w:val="Stopka"/>
    <w:uiPriority w:val="99"/>
    <w:rsid w:val="002A03CD"/>
    <w:rPr>
      <w:rFonts w:ascii="Times New Roman" w:eastAsia="Times New Roman" w:hAnsi="Times New Roman" w:cs="Arial"/>
      <w:sz w:val="24"/>
      <w:lang w:eastAsia="en-US"/>
    </w:rPr>
  </w:style>
  <w:style w:type="character" w:styleId="Uwydatnienie">
    <w:name w:val="Emphasis"/>
    <w:uiPriority w:val="20"/>
    <w:qFormat/>
    <w:rsid w:val="00016DCE"/>
    <w:rPr>
      <w:i/>
      <w:iCs/>
    </w:rPr>
  </w:style>
  <w:style w:type="character" w:customStyle="1" w:styleId="Nagwek1Znak">
    <w:name w:val="Nagłówek 1 Znak"/>
    <w:link w:val="Nagwek1"/>
    <w:uiPriority w:val="9"/>
    <w:rsid w:val="003D36FE"/>
    <w:rPr>
      <w:rFonts w:ascii="Cambria" w:eastAsia="Times New Roman" w:hAnsi="Cambria"/>
      <w:b/>
      <w:bCs/>
      <w:color w:val="365F91"/>
      <w:sz w:val="28"/>
      <w:szCs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78052">
      <w:bodyDiv w:val="1"/>
      <w:marLeft w:val="0"/>
      <w:marRight w:val="0"/>
      <w:marTop w:val="0"/>
      <w:marBottom w:val="0"/>
      <w:divBdr>
        <w:top w:val="none" w:sz="0" w:space="0" w:color="auto"/>
        <w:left w:val="none" w:sz="0" w:space="0" w:color="auto"/>
        <w:bottom w:val="none" w:sz="0" w:space="0" w:color="auto"/>
        <w:right w:val="none" w:sz="0" w:space="0" w:color="auto"/>
      </w:divBdr>
    </w:div>
    <w:div w:id="21369903">
      <w:bodyDiv w:val="1"/>
      <w:marLeft w:val="0"/>
      <w:marRight w:val="0"/>
      <w:marTop w:val="0"/>
      <w:marBottom w:val="0"/>
      <w:divBdr>
        <w:top w:val="none" w:sz="0" w:space="0" w:color="auto"/>
        <w:left w:val="none" w:sz="0" w:space="0" w:color="auto"/>
        <w:bottom w:val="none" w:sz="0" w:space="0" w:color="auto"/>
        <w:right w:val="none" w:sz="0" w:space="0" w:color="auto"/>
      </w:divBdr>
    </w:div>
    <w:div w:id="34931615">
      <w:bodyDiv w:val="1"/>
      <w:marLeft w:val="0"/>
      <w:marRight w:val="0"/>
      <w:marTop w:val="0"/>
      <w:marBottom w:val="0"/>
      <w:divBdr>
        <w:top w:val="none" w:sz="0" w:space="0" w:color="auto"/>
        <w:left w:val="none" w:sz="0" w:space="0" w:color="auto"/>
        <w:bottom w:val="none" w:sz="0" w:space="0" w:color="auto"/>
        <w:right w:val="none" w:sz="0" w:space="0" w:color="auto"/>
      </w:divBdr>
    </w:div>
    <w:div w:id="60250283">
      <w:bodyDiv w:val="1"/>
      <w:marLeft w:val="0"/>
      <w:marRight w:val="0"/>
      <w:marTop w:val="0"/>
      <w:marBottom w:val="0"/>
      <w:divBdr>
        <w:top w:val="none" w:sz="0" w:space="0" w:color="auto"/>
        <w:left w:val="none" w:sz="0" w:space="0" w:color="auto"/>
        <w:bottom w:val="none" w:sz="0" w:space="0" w:color="auto"/>
        <w:right w:val="none" w:sz="0" w:space="0" w:color="auto"/>
      </w:divBdr>
    </w:div>
    <w:div w:id="128941508">
      <w:bodyDiv w:val="1"/>
      <w:marLeft w:val="0"/>
      <w:marRight w:val="0"/>
      <w:marTop w:val="0"/>
      <w:marBottom w:val="0"/>
      <w:divBdr>
        <w:top w:val="none" w:sz="0" w:space="0" w:color="auto"/>
        <w:left w:val="none" w:sz="0" w:space="0" w:color="auto"/>
        <w:bottom w:val="none" w:sz="0" w:space="0" w:color="auto"/>
        <w:right w:val="none" w:sz="0" w:space="0" w:color="auto"/>
      </w:divBdr>
    </w:div>
    <w:div w:id="134029423">
      <w:bodyDiv w:val="1"/>
      <w:marLeft w:val="0"/>
      <w:marRight w:val="0"/>
      <w:marTop w:val="0"/>
      <w:marBottom w:val="0"/>
      <w:divBdr>
        <w:top w:val="none" w:sz="0" w:space="0" w:color="auto"/>
        <w:left w:val="none" w:sz="0" w:space="0" w:color="auto"/>
        <w:bottom w:val="none" w:sz="0" w:space="0" w:color="auto"/>
        <w:right w:val="none" w:sz="0" w:space="0" w:color="auto"/>
      </w:divBdr>
    </w:div>
    <w:div w:id="229579189">
      <w:bodyDiv w:val="1"/>
      <w:marLeft w:val="0"/>
      <w:marRight w:val="0"/>
      <w:marTop w:val="0"/>
      <w:marBottom w:val="0"/>
      <w:divBdr>
        <w:top w:val="none" w:sz="0" w:space="0" w:color="auto"/>
        <w:left w:val="none" w:sz="0" w:space="0" w:color="auto"/>
        <w:bottom w:val="none" w:sz="0" w:space="0" w:color="auto"/>
        <w:right w:val="none" w:sz="0" w:space="0" w:color="auto"/>
      </w:divBdr>
    </w:div>
    <w:div w:id="238175082">
      <w:bodyDiv w:val="1"/>
      <w:marLeft w:val="0"/>
      <w:marRight w:val="0"/>
      <w:marTop w:val="0"/>
      <w:marBottom w:val="0"/>
      <w:divBdr>
        <w:top w:val="none" w:sz="0" w:space="0" w:color="auto"/>
        <w:left w:val="none" w:sz="0" w:space="0" w:color="auto"/>
        <w:bottom w:val="none" w:sz="0" w:space="0" w:color="auto"/>
        <w:right w:val="none" w:sz="0" w:space="0" w:color="auto"/>
      </w:divBdr>
    </w:div>
    <w:div w:id="241569579">
      <w:bodyDiv w:val="1"/>
      <w:marLeft w:val="0"/>
      <w:marRight w:val="0"/>
      <w:marTop w:val="0"/>
      <w:marBottom w:val="0"/>
      <w:divBdr>
        <w:top w:val="none" w:sz="0" w:space="0" w:color="auto"/>
        <w:left w:val="none" w:sz="0" w:space="0" w:color="auto"/>
        <w:bottom w:val="none" w:sz="0" w:space="0" w:color="auto"/>
        <w:right w:val="none" w:sz="0" w:space="0" w:color="auto"/>
      </w:divBdr>
    </w:div>
    <w:div w:id="255748453">
      <w:bodyDiv w:val="1"/>
      <w:marLeft w:val="0"/>
      <w:marRight w:val="0"/>
      <w:marTop w:val="0"/>
      <w:marBottom w:val="0"/>
      <w:divBdr>
        <w:top w:val="none" w:sz="0" w:space="0" w:color="auto"/>
        <w:left w:val="none" w:sz="0" w:space="0" w:color="auto"/>
        <w:bottom w:val="none" w:sz="0" w:space="0" w:color="auto"/>
        <w:right w:val="none" w:sz="0" w:space="0" w:color="auto"/>
      </w:divBdr>
    </w:div>
    <w:div w:id="264533971">
      <w:bodyDiv w:val="1"/>
      <w:marLeft w:val="0"/>
      <w:marRight w:val="0"/>
      <w:marTop w:val="0"/>
      <w:marBottom w:val="0"/>
      <w:divBdr>
        <w:top w:val="none" w:sz="0" w:space="0" w:color="auto"/>
        <w:left w:val="none" w:sz="0" w:space="0" w:color="auto"/>
        <w:bottom w:val="none" w:sz="0" w:space="0" w:color="auto"/>
        <w:right w:val="none" w:sz="0" w:space="0" w:color="auto"/>
      </w:divBdr>
    </w:div>
    <w:div w:id="281808783">
      <w:bodyDiv w:val="1"/>
      <w:marLeft w:val="0"/>
      <w:marRight w:val="0"/>
      <w:marTop w:val="0"/>
      <w:marBottom w:val="0"/>
      <w:divBdr>
        <w:top w:val="none" w:sz="0" w:space="0" w:color="auto"/>
        <w:left w:val="none" w:sz="0" w:space="0" w:color="auto"/>
        <w:bottom w:val="none" w:sz="0" w:space="0" w:color="auto"/>
        <w:right w:val="none" w:sz="0" w:space="0" w:color="auto"/>
      </w:divBdr>
    </w:div>
    <w:div w:id="361444808">
      <w:bodyDiv w:val="1"/>
      <w:marLeft w:val="0"/>
      <w:marRight w:val="0"/>
      <w:marTop w:val="0"/>
      <w:marBottom w:val="0"/>
      <w:divBdr>
        <w:top w:val="none" w:sz="0" w:space="0" w:color="auto"/>
        <w:left w:val="none" w:sz="0" w:space="0" w:color="auto"/>
        <w:bottom w:val="none" w:sz="0" w:space="0" w:color="auto"/>
        <w:right w:val="none" w:sz="0" w:space="0" w:color="auto"/>
      </w:divBdr>
    </w:div>
    <w:div w:id="399056818">
      <w:bodyDiv w:val="1"/>
      <w:marLeft w:val="0"/>
      <w:marRight w:val="0"/>
      <w:marTop w:val="0"/>
      <w:marBottom w:val="0"/>
      <w:divBdr>
        <w:top w:val="none" w:sz="0" w:space="0" w:color="auto"/>
        <w:left w:val="none" w:sz="0" w:space="0" w:color="auto"/>
        <w:bottom w:val="none" w:sz="0" w:space="0" w:color="auto"/>
        <w:right w:val="none" w:sz="0" w:space="0" w:color="auto"/>
      </w:divBdr>
    </w:div>
    <w:div w:id="417285561">
      <w:bodyDiv w:val="1"/>
      <w:marLeft w:val="0"/>
      <w:marRight w:val="0"/>
      <w:marTop w:val="0"/>
      <w:marBottom w:val="0"/>
      <w:divBdr>
        <w:top w:val="none" w:sz="0" w:space="0" w:color="auto"/>
        <w:left w:val="none" w:sz="0" w:space="0" w:color="auto"/>
        <w:bottom w:val="none" w:sz="0" w:space="0" w:color="auto"/>
        <w:right w:val="none" w:sz="0" w:space="0" w:color="auto"/>
      </w:divBdr>
    </w:div>
    <w:div w:id="418448678">
      <w:bodyDiv w:val="1"/>
      <w:marLeft w:val="0"/>
      <w:marRight w:val="0"/>
      <w:marTop w:val="0"/>
      <w:marBottom w:val="0"/>
      <w:divBdr>
        <w:top w:val="none" w:sz="0" w:space="0" w:color="auto"/>
        <w:left w:val="none" w:sz="0" w:space="0" w:color="auto"/>
        <w:bottom w:val="none" w:sz="0" w:space="0" w:color="auto"/>
        <w:right w:val="none" w:sz="0" w:space="0" w:color="auto"/>
      </w:divBdr>
    </w:div>
    <w:div w:id="422456134">
      <w:bodyDiv w:val="1"/>
      <w:marLeft w:val="0"/>
      <w:marRight w:val="0"/>
      <w:marTop w:val="0"/>
      <w:marBottom w:val="0"/>
      <w:divBdr>
        <w:top w:val="none" w:sz="0" w:space="0" w:color="auto"/>
        <w:left w:val="none" w:sz="0" w:space="0" w:color="auto"/>
        <w:bottom w:val="none" w:sz="0" w:space="0" w:color="auto"/>
        <w:right w:val="none" w:sz="0" w:space="0" w:color="auto"/>
      </w:divBdr>
    </w:div>
    <w:div w:id="423113048">
      <w:bodyDiv w:val="1"/>
      <w:marLeft w:val="0"/>
      <w:marRight w:val="0"/>
      <w:marTop w:val="0"/>
      <w:marBottom w:val="0"/>
      <w:divBdr>
        <w:top w:val="none" w:sz="0" w:space="0" w:color="auto"/>
        <w:left w:val="none" w:sz="0" w:space="0" w:color="auto"/>
        <w:bottom w:val="none" w:sz="0" w:space="0" w:color="auto"/>
        <w:right w:val="none" w:sz="0" w:space="0" w:color="auto"/>
      </w:divBdr>
    </w:div>
    <w:div w:id="428936076">
      <w:bodyDiv w:val="1"/>
      <w:marLeft w:val="0"/>
      <w:marRight w:val="0"/>
      <w:marTop w:val="0"/>
      <w:marBottom w:val="0"/>
      <w:divBdr>
        <w:top w:val="none" w:sz="0" w:space="0" w:color="auto"/>
        <w:left w:val="none" w:sz="0" w:space="0" w:color="auto"/>
        <w:bottom w:val="none" w:sz="0" w:space="0" w:color="auto"/>
        <w:right w:val="none" w:sz="0" w:space="0" w:color="auto"/>
      </w:divBdr>
      <w:divsChild>
        <w:div w:id="986474601">
          <w:marLeft w:val="0"/>
          <w:marRight w:val="0"/>
          <w:marTop w:val="0"/>
          <w:marBottom w:val="0"/>
          <w:divBdr>
            <w:top w:val="none" w:sz="0" w:space="0" w:color="auto"/>
            <w:left w:val="none" w:sz="0" w:space="0" w:color="auto"/>
            <w:bottom w:val="none" w:sz="0" w:space="0" w:color="auto"/>
            <w:right w:val="none" w:sz="0" w:space="0" w:color="auto"/>
          </w:divBdr>
        </w:div>
      </w:divsChild>
    </w:div>
    <w:div w:id="445808384">
      <w:bodyDiv w:val="1"/>
      <w:marLeft w:val="0"/>
      <w:marRight w:val="0"/>
      <w:marTop w:val="0"/>
      <w:marBottom w:val="0"/>
      <w:divBdr>
        <w:top w:val="none" w:sz="0" w:space="0" w:color="auto"/>
        <w:left w:val="none" w:sz="0" w:space="0" w:color="auto"/>
        <w:bottom w:val="none" w:sz="0" w:space="0" w:color="auto"/>
        <w:right w:val="none" w:sz="0" w:space="0" w:color="auto"/>
      </w:divBdr>
    </w:div>
    <w:div w:id="512645528">
      <w:bodyDiv w:val="1"/>
      <w:marLeft w:val="0"/>
      <w:marRight w:val="0"/>
      <w:marTop w:val="0"/>
      <w:marBottom w:val="0"/>
      <w:divBdr>
        <w:top w:val="none" w:sz="0" w:space="0" w:color="auto"/>
        <w:left w:val="none" w:sz="0" w:space="0" w:color="auto"/>
        <w:bottom w:val="none" w:sz="0" w:space="0" w:color="auto"/>
        <w:right w:val="none" w:sz="0" w:space="0" w:color="auto"/>
      </w:divBdr>
    </w:div>
    <w:div w:id="520437898">
      <w:bodyDiv w:val="1"/>
      <w:marLeft w:val="0"/>
      <w:marRight w:val="0"/>
      <w:marTop w:val="0"/>
      <w:marBottom w:val="0"/>
      <w:divBdr>
        <w:top w:val="none" w:sz="0" w:space="0" w:color="auto"/>
        <w:left w:val="none" w:sz="0" w:space="0" w:color="auto"/>
        <w:bottom w:val="none" w:sz="0" w:space="0" w:color="auto"/>
        <w:right w:val="none" w:sz="0" w:space="0" w:color="auto"/>
      </w:divBdr>
      <w:divsChild>
        <w:div w:id="302586405">
          <w:marLeft w:val="0"/>
          <w:marRight w:val="0"/>
          <w:marTop w:val="0"/>
          <w:marBottom w:val="0"/>
          <w:divBdr>
            <w:top w:val="none" w:sz="0" w:space="0" w:color="auto"/>
            <w:left w:val="none" w:sz="0" w:space="0" w:color="auto"/>
            <w:bottom w:val="none" w:sz="0" w:space="0" w:color="auto"/>
            <w:right w:val="none" w:sz="0" w:space="0" w:color="auto"/>
          </w:divBdr>
          <w:divsChild>
            <w:div w:id="1681856020">
              <w:marLeft w:val="0"/>
              <w:marRight w:val="0"/>
              <w:marTop w:val="0"/>
              <w:marBottom w:val="0"/>
              <w:divBdr>
                <w:top w:val="none" w:sz="0" w:space="0" w:color="auto"/>
                <w:left w:val="none" w:sz="0" w:space="0" w:color="auto"/>
                <w:bottom w:val="none" w:sz="0" w:space="0" w:color="auto"/>
                <w:right w:val="none" w:sz="0" w:space="0" w:color="auto"/>
              </w:divBdr>
            </w:div>
          </w:divsChild>
        </w:div>
        <w:div w:id="796994235">
          <w:marLeft w:val="0"/>
          <w:marRight w:val="0"/>
          <w:marTop w:val="0"/>
          <w:marBottom w:val="0"/>
          <w:divBdr>
            <w:top w:val="none" w:sz="0" w:space="0" w:color="auto"/>
            <w:left w:val="none" w:sz="0" w:space="0" w:color="auto"/>
            <w:bottom w:val="none" w:sz="0" w:space="0" w:color="auto"/>
            <w:right w:val="none" w:sz="0" w:space="0" w:color="auto"/>
          </w:divBdr>
          <w:divsChild>
            <w:div w:id="418327469">
              <w:marLeft w:val="0"/>
              <w:marRight w:val="0"/>
              <w:marTop w:val="0"/>
              <w:marBottom w:val="0"/>
              <w:divBdr>
                <w:top w:val="none" w:sz="0" w:space="0" w:color="auto"/>
                <w:left w:val="none" w:sz="0" w:space="0" w:color="auto"/>
                <w:bottom w:val="none" w:sz="0" w:space="0" w:color="auto"/>
                <w:right w:val="none" w:sz="0" w:space="0" w:color="auto"/>
              </w:divBdr>
            </w:div>
          </w:divsChild>
        </w:div>
        <w:div w:id="1637031699">
          <w:marLeft w:val="0"/>
          <w:marRight w:val="0"/>
          <w:marTop w:val="0"/>
          <w:marBottom w:val="0"/>
          <w:divBdr>
            <w:top w:val="none" w:sz="0" w:space="0" w:color="auto"/>
            <w:left w:val="none" w:sz="0" w:space="0" w:color="auto"/>
            <w:bottom w:val="none" w:sz="0" w:space="0" w:color="auto"/>
            <w:right w:val="none" w:sz="0" w:space="0" w:color="auto"/>
          </w:divBdr>
          <w:divsChild>
            <w:div w:id="1791781691">
              <w:marLeft w:val="0"/>
              <w:marRight w:val="0"/>
              <w:marTop w:val="0"/>
              <w:marBottom w:val="0"/>
              <w:divBdr>
                <w:top w:val="none" w:sz="0" w:space="0" w:color="auto"/>
                <w:left w:val="none" w:sz="0" w:space="0" w:color="auto"/>
                <w:bottom w:val="none" w:sz="0" w:space="0" w:color="auto"/>
                <w:right w:val="none" w:sz="0" w:space="0" w:color="auto"/>
              </w:divBdr>
            </w:div>
          </w:divsChild>
        </w:div>
        <w:div w:id="1796098309">
          <w:marLeft w:val="0"/>
          <w:marRight w:val="0"/>
          <w:marTop w:val="0"/>
          <w:marBottom w:val="0"/>
          <w:divBdr>
            <w:top w:val="none" w:sz="0" w:space="0" w:color="auto"/>
            <w:left w:val="none" w:sz="0" w:space="0" w:color="auto"/>
            <w:bottom w:val="none" w:sz="0" w:space="0" w:color="auto"/>
            <w:right w:val="none" w:sz="0" w:space="0" w:color="auto"/>
          </w:divBdr>
        </w:div>
      </w:divsChild>
    </w:div>
    <w:div w:id="534001495">
      <w:bodyDiv w:val="1"/>
      <w:marLeft w:val="0"/>
      <w:marRight w:val="0"/>
      <w:marTop w:val="0"/>
      <w:marBottom w:val="0"/>
      <w:divBdr>
        <w:top w:val="none" w:sz="0" w:space="0" w:color="auto"/>
        <w:left w:val="none" w:sz="0" w:space="0" w:color="auto"/>
        <w:bottom w:val="none" w:sz="0" w:space="0" w:color="auto"/>
        <w:right w:val="none" w:sz="0" w:space="0" w:color="auto"/>
      </w:divBdr>
      <w:divsChild>
        <w:div w:id="369721177">
          <w:marLeft w:val="0"/>
          <w:marRight w:val="0"/>
          <w:marTop w:val="0"/>
          <w:marBottom w:val="0"/>
          <w:divBdr>
            <w:top w:val="none" w:sz="0" w:space="0" w:color="auto"/>
            <w:left w:val="none" w:sz="0" w:space="0" w:color="auto"/>
            <w:bottom w:val="none" w:sz="0" w:space="0" w:color="auto"/>
            <w:right w:val="none" w:sz="0" w:space="0" w:color="auto"/>
          </w:divBdr>
          <w:divsChild>
            <w:div w:id="1134375333">
              <w:marLeft w:val="0"/>
              <w:marRight w:val="0"/>
              <w:marTop w:val="0"/>
              <w:marBottom w:val="0"/>
              <w:divBdr>
                <w:top w:val="none" w:sz="0" w:space="0" w:color="auto"/>
                <w:left w:val="none" w:sz="0" w:space="0" w:color="auto"/>
                <w:bottom w:val="none" w:sz="0" w:space="0" w:color="auto"/>
                <w:right w:val="none" w:sz="0" w:space="0" w:color="auto"/>
              </w:divBdr>
            </w:div>
          </w:divsChild>
        </w:div>
        <w:div w:id="754277561">
          <w:marLeft w:val="0"/>
          <w:marRight w:val="0"/>
          <w:marTop w:val="0"/>
          <w:marBottom w:val="0"/>
          <w:divBdr>
            <w:top w:val="none" w:sz="0" w:space="0" w:color="auto"/>
            <w:left w:val="none" w:sz="0" w:space="0" w:color="auto"/>
            <w:bottom w:val="none" w:sz="0" w:space="0" w:color="auto"/>
            <w:right w:val="none" w:sz="0" w:space="0" w:color="auto"/>
          </w:divBdr>
        </w:div>
      </w:divsChild>
    </w:div>
    <w:div w:id="545488298">
      <w:bodyDiv w:val="1"/>
      <w:marLeft w:val="0"/>
      <w:marRight w:val="0"/>
      <w:marTop w:val="0"/>
      <w:marBottom w:val="0"/>
      <w:divBdr>
        <w:top w:val="none" w:sz="0" w:space="0" w:color="auto"/>
        <w:left w:val="none" w:sz="0" w:space="0" w:color="auto"/>
        <w:bottom w:val="none" w:sz="0" w:space="0" w:color="auto"/>
        <w:right w:val="none" w:sz="0" w:space="0" w:color="auto"/>
      </w:divBdr>
    </w:div>
    <w:div w:id="583226119">
      <w:bodyDiv w:val="1"/>
      <w:marLeft w:val="0"/>
      <w:marRight w:val="0"/>
      <w:marTop w:val="0"/>
      <w:marBottom w:val="0"/>
      <w:divBdr>
        <w:top w:val="none" w:sz="0" w:space="0" w:color="auto"/>
        <w:left w:val="none" w:sz="0" w:space="0" w:color="auto"/>
        <w:bottom w:val="none" w:sz="0" w:space="0" w:color="auto"/>
        <w:right w:val="none" w:sz="0" w:space="0" w:color="auto"/>
      </w:divBdr>
    </w:div>
    <w:div w:id="588806564">
      <w:bodyDiv w:val="1"/>
      <w:marLeft w:val="0"/>
      <w:marRight w:val="0"/>
      <w:marTop w:val="0"/>
      <w:marBottom w:val="0"/>
      <w:divBdr>
        <w:top w:val="none" w:sz="0" w:space="0" w:color="auto"/>
        <w:left w:val="none" w:sz="0" w:space="0" w:color="auto"/>
        <w:bottom w:val="none" w:sz="0" w:space="0" w:color="auto"/>
        <w:right w:val="none" w:sz="0" w:space="0" w:color="auto"/>
      </w:divBdr>
    </w:div>
    <w:div w:id="593906020">
      <w:bodyDiv w:val="1"/>
      <w:marLeft w:val="0"/>
      <w:marRight w:val="0"/>
      <w:marTop w:val="0"/>
      <w:marBottom w:val="0"/>
      <w:divBdr>
        <w:top w:val="none" w:sz="0" w:space="0" w:color="auto"/>
        <w:left w:val="none" w:sz="0" w:space="0" w:color="auto"/>
        <w:bottom w:val="none" w:sz="0" w:space="0" w:color="auto"/>
        <w:right w:val="none" w:sz="0" w:space="0" w:color="auto"/>
      </w:divBdr>
    </w:div>
    <w:div w:id="625964684">
      <w:bodyDiv w:val="1"/>
      <w:marLeft w:val="0"/>
      <w:marRight w:val="0"/>
      <w:marTop w:val="0"/>
      <w:marBottom w:val="0"/>
      <w:divBdr>
        <w:top w:val="none" w:sz="0" w:space="0" w:color="auto"/>
        <w:left w:val="none" w:sz="0" w:space="0" w:color="auto"/>
        <w:bottom w:val="none" w:sz="0" w:space="0" w:color="auto"/>
        <w:right w:val="none" w:sz="0" w:space="0" w:color="auto"/>
      </w:divBdr>
    </w:div>
    <w:div w:id="820465603">
      <w:bodyDiv w:val="1"/>
      <w:marLeft w:val="0"/>
      <w:marRight w:val="0"/>
      <w:marTop w:val="0"/>
      <w:marBottom w:val="0"/>
      <w:divBdr>
        <w:top w:val="none" w:sz="0" w:space="0" w:color="auto"/>
        <w:left w:val="none" w:sz="0" w:space="0" w:color="auto"/>
        <w:bottom w:val="none" w:sz="0" w:space="0" w:color="auto"/>
        <w:right w:val="none" w:sz="0" w:space="0" w:color="auto"/>
      </w:divBdr>
    </w:div>
    <w:div w:id="856312534">
      <w:bodyDiv w:val="1"/>
      <w:marLeft w:val="0"/>
      <w:marRight w:val="0"/>
      <w:marTop w:val="0"/>
      <w:marBottom w:val="0"/>
      <w:divBdr>
        <w:top w:val="none" w:sz="0" w:space="0" w:color="auto"/>
        <w:left w:val="none" w:sz="0" w:space="0" w:color="auto"/>
        <w:bottom w:val="none" w:sz="0" w:space="0" w:color="auto"/>
        <w:right w:val="none" w:sz="0" w:space="0" w:color="auto"/>
      </w:divBdr>
    </w:div>
    <w:div w:id="860052958">
      <w:bodyDiv w:val="1"/>
      <w:marLeft w:val="0"/>
      <w:marRight w:val="0"/>
      <w:marTop w:val="0"/>
      <w:marBottom w:val="0"/>
      <w:divBdr>
        <w:top w:val="none" w:sz="0" w:space="0" w:color="auto"/>
        <w:left w:val="none" w:sz="0" w:space="0" w:color="auto"/>
        <w:bottom w:val="none" w:sz="0" w:space="0" w:color="auto"/>
        <w:right w:val="none" w:sz="0" w:space="0" w:color="auto"/>
      </w:divBdr>
    </w:div>
    <w:div w:id="870070481">
      <w:bodyDiv w:val="1"/>
      <w:marLeft w:val="0"/>
      <w:marRight w:val="0"/>
      <w:marTop w:val="0"/>
      <w:marBottom w:val="0"/>
      <w:divBdr>
        <w:top w:val="none" w:sz="0" w:space="0" w:color="auto"/>
        <w:left w:val="none" w:sz="0" w:space="0" w:color="auto"/>
        <w:bottom w:val="none" w:sz="0" w:space="0" w:color="auto"/>
        <w:right w:val="none" w:sz="0" w:space="0" w:color="auto"/>
      </w:divBdr>
      <w:divsChild>
        <w:div w:id="344136475">
          <w:marLeft w:val="0"/>
          <w:marRight w:val="0"/>
          <w:marTop w:val="0"/>
          <w:marBottom w:val="0"/>
          <w:divBdr>
            <w:top w:val="none" w:sz="0" w:space="0" w:color="auto"/>
            <w:left w:val="none" w:sz="0" w:space="0" w:color="auto"/>
            <w:bottom w:val="none" w:sz="0" w:space="0" w:color="auto"/>
            <w:right w:val="none" w:sz="0" w:space="0" w:color="auto"/>
          </w:divBdr>
          <w:divsChild>
            <w:div w:id="320618861">
              <w:marLeft w:val="0"/>
              <w:marRight w:val="0"/>
              <w:marTop w:val="0"/>
              <w:marBottom w:val="0"/>
              <w:divBdr>
                <w:top w:val="none" w:sz="0" w:space="0" w:color="auto"/>
                <w:left w:val="none" w:sz="0" w:space="0" w:color="auto"/>
                <w:bottom w:val="none" w:sz="0" w:space="0" w:color="auto"/>
                <w:right w:val="none" w:sz="0" w:space="0" w:color="auto"/>
              </w:divBdr>
              <w:divsChild>
                <w:div w:id="1071462138">
                  <w:marLeft w:val="0"/>
                  <w:marRight w:val="0"/>
                  <w:marTop w:val="0"/>
                  <w:marBottom w:val="0"/>
                  <w:divBdr>
                    <w:top w:val="none" w:sz="0" w:space="0" w:color="auto"/>
                    <w:left w:val="none" w:sz="0" w:space="0" w:color="auto"/>
                    <w:bottom w:val="none" w:sz="0" w:space="0" w:color="auto"/>
                    <w:right w:val="none" w:sz="0" w:space="0" w:color="auto"/>
                  </w:divBdr>
                  <w:divsChild>
                    <w:div w:id="1110324089">
                      <w:marLeft w:val="0"/>
                      <w:marRight w:val="0"/>
                      <w:marTop w:val="0"/>
                      <w:marBottom w:val="0"/>
                      <w:divBdr>
                        <w:top w:val="none" w:sz="0" w:space="0" w:color="auto"/>
                        <w:left w:val="none" w:sz="0" w:space="0" w:color="auto"/>
                        <w:bottom w:val="none" w:sz="0" w:space="0" w:color="auto"/>
                        <w:right w:val="none" w:sz="0" w:space="0" w:color="auto"/>
                      </w:divBdr>
                    </w:div>
                  </w:divsChild>
                </w:div>
                <w:div w:id="1537621697">
                  <w:marLeft w:val="0"/>
                  <w:marRight w:val="0"/>
                  <w:marTop w:val="0"/>
                  <w:marBottom w:val="0"/>
                  <w:divBdr>
                    <w:top w:val="none" w:sz="0" w:space="0" w:color="auto"/>
                    <w:left w:val="none" w:sz="0" w:space="0" w:color="auto"/>
                    <w:bottom w:val="none" w:sz="0" w:space="0" w:color="auto"/>
                    <w:right w:val="none" w:sz="0" w:space="0" w:color="auto"/>
                  </w:divBdr>
                  <w:divsChild>
                    <w:div w:id="829835835">
                      <w:marLeft w:val="0"/>
                      <w:marRight w:val="0"/>
                      <w:marTop w:val="0"/>
                      <w:marBottom w:val="0"/>
                      <w:divBdr>
                        <w:top w:val="none" w:sz="0" w:space="0" w:color="auto"/>
                        <w:left w:val="none" w:sz="0" w:space="0" w:color="auto"/>
                        <w:bottom w:val="none" w:sz="0" w:space="0" w:color="auto"/>
                        <w:right w:val="none" w:sz="0" w:space="0" w:color="auto"/>
                      </w:divBdr>
                    </w:div>
                  </w:divsChild>
                </w:div>
                <w:div w:id="1583756777">
                  <w:marLeft w:val="0"/>
                  <w:marRight w:val="0"/>
                  <w:marTop w:val="0"/>
                  <w:marBottom w:val="0"/>
                  <w:divBdr>
                    <w:top w:val="none" w:sz="0" w:space="0" w:color="auto"/>
                    <w:left w:val="none" w:sz="0" w:space="0" w:color="auto"/>
                    <w:bottom w:val="none" w:sz="0" w:space="0" w:color="auto"/>
                    <w:right w:val="none" w:sz="0" w:space="0" w:color="auto"/>
                  </w:divBdr>
                </w:div>
                <w:div w:id="1773015933">
                  <w:marLeft w:val="0"/>
                  <w:marRight w:val="0"/>
                  <w:marTop w:val="0"/>
                  <w:marBottom w:val="0"/>
                  <w:divBdr>
                    <w:top w:val="none" w:sz="0" w:space="0" w:color="auto"/>
                    <w:left w:val="none" w:sz="0" w:space="0" w:color="auto"/>
                    <w:bottom w:val="none" w:sz="0" w:space="0" w:color="auto"/>
                    <w:right w:val="none" w:sz="0" w:space="0" w:color="auto"/>
                  </w:divBdr>
                  <w:divsChild>
                    <w:div w:id="848370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0053177">
          <w:marLeft w:val="0"/>
          <w:marRight w:val="0"/>
          <w:marTop w:val="0"/>
          <w:marBottom w:val="0"/>
          <w:divBdr>
            <w:top w:val="none" w:sz="0" w:space="0" w:color="auto"/>
            <w:left w:val="none" w:sz="0" w:space="0" w:color="auto"/>
            <w:bottom w:val="none" w:sz="0" w:space="0" w:color="auto"/>
            <w:right w:val="none" w:sz="0" w:space="0" w:color="auto"/>
          </w:divBdr>
          <w:divsChild>
            <w:div w:id="493377786">
              <w:marLeft w:val="0"/>
              <w:marRight w:val="0"/>
              <w:marTop w:val="0"/>
              <w:marBottom w:val="0"/>
              <w:divBdr>
                <w:top w:val="none" w:sz="0" w:space="0" w:color="auto"/>
                <w:left w:val="none" w:sz="0" w:space="0" w:color="auto"/>
                <w:bottom w:val="none" w:sz="0" w:space="0" w:color="auto"/>
                <w:right w:val="none" w:sz="0" w:space="0" w:color="auto"/>
              </w:divBdr>
              <w:divsChild>
                <w:div w:id="1674800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5033736">
          <w:marLeft w:val="0"/>
          <w:marRight w:val="0"/>
          <w:marTop w:val="0"/>
          <w:marBottom w:val="0"/>
          <w:divBdr>
            <w:top w:val="none" w:sz="0" w:space="0" w:color="auto"/>
            <w:left w:val="none" w:sz="0" w:space="0" w:color="auto"/>
            <w:bottom w:val="none" w:sz="0" w:space="0" w:color="auto"/>
            <w:right w:val="none" w:sz="0" w:space="0" w:color="auto"/>
          </w:divBdr>
          <w:divsChild>
            <w:div w:id="1798374568">
              <w:marLeft w:val="0"/>
              <w:marRight w:val="0"/>
              <w:marTop w:val="0"/>
              <w:marBottom w:val="0"/>
              <w:divBdr>
                <w:top w:val="none" w:sz="0" w:space="0" w:color="auto"/>
                <w:left w:val="none" w:sz="0" w:space="0" w:color="auto"/>
                <w:bottom w:val="none" w:sz="0" w:space="0" w:color="auto"/>
                <w:right w:val="none" w:sz="0" w:space="0" w:color="auto"/>
              </w:divBdr>
            </w:div>
          </w:divsChild>
        </w:div>
        <w:div w:id="794562639">
          <w:marLeft w:val="0"/>
          <w:marRight w:val="0"/>
          <w:marTop w:val="0"/>
          <w:marBottom w:val="0"/>
          <w:divBdr>
            <w:top w:val="none" w:sz="0" w:space="0" w:color="auto"/>
            <w:left w:val="none" w:sz="0" w:space="0" w:color="auto"/>
            <w:bottom w:val="none" w:sz="0" w:space="0" w:color="auto"/>
            <w:right w:val="none" w:sz="0" w:space="0" w:color="auto"/>
          </w:divBdr>
          <w:divsChild>
            <w:div w:id="741441132">
              <w:marLeft w:val="0"/>
              <w:marRight w:val="0"/>
              <w:marTop w:val="0"/>
              <w:marBottom w:val="0"/>
              <w:divBdr>
                <w:top w:val="none" w:sz="0" w:space="0" w:color="auto"/>
                <w:left w:val="none" w:sz="0" w:space="0" w:color="auto"/>
                <w:bottom w:val="none" w:sz="0" w:space="0" w:color="auto"/>
                <w:right w:val="none" w:sz="0" w:space="0" w:color="auto"/>
              </w:divBdr>
              <w:divsChild>
                <w:div w:id="1004356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1453365">
          <w:marLeft w:val="0"/>
          <w:marRight w:val="0"/>
          <w:marTop w:val="0"/>
          <w:marBottom w:val="0"/>
          <w:divBdr>
            <w:top w:val="none" w:sz="0" w:space="0" w:color="auto"/>
            <w:left w:val="none" w:sz="0" w:space="0" w:color="auto"/>
            <w:bottom w:val="none" w:sz="0" w:space="0" w:color="auto"/>
            <w:right w:val="none" w:sz="0" w:space="0" w:color="auto"/>
          </w:divBdr>
          <w:divsChild>
            <w:div w:id="350031979">
              <w:marLeft w:val="0"/>
              <w:marRight w:val="0"/>
              <w:marTop w:val="0"/>
              <w:marBottom w:val="0"/>
              <w:divBdr>
                <w:top w:val="none" w:sz="0" w:space="0" w:color="auto"/>
                <w:left w:val="none" w:sz="0" w:space="0" w:color="auto"/>
                <w:bottom w:val="none" w:sz="0" w:space="0" w:color="auto"/>
                <w:right w:val="none" w:sz="0" w:space="0" w:color="auto"/>
              </w:divBdr>
              <w:divsChild>
                <w:div w:id="1387267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1990933">
          <w:marLeft w:val="0"/>
          <w:marRight w:val="0"/>
          <w:marTop w:val="0"/>
          <w:marBottom w:val="0"/>
          <w:divBdr>
            <w:top w:val="none" w:sz="0" w:space="0" w:color="auto"/>
            <w:left w:val="none" w:sz="0" w:space="0" w:color="auto"/>
            <w:bottom w:val="none" w:sz="0" w:space="0" w:color="auto"/>
            <w:right w:val="none" w:sz="0" w:space="0" w:color="auto"/>
          </w:divBdr>
        </w:div>
        <w:div w:id="1661890257">
          <w:marLeft w:val="0"/>
          <w:marRight w:val="0"/>
          <w:marTop w:val="0"/>
          <w:marBottom w:val="0"/>
          <w:divBdr>
            <w:top w:val="none" w:sz="0" w:space="0" w:color="auto"/>
            <w:left w:val="none" w:sz="0" w:space="0" w:color="auto"/>
            <w:bottom w:val="none" w:sz="0" w:space="0" w:color="auto"/>
            <w:right w:val="none" w:sz="0" w:space="0" w:color="auto"/>
          </w:divBdr>
          <w:divsChild>
            <w:div w:id="1244291975">
              <w:marLeft w:val="0"/>
              <w:marRight w:val="0"/>
              <w:marTop w:val="0"/>
              <w:marBottom w:val="0"/>
              <w:divBdr>
                <w:top w:val="none" w:sz="0" w:space="0" w:color="auto"/>
                <w:left w:val="none" w:sz="0" w:space="0" w:color="auto"/>
                <w:bottom w:val="none" w:sz="0" w:space="0" w:color="auto"/>
                <w:right w:val="none" w:sz="0" w:space="0" w:color="auto"/>
              </w:divBdr>
              <w:divsChild>
                <w:div w:id="1799299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569253">
          <w:marLeft w:val="0"/>
          <w:marRight w:val="0"/>
          <w:marTop w:val="0"/>
          <w:marBottom w:val="0"/>
          <w:divBdr>
            <w:top w:val="none" w:sz="0" w:space="0" w:color="auto"/>
            <w:left w:val="none" w:sz="0" w:space="0" w:color="auto"/>
            <w:bottom w:val="none" w:sz="0" w:space="0" w:color="auto"/>
            <w:right w:val="none" w:sz="0" w:space="0" w:color="auto"/>
          </w:divBdr>
          <w:divsChild>
            <w:div w:id="555509086">
              <w:marLeft w:val="0"/>
              <w:marRight w:val="0"/>
              <w:marTop w:val="0"/>
              <w:marBottom w:val="0"/>
              <w:divBdr>
                <w:top w:val="none" w:sz="0" w:space="0" w:color="auto"/>
                <w:left w:val="none" w:sz="0" w:space="0" w:color="auto"/>
                <w:bottom w:val="none" w:sz="0" w:space="0" w:color="auto"/>
                <w:right w:val="none" w:sz="0" w:space="0" w:color="auto"/>
              </w:divBdr>
              <w:divsChild>
                <w:div w:id="1153133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8754619">
      <w:bodyDiv w:val="1"/>
      <w:marLeft w:val="0"/>
      <w:marRight w:val="0"/>
      <w:marTop w:val="0"/>
      <w:marBottom w:val="0"/>
      <w:divBdr>
        <w:top w:val="none" w:sz="0" w:space="0" w:color="auto"/>
        <w:left w:val="none" w:sz="0" w:space="0" w:color="auto"/>
        <w:bottom w:val="none" w:sz="0" w:space="0" w:color="auto"/>
        <w:right w:val="none" w:sz="0" w:space="0" w:color="auto"/>
      </w:divBdr>
      <w:divsChild>
        <w:div w:id="46806555">
          <w:marLeft w:val="0"/>
          <w:marRight w:val="0"/>
          <w:marTop w:val="0"/>
          <w:marBottom w:val="0"/>
          <w:divBdr>
            <w:top w:val="none" w:sz="0" w:space="0" w:color="auto"/>
            <w:left w:val="none" w:sz="0" w:space="0" w:color="auto"/>
            <w:bottom w:val="none" w:sz="0" w:space="0" w:color="auto"/>
            <w:right w:val="none" w:sz="0" w:space="0" w:color="auto"/>
          </w:divBdr>
        </w:div>
        <w:div w:id="1164512516">
          <w:marLeft w:val="0"/>
          <w:marRight w:val="0"/>
          <w:marTop w:val="0"/>
          <w:marBottom w:val="0"/>
          <w:divBdr>
            <w:top w:val="none" w:sz="0" w:space="0" w:color="auto"/>
            <w:left w:val="none" w:sz="0" w:space="0" w:color="auto"/>
            <w:bottom w:val="none" w:sz="0" w:space="0" w:color="auto"/>
            <w:right w:val="none" w:sz="0" w:space="0" w:color="auto"/>
          </w:divBdr>
        </w:div>
        <w:div w:id="1473324044">
          <w:marLeft w:val="0"/>
          <w:marRight w:val="0"/>
          <w:marTop w:val="0"/>
          <w:marBottom w:val="0"/>
          <w:divBdr>
            <w:top w:val="none" w:sz="0" w:space="0" w:color="auto"/>
            <w:left w:val="none" w:sz="0" w:space="0" w:color="auto"/>
            <w:bottom w:val="none" w:sz="0" w:space="0" w:color="auto"/>
            <w:right w:val="none" w:sz="0" w:space="0" w:color="auto"/>
          </w:divBdr>
        </w:div>
        <w:div w:id="1797527403">
          <w:marLeft w:val="0"/>
          <w:marRight w:val="0"/>
          <w:marTop w:val="0"/>
          <w:marBottom w:val="0"/>
          <w:divBdr>
            <w:top w:val="none" w:sz="0" w:space="0" w:color="auto"/>
            <w:left w:val="none" w:sz="0" w:space="0" w:color="auto"/>
            <w:bottom w:val="none" w:sz="0" w:space="0" w:color="auto"/>
            <w:right w:val="none" w:sz="0" w:space="0" w:color="auto"/>
          </w:divBdr>
        </w:div>
      </w:divsChild>
    </w:div>
    <w:div w:id="966080312">
      <w:bodyDiv w:val="1"/>
      <w:marLeft w:val="0"/>
      <w:marRight w:val="0"/>
      <w:marTop w:val="0"/>
      <w:marBottom w:val="0"/>
      <w:divBdr>
        <w:top w:val="none" w:sz="0" w:space="0" w:color="auto"/>
        <w:left w:val="none" w:sz="0" w:space="0" w:color="auto"/>
        <w:bottom w:val="none" w:sz="0" w:space="0" w:color="auto"/>
        <w:right w:val="none" w:sz="0" w:space="0" w:color="auto"/>
      </w:divBdr>
      <w:divsChild>
        <w:div w:id="180977303">
          <w:marLeft w:val="0"/>
          <w:marRight w:val="0"/>
          <w:marTop w:val="0"/>
          <w:marBottom w:val="0"/>
          <w:divBdr>
            <w:top w:val="none" w:sz="0" w:space="0" w:color="auto"/>
            <w:left w:val="none" w:sz="0" w:space="0" w:color="auto"/>
            <w:bottom w:val="none" w:sz="0" w:space="0" w:color="auto"/>
            <w:right w:val="none" w:sz="0" w:space="0" w:color="auto"/>
          </w:divBdr>
          <w:divsChild>
            <w:div w:id="537670306">
              <w:marLeft w:val="0"/>
              <w:marRight w:val="0"/>
              <w:marTop w:val="0"/>
              <w:marBottom w:val="0"/>
              <w:divBdr>
                <w:top w:val="none" w:sz="0" w:space="0" w:color="auto"/>
                <w:left w:val="none" w:sz="0" w:space="0" w:color="auto"/>
                <w:bottom w:val="none" w:sz="0" w:space="0" w:color="auto"/>
                <w:right w:val="none" w:sz="0" w:space="0" w:color="auto"/>
              </w:divBdr>
              <w:divsChild>
                <w:div w:id="1708725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7854622">
          <w:marLeft w:val="0"/>
          <w:marRight w:val="0"/>
          <w:marTop w:val="0"/>
          <w:marBottom w:val="0"/>
          <w:divBdr>
            <w:top w:val="none" w:sz="0" w:space="0" w:color="auto"/>
            <w:left w:val="none" w:sz="0" w:space="0" w:color="auto"/>
            <w:bottom w:val="none" w:sz="0" w:space="0" w:color="auto"/>
            <w:right w:val="none" w:sz="0" w:space="0" w:color="auto"/>
          </w:divBdr>
          <w:divsChild>
            <w:div w:id="1122991393">
              <w:marLeft w:val="0"/>
              <w:marRight w:val="0"/>
              <w:marTop w:val="0"/>
              <w:marBottom w:val="0"/>
              <w:divBdr>
                <w:top w:val="none" w:sz="0" w:space="0" w:color="auto"/>
                <w:left w:val="none" w:sz="0" w:space="0" w:color="auto"/>
                <w:bottom w:val="none" w:sz="0" w:space="0" w:color="auto"/>
                <w:right w:val="none" w:sz="0" w:space="0" w:color="auto"/>
              </w:divBdr>
              <w:divsChild>
                <w:div w:id="157117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8979068">
          <w:marLeft w:val="0"/>
          <w:marRight w:val="0"/>
          <w:marTop w:val="0"/>
          <w:marBottom w:val="0"/>
          <w:divBdr>
            <w:top w:val="none" w:sz="0" w:space="0" w:color="auto"/>
            <w:left w:val="none" w:sz="0" w:space="0" w:color="auto"/>
            <w:bottom w:val="none" w:sz="0" w:space="0" w:color="auto"/>
            <w:right w:val="none" w:sz="0" w:space="0" w:color="auto"/>
          </w:divBdr>
          <w:divsChild>
            <w:div w:id="73669622">
              <w:marLeft w:val="0"/>
              <w:marRight w:val="0"/>
              <w:marTop w:val="0"/>
              <w:marBottom w:val="0"/>
              <w:divBdr>
                <w:top w:val="none" w:sz="0" w:space="0" w:color="auto"/>
                <w:left w:val="none" w:sz="0" w:space="0" w:color="auto"/>
                <w:bottom w:val="none" w:sz="0" w:space="0" w:color="auto"/>
                <w:right w:val="none" w:sz="0" w:space="0" w:color="auto"/>
              </w:divBdr>
              <w:divsChild>
                <w:div w:id="383680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8513052">
          <w:marLeft w:val="0"/>
          <w:marRight w:val="0"/>
          <w:marTop w:val="0"/>
          <w:marBottom w:val="0"/>
          <w:divBdr>
            <w:top w:val="none" w:sz="0" w:space="0" w:color="auto"/>
            <w:left w:val="none" w:sz="0" w:space="0" w:color="auto"/>
            <w:bottom w:val="none" w:sz="0" w:space="0" w:color="auto"/>
            <w:right w:val="none" w:sz="0" w:space="0" w:color="auto"/>
          </w:divBdr>
        </w:div>
      </w:divsChild>
    </w:div>
    <w:div w:id="1039361088">
      <w:bodyDiv w:val="1"/>
      <w:marLeft w:val="0"/>
      <w:marRight w:val="0"/>
      <w:marTop w:val="0"/>
      <w:marBottom w:val="0"/>
      <w:divBdr>
        <w:top w:val="none" w:sz="0" w:space="0" w:color="auto"/>
        <w:left w:val="none" w:sz="0" w:space="0" w:color="auto"/>
        <w:bottom w:val="none" w:sz="0" w:space="0" w:color="auto"/>
        <w:right w:val="none" w:sz="0" w:space="0" w:color="auto"/>
      </w:divBdr>
    </w:div>
    <w:div w:id="1069383528">
      <w:bodyDiv w:val="1"/>
      <w:marLeft w:val="0"/>
      <w:marRight w:val="0"/>
      <w:marTop w:val="0"/>
      <w:marBottom w:val="0"/>
      <w:divBdr>
        <w:top w:val="none" w:sz="0" w:space="0" w:color="auto"/>
        <w:left w:val="none" w:sz="0" w:space="0" w:color="auto"/>
        <w:bottom w:val="none" w:sz="0" w:space="0" w:color="auto"/>
        <w:right w:val="none" w:sz="0" w:space="0" w:color="auto"/>
      </w:divBdr>
    </w:div>
    <w:div w:id="1101998362">
      <w:bodyDiv w:val="1"/>
      <w:marLeft w:val="0"/>
      <w:marRight w:val="0"/>
      <w:marTop w:val="0"/>
      <w:marBottom w:val="0"/>
      <w:divBdr>
        <w:top w:val="none" w:sz="0" w:space="0" w:color="auto"/>
        <w:left w:val="none" w:sz="0" w:space="0" w:color="auto"/>
        <w:bottom w:val="none" w:sz="0" w:space="0" w:color="auto"/>
        <w:right w:val="none" w:sz="0" w:space="0" w:color="auto"/>
      </w:divBdr>
    </w:div>
    <w:div w:id="1125923702">
      <w:bodyDiv w:val="1"/>
      <w:marLeft w:val="0"/>
      <w:marRight w:val="0"/>
      <w:marTop w:val="0"/>
      <w:marBottom w:val="0"/>
      <w:divBdr>
        <w:top w:val="none" w:sz="0" w:space="0" w:color="auto"/>
        <w:left w:val="none" w:sz="0" w:space="0" w:color="auto"/>
        <w:bottom w:val="none" w:sz="0" w:space="0" w:color="auto"/>
        <w:right w:val="none" w:sz="0" w:space="0" w:color="auto"/>
      </w:divBdr>
    </w:div>
    <w:div w:id="1128400709">
      <w:bodyDiv w:val="1"/>
      <w:marLeft w:val="0"/>
      <w:marRight w:val="0"/>
      <w:marTop w:val="0"/>
      <w:marBottom w:val="0"/>
      <w:divBdr>
        <w:top w:val="none" w:sz="0" w:space="0" w:color="auto"/>
        <w:left w:val="none" w:sz="0" w:space="0" w:color="auto"/>
        <w:bottom w:val="none" w:sz="0" w:space="0" w:color="auto"/>
        <w:right w:val="none" w:sz="0" w:space="0" w:color="auto"/>
      </w:divBdr>
    </w:div>
    <w:div w:id="1203709334">
      <w:bodyDiv w:val="1"/>
      <w:marLeft w:val="0"/>
      <w:marRight w:val="0"/>
      <w:marTop w:val="0"/>
      <w:marBottom w:val="0"/>
      <w:divBdr>
        <w:top w:val="none" w:sz="0" w:space="0" w:color="auto"/>
        <w:left w:val="none" w:sz="0" w:space="0" w:color="auto"/>
        <w:bottom w:val="none" w:sz="0" w:space="0" w:color="auto"/>
        <w:right w:val="none" w:sz="0" w:space="0" w:color="auto"/>
      </w:divBdr>
    </w:div>
    <w:div w:id="1263564799">
      <w:bodyDiv w:val="1"/>
      <w:marLeft w:val="0"/>
      <w:marRight w:val="0"/>
      <w:marTop w:val="0"/>
      <w:marBottom w:val="0"/>
      <w:divBdr>
        <w:top w:val="none" w:sz="0" w:space="0" w:color="auto"/>
        <w:left w:val="none" w:sz="0" w:space="0" w:color="auto"/>
        <w:bottom w:val="none" w:sz="0" w:space="0" w:color="auto"/>
        <w:right w:val="none" w:sz="0" w:space="0" w:color="auto"/>
      </w:divBdr>
    </w:div>
    <w:div w:id="1335960810">
      <w:bodyDiv w:val="1"/>
      <w:marLeft w:val="0"/>
      <w:marRight w:val="0"/>
      <w:marTop w:val="0"/>
      <w:marBottom w:val="0"/>
      <w:divBdr>
        <w:top w:val="none" w:sz="0" w:space="0" w:color="auto"/>
        <w:left w:val="none" w:sz="0" w:space="0" w:color="auto"/>
        <w:bottom w:val="none" w:sz="0" w:space="0" w:color="auto"/>
        <w:right w:val="none" w:sz="0" w:space="0" w:color="auto"/>
      </w:divBdr>
    </w:div>
    <w:div w:id="1368532141">
      <w:bodyDiv w:val="1"/>
      <w:marLeft w:val="0"/>
      <w:marRight w:val="0"/>
      <w:marTop w:val="0"/>
      <w:marBottom w:val="0"/>
      <w:divBdr>
        <w:top w:val="none" w:sz="0" w:space="0" w:color="auto"/>
        <w:left w:val="none" w:sz="0" w:space="0" w:color="auto"/>
        <w:bottom w:val="none" w:sz="0" w:space="0" w:color="auto"/>
        <w:right w:val="none" w:sz="0" w:space="0" w:color="auto"/>
      </w:divBdr>
    </w:div>
    <w:div w:id="1451438061">
      <w:bodyDiv w:val="1"/>
      <w:marLeft w:val="0"/>
      <w:marRight w:val="0"/>
      <w:marTop w:val="0"/>
      <w:marBottom w:val="0"/>
      <w:divBdr>
        <w:top w:val="none" w:sz="0" w:space="0" w:color="auto"/>
        <w:left w:val="none" w:sz="0" w:space="0" w:color="auto"/>
        <w:bottom w:val="none" w:sz="0" w:space="0" w:color="auto"/>
        <w:right w:val="none" w:sz="0" w:space="0" w:color="auto"/>
      </w:divBdr>
    </w:div>
    <w:div w:id="1501431327">
      <w:bodyDiv w:val="1"/>
      <w:marLeft w:val="0"/>
      <w:marRight w:val="0"/>
      <w:marTop w:val="0"/>
      <w:marBottom w:val="0"/>
      <w:divBdr>
        <w:top w:val="none" w:sz="0" w:space="0" w:color="auto"/>
        <w:left w:val="none" w:sz="0" w:space="0" w:color="auto"/>
        <w:bottom w:val="none" w:sz="0" w:space="0" w:color="auto"/>
        <w:right w:val="none" w:sz="0" w:space="0" w:color="auto"/>
      </w:divBdr>
    </w:div>
    <w:div w:id="1608729760">
      <w:bodyDiv w:val="1"/>
      <w:marLeft w:val="0"/>
      <w:marRight w:val="0"/>
      <w:marTop w:val="0"/>
      <w:marBottom w:val="0"/>
      <w:divBdr>
        <w:top w:val="none" w:sz="0" w:space="0" w:color="auto"/>
        <w:left w:val="none" w:sz="0" w:space="0" w:color="auto"/>
        <w:bottom w:val="none" w:sz="0" w:space="0" w:color="auto"/>
        <w:right w:val="none" w:sz="0" w:space="0" w:color="auto"/>
      </w:divBdr>
    </w:div>
    <w:div w:id="1609124190">
      <w:bodyDiv w:val="1"/>
      <w:marLeft w:val="0"/>
      <w:marRight w:val="0"/>
      <w:marTop w:val="0"/>
      <w:marBottom w:val="0"/>
      <w:divBdr>
        <w:top w:val="none" w:sz="0" w:space="0" w:color="auto"/>
        <w:left w:val="none" w:sz="0" w:space="0" w:color="auto"/>
        <w:bottom w:val="none" w:sz="0" w:space="0" w:color="auto"/>
        <w:right w:val="none" w:sz="0" w:space="0" w:color="auto"/>
      </w:divBdr>
    </w:div>
    <w:div w:id="1729264315">
      <w:bodyDiv w:val="1"/>
      <w:marLeft w:val="0"/>
      <w:marRight w:val="0"/>
      <w:marTop w:val="0"/>
      <w:marBottom w:val="0"/>
      <w:divBdr>
        <w:top w:val="none" w:sz="0" w:space="0" w:color="auto"/>
        <w:left w:val="none" w:sz="0" w:space="0" w:color="auto"/>
        <w:bottom w:val="none" w:sz="0" w:space="0" w:color="auto"/>
        <w:right w:val="none" w:sz="0" w:space="0" w:color="auto"/>
      </w:divBdr>
      <w:divsChild>
        <w:div w:id="454493797">
          <w:marLeft w:val="0"/>
          <w:marRight w:val="0"/>
          <w:marTop w:val="0"/>
          <w:marBottom w:val="0"/>
          <w:divBdr>
            <w:top w:val="none" w:sz="0" w:space="0" w:color="auto"/>
            <w:left w:val="none" w:sz="0" w:space="0" w:color="auto"/>
            <w:bottom w:val="none" w:sz="0" w:space="0" w:color="auto"/>
            <w:right w:val="none" w:sz="0" w:space="0" w:color="auto"/>
          </w:divBdr>
          <w:divsChild>
            <w:div w:id="1996956001">
              <w:marLeft w:val="0"/>
              <w:marRight w:val="0"/>
              <w:marTop w:val="0"/>
              <w:marBottom w:val="0"/>
              <w:divBdr>
                <w:top w:val="none" w:sz="0" w:space="0" w:color="auto"/>
                <w:left w:val="none" w:sz="0" w:space="0" w:color="auto"/>
                <w:bottom w:val="none" w:sz="0" w:space="0" w:color="auto"/>
                <w:right w:val="none" w:sz="0" w:space="0" w:color="auto"/>
              </w:divBdr>
            </w:div>
          </w:divsChild>
        </w:div>
        <w:div w:id="586810258">
          <w:marLeft w:val="0"/>
          <w:marRight w:val="0"/>
          <w:marTop w:val="0"/>
          <w:marBottom w:val="0"/>
          <w:divBdr>
            <w:top w:val="none" w:sz="0" w:space="0" w:color="auto"/>
            <w:left w:val="none" w:sz="0" w:space="0" w:color="auto"/>
            <w:bottom w:val="none" w:sz="0" w:space="0" w:color="auto"/>
            <w:right w:val="none" w:sz="0" w:space="0" w:color="auto"/>
          </w:divBdr>
        </w:div>
      </w:divsChild>
    </w:div>
    <w:div w:id="1733889286">
      <w:bodyDiv w:val="1"/>
      <w:marLeft w:val="0"/>
      <w:marRight w:val="0"/>
      <w:marTop w:val="0"/>
      <w:marBottom w:val="0"/>
      <w:divBdr>
        <w:top w:val="none" w:sz="0" w:space="0" w:color="auto"/>
        <w:left w:val="none" w:sz="0" w:space="0" w:color="auto"/>
        <w:bottom w:val="none" w:sz="0" w:space="0" w:color="auto"/>
        <w:right w:val="none" w:sz="0" w:space="0" w:color="auto"/>
      </w:divBdr>
    </w:div>
    <w:div w:id="1800143291">
      <w:bodyDiv w:val="1"/>
      <w:marLeft w:val="0"/>
      <w:marRight w:val="0"/>
      <w:marTop w:val="0"/>
      <w:marBottom w:val="0"/>
      <w:divBdr>
        <w:top w:val="none" w:sz="0" w:space="0" w:color="auto"/>
        <w:left w:val="none" w:sz="0" w:space="0" w:color="auto"/>
        <w:bottom w:val="none" w:sz="0" w:space="0" w:color="auto"/>
        <w:right w:val="none" w:sz="0" w:space="0" w:color="auto"/>
      </w:divBdr>
    </w:div>
    <w:div w:id="1829175975">
      <w:bodyDiv w:val="1"/>
      <w:marLeft w:val="0"/>
      <w:marRight w:val="0"/>
      <w:marTop w:val="0"/>
      <w:marBottom w:val="0"/>
      <w:divBdr>
        <w:top w:val="none" w:sz="0" w:space="0" w:color="auto"/>
        <w:left w:val="none" w:sz="0" w:space="0" w:color="auto"/>
        <w:bottom w:val="none" w:sz="0" w:space="0" w:color="auto"/>
        <w:right w:val="none" w:sz="0" w:space="0" w:color="auto"/>
      </w:divBdr>
    </w:div>
    <w:div w:id="1832671565">
      <w:bodyDiv w:val="1"/>
      <w:marLeft w:val="0"/>
      <w:marRight w:val="0"/>
      <w:marTop w:val="0"/>
      <w:marBottom w:val="0"/>
      <w:divBdr>
        <w:top w:val="none" w:sz="0" w:space="0" w:color="auto"/>
        <w:left w:val="none" w:sz="0" w:space="0" w:color="auto"/>
        <w:bottom w:val="none" w:sz="0" w:space="0" w:color="auto"/>
        <w:right w:val="none" w:sz="0" w:space="0" w:color="auto"/>
      </w:divBdr>
    </w:div>
    <w:div w:id="1849055358">
      <w:bodyDiv w:val="1"/>
      <w:marLeft w:val="0"/>
      <w:marRight w:val="0"/>
      <w:marTop w:val="0"/>
      <w:marBottom w:val="0"/>
      <w:divBdr>
        <w:top w:val="none" w:sz="0" w:space="0" w:color="auto"/>
        <w:left w:val="none" w:sz="0" w:space="0" w:color="auto"/>
        <w:bottom w:val="none" w:sz="0" w:space="0" w:color="auto"/>
        <w:right w:val="none" w:sz="0" w:space="0" w:color="auto"/>
      </w:divBdr>
    </w:div>
    <w:div w:id="1875724810">
      <w:bodyDiv w:val="1"/>
      <w:marLeft w:val="0"/>
      <w:marRight w:val="0"/>
      <w:marTop w:val="0"/>
      <w:marBottom w:val="0"/>
      <w:divBdr>
        <w:top w:val="none" w:sz="0" w:space="0" w:color="auto"/>
        <w:left w:val="none" w:sz="0" w:space="0" w:color="auto"/>
        <w:bottom w:val="none" w:sz="0" w:space="0" w:color="auto"/>
        <w:right w:val="none" w:sz="0" w:space="0" w:color="auto"/>
      </w:divBdr>
    </w:div>
    <w:div w:id="1906991265">
      <w:bodyDiv w:val="1"/>
      <w:marLeft w:val="0"/>
      <w:marRight w:val="0"/>
      <w:marTop w:val="0"/>
      <w:marBottom w:val="0"/>
      <w:divBdr>
        <w:top w:val="none" w:sz="0" w:space="0" w:color="auto"/>
        <w:left w:val="none" w:sz="0" w:space="0" w:color="auto"/>
        <w:bottom w:val="none" w:sz="0" w:space="0" w:color="auto"/>
        <w:right w:val="none" w:sz="0" w:space="0" w:color="auto"/>
      </w:divBdr>
    </w:div>
    <w:div w:id="1949972575">
      <w:bodyDiv w:val="1"/>
      <w:marLeft w:val="0"/>
      <w:marRight w:val="0"/>
      <w:marTop w:val="0"/>
      <w:marBottom w:val="0"/>
      <w:divBdr>
        <w:top w:val="none" w:sz="0" w:space="0" w:color="auto"/>
        <w:left w:val="none" w:sz="0" w:space="0" w:color="auto"/>
        <w:bottom w:val="none" w:sz="0" w:space="0" w:color="auto"/>
        <w:right w:val="none" w:sz="0" w:space="0" w:color="auto"/>
      </w:divBdr>
    </w:div>
    <w:div w:id="1960066945">
      <w:bodyDiv w:val="1"/>
      <w:marLeft w:val="0"/>
      <w:marRight w:val="0"/>
      <w:marTop w:val="0"/>
      <w:marBottom w:val="0"/>
      <w:divBdr>
        <w:top w:val="none" w:sz="0" w:space="0" w:color="auto"/>
        <w:left w:val="none" w:sz="0" w:space="0" w:color="auto"/>
        <w:bottom w:val="none" w:sz="0" w:space="0" w:color="auto"/>
        <w:right w:val="none" w:sz="0" w:space="0" w:color="auto"/>
      </w:divBdr>
    </w:div>
    <w:div w:id="1974796647">
      <w:bodyDiv w:val="1"/>
      <w:marLeft w:val="0"/>
      <w:marRight w:val="0"/>
      <w:marTop w:val="0"/>
      <w:marBottom w:val="0"/>
      <w:divBdr>
        <w:top w:val="none" w:sz="0" w:space="0" w:color="auto"/>
        <w:left w:val="none" w:sz="0" w:space="0" w:color="auto"/>
        <w:bottom w:val="none" w:sz="0" w:space="0" w:color="auto"/>
        <w:right w:val="none" w:sz="0" w:space="0" w:color="auto"/>
      </w:divBdr>
    </w:div>
    <w:div w:id="2024897462">
      <w:bodyDiv w:val="1"/>
      <w:marLeft w:val="0"/>
      <w:marRight w:val="0"/>
      <w:marTop w:val="0"/>
      <w:marBottom w:val="0"/>
      <w:divBdr>
        <w:top w:val="none" w:sz="0" w:space="0" w:color="auto"/>
        <w:left w:val="none" w:sz="0" w:space="0" w:color="auto"/>
        <w:bottom w:val="none" w:sz="0" w:space="0" w:color="auto"/>
        <w:right w:val="none" w:sz="0" w:space="0" w:color="auto"/>
      </w:divBdr>
    </w:div>
    <w:div w:id="2039117547">
      <w:bodyDiv w:val="1"/>
      <w:marLeft w:val="0"/>
      <w:marRight w:val="0"/>
      <w:marTop w:val="0"/>
      <w:marBottom w:val="0"/>
      <w:divBdr>
        <w:top w:val="none" w:sz="0" w:space="0" w:color="auto"/>
        <w:left w:val="none" w:sz="0" w:space="0" w:color="auto"/>
        <w:bottom w:val="none" w:sz="0" w:space="0" w:color="auto"/>
        <w:right w:val="none" w:sz="0" w:space="0" w:color="auto"/>
      </w:divBdr>
    </w:div>
    <w:div w:id="2074425860">
      <w:bodyDiv w:val="1"/>
      <w:marLeft w:val="0"/>
      <w:marRight w:val="0"/>
      <w:marTop w:val="0"/>
      <w:marBottom w:val="0"/>
      <w:divBdr>
        <w:top w:val="none" w:sz="0" w:space="0" w:color="auto"/>
        <w:left w:val="none" w:sz="0" w:space="0" w:color="auto"/>
        <w:bottom w:val="none" w:sz="0" w:space="0" w:color="auto"/>
        <w:right w:val="none" w:sz="0" w:space="0" w:color="auto"/>
      </w:divBdr>
    </w:div>
    <w:div w:id="2085838979">
      <w:bodyDiv w:val="1"/>
      <w:marLeft w:val="0"/>
      <w:marRight w:val="0"/>
      <w:marTop w:val="0"/>
      <w:marBottom w:val="0"/>
      <w:divBdr>
        <w:top w:val="none" w:sz="0" w:space="0" w:color="auto"/>
        <w:left w:val="none" w:sz="0" w:space="0" w:color="auto"/>
        <w:bottom w:val="none" w:sz="0" w:space="0" w:color="auto"/>
        <w:right w:val="none" w:sz="0" w:space="0" w:color="auto"/>
      </w:divBdr>
    </w:div>
    <w:div w:id="2096397651">
      <w:bodyDiv w:val="1"/>
      <w:marLeft w:val="0"/>
      <w:marRight w:val="0"/>
      <w:marTop w:val="0"/>
      <w:marBottom w:val="0"/>
      <w:divBdr>
        <w:top w:val="none" w:sz="0" w:space="0" w:color="auto"/>
        <w:left w:val="none" w:sz="0" w:space="0" w:color="auto"/>
        <w:bottom w:val="none" w:sz="0" w:space="0" w:color="auto"/>
        <w:right w:val="none" w:sz="0" w:space="0" w:color="auto"/>
      </w:divBdr>
    </w:div>
    <w:div w:id="2098205437">
      <w:bodyDiv w:val="1"/>
      <w:marLeft w:val="0"/>
      <w:marRight w:val="0"/>
      <w:marTop w:val="0"/>
      <w:marBottom w:val="0"/>
      <w:divBdr>
        <w:top w:val="none" w:sz="0" w:space="0" w:color="auto"/>
        <w:left w:val="none" w:sz="0" w:space="0" w:color="auto"/>
        <w:bottom w:val="none" w:sz="0" w:space="0" w:color="auto"/>
        <w:right w:val="none" w:sz="0" w:space="0" w:color="auto"/>
      </w:divBdr>
    </w:div>
    <w:div w:id="2132551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C2808B-E814-40B7-A028-F50D04B027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88</Pages>
  <Words>29393</Words>
  <Characters>176362</Characters>
  <Application>Microsoft Office Word</Application>
  <DocSecurity>0</DocSecurity>
  <Lines>1469</Lines>
  <Paragraphs>410</Paragraphs>
  <ScaleCrop>false</ScaleCrop>
  <HeadingPairs>
    <vt:vector size="2" baseType="variant">
      <vt:variant>
        <vt:lpstr>Tytuł</vt:lpstr>
      </vt:variant>
      <vt:variant>
        <vt:i4>1</vt:i4>
      </vt:variant>
    </vt:vector>
  </HeadingPairs>
  <TitlesOfParts>
    <vt:vector size="1" baseType="lpstr">
      <vt:lpstr/>
    </vt:vector>
  </TitlesOfParts>
  <Company>MRR</Company>
  <LinksUpToDate>false</LinksUpToDate>
  <CharactersWithSpaces>205345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Sylwia Stolas-Markiewicz</dc:creator>
  <cp:lastModifiedBy>Binkowska Joanna</cp:lastModifiedBy>
  <cp:revision>2</cp:revision>
  <dcterms:created xsi:type="dcterms:W3CDTF">2019-07-11T14:58:00Z</dcterms:created>
  <dcterms:modified xsi:type="dcterms:W3CDTF">2019-07-11T14:58:00Z</dcterms:modified>
</cp:coreProperties>
</file>